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1181842"/>
        <w:docPartObj>
          <w:docPartGallery w:val="Page Numbers (Bottom of Page)"/>
          <w:docPartUnique/>
        </w:docPartObj>
      </w:sdtPr>
      <w:sdtEndPr>
        <w:rPr>
          <w:b/>
        </w:rPr>
      </w:sdtEndPr>
      <w:sdtContent>
        <w:p w14:paraId="49438F88" w14:textId="153D6194" w:rsidR="009D66C8" w:rsidRPr="00AA3493" w:rsidRDefault="009D66C8" w:rsidP="00EE1D64">
          <w:pPr>
            <w:shd w:val="clear" w:color="auto" w:fill="FFFFFF"/>
            <w:contextualSpacing/>
            <w:jc w:val="center"/>
            <w:rPr>
              <w:b/>
              <w:bCs/>
            </w:rPr>
          </w:pPr>
          <w:r w:rsidRPr="00AA3493">
            <w:rPr>
              <w:b/>
            </w:rPr>
            <w:t>Ministru kabineta noteikumu projekt</w:t>
          </w:r>
          <w:r w:rsidR="00F7727C" w:rsidRPr="00AA3493">
            <w:rPr>
              <w:b/>
            </w:rPr>
            <w:t>a</w:t>
          </w:r>
          <w:r w:rsidRPr="00AA3493">
            <w:rPr>
              <w:b/>
            </w:rPr>
            <w:t xml:space="preserve"> </w:t>
          </w:r>
          <w:r w:rsidR="004C4BD0" w:rsidRPr="00AA3493">
            <w:rPr>
              <w:b/>
              <w:bCs/>
            </w:rPr>
            <w:t>"</w:t>
          </w:r>
          <w:r w:rsidR="006437BB" w:rsidRPr="00AA3493">
            <w:rPr>
              <w:b/>
              <w:bCs/>
            </w:rPr>
            <w:t>Grozījumi Ministru kabineta 2019.</w:t>
          </w:r>
          <w:r w:rsidR="00617DE9" w:rsidRPr="00AA3493">
            <w:rPr>
              <w:b/>
              <w:bCs/>
            </w:rPr>
            <w:t> </w:t>
          </w:r>
          <w:r w:rsidR="006437BB" w:rsidRPr="00AA3493">
            <w:rPr>
              <w:b/>
              <w:bCs/>
            </w:rPr>
            <w:t>gada 7.</w:t>
          </w:r>
          <w:r w:rsidR="00617DE9" w:rsidRPr="00AA3493">
            <w:rPr>
              <w:b/>
              <w:bCs/>
            </w:rPr>
            <w:t> </w:t>
          </w:r>
          <w:r w:rsidR="006437BB" w:rsidRPr="00AA3493">
            <w:rPr>
              <w:b/>
              <w:bCs/>
            </w:rPr>
            <w:t>maija noteikumos Nr.</w:t>
          </w:r>
          <w:r w:rsidR="00617DE9" w:rsidRPr="00AA3493">
            <w:rPr>
              <w:b/>
              <w:bCs/>
            </w:rPr>
            <w:t> </w:t>
          </w:r>
          <w:r w:rsidR="006437BB" w:rsidRPr="00AA3493">
            <w:rPr>
              <w:b/>
              <w:bCs/>
            </w:rPr>
            <w:t xml:space="preserve">189 </w:t>
          </w:r>
          <w:r w:rsidR="00617DE9" w:rsidRPr="00AA3493">
            <w:rPr>
              <w:b/>
              <w:bCs/>
            </w:rPr>
            <w:t>"</w:t>
          </w:r>
          <w:r w:rsidR="00AF76BF" w:rsidRPr="00AF76BF">
            <w:rPr>
              <w:b/>
              <w:bCs/>
            </w:rPr>
            <w:t>Biedrības "Latvijas Arhitektu savienība" maksas pakalpojumu cenrādis</w:t>
          </w:r>
          <w:r w:rsidR="004C4BD0" w:rsidRPr="00AA3493">
            <w:rPr>
              <w:b/>
              <w:bCs/>
            </w:rPr>
            <w:t>""</w:t>
          </w:r>
          <w:r w:rsidR="00B6763C" w:rsidRPr="00AA3493">
            <w:rPr>
              <w:b/>
            </w:rPr>
            <w:t xml:space="preserve"> </w:t>
          </w:r>
          <w:r w:rsidRPr="00AA3493">
            <w:rPr>
              <w:b/>
              <w:bCs/>
            </w:rPr>
            <w:t>sākotnējās ietekmes novērtējuma ziņojums (anotācija)</w:t>
          </w:r>
        </w:p>
      </w:sdtContent>
    </w:sdt>
    <w:p w14:paraId="49438F90" w14:textId="1D822CED" w:rsidR="00161647" w:rsidRDefault="00161647" w:rsidP="00EE1D64">
      <w:pPr>
        <w:pStyle w:val="Title"/>
        <w:contextualSpacing/>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1"/>
        <w:gridCol w:w="6923"/>
      </w:tblGrid>
      <w:tr w:rsidR="00096052" w:rsidRPr="00B74E1D" w14:paraId="692F7B81" w14:textId="77777777" w:rsidTr="00096052">
        <w:trPr>
          <w:cantSplit/>
        </w:trPr>
        <w:tc>
          <w:tcPr>
            <w:tcW w:w="9169" w:type="dxa"/>
            <w:gridSpan w:val="2"/>
            <w:shd w:val="clear" w:color="auto" w:fill="FFFFFF"/>
            <w:vAlign w:val="center"/>
            <w:hideMark/>
          </w:tcPr>
          <w:p w14:paraId="5B550F0E" w14:textId="77777777" w:rsidR="00096052" w:rsidRPr="00B74E1D" w:rsidRDefault="00096052" w:rsidP="00096052">
            <w:pPr>
              <w:jc w:val="center"/>
              <w:rPr>
                <w:b/>
                <w:iCs/>
                <w:lang w:eastAsia="en-US"/>
              </w:rPr>
            </w:pPr>
            <w:r w:rsidRPr="00B74E1D">
              <w:rPr>
                <w:b/>
                <w:iCs/>
                <w:lang w:eastAsia="en-US"/>
              </w:rPr>
              <w:t>Tiesību akta projekta anotācijas kopsavilkums</w:t>
            </w:r>
          </w:p>
        </w:tc>
      </w:tr>
      <w:tr w:rsidR="00096052" w:rsidRPr="00B74E1D" w14:paraId="731B2A74" w14:textId="77777777" w:rsidTr="00096052">
        <w:trPr>
          <w:cantSplit/>
        </w:trPr>
        <w:tc>
          <w:tcPr>
            <w:tcW w:w="2830" w:type="dxa"/>
            <w:shd w:val="clear" w:color="auto" w:fill="FFFFFF"/>
            <w:hideMark/>
          </w:tcPr>
          <w:p w14:paraId="5DA1E186" w14:textId="77777777" w:rsidR="00096052" w:rsidRPr="00B74E1D" w:rsidRDefault="00096052" w:rsidP="00096052">
            <w:pPr>
              <w:rPr>
                <w:iCs/>
                <w:lang w:eastAsia="en-US"/>
              </w:rPr>
            </w:pPr>
            <w:r w:rsidRPr="00B74E1D">
              <w:rPr>
                <w:iCs/>
                <w:lang w:eastAsia="en-US"/>
              </w:rPr>
              <w:t>Mērķis, risinājums un projekta spēkā stāšanās laiks (500 zīmes bez atstarpēm)</w:t>
            </w:r>
          </w:p>
        </w:tc>
        <w:tc>
          <w:tcPr>
            <w:tcW w:w="6339" w:type="dxa"/>
            <w:shd w:val="clear" w:color="auto" w:fill="FFFFFF"/>
            <w:hideMark/>
          </w:tcPr>
          <w:p w14:paraId="3FEC9BA0" w14:textId="16EB6959" w:rsidR="00096052" w:rsidRPr="007A58E4" w:rsidRDefault="00096052" w:rsidP="00096052">
            <w:pPr>
              <w:jc w:val="both"/>
              <w:rPr>
                <w:bCs/>
                <w:bdr w:val="none" w:sz="0" w:space="0" w:color="auto" w:frame="1"/>
                <w:shd w:val="clear" w:color="auto" w:fill="FFFFFF"/>
              </w:rPr>
            </w:pPr>
            <w:r w:rsidRPr="007A58E4">
              <w:rPr>
                <w:rStyle w:val="Strong"/>
                <w:b w:val="0"/>
                <w:bdr w:val="none" w:sz="0" w:space="0" w:color="auto" w:frame="1"/>
                <w:shd w:val="clear" w:color="auto" w:fill="FFFFFF"/>
              </w:rPr>
              <w:t>Ministru kabineta noteikumu projekt</w:t>
            </w:r>
            <w:r w:rsidR="007A58E4" w:rsidRPr="007A58E4">
              <w:rPr>
                <w:rStyle w:val="Strong"/>
                <w:b w:val="0"/>
                <w:bdr w:val="none" w:sz="0" w:space="0" w:color="auto" w:frame="1"/>
                <w:shd w:val="clear" w:color="auto" w:fill="FFFFFF"/>
              </w:rPr>
              <w:t>s</w:t>
            </w:r>
            <w:r w:rsidRPr="007A58E4">
              <w:rPr>
                <w:rStyle w:val="Strong"/>
                <w:b w:val="0"/>
                <w:bdr w:val="none" w:sz="0" w:space="0" w:color="auto" w:frame="1"/>
                <w:shd w:val="clear" w:color="auto" w:fill="FFFFFF"/>
              </w:rPr>
              <w:t xml:space="preserve"> </w:t>
            </w:r>
            <w:r w:rsidR="007A58E4" w:rsidRPr="007A58E4">
              <w:rPr>
                <w:rStyle w:val="Strong"/>
                <w:b w:val="0"/>
                <w:bdr w:val="none" w:sz="0" w:space="0" w:color="auto" w:frame="1"/>
                <w:shd w:val="clear" w:color="auto" w:fill="FFFFFF"/>
              </w:rPr>
              <w:t>"Grozījumi Ministru kabineta 2019. gada 7. maija noteikumos Nr. 189 "</w:t>
            </w:r>
            <w:r w:rsidR="00AF76BF" w:rsidRPr="00AF76BF">
              <w:rPr>
                <w:rStyle w:val="Strong"/>
                <w:b w:val="0"/>
                <w:bdr w:val="none" w:sz="0" w:space="0" w:color="auto" w:frame="1"/>
                <w:shd w:val="clear" w:color="auto" w:fill="FFFFFF"/>
              </w:rPr>
              <w:t>Biedrības "Latvijas Arhitektu savienība" maksas pakalpojumu cenrādis</w:t>
            </w:r>
            <w:r w:rsidR="007A58E4" w:rsidRPr="007A58E4">
              <w:rPr>
                <w:rStyle w:val="Strong"/>
                <w:b w:val="0"/>
                <w:bdr w:val="none" w:sz="0" w:space="0" w:color="auto" w:frame="1"/>
                <w:shd w:val="clear" w:color="auto" w:fill="FFFFFF"/>
              </w:rPr>
              <w:t>"</w:t>
            </w:r>
            <w:r w:rsidRPr="007A58E4">
              <w:rPr>
                <w:rStyle w:val="Strong"/>
                <w:b w:val="0"/>
                <w:bdr w:val="none" w:sz="0" w:space="0" w:color="auto" w:frame="1"/>
                <w:shd w:val="clear" w:color="auto" w:fill="FFFFFF"/>
              </w:rPr>
              <w:t xml:space="preserve"> (turpmāk – </w:t>
            </w:r>
            <w:r w:rsidRPr="00482527">
              <w:rPr>
                <w:rStyle w:val="Strong"/>
                <w:b w:val="0"/>
                <w:iCs/>
                <w:bdr w:val="none" w:sz="0" w:space="0" w:color="auto" w:frame="1"/>
                <w:shd w:val="clear" w:color="auto" w:fill="FFFFFF"/>
              </w:rPr>
              <w:t>Noteikumu projekts</w:t>
            </w:r>
            <w:r w:rsidRPr="007A58E4">
              <w:rPr>
                <w:rStyle w:val="Strong"/>
                <w:b w:val="0"/>
                <w:bdr w:val="none" w:sz="0" w:space="0" w:color="auto" w:frame="1"/>
                <w:shd w:val="clear" w:color="auto" w:fill="FFFFFF"/>
              </w:rPr>
              <w:t>)</w:t>
            </w:r>
            <w:r w:rsidR="007A58E4" w:rsidRPr="007A58E4">
              <w:rPr>
                <w:rStyle w:val="Strong"/>
                <w:b w:val="0"/>
                <w:bdr w:val="none" w:sz="0" w:space="0" w:color="auto" w:frame="1"/>
                <w:shd w:val="clear" w:color="auto" w:fill="FFFFFF"/>
              </w:rPr>
              <w:t xml:space="preserve"> nosaka vienotu maksas pakalpojumu cenrādi visām kompetences pārbaudes iestādēm, kuras veic arhitektu sertificēšanu un patstāvīgās prakses uzraudzību.</w:t>
            </w:r>
          </w:p>
        </w:tc>
      </w:tr>
    </w:tbl>
    <w:p w14:paraId="260248DB" w14:textId="40B1BB59" w:rsidR="00096052" w:rsidRDefault="00096052" w:rsidP="00EE1D64">
      <w:pPr>
        <w:pStyle w:val="Title"/>
        <w:contextualSpacing/>
        <w:jc w:val="both"/>
        <w:rPr>
          <w:sz w:val="24"/>
          <w:szCs w:val="24"/>
        </w:rPr>
      </w:pPr>
    </w:p>
    <w:p w14:paraId="7D6D0B3D" w14:textId="77777777" w:rsidR="00096052" w:rsidRPr="00AA3493" w:rsidRDefault="00096052"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57" w:type="dxa"/>
          <w:bottom w:w="30" w:type="dxa"/>
          <w:right w:w="57" w:type="dxa"/>
        </w:tblCellMar>
        <w:tblLook w:val="06A0" w:firstRow="1" w:lastRow="0" w:firstColumn="1" w:lastColumn="0" w:noHBand="1" w:noVBand="1"/>
      </w:tblPr>
      <w:tblGrid>
        <w:gridCol w:w="294"/>
        <w:gridCol w:w="1847"/>
        <w:gridCol w:w="7834"/>
      </w:tblGrid>
      <w:tr w:rsidR="00730B3B" w:rsidRPr="00AA3493" w14:paraId="49438F92" w14:textId="77777777" w:rsidTr="007D2C25">
        <w:tc>
          <w:tcPr>
            <w:tcW w:w="5000" w:type="pct"/>
            <w:gridSpan w:val="3"/>
            <w:vAlign w:val="center"/>
            <w:hideMark/>
          </w:tcPr>
          <w:p w14:paraId="49438F91" w14:textId="77777777" w:rsidR="00BD5588" w:rsidRPr="00AA3493" w:rsidRDefault="00656B5C" w:rsidP="00EE1D64">
            <w:pPr>
              <w:widowControl w:val="0"/>
              <w:contextualSpacing/>
              <w:jc w:val="center"/>
              <w:rPr>
                <w:b/>
                <w:bCs/>
              </w:rPr>
            </w:pPr>
            <w:r w:rsidRPr="00AA3493">
              <w:rPr>
                <w:b/>
                <w:bCs/>
              </w:rPr>
              <w:t>I. Tiesību akta projekta izstrādes nepieciešamība</w:t>
            </w:r>
          </w:p>
        </w:tc>
      </w:tr>
      <w:tr w:rsidR="00730B3B" w:rsidRPr="00AA3493" w14:paraId="49438F96" w14:textId="77777777" w:rsidTr="007D2C25">
        <w:tc>
          <w:tcPr>
            <w:tcW w:w="144" w:type="pct"/>
            <w:hideMark/>
          </w:tcPr>
          <w:p w14:paraId="49438F93" w14:textId="77777777" w:rsidR="00BD5588" w:rsidRPr="00AA3493" w:rsidRDefault="00656B5C" w:rsidP="00EE1D64">
            <w:pPr>
              <w:widowControl w:val="0"/>
              <w:contextualSpacing/>
              <w:jc w:val="center"/>
            </w:pPr>
            <w:r w:rsidRPr="00AA3493">
              <w:t>1.</w:t>
            </w:r>
          </w:p>
        </w:tc>
        <w:tc>
          <w:tcPr>
            <w:tcW w:w="873" w:type="pct"/>
            <w:hideMark/>
          </w:tcPr>
          <w:p w14:paraId="49438F94" w14:textId="77777777" w:rsidR="00BD5588" w:rsidRPr="00AA3493" w:rsidRDefault="00656B5C" w:rsidP="00EE1D64">
            <w:pPr>
              <w:widowControl w:val="0"/>
              <w:contextualSpacing/>
            </w:pPr>
            <w:r w:rsidRPr="00AA3493">
              <w:t>Pamatojums</w:t>
            </w:r>
          </w:p>
        </w:tc>
        <w:tc>
          <w:tcPr>
            <w:tcW w:w="3983" w:type="pct"/>
            <w:hideMark/>
          </w:tcPr>
          <w:p w14:paraId="49438F95" w14:textId="43F74CEB" w:rsidR="00161647" w:rsidRPr="00AA3493" w:rsidRDefault="00C616BC" w:rsidP="00EE1D64">
            <w:pPr>
              <w:shd w:val="clear" w:color="auto" w:fill="FFFFFF"/>
              <w:contextualSpacing/>
              <w:jc w:val="both"/>
              <w:rPr>
                <w:bCs/>
              </w:rPr>
            </w:pPr>
            <w:r w:rsidRPr="00AA3493">
              <w:t>Būvniecības likuma 5.</w:t>
            </w:r>
            <w:r w:rsidR="006054CA" w:rsidRPr="00AA3493">
              <w:t xml:space="preserve"> </w:t>
            </w:r>
            <w:r w:rsidRPr="00AA3493">
              <w:t>panta pirmās daļas 4.</w:t>
            </w:r>
            <w:r w:rsidR="006054CA" w:rsidRPr="00AA3493">
              <w:t xml:space="preserve"> </w:t>
            </w:r>
            <w:r w:rsidRPr="00AA3493">
              <w:t xml:space="preserve">punkta </w:t>
            </w:r>
            <w:r w:rsidR="006054CA" w:rsidRPr="00AA3493">
              <w:t>“</w:t>
            </w:r>
            <w:r w:rsidRPr="00AA3493">
              <w:t>e</w:t>
            </w:r>
            <w:r w:rsidR="006054CA" w:rsidRPr="00AA3493">
              <w:t>”</w:t>
            </w:r>
            <w:r w:rsidRPr="00AA3493">
              <w:t xml:space="preserve"> apakšpunkt</w:t>
            </w:r>
            <w:r w:rsidR="00F20499" w:rsidRPr="00AA3493">
              <w:t>s</w:t>
            </w:r>
          </w:p>
        </w:tc>
      </w:tr>
      <w:tr w:rsidR="00730B3B" w:rsidRPr="00AA3493" w14:paraId="49439158" w14:textId="77777777" w:rsidTr="007D2C25">
        <w:tc>
          <w:tcPr>
            <w:tcW w:w="144" w:type="pct"/>
            <w:hideMark/>
          </w:tcPr>
          <w:p w14:paraId="49438F97" w14:textId="77777777" w:rsidR="00BD5588" w:rsidRPr="00AA3493" w:rsidRDefault="00656B5C" w:rsidP="00EE1D64">
            <w:pPr>
              <w:widowControl w:val="0"/>
              <w:contextualSpacing/>
              <w:jc w:val="center"/>
            </w:pPr>
            <w:r w:rsidRPr="00AA3493">
              <w:t>2.</w:t>
            </w:r>
          </w:p>
        </w:tc>
        <w:tc>
          <w:tcPr>
            <w:tcW w:w="873" w:type="pct"/>
            <w:hideMark/>
          </w:tcPr>
          <w:p w14:paraId="49438F99" w14:textId="71480637" w:rsidR="00BD5588" w:rsidRPr="00AA3493" w:rsidRDefault="00656B5C" w:rsidP="00EE1D64">
            <w:pPr>
              <w:widowControl w:val="0"/>
              <w:contextualSpacing/>
            </w:pPr>
            <w:r w:rsidRPr="00AA3493">
              <w:t>Pašreizējā situācija un problēmas, kuru risināšanai tiesību akta projekts izstrādāts, tiesiskā regulējuma mērķis un būtība</w:t>
            </w:r>
          </w:p>
        </w:tc>
        <w:tc>
          <w:tcPr>
            <w:tcW w:w="3983" w:type="pct"/>
            <w:hideMark/>
          </w:tcPr>
          <w:p w14:paraId="23FF78D7" w14:textId="0967A780" w:rsidR="001D4E60" w:rsidRPr="00AA3493" w:rsidRDefault="006437BB" w:rsidP="00EE1D64">
            <w:pPr>
              <w:shd w:val="clear" w:color="auto" w:fill="FFFFFF"/>
              <w:ind w:firstLine="392"/>
              <w:contextualSpacing/>
              <w:jc w:val="both"/>
            </w:pPr>
            <w:r w:rsidRPr="00AA3493">
              <w:t>2019.gada 15.maijā Ekonomikas ministrija</w:t>
            </w:r>
            <w:r w:rsidR="007912D4" w:rsidRPr="00AA3493">
              <w:t xml:space="preserve"> ar SIA “Serteks” (turpmāk</w:t>
            </w:r>
            <w:r w:rsidR="00AF76BF">
              <w:t xml:space="preserve"> </w:t>
            </w:r>
            <w:r w:rsidR="007912D4" w:rsidRPr="00AA3493">
              <w:t xml:space="preserve">– Serteks) </w:t>
            </w:r>
            <w:r w:rsidRPr="00AA3493">
              <w:t>noslēdza deleģēšanas līgumu</w:t>
            </w:r>
            <w:r w:rsidR="007912D4" w:rsidRPr="00AA3493">
              <w:t xml:space="preserve"> Nr. 5.2-17.2/2019/10</w:t>
            </w:r>
            <w:r w:rsidR="001D4E60" w:rsidRPr="00AA3493">
              <w:rPr>
                <w:rStyle w:val="FootnoteReference"/>
              </w:rPr>
              <w:footnoteReference w:id="1"/>
            </w:r>
            <w:r w:rsidRPr="00AA3493">
              <w:t xml:space="preserve"> par būvspeciālistu kompetences novērtēšanu un patstāvīgās prakses uzraudzību</w:t>
            </w:r>
            <w:r w:rsidR="007912D4" w:rsidRPr="00AA3493">
              <w:t xml:space="preserve"> (turpmāk – deleģēšanas līgums)</w:t>
            </w:r>
            <w:r w:rsidRPr="00AA3493">
              <w:t xml:space="preserve"> arhitektūras jomā un</w:t>
            </w:r>
            <w:r w:rsidR="001D4E60" w:rsidRPr="00AA3493">
              <w:t xml:space="preserve"> būvniecības jomā</w:t>
            </w:r>
            <w:r w:rsidR="00AE70AB" w:rsidRPr="00AA3493">
              <w:t xml:space="preserve"> – </w:t>
            </w:r>
            <w:r w:rsidRPr="00AA3493">
              <w:t>vairākās projektēšanas, būvdarbu vadīšanas un būvuzraudzības specialitātēs</w:t>
            </w:r>
            <w:r w:rsidR="001D4E60" w:rsidRPr="00AA3493">
              <w:t xml:space="preserve"> saskaņā ar Ministru kabineta 2018.</w:t>
            </w:r>
            <w:r w:rsidR="00A24AFB" w:rsidRPr="00AA3493">
              <w:t> </w:t>
            </w:r>
            <w:r w:rsidR="001D4E60" w:rsidRPr="00AA3493">
              <w:t>gada 20.</w:t>
            </w:r>
            <w:r w:rsidR="00A24AFB" w:rsidRPr="00AA3493">
              <w:t> </w:t>
            </w:r>
            <w:r w:rsidR="001D4E60" w:rsidRPr="00AA3493">
              <w:t>marta noteikum</w:t>
            </w:r>
            <w:r w:rsidR="00AF76BF">
              <w:t>iem</w:t>
            </w:r>
            <w:r w:rsidR="001D4E60" w:rsidRPr="00AA3493">
              <w:t xml:space="preserve"> Nr.</w:t>
            </w:r>
            <w:r w:rsidR="00A24AFB" w:rsidRPr="00AA3493">
              <w:t> </w:t>
            </w:r>
            <w:r w:rsidR="001D4E60" w:rsidRPr="00AA3493">
              <w:t>169 “Būvspeciālistu kompetences novērtēšanas un patstāvīgās prakses uzraudzības noteikumi” (turpmāk – Noteikumi Nr.169)</w:t>
            </w:r>
            <w:r w:rsidR="00362F16">
              <w:t xml:space="preserve"> un </w:t>
            </w:r>
            <w:r w:rsidR="00362F16" w:rsidRPr="00E75269">
              <w:t>Ekonomikas ministrijas 2018. gada 23.</w:t>
            </w:r>
            <w:r w:rsidR="00362F16">
              <w:t xml:space="preserve"> </w:t>
            </w:r>
            <w:r w:rsidR="00362F16" w:rsidRPr="00E75269">
              <w:t xml:space="preserve">augusta rīkojumu Nr. 2.17-1/2018/52 </w:t>
            </w:r>
            <w:r w:rsidR="00362F16" w:rsidRPr="000A7D26">
              <w:rPr>
                <w:i/>
              </w:rPr>
              <w:t>“Par vadlīniju un prasību apstiprināšanu būvspeciālistu kompetences pārbaudes iestādēm un to publiskošanu”</w:t>
            </w:r>
            <w:r w:rsidR="00362F16" w:rsidRPr="00E75269">
              <w:t xml:space="preserve"> (turpmāk – </w:t>
            </w:r>
            <w:r w:rsidR="00362F16" w:rsidRPr="00482527">
              <w:rPr>
                <w:iCs/>
              </w:rPr>
              <w:t>Vadlīnijas</w:t>
            </w:r>
            <w:r w:rsidR="00362F16" w:rsidRPr="00E75269">
              <w:t>)</w:t>
            </w:r>
            <w:r w:rsidRPr="00AA3493">
              <w:t>.</w:t>
            </w:r>
            <w:r w:rsidR="001D4E60" w:rsidRPr="00AA3493">
              <w:t xml:space="preserve"> </w:t>
            </w:r>
          </w:p>
          <w:p w14:paraId="3574FCE5" w14:textId="308ECF69" w:rsidR="001D4E60" w:rsidRPr="00AA3493" w:rsidRDefault="001D4E60" w:rsidP="00EE1D64">
            <w:pPr>
              <w:shd w:val="clear" w:color="auto" w:fill="FFFFFF"/>
              <w:ind w:firstLine="392"/>
              <w:contextualSpacing/>
              <w:jc w:val="both"/>
            </w:pPr>
            <w:r w:rsidRPr="00AA3493">
              <w:t>Deleģēšanas līguma 1.7. apakšpunktā ir noteikts, ka Serteks, pildot valsts pārvaldes uzdevumu, ir tiesības saņemt samaksu par būvspeciālistu kompetences novērtēšanu un patstāvīgās prakses uzraudzību Deleģēšanas līgumā noteiktajā kārtībā, kā arī Noteikumos Nr.</w:t>
            </w:r>
            <w:r w:rsidR="002C71B0" w:rsidRPr="00AA3493">
              <w:t> </w:t>
            </w:r>
            <w:r w:rsidRPr="00AA3493">
              <w:t>169 un atbilstošajos Ministru kabineta noteikumos par valsts pārvaldes uzdevuma izpildes ietvaros sniegto maksas pakalpojumu cenrādī noteiktajā apmērā.</w:t>
            </w:r>
          </w:p>
          <w:p w14:paraId="042115B1" w14:textId="29CFA697" w:rsidR="001D4E60" w:rsidRPr="00AA3493" w:rsidRDefault="001D4E60" w:rsidP="00EE1D64">
            <w:pPr>
              <w:shd w:val="clear" w:color="auto" w:fill="FFFFFF"/>
              <w:ind w:firstLine="392"/>
              <w:contextualSpacing/>
              <w:jc w:val="both"/>
            </w:pPr>
            <w:r w:rsidRPr="00AA3493">
              <w:t>Deleģēšanas līguma 1.8.</w:t>
            </w:r>
            <w:r w:rsidR="00A3501E" w:rsidRPr="00AA3493">
              <w:t> </w:t>
            </w:r>
            <w:r w:rsidRPr="00AA3493">
              <w:t>apakšpunktā ir noteikts, ka Serteks, projektēšanas, būvdarbu vadīšanas un būvdarbu būvuzraudzības specialitāšu būvspeciālistu, patstāvīgās prakses uzraudzību un kompetences novērtēšanu veic saskaņā ar Ministru kabineta 2019.</w:t>
            </w:r>
            <w:r w:rsidR="00A64807" w:rsidRPr="00AA3493">
              <w:t> </w:t>
            </w:r>
            <w:r w:rsidRPr="00AA3493">
              <w:t>gada 5.</w:t>
            </w:r>
            <w:r w:rsidR="00A64807" w:rsidRPr="00AA3493">
              <w:t> </w:t>
            </w:r>
            <w:r w:rsidRPr="00AA3493">
              <w:t>marta noteikumiem Nr.</w:t>
            </w:r>
            <w:r w:rsidR="00A64807" w:rsidRPr="00AA3493">
              <w:t> </w:t>
            </w:r>
            <w:r w:rsidRPr="00AA3493">
              <w:t>100 “Būvspeciālistu uzraudzības un kompetences novērtēšanas cenrādis”.</w:t>
            </w:r>
          </w:p>
          <w:p w14:paraId="17446893" w14:textId="3F216B7F" w:rsidR="00A93CF9" w:rsidRPr="00AA3493" w:rsidRDefault="00A93CF9" w:rsidP="00EE1D64">
            <w:pPr>
              <w:shd w:val="clear" w:color="auto" w:fill="FFFFFF"/>
              <w:ind w:firstLine="392"/>
              <w:contextualSpacing/>
              <w:jc w:val="both"/>
            </w:pPr>
            <w:r w:rsidRPr="00AA3493">
              <w:t>Deleģēšanas līguma 1.9.</w:t>
            </w:r>
            <w:r w:rsidR="00A3501E" w:rsidRPr="00AA3493">
              <w:t> </w:t>
            </w:r>
            <w:r w:rsidRPr="00AA3493">
              <w:t>apakšpunktā ir noteikts, ka Serteks arhitektūras jomas būvspeciālistu patstāvīgās prakses uzraudzību uzsāk ar valsts pārvaldes uzdevumu ietvar</w:t>
            </w:r>
            <w:bookmarkStart w:id="0" w:name="_GoBack"/>
            <w:bookmarkEnd w:id="0"/>
            <w:r w:rsidRPr="00AA3493">
              <w:t>os sniegto maksas pakalpojumu cenrāža spēkā stāšanos</w:t>
            </w:r>
            <w:r w:rsidR="00AE70AB" w:rsidRPr="00AA3493">
              <w:t>.</w:t>
            </w:r>
            <w:r w:rsidR="008C2C97" w:rsidRPr="00AA3493">
              <w:t xml:space="preserve"> </w:t>
            </w:r>
            <w:r w:rsidR="00AE70AB" w:rsidRPr="00AA3493">
              <w:t>Ņ</w:t>
            </w:r>
            <w:r w:rsidR="008C2C97" w:rsidRPr="00AA3493">
              <w:t>emot vērā, ka Serteks šobrīd nav noteikts arhitektu uzraudzības maksas pakalpojumu cenrādis, Serteks šobrīd nevar veikt arhitektu patstāvīgās prakses uzraudzību.</w:t>
            </w:r>
            <w:r w:rsidR="00096052">
              <w:t xml:space="preserve"> Uz 2019.gada </w:t>
            </w:r>
            <w:r w:rsidR="00BD26F1" w:rsidRPr="00BD26F1">
              <w:t>14</w:t>
            </w:r>
            <w:r w:rsidR="00096052" w:rsidRPr="00BD26F1">
              <w:t xml:space="preserve">. novembri </w:t>
            </w:r>
            <w:r w:rsidR="00096052">
              <w:t>Serteks ir sertificējis vienu arhitektu.</w:t>
            </w:r>
          </w:p>
          <w:p w14:paraId="2E4FE19C" w14:textId="2A519EA6" w:rsidR="00253C57" w:rsidRDefault="00A93CF9" w:rsidP="00EE1D64">
            <w:pPr>
              <w:shd w:val="clear" w:color="auto" w:fill="FFFFFF"/>
              <w:ind w:firstLine="392"/>
              <w:contextualSpacing/>
              <w:jc w:val="both"/>
            </w:pPr>
            <w:r w:rsidRPr="00AA3493">
              <w:t>Arhitektūras jomas būvspeciālistu kompetences novērtēšanu un patstāvīgās prakses uzraudzību šobrīd veic</w:t>
            </w:r>
            <w:r w:rsidR="0068243E">
              <w:t xml:space="preserve"> arhitektu kompetences pārbaudes iestādes (turpmāk – AKPI)</w:t>
            </w:r>
            <w:r w:rsidRPr="00AA3493">
              <w:t xml:space="preserve"> biedrība “Latvijas arhitektu savienība” (turpmāk – LAS) un Serteks. Noteikumu Nr.</w:t>
            </w:r>
            <w:r w:rsidR="0085528D" w:rsidRPr="00AA3493">
              <w:t> </w:t>
            </w:r>
            <w:r w:rsidRPr="00AA3493">
              <w:t>169 10.punktā ir noteikts</w:t>
            </w:r>
            <w:r w:rsidR="0085528D" w:rsidRPr="00AA3493">
              <w:t xml:space="preserve"> – </w:t>
            </w:r>
            <w:r w:rsidRPr="00AA3493">
              <w:t>ja</w:t>
            </w:r>
            <w:r w:rsidR="0085528D" w:rsidRPr="00AA3493">
              <w:t xml:space="preserve"> </w:t>
            </w:r>
            <w:r w:rsidRPr="00AA3493">
              <w:t xml:space="preserve">būvspeciālistu kompetences novērtēšana un patstāvīgās prakses uzraudzība vienā darbības sfērā deleģēta vairākām kompetences pārbaudes iestādēm, tās izstrādā vienotus </w:t>
            </w:r>
            <w:r w:rsidRPr="00AA3493">
              <w:lastRenderedPageBreak/>
              <w:t>nosacījumus attiecībā uz būvspeciālistu</w:t>
            </w:r>
            <w:r w:rsidR="00096052">
              <w:t xml:space="preserve"> sertifikāciju,</w:t>
            </w:r>
            <w:r w:rsidRPr="00AA3493">
              <w:t xml:space="preserve"> klasifikāciju, patstāvīgās prakses uzraudzību un citiem procesiem. Ņemot vērā minēto Serteks arhitektu</w:t>
            </w:r>
            <w:r w:rsidR="00096052">
              <w:t xml:space="preserve"> sertificēšanas un</w:t>
            </w:r>
            <w:r w:rsidRPr="00AA3493">
              <w:t xml:space="preserve"> uzraudzības procedūrai ir jābūt </w:t>
            </w:r>
            <w:r w:rsidR="00BD26F1">
              <w:t>līdzvērtīgai ar</w:t>
            </w:r>
            <w:r w:rsidRPr="00AA3493">
              <w:t xml:space="preserve"> LAS arhitektu </w:t>
            </w:r>
            <w:r w:rsidR="00096052">
              <w:t>sertificēšanas</w:t>
            </w:r>
            <w:r w:rsidR="00BD26F1">
              <w:t xml:space="preserve"> un</w:t>
            </w:r>
            <w:r w:rsidR="00096052">
              <w:t xml:space="preserve"> </w:t>
            </w:r>
            <w:r w:rsidRPr="00AA3493">
              <w:t>uzraudzības procedūr</w:t>
            </w:r>
            <w:r w:rsidR="00BD26F1">
              <w:t>u</w:t>
            </w:r>
            <w:r w:rsidR="00096052">
              <w:t>.</w:t>
            </w:r>
            <w:r w:rsidRPr="00AA3493">
              <w:t xml:space="preserve"> </w:t>
            </w:r>
          </w:p>
          <w:p w14:paraId="0975C249" w14:textId="77777777" w:rsidR="00253C57" w:rsidRDefault="00253C57" w:rsidP="00EE1D64">
            <w:pPr>
              <w:shd w:val="clear" w:color="auto" w:fill="FFFFFF"/>
              <w:ind w:firstLine="392"/>
              <w:contextualSpacing/>
              <w:jc w:val="both"/>
            </w:pPr>
          </w:p>
          <w:p w14:paraId="3B938D88" w14:textId="1B5981F5" w:rsidR="00A93CF9" w:rsidRDefault="00253C57" w:rsidP="00EE1D64">
            <w:pPr>
              <w:shd w:val="clear" w:color="auto" w:fill="FFFFFF"/>
              <w:ind w:firstLine="392"/>
              <w:contextualSpacing/>
              <w:jc w:val="both"/>
            </w:pPr>
            <w:r>
              <w:t>Sertificēšanas maksas pakalpojum</w:t>
            </w:r>
            <w:r w:rsidR="00BD26F1">
              <w:t>u izmaksas</w:t>
            </w:r>
            <w:r>
              <w:t xml:space="preserve"> sastāv no tiešajām izmaksām, kurās ir iekļauts ekspertu darbs veicot arhitektu sertificēšanu un uzraudzību un netiešajām izmaksām, kurās ir iekļauta sertificēšanas centra administrēšana un funkcionalitātes nodrošināšana. Ņemot vērā, ka LAS un Serteks ir jābūt </w:t>
            </w:r>
            <w:r w:rsidR="00BD26F1">
              <w:t>līdzvērtīgiem</w:t>
            </w:r>
            <w:r>
              <w:t xml:space="preserve"> sertificēšanas procesiem,</w:t>
            </w:r>
            <w:r w:rsidR="00A93CF9" w:rsidRPr="00096052">
              <w:t xml:space="preserve"> abām šīm </w:t>
            </w:r>
            <w:r>
              <w:t>AKPI</w:t>
            </w:r>
            <w:r w:rsidR="00A93CF9" w:rsidRPr="00096052">
              <w:t xml:space="preserve"> ir jābūt </w:t>
            </w:r>
            <w:r w:rsidR="00BD26F1">
              <w:t>ļoti līdzīgām, vai vienādām</w:t>
            </w:r>
            <w:r w:rsidR="00096052">
              <w:t xml:space="preserve"> tiešajām izmaksām (ekspertu atlīdzībai) par sertificēšanas maksas pakalpojumiem</w:t>
            </w:r>
            <w:r w:rsidR="00546803" w:rsidRPr="00096052">
              <w:t>.</w:t>
            </w:r>
            <w:r w:rsidR="00096052">
              <w:t xml:space="preserve"> LAS un Serteks var būt atšķirīgas sertificēšanas maksas pakalpojumu netiešās izmaksas, bet ņemot vērā, ka Serteks ir sertificējis tikai vienu arhitektu, šobrīd nav iespējams</w:t>
            </w:r>
            <w:r>
              <w:t xml:space="preserve"> objektīvi</w:t>
            </w:r>
            <w:r w:rsidR="00096052">
              <w:t xml:space="preserve"> aprēķināt</w:t>
            </w:r>
            <w:r>
              <w:t xml:space="preserve"> Serteks sertificēšanas maksas pakalpojumu</w:t>
            </w:r>
            <w:r w:rsidR="00096052">
              <w:t xml:space="preserve"> netiešās izma</w:t>
            </w:r>
            <w:r>
              <w:t xml:space="preserve">ksas uz vienu sertificēto arhitektu. </w:t>
            </w:r>
          </w:p>
          <w:p w14:paraId="67EAF7CC" w14:textId="42F1A917" w:rsidR="0068243E" w:rsidRDefault="0068243E" w:rsidP="0068243E">
            <w:pPr>
              <w:shd w:val="clear" w:color="auto" w:fill="FFFFFF"/>
              <w:ind w:firstLine="392"/>
              <w:contextualSpacing/>
              <w:jc w:val="both"/>
            </w:pPr>
            <w:r>
              <w:t xml:space="preserve">Ņemot vērā, ka visām AKPI ir izvirzītas vienādas prasības būvspeciālistu uzraudzībai un kompetences novērtēšanai, kā arī AKPI veiktie un Ekonomikas ministrijai iesniegtie aprēķini apliecina, ka uzraudzības izmaksu lielāko daļu (aptuveni 70%) sastāda tieši tiešās izmaksas, kas visām AKPI uz vienu būvspeciālistu ir </w:t>
            </w:r>
            <w:r w:rsidR="00BD26F1">
              <w:t>ļoti līdzīgas vai vienādas</w:t>
            </w:r>
            <w:r>
              <w:t>, Ekonomikas ministrija uzskata, ka efektīvāk ir izstrādāt vienotu arhitektūras jomas būvspeciālistu uzraudzības un kompetences novērtēšanas maksas pakalpojumu cenrādi, kas attiektos uz visām AKPI.</w:t>
            </w:r>
          </w:p>
          <w:p w14:paraId="4BE26B3A" w14:textId="3CB7E24E" w:rsidR="00A372A6" w:rsidRDefault="0068243E" w:rsidP="00672815">
            <w:pPr>
              <w:shd w:val="clear" w:color="auto" w:fill="FFFFFF"/>
              <w:ind w:firstLine="392"/>
              <w:contextualSpacing/>
              <w:jc w:val="both"/>
            </w:pPr>
            <w:r>
              <w:t>Būvniecības likums</w:t>
            </w:r>
            <w:r w:rsidR="00A372A6">
              <w:t xml:space="preserve"> un </w:t>
            </w:r>
            <w:r>
              <w:t>Noteikumi Nr.169 neparedz tiesības kādai konkrētai kompetences pārbaudes iestādei būt vienīgajai, kas veic arhitektu uzraudzību un kompetences novērtēšanu, līdz ar to, jebkura privāto tiesību juridiska persona, kas ir izpildījusi Noteikumos Nr.169 un Vadlīnijās minētās prasības attiecībā uz kompetences pārbaudes iestādēm var pretendēt uz deleģēšanas līguma noslēgšanu un tiesībām veikt arhitektu sākotnējo kompetences novērtēšanu sertifikāta saņemšanai un patstāvīgās prakses uzraudzīb</w:t>
            </w:r>
            <w:r w:rsidR="00BD26F1">
              <w:t>ai</w:t>
            </w:r>
            <w:r>
              <w:t xml:space="preserve">. Ņemot vērā iepriekš minēto, izstrādājot vienotu uzraudzības un kompetences novērtēšanas cenrādi visām jaunajām AKPI būtu jau iepriekš noteikti un zināmi piemērojamie </w:t>
            </w:r>
            <w:r w:rsidR="00BD26F1">
              <w:t>sertificēšanas maksas pakalpojumu</w:t>
            </w:r>
            <w:r>
              <w:t xml:space="preserve"> izcenojumi, līdz ar to netiktu veicināta neproduktīva savstarpējā konkurence, optimizējot </w:t>
            </w:r>
            <w:r w:rsidR="00BD26F1">
              <w:t>sertificēšanas pakalpojumu</w:t>
            </w:r>
            <w:r w:rsidR="00482527">
              <w:t xml:space="preserve"> kvalitāti, lai samazinātu šo pakalpojumu</w:t>
            </w:r>
            <w:r w:rsidRPr="00A372A6">
              <w:t xml:space="preserve"> pašizmaksu. </w:t>
            </w:r>
          </w:p>
          <w:p w14:paraId="61A7A3DA" w14:textId="4AFFBFE3" w:rsidR="0068243E" w:rsidRDefault="0068243E" w:rsidP="00672815">
            <w:pPr>
              <w:shd w:val="clear" w:color="auto" w:fill="FFFFFF"/>
              <w:ind w:firstLine="392"/>
              <w:contextualSpacing/>
              <w:jc w:val="both"/>
            </w:pPr>
            <w:r w:rsidRPr="00A372A6">
              <w:t>Norādām, ka gandrīz visu ar būvniecību saistīto procesu pamatā ir tieši būvspeciālisti</w:t>
            </w:r>
            <w:r w:rsidR="00A372A6" w:rsidRPr="00A372A6">
              <w:t xml:space="preserve"> (tajā skaitā</w:t>
            </w:r>
            <w:r w:rsidR="00BD26F1">
              <w:t xml:space="preserve"> arī</w:t>
            </w:r>
            <w:r w:rsidR="00A372A6" w:rsidRPr="00A372A6">
              <w:t xml:space="preserve"> arhitekti)</w:t>
            </w:r>
            <w:r w:rsidRPr="00A372A6">
              <w:t xml:space="preserve"> un viņu kompetence ir </w:t>
            </w:r>
            <w:r w:rsidR="00482527">
              <w:t>kritiska</w:t>
            </w:r>
            <w:r w:rsidRPr="00A372A6">
              <w:t xml:space="preserve"> drošai un kvalitatīvai būvniecības procesu norisei</w:t>
            </w:r>
            <w:r w:rsidR="00A372A6" w:rsidRPr="00A372A6">
              <w:t>. Līdz ar to</w:t>
            </w:r>
            <w:r w:rsidR="00672815" w:rsidRPr="00A372A6">
              <w:t xml:space="preserve"> nekvalitatīvu sertificēšanas pakalpojumu sniegšanas rezultāta var rasties situācija, kad patstāvīgas prakses tiesības arhitektūras jomā iegūst personas, kurām nav </w:t>
            </w:r>
            <w:r w:rsidR="00A372A6" w:rsidRPr="00A372A6">
              <w:t>pietiekama</w:t>
            </w:r>
            <w:r w:rsidR="00672815" w:rsidRPr="00A372A6">
              <w:t xml:space="preserve"> kompetence </w:t>
            </w:r>
            <w:r w:rsidR="00A372A6" w:rsidRPr="00A372A6">
              <w:t>lai sniegtu šādus pakalpojumus</w:t>
            </w:r>
            <w:r w:rsidR="00672815" w:rsidRPr="00A372A6">
              <w:t>.</w:t>
            </w:r>
          </w:p>
          <w:p w14:paraId="541D6E99" w14:textId="0C823099" w:rsidR="00DF5B30" w:rsidRPr="00DF5B30" w:rsidRDefault="00546803" w:rsidP="00DF5B30">
            <w:pPr>
              <w:shd w:val="clear" w:color="auto" w:fill="FFFFFF"/>
              <w:ind w:firstLine="392"/>
              <w:contextualSpacing/>
              <w:jc w:val="both"/>
            </w:pPr>
            <w:r w:rsidRPr="00DF5B30">
              <w:t>Ekonomikas ministrija, izstrādājot Ministru kabineta 2019. gada 7. maija noteikumos Nr.189  Biedrības "Latvijas Arhitektu savienība" maksas pakalpojumu cenrādis” (turpmāk – Noteikumi Nr.189) ir veikusi aprēķinus par arhitektu uzraudzības pakalpojuma izmaksām</w:t>
            </w:r>
            <w:r w:rsidR="00A372A6" w:rsidRPr="00DF5B30">
              <w:t xml:space="preserve"> un arhitektu maksas pakalpojumu cenas ir atbilstošas aprēķinātajām izmaksām</w:t>
            </w:r>
            <w:r w:rsidR="00E95784" w:rsidRPr="00DF5B30">
              <w:t>.</w:t>
            </w:r>
            <w:r w:rsidR="00DF5B30" w:rsidRPr="00DF5B30">
              <w:t xml:space="preserve"> Ņemot vērā visu iepriekš minēto, šo cenrādi</w:t>
            </w:r>
            <w:r w:rsidR="00BD26F1">
              <w:t xml:space="preserve"> arhitektu kompetences novērtēšanai un</w:t>
            </w:r>
            <w:r w:rsidR="00BD26F1" w:rsidRPr="00DF5B30">
              <w:t xml:space="preserve"> uzraudzībai</w:t>
            </w:r>
            <w:r w:rsidR="00DF5B30" w:rsidRPr="00DF5B30">
              <w:t xml:space="preserve"> būtu jāpiemēro arī Serteks</w:t>
            </w:r>
            <w:r w:rsidR="00BD26F1">
              <w:t xml:space="preserve"> un citām arhitektu kompetences pārbaudes iestādēm, ja tādas tiks izveidotas</w:t>
            </w:r>
            <w:r w:rsidR="001E3166">
              <w:t>.</w:t>
            </w:r>
            <w:r w:rsidR="00DF5B30" w:rsidRPr="00DF5B30">
              <w:t xml:space="preserve"> </w:t>
            </w:r>
            <w:r w:rsidR="001E3166">
              <w:t>L</w:t>
            </w:r>
            <w:r w:rsidR="00DF5B30" w:rsidRPr="00DF5B30">
              <w:t xml:space="preserve">īdz ar to Noteikumos Nr.189 </w:t>
            </w:r>
            <w:r w:rsidR="00482527">
              <w:t>tiek</w:t>
            </w:r>
            <w:r w:rsidR="00DF5B30" w:rsidRPr="00DF5B30">
              <w:t xml:space="preserve"> noteikt</w:t>
            </w:r>
            <w:r w:rsidR="00482527">
              <w:t>s</w:t>
            </w:r>
            <w:r w:rsidR="00DF5B30" w:rsidRPr="00DF5B30">
              <w:t>, ka šis cenrādis attiecās uz visām AKPI, nevis tikai LAS.</w:t>
            </w:r>
          </w:p>
          <w:p w14:paraId="48354B67" w14:textId="5502CE5C" w:rsidR="007D2C25" w:rsidRDefault="007D2C25" w:rsidP="00EE1D64">
            <w:pPr>
              <w:shd w:val="clear" w:color="auto" w:fill="FFFFFF"/>
              <w:ind w:firstLine="392"/>
              <w:contextualSpacing/>
              <w:jc w:val="both"/>
            </w:pPr>
          </w:p>
          <w:p w14:paraId="67B385D9" w14:textId="6D22BB48" w:rsidR="00482527" w:rsidRDefault="00482527" w:rsidP="00EE1D64">
            <w:pPr>
              <w:shd w:val="clear" w:color="auto" w:fill="FFFFFF"/>
              <w:ind w:firstLine="392"/>
              <w:contextualSpacing/>
              <w:jc w:val="both"/>
            </w:pPr>
          </w:p>
          <w:p w14:paraId="22AE4235" w14:textId="0B7CBE35" w:rsidR="00096052" w:rsidRPr="00E95784" w:rsidRDefault="00E95784" w:rsidP="00E95784">
            <w:pPr>
              <w:shd w:val="clear" w:color="auto" w:fill="FFFFFF"/>
              <w:contextualSpacing/>
              <w:jc w:val="both"/>
              <w:rPr>
                <w:b/>
                <w:bCs/>
              </w:rPr>
            </w:pPr>
            <w:r w:rsidRPr="00E95784">
              <w:rPr>
                <w:b/>
                <w:bCs/>
              </w:rPr>
              <w:lastRenderedPageBreak/>
              <w:t>AKPI sertificēšanas maksas pakalpojumu detalizēti aprēķini</w:t>
            </w:r>
            <w:r w:rsidR="00482527">
              <w:rPr>
                <w:b/>
                <w:bCs/>
              </w:rPr>
              <w:t>:</w:t>
            </w:r>
            <w:r w:rsidRPr="00E95784">
              <w:rPr>
                <w:b/>
                <w:bCs/>
              </w:rPr>
              <w:t xml:space="preserve"> </w:t>
            </w:r>
          </w:p>
          <w:p w14:paraId="12933AB5" w14:textId="353FDBA4" w:rsidR="00253C57" w:rsidRDefault="00253C57" w:rsidP="00EE1D64">
            <w:pPr>
              <w:shd w:val="clear" w:color="auto" w:fill="FFFFFF"/>
              <w:ind w:firstLine="392"/>
              <w:contextualSpacing/>
              <w:jc w:val="both"/>
            </w:pPr>
          </w:p>
          <w:p w14:paraId="64F751FB" w14:textId="5C692530" w:rsidR="00E95784" w:rsidRDefault="00E95784" w:rsidP="00E95784">
            <w:pPr>
              <w:shd w:val="clear" w:color="auto" w:fill="FFFFFF"/>
              <w:ind w:firstLine="392"/>
              <w:contextualSpacing/>
              <w:jc w:val="both"/>
            </w:pPr>
            <w:r>
              <w:t>Detalizēti AKPI sertificēšanas maksas pakalpojumu aprēķini ir veikti  Noteikumu Nr.189 anotācijā.</w:t>
            </w:r>
          </w:p>
          <w:p w14:paraId="6DD9EAA8" w14:textId="5C0C2531" w:rsidR="00253C57" w:rsidRDefault="00253C57" w:rsidP="00EE1D64">
            <w:pPr>
              <w:shd w:val="clear" w:color="auto" w:fill="FFFFFF"/>
              <w:ind w:firstLine="392"/>
              <w:contextualSpacing/>
              <w:jc w:val="both"/>
            </w:pPr>
          </w:p>
          <w:p w14:paraId="0353DF36" w14:textId="59DCFA72" w:rsidR="00096052" w:rsidRPr="00F57DC3" w:rsidRDefault="00E95784" w:rsidP="00096052">
            <w:pPr>
              <w:shd w:val="clear" w:color="auto" w:fill="FFFFFF"/>
              <w:ind w:firstLine="392"/>
              <w:jc w:val="both"/>
              <w:rPr>
                <w:b/>
              </w:rPr>
            </w:pPr>
            <w:r w:rsidRPr="00B56FBF">
              <w:rPr>
                <w:b/>
                <w:iCs/>
              </w:rPr>
              <w:t>AKPI</w:t>
            </w:r>
            <w:r w:rsidR="00096052" w:rsidRPr="00F57DC3">
              <w:rPr>
                <w:b/>
              </w:rPr>
              <w:t xml:space="preserve"> maksas pakalpojumos ietilpst:</w:t>
            </w:r>
          </w:p>
          <w:p w14:paraId="43A6C507" w14:textId="77777777" w:rsidR="00096052" w:rsidRPr="00B74E1D" w:rsidRDefault="00096052" w:rsidP="00096052">
            <w:pPr>
              <w:pStyle w:val="ListParagraph"/>
              <w:numPr>
                <w:ilvl w:val="0"/>
                <w:numId w:val="19"/>
              </w:numPr>
              <w:shd w:val="clear" w:color="auto" w:fill="FFFFFF"/>
              <w:jc w:val="both"/>
            </w:pPr>
            <w:r w:rsidRPr="00B74E1D">
              <w:t xml:space="preserve">sākotnējā kompetences novērtēšana </w:t>
            </w:r>
            <w:r>
              <w:t>arhitekta</w:t>
            </w:r>
            <w:r w:rsidRPr="00B74E1D">
              <w:t xml:space="preserve"> sertifikāta saņemšanai </w:t>
            </w:r>
            <w:r w:rsidRPr="00B74E1D">
              <w:rPr>
                <w:b/>
              </w:rPr>
              <w:t xml:space="preserve">150 </w:t>
            </w:r>
            <w:r w:rsidRPr="00941AA5">
              <w:rPr>
                <w:b/>
                <w:i/>
              </w:rPr>
              <w:t>euro</w:t>
            </w:r>
            <w:r w:rsidRPr="00B74E1D">
              <w:t xml:space="preserve"> apmērā</w:t>
            </w:r>
            <w:r>
              <w:t xml:space="preserve">, kas noteikta </w:t>
            </w:r>
            <w:r w:rsidRPr="00B74E1D">
              <w:rPr>
                <w:i/>
              </w:rPr>
              <w:t>Noteikumu Nr.169</w:t>
            </w:r>
            <w:r w:rsidRPr="00B74E1D">
              <w:t xml:space="preserve"> 65.1.apakšpunkt</w:t>
            </w:r>
            <w:r>
              <w:t>ā</w:t>
            </w:r>
            <w:r w:rsidRPr="00B74E1D">
              <w:t>;</w:t>
            </w:r>
          </w:p>
          <w:p w14:paraId="6FE1700A" w14:textId="7F4CBA73" w:rsidR="00096052" w:rsidRPr="00B74E1D" w:rsidRDefault="00096052" w:rsidP="00096052">
            <w:pPr>
              <w:pStyle w:val="ListParagraph"/>
              <w:numPr>
                <w:ilvl w:val="0"/>
                <w:numId w:val="19"/>
              </w:numPr>
              <w:shd w:val="clear" w:color="auto" w:fill="FFFFFF"/>
              <w:jc w:val="both"/>
            </w:pPr>
            <w:r>
              <w:t>arhitektu</w:t>
            </w:r>
            <w:r w:rsidRPr="00B74E1D">
              <w:t xml:space="preserve"> </w:t>
            </w:r>
            <w:r w:rsidRPr="00661FAF">
              <w:rPr>
                <w:i/>
              </w:rPr>
              <w:t>uzraudzība</w:t>
            </w:r>
            <w:r w:rsidRPr="00B74E1D">
              <w:t xml:space="preserve"> saskaņā ar </w:t>
            </w:r>
            <w:r w:rsidRPr="00B74E1D">
              <w:rPr>
                <w:i/>
              </w:rPr>
              <w:t>Noteikumu Nr.169</w:t>
            </w:r>
            <w:r w:rsidRPr="00B74E1D">
              <w:t xml:space="preserve"> 65.2.1.apakšpunktu </w:t>
            </w:r>
            <w:r>
              <w:t xml:space="preserve">(pakalpojuma maksa </w:t>
            </w:r>
            <w:r w:rsidRPr="00B74E1D">
              <w:t xml:space="preserve">noteikta </w:t>
            </w:r>
            <w:r w:rsidR="00482527">
              <w:t>Noteikumos Nr.189</w:t>
            </w:r>
            <w:r w:rsidRPr="00B74E1D">
              <w:t>);</w:t>
            </w:r>
          </w:p>
          <w:p w14:paraId="36941FF4" w14:textId="77777777" w:rsidR="00096052" w:rsidRDefault="00096052" w:rsidP="00096052">
            <w:pPr>
              <w:pStyle w:val="ListParagraph"/>
              <w:numPr>
                <w:ilvl w:val="0"/>
                <w:numId w:val="19"/>
              </w:numPr>
              <w:shd w:val="clear" w:color="auto" w:fill="FFFFFF"/>
              <w:jc w:val="both"/>
            </w:pPr>
            <w:r w:rsidRPr="00B74E1D">
              <w:t>gada maks</w:t>
            </w:r>
            <w:r>
              <w:t>a</w:t>
            </w:r>
            <w:r w:rsidRPr="00B74E1D">
              <w:t xml:space="preserve"> </w:t>
            </w:r>
            <w:r w:rsidRPr="00B74E1D">
              <w:rPr>
                <w:b/>
              </w:rPr>
              <w:t xml:space="preserve">30 </w:t>
            </w:r>
            <w:r w:rsidRPr="00941AA5">
              <w:rPr>
                <w:b/>
                <w:i/>
              </w:rPr>
              <w:t>euro</w:t>
            </w:r>
            <w:r w:rsidRPr="00B74E1D">
              <w:t xml:space="preserve"> apmērā par Latvijas standartu tiešsaistes lasītavas abonēšanu</w:t>
            </w:r>
            <w:r>
              <w:t xml:space="preserve">, kas noteikta </w:t>
            </w:r>
            <w:r w:rsidRPr="00B74E1D">
              <w:rPr>
                <w:i/>
              </w:rPr>
              <w:t>Noteikumu Nr.169</w:t>
            </w:r>
            <w:r w:rsidRPr="00B74E1D">
              <w:t xml:space="preserve"> 65.2.2.apakšpunkt</w:t>
            </w:r>
            <w:r>
              <w:t>ā</w:t>
            </w:r>
            <w:r w:rsidRPr="00B74E1D">
              <w:t>;</w:t>
            </w:r>
          </w:p>
          <w:p w14:paraId="6B9A91E7" w14:textId="77777777" w:rsidR="00096052" w:rsidRDefault="00096052" w:rsidP="00096052">
            <w:pPr>
              <w:pStyle w:val="ListParagraph"/>
              <w:numPr>
                <w:ilvl w:val="0"/>
                <w:numId w:val="19"/>
              </w:numPr>
              <w:jc w:val="both"/>
            </w:pPr>
            <w:r>
              <w:t xml:space="preserve">papildus sertificēšanas maksas pakalpojumiem saskaņā ar </w:t>
            </w:r>
            <w:r w:rsidRPr="00C63916">
              <w:rPr>
                <w:i/>
              </w:rPr>
              <w:t>Noteikumu Nr.169</w:t>
            </w:r>
            <w:r>
              <w:t xml:space="preserve"> 65.3.apakšpunktu, kuros ietilpst:</w:t>
            </w:r>
          </w:p>
          <w:p w14:paraId="23DC48F3" w14:textId="028379DC" w:rsidR="00096052" w:rsidRDefault="00096052" w:rsidP="00096052">
            <w:pPr>
              <w:pStyle w:val="ListParagraph"/>
              <w:numPr>
                <w:ilvl w:val="1"/>
                <w:numId w:val="19"/>
              </w:numPr>
              <w:jc w:val="both"/>
            </w:pPr>
            <w:r>
              <w:t xml:space="preserve"> </w:t>
            </w:r>
            <w:r w:rsidRPr="00C63916">
              <w:rPr>
                <w:i/>
              </w:rPr>
              <w:t>kompetenču, prasmju un zināšanu līmeņa novērtēšana</w:t>
            </w:r>
            <w:r>
              <w:rPr>
                <w:i/>
              </w:rPr>
              <w:t>,</w:t>
            </w:r>
            <w:r>
              <w:t xml:space="preserve"> saskaņā ar </w:t>
            </w:r>
            <w:r w:rsidRPr="00C50D68">
              <w:rPr>
                <w:i/>
              </w:rPr>
              <w:t>Noteikumu Nr.169</w:t>
            </w:r>
            <w:r>
              <w:t xml:space="preserve"> 48.5.apakšpunktu (</w:t>
            </w:r>
            <w:r w:rsidR="00C97CA2">
              <w:t xml:space="preserve">pakalpojuma maksa </w:t>
            </w:r>
            <w:r w:rsidR="00C97CA2" w:rsidRPr="00B74E1D">
              <w:t xml:space="preserve">noteikta </w:t>
            </w:r>
            <w:r w:rsidR="00C97CA2">
              <w:t>Noteikumos Nr.189</w:t>
            </w:r>
            <w:r w:rsidRPr="00B74E1D">
              <w:t>)</w:t>
            </w:r>
            <w:r>
              <w:t>;</w:t>
            </w:r>
          </w:p>
          <w:p w14:paraId="54E759D5" w14:textId="0FE3FA6B" w:rsidR="00096052" w:rsidRDefault="00096052" w:rsidP="00096052">
            <w:pPr>
              <w:pStyle w:val="ListParagraph"/>
              <w:numPr>
                <w:ilvl w:val="1"/>
                <w:numId w:val="19"/>
              </w:numPr>
              <w:jc w:val="both"/>
            </w:pPr>
            <w:r>
              <w:t xml:space="preserve"> </w:t>
            </w:r>
            <w:r w:rsidRPr="00661FAF">
              <w:rPr>
                <w:i/>
              </w:rPr>
              <w:t>profesionālās pilnveides pārbaude</w:t>
            </w:r>
            <w:r>
              <w:t xml:space="preserve"> saskaņā ar </w:t>
            </w:r>
            <w:r w:rsidRPr="00C50D68">
              <w:rPr>
                <w:i/>
              </w:rPr>
              <w:t>Noteikumu Nr.169</w:t>
            </w:r>
            <w:r>
              <w:t xml:space="preserve"> 40.2.apakšpunktu (</w:t>
            </w:r>
            <w:r w:rsidR="00C97CA2">
              <w:t xml:space="preserve">pakalpojuma maksa </w:t>
            </w:r>
            <w:r w:rsidR="00C97CA2" w:rsidRPr="00B74E1D">
              <w:t xml:space="preserve">noteikta </w:t>
            </w:r>
            <w:r w:rsidR="00C97CA2">
              <w:t>Noteikumos Nr.189</w:t>
            </w:r>
            <w:r w:rsidRPr="00B74E1D">
              <w:t>)</w:t>
            </w:r>
            <w:r>
              <w:t>;</w:t>
            </w:r>
          </w:p>
          <w:p w14:paraId="4A6E2C20" w14:textId="0779683E" w:rsidR="00096052" w:rsidRDefault="00096052" w:rsidP="00096052">
            <w:pPr>
              <w:pStyle w:val="ListParagraph"/>
              <w:numPr>
                <w:ilvl w:val="1"/>
                <w:numId w:val="19"/>
              </w:numPr>
              <w:jc w:val="both"/>
            </w:pPr>
            <w:r>
              <w:t>maksa par atkārtotu patstāvīgas prakses un profesionālās pilnveides pārbaudi (</w:t>
            </w:r>
            <w:r w:rsidR="00C97CA2">
              <w:t xml:space="preserve">pakalpojuma maksa </w:t>
            </w:r>
            <w:r w:rsidR="00C97CA2" w:rsidRPr="00B74E1D">
              <w:t xml:space="preserve">noteikta </w:t>
            </w:r>
            <w:r w:rsidR="00C97CA2">
              <w:t>Noteikumos Nr.189</w:t>
            </w:r>
            <w:r w:rsidRPr="00B74E1D">
              <w:t>)</w:t>
            </w:r>
            <w:r>
              <w:t>;</w:t>
            </w:r>
          </w:p>
          <w:p w14:paraId="7F9FA91A" w14:textId="4C0434C0" w:rsidR="00096052" w:rsidRPr="00B74E1D" w:rsidRDefault="00096052" w:rsidP="00096052">
            <w:pPr>
              <w:pStyle w:val="ListParagraph"/>
              <w:numPr>
                <w:ilvl w:val="1"/>
                <w:numId w:val="19"/>
              </w:numPr>
              <w:jc w:val="both"/>
            </w:pPr>
            <w:r>
              <w:t xml:space="preserve">ārpuskārtas novērtēšana informatīvās piezīmes piešķiršanai, saskaņā ar </w:t>
            </w:r>
            <w:r w:rsidR="00E95784">
              <w:rPr>
                <w:i/>
              </w:rPr>
              <w:t>AKPI</w:t>
            </w:r>
            <w:r>
              <w:t xml:space="preserve"> </w:t>
            </w:r>
            <w:r w:rsidRPr="00661FAF">
              <w:t>praktiskās pieredzes klasifikator</w:t>
            </w:r>
            <w:r w:rsidR="00E95784">
              <w:t>iem</w:t>
            </w:r>
            <w:r>
              <w:t xml:space="preserve"> (</w:t>
            </w:r>
            <w:r w:rsidR="00C97CA2">
              <w:t xml:space="preserve">pakalpojuma maksa </w:t>
            </w:r>
            <w:r w:rsidR="00C97CA2" w:rsidRPr="00B74E1D">
              <w:t xml:space="preserve">noteikta </w:t>
            </w:r>
            <w:r w:rsidR="00C97CA2">
              <w:t>Noteikumos Nr.189</w:t>
            </w:r>
            <w:r w:rsidRPr="00B74E1D">
              <w:t>)</w:t>
            </w:r>
            <w:r>
              <w:t>.</w:t>
            </w:r>
          </w:p>
          <w:p w14:paraId="2B2756B6" w14:textId="77777777" w:rsidR="00096052" w:rsidRDefault="00096052" w:rsidP="00096052">
            <w:pPr>
              <w:shd w:val="clear" w:color="auto" w:fill="FFFFFF"/>
              <w:jc w:val="both"/>
            </w:pPr>
          </w:p>
          <w:p w14:paraId="479B0B53" w14:textId="77777777" w:rsidR="00096052" w:rsidRPr="00083E83" w:rsidRDefault="00096052" w:rsidP="00096052">
            <w:pPr>
              <w:shd w:val="clear" w:color="auto" w:fill="FFFFFF"/>
              <w:jc w:val="both"/>
              <w:rPr>
                <w:b/>
                <w:u w:val="single"/>
              </w:rPr>
            </w:pPr>
            <w:r>
              <w:rPr>
                <w:b/>
                <w:u w:val="single"/>
              </w:rPr>
              <w:t xml:space="preserve">1. </w:t>
            </w:r>
            <w:r w:rsidRPr="00083E83">
              <w:rPr>
                <w:b/>
                <w:u w:val="single"/>
              </w:rPr>
              <w:t>Kompetenču, prasmju un zināšanu līmeņa novērtēšanas izmaksas</w:t>
            </w:r>
          </w:p>
          <w:p w14:paraId="220E47A5" w14:textId="77777777" w:rsidR="00096052" w:rsidRPr="00083E83" w:rsidRDefault="00096052" w:rsidP="00096052">
            <w:pPr>
              <w:shd w:val="clear" w:color="auto" w:fill="FFFFFF"/>
              <w:ind w:firstLine="399"/>
              <w:jc w:val="both"/>
            </w:pPr>
          </w:p>
          <w:p w14:paraId="18DF4C47" w14:textId="5BCDD151" w:rsidR="00096052" w:rsidRDefault="00E95784" w:rsidP="00096052">
            <w:pPr>
              <w:shd w:val="clear" w:color="auto" w:fill="FFFFFF"/>
              <w:ind w:firstLine="399"/>
              <w:jc w:val="both"/>
            </w:pPr>
            <w:r w:rsidRPr="00C97CA2">
              <w:rPr>
                <w:iCs/>
              </w:rPr>
              <w:t>AKPI</w:t>
            </w:r>
            <w:r w:rsidR="00096052">
              <w:t xml:space="preserve"> norāda, ka </w:t>
            </w:r>
            <w:r w:rsidR="00096052" w:rsidRPr="00C63916">
              <w:rPr>
                <w:i/>
              </w:rPr>
              <w:t>kompetenču, prasmju un zināšanu līmeņa novērtēšan</w:t>
            </w:r>
            <w:r w:rsidR="00096052">
              <w:rPr>
                <w:i/>
              </w:rPr>
              <w:t xml:space="preserve">ā </w:t>
            </w:r>
            <w:r w:rsidR="00096052">
              <w:t xml:space="preserve">arhitektiem </w:t>
            </w:r>
            <w:r w:rsidR="00096052" w:rsidRPr="00083E83">
              <w:t>tiek</w:t>
            </w:r>
            <w:r w:rsidR="00096052">
              <w:t xml:space="preserve"> piemērota pārbaude, kurā tiek izvērtēts viens arhitekta izstrādāts būvprojekts,</w:t>
            </w:r>
            <w:r w:rsidR="00096052" w:rsidRPr="00BB6A71">
              <w:t xml:space="preserve"> </w:t>
            </w:r>
            <w:r w:rsidR="00096052" w:rsidRPr="005F0B17">
              <w:t>par kur</w:t>
            </w:r>
            <w:r w:rsidR="00096052" w:rsidRPr="00BB6A71">
              <w:t>u</w:t>
            </w:r>
            <w:r w:rsidR="00096052" w:rsidRPr="005F0B17">
              <w:t xml:space="preserve"> ir veikta atzīme par būvatļaujas projektēšanas nosacījumu izpildi</w:t>
            </w:r>
            <w:r w:rsidR="00096052">
              <w:t xml:space="preserve">, tajā skaitā </w:t>
            </w:r>
            <w:r w:rsidR="00096052" w:rsidRPr="00265679">
              <w:t xml:space="preserve">projekta risinājumu, būvei izvirzāmo būtisko prasību piemērošanas, projektēšanas procesa apraksta, projekta atbilstības normatīvajiem aktiem izvērtēšanas un projekta sadaļu savstarpējās saskaņotības novērtēšanas un intervijas ar </w:t>
            </w:r>
            <w:r w:rsidR="00096052">
              <w:t>arhitektu kā arī eksāmens ar vismaz trīs teorētiskiem jautājumiem par arhitekta prakses vispārīgiem jautājumiem, normatīvajiem aktiem, tajā skaitā būvprojektēšanas un būvprojekta dokumentāciju, projekta vadību, būvniecības procesa posmiem un autoruzraudzību un vismaz trīs praktiskiem uzdevumiem, no kuriem viens ietver uzdevumu par ugunsdrošības tēmu un viens uzdevumu par energoefektivitātes tēmu.</w:t>
            </w:r>
          </w:p>
          <w:p w14:paraId="497DF045" w14:textId="11CA30A8" w:rsidR="00096052" w:rsidRPr="00083E83" w:rsidRDefault="00096052" w:rsidP="00096052">
            <w:pPr>
              <w:shd w:val="clear" w:color="auto" w:fill="FFFFFF"/>
              <w:ind w:firstLine="399"/>
              <w:jc w:val="both"/>
            </w:pPr>
            <w:r>
              <w:t xml:space="preserve">Kompetenču, prasmju un zināšanu līmeņa novērtēšanas eksāmenā papildus teorētiskajiem jautājumiem un praktiskajiem uzdevumiem tiek izvērtēts arī viens būvprojekts, kuru pēdējo piecu gadu laikā ir izstrādājis eksaminējamais arhitekts. Ņemot vērā, ka kompetenču, prasmju un zināšanu līmeņa novērtēšanu saskaņā ar </w:t>
            </w:r>
            <w:r w:rsidRPr="00C97CA2">
              <w:rPr>
                <w:iCs/>
              </w:rPr>
              <w:t>Noteikumiem Nr.169</w:t>
            </w:r>
            <w:r>
              <w:t xml:space="preserve"> piemēro vairākos gadījumos, tajā skaitā arī gadījumā, ja arhitektam pēdējo piecu gadu laikā ir nepietiekoša patstāvīgā prakse (40.1. apakšpunkts), pastāv iespēja, ka arhitekts pēdējo piecu gadu laikā nav izstrādājis nevienu būvprojektu. Līdz ar to kompetenču, prasmju un zināšana līmeņa novērtēšanas eksāmenam ir divas daļas, no kurām 1. daļu piemēro gadījumā ja arhitekts var iesniegt izvērtēšanai kādu būvprojektu, kura izstrādē ir piedalījies pēdējo piecu gadu laikā un 2. daļa ja arhitekts šādu būvprojektu iesniegt nevar. Kompetenču, prasmju un zināšanu līmeņa novērtēšanas eksāmena 2. daļas </w:t>
            </w:r>
            <w:r>
              <w:lastRenderedPageBreak/>
              <w:t xml:space="preserve">gadījumā būvprojektu, kas ir nepieciešams eksāmena uzdevumu izpildei, nodrošina </w:t>
            </w:r>
            <w:r w:rsidR="00E95784" w:rsidRPr="00E95784">
              <w:rPr>
                <w:iCs/>
              </w:rPr>
              <w:t>AKPI</w:t>
            </w:r>
            <w:r>
              <w:t>. Vienam arhitektam vienā reizē nevar tikt piemērotas abas šīs eksāmena daļas.</w:t>
            </w:r>
          </w:p>
          <w:p w14:paraId="7F7774E8" w14:textId="77777777" w:rsidR="00096052" w:rsidRPr="0097000C" w:rsidRDefault="00096052" w:rsidP="00096052">
            <w:pPr>
              <w:ind w:firstLine="486"/>
              <w:jc w:val="both"/>
            </w:pPr>
            <w:r>
              <w:t xml:space="preserve">Kompetenču, prasmju un zināšanu līmeņa novērtēšanas eksāmena izmaksās </w:t>
            </w:r>
            <w:r w:rsidRPr="0097000C">
              <w:t>tiek ievērtētas tikai tiešās izmaksas</w:t>
            </w:r>
            <w:r>
              <w:t>.</w:t>
            </w:r>
            <w:r w:rsidRPr="0097000C">
              <w:t xml:space="preserve"> </w:t>
            </w:r>
            <w:r>
              <w:t>Ņ</w:t>
            </w:r>
            <w:r w:rsidRPr="0097000C">
              <w:t>emot vērā, ka</w:t>
            </w:r>
            <w:r>
              <w:t xml:space="preserve"> </w:t>
            </w:r>
            <w:r w:rsidRPr="0097000C">
              <w:t xml:space="preserve">līdz šim ne reizi </w:t>
            </w:r>
            <w:r>
              <w:t>šī pārbaude nav piemērota</w:t>
            </w:r>
            <w:r w:rsidRPr="0097000C">
              <w:t>, nākotnē paredzamais gadījumu skaits nav prognozējams, savukārt  netiešo izmaksu komponente kopējās kompetences novērtēšanas izmaksās ir nenozīmīgi niecīga</w:t>
            </w:r>
            <w:r>
              <w:t xml:space="preserve"> līdz ar to netiešās izmaksas ir iekļautas sertifikāta uzturēšanas maksā.</w:t>
            </w:r>
          </w:p>
          <w:p w14:paraId="24CCF36D" w14:textId="77777777" w:rsidR="00096052" w:rsidRDefault="00096052" w:rsidP="00096052">
            <w:pPr>
              <w:jc w:val="both"/>
            </w:pPr>
          </w:p>
          <w:p w14:paraId="7E3855D0" w14:textId="77777777" w:rsidR="00096052" w:rsidRPr="00B74E1D" w:rsidRDefault="00096052" w:rsidP="00096052">
            <w:pPr>
              <w:jc w:val="right"/>
              <w:rPr>
                <w:b/>
                <w:i/>
              </w:rPr>
            </w:pPr>
            <w:r>
              <w:rPr>
                <w:i/>
              </w:rPr>
              <w:t>1</w:t>
            </w:r>
            <w:r w:rsidRPr="00B74E1D">
              <w:rPr>
                <w:b/>
                <w:i/>
              </w:rPr>
              <w:t>.</w:t>
            </w:r>
            <w:r w:rsidRPr="00B74E1D">
              <w:rPr>
                <w:i/>
                <w:lang w:eastAsia="x-none"/>
              </w:rPr>
              <w:t>tabula</w:t>
            </w:r>
          </w:p>
          <w:p w14:paraId="5240FC94" w14:textId="77777777" w:rsidR="00096052" w:rsidRPr="00B74E1D" w:rsidRDefault="00096052" w:rsidP="00096052">
            <w:pPr>
              <w:jc w:val="center"/>
              <w:rPr>
                <w:b/>
              </w:rPr>
            </w:pPr>
            <w:r w:rsidRPr="00D9526F">
              <w:rPr>
                <w:b/>
              </w:rPr>
              <w:t>Arhitektu kompetenču, prasmju un zināšanu līmeņa novērtēšanas eksāmena</w:t>
            </w:r>
            <w:r>
              <w:rPr>
                <w:b/>
              </w:rPr>
              <w:t xml:space="preserve"> 1. daļas</w:t>
            </w:r>
            <w:r w:rsidRPr="00B74E1D">
              <w:rPr>
                <w:b/>
              </w:rPr>
              <w:t xml:space="preserve"> izmaksu aprēķins </w:t>
            </w:r>
          </w:p>
          <w:p w14:paraId="2226A8E3" w14:textId="77777777" w:rsidR="00096052" w:rsidRPr="0097000C" w:rsidRDefault="00096052" w:rsidP="00096052">
            <w:pPr>
              <w:autoSpaceDE w:val="0"/>
              <w:autoSpaceDN w:val="0"/>
              <w:adjustRightInd w:val="0"/>
              <w:jc w:val="both"/>
              <w:rPr>
                <w:b/>
                <w:bCs/>
              </w:rPr>
            </w:pPr>
          </w:p>
          <w:tbl>
            <w:tblPr>
              <w:tblStyle w:val="TableGrid"/>
              <w:tblW w:w="0" w:type="auto"/>
              <w:tblLook w:val="04A0" w:firstRow="1" w:lastRow="0" w:firstColumn="1" w:lastColumn="0" w:noHBand="0" w:noVBand="1"/>
            </w:tblPr>
            <w:tblGrid>
              <w:gridCol w:w="2245"/>
              <w:gridCol w:w="1244"/>
              <w:gridCol w:w="1438"/>
              <w:gridCol w:w="1350"/>
              <w:gridCol w:w="1433"/>
            </w:tblGrid>
            <w:tr w:rsidR="00096052" w:rsidRPr="0097000C" w14:paraId="19584674" w14:textId="77777777" w:rsidTr="00096052">
              <w:tc>
                <w:tcPr>
                  <w:tcW w:w="2425" w:type="dxa"/>
                </w:tcPr>
                <w:p w14:paraId="4029CE41" w14:textId="77777777" w:rsidR="00096052" w:rsidRPr="0097000C" w:rsidRDefault="00096052" w:rsidP="00096052">
                  <w:pPr>
                    <w:autoSpaceDE w:val="0"/>
                    <w:autoSpaceDN w:val="0"/>
                    <w:adjustRightInd w:val="0"/>
                    <w:jc w:val="both"/>
                    <w:rPr>
                      <w:bCs/>
                    </w:rPr>
                  </w:pPr>
                  <w:r w:rsidRPr="0097000C">
                    <w:rPr>
                      <w:bCs/>
                    </w:rPr>
                    <w:t xml:space="preserve">Rādītājs </w:t>
                  </w:r>
                  <w:r w:rsidRPr="0097000C">
                    <w:rPr>
                      <w:bCs/>
                      <w:i/>
                    </w:rPr>
                    <w:t>(izmaksu veids)</w:t>
                  </w:r>
                </w:p>
              </w:tc>
              <w:tc>
                <w:tcPr>
                  <w:tcW w:w="1350" w:type="dxa"/>
                </w:tcPr>
                <w:p w14:paraId="1EDA5986" w14:textId="77777777" w:rsidR="00096052" w:rsidRPr="0097000C" w:rsidRDefault="00096052" w:rsidP="00096052">
                  <w:pPr>
                    <w:autoSpaceDE w:val="0"/>
                    <w:autoSpaceDN w:val="0"/>
                    <w:adjustRightInd w:val="0"/>
                    <w:jc w:val="both"/>
                    <w:rPr>
                      <w:bCs/>
                    </w:rPr>
                  </w:pPr>
                  <w:r w:rsidRPr="0097000C">
                    <w:rPr>
                      <w:bCs/>
                    </w:rPr>
                    <w:t xml:space="preserve">Skaits </w:t>
                  </w:r>
                </w:p>
                <w:p w14:paraId="39A92F37" w14:textId="77777777" w:rsidR="00096052" w:rsidRPr="0097000C" w:rsidRDefault="00096052" w:rsidP="00096052">
                  <w:pPr>
                    <w:autoSpaceDE w:val="0"/>
                    <w:autoSpaceDN w:val="0"/>
                    <w:adjustRightInd w:val="0"/>
                    <w:jc w:val="both"/>
                    <w:rPr>
                      <w:bCs/>
                      <w:i/>
                    </w:rPr>
                  </w:pPr>
                </w:p>
                <w:p w14:paraId="2A851A0A" w14:textId="77777777" w:rsidR="00096052" w:rsidRPr="0097000C" w:rsidRDefault="00096052" w:rsidP="00096052">
                  <w:pPr>
                    <w:autoSpaceDE w:val="0"/>
                    <w:autoSpaceDN w:val="0"/>
                    <w:adjustRightInd w:val="0"/>
                    <w:jc w:val="both"/>
                    <w:rPr>
                      <w:bCs/>
                    </w:rPr>
                  </w:pPr>
                </w:p>
              </w:tc>
              <w:tc>
                <w:tcPr>
                  <w:tcW w:w="1530" w:type="dxa"/>
                </w:tcPr>
                <w:p w14:paraId="4F44A8EE" w14:textId="77777777" w:rsidR="00096052" w:rsidRPr="0097000C" w:rsidRDefault="00096052" w:rsidP="00096052">
                  <w:pPr>
                    <w:autoSpaceDE w:val="0"/>
                    <w:autoSpaceDN w:val="0"/>
                    <w:adjustRightInd w:val="0"/>
                    <w:jc w:val="both"/>
                    <w:rPr>
                      <w:bCs/>
                    </w:rPr>
                  </w:pPr>
                  <w:r>
                    <w:rPr>
                      <w:bCs/>
                    </w:rPr>
                    <w:t>Eksperta stundas likme</w:t>
                  </w:r>
                  <w:r w:rsidRPr="0097000C">
                    <w:rPr>
                      <w:bCs/>
                    </w:rPr>
                    <w:t xml:space="preserve"> </w:t>
                  </w:r>
                  <w:r w:rsidRPr="0097000C">
                    <w:rPr>
                      <w:bCs/>
                      <w:i/>
                    </w:rPr>
                    <w:t>(Euro/h)</w:t>
                  </w:r>
                </w:p>
              </w:tc>
              <w:tc>
                <w:tcPr>
                  <w:tcW w:w="1350" w:type="dxa"/>
                </w:tcPr>
                <w:p w14:paraId="18118E40" w14:textId="77777777" w:rsidR="00096052" w:rsidRPr="0097000C" w:rsidRDefault="00096052" w:rsidP="00096052">
                  <w:pPr>
                    <w:autoSpaceDE w:val="0"/>
                    <w:autoSpaceDN w:val="0"/>
                    <w:adjustRightInd w:val="0"/>
                    <w:jc w:val="both"/>
                    <w:rPr>
                      <w:bCs/>
                    </w:rPr>
                  </w:pPr>
                  <w:r w:rsidRPr="0097000C">
                    <w:rPr>
                      <w:bCs/>
                    </w:rPr>
                    <w:t>Laika ieguldījums</w:t>
                  </w:r>
                </w:p>
                <w:p w14:paraId="748AF447" w14:textId="77777777" w:rsidR="00096052" w:rsidRPr="0097000C" w:rsidRDefault="00096052" w:rsidP="00096052">
                  <w:pPr>
                    <w:autoSpaceDE w:val="0"/>
                    <w:autoSpaceDN w:val="0"/>
                    <w:adjustRightInd w:val="0"/>
                    <w:jc w:val="both"/>
                    <w:rPr>
                      <w:bCs/>
                      <w:i/>
                    </w:rPr>
                  </w:pPr>
                  <w:r w:rsidRPr="0097000C">
                    <w:rPr>
                      <w:bCs/>
                      <w:i/>
                    </w:rPr>
                    <w:t>(h)</w:t>
                  </w:r>
                </w:p>
              </w:tc>
              <w:tc>
                <w:tcPr>
                  <w:tcW w:w="1530" w:type="dxa"/>
                </w:tcPr>
                <w:p w14:paraId="11CA4F7E" w14:textId="77777777" w:rsidR="00096052" w:rsidRPr="0097000C" w:rsidRDefault="00096052" w:rsidP="00096052">
                  <w:pPr>
                    <w:autoSpaceDE w:val="0"/>
                    <w:autoSpaceDN w:val="0"/>
                    <w:adjustRightInd w:val="0"/>
                    <w:jc w:val="both"/>
                    <w:rPr>
                      <w:bCs/>
                    </w:rPr>
                  </w:pPr>
                  <w:r w:rsidRPr="0097000C">
                    <w:rPr>
                      <w:bCs/>
                    </w:rPr>
                    <w:t xml:space="preserve">Izmaksu apjoms </w:t>
                  </w:r>
                  <w:r w:rsidRPr="0097000C">
                    <w:rPr>
                      <w:bCs/>
                      <w:i/>
                    </w:rPr>
                    <w:t>(Euro)</w:t>
                  </w:r>
                </w:p>
              </w:tc>
            </w:tr>
            <w:tr w:rsidR="00096052" w:rsidRPr="0097000C" w14:paraId="5F7412C9" w14:textId="77777777" w:rsidTr="00096052">
              <w:tc>
                <w:tcPr>
                  <w:tcW w:w="2425" w:type="dxa"/>
                </w:tcPr>
                <w:p w14:paraId="6A939406" w14:textId="77777777" w:rsidR="00096052" w:rsidRPr="0097000C" w:rsidRDefault="00096052" w:rsidP="00096052">
                  <w:pPr>
                    <w:autoSpaceDE w:val="0"/>
                    <w:autoSpaceDN w:val="0"/>
                    <w:adjustRightInd w:val="0"/>
                    <w:jc w:val="both"/>
                    <w:rPr>
                      <w:bCs/>
                    </w:rPr>
                  </w:pPr>
                  <w:r>
                    <w:t>Kompetenču, prasmju un zināšanu līmeņa novērtēšanas 1. daļa</w:t>
                  </w:r>
                </w:p>
              </w:tc>
              <w:tc>
                <w:tcPr>
                  <w:tcW w:w="1350" w:type="dxa"/>
                </w:tcPr>
                <w:p w14:paraId="3AA299C0" w14:textId="77777777" w:rsidR="00096052" w:rsidRPr="0097000C" w:rsidRDefault="00096052" w:rsidP="00096052">
                  <w:pPr>
                    <w:autoSpaceDE w:val="0"/>
                    <w:autoSpaceDN w:val="0"/>
                    <w:adjustRightInd w:val="0"/>
                    <w:jc w:val="both"/>
                    <w:rPr>
                      <w:bCs/>
                    </w:rPr>
                  </w:pPr>
                  <w:r w:rsidRPr="0097000C">
                    <w:rPr>
                      <w:bCs/>
                    </w:rPr>
                    <w:t>1</w:t>
                  </w:r>
                </w:p>
              </w:tc>
              <w:tc>
                <w:tcPr>
                  <w:tcW w:w="1530" w:type="dxa"/>
                </w:tcPr>
                <w:p w14:paraId="0AF11FFD" w14:textId="77777777" w:rsidR="00096052" w:rsidRPr="0097000C" w:rsidRDefault="00096052" w:rsidP="00096052">
                  <w:pPr>
                    <w:autoSpaceDE w:val="0"/>
                    <w:autoSpaceDN w:val="0"/>
                    <w:adjustRightInd w:val="0"/>
                    <w:jc w:val="both"/>
                    <w:rPr>
                      <w:bCs/>
                    </w:rPr>
                  </w:pPr>
                  <w:r>
                    <w:rPr>
                      <w:bCs/>
                    </w:rPr>
                    <w:t>40</w:t>
                  </w:r>
                  <w:r w:rsidRPr="0097000C">
                    <w:rPr>
                      <w:bCs/>
                    </w:rPr>
                    <w:t>,00</w:t>
                  </w:r>
                </w:p>
              </w:tc>
              <w:tc>
                <w:tcPr>
                  <w:tcW w:w="1350" w:type="dxa"/>
                </w:tcPr>
                <w:p w14:paraId="5F64DA17" w14:textId="77777777" w:rsidR="00096052" w:rsidRPr="0097000C" w:rsidRDefault="00096052" w:rsidP="00096052">
                  <w:pPr>
                    <w:autoSpaceDE w:val="0"/>
                    <w:autoSpaceDN w:val="0"/>
                    <w:adjustRightInd w:val="0"/>
                    <w:jc w:val="both"/>
                    <w:rPr>
                      <w:bCs/>
                    </w:rPr>
                  </w:pPr>
                  <w:r w:rsidRPr="0097000C">
                    <w:rPr>
                      <w:bCs/>
                    </w:rPr>
                    <w:t>24</w:t>
                  </w:r>
                </w:p>
              </w:tc>
              <w:tc>
                <w:tcPr>
                  <w:tcW w:w="1530" w:type="dxa"/>
                  <w:shd w:val="clear" w:color="auto" w:fill="FFFFFF" w:themeFill="background1"/>
                </w:tcPr>
                <w:p w14:paraId="3B0F9280" w14:textId="77777777" w:rsidR="00096052" w:rsidRPr="00D61911" w:rsidRDefault="00096052" w:rsidP="00096052">
                  <w:pPr>
                    <w:autoSpaceDE w:val="0"/>
                    <w:autoSpaceDN w:val="0"/>
                    <w:adjustRightInd w:val="0"/>
                    <w:jc w:val="both"/>
                    <w:rPr>
                      <w:b/>
                      <w:bCs/>
                      <w:u w:val="single"/>
                    </w:rPr>
                  </w:pPr>
                  <w:r w:rsidRPr="00D61911">
                    <w:rPr>
                      <w:b/>
                      <w:bCs/>
                      <w:u w:val="single"/>
                    </w:rPr>
                    <w:t>9</w:t>
                  </w:r>
                  <w:r>
                    <w:rPr>
                      <w:b/>
                      <w:bCs/>
                      <w:u w:val="single"/>
                    </w:rPr>
                    <w:t>60</w:t>
                  </w:r>
                  <w:r w:rsidRPr="00D61911">
                    <w:rPr>
                      <w:b/>
                      <w:bCs/>
                      <w:u w:val="single"/>
                    </w:rPr>
                    <w:t>,00</w:t>
                  </w:r>
                </w:p>
              </w:tc>
            </w:tr>
          </w:tbl>
          <w:p w14:paraId="0301A481" w14:textId="77777777" w:rsidR="00096052" w:rsidRDefault="00096052" w:rsidP="00096052">
            <w:pPr>
              <w:shd w:val="clear" w:color="auto" w:fill="FFFFFF"/>
              <w:ind w:firstLine="399"/>
              <w:jc w:val="both"/>
            </w:pPr>
          </w:p>
          <w:p w14:paraId="7110A986" w14:textId="77777777" w:rsidR="00096052" w:rsidRPr="00B74E1D" w:rsidRDefault="00096052" w:rsidP="00096052">
            <w:pPr>
              <w:jc w:val="right"/>
              <w:rPr>
                <w:b/>
                <w:i/>
              </w:rPr>
            </w:pPr>
            <w:r>
              <w:rPr>
                <w:i/>
              </w:rPr>
              <w:t>2</w:t>
            </w:r>
            <w:r w:rsidRPr="00B74E1D">
              <w:rPr>
                <w:b/>
                <w:i/>
              </w:rPr>
              <w:t>.</w:t>
            </w:r>
            <w:r w:rsidRPr="00B74E1D">
              <w:rPr>
                <w:i/>
                <w:lang w:eastAsia="x-none"/>
              </w:rPr>
              <w:t>tabula</w:t>
            </w:r>
          </w:p>
          <w:p w14:paraId="27447085" w14:textId="77777777" w:rsidR="00096052" w:rsidRPr="00B74E1D" w:rsidRDefault="00096052" w:rsidP="00096052">
            <w:pPr>
              <w:jc w:val="center"/>
              <w:rPr>
                <w:b/>
              </w:rPr>
            </w:pPr>
            <w:r w:rsidRPr="00D9526F">
              <w:rPr>
                <w:b/>
              </w:rPr>
              <w:t>Arhitektu kompetenču, prasmju un zināšanu līmeņa novērtēšanas eksāmena</w:t>
            </w:r>
            <w:r>
              <w:rPr>
                <w:b/>
              </w:rPr>
              <w:t xml:space="preserve"> 2. daļas</w:t>
            </w:r>
            <w:r w:rsidRPr="00B74E1D">
              <w:rPr>
                <w:b/>
              </w:rPr>
              <w:t xml:space="preserve"> izmaksu aprēķins </w:t>
            </w:r>
          </w:p>
          <w:p w14:paraId="079D6C05" w14:textId="77777777" w:rsidR="00096052" w:rsidRPr="00F728F7" w:rsidRDefault="00096052" w:rsidP="00096052">
            <w:pPr>
              <w:pStyle w:val="ListParagraph"/>
              <w:autoSpaceDE w:val="0"/>
              <w:autoSpaceDN w:val="0"/>
              <w:adjustRightInd w:val="0"/>
              <w:jc w:val="both"/>
              <w:rPr>
                <w:b/>
                <w:bCs/>
              </w:rPr>
            </w:pPr>
          </w:p>
          <w:tbl>
            <w:tblPr>
              <w:tblStyle w:val="TableGrid"/>
              <w:tblW w:w="0" w:type="auto"/>
              <w:tblLook w:val="04A0" w:firstRow="1" w:lastRow="0" w:firstColumn="1" w:lastColumn="0" w:noHBand="0" w:noVBand="1"/>
            </w:tblPr>
            <w:tblGrid>
              <w:gridCol w:w="2246"/>
              <w:gridCol w:w="1243"/>
              <w:gridCol w:w="1438"/>
              <w:gridCol w:w="1350"/>
              <w:gridCol w:w="1433"/>
            </w:tblGrid>
            <w:tr w:rsidR="00096052" w:rsidRPr="0097000C" w14:paraId="63FA5B30" w14:textId="77777777" w:rsidTr="00096052">
              <w:tc>
                <w:tcPr>
                  <w:tcW w:w="2246" w:type="dxa"/>
                </w:tcPr>
                <w:p w14:paraId="3D45BD28" w14:textId="77777777" w:rsidR="00096052" w:rsidRPr="0097000C" w:rsidRDefault="00096052" w:rsidP="00096052">
                  <w:pPr>
                    <w:autoSpaceDE w:val="0"/>
                    <w:autoSpaceDN w:val="0"/>
                    <w:adjustRightInd w:val="0"/>
                    <w:jc w:val="both"/>
                    <w:rPr>
                      <w:bCs/>
                    </w:rPr>
                  </w:pPr>
                  <w:r w:rsidRPr="0097000C">
                    <w:rPr>
                      <w:bCs/>
                    </w:rPr>
                    <w:t xml:space="preserve">Rādītājs </w:t>
                  </w:r>
                  <w:r w:rsidRPr="0097000C">
                    <w:rPr>
                      <w:bCs/>
                      <w:i/>
                    </w:rPr>
                    <w:t>(izmaksu veids)</w:t>
                  </w:r>
                </w:p>
              </w:tc>
              <w:tc>
                <w:tcPr>
                  <w:tcW w:w="1243" w:type="dxa"/>
                </w:tcPr>
                <w:p w14:paraId="377669FE" w14:textId="77777777" w:rsidR="00096052" w:rsidRPr="0097000C" w:rsidRDefault="00096052" w:rsidP="00096052">
                  <w:pPr>
                    <w:autoSpaceDE w:val="0"/>
                    <w:autoSpaceDN w:val="0"/>
                    <w:adjustRightInd w:val="0"/>
                    <w:jc w:val="both"/>
                    <w:rPr>
                      <w:bCs/>
                    </w:rPr>
                  </w:pPr>
                  <w:r w:rsidRPr="0097000C">
                    <w:rPr>
                      <w:bCs/>
                    </w:rPr>
                    <w:t xml:space="preserve">Skaits </w:t>
                  </w:r>
                </w:p>
                <w:p w14:paraId="54CD1388" w14:textId="77777777" w:rsidR="00096052" w:rsidRPr="0097000C" w:rsidRDefault="00096052" w:rsidP="00096052">
                  <w:pPr>
                    <w:autoSpaceDE w:val="0"/>
                    <w:autoSpaceDN w:val="0"/>
                    <w:adjustRightInd w:val="0"/>
                    <w:jc w:val="both"/>
                    <w:rPr>
                      <w:bCs/>
                      <w:i/>
                    </w:rPr>
                  </w:pPr>
                </w:p>
                <w:p w14:paraId="5A733593" w14:textId="77777777" w:rsidR="00096052" w:rsidRPr="0097000C" w:rsidRDefault="00096052" w:rsidP="00096052">
                  <w:pPr>
                    <w:autoSpaceDE w:val="0"/>
                    <w:autoSpaceDN w:val="0"/>
                    <w:adjustRightInd w:val="0"/>
                    <w:jc w:val="both"/>
                    <w:rPr>
                      <w:bCs/>
                    </w:rPr>
                  </w:pPr>
                </w:p>
              </w:tc>
              <w:tc>
                <w:tcPr>
                  <w:tcW w:w="1438" w:type="dxa"/>
                </w:tcPr>
                <w:p w14:paraId="10DB3B32" w14:textId="77777777" w:rsidR="00096052" w:rsidRPr="0097000C" w:rsidRDefault="00096052" w:rsidP="00096052">
                  <w:pPr>
                    <w:autoSpaceDE w:val="0"/>
                    <w:autoSpaceDN w:val="0"/>
                    <w:adjustRightInd w:val="0"/>
                    <w:jc w:val="both"/>
                    <w:rPr>
                      <w:bCs/>
                    </w:rPr>
                  </w:pPr>
                  <w:r>
                    <w:rPr>
                      <w:bCs/>
                    </w:rPr>
                    <w:t>Eksperta stundas l</w:t>
                  </w:r>
                  <w:r w:rsidRPr="0097000C">
                    <w:rPr>
                      <w:bCs/>
                    </w:rPr>
                    <w:t xml:space="preserve">ikme </w:t>
                  </w:r>
                  <w:r w:rsidRPr="0097000C">
                    <w:rPr>
                      <w:bCs/>
                      <w:i/>
                    </w:rPr>
                    <w:t>(Euro/h)</w:t>
                  </w:r>
                </w:p>
              </w:tc>
              <w:tc>
                <w:tcPr>
                  <w:tcW w:w="1350" w:type="dxa"/>
                </w:tcPr>
                <w:p w14:paraId="457AAB21" w14:textId="77777777" w:rsidR="00096052" w:rsidRPr="0097000C" w:rsidRDefault="00096052" w:rsidP="00096052">
                  <w:pPr>
                    <w:autoSpaceDE w:val="0"/>
                    <w:autoSpaceDN w:val="0"/>
                    <w:adjustRightInd w:val="0"/>
                    <w:jc w:val="both"/>
                    <w:rPr>
                      <w:bCs/>
                    </w:rPr>
                  </w:pPr>
                  <w:r w:rsidRPr="0097000C">
                    <w:rPr>
                      <w:bCs/>
                    </w:rPr>
                    <w:t>Laika ieguldījums</w:t>
                  </w:r>
                </w:p>
                <w:p w14:paraId="0E03F326" w14:textId="77777777" w:rsidR="00096052" w:rsidRPr="0097000C" w:rsidRDefault="00096052" w:rsidP="00096052">
                  <w:pPr>
                    <w:autoSpaceDE w:val="0"/>
                    <w:autoSpaceDN w:val="0"/>
                    <w:adjustRightInd w:val="0"/>
                    <w:jc w:val="both"/>
                    <w:rPr>
                      <w:bCs/>
                      <w:i/>
                    </w:rPr>
                  </w:pPr>
                  <w:r w:rsidRPr="0097000C">
                    <w:rPr>
                      <w:bCs/>
                      <w:i/>
                    </w:rPr>
                    <w:t>(h)</w:t>
                  </w:r>
                </w:p>
              </w:tc>
              <w:tc>
                <w:tcPr>
                  <w:tcW w:w="1433" w:type="dxa"/>
                </w:tcPr>
                <w:p w14:paraId="4893AA55" w14:textId="77777777" w:rsidR="00096052" w:rsidRPr="0097000C" w:rsidRDefault="00096052" w:rsidP="00096052">
                  <w:pPr>
                    <w:autoSpaceDE w:val="0"/>
                    <w:autoSpaceDN w:val="0"/>
                    <w:adjustRightInd w:val="0"/>
                    <w:jc w:val="both"/>
                    <w:rPr>
                      <w:bCs/>
                    </w:rPr>
                  </w:pPr>
                  <w:r w:rsidRPr="0097000C">
                    <w:rPr>
                      <w:bCs/>
                    </w:rPr>
                    <w:t xml:space="preserve">Izmaksu apjoms  </w:t>
                  </w:r>
                  <w:r w:rsidRPr="0097000C">
                    <w:rPr>
                      <w:bCs/>
                      <w:i/>
                    </w:rPr>
                    <w:t>(Euro)</w:t>
                  </w:r>
                </w:p>
              </w:tc>
            </w:tr>
            <w:tr w:rsidR="00096052" w:rsidRPr="0097000C" w14:paraId="6C9FF74F" w14:textId="77777777" w:rsidTr="00096052">
              <w:tc>
                <w:tcPr>
                  <w:tcW w:w="2246" w:type="dxa"/>
                </w:tcPr>
                <w:p w14:paraId="16893840" w14:textId="77777777" w:rsidR="00096052" w:rsidRPr="0097000C" w:rsidRDefault="00096052" w:rsidP="00096052">
                  <w:pPr>
                    <w:autoSpaceDE w:val="0"/>
                    <w:autoSpaceDN w:val="0"/>
                    <w:adjustRightInd w:val="0"/>
                    <w:jc w:val="both"/>
                    <w:rPr>
                      <w:bCs/>
                    </w:rPr>
                  </w:pPr>
                  <w:r>
                    <w:t>Kompetenču, prasmju un zināšanu līmeņa novērtēšanas 2. daļa</w:t>
                  </w:r>
                </w:p>
              </w:tc>
              <w:tc>
                <w:tcPr>
                  <w:tcW w:w="1243" w:type="dxa"/>
                </w:tcPr>
                <w:p w14:paraId="293FB3BC" w14:textId="77777777" w:rsidR="00096052" w:rsidRPr="0097000C" w:rsidRDefault="00096052" w:rsidP="00096052">
                  <w:pPr>
                    <w:autoSpaceDE w:val="0"/>
                    <w:autoSpaceDN w:val="0"/>
                    <w:adjustRightInd w:val="0"/>
                    <w:jc w:val="both"/>
                    <w:rPr>
                      <w:bCs/>
                    </w:rPr>
                  </w:pPr>
                  <w:r w:rsidRPr="0097000C">
                    <w:rPr>
                      <w:bCs/>
                    </w:rPr>
                    <w:t>1</w:t>
                  </w:r>
                </w:p>
              </w:tc>
              <w:tc>
                <w:tcPr>
                  <w:tcW w:w="1438" w:type="dxa"/>
                </w:tcPr>
                <w:p w14:paraId="0BDF0DE4" w14:textId="77777777" w:rsidR="00096052" w:rsidRPr="0097000C" w:rsidRDefault="00096052" w:rsidP="00096052">
                  <w:pPr>
                    <w:autoSpaceDE w:val="0"/>
                    <w:autoSpaceDN w:val="0"/>
                    <w:adjustRightInd w:val="0"/>
                    <w:jc w:val="both"/>
                    <w:rPr>
                      <w:bCs/>
                    </w:rPr>
                  </w:pPr>
                  <w:r>
                    <w:rPr>
                      <w:bCs/>
                    </w:rPr>
                    <w:t>40</w:t>
                  </w:r>
                  <w:r w:rsidRPr="0097000C">
                    <w:rPr>
                      <w:bCs/>
                    </w:rPr>
                    <w:t>,00</w:t>
                  </w:r>
                </w:p>
              </w:tc>
              <w:tc>
                <w:tcPr>
                  <w:tcW w:w="1350" w:type="dxa"/>
                </w:tcPr>
                <w:p w14:paraId="07248819" w14:textId="77777777" w:rsidR="00096052" w:rsidRPr="0097000C" w:rsidRDefault="00096052" w:rsidP="00096052">
                  <w:pPr>
                    <w:autoSpaceDE w:val="0"/>
                    <w:autoSpaceDN w:val="0"/>
                    <w:adjustRightInd w:val="0"/>
                    <w:jc w:val="both"/>
                    <w:rPr>
                      <w:bCs/>
                    </w:rPr>
                  </w:pPr>
                  <w:r>
                    <w:rPr>
                      <w:bCs/>
                    </w:rPr>
                    <w:t>20</w:t>
                  </w:r>
                </w:p>
              </w:tc>
              <w:tc>
                <w:tcPr>
                  <w:tcW w:w="1433" w:type="dxa"/>
                </w:tcPr>
                <w:p w14:paraId="1F85D743" w14:textId="77777777" w:rsidR="00096052" w:rsidRPr="00F728F7" w:rsidRDefault="00096052" w:rsidP="00096052">
                  <w:pPr>
                    <w:autoSpaceDE w:val="0"/>
                    <w:autoSpaceDN w:val="0"/>
                    <w:adjustRightInd w:val="0"/>
                    <w:jc w:val="both"/>
                    <w:rPr>
                      <w:bCs/>
                    </w:rPr>
                  </w:pPr>
                  <w:r>
                    <w:rPr>
                      <w:bCs/>
                    </w:rPr>
                    <w:t>80</w:t>
                  </w:r>
                  <w:r w:rsidRPr="00F728F7">
                    <w:rPr>
                      <w:bCs/>
                    </w:rPr>
                    <w:t>0,00</w:t>
                  </w:r>
                </w:p>
              </w:tc>
            </w:tr>
            <w:tr w:rsidR="00096052" w:rsidRPr="0097000C" w14:paraId="0CCC5AE4" w14:textId="77777777" w:rsidTr="00096052">
              <w:tc>
                <w:tcPr>
                  <w:tcW w:w="2246" w:type="dxa"/>
                </w:tcPr>
                <w:p w14:paraId="4FDF86F6" w14:textId="77777777" w:rsidR="00096052" w:rsidRDefault="00096052" w:rsidP="00096052">
                  <w:pPr>
                    <w:autoSpaceDE w:val="0"/>
                    <w:autoSpaceDN w:val="0"/>
                    <w:adjustRightInd w:val="0"/>
                    <w:jc w:val="both"/>
                  </w:pPr>
                  <w:r>
                    <w:t>Uzdevuma sagatavošana</w:t>
                  </w:r>
                </w:p>
              </w:tc>
              <w:tc>
                <w:tcPr>
                  <w:tcW w:w="1243" w:type="dxa"/>
                </w:tcPr>
                <w:p w14:paraId="4D496F8C" w14:textId="77777777" w:rsidR="00096052" w:rsidRPr="0097000C" w:rsidRDefault="00096052" w:rsidP="00096052">
                  <w:pPr>
                    <w:autoSpaceDE w:val="0"/>
                    <w:autoSpaceDN w:val="0"/>
                    <w:adjustRightInd w:val="0"/>
                    <w:jc w:val="both"/>
                    <w:rPr>
                      <w:bCs/>
                    </w:rPr>
                  </w:pPr>
                  <w:r>
                    <w:rPr>
                      <w:bCs/>
                    </w:rPr>
                    <w:t>1</w:t>
                  </w:r>
                </w:p>
              </w:tc>
              <w:tc>
                <w:tcPr>
                  <w:tcW w:w="1438" w:type="dxa"/>
                </w:tcPr>
                <w:p w14:paraId="15492215" w14:textId="77777777" w:rsidR="00096052" w:rsidRPr="0097000C" w:rsidRDefault="00096052" w:rsidP="00096052">
                  <w:pPr>
                    <w:autoSpaceDE w:val="0"/>
                    <w:autoSpaceDN w:val="0"/>
                    <w:adjustRightInd w:val="0"/>
                    <w:jc w:val="both"/>
                    <w:rPr>
                      <w:bCs/>
                    </w:rPr>
                  </w:pPr>
                  <w:r>
                    <w:rPr>
                      <w:bCs/>
                    </w:rPr>
                    <w:t>40</w:t>
                  </w:r>
                </w:p>
              </w:tc>
              <w:tc>
                <w:tcPr>
                  <w:tcW w:w="1350" w:type="dxa"/>
                </w:tcPr>
                <w:p w14:paraId="31AD3966" w14:textId="77777777" w:rsidR="00096052" w:rsidRDefault="00096052" w:rsidP="00096052">
                  <w:pPr>
                    <w:autoSpaceDE w:val="0"/>
                    <w:autoSpaceDN w:val="0"/>
                    <w:adjustRightInd w:val="0"/>
                    <w:jc w:val="both"/>
                    <w:rPr>
                      <w:bCs/>
                    </w:rPr>
                  </w:pPr>
                  <w:r>
                    <w:rPr>
                      <w:bCs/>
                    </w:rPr>
                    <w:t>20</w:t>
                  </w:r>
                </w:p>
              </w:tc>
              <w:tc>
                <w:tcPr>
                  <w:tcW w:w="1433" w:type="dxa"/>
                </w:tcPr>
                <w:p w14:paraId="5D7FD99E" w14:textId="77777777" w:rsidR="00096052" w:rsidRPr="00F728F7" w:rsidRDefault="00096052" w:rsidP="00096052">
                  <w:pPr>
                    <w:autoSpaceDE w:val="0"/>
                    <w:autoSpaceDN w:val="0"/>
                    <w:adjustRightInd w:val="0"/>
                    <w:jc w:val="both"/>
                    <w:rPr>
                      <w:bCs/>
                    </w:rPr>
                  </w:pPr>
                  <w:r>
                    <w:rPr>
                      <w:bCs/>
                    </w:rPr>
                    <w:t>800</w:t>
                  </w:r>
                  <w:r w:rsidRPr="00F728F7">
                    <w:rPr>
                      <w:bCs/>
                    </w:rPr>
                    <w:t>,00</w:t>
                  </w:r>
                </w:p>
              </w:tc>
            </w:tr>
            <w:tr w:rsidR="00096052" w:rsidRPr="0097000C" w14:paraId="65240D24" w14:textId="77777777" w:rsidTr="00096052">
              <w:tc>
                <w:tcPr>
                  <w:tcW w:w="6277" w:type="dxa"/>
                  <w:gridSpan w:val="4"/>
                </w:tcPr>
                <w:p w14:paraId="16C7A42A" w14:textId="77777777" w:rsidR="00096052" w:rsidRPr="00B31D9D" w:rsidRDefault="00096052" w:rsidP="00096052">
                  <w:pPr>
                    <w:autoSpaceDE w:val="0"/>
                    <w:autoSpaceDN w:val="0"/>
                    <w:adjustRightInd w:val="0"/>
                    <w:jc w:val="right"/>
                    <w:rPr>
                      <w:b/>
                      <w:bCs/>
                    </w:rPr>
                  </w:pPr>
                  <w:r w:rsidRPr="00B31D9D">
                    <w:rPr>
                      <w:b/>
                      <w:bCs/>
                    </w:rPr>
                    <w:t>Kopā (</w:t>
                  </w:r>
                  <w:r w:rsidRPr="00B31D9D">
                    <w:rPr>
                      <w:b/>
                      <w:bCs/>
                      <w:i/>
                    </w:rPr>
                    <w:t>euro</w:t>
                  </w:r>
                  <w:r w:rsidRPr="00B31D9D">
                    <w:rPr>
                      <w:b/>
                      <w:bCs/>
                    </w:rPr>
                    <w:t>)</w:t>
                  </w:r>
                </w:p>
              </w:tc>
              <w:tc>
                <w:tcPr>
                  <w:tcW w:w="1433" w:type="dxa"/>
                </w:tcPr>
                <w:p w14:paraId="03F18FBE" w14:textId="77777777" w:rsidR="00096052" w:rsidRPr="00B31D9D" w:rsidRDefault="00096052" w:rsidP="00096052">
                  <w:pPr>
                    <w:autoSpaceDE w:val="0"/>
                    <w:autoSpaceDN w:val="0"/>
                    <w:adjustRightInd w:val="0"/>
                    <w:jc w:val="both"/>
                    <w:rPr>
                      <w:b/>
                      <w:bCs/>
                    </w:rPr>
                  </w:pPr>
                  <w:r w:rsidRPr="00B31D9D">
                    <w:rPr>
                      <w:b/>
                      <w:bCs/>
                    </w:rPr>
                    <w:t>1600,00</w:t>
                  </w:r>
                </w:p>
              </w:tc>
            </w:tr>
          </w:tbl>
          <w:p w14:paraId="331902DC" w14:textId="77777777" w:rsidR="00096052" w:rsidRDefault="00096052" w:rsidP="00096052">
            <w:pPr>
              <w:pStyle w:val="ListParagraph"/>
              <w:jc w:val="both"/>
              <w:rPr>
                <w:u w:val="single"/>
              </w:rPr>
            </w:pPr>
          </w:p>
          <w:p w14:paraId="618F7129" w14:textId="77777777" w:rsidR="00096052" w:rsidRDefault="00096052" w:rsidP="00096052">
            <w:pPr>
              <w:shd w:val="clear" w:color="auto" w:fill="FFFFFF"/>
              <w:ind w:firstLine="394"/>
              <w:jc w:val="both"/>
            </w:pPr>
            <w:r w:rsidRPr="00B74E1D">
              <w:t xml:space="preserve">No aprēķina izriet, ka lai nosegtu </w:t>
            </w:r>
            <w:r w:rsidRPr="005C4A7D">
              <w:rPr>
                <w:bCs/>
                <w:i/>
              </w:rPr>
              <w:t>kompetenču, prasmju un zināšanu līmeņa novērtēšana</w:t>
            </w:r>
            <w:r>
              <w:rPr>
                <w:bCs/>
                <w:i/>
              </w:rPr>
              <w:t>s eksāmena</w:t>
            </w:r>
            <w:r w:rsidRPr="00B74E1D">
              <w:t xml:space="preserve"> izmaksas </w:t>
            </w:r>
            <w:r>
              <w:t xml:space="preserve">tā cenai ir jābūt 960 </w:t>
            </w:r>
            <w:r w:rsidRPr="00941AA5">
              <w:rPr>
                <w:i/>
              </w:rPr>
              <w:t>euro</w:t>
            </w:r>
            <w:r>
              <w:t xml:space="preserve"> par 1. daļu un 1600 </w:t>
            </w:r>
            <w:r w:rsidRPr="00D9526F">
              <w:rPr>
                <w:i/>
              </w:rPr>
              <w:t>euro</w:t>
            </w:r>
            <w:r>
              <w:t xml:space="preserve"> par 2. daļu no vienas personas par vienu eksāmenu</w:t>
            </w:r>
            <w:r w:rsidRPr="00B74E1D">
              <w:t>.</w:t>
            </w:r>
          </w:p>
          <w:p w14:paraId="56F5176C" w14:textId="77777777" w:rsidR="00096052" w:rsidRDefault="00096052" w:rsidP="00096052">
            <w:pPr>
              <w:shd w:val="clear" w:color="auto" w:fill="FFFFFF"/>
              <w:ind w:firstLine="399"/>
              <w:jc w:val="both"/>
            </w:pPr>
          </w:p>
          <w:p w14:paraId="359EC4BF" w14:textId="77777777" w:rsidR="00096052" w:rsidRDefault="00096052" w:rsidP="00096052">
            <w:pPr>
              <w:shd w:val="clear" w:color="auto" w:fill="FFFFFF"/>
              <w:rPr>
                <w:b/>
                <w:u w:val="single"/>
              </w:rPr>
            </w:pPr>
            <w:r>
              <w:rPr>
                <w:b/>
                <w:u w:val="single"/>
              </w:rPr>
              <w:t xml:space="preserve">2. </w:t>
            </w:r>
            <w:r w:rsidRPr="00083E83">
              <w:rPr>
                <w:b/>
                <w:u w:val="single"/>
              </w:rPr>
              <w:t>Arhitektu uzraudzības izmaksas</w:t>
            </w:r>
          </w:p>
          <w:p w14:paraId="26EEA788" w14:textId="77777777" w:rsidR="00096052" w:rsidRPr="00083E83" w:rsidRDefault="00096052" w:rsidP="00096052">
            <w:pPr>
              <w:shd w:val="clear" w:color="auto" w:fill="FFFFFF"/>
              <w:rPr>
                <w:b/>
                <w:u w:val="single"/>
              </w:rPr>
            </w:pPr>
          </w:p>
          <w:p w14:paraId="2C9DE593" w14:textId="501496D4" w:rsidR="00096052" w:rsidRDefault="00096052" w:rsidP="00096052">
            <w:pPr>
              <w:shd w:val="clear" w:color="auto" w:fill="FFFFFF"/>
              <w:ind w:firstLine="399"/>
              <w:jc w:val="both"/>
            </w:pPr>
            <w:r>
              <w:t>Arhitektu</w:t>
            </w:r>
            <w:r w:rsidRPr="00B74E1D">
              <w:t xml:space="preserve"> uzraudzības ietvaros </w:t>
            </w:r>
            <w:r>
              <w:t>arhitekti</w:t>
            </w:r>
            <w:r w:rsidRPr="00B74E1D">
              <w:t xml:space="preserve"> katru gadu veic maksājumu par aktīvo sertifikātu. Būvspeciālistu reģistrā </w:t>
            </w:r>
            <w:r>
              <w:t>2019. gada 17. martā</w:t>
            </w:r>
            <w:r w:rsidR="00E95784">
              <w:t xml:space="preserve"> (aprēķinu veikšanas brīdis)</w:t>
            </w:r>
            <w:r w:rsidRPr="00B74E1D">
              <w:t xml:space="preserve"> ir reģistrēt</w:t>
            </w:r>
            <w:r>
              <w:t>i</w:t>
            </w:r>
            <w:r w:rsidRPr="00B74E1D">
              <w:t xml:space="preserve"> </w:t>
            </w:r>
            <w:r>
              <w:t>8</w:t>
            </w:r>
            <w:r w:rsidR="00E95784">
              <w:t>30</w:t>
            </w:r>
            <w:r>
              <w:t xml:space="preserve"> aktīvi arhitektu sertifikāti.</w:t>
            </w:r>
            <w:r w:rsidRPr="00B74E1D">
              <w:t xml:space="preserve"> </w:t>
            </w:r>
          </w:p>
          <w:p w14:paraId="40EB2506" w14:textId="2001F4CC" w:rsidR="00E95784" w:rsidRPr="00C97CA2" w:rsidRDefault="00E95784" w:rsidP="00096052">
            <w:pPr>
              <w:shd w:val="clear" w:color="auto" w:fill="FFFFFF"/>
              <w:ind w:firstLine="399"/>
              <w:jc w:val="both"/>
              <w:rPr>
                <w:b/>
                <w:bCs/>
              </w:rPr>
            </w:pPr>
            <w:r w:rsidRPr="00C97CA2">
              <w:rPr>
                <w:b/>
                <w:bCs/>
              </w:rPr>
              <w:t>Arhitektu uzraudzības netiešās izmaksas ir aprēķinātas balstoties uz LAS aprēķiniem, ņemot vērā, ka Serteks šobrīd nevar objektīvi novērtēt arhitektu uzraudzības netiešās izmaksas.</w:t>
            </w:r>
          </w:p>
          <w:p w14:paraId="535CA296" w14:textId="01A272A3" w:rsidR="00E95784" w:rsidRDefault="00E95784" w:rsidP="00096052">
            <w:pPr>
              <w:shd w:val="clear" w:color="auto" w:fill="FFFFFF"/>
              <w:jc w:val="both"/>
              <w:rPr>
                <w:sz w:val="18"/>
              </w:rPr>
            </w:pPr>
          </w:p>
          <w:p w14:paraId="4FE46D44" w14:textId="77777777" w:rsidR="00096052" w:rsidRPr="006B19FE" w:rsidRDefault="00096052" w:rsidP="00096052">
            <w:pPr>
              <w:shd w:val="clear" w:color="auto" w:fill="FFFFFF"/>
              <w:jc w:val="both"/>
              <w:rPr>
                <w:b/>
              </w:rPr>
            </w:pPr>
            <w:r w:rsidRPr="006B19FE">
              <w:rPr>
                <w:b/>
              </w:rPr>
              <w:lastRenderedPageBreak/>
              <w:t>Netiešās izmaksas</w:t>
            </w:r>
          </w:p>
          <w:p w14:paraId="0940A5DE" w14:textId="77777777" w:rsidR="00096052" w:rsidRPr="00B74E1D" w:rsidRDefault="00096052" w:rsidP="00096052">
            <w:pPr>
              <w:jc w:val="right"/>
              <w:rPr>
                <w:b/>
                <w:i/>
              </w:rPr>
            </w:pPr>
            <w:r>
              <w:rPr>
                <w:i/>
              </w:rPr>
              <w:t>3</w:t>
            </w:r>
            <w:r w:rsidRPr="00B74E1D">
              <w:rPr>
                <w:b/>
                <w:i/>
              </w:rPr>
              <w:t>.</w:t>
            </w:r>
            <w:r w:rsidRPr="00B74E1D">
              <w:rPr>
                <w:i/>
                <w:lang w:eastAsia="x-none"/>
              </w:rPr>
              <w:t>tabula</w:t>
            </w:r>
          </w:p>
          <w:p w14:paraId="1027F929" w14:textId="77777777" w:rsidR="00096052" w:rsidRPr="00B74E1D" w:rsidRDefault="00096052" w:rsidP="00096052">
            <w:pPr>
              <w:jc w:val="center"/>
              <w:rPr>
                <w:b/>
              </w:rPr>
            </w:pPr>
            <w:r>
              <w:rPr>
                <w:b/>
              </w:rPr>
              <w:t>Arhitektu</w:t>
            </w:r>
            <w:r w:rsidRPr="00B74E1D">
              <w:rPr>
                <w:b/>
              </w:rPr>
              <w:t xml:space="preserve"> uzraudzības netiešo izmaksu aprēķins </w:t>
            </w:r>
          </w:p>
          <w:p w14:paraId="688E669E" w14:textId="77777777" w:rsidR="00096052" w:rsidRPr="00B74E1D" w:rsidRDefault="00096052" w:rsidP="00096052">
            <w:pPr>
              <w:shd w:val="clear" w:color="auto" w:fill="FFFFFF"/>
              <w:jc w:val="both"/>
            </w:pPr>
          </w:p>
          <w:tbl>
            <w:tblPr>
              <w:tblW w:w="5919" w:type="dxa"/>
              <w:jc w:val="center"/>
              <w:tblLook w:val="04A0" w:firstRow="1" w:lastRow="0" w:firstColumn="1" w:lastColumn="0" w:noHBand="0" w:noVBand="1"/>
            </w:tblPr>
            <w:tblGrid>
              <w:gridCol w:w="810"/>
              <w:gridCol w:w="3783"/>
              <w:gridCol w:w="1326"/>
            </w:tblGrid>
            <w:tr w:rsidR="00096052" w:rsidRPr="006D3CFF" w14:paraId="3ABE359C" w14:textId="77777777" w:rsidTr="00096052">
              <w:trPr>
                <w:trHeight w:val="955"/>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3BB9A" w14:textId="77777777" w:rsidR="00096052" w:rsidRPr="006D3CFF" w:rsidRDefault="00096052" w:rsidP="00096052">
                  <w:pPr>
                    <w:rPr>
                      <w:color w:val="000000"/>
                    </w:rPr>
                  </w:pPr>
                  <w:r w:rsidRPr="006D3CFF">
                    <w:rPr>
                      <w:color w:val="000000"/>
                    </w:rPr>
                    <w:t>N.p.k.</w:t>
                  </w:r>
                </w:p>
              </w:tc>
              <w:tc>
                <w:tcPr>
                  <w:tcW w:w="3783" w:type="dxa"/>
                  <w:tcBorders>
                    <w:top w:val="single" w:sz="4" w:space="0" w:color="auto"/>
                    <w:left w:val="nil"/>
                    <w:bottom w:val="single" w:sz="4" w:space="0" w:color="auto"/>
                    <w:right w:val="single" w:sz="4" w:space="0" w:color="auto"/>
                  </w:tcBorders>
                  <w:shd w:val="clear" w:color="auto" w:fill="auto"/>
                  <w:noWrap/>
                  <w:vAlign w:val="center"/>
                  <w:hideMark/>
                </w:tcPr>
                <w:p w14:paraId="3C40D49E" w14:textId="77777777" w:rsidR="00096052" w:rsidRPr="006D3CFF" w:rsidRDefault="00096052" w:rsidP="00096052">
                  <w:pPr>
                    <w:rPr>
                      <w:color w:val="000000"/>
                    </w:rPr>
                  </w:pPr>
                  <w:r w:rsidRPr="006D3CFF">
                    <w:rPr>
                      <w:color w:val="000000"/>
                    </w:rPr>
                    <w:t>Nosaukums</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E298ACA" w14:textId="77777777" w:rsidR="00096052" w:rsidRPr="006D3CFF" w:rsidRDefault="00096052" w:rsidP="00096052">
                  <w:pPr>
                    <w:jc w:val="center"/>
                    <w:rPr>
                      <w:color w:val="000000"/>
                    </w:rPr>
                  </w:pPr>
                  <w:r w:rsidRPr="006D3CFF">
                    <w:rPr>
                      <w:color w:val="000000"/>
                    </w:rPr>
                    <w:t>Kopā (</w:t>
                  </w:r>
                  <w:r w:rsidRPr="006D3CFF">
                    <w:rPr>
                      <w:i/>
                      <w:color w:val="000000"/>
                    </w:rPr>
                    <w:t>euro</w:t>
                  </w:r>
                  <w:r w:rsidRPr="006D3CFF">
                    <w:rPr>
                      <w:color w:val="000000"/>
                    </w:rPr>
                    <w:t>)</w:t>
                  </w:r>
                </w:p>
              </w:tc>
            </w:tr>
            <w:tr w:rsidR="00096052" w:rsidRPr="006D3CFF" w14:paraId="3A23171D" w14:textId="77777777" w:rsidTr="00096052">
              <w:trPr>
                <w:trHeight w:val="1097"/>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1B6D6D" w14:textId="77777777" w:rsidR="00096052" w:rsidRPr="006D3CFF" w:rsidRDefault="00096052" w:rsidP="00096052">
                  <w:pPr>
                    <w:rPr>
                      <w:color w:val="000000"/>
                    </w:rPr>
                  </w:pPr>
                  <w:r w:rsidRPr="006D3CFF">
                    <w:rPr>
                      <w:color w:val="000000"/>
                    </w:rPr>
                    <w:t>1</w:t>
                  </w:r>
                </w:p>
              </w:tc>
              <w:tc>
                <w:tcPr>
                  <w:tcW w:w="3783" w:type="dxa"/>
                  <w:tcBorders>
                    <w:top w:val="nil"/>
                    <w:left w:val="nil"/>
                    <w:bottom w:val="single" w:sz="4" w:space="0" w:color="auto"/>
                    <w:right w:val="single" w:sz="4" w:space="0" w:color="auto"/>
                  </w:tcBorders>
                  <w:shd w:val="clear" w:color="auto" w:fill="auto"/>
                  <w:vAlign w:val="center"/>
                  <w:hideMark/>
                </w:tcPr>
                <w:p w14:paraId="6D41BA93" w14:textId="77777777" w:rsidR="00096052" w:rsidRPr="006D3CFF" w:rsidRDefault="00096052" w:rsidP="00096052">
                  <w:pPr>
                    <w:rPr>
                      <w:color w:val="000000"/>
                    </w:rPr>
                  </w:pPr>
                  <w:r w:rsidRPr="006D3CFF">
                    <w:rPr>
                      <w:color w:val="000000"/>
                    </w:rPr>
                    <w:t xml:space="preserve">Telpu īre un uzturēšanas izdevumi (ieskaitot komunālos, apsardzes un apsaimniekošanas maksājumus) </w:t>
                  </w:r>
                </w:p>
              </w:tc>
              <w:tc>
                <w:tcPr>
                  <w:tcW w:w="1326" w:type="dxa"/>
                  <w:tcBorders>
                    <w:top w:val="nil"/>
                    <w:left w:val="nil"/>
                    <w:bottom w:val="single" w:sz="4" w:space="0" w:color="auto"/>
                    <w:right w:val="single" w:sz="4" w:space="0" w:color="auto"/>
                  </w:tcBorders>
                  <w:shd w:val="clear" w:color="auto" w:fill="auto"/>
                  <w:noWrap/>
                  <w:vAlign w:val="center"/>
                  <w:hideMark/>
                </w:tcPr>
                <w:p w14:paraId="0D9F7A4A" w14:textId="77777777" w:rsidR="00096052" w:rsidRPr="006D3CFF" w:rsidRDefault="00096052" w:rsidP="00096052">
                  <w:pPr>
                    <w:jc w:val="center"/>
                    <w:rPr>
                      <w:color w:val="000000"/>
                    </w:rPr>
                  </w:pPr>
                  <w:r>
                    <w:rPr>
                      <w:color w:val="000000"/>
                    </w:rPr>
                    <w:t>95 55,00</w:t>
                  </w:r>
                </w:p>
              </w:tc>
            </w:tr>
            <w:tr w:rsidR="00096052" w:rsidRPr="006D3CFF" w14:paraId="40EF75D9" w14:textId="77777777" w:rsidTr="00096052">
              <w:trPr>
                <w:trHeight w:val="276"/>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3A9025" w14:textId="77777777" w:rsidR="00096052" w:rsidRPr="006D3CFF" w:rsidRDefault="00096052" w:rsidP="00096052">
                  <w:pPr>
                    <w:rPr>
                      <w:color w:val="000000"/>
                    </w:rPr>
                  </w:pPr>
                  <w:r w:rsidRPr="006D3CFF">
                    <w:rPr>
                      <w:color w:val="000000"/>
                    </w:rPr>
                    <w:t>2</w:t>
                  </w:r>
                </w:p>
              </w:tc>
              <w:tc>
                <w:tcPr>
                  <w:tcW w:w="3783" w:type="dxa"/>
                  <w:tcBorders>
                    <w:top w:val="nil"/>
                    <w:left w:val="nil"/>
                    <w:bottom w:val="single" w:sz="4" w:space="0" w:color="auto"/>
                    <w:right w:val="single" w:sz="4" w:space="0" w:color="auto"/>
                  </w:tcBorders>
                  <w:shd w:val="clear" w:color="auto" w:fill="auto"/>
                  <w:vAlign w:val="center"/>
                  <w:hideMark/>
                </w:tcPr>
                <w:p w14:paraId="34B8C8C3" w14:textId="77777777" w:rsidR="00096052" w:rsidRPr="006D3CFF" w:rsidRDefault="00096052" w:rsidP="00096052">
                  <w:pPr>
                    <w:rPr>
                      <w:color w:val="000000"/>
                    </w:rPr>
                  </w:pPr>
                  <w:r>
                    <w:rPr>
                      <w:color w:val="000000"/>
                    </w:rPr>
                    <w:t>Institūcijas vadītājs</w:t>
                  </w:r>
                </w:p>
              </w:tc>
              <w:tc>
                <w:tcPr>
                  <w:tcW w:w="1326" w:type="dxa"/>
                  <w:tcBorders>
                    <w:top w:val="nil"/>
                    <w:left w:val="nil"/>
                    <w:bottom w:val="single" w:sz="4" w:space="0" w:color="auto"/>
                    <w:right w:val="single" w:sz="4" w:space="0" w:color="auto"/>
                  </w:tcBorders>
                  <w:shd w:val="clear" w:color="auto" w:fill="auto"/>
                  <w:noWrap/>
                  <w:vAlign w:val="center"/>
                  <w:hideMark/>
                </w:tcPr>
                <w:p w14:paraId="2FFABB48" w14:textId="77777777" w:rsidR="00096052" w:rsidRPr="006D3CFF" w:rsidRDefault="00096052" w:rsidP="00096052">
                  <w:pPr>
                    <w:jc w:val="center"/>
                    <w:rPr>
                      <w:color w:val="000000"/>
                    </w:rPr>
                  </w:pPr>
                  <w:r>
                    <w:rPr>
                      <w:color w:val="000000"/>
                    </w:rPr>
                    <w:t>13</w:t>
                  </w:r>
                  <w:r>
                    <w:rPr>
                      <w:b/>
                      <w:bCs/>
                      <w:color w:val="000000"/>
                    </w:rPr>
                    <w:t> </w:t>
                  </w:r>
                  <w:r>
                    <w:rPr>
                      <w:color w:val="000000"/>
                    </w:rPr>
                    <w:t>400,00</w:t>
                  </w:r>
                </w:p>
              </w:tc>
            </w:tr>
            <w:tr w:rsidR="00096052" w:rsidRPr="006D3CFF" w14:paraId="3D08A758" w14:textId="77777777" w:rsidTr="00096052">
              <w:trPr>
                <w:trHeight w:val="279"/>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88E49E" w14:textId="77777777" w:rsidR="00096052" w:rsidRPr="006D3CFF" w:rsidRDefault="00096052" w:rsidP="00096052">
                  <w:pPr>
                    <w:rPr>
                      <w:color w:val="000000"/>
                    </w:rPr>
                  </w:pPr>
                  <w:r w:rsidRPr="006D3CFF">
                    <w:rPr>
                      <w:color w:val="000000"/>
                    </w:rPr>
                    <w:t>3</w:t>
                  </w:r>
                </w:p>
              </w:tc>
              <w:tc>
                <w:tcPr>
                  <w:tcW w:w="3783" w:type="dxa"/>
                  <w:tcBorders>
                    <w:top w:val="nil"/>
                    <w:left w:val="nil"/>
                    <w:bottom w:val="single" w:sz="4" w:space="0" w:color="auto"/>
                    <w:right w:val="single" w:sz="4" w:space="0" w:color="auto"/>
                  </w:tcBorders>
                  <w:shd w:val="clear" w:color="auto" w:fill="auto"/>
                  <w:vAlign w:val="center"/>
                  <w:hideMark/>
                </w:tcPr>
                <w:p w14:paraId="47B7529F" w14:textId="77777777" w:rsidR="00096052" w:rsidRPr="006D3CFF" w:rsidRDefault="00096052" w:rsidP="00096052">
                  <w:pPr>
                    <w:rPr>
                      <w:color w:val="000000"/>
                    </w:rPr>
                  </w:pPr>
                  <w:r>
                    <w:rPr>
                      <w:color w:val="000000"/>
                    </w:rPr>
                    <w:t>Lietvedis</w:t>
                  </w:r>
                </w:p>
              </w:tc>
              <w:tc>
                <w:tcPr>
                  <w:tcW w:w="1326" w:type="dxa"/>
                  <w:tcBorders>
                    <w:top w:val="nil"/>
                    <w:left w:val="nil"/>
                    <w:bottom w:val="single" w:sz="4" w:space="0" w:color="auto"/>
                    <w:right w:val="single" w:sz="4" w:space="0" w:color="auto"/>
                  </w:tcBorders>
                  <w:shd w:val="clear" w:color="auto" w:fill="auto"/>
                  <w:noWrap/>
                  <w:vAlign w:val="center"/>
                  <w:hideMark/>
                </w:tcPr>
                <w:p w14:paraId="5EE973B4" w14:textId="77777777" w:rsidR="00096052" w:rsidRPr="006D3CFF" w:rsidRDefault="00096052" w:rsidP="00096052">
                  <w:pPr>
                    <w:jc w:val="center"/>
                    <w:rPr>
                      <w:color w:val="000000"/>
                    </w:rPr>
                  </w:pPr>
                  <w:r>
                    <w:rPr>
                      <w:color w:val="000000"/>
                    </w:rPr>
                    <w:t>1</w:t>
                  </w:r>
                  <w:r>
                    <w:rPr>
                      <w:b/>
                      <w:bCs/>
                      <w:color w:val="000000"/>
                    </w:rPr>
                    <w:t> </w:t>
                  </w:r>
                  <w:r>
                    <w:rPr>
                      <w:color w:val="000000"/>
                    </w:rPr>
                    <w:t>800,00</w:t>
                  </w:r>
                </w:p>
              </w:tc>
            </w:tr>
            <w:tr w:rsidR="00096052" w:rsidRPr="006D3CFF" w14:paraId="5F3B2F70" w14:textId="77777777" w:rsidTr="00096052">
              <w:trPr>
                <w:trHeight w:val="269"/>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08A47A" w14:textId="77777777" w:rsidR="00096052" w:rsidRPr="006D3CFF" w:rsidRDefault="00096052" w:rsidP="00096052">
                  <w:pPr>
                    <w:rPr>
                      <w:color w:val="000000"/>
                    </w:rPr>
                  </w:pPr>
                  <w:r w:rsidRPr="006D3CFF">
                    <w:rPr>
                      <w:color w:val="000000"/>
                    </w:rPr>
                    <w:t>4</w:t>
                  </w:r>
                </w:p>
              </w:tc>
              <w:tc>
                <w:tcPr>
                  <w:tcW w:w="3783" w:type="dxa"/>
                  <w:tcBorders>
                    <w:top w:val="nil"/>
                    <w:left w:val="nil"/>
                    <w:bottom w:val="single" w:sz="4" w:space="0" w:color="auto"/>
                    <w:right w:val="single" w:sz="4" w:space="0" w:color="auto"/>
                  </w:tcBorders>
                  <w:shd w:val="clear" w:color="auto" w:fill="auto"/>
                  <w:vAlign w:val="center"/>
                  <w:hideMark/>
                </w:tcPr>
                <w:p w14:paraId="369A9711" w14:textId="77777777" w:rsidR="00096052" w:rsidRPr="006D3CFF" w:rsidRDefault="00096052" w:rsidP="00096052">
                  <w:pPr>
                    <w:rPr>
                      <w:color w:val="000000"/>
                    </w:rPr>
                  </w:pPr>
                  <w:r w:rsidRPr="006D3CFF">
                    <w:rPr>
                      <w:color w:val="000000"/>
                    </w:rPr>
                    <w:t>Kvalitātes vadītājs</w:t>
                  </w:r>
                </w:p>
              </w:tc>
              <w:tc>
                <w:tcPr>
                  <w:tcW w:w="1326" w:type="dxa"/>
                  <w:tcBorders>
                    <w:top w:val="nil"/>
                    <w:left w:val="nil"/>
                    <w:bottom w:val="single" w:sz="4" w:space="0" w:color="auto"/>
                    <w:right w:val="single" w:sz="4" w:space="0" w:color="auto"/>
                  </w:tcBorders>
                  <w:shd w:val="clear" w:color="auto" w:fill="auto"/>
                  <w:noWrap/>
                  <w:vAlign w:val="center"/>
                  <w:hideMark/>
                </w:tcPr>
                <w:p w14:paraId="63A22A3C" w14:textId="77777777" w:rsidR="00096052" w:rsidRPr="006D3CFF" w:rsidRDefault="00096052" w:rsidP="00096052">
                  <w:pPr>
                    <w:jc w:val="center"/>
                    <w:rPr>
                      <w:color w:val="000000"/>
                    </w:rPr>
                  </w:pPr>
                  <w:r>
                    <w:rPr>
                      <w:color w:val="000000"/>
                    </w:rPr>
                    <w:t>750,00</w:t>
                  </w:r>
                </w:p>
              </w:tc>
            </w:tr>
            <w:tr w:rsidR="00096052" w:rsidRPr="006D3CFF" w14:paraId="7D99A225" w14:textId="77777777" w:rsidTr="00096052">
              <w:trPr>
                <w:trHeight w:val="269"/>
                <w:jc w:val="center"/>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C97CE40" w14:textId="77777777" w:rsidR="00096052" w:rsidRPr="006D3CFF" w:rsidRDefault="00096052" w:rsidP="00096052">
                  <w:pPr>
                    <w:rPr>
                      <w:color w:val="000000"/>
                    </w:rPr>
                  </w:pPr>
                  <w:r>
                    <w:rPr>
                      <w:color w:val="000000"/>
                    </w:rPr>
                    <w:t>5</w:t>
                  </w:r>
                </w:p>
              </w:tc>
              <w:tc>
                <w:tcPr>
                  <w:tcW w:w="3783" w:type="dxa"/>
                  <w:tcBorders>
                    <w:top w:val="nil"/>
                    <w:left w:val="nil"/>
                    <w:bottom w:val="single" w:sz="4" w:space="0" w:color="auto"/>
                    <w:right w:val="single" w:sz="4" w:space="0" w:color="auto"/>
                  </w:tcBorders>
                  <w:shd w:val="clear" w:color="auto" w:fill="auto"/>
                  <w:vAlign w:val="center"/>
                </w:tcPr>
                <w:p w14:paraId="66D06309" w14:textId="77777777" w:rsidR="00096052" w:rsidRPr="006D3CFF" w:rsidRDefault="00096052" w:rsidP="00096052">
                  <w:pPr>
                    <w:rPr>
                      <w:color w:val="000000"/>
                    </w:rPr>
                  </w:pPr>
                  <w:r>
                    <w:rPr>
                      <w:color w:val="000000"/>
                    </w:rPr>
                    <w:t>Sertificēšanas centra padomes atalgojums</w:t>
                  </w:r>
                </w:p>
              </w:tc>
              <w:tc>
                <w:tcPr>
                  <w:tcW w:w="1326" w:type="dxa"/>
                  <w:tcBorders>
                    <w:top w:val="nil"/>
                    <w:left w:val="nil"/>
                    <w:bottom w:val="single" w:sz="4" w:space="0" w:color="auto"/>
                    <w:right w:val="single" w:sz="4" w:space="0" w:color="auto"/>
                  </w:tcBorders>
                  <w:shd w:val="clear" w:color="auto" w:fill="auto"/>
                  <w:noWrap/>
                  <w:vAlign w:val="center"/>
                </w:tcPr>
                <w:p w14:paraId="63743EC9" w14:textId="77777777" w:rsidR="00096052" w:rsidRDefault="00096052" w:rsidP="00096052">
                  <w:pPr>
                    <w:jc w:val="center"/>
                    <w:rPr>
                      <w:color w:val="000000"/>
                    </w:rPr>
                  </w:pPr>
                  <w:r>
                    <w:rPr>
                      <w:color w:val="000000"/>
                    </w:rPr>
                    <w:t>3600,00</w:t>
                  </w:r>
                </w:p>
              </w:tc>
            </w:tr>
            <w:tr w:rsidR="00096052" w:rsidRPr="006D3CFF" w14:paraId="76620CFE" w14:textId="77777777" w:rsidTr="00096052">
              <w:trPr>
                <w:trHeight w:val="5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EE72AF" w14:textId="77777777" w:rsidR="00096052" w:rsidRPr="006D3CFF" w:rsidRDefault="00096052" w:rsidP="00096052">
                  <w:pPr>
                    <w:rPr>
                      <w:color w:val="000000"/>
                    </w:rPr>
                  </w:pPr>
                  <w:r>
                    <w:rPr>
                      <w:color w:val="000000"/>
                    </w:rPr>
                    <w:t>6</w:t>
                  </w:r>
                </w:p>
              </w:tc>
              <w:tc>
                <w:tcPr>
                  <w:tcW w:w="3783" w:type="dxa"/>
                  <w:tcBorders>
                    <w:top w:val="nil"/>
                    <w:left w:val="nil"/>
                    <w:bottom w:val="single" w:sz="4" w:space="0" w:color="auto"/>
                    <w:right w:val="single" w:sz="4" w:space="0" w:color="auto"/>
                  </w:tcBorders>
                  <w:shd w:val="clear" w:color="auto" w:fill="auto"/>
                  <w:vAlign w:val="center"/>
                  <w:hideMark/>
                </w:tcPr>
                <w:p w14:paraId="1BB26630" w14:textId="77777777" w:rsidR="00096052" w:rsidRPr="006D3CFF" w:rsidRDefault="00096052" w:rsidP="00096052">
                  <w:pPr>
                    <w:rPr>
                      <w:color w:val="000000"/>
                    </w:rPr>
                  </w:pPr>
                  <w:r w:rsidRPr="006D3CFF">
                    <w:rPr>
                      <w:color w:val="000000"/>
                    </w:rPr>
                    <w:t>Grāmatvedības pakalpojumi</w:t>
                  </w:r>
                </w:p>
              </w:tc>
              <w:tc>
                <w:tcPr>
                  <w:tcW w:w="1326" w:type="dxa"/>
                  <w:tcBorders>
                    <w:top w:val="nil"/>
                    <w:left w:val="nil"/>
                    <w:bottom w:val="single" w:sz="4" w:space="0" w:color="auto"/>
                    <w:right w:val="single" w:sz="4" w:space="0" w:color="auto"/>
                  </w:tcBorders>
                  <w:shd w:val="clear" w:color="auto" w:fill="auto"/>
                  <w:noWrap/>
                  <w:vAlign w:val="center"/>
                  <w:hideMark/>
                </w:tcPr>
                <w:p w14:paraId="26070546" w14:textId="77777777" w:rsidR="00096052" w:rsidRPr="006D3CFF" w:rsidRDefault="00096052" w:rsidP="00096052">
                  <w:pPr>
                    <w:jc w:val="center"/>
                    <w:rPr>
                      <w:color w:val="000000"/>
                    </w:rPr>
                  </w:pPr>
                  <w:r>
                    <w:rPr>
                      <w:color w:val="000000"/>
                    </w:rPr>
                    <w:t>5</w:t>
                  </w:r>
                  <w:r>
                    <w:rPr>
                      <w:b/>
                      <w:bCs/>
                      <w:color w:val="000000"/>
                    </w:rPr>
                    <w:t> </w:t>
                  </w:r>
                  <w:r>
                    <w:rPr>
                      <w:color w:val="000000"/>
                    </w:rPr>
                    <w:t>400,00</w:t>
                  </w:r>
                </w:p>
              </w:tc>
            </w:tr>
            <w:tr w:rsidR="00096052" w:rsidRPr="006D3CFF" w14:paraId="57A58B7F" w14:textId="77777777" w:rsidTr="00096052">
              <w:trPr>
                <w:trHeight w:val="253"/>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995FD1" w14:textId="77777777" w:rsidR="00096052" w:rsidRPr="006D3CFF" w:rsidRDefault="00096052" w:rsidP="00096052">
                  <w:pPr>
                    <w:rPr>
                      <w:color w:val="000000"/>
                    </w:rPr>
                  </w:pPr>
                  <w:r>
                    <w:rPr>
                      <w:color w:val="000000"/>
                    </w:rPr>
                    <w:t>7</w:t>
                  </w:r>
                </w:p>
              </w:tc>
              <w:tc>
                <w:tcPr>
                  <w:tcW w:w="3783" w:type="dxa"/>
                  <w:tcBorders>
                    <w:top w:val="nil"/>
                    <w:left w:val="nil"/>
                    <w:bottom w:val="single" w:sz="4" w:space="0" w:color="auto"/>
                    <w:right w:val="single" w:sz="4" w:space="0" w:color="auto"/>
                  </w:tcBorders>
                  <w:shd w:val="clear" w:color="auto" w:fill="auto"/>
                  <w:vAlign w:val="center"/>
                  <w:hideMark/>
                </w:tcPr>
                <w:p w14:paraId="58FD8BFF" w14:textId="77777777" w:rsidR="00096052" w:rsidRPr="006D3CFF" w:rsidRDefault="00096052" w:rsidP="00096052">
                  <w:pPr>
                    <w:rPr>
                      <w:color w:val="000000"/>
                    </w:rPr>
                  </w:pPr>
                  <w:r>
                    <w:rPr>
                      <w:color w:val="000000"/>
                    </w:rPr>
                    <w:t>Revīzijas</w:t>
                  </w:r>
                  <w:r w:rsidRPr="006D3CFF">
                    <w:rPr>
                      <w:color w:val="000000"/>
                    </w:rPr>
                    <w:t xml:space="preserve"> pakalpojumi</w:t>
                  </w:r>
                </w:p>
              </w:tc>
              <w:tc>
                <w:tcPr>
                  <w:tcW w:w="1326" w:type="dxa"/>
                  <w:tcBorders>
                    <w:top w:val="nil"/>
                    <w:left w:val="nil"/>
                    <w:bottom w:val="single" w:sz="4" w:space="0" w:color="auto"/>
                    <w:right w:val="single" w:sz="4" w:space="0" w:color="auto"/>
                  </w:tcBorders>
                  <w:shd w:val="clear" w:color="auto" w:fill="auto"/>
                  <w:noWrap/>
                  <w:vAlign w:val="center"/>
                  <w:hideMark/>
                </w:tcPr>
                <w:p w14:paraId="11F0A2E3" w14:textId="77777777" w:rsidR="00096052" w:rsidRPr="006D3CFF" w:rsidRDefault="00096052" w:rsidP="00096052">
                  <w:pPr>
                    <w:jc w:val="center"/>
                    <w:rPr>
                      <w:color w:val="000000"/>
                    </w:rPr>
                  </w:pPr>
                  <w:r>
                    <w:rPr>
                      <w:color w:val="000000"/>
                    </w:rPr>
                    <w:t>1</w:t>
                  </w:r>
                  <w:r>
                    <w:rPr>
                      <w:b/>
                      <w:bCs/>
                      <w:color w:val="000000"/>
                    </w:rPr>
                    <w:t> </w:t>
                  </w:r>
                  <w:r>
                    <w:rPr>
                      <w:color w:val="000000"/>
                    </w:rPr>
                    <w:t>000,00</w:t>
                  </w:r>
                </w:p>
              </w:tc>
            </w:tr>
            <w:tr w:rsidR="00096052" w:rsidRPr="006D3CFF" w14:paraId="60D011DE" w14:textId="77777777" w:rsidTr="00096052">
              <w:trPr>
                <w:trHeight w:val="301"/>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E56759" w14:textId="77777777" w:rsidR="00096052" w:rsidRPr="006D3CFF" w:rsidRDefault="00096052" w:rsidP="00096052">
                  <w:pPr>
                    <w:rPr>
                      <w:color w:val="000000"/>
                    </w:rPr>
                  </w:pPr>
                  <w:r>
                    <w:rPr>
                      <w:color w:val="000000"/>
                    </w:rPr>
                    <w:t>8</w:t>
                  </w:r>
                </w:p>
              </w:tc>
              <w:tc>
                <w:tcPr>
                  <w:tcW w:w="3783" w:type="dxa"/>
                  <w:tcBorders>
                    <w:top w:val="nil"/>
                    <w:left w:val="nil"/>
                    <w:bottom w:val="single" w:sz="4" w:space="0" w:color="auto"/>
                    <w:right w:val="single" w:sz="4" w:space="0" w:color="auto"/>
                  </w:tcBorders>
                  <w:shd w:val="clear" w:color="auto" w:fill="auto"/>
                  <w:vAlign w:val="center"/>
                  <w:hideMark/>
                </w:tcPr>
                <w:p w14:paraId="6FBA7D7F" w14:textId="77777777" w:rsidR="00096052" w:rsidRPr="006D3CFF" w:rsidRDefault="00096052" w:rsidP="00096052">
                  <w:pPr>
                    <w:rPr>
                      <w:color w:val="000000"/>
                    </w:rPr>
                  </w:pPr>
                  <w:r w:rsidRPr="006D3CFF">
                    <w:rPr>
                      <w:color w:val="000000"/>
                    </w:rPr>
                    <w:t>Akreditācijas izmaksas</w:t>
                  </w:r>
                </w:p>
              </w:tc>
              <w:tc>
                <w:tcPr>
                  <w:tcW w:w="1326" w:type="dxa"/>
                  <w:tcBorders>
                    <w:top w:val="nil"/>
                    <w:left w:val="nil"/>
                    <w:bottom w:val="single" w:sz="4" w:space="0" w:color="auto"/>
                    <w:right w:val="single" w:sz="4" w:space="0" w:color="auto"/>
                  </w:tcBorders>
                  <w:shd w:val="clear" w:color="auto" w:fill="auto"/>
                  <w:noWrap/>
                  <w:vAlign w:val="center"/>
                  <w:hideMark/>
                </w:tcPr>
                <w:p w14:paraId="606D6BDE" w14:textId="77777777" w:rsidR="00096052" w:rsidRPr="006D3CFF" w:rsidRDefault="00096052" w:rsidP="00096052">
                  <w:pPr>
                    <w:jc w:val="center"/>
                    <w:rPr>
                      <w:color w:val="000000"/>
                    </w:rPr>
                  </w:pPr>
                  <w:r>
                    <w:rPr>
                      <w:color w:val="000000"/>
                    </w:rPr>
                    <w:t>1</w:t>
                  </w:r>
                  <w:r>
                    <w:rPr>
                      <w:b/>
                      <w:bCs/>
                      <w:color w:val="000000"/>
                    </w:rPr>
                    <w:t> </w:t>
                  </w:r>
                  <w:r>
                    <w:rPr>
                      <w:color w:val="000000"/>
                    </w:rPr>
                    <w:t>905,00</w:t>
                  </w:r>
                </w:p>
              </w:tc>
            </w:tr>
            <w:tr w:rsidR="00096052" w:rsidRPr="006D3CFF" w14:paraId="0A24611E" w14:textId="77777777" w:rsidTr="00096052">
              <w:trPr>
                <w:trHeight w:val="37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4A52E8" w14:textId="77777777" w:rsidR="00096052" w:rsidRPr="006D3CFF" w:rsidRDefault="00096052" w:rsidP="00096052">
                  <w:pPr>
                    <w:rPr>
                      <w:color w:val="000000"/>
                    </w:rPr>
                  </w:pPr>
                  <w:r>
                    <w:rPr>
                      <w:color w:val="000000"/>
                    </w:rPr>
                    <w:t>9</w:t>
                  </w:r>
                </w:p>
              </w:tc>
              <w:tc>
                <w:tcPr>
                  <w:tcW w:w="3783" w:type="dxa"/>
                  <w:tcBorders>
                    <w:top w:val="nil"/>
                    <w:left w:val="nil"/>
                    <w:bottom w:val="single" w:sz="4" w:space="0" w:color="auto"/>
                    <w:right w:val="single" w:sz="4" w:space="0" w:color="auto"/>
                  </w:tcBorders>
                  <w:shd w:val="clear" w:color="auto" w:fill="auto"/>
                  <w:vAlign w:val="center"/>
                  <w:hideMark/>
                </w:tcPr>
                <w:p w14:paraId="235B5F48" w14:textId="77777777" w:rsidR="00096052" w:rsidRPr="006D3CFF" w:rsidRDefault="00096052" w:rsidP="00096052">
                  <w:pPr>
                    <w:rPr>
                      <w:color w:val="000000"/>
                    </w:rPr>
                  </w:pPr>
                  <w:r w:rsidRPr="006D3CFF">
                    <w:rPr>
                      <w:color w:val="000000"/>
                    </w:rPr>
                    <w:t xml:space="preserve">Civiltiesiskā apdrošināšana </w:t>
                  </w:r>
                </w:p>
              </w:tc>
              <w:tc>
                <w:tcPr>
                  <w:tcW w:w="1326" w:type="dxa"/>
                  <w:tcBorders>
                    <w:top w:val="nil"/>
                    <w:left w:val="nil"/>
                    <w:bottom w:val="single" w:sz="4" w:space="0" w:color="auto"/>
                    <w:right w:val="single" w:sz="4" w:space="0" w:color="auto"/>
                  </w:tcBorders>
                  <w:shd w:val="clear" w:color="auto" w:fill="auto"/>
                  <w:noWrap/>
                  <w:vAlign w:val="center"/>
                  <w:hideMark/>
                </w:tcPr>
                <w:p w14:paraId="03630E33" w14:textId="77777777" w:rsidR="00096052" w:rsidRPr="006D3CFF" w:rsidRDefault="00096052" w:rsidP="00096052">
                  <w:pPr>
                    <w:jc w:val="center"/>
                    <w:rPr>
                      <w:color w:val="000000"/>
                    </w:rPr>
                  </w:pPr>
                  <w:r>
                    <w:rPr>
                      <w:color w:val="000000"/>
                    </w:rPr>
                    <w:t>1</w:t>
                  </w:r>
                  <w:r>
                    <w:rPr>
                      <w:b/>
                      <w:bCs/>
                      <w:color w:val="000000"/>
                    </w:rPr>
                    <w:t> </w:t>
                  </w:r>
                  <w:r>
                    <w:rPr>
                      <w:color w:val="000000"/>
                    </w:rPr>
                    <w:t>400,00</w:t>
                  </w:r>
                </w:p>
              </w:tc>
            </w:tr>
            <w:tr w:rsidR="00096052" w:rsidRPr="006D3CFF" w14:paraId="74E3D10B" w14:textId="77777777" w:rsidTr="00096052">
              <w:trPr>
                <w:trHeight w:val="30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AE8448" w14:textId="77777777" w:rsidR="00096052" w:rsidRPr="006D3CFF" w:rsidRDefault="00096052" w:rsidP="00096052">
                  <w:pPr>
                    <w:rPr>
                      <w:color w:val="000000"/>
                    </w:rPr>
                  </w:pPr>
                  <w:r>
                    <w:rPr>
                      <w:color w:val="000000"/>
                    </w:rPr>
                    <w:t>10</w:t>
                  </w:r>
                </w:p>
              </w:tc>
              <w:tc>
                <w:tcPr>
                  <w:tcW w:w="3783" w:type="dxa"/>
                  <w:tcBorders>
                    <w:top w:val="nil"/>
                    <w:left w:val="nil"/>
                    <w:bottom w:val="single" w:sz="4" w:space="0" w:color="auto"/>
                    <w:right w:val="single" w:sz="4" w:space="0" w:color="auto"/>
                  </w:tcBorders>
                  <w:shd w:val="clear" w:color="auto" w:fill="auto"/>
                  <w:vAlign w:val="center"/>
                  <w:hideMark/>
                </w:tcPr>
                <w:p w14:paraId="32158377" w14:textId="77777777" w:rsidR="00096052" w:rsidRPr="006D3CFF" w:rsidRDefault="00096052" w:rsidP="00096052">
                  <w:pPr>
                    <w:rPr>
                      <w:color w:val="000000"/>
                    </w:rPr>
                  </w:pPr>
                  <w:r w:rsidRPr="006D3CFF">
                    <w:rPr>
                      <w:color w:val="000000"/>
                    </w:rPr>
                    <w:t>Pirmā pieprasījuma garantijas nodrošināšanas maksa</w:t>
                  </w:r>
                </w:p>
              </w:tc>
              <w:tc>
                <w:tcPr>
                  <w:tcW w:w="1326" w:type="dxa"/>
                  <w:tcBorders>
                    <w:top w:val="nil"/>
                    <w:left w:val="nil"/>
                    <w:bottom w:val="single" w:sz="4" w:space="0" w:color="auto"/>
                    <w:right w:val="single" w:sz="4" w:space="0" w:color="auto"/>
                  </w:tcBorders>
                  <w:shd w:val="clear" w:color="auto" w:fill="auto"/>
                  <w:noWrap/>
                  <w:vAlign w:val="center"/>
                  <w:hideMark/>
                </w:tcPr>
                <w:p w14:paraId="7E6146BE" w14:textId="77777777" w:rsidR="00096052" w:rsidRPr="006D3CFF" w:rsidRDefault="00096052" w:rsidP="00096052">
                  <w:pPr>
                    <w:jc w:val="center"/>
                    <w:rPr>
                      <w:color w:val="000000"/>
                    </w:rPr>
                  </w:pPr>
                  <w:r>
                    <w:rPr>
                      <w:color w:val="000000"/>
                    </w:rPr>
                    <w:t>95,00</w:t>
                  </w:r>
                </w:p>
              </w:tc>
            </w:tr>
            <w:tr w:rsidR="00096052" w:rsidRPr="006D3CFF" w14:paraId="7C461FEB" w14:textId="77777777" w:rsidTr="00096052">
              <w:trPr>
                <w:trHeight w:val="60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D79419" w14:textId="77777777" w:rsidR="00096052" w:rsidRPr="006D3CFF" w:rsidRDefault="00096052" w:rsidP="00096052">
                  <w:pPr>
                    <w:rPr>
                      <w:color w:val="000000"/>
                    </w:rPr>
                  </w:pPr>
                  <w:r w:rsidRPr="006D3CFF">
                    <w:rPr>
                      <w:color w:val="000000"/>
                    </w:rPr>
                    <w:t>1</w:t>
                  </w:r>
                  <w:r>
                    <w:rPr>
                      <w:color w:val="000000"/>
                    </w:rPr>
                    <w:t>1</w:t>
                  </w:r>
                </w:p>
              </w:tc>
              <w:tc>
                <w:tcPr>
                  <w:tcW w:w="3783" w:type="dxa"/>
                  <w:tcBorders>
                    <w:top w:val="nil"/>
                    <w:left w:val="nil"/>
                    <w:bottom w:val="single" w:sz="4" w:space="0" w:color="auto"/>
                    <w:right w:val="single" w:sz="4" w:space="0" w:color="auto"/>
                  </w:tcBorders>
                  <w:shd w:val="clear" w:color="auto" w:fill="auto"/>
                  <w:vAlign w:val="center"/>
                  <w:hideMark/>
                </w:tcPr>
                <w:p w14:paraId="03595BBA" w14:textId="77777777" w:rsidR="00096052" w:rsidRPr="006D3CFF" w:rsidRDefault="00096052" w:rsidP="00096052">
                  <w:pPr>
                    <w:rPr>
                      <w:color w:val="000000"/>
                    </w:rPr>
                  </w:pPr>
                  <w:r w:rsidRPr="006D3CFF">
                    <w:rPr>
                      <w:color w:val="000000"/>
                    </w:rPr>
                    <w:t>IT</w:t>
                  </w:r>
                  <w:r>
                    <w:rPr>
                      <w:color w:val="000000"/>
                    </w:rPr>
                    <w:t xml:space="preserve"> pakalpojumi,</w:t>
                  </w:r>
                  <w:r w:rsidRPr="006D3CFF">
                    <w:rPr>
                      <w:color w:val="000000"/>
                    </w:rPr>
                    <w:t xml:space="preserve"> tehnika un programmatūra</w:t>
                  </w:r>
                </w:p>
              </w:tc>
              <w:tc>
                <w:tcPr>
                  <w:tcW w:w="1326" w:type="dxa"/>
                  <w:tcBorders>
                    <w:top w:val="nil"/>
                    <w:left w:val="nil"/>
                    <w:bottom w:val="single" w:sz="4" w:space="0" w:color="auto"/>
                    <w:right w:val="single" w:sz="4" w:space="0" w:color="auto"/>
                  </w:tcBorders>
                  <w:shd w:val="clear" w:color="auto" w:fill="auto"/>
                  <w:noWrap/>
                  <w:vAlign w:val="center"/>
                  <w:hideMark/>
                </w:tcPr>
                <w:p w14:paraId="16209D7A" w14:textId="77777777" w:rsidR="00096052" w:rsidRPr="006D3CFF" w:rsidRDefault="00096052" w:rsidP="00096052">
                  <w:pPr>
                    <w:jc w:val="center"/>
                    <w:rPr>
                      <w:color w:val="000000"/>
                    </w:rPr>
                  </w:pPr>
                  <w:r>
                    <w:rPr>
                      <w:color w:val="000000"/>
                    </w:rPr>
                    <w:t>5 050,00</w:t>
                  </w:r>
                </w:p>
              </w:tc>
            </w:tr>
            <w:tr w:rsidR="00096052" w:rsidRPr="006D3CFF" w14:paraId="405CD8D2" w14:textId="77777777" w:rsidTr="00096052">
              <w:trPr>
                <w:trHeight w:val="379"/>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4368F8" w14:textId="77777777" w:rsidR="00096052" w:rsidRPr="006D3CFF" w:rsidRDefault="00096052" w:rsidP="00096052">
                  <w:pPr>
                    <w:rPr>
                      <w:color w:val="000000"/>
                    </w:rPr>
                  </w:pPr>
                  <w:r w:rsidRPr="006D3CFF">
                    <w:rPr>
                      <w:color w:val="000000"/>
                    </w:rPr>
                    <w:t>1</w:t>
                  </w:r>
                  <w:r>
                    <w:rPr>
                      <w:color w:val="000000"/>
                    </w:rPr>
                    <w:t>2</w:t>
                  </w:r>
                </w:p>
              </w:tc>
              <w:tc>
                <w:tcPr>
                  <w:tcW w:w="3783" w:type="dxa"/>
                  <w:tcBorders>
                    <w:top w:val="nil"/>
                    <w:left w:val="nil"/>
                    <w:bottom w:val="single" w:sz="4" w:space="0" w:color="auto"/>
                    <w:right w:val="single" w:sz="4" w:space="0" w:color="auto"/>
                  </w:tcBorders>
                  <w:shd w:val="clear" w:color="auto" w:fill="auto"/>
                  <w:vAlign w:val="center"/>
                  <w:hideMark/>
                </w:tcPr>
                <w:p w14:paraId="1A1EA978" w14:textId="77777777" w:rsidR="00096052" w:rsidRPr="006D3CFF" w:rsidRDefault="00096052" w:rsidP="00096052">
                  <w:pPr>
                    <w:rPr>
                      <w:color w:val="000000"/>
                    </w:rPr>
                  </w:pPr>
                  <w:r w:rsidRPr="006D3CFF">
                    <w:rPr>
                      <w:color w:val="000000"/>
                    </w:rPr>
                    <w:t>Kancelejas un pasta izdevumi</w:t>
                  </w:r>
                </w:p>
              </w:tc>
              <w:tc>
                <w:tcPr>
                  <w:tcW w:w="1326" w:type="dxa"/>
                  <w:tcBorders>
                    <w:top w:val="nil"/>
                    <w:left w:val="nil"/>
                    <w:bottom w:val="single" w:sz="4" w:space="0" w:color="auto"/>
                    <w:right w:val="single" w:sz="4" w:space="0" w:color="auto"/>
                  </w:tcBorders>
                  <w:shd w:val="clear" w:color="auto" w:fill="auto"/>
                  <w:noWrap/>
                  <w:vAlign w:val="center"/>
                  <w:hideMark/>
                </w:tcPr>
                <w:p w14:paraId="25581CFD" w14:textId="77777777" w:rsidR="00096052" w:rsidRPr="006D3CFF" w:rsidRDefault="00096052" w:rsidP="00096052">
                  <w:pPr>
                    <w:jc w:val="center"/>
                    <w:rPr>
                      <w:color w:val="000000"/>
                    </w:rPr>
                  </w:pPr>
                  <w:r>
                    <w:rPr>
                      <w:color w:val="000000"/>
                    </w:rPr>
                    <w:t>820,00</w:t>
                  </w:r>
                </w:p>
              </w:tc>
            </w:tr>
            <w:tr w:rsidR="00096052" w:rsidRPr="006D3CFF" w14:paraId="7C68DB88" w14:textId="77777777" w:rsidTr="00096052">
              <w:trPr>
                <w:trHeight w:val="28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F6D1FF" w14:textId="77777777" w:rsidR="00096052" w:rsidRPr="006D3CFF" w:rsidRDefault="00096052" w:rsidP="00096052">
                  <w:pPr>
                    <w:rPr>
                      <w:color w:val="000000"/>
                    </w:rPr>
                  </w:pPr>
                  <w:r w:rsidRPr="006D3CFF">
                    <w:rPr>
                      <w:color w:val="000000"/>
                    </w:rPr>
                    <w:t>1</w:t>
                  </w:r>
                  <w:r>
                    <w:rPr>
                      <w:color w:val="000000"/>
                    </w:rPr>
                    <w:t>3</w:t>
                  </w:r>
                </w:p>
              </w:tc>
              <w:tc>
                <w:tcPr>
                  <w:tcW w:w="3783" w:type="dxa"/>
                  <w:tcBorders>
                    <w:top w:val="nil"/>
                    <w:left w:val="nil"/>
                    <w:bottom w:val="single" w:sz="4" w:space="0" w:color="auto"/>
                    <w:right w:val="single" w:sz="4" w:space="0" w:color="auto"/>
                  </w:tcBorders>
                  <w:shd w:val="clear" w:color="auto" w:fill="auto"/>
                  <w:vAlign w:val="center"/>
                  <w:hideMark/>
                </w:tcPr>
                <w:p w14:paraId="4BE2F815" w14:textId="77777777" w:rsidR="00096052" w:rsidRPr="006D3CFF" w:rsidRDefault="00096052" w:rsidP="00096052">
                  <w:pPr>
                    <w:rPr>
                      <w:color w:val="000000"/>
                    </w:rPr>
                  </w:pPr>
                  <w:r>
                    <w:rPr>
                      <w:color w:val="000000"/>
                    </w:rPr>
                    <w:t>Komandējumi</w:t>
                  </w:r>
                </w:p>
              </w:tc>
              <w:tc>
                <w:tcPr>
                  <w:tcW w:w="1326" w:type="dxa"/>
                  <w:tcBorders>
                    <w:top w:val="nil"/>
                    <w:left w:val="nil"/>
                    <w:bottom w:val="single" w:sz="4" w:space="0" w:color="auto"/>
                    <w:right w:val="single" w:sz="4" w:space="0" w:color="auto"/>
                  </w:tcBorders>
                  <w:shd w:val="clear" w:color="auto" w:fill="auto"/>
                  <w:noWrap/>
                  <w:vAlign w:val="center"/>
                  <w:hideMark/>
                </w:tcPr>
                <w:p w14:paraId="5D540C4D" w14:textId="77777777" w:rsidR="00096052" w:rsidRPr="006D3CFF" w:rsidRDefault="00096052" w:rsidP="00096052">
                  <w:pPr>
                    <w:jc w:val="center"/>
                    <w:rPr>
                      <w:color w:val="000000"/>
                    </w:rPr>
                  </w:pPr>
                  <w:r>
                    <w:rPr>
                      <w:color w:val="000000"/>
                    </w:rPr>
                    <w:t>1</w:t>
                  </w:r>
                  <w:r>
                    <w:rPr>
                      <w:b/>
                      <w:bCs/>
                      <w:color w:val="000000"/>
                    </w:rPr>
                    <w:t> </w:t>
                  </w:r>
                  <w:r>
                    <w:rPr>
                      <w:color w:val="000000"/>
                    </w:rPr>
                    <w:t>500,00</w:t>
                  </w:r>
                </w:p>
              </w:tc>
            </w:tr>
            <w:tr w:rsidR="00096052" w:rsidRPr="006D3CFF" w14:paraId="4D7CDE0A" w14:textId="77777777" w:rsidTr="00096052">
              <w:trPr>
                <w:trHeight w:val="544"/>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BAF062" w14:textId="77777777" w:rsidR="00096052" w:rsidRPr="006D3CFF" w:rsidRDefault="00096052" w:rsidP="00096052">
                  <w:pPr>
                    <w:rPr>
                      <w:color w:val="000000"/>
                    </w:rPr>
                  </w:pPr>
                  <w:r w:rsidRPr="006D3CFF">
                    <w:rPr>
                      <w:color w:val="000000"/>
                    </w:rPr>
                    <w:t>1</w:t>
                  </w:r>
                  <w:r>
                    <w:rPr>
                      <w:color w:val="000000"/>
                    </w:rPr>
                    <w:t>4</w:t>
                  </w:r>
                </w:p>
              </w:tc>
              <w:tc>
                <w:tcPr>
                  <w:tcW w:w="3783" w:type="dxa"/>
                  <w:tcBorders>
                    <w:top w:val="nil"/>
                    <w:left w:val="nil"/>
                    <w:bottom w:val="single" w:sz="4" w:space="0" w:color="auto"/>
                    <w:right w:val="single" w:sz="4" w:space="0" w:color="auto"/>
                  </w:tcBorders>
                  <w:shd w:val="clear" w:color="auto" w:fill="auto"/>
                  <w:vAlign w:val="center"/>
                  <w:hideMark/>
                </w:tcPr>
                <w:p w14:paraId="67A4C2BB" w14:textId="77777777" w:rsidR="00096052" w:rsidRPr="006D3CFF" w:rsidRDefault="00096052" w:rsidP="00096052">
                  <w:pPr>
                    <w:rPr>
                      <w:color w:val="000000"/>
                    </w:rPr>
                  </w:pPr>
                  <w:r w:rsidRPr="006D3CFF">
                    <w:rPr>
                      <w:color w:val="000000"/>
                    </w:rPr>
                    <w:t>Ekspertu kvalifikācijas celšana</w:t>
                  </w:r>
                  <w:r>
                    <w:rPr>
                      <w:color w:val="000000"/>
                    </w:rPr>
                    <w:t>s</w:t>
                  </w:r>
                  <w:r w:rsidRPr="006D3CFF">
                    <w:rPr>
                      <w:color w:val="000000"/>
                    </w:rPr>
                    <w:t xml:space="preserve"> pasākumi</w:t>
                  </w:r>
                </w:p>
              </w:tc>
              <w:tc>
                <w:tcPr>
                  <w:tcW w:w="1326" w:type="dxa"/>
                  <w:tcBorders>
                    <w:top w:val="nil"/>
                    <w:left w:val="nil"/>
                    <w:bottom w:val="single" w:sz="4" w:space="0" w:color="auto"/>
                    <w:right w:val="single" w:sz="4" w:space="0" w:color="auto"/>
                  </w:tcBorders>
                  <w:shd w:val="clear" w:color="auto" w:fill="auto"/>
                  <w:noWrap/>
                  <w:vAlign w:val="center"/>
                  <w:hideMark/>
                </w:tcPr>
                <w:p w14:paraId="36CF65B0" w14:textId="77777777" w:rsidR="00096052" w:rsidRPr="006D3CFF" w:rsidRDefault="00096052" w:rsidP="00096052">
                  <w:pPr>
                    <w:jc w:val="center"/>
                    <w:rPr>
                      <w:color w:val="000000"/>
                    </w:rPr>
                  </w:pPr>
                  <w:r>
                    <w:rPr>
                      <w:color w:val="000000"/>
                    </w:rPr>
                    <w:t>7</w:t>
                  </w:r>
                  <w:r>
                    <w:rPr>
                      <w:b/>
                      <w:bCs/>
                      <w:color w:val="000000"/>
                    </w:rPr>
                    <w:t> </w:t>
                  </w:r>
                  <w:r>
                    <w:rPr>
                      <w:color w:val="000000"/>
                    </w:rPr>
                    <w:t>450,00</w:t>
                  </w:r>
                </w:p>
              </w:tc>
            </w:tr>
            <w:tr w:rsidR="00096052" w:rsidRPr="006D3CFF" w14:paraId="2357076F" w14:textId="77777777" w:rsidTr="00096052">
              <w:trPr>
                <w:trHeight w:val="544"/>
                <w:jc w:val="center"/>
              </w:trPr>
              <w:tc>
                <w:tcPr>
                  <w:tcW w:w="810" w:type="dxa"/>
                  <w:tcBorders>
                    <w:top w:val="nil"/>
                    <w:left w:val="single" w:sz="4" w:space="0" w:color="auto"/>
                    <w:bottom w:val="single" w:sz="4" w:space="0" w:color="auto"/>
                    <w:right w:val="single" w:sz="4" w:space="0" w:color="auto"/>
                  </w:tcBorders>
                  <w:shd w:val="clear" w:color="auto" w:fill="auto"/>
                  <w:noWrap/>
                  <w:vAlign w:val="center"/>
                </w:tcPr>
                <w:p w14:paraId="4A5EFBF3" w14:textId="77777777" w:rsidR="00096052" w:rsidRPr="00A87D40" w:rsidRDefault="00096052" w:rsidP="00096052">
                  <w:r w:rsidRPr="00A87D40">
                    <w:t>15</w:t>
                  </w:r>
                </w:p>
              </w:tc>
              <w:tc>
                <w:tcPr>
                  <w:tcW w:w="3783" w:type="dxa"/>
                  <w:tcBorders>
                    <w:top w:val="nil"/>
                    <w:left w:val="nil"/>
                    <w:bottom w:val="single" w:sz="4" w:space="0" w:color="auto"/>
                    <w:right w:val="single" w:sz="4" w:space="0" w:color="auto"/>
                  </w:tcBorders>
                  <w:shd w:val="clear" w:color="auto" w:fill="auto"/>
                  <w:vAlign w:val="center"/>
                </w:tcPr>
                <w:p w14:paraId="38F47CB5" w14:textId="77777777" w:rsidR="00096052" w:rsidRPr="00A87D40" w:rsidRDefault="00096052" w:rsidP="00096052">
                  <w:r w:rsidRPr="00A87D40">
                    <w:t>Citi pakalpojumi</w:t>
                  </w:r>
                </w:p>
              </w:tc>
              <w:tc>
                <w:tcPr>
                  <w:tcW w:w="1326" w:type="dxa"/>
                  <w:tcBorders>
                    <w:top w:val="nil"/>
                    <w:left w:val="nil"/>
                    <w:bottom w:val="single" w:sz="4" w:space="0" w:color="auto"/>
                    <w:right w:val="single" w:sz="4" w:space="0" w:color="auto"/>
                  </w:tcBorders>
                  <w:shd w:val="clear" w:color="auto" w:fill="auto"/>
                  <w:noWrap/>
                  <w:vAlign w:val="center"/>
                </w:tcPr>
                <w:p w14:paraId="16610705" w14:textId="77777777" w:rsidR="00096052" w:rsidRPr="00A87D40" w:rsidRDefault="00096052" w:rsidP="00096052">
                  <w:pPr>
                    <w:jc w:val="center"/>
                  </w:pPr>
                  <w:r w:rsidRPr="00A87D40">
                    <w:rPr>
                      <w:bCs/>
                    </w:rPr>
                    <w:t>1</w:t>
                  </w:r>
                  <w:r w:rsidRPr="00A87D40">
                    <w:t> 900,00</w:t>
                  </w:r>
                </w:p>
              </w:tc>
            </w:tr>
            <w:tr w:rsidR="00096052" w:rsidRPr="006D3CFF" w14:paraId="2BBA03CE" w14:textId="77777777" w:rsidTr="00096052">
              <w:trPr>
                <w:trHeight w:val="300"/>
                <w:jc w:val="center"/>
              </w:trPr>
              <w:tc>
                <w:tcPr>
                  <w:tcW w:w="4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0524" w14:textId="77777777" w:rsidR="00096052" w:rsidRPr="006D3CFF" w:rsidRDefault="00096052" w:rsidP="00096052">
                  <w:pPr>
                    <w:rPr>
                      <w:b/>
                      <w:bCs/>
                      <w:color w:val="000000"/>
                    </w:rPr>
                  </w:pPr>
                  <w:r w:rsidRPr="006D3CFF">
                    <w:rPr>
                      <w:b/>
                      <w:bCs/>
                      <w:color w:val="000000"/>
                    </w:rPr>
                    <w:t>Kopā netiešās izmaksas (</w:t>
                  </w:r>
                  <w:r w:rsidRPr="006D3CFF">
                    <w:rPr>
                      <w:b/>
                      <w:bCs/>
                      <w:i/>
                      <w:color w:val="000000"/>
                    </w:rPr>
                    <w:t>euro</w:t>
                  </w:r>
                  <w:r w:rsidRPr="006D3CFF">
                    <w:rPr>
                      <w:b/>
                      <w:bCs/>
                      <w:color w:val="000000"/>
                    </w:rPr>
                    <w:t>)</w:t>
                  </w:r>
                </w:p>
              </w:tc>
              <w:tc>
                <w:tcPr>
                  <w:tcW w:w="1326" w:type="dxa"/>
                  <w:tcBorders>
                    <w:top w:val="nil"/>
                    <w:left w:val="nil"/>
                    <w:bottom w:val="single" w:sz="4" w:space="0" w:color="auto"/>
                    <w:right w:val="single" w:sz="4" w:space="0" w:color="auto"/>
                  </w:tcBorders>
                  <w:shd w:val="clear" w:color="auto" w:fill="auto"/>
                  <w:noWrap/>
                  <w:vAlign w:val="center"/>
                  <w:hideMark/>
                </w:tcPr>
                <w:p w14:paraId="0D630B6D" w14:textId="77777777" w:rsidR="00096052" w:rsidRPr="006D3CFF" w:rsidRDefault="00096052" w:rsidP="00096052">
                  <w:pPr>
                    <w:jc w:val="center"/>
                    <w:rPr>
                      <w:b/>
                      <w:bCs/>
                      <w:color w:val="000000"/>
                    </w:rPr>
                  </w:pPr>
                  <w:r>
                    <w:rPr>
                      <w:b/>
                      <w:bCs/>
                      <w:color w:val="000000"/>
                    </w:rPr>
                    <w:t>55 625,00</w:t>
                  </w:r>
                </w:p>
              </w:tc>
            </w:tr>
            <w:tr w:rsidR="00096052" w:rsidRPr="006D3CFF" w14:paraId="56C9606A" w14:textId="77777777" w:rsidTr="00096052">
              <w:trPr>
                <w:trHeight w:val="300"/>
                <w:jc w:val="center"/>
              </w:trPr>
              <w:tc>
                <w:tcPr>
                  <w:tcW w:w="4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0B9F3" w14:textId="77777777" w:rsidR="00096052" w:rsidRPr="006D3CFF" w:rsidRDefault="00096052" w:rsidP="00096052">
                  <w:pPr>
                    <w:jc w:val="both"/>
                    <w:rPr>
                      <w:b/>
                      <w:bCs/>
                      <w:color w:val="000000"/>
                    </w:rPr>
                  </w:pPr>
                  <w:r w:rsidRPr="006D3CFF">
                    <w:rPr>
                      <w:b/>
                      <w:bCs/>
                      <w:color w:val="000000"/>
                    </w:rPr>
                    <w:t xml:space="preserve">Kopā uz 1 </w:t>
                  </w:r>
                  <w:r>
                    <w:rPr>
                      <w:b/>
                      <w:bCs/>
                      <w:color w:val="000000"/>
                    </w:rPr>
                    <w:t>sertificētu arhitektu</w:t>
                  </w:r>
                  <w:r w:rsidRPr="006D3CFF">
                    <w:rPr>
                      <w:b/>
                      <w:bCs/>
                      <w:color w:val="000000"/>
                    </w:rPr>
                    <w:t xml:space="preserve"> (</w:t>
                  </w:r>
                  <w:r w:rsidRPr="006D3CFF">
                    <w:rPr>
                      <w:b/>
                      <w:bCs/>
                      <w:i/>
                      <w:color w:val="000000"/>
                    </w:rPr>
                    <w:t>euro</w:t>
                  </w:r>
                  <w:r w:rsidRPr="006D3CFF">
                    <w:rPr>
                      <w:b/>
                      <w:bCs/>
                      <w:color w:val="000000"/>
                    </w:rPr>
                    <w:t>)</w:t>
                  </w:r>
                </w:p>
              </w:tc>
              <w:tc>
                <w:tcPr>
                  <w:tcW w:w="1326" w:type="dxa"/>
                  <w:tcBorders>
                    <w:top w:val="nil"/>
                    <w:left w:val="nil"/>
                    <w:bottom w:val="single" w:sz="4" w:space="0" w:color="auto"/>
                    <w:right w:val="single" w:sz="4" w:space="0" w:color="auto"/>
                  </w:tcBorders>
                  <w:shd w:val="clear" w:color="auto" w:fill="auto"/>
                  <w:noWrap/>
                  <w:vAlign w:val="center"/>
                  <w:hideMark/>
                </w:tcPr>
                <w:p w14:paraId="5A5A5706" w14:textId="77777777" w:rsidR="00096052" w:rsidRPr="006D3CFF" w:rsidRDefault="00096052" w:rsidP="00096052">
                  <w:pPr>
                    <w:jc w:val="center"/>
                    <w:rPr>
                      <w:b/>
                      <w:bCs/>
                      <w:color w:val="000000"/>
                    </w:rPr>
                  </w:pPr>
                  <w:r>
                    <w:rPr>
                      <w:b/>
                      <w:bCs/>
                      <w:color w:val="000000"/>
                    </w:rPr>
                    <w:t>67,00</w:t>
                  </w:r>
                </w:p>
              </w:tc>
            </w:tr>
          </w:tbl>
          <w:p w14:paraId="0684972E" w14:textId="77777777" w:rsidR="00096052" w:rsidRPr="00064DE9" w:rsidRDefault="00096052" w:rsidP="00096052">
            <w:pPr>
              <w:shd w:val="clear" w:color="auto" w:fill="FFFFFF"/>
              <w:jc w:val="both"/>
              <w:rPr>
                <w:sz w:val="14"/>
              </w:rPr>
            </w:pPr>
          </w:p>
          <w:p w14:paraId="27A87CEE" w14:textId="0618F19B" w:rsidR="00096052" w:rsidRPr="00B74E1D" w:rsidRDefault="00096052" w:rsidP="00096052">
            <w:pPr>
              <w:autoSpaceDE w:val="0"/>
              <w:autoSpaceDN w:val="0"/>
              <w:adjustRightInd w:val="0"/>
              <w:ind w:firstLine="402"/>
              <w:jc w:val="both"/>
              <w:rPr>
                <w:bCs/>
              </w:rPr>
            </w:pPr>
            <w:r w:rsidRPr="00B74E1D">
              <w:rPr>
                <w:bCs/>
              </w:rPr>
              <w:t>Izmaksās iekļauts biroja darbinieku atalgojums (</w:t>
            </w:r>
            <w:r>
              <w:rPr>
                <w:bCs/>
              </w:rPr>
              <w:t>lietvedis</w:t>
            </w:r>
            <w:r w:rsidRPr="00B74E1D">
              <w:rPr>
                <w:bCs/>
              </w:rPr>
              <w:t xml:space="preserve">, </w:t>
            </w:r>
            <w:r>
              <w:rPr>
                <w:bCs/>
              </w:rPr>
              <w:t>institūcijas</w:t>
            </w:r>
            <w:r w:rsidRPr="00B74E1D">
              <w:rPr>
                <w:bCs/>
              </w:rPr>
              <w:t xml:space="preserve"> vadītājs, kvalitātes vadītājs, </w:t>
            </w:r>
            <w:r>
              <w:rPr>
                <w:bCs/>
              </w:rPr>
              <w:t>organizācijas padome</w:t>
            </w:r>
            <w:r w:rsidRPr="00B74E1D">
              <w:rPr>
                <w:bCs/>
              </w:rPr>
              <w:t>)</w:t>
            </w:r>
            <w:r>
              <w:rPr>
                <w:bCs/>
              </w:rPr>
              <w:t>, grāmatvedības pakalpojumi</w:t>
            </w:r>
            <w:r w:rsidRPr="00B74E1D">
              <w:rPr>
                <w:bCs/>
              </w:rPr>
              <w:t>.</w:t>
            </w:r>
          </w:p>
          <w:p w14:paraId="05CD794D" w14:textId="77777777" w:rsidR="00096052" w:rsidRPr="00B74E1D" w:rsidRDefault="00096052" w:rsidP="00096052">
            <w:pPr>
              <w:autoSpaceDE w:val="0"/>
              <w:autoSpaceDN w:val="0"/>
              <w:adjustRightInd w:val="0"/>
              <w:ind w:firstLine="402"/>
              <w:jc w:val="both"/>
              <w:rPr>
                <w:bCs/>
              </w:rPr>
            </w:pPr>
            <w:r w:rsidRPr="00B74E1D">
              <w:rPr>
                <w:bCs/>
              </w:rPr>
              <w:t xml:space="preserve">Aprēķinātas arī izmaksas, kuras saistītas ar telpu uzturēšanu, pasta un kancelejas izdevumiem, IT </w:t>
            </w:r>
            <w:r>
              <w:rPr>
                <w:bCs/>
              </w:rPr>
              <w:t xml:space="preserve">sistēmas </w:t>
            </w:r>
            <w:r w:rsidRPr="00B74E1D">
              <w:rPr>
                <w:bCs/>
              </w:rPr>
              <w:t>un programatūras uzturēšanas izmaksas.</w:t>
            </w:r>
          </w:p>
          <w:p w14:paraId="36B33359" w14:textId="6AA853DC" w:rsidR="00096052" w:rsidRPr="00B74E1D" w:rsidRDefault="00096052" w:rsidP="00096052">
            <w:pPr>
              <w:autoSpaceDE w:val="0"/>
              <w:autoSpaceDN w:val="0"/>
              <w:adjustRightInd w:val="0"/>
              <w:ind w:firstLine="402"/>
              <w:jc w:val="both"/>
              <w:rPr>
                <w:bCs/>
              </w:rPr>
            </w:pPr>
            <w:r w:rsidRPr="00B74E1D">
              <w:rPr>
                <w:bCs/>
              </w:rPr>
              <w:t xml:space="preserve">Akreditācijas izmaksas iekļautas, jo </w:t>
            </w:r>
            <w:r w:rsidR="00E95784" w:rsidRPr="00E95784">
              <w:rPr>
                <w:bCs/>
                <w:iCs/>
              </w:rPr>
              <w:t>AKPI</w:t>
            </w:r>
            <w:r w:rsidRPr="00B74E1D">
              <w:rPr>
                <w:bCs/>
              </w:rPr>
              <w:t xml:space="preserve"> ir jābūt spēkā esošai akreditācijai </w:t>
            </w:r>
            <w:r>
              <w:rPr>
                <w:bCs/>
              </w:rPr>
              <w:t xml:space="preserve">Latvijas </w:t>
            </w:r>
            <w:r w:rsidRPr="00B74E1D">
              <w:rPr>
                <w:bCs/>
              </w:rPr>
              <w:t xml:space="preserve">nacionālajā akreditācijas </w:t>
            </w:r>
            <w:r>
              <w:rPr>
                <w:bCs/>
              </w:rPr>
              <w:t>birojā</w:t>
            </w:r>
            <w:r w:rsidRPr="00B74E1D">
              <w:rPr>
                <w:bCs/>
              </w:rPr>
              <w:t xml:space="preserve"> kā personu sertificēšanas institūcijai saskaņā ar normatīvajiem aktiem par atbilstības novērtēšanu vai akreditācijai citas Eiropas Savienības dalībvalsts akreditācijas institūcijā. </w:t>
            </w:r>
          </w:p>
          <w:p w14:paraId="13C5B5E6" w14:textId="586896B2" w:rsidR="00096052" w:rsidRPr="00B74E1D" w:rsidRDefault="00096052" w:rsidP="00096052">
            <w:pPr>
              <w:autoSpaceDE w:val="0"/>
              <w:autoSpaceDN w:val="0"/>
              <w:adjustRightInd w:val="0"/>
              <w:ind w:firstLine="402"/>
              <w:jc w:val="both"/>
              <w:rPr>
                <w:bCs/>
              </w:rPr>
            </w:pPr>
            <w:r>
              <w:rPr>
                <w:bCs/>
              </w:rPr>
              <w:t>Revīzijas</w:t>
            </w:r>
            <w:r w:rsidRPr="00B74E1D">
              <w:rPr>
                <w:bCs/>
              </w:rPr>
              <w:t xml:space="preserve"> izmaksas iekļautas, jo atbilstoši </w:t>
            </w:r>
            <w:r w:rsidRPr="00C97CA2">
              <w:rPr>
                <w:iCs/>
              </w:rPr>
              <w:t>deleģēšanas līgumam</w:t>
            </w:r>
            <w:r>
              <w:t xml:space="preserve"> </w:t>
            </w:r>
            <w:r w:rsidR="00E95784" w:rsidRPr="00E95784">
              <w:rPr>
                <w:iCs/>
              </w:rPr>
              <w:t>AKPI</w:t>
            </w:r>
            <w:r>
              <w:rPr>
                <w:bCs/>
              </w:rPr>
              <w:t xml:space="preserve"> </w:t>
            </w:r>
            <w:r w:rsidRPr="00B74E1D">
              <w:rPr>
                <w:bCs/>
              </w:rPr>
              <w:t>pienākumi ietver ik gadu sniegt zvērināta revidenta auditētu darbības pārskatu par iepriekšējā kalendāra gadā deleģēto uzdevumu izpildi, ieņēmumiem no pakalpojumu maksas un līdzekļu izlietojumu.</w:t>
            </w:r>
          </w:p>
          <w:p w14:paraId="22E006DB" w14:textId="7EB705B3" w:rsidR="00096052" w:rsidRPr="00B74E1D" w:rsidRDefault="00096052" w:rsidP="00096052">
            <w:pPr>
              <w:autoSpaceDE w:val="0"/>
              <w:autoSpaceDN w:val="0"/>
              <w:adjustRightInd w:val="0"/>
              <w:ind w:firstLine="402"/>
              <w:jc w:val="both"/>
              <w:rPr>
                <w:bCs/>
              </w:rPr>
            </w:pPr>
            <w:r w:rsidRPr="009A118B">
              <w:t>Noslēgtajā deleģēšanas līgumā</w:t>
            </w:r>
            <w:r>
              <w:t xml:space="preserve"> </w:t>
            </w:r>
            <w:r w:rsidRPr="00B74E1D">
              <w:rPr>
                <w:bCs/>
              </w:rPr>
              <w:t xml:space="preserve">ir iekļauta prasība, ka </w:t>
            </w:r>
            <w:r w:rsidR="00E95784" w:rsidRPr="00E95784">
              <w:rPr>
                <w:bCs/>
                <w:iCs/>
              </w:rPr>
              <w:t>AKPI</w:t>
            </w:r>
            <w:r w:rsidRPr="00B74E1D">
              <w:rPr>
                <w:bCs/>
              </w:rPr>
              <w:t xml:space="preserve"> ir jābūt civiltiesiskajai apdrošināšanai ar līguma summu vismaz 100</w:t>
            </w:r>
            <w:r>
              <w:rPr>
                <w:bCs/>
              </w:rPr>
              <w:t> </w:t>
            </w:r>
            <w:r w:rsidRPr="00B74E1D">
              <w:rPr>
                <w:bCs/>
              </w:rPr>
              <w:t xml:space="preserve">000 </w:t>
            </w:r>
            <w:r w:rsidRPr="00941AA5">
              <w:rPr>
                <w:bCs/>
                <w:i/>
              </w:rPr>
              <w:t>euro</w:t>
            </w:r>
            <w:r w:rsidRPr="00B74E1D">
              <w:rPr>
                <w:bCs/>
              </w:rPr>
              <w:t xml:space="preserve"> apmērā, kā arī pirmā pieprasījuma garantijai 10</w:t>
            </w:r>
            <w:r>
              <w:rPr>
                <w:bCs/>
              </w:rPr>
              <w:t> </w:t>
            </w:r>
            <w:r w:rsidRPr="00B74E1D">
              <w:rPr>
                <w:bCs/>
              </w:rPr>
              <w:t xml:space="preserve">000 </w:t>
            </w:r>
            <w:r w:rsidRPr="00941AA5">
              <w:rPr>
                <w:bCs/>
                <w:i/>
              </w:rPr>
              <w:t>euro</w:t>
            </w:r>
            <w:r w:rsidRPr="00B74E1D">
              <w:rPr>
                <w:bCs/>
              </w:rPr>
              <w:t xml:space="preserve"> apmērā, kas iestājas, ja </w:t>
            </w:r>
            <w:r w:rsidR="00E95784" w:rsidRPr="00E95784">
              <w:rPr>
                <w:bCs/>
                <w:iCs/>
              </w:rPr>
              <w:t>AKPI</w:t>
            </w:r>
            <w:r w:rsidRPr="00B74E1D" w:rsidDel="0043765C">
              <w:rPr>
                <w:bCs/>
              </w:rPr>
              <w:t xml:space="preserve"> </w:t>
            </w:r>
            <w:r w:rsidRPr="00B74E1D">
              <w:rPr>
                <w:bCs/>
              </w:rPr>
              <w:t>pārtrauc valsts deleģētā uzdevuma izpili, līdz ar to netiešajās izmaksā</w:t>
            </w:r>
            <w:r>
              <w:rPr>
                <w:bCs/>
              </w:rPr>
              <w:t>s</w:t>
            </w:r>
            <w:r w:rsidRPr="00B74E1D">
              <w:rPr>
                <w:bCs/>
              </w:rPr>
              <w:t xml:space="preserve"> ir iekļauta </w:t>
            </w:r>
            <w:r w:rsidRPr="00B74E1D">
              <w:rPr>
                <w:bCs/>
              </w:rPr>
              <w:lastRenderedPageBreak/>
              <w:t xml:space="preserve">civiltiesiskās apdrošināšanas prēmijas un pirmā pieprasījuma garantijas </w:t>
            </w:r>
            <w:r>
              <w:rPr>
                <w:bCs/>
              </w:rPr>
              <w:t>apdrošināšanas</w:t>
            </w:r>
            <w:r w:rsidRPr="00B74E1D">
              <w:rPr>
                <w:bCs/>
              </w:rPr>
              <w:t xml:space="preserve"> maksa.</w:t>
            </w:r>
          </w:p>
          <w:p w14:paraId="0773D249" w14:textId="77777777" w:rsidR="00096052" w:rsidRDefault="00096052" w:rsidP="00096052">
            <w:pPr>
              <w:autoSpaceDE w:val="0"/>
              <w:autoSpaceDN w:val="0"/>
              <w:adjustRightInd w:val="0"/>
              <w:ind w:firstLine="402"/>
              <w:jc w:val="both"/>
              <w:rPr>
                <w:bCs/>
              </w:rPr>
            </w:pPr>
            <w:r w:rsidRPr="00C97CA2">
              <w:rPr>
                <w:bCs/>
                <w:iCs/>
              </w:rPr>
              <w:t>LAS</w:t>
            </w:r>
            <w:r w:rsidRPr="00B74E1D">
              <w:rPr>
                <w:bCs/>
              </w:rPr>
              <w:t xml:space="preserve"> ir nodarbināti </w:t>
            </w:r>
            <w:r>
              <w:rPr>
                <w:bCs/>
              </w:rPr>
              <w:t>15</w:t>
            </w:r>
            <w:r w:rsidRPr="00B74E1D">
              <w:rPr>
                <w:bCs/>
              </w:rPr>
              <w:t xml:space="preserve"> eksperti, līdz ar to </w:t>
            </w:r>
            <w:r w:rsidRPr="00C97CA2">
              <w:rPr>
                <w:bCs/>
                <w:iCs/>
              </w:rPr>
              <w:t>LAS</w:t>
            </w:r>
            <w:r w:rsidRPr="00B74E1D">
              <w:rPr>
                <w:bCs/>
              </w:rPr>
              <w:t xml:space="preserve"> regulāri (katru gadu) ir jānodrošina šo ekspertu kvalifikācijas celšanas kursi.</w:t>
            </w:r>
          </w:p>
          <w:p w14:paraId="0156DC04" w14:textId="511978DC" w:rsidR="00096052" w:rsidRPr="00A87D40" w:rsidRDefault="00096052" w:rsidP="00096052">
            <w:pPr>
              <w:autoSpaceDE w:val="0"/>
              <w:autoSpaceDN w:val="0"/>
              <w:adjustRightInd w:val="0"/>
              <w:ind w:firstLine="402"/>
              <w:jc w:val="both"/>
              <w:rPr>
                <w:bCs/>
              </w:rPr>
            </w:pPr>
            <w:r w:rsidRPr="00A87D40">
              <w:t xml:space="preserve">Citi pakalpojumi ir </w:t>
            </w:r>
            <w:r w:rsidR="00E95784" w:rsidRPr="00E95784">
              <w:rPr>
                <w:iCs/>
              </w:rPr>
              <w:t>AKPI</w:t>
            </w:r>
            <w:r w:rsidRPr="00A87D40">
              <w:t xml:space="preserve"> nepieciešamie pakalpojumi normatīvajos aktos, deleģēšanas līgumā un standartā noteikto uzdevumu izpildei (piemēram, arhivēšana, ieinteresēto pušu sanāksmju organizēšana un apkalpošana, datu aizsardzības konsultācijas).</w:t>
            </w:r>
          </w:p>
          <w:p w14:paraId="7C434058" w14:textId="77777777" w:rsidR="00096052" w:rsidRPr="00B74E1D" w:rsidRDefault="00096052" w:rsidP="00096052">
            <w:pPr>
              <w:autoSpaceDE w:val="0"/>
              <w:autoSpaceDN w:val="0"/>
              <w:adjustRightInd w:val="0"/>
              <w:ind w:firstLine="402"/>
              <w:jc w:val="both"/>
            </w:pPr>
            <w:r>
              <w:t>Arhitektu</w:t>
            </w:r>
            <w:r w:rsidRPr="00B74E1D">
              <w:t xml:space="preserve"> uzraudzības ietvaros</w:t>
            </w:r>
            <w:r>
              <w:t xml:space="preserve"> minēto darbību</w:t>
            </w:r>
            <w:r w:rsidRPr="00B74E1D">
              <w:t xml:space="preserve"> </w:t>
            </w:r>
            <w:r>
              <w:t>veikšanas ne</w:t>
            </w:r>
            <w:r w:rsidRPr="00B74E1D">
              <w:t xml:space="preserve">tiešās izmaksas uz vienu </w:t>
            </w:r>
            <w:r>
              <w:t>arhitektu</w:t>
            </w:r>
            <w:r w:rsidRPr="00B74E1D">
              <w:t xml:space="preserve"> sastāda </w:t>
            </w:r>
            <w:r>
              <w:t>67,00</w:t>
            </w:r>
            <w:r w:rsidRPr="00B74E1D">
              <w:t xml:space="preserve"> </w:t>
            </w:r>
            <w:r w:rsidRPr="00941AA5">
              <w:rPr>
                <w:i/>
              </w:rPr>
              <w:t>euro</w:t>
            </w:r>
            <w:r w:rsidRPr="00B74E1D">
              <w:t>.</w:t>
            </w:r>
          </w:p>
          <w:p w14:paraId="3B086755" w14:textId="77777777" w:rsidR="00096052" w:rsidRPr="00064DE9" w:rsidRDefault="00096052" w:rsidP="00096052">
            <w:pPr>
              <w:shd w:val="clear" w:color="auto" w:fill="FFFFFF"/>
              <w:jc w:val="both"/>
              <w:rPr>
                <w:b/>
                <w:sz w:val="10"/>
                <w:u w:val="single"/>
              </w:rPr>
            </w:pPr>
          </w:p>
          <w:p w14:paraId="4C70F488" w14:textId="77777777" w:rsidR="00096052" w:rsidRPr="00457AF6" w:rsidRDefault="00096052" w:rsidP="00096052">
            <w:pPr>
              <w:shd w:val="clear" w:color="auto" w:fill="FFFFFF"/>
              <w:jc w:val="both"/>
              <w:rPr>
                <w:b/>
              </w:rPr>
            </w:pPr>
            <w:r w:rsidRPr="00457AF6">
              <w:rPr>
                <w:b/>
              </w:rPr>
              <w:t>Tiešās izmaksas</w:t>
            </w:r>
          </w:p>
          <w:p w14:paraId="2461D847" w14:textId="77777777" w:rsidR="00096052" w:rsidRPr="00064DE9" w:rsidRDefault="00096052" w:rsidP="00096052">
            <w:pPr>
              <w:shd w:val="clear" w:color="auto" w:fill="FFFFFF"/>
              <w:jc w:val="both"/>
              <w:rPr>
                <w:b/>
                <w:sz w:val="10"/>
                <w:u w:val="single"/>
              </w:rPr>
            </w:pPr>
          </w:p>
          <w:p w14:paraId="58B2F196" w14:textId="77777777" w:rsidR="00096052" w:rsidRDefault="00096052" w:rsidP="00096052">
            <w:pPr>
              <w:shd w:val="clear" w:color="auto" w:fill="FFFFFF"/>
              <w:ind w:firstLine="455"/>
              <w:jc w:val="both"/>
            </w:pPr>
            <w:r>
              <w:t>Arhitektu</w:t>
            </w:r>
            <w:r w:rsidRPr="00B74E1D">
              <w:t xml:space="preserve"> uzraudzības ietvaros tiek veiktas šādas </w:t>
            </w:r>
            <w:r>
              <w:t>darbības</w:t>
            </w:r>
            <w:r w:rsidRPr="00B74E1D">
              <w:t>:</w:t>
            </w:r>
          </w:p>
          <w:p w14:paraId="5FE6F665" w14:textId="77777777" w:rsidR="00DE493D" w:rsidRDefault="00DE493D" w:rsidP="00DE493D">
            <w:pPr>
              <w:shd w:val="clear" w:color="auto" w:fill="FFFFFF"/>
              <w:ind w:firstLine="392"/>
              <w:contextualSpacing/>
              <w:jc w:val="both"/>
            </w:pPr>
            <w:r>
              <w:t>1.</w:t>
            </w:r>
            <w:r>
              <w:tab/>
              <w:t>saskaņā ar Noteikumu Nr.169 46.punktu AKPI katru gadu ir jāpārbauda, vai visi arhitekti ir izpildījuši Noteikumu Nr.169 44.5., 44.6. un 44.7. apakšpunktā minētos pienākumus, kas iekļauj aktuālās informācijas ievadīšanu būvspeciālistu reģistrā un patstāvīgās prakses uzraudzības gada maksas veikšanu. Šajā pārbaudē katru gadu tiek pārbaudīti visi arhitekti (turpmāk – 100% pārbaude). 100% pārbaudē informācija netiek pārbaudīta pēc būtības, līdz ar to šo pārbaudi var veikt administratīvais personāls. Ja pārbaudes laikā tiek konstatēts, ka arhitekts nav izpildījis kādu no minētajiem pienākumiem, AKPI ir jāpieprasa šī pienākuma izpilde. AKPI norāda, ka vidējā administratīvā personāla atlīdzība ieskaitot nodokļu maksājumus ir 12 euro stundā, jo administratīvajam personālam ir jābūt ar atbilstošu kompetenci būvniecības jomā;</w:t>
            </w:r>
          </w:p>
          <w:p w14:paraId="3A8778CD" w14:textId="77777777" w:rsidR="00DE493D" w:rsidRDefault="00DE493D" w:rsidP="00DE493D">
            <w:pPr>
              <w:shd w:val="clear" w:color="auto" w:fill="FFFFFF"/>
              <w:ind w:firstLine="392"/>
              <w:contextualSpacing/>
              <w:jc w:val="both"/>
            </w:pPr>
            <w:r>
              <w:t>2.</w:t>
            </w:r>
            <w:r>
              <w:tab/>
              <w:t>saskaņā ar Būvniecības likuma 13. panta 91 daļu AKPI ne retāk kā reizi piecos gados pēc būtības ir jāpārbauda arhitekta iesniegtā informācija par patstāvīgo praksi, izglītību, apgūtajām profesionālās pilnveides programmām un citiem kompetenci paaugstinošiem pasākumiem sertifikātā norādītajā jomā. Šajā pārbaudē katru gadu tiek pārbaudīti 20% no kopējā arhitektu skaita (turpmāk – 20% pārbaude). 20% pārbaude tiek veikta, komunicējot ar pārbaudāmo arhitektu – informējot par pārbaudi un nepieciešamības gadījumā pieprasot iesniegt papildus informāciju, kā arī prakses un tālākizglītības apjoma atbilstību institūcijas noteiktajiem kritērijiem analizējot iesniegto informāciju. Ņemot vērā, ka šajā pārbaudē ir jāizvērtē arhitektu iesniegtie dokumenti pēc būtības, kā arī šīs pārbaudes laikā tiek noteikta arhitekta prakses atbilstība informatīvās piezīmes piešķiršanas kritērijiem un šīs pārbaudes laikā, uz risku analīzi balstoties tiek arī atlasīti arhitekti padziļinātai pārbaudei, 20% pārbaudi atbilstošā kvalitātē var veikt tikai AKPI eksperti, kuri atbilst Noteikumu Nr.169 20. punkta prasībām. AKPI norāda, ka vidējā eksperta atlīdzība ieskaitot nodokļu maksājumus ir 40 euro stundā;</w:t>
            </w:r>
          </w:p>
          <w:p w14:paraId="7A3230D4" w14:textId="77777777" w:rsidR="00DE493D" w:rsidRDefault="00DE493D" w:rsidP="00DE493D">
            <w:pPr>
              <w:shd w:val="clear" w:color="auto" w:fill="FFFFFF"/>
              <w:ind w:firstLine="392"/>
              <w:contextualSpacing/>
              <w:jc w:val="both"/>
            </w:pPr>
            <w:r>
              <w:t>3.</w:t>
            </w:r>
            <w:r>
              <w:tab/>
              <w:t>saskaņā ar Būvniecības likuma 13. panta 91 daļas 3. punktu un Noteikumu Nr.169 47. punktu AKPI ir jāizvērtē par arhitektiem saņemtās sūdzības (turpmāk – sūdzību izvērtēšana). Ņemot vērā Vadlīnijās noteikto, institūcijai jābūt pietiekošiem resursiem, lai gadā veiktu  sūdzību izvērtēšanu līdz 5% no kopējā sertificēto arhitektu skaita. Sūdzību izvērtēšanā ir jāizvērtē sarežģītas situācijas, atsevišķos gadījumos vienlaicīgi iesaistot vairākus ekspertus un juristu, kā arī veicot būvprojekta ekspertīzi, analizējot būvprojekta izstrādes procesa dokumentāciju. Līdz ar to sūdzību izskatīšanu pēc būtības var veikt tikai veic AKPI eksperti. AKPI norāda, ka juridiskie pakalpojumi ir kā ārpakalpojums un vidējā jurista stundas likme ir 100 euro stundā. Gadījumā, ja vidējais izskatāmo sūdzību skaits būtiski pārsniegs 5% no kopējā arhitektu skaita, būs nepieciešams pārskatīt arhitektu uzraudzības maksu;</w:t>
            </w:r>
          </w:p>
          <w:p w14:paraId="7288257B" w14:textId="77777777" w:rsidR="00DE493D" w:rsidRDefault="00DE493D" w:rsidP="00DE493D">
            <w:pPr>
              <w:shd w:val="clear" w:color="auto" w:fill="FFFFFF"/>
              <w:ind w:firstLine="392"/>
              <w:contextualSpacing/>
              <w:jc w:val="both"/>
            </w:pPr>
            <w:r>
              <w:lastRenderedPageBreak/>
              <w:t>4.</w:t>
            </w:r>
            <w:r>
              <w:tab/>
              <w:t>saskaņā ar Vadlīnijām AKPI plānveidīgi, balstoties uz risku analīzi ir jāveic padziļināta pārbaude 1% arhitektu, no kopējā arhitektu skaita (turpmāk – 1% pārbaude). 1% pārbaudē tiek pēc nejaušības principa izvēlēts viens pārskata periodā izstrādāts būvprojekts, kuram pēc būtības tiek pārbaudīta atbilstība labai profesionālajai praksei, kā arī normatīvo aktu prasībām, tāpat tiek pārbaudīta pakalpojumu sniegšanas procesa atbilstība labai profesionālajai praksei. 1% pārbaudi pēc būtības var veikt tikai AKPI eksperti;</w:t>
            </w:r>
          </w:p>
          <w:p w14:paraId="37F63709" w14:textId="77777777" w:rsidR="00096052" w:rsidRPr="00064DE9" w:rsidRDefault="00096052" w:rsidP="00096052">
            <w:pPr>
              <w:shd w:val="clear" w:color="auto" w:fill="FFFFFF"/>
              <w:ind w:firstLine="394"/>
              <w:jc w:val="both"/>
              <w:rPr>
                <w:sz w:val="20"/>
              </w:rPr>
            </w:pPr>
          </w:p>
          <w:p w14:paraId="7BAA1CB9" w14:textId="77777777" w:rsidR="00096052" w:rsidRDefault="00096052" w:rsidP="00096052">
            <w:pPr>
              <w:autoSpaceDE w:val="0"/>
              <w:autoSpaceDN w:val="0"/>
              <w:adjustRightInd w:val="0"/>
              <w:jc w:val="both"/>
              <w:rPr>
                <w:b/>
                <w:bCs/>
              </w:rPr>
            </w:pPr>
            <w:r w:rsidRPr="0097000C">
              <w:rPr>
                <w:b/>
                <w:bCs/>
              </w:rPr>
              <w:t>Tiešās izmaksas</w:t>
            </w:r>
            <w:r>
              <w:rPr>
                <w:b/>
                <w:bCs/>
              </w:rPr>
              <w:t xml:space="preserve"> – standarta sertifikāta uzturēšanas prasības</w:t>
            </w:r>
          </w:p>
          <w:p w14:paraId="481CD7D9" w14:textId="77777777" w:rsidR="00096052" w:rsidRDefault="00096052" w:rsidP="00096052">
            <w:pPr>
              <w:autoSpaceDE w:val="0"/>
              <w:autoSpaceDN w:val="0"/>
              <w:adjustRightInd w:val="0"/>
              <w:jc w:val="both"/>
              <w:rPr>
                <w:bCs/>
              </w:rPr>
            </w:pPr>
            <w:r w:rsidRPr="009F7729">
              <w:rPr>
                <w:bCs/>
              </w:rPr>
              <w:t>Ser</w:t>
            </w:r>
            <w:r>
              <w:rPr>
                <w:bCs/>
              </w:rPr>
              <w:t>tificēto arhitektu skaits, kas ievēros standarta sertifikāta uzturēšanas prasības – 580.</w:t>
            </w:r>
          </w:p>
          <w:p w14:paraId="15917661" w14:textId="77777777" w:rsidR="00096052" w:rsidRPr="00B74E1D" w:rsidRDefault="00096052" w:rsidP="00096052">
            <w:pPr>
              <w:jc w:val="right"/>
              <w:rPr>
                <w:b/>
                <w:i/>
              </w:rPr>
            </w:pPr>
            <w:r>
              <w:rPr>
                <w:i/>
              </w:rPr>
              <w:t>4</w:t>
            </w:r>
            <w:r w:rsidRPr="00B74E1D">
              <w:rPr>
                <w:b/>
                <w:i/>
              </w:rPr>
              <w:t>.</w:t>
            </w:r>
            <w:r w:rsidRPr="00B74E1D">
              <w:rPr>
                <w:i/>
                <w:lang w:eastAsia="x-none"/>
              </w:rPr>
              <w:t>tabula</w:t>
            </w:r>
          </w:p>
          <w:p w14:paraId="087712DA" w14:textId="77777777" w:rsidR="00096052" w:rsidRPr="00B74E1D" w:rsidRDefault="00096052" w:rsidP="00096052">
            <w:pPr>
              <w:jc w:val="center"/>
              <w:rPr>
                <w:b/>
              </w:rPr>
            </w:pPr>
            <w:r>
              <w:rPr>
                <w:b/>
              </w:rPr>
              <w:t xml:space="preserve">Arhitektu </w:t>
            </w:r>
            <w:r w:rsidRPr="00B74E1D">
              <w:rPr>
                <w:b/>
              </w:rPr>
              <w:t xml:space="preserve">uzraudzības tiešo izmaksu aprēķins </w:t>
            </w:r>
          </w:p>
          <w:p w14:paraId="5B1ADDBB" w14:textId="77777777" w:rsidR="00096052" w:rsidRDefault="00096052" w:rsidP="00096052">
            <w:pPr>
              <w:autoSpaceDE w:val="0"/>
              <w:autoSpaceDN w:val="0"/>
              <w:adjustRightInd w:val="0"/>
              <w:jc w:val="both"/>
              <w:rPr>
                <w:bCs/>
              </w:rPr>
            </w:pPr>
          </w:p>
          <w:tbl>
            <w:tblPr>
              <w:tblW w:w="7710" w:type="dxa"/>
              <w:jc w:val="center"/>
              <w:tblLook w:val="04A0" w:firstRow="1" w:lastRow="0" w:firstColumn="1" w:lastColumn="0" w:noHBand="0" w:noVBand="1"/>
            </w:tblPr>
            <w:tblGrid>
              <w:gridCol w:w="810"/>
              <w:gridCol w:w="1967"/>
              <w:gridCol w:w="1236"/>
              <w:gridCol w:w="1012"/>
              <w:gridCol w:w="909"/>
              <w:gridCol w:w="1776"/>
            </w:tblGrid>
            <w:tr w:rsidR="00096052" w:rsidRPr="009F7729" w14:paraId="3401B8D1" w14:textId="77777777" w:rsidTr="00096052">
              <w:trPr>
                <w:trHeight w:val="682"/>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9330A" w14:textId="77777777" w:rsidR="00096052" w:rsidRPr="009F7729" w:rsidRDefault="00096052" w:rsidP="00096052">
                  <w:pPr>
                    <w:jc w:val="center"/>
                    <w:rPr>
                      <w:color w:val="000000"/>
                    </w:rPr>
                  </w:pPr>
                  <w:r w:rsidRPr="009F7729">
                    <w:rPr>
                      <w:color w:val="000000"/>
                    </w:rPr>
                    <w:t>N.p.k.</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4BE7D3E2" w14:textId="77777777" w:rsidR="00096052" w:rsidRPr="009F7729" w:rsidRDefault="00096052" w:rsidP="00096052">
                  <w:pPr>
                    <w:jc w:val="center"/>
                    <w:rPr>
                      <w:color w:val="000000"/>
                    </w:rPr>
                  </w:pPr>
                  <w:r w:rsidRPr="009F7729">
                    <w:rPr>
                      <w:color w:val="000000"/>
                    </w:rPr>
                    <w:t>Pārbaudes Nosaukums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17B8695C" w14:textId="77777777" w:rsidR="00096052" w:rsidRPr="009F7729" w:rsidRDefault="00096052" w:rsidP="00096052">
                  <w:pPr>
                    <w:jc w:val="center"/>
                    <w:rPr>
                      <w:color w:val="000000"/>
                    </w:rPr>
                  </w:pPr>
                  <w:r w:rsidRPr="009F7729">
                    <w:rPr>
                      <w:color w:val="000000"/>
                    </w:rPr>
                    <w:t>gadījumu skaits gadā</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18AEA340" w14:textId="77777777" w:rsidR="00096052" w:rsidRPr="009F7729" w:rsidRDefault="00096052" w:rsidP="00096052">
                  <w:pPr>
                    <w:jc w:val="center"/>
                    <w:rPr>
                      <w:color w:val="000000"/>
                    </w:rPr>
                  </w:pPr>
                  <w:r w:rsidRPr="009F7729">
                    <w:rPr>
                      <w:color w:val="000000"/>
                    </w:rPr>
                    <w:t>stundas likme (</w:t>
                  </w:r>
                  <w:r w:rsidRPr="009F7729">
                    <w:rPr>
                      <w:i/>
                      <w:color w:val="000000"/>
                    </w:rPr>
                    <w:t>euro</w:t>
                  </w:r>
                  <w:r w:rsidRPr="009F7729">
                    <w:rPr>
                      <w:color w:val="000000"/>
                    </w:rPr>
                    <w:t>)</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EB983E5" w14:textId="77777777" w:rsidR="00096052" w:rsidRPr="009F7729" w:rsidRDefault="00096052" w:rsidP="00096052">
                  <w:pPr>
                    <w:jc w:val="center"/>
                    <w:rPr>
                      <w:color w:val="000000"/>
                    </w:rPr>
                  </w:pPr>
                  <w:r w:rsidRPr="009F7729">
                    <w:rPr>
                      <w:color w:val="000000"/>
                    </w:rPr>
                    <w:t>stundu skaits</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2E05EA7E" w14:textId="77777777" w:rsidR="00096052" w:rsidRPr="009F7729" w:rsidRDefault="00096052" w:rsidP="00096052">
                  <w:pPr>
                    <w:jc w:val="center"/>
                    <w:rPr>
                      <w:color w:val="000000"/>
                    </w:rPr>
                  </w:pPr>
                  <w:r w:rsidRPr="009F7729">
                    <w:rPr>
                      <w:color w:val="000000"/>
                    </w:rPr>
                    <w:t>kopā (</w:t>
                  </w:r>
                  <w:r w:rsidRPr="009F7729">
                    <w:rPr>
                      <w:i/>
                      <w:color w:val="000000"/>
                    </w:rPr>
                    <w:t>euro</w:t>
                  </w:r>
                  <w:r w:rsidRPr="009F7729">
                    <w:rPr>
                      <w:color w:val="000000"/>
                    </w:rPr>
                    <w:t>)</w:t>
                  </w:r>
                </w:p>
              </w:tc>
            </w:tr>
            <w:tr w:rsidR="00096052" w:rsidRPr="009F7729" w14:paraId="572CF348" w14:textId="77777777" w:rsidTr="00096052">
              <w:trPr>
                <w:trHeight w:val="300"/>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11C09FC" w14:textId="77777777" w:rsidR="00096052" w:rsidRPr="009F7729" w:rsidRDefault="00096052" w:rsidP="00096052">
                  <w:pPr>
                    <w:jc w:val="center"/>
                    <w:rPr>
                      <w:color w:val="000000"/>
                    </w:rPr>
                  </w:pPr>
                  <w:r w:rsidRPr="009F7729">
                    <w:rPr>
                      <w:color w:val="000000"/>
                    </w:rPr>
                    <w:t>1</w:t>
                  </w:r>
                </w:p>
              </w:tc>
              <w:tc>
                <w:tcPr>
                  <w:tcW w:w="1967" w:type="dxa"/>
                  <w:tcBorders>
                    <w:top w:val="nil"/>
                    <w:left w:val="nil"/>
                    <w:bottom w:val="single" w:sz="4" w:space="0" w:color="auto"/>
                    <w:right w:val="single" w:sz="4" w:space="0" w:color="auto"/>
                  </w:tcBorders>
                  <w:shd w:val="clear" w:color="auto" w:fill="auto"/>
                  <w:vAlign w:val="center"/>
                  <w:hideMark/>
                </w:tcPr>
                <w:p w14:paraId="6BB7DD23" w14:textId="77777777" w:rsidR="00096052" w:rsidRPr="009F7729" w:rsidRDefault="00096052" w:rsidP="00096052">
                  <w:pPr>
                    <w:jc w:val="center"/>
                    <w:rPr>
                      <w:i/>
                      <w:color w:val="000000"/>
                    </w:rPr>
                  </w:pPr>
                  <w:r w:rsidRPr="009F7729">
                    <w:rPr>
                      <w:i/>
                      <w:color w:val="000000"/>
                    </w:rPr>
                    <w:t>100% pārbaude</w:t>
                  </w:r>
                </w:p>
              </w:tc>
              <w:tc>
                <w:tcPr>
                  <w:tcW w:w="1236" w:type="dxa"/>
                  <w:tcBorders>
                    <w:top w:val="nil"/>
                    <w:left w:val="nil"/>
                    <w:bottom w:val="single" w:sz="4" w:space="0" w:color="auto"/>
                    <w:right w:val="single" w:sz="4" w:space="0" w:color="auto"/>
                  </w:tcBorders>
                  <w:shd w:val="clear" w:color="auto" w:fill="auto"/>
                  <w:vAlign w:val="center"/>
                  <w:hideMark/>
                </w:tcPr>
                <w:p w14:paraId="07AB8AB1" w14:textId="77777777" w:rsidR="00096052" w:rsidRPr="009F7729" w:rsidRDefault="00096052" w:rsidP="00096052">
                  <w:pPr>
                    <w:jc w:val="center"/>
                    <w:rPr>
                      <w:color w:val="000000"/>
                    </w:rPr>
                  </w:pPr>
                  <w:r>
                    <w:rPr>
                      <w:color w:val="000000"/>
                    </w:rPr>
                    <w:t>580</w:t>
                  </w:r>
                </w:p>
              </w:tc>
              <w:tc>
                <w:tcPr>
                  <w:tcW w:w="1012" w:type="dxa"/>
                  <w:tcBorders>
                    <w:top w:val="nil"/>
                    <w:left w:val="nil"/>
                    <w:bottom w:val="single" w:sz="4" w:space="0" w:color="auto"/>
                    <w:right w:val="single" w:sz="4" w:space="0" w:color="auto"/>
                  </w:tcBorders>
                  <w:shd w:val="clear" w:color="auto" w:fill="auto"/>
                  <w:vAlign w:val="center"/>
                  <w:hideMark/>
                </w:tcPr>
                <w:p w14:paraId="5AF46F42" w14:textId="77777777" w:rsidR="00096052" w:rsidRPr="009F7729" w:rsidRDefault="00096052" w:rsidP="00096052">
                  <w:pPr>
                    <w:jc w:val="center"/>
                    <w:rPr>
                      <w:color w:val="000000"/>
                    </w:rPr>
                  </w:pPr>
                  <w:r w:rsidRPr="009F7729">
                    <w:rPr>
                      <w:color w:val="000000"/>
                    </w:rPr>
                    <w:t>1</w:t>
                  </w:r>
                  <w:r>
                    <w:rPr>
                      <w:color w:val="000000"/>
                    </w:rPr>
                    <w:t>2,00</w:t>
                  </w:r>
                </w:p>
              </w:tc>
              <w:tc>
                <w:tcPr>
                  <w:tcW w:w="909" w:type="dxa"/>
                  <w:tcBorders>
                    <w:top w:val="nil"/>
                    <w:left w:val="nil"/>
                    <w:bottom w:val="single" w:sz="4" w:space="0" w:color="auto"/>
                    <w:right w:val="single" w:sz="4" w:space="0" w:color="auto"/>
                  </w:tcBorders>
                  <w:shd w:val="clear" w:color="auto" w:fill="auto"/>
                  <w:vAlign w:val="center"/>
                  <w:hideMark/>
                </w:tcPr>
                <w:p w14:paraId="6E5D1156" w14:textId="77777777" w:rsidR="00096052" w:rsidRPr="009F7729" w:rsidRDefault="00096052" w:rsidP="00096052">
                  <w:pPr>
                    <w:jc w:val="center"/>
                    <w:rPr>
                      <w:color w:val="000000"/>
                    </w:rPr>
                  </w:pPr>
                  <w:r w:rsidRPr="009F7729">
                    <w:rPr>
                      <w:color w:val="000000"/>
                    </w:rPr>
                    <w:t>1</w:t>
                  </w:r>
                </w:p>
              </w:tc>
              <w:tc>
                <w:tcPr>
                  <w:tcW w:w="1776" w:type="dxa"/>
                  <w:tcBorders>
                    <w:top w:val="nil"/>
                    <w:left w:val="nil"/>
                    <w:bottom w:val="single" w:sz="4" w:space="0" w:color="auto"/>
                    <w:right w:val="single" w:sz="4" w:space="0" w:color="auto"/>
                  </w:tcBorders>
                  <w:shd w:val="clear" w:color="auto" w:fill="auto"/>
                  <w:vAlign w:val="center"/>
                  <w:hideMark/>
                </w:tcPr>
                <w:p w14:paraId="036F12B2" w14:textId="77777777" w:rsidR="00096052" w:rsidRPr="009F7729" w:rsidRDefault="00096052" w:rsidP="00096052">
                  <w:pPr>
                    <w:jc w:val="center"/>
                    <w:rPr>
                      <w:color w:val="000000"/>
                    </w:rPr>
                  </w:pPr>
                  <w:r>
                    <w:rPr>
                      <w:color w:val="000000"/>
                    </w:rPr>
                    <w:t>6</w:t>
                  </w:r>
                  <w:r>
                    <w:rPr>
                      <w:b/>
                      <w:bCs/>
                      <w:color w:val="000000"/>
                    </w:rPr>
                    <w:t> </w:t>
                  </w:r>
                  <w:r>
                    <w:rPr>
                      <w:color w:val="000000"/>
                    </w:rPr>
                    <w:t>960,00</w:t>
                  </w:r>
                </w:p>
              </w:tc>
            </w:tr>
            <w:tr w:rsidR="00096052" w:rsidRPr="009F7729" w14:paraId="7EF9BE58" w14:textId="77777777" w:rsidTr="00096052">
              <w:trPr>
                <w:trHeight w:val="300"/>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27DE8F8" w14:textId="77777777" w:rsidR="00096052" w:rsidRPr="009F7729" w:rsidRDefault="00096052" w:rsidP="00096052">
                  <w:pPr>
                    <w:jc w:val="center"/>
                    <w:rPr>
                      <w:color w:val="000000"/>
                    </w:rPr>
                  </w:pPr>
                  <w:r w:rsidRPr="009F7729">
                    <w:rPr>
                      <w:color w:val="000000"/>
                    </w:rPr>
                    <w:t>2</w:t>
                  </w:r>
                </w:p>
              </w:tc>
              <w:tc>
                <w:tcPr>
                  <w:tcW w:w="1967" w:type="dxa"/>
                  <w:tcBorders>
                    <w:top w:val="nil"/>
                    <w:left w:val="nil"/>
                    <w:bottom w:val="single" w:sz="4" w:space="0" w:color="auto"/>
                    <w:right w:val="single" w:sz="4" w:space="0" w:color="auto"/>
                  </w:tcBorders>
                  <w:shd w:val="clear" w:color="auto" w:fill="auto"/>
                  <w:vAlign w:val="center"/>
                  <w:hideMark/>
                </w:tcPr>
                <w:p w14:paraId="635F6DCC" w14:textId="77777777" w:rsidR="00096052" w:rsidRPr="009F7729" w:rsidRDefault="00096052" w:rsidP="00096052">
                  <w:pPr>
                    <w:jc w:val="center"/>
                    <w:rPr>
                      <w:i/>
                      <w:color w:val="000000"/>
                    </w:rPr>
                  </w:pPr>
                  <w:r w:rsidRPr="009F7729">
                    <w:rPr>
                      <w:i/>
                      <w:color w:val="000000"/>
                    </w:rPr>
                    <w:t>20% pārbaude</w:t>
                  </w:r>
                </w:p>
              </w:tc>
              <w:tc>
                <w:tcPr>
                  <w:tcW w:w="1236" w:type="dxa"/>
                  <w:tcBorders>
                    <w:top w:val="nil"/>
                    <w:left w:val="nil"/>
                    <w:bottom w:val="single" w:sz="4" w:space="0" w:color="auto"/>
                    <w:right w:val="single" w:sz="4" w:space="0" w:color="auto"/>
                  </w:tcBorders>
                  <w:shd w:val="clear" w:color="auto" w:fill="auto"/>
                  <w:vAlign w:val="center"/>
                  <w:hideMark/>
                </w:tcPr>
                <w:p w14:paraId="5F04271D" w14:textId="77777777" w:rsidR="00096052" w:rsidRPr="009F7729" w:rsidRDefault="00096052" w:rsidP="00096052">
                  <w:pPr>
                    <w:jc w:val="center"/>
                    <w:rPr>
                      <w:color w:val="000000"/>
                    </w:rPr>
                  </w:pPr>
                  <w:r>
                    <w:rPr>
                      <w:color w:val="000000"/>
                    </w:rPr>
                    <w:t>116</w:t>
                  </w:r>
                </w:p>
              </w:tc>
              <w:tc>
                <w:tcPr>
                  <w:tcW w:w="1012" w:type="dxa"/>
                  <w:tcBorders>
                    <w:top w:val="nil"/>
                    <w:left w:val="nil"/>
                    <w:bottom w:val="single" w:sz="4" w:space="0" w:color="auto"/>
                    <w:right w:val="single" w:sz="4" w:space="0" w:color="auto"/>
                  </w:tcBorders>
                  <w:shd w:val="clear" w:color="auto" w:fill="auto"/>
                  <w:vAlign w:val="center"/>
                  <w:hideMark/>
                </w:tcPr>
                <w:p w14:paraId="3D5D74FA" w14:textId="77777777" w:rsidR="00096052" w:rsidRPr="009F7729" w:rsidRDefault="00096052" w:rsidP="00096052">
                  <w:pPr>
                    <w:jc w:val="center"/>
                    <w:rPr>
                      <w:color w:val="000000"/>
                    </w:rPr>
                  </w:pPr>
                  <w:r w:rsidRPr="009F7729">
                    <w:rPr>
                      <w:color w:val="000000"/>
                    </w:rPr>
                    <w:t>40</w:t>
                  </w:r>
                  <w:r>
                    <w:rPr>
                      <w:color w:val="000000"/>
                    </w:rPr>
                    <w:t>,00</w:t>
                  </w:r>
                </w:p>
              </w:tc>
              <w:tc>
                <w:tcPr>
                  <w:tcW w:w="909" w:type="dxa"/>
                  <w:tcBorders>
                    <w:top w:val="nil"/>
                    <w:left w:val="nil"/>
                    <w:bottom w:val="single" w:sz="4" w:space="0" w:color="auto"/>
                    <w:right w:val="single" w:sz="4" w:space="0" w:color="auto"/>
                  </w:tcBorders>
                  <w:shd w:val="clear" w:color="auto" w:fill="auto"/>
                  <w:vAlign w:val="center"/>
                  <w:hideMark/>
                </w:tcPr>
                <w:p w14:paraId="455D74CF" w14:textId="77777777" w:rsidR="00096052" w:rsidRPr="009F7729" w:rsidRDefault="00096052" w:rsidP="00096052">
                  <w:pPr>
                    <w:jc w:val="center"/>
                    <w:rPr>
                      <w:color w:val="000000"/>
                    </w:rPr>
                  </w:pPr>
                  <w:r>
                    <w:rPr>
                      <w:color w:val="000000"/>
                    </w:rPr>
                    <w:t>8</w:t>
                  </w:r>
                </w:p>
              </w:tc>
              <w:tc>
                <w:tcPr>
                  <w:tcW w:w="1776" w:type="dxa"/>
                  <w:tcBorders>
                    <w:top w:val="nil"/>
                    <w:left w:val="nil"/>
                    <w:bottom w:val="single" w:sz="4" w:space="0" w:color="auto"/>
                    <w:right w:val="single" w:sz="4" w:space="0" w:color="auto"/>
                  </w:tcBorders>
                  <w:shd w:val="clear" w:color="auto" w:fill="auto"/>
                  <w:vAlign w:val="center"/>
                  <w:hideMark/>
                </w:tcPr>
                <w:p w14:paraId="2D5708CF" w14:textId="77777777" w:rsidR="00096052" w:rsidRPr="009F7729" w:rsidRDefault="00096052" w:rsidP="00096052">
                  <w:pPr>
                    <w:jc w:val="center"/>
                    <w:rPr>
                      <w:color w:val="000000"/>
                    </w:rPr>
                  </w:pPr>
                  <w:r>
                    <w:rPr>
                      <w:color w:val="000000"/>
                    </w:rPr>
                    <w:t>37 120,00</w:t>
                  </w:r>
                </w:p>
              </w:tc>
            </w:tr>
            <w:tr w:rsidR="00096052" w:rsidRPr="009F7729" w14:paraId="73D50BB8" w14:textId="77777777" w:rsidTr="00096052">
              <w:trPr>
                <w:trHeight w:val="600"/>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E082B4E" w14:textId="77777777" w:rsidR="00096052" w:rsidRPr="009F7729" w:rsidRDefault="00096052" w:rsidP="00096052">
                  <w:pPr>
                    <w:jc w:val="center"/>
                    <w:rPr>
                      <w:color w:val="000000"/>
                    </w:rPr>
                  </w:pPr>
                  <w:r w:rsidRPr="009F7729">
                    <w:rPr>
                      <w:color w:val="000000"/>
                    </w:rPr>
                    <w:t>3</w:t>
                  </w:r>
                </w:p>
              </w:tc>
              <w:tc>
                <w:tcPr>
                  <w:tcW w:w="1967" w:type="dxa"/>
                  <w:tcBorders>
                    <w:top w:val="nil"/>
                    <w:left w:val="nil"/>
                    <w:bottom w:val="single" w:sz="4" w:space="0" w:color="auto"/>
                    <w:right w:val="single" w:sz="4" w:space="0" w:color="auto"/>
                  </w:tcBorders>
                  <w:shd w:val="clear" w:color="auto" w:fill="auto"/>
                  <w:vAlign w:val="center"/>
                  <w:hideMark/>
                </w:tcPr>
                <w:p w14:paraId="2A723A8F" w14:textId="77777777" w:rsidR="00096052" w:rsidRPr="009F7729" w:rsidRDefault="00096052" w:rsidP="00096052">
                  <w:pPr>
                    <w:jc w:val="center"/>
                    <w:rPr>
                      <w:i/>
                      <w:color w:val="000000"/>
                    </w:rPr>
                  </w:pPr>
                  <w:r w:rsidRPr="009F7729">
                    <w:rPr>
                      <w:i/>
                      <w:color w:val="000000"/>
                    </w:rPr>
                    <w:t>Sūdzību izvērtēšana</w:t>
                  </w:r>
                </w:p>
              </w:tc>
              <w:tc>
                <w:tcPr>
                  <w:tcW w:w="1236" w:type="dxa"/>
                  <w:tcBorders>
                    <w:top w:val="nil"/>
                    <w:left w:val="nil"/>
                    <w:bottom w:val="single" w:sz="4" w:space="0" w:color="auto"/>
                    <w:right w:val="single" w:sz="4" w:space="0" w:color="auto"/>
                  </w:tcBorders>
                  <w:shd w:val="clear" w:color="auto" w:fill="auto"/>
                  <w:vAlign w:val="center"/>
                  <w:hideMark/>
                </w:tcPr>
                <w:p w14:paraId="7B3D5703" w14:textId="77777777" w:rsidR="00096052" w:rsidRPr="009F7729" w:rsidRDefault="00096052" w:rsidP="00096052">
                  <w:pPr>
                    <w:jc w:val="center"/>
                    <w:rPr>
                      <w:color w:val="000000"/>
                    </w:rPr>
                  </w:pPr>
                  <w:r>
                    <w:rPr>
                      <w:color w:val="000000"/>
                    </w:rPr>
                    <w:t>30</w:t>
                  </w:r>
                </w:p>
              </w:tc>
              <w:tc>
                <w:tcPr>
                  <w:tcW w:w="1012" w:type="dxa"/>
                  <w:tcBorders>
                    <w:top w:val="nil"/>
                    <w:left w:val="nil"/>
                    <w:bottom w:val="single" w:sz="4" w:space="0" w:color="auto"/>
                    <w:right w:val="single" w:sz="4" w:space="0" w:color="auto"/>
                  </w:tcBorders>
                  <w:shd w:val="clear" w:color="auto" w:fill="auto"/>
                  <w:vAlign w:val="center"/>
                  <w:hideMark/>
                </w:tcPr>
                <w:p w14:paraId="7B4010D6" w14:textId="77777777" w:rsidR="00096052" w:rsidRPr="009F7729" w:rsidRDefault="00096052" w:rsidP="00096052">
                  <w:pPr>
                    <w:jc w:val="center"/>
                    <w:rPr>
                      <w:color w:val="000000"/>
                    </w:rPr>
                  </w:pPr>
                  <w:r w:rsidRPr="009F7729">
                    <w:rPr>
                      <w:color w:val="000000"/>
                    </w:rPr>
                    <w:t>40</w:t>
                  </w:r>
                  <w:r>
                    <w:rPr>
                      <w:color w:val="000000"/>
                    </w:rPr>
                    <w:t>,00</w:t>
                  </w:r>
                </w:p>
              </w:tc>
              <w:tc>
                <w:tcPr>
                  <w:tcW w:w="909" w:type="dxa"/>
                  <w:tcBorders>
                    <w:top w:val="nil"/>
                    <w:left w:val="nil"/>
                    <w:bottom w:val="single" w:sz="4" w:space="0" w:color="auto"/>
                    <w:right w:val="single" w:sz="4" w:space="0" w:color="auto"/>
                  </w:tcBorders>
                  <w:shd w:val="clear" w:color="auto" w:fill="auto"/>
                  <w:vAlign w:val="center"/>
                  <w:hideMark/>
                </w:tcPr>
                <w:p w14:paraId="63D2E098" w14:textId="77777777" w:rsidR="00096052" w:rsidRPr="009F7729" w:rsidRDefault="00096052" w:rsidP="00096052">
                  <w:pPr>
                    <w:jc w:val="center"/>
                    <w:rPr>
                      <w:color w:val="000000"/>
                    </w:rPr>
                  </w:pPr>
                  <w:r>
                    <w:rPr>
                      <w:color w:val="000000"/>
                    </w:rPr>
                    <w:t>10</w:t>
                  </w:r>
                </w:p>
              </w:tc>
              <w:tc>
                <w:tcPr>
                  <w:tcW w:w="1776" w:type="dxa"/>
                  <w:tcBorders>
                    <w:top w:val="nil"/>
                    <w:left w:val="nil"/>
                    <w:bottom w:val="single" w:sz="4" w:space="0" w:color="auto"/>
                    <w:right w:val="single" w:sz="4" w:space="0" w:color="auto"/>
                  </w:tcBorders>
                  <w:shd w:val="clear" w:color="auto" w:fill="auto"/>
                  <w:vAlign w:val="center"/>
                  <w:hideMark/>
                </w:tcPr>
                <w:p w14:paraId="2BFF14FE" w14:textId="77777777" w:rsidR="00096052" w:rsidRPr="009F7729" w:rsidRDefault="00096052" w:rsidP="00096052">
                  <w:pPr>
                    <w:jc w:val="center"/>
                    <w:rPr>
                      <w:color w:val="000000"/>
                    </w:rPr>
                  </w:pPr>
                  <w:r>
                    <w:rPr>
                      <w:color w:val="000000"/>
                    </w:rPr>
                    <w:t>12</w:t>
                  </w:r>
                  <w:r>
                    <w:rPr>
                      <w:b/>
                      <w:bCs/>
                      <w:color w:val="000000"/>
                    </w:rPr>
                    <w:t> </w:t>
                  </w:r>
                  <w:r>
                    <w:rPr>
                      <w:color w:val="000000"/>
                    </w:rPr>
                    <w:t>000,00</w:t>
                  </w:r>
                </w:p>
              </w:tc>
            </w:tr>
            <w:tr w:rsidR="00096052" w:rsidRPr="009F7729" w14:paraId="110BC065" w14:textId="77777777" w:rsidTr="00096052">
              <w:trPr>
                <w:trHeight w:val="600"/>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4F2F7B91" w14:textId="77777777" w:rsidR="00096052" w:rsidRPr="009F7729" w:rsidRDefault="00096052" w:rsidP="00096052">
                  <w:pPr>
                    <w:jc w:val="center"/>
                    <w:rPr>
                      <w:color w:val="000000"/>
                    </w:rPr>
                  </w:pPr>
                  <w:r w:rsidRPr="009F7729">
                    <w:rPr>
                      <w:color w:val="000000"/>
                    </w:rPr>
                    <w:t>4</w:t>
                  </w:r>
                </w:p>
              </w:tc>
              <w:tc>
                <w:tcPr>
                  <w:tcW w:w="1967" w:type="dxa"/>
                  <w:tcBorders>
                    <w:top w:val="nil"/>
                    <w:left w:val="nil"/>
                    <w:bottom w:val="single" w:sz="4" w:space="0" w:color="auto"/>
                    <w:right w:val="single" w:sz="4" w:space="0" w:color="auto"/>
                  </w:tcBorders>
                  <w:shd w:val="clear" w:color="auto" w:fill="auto"/>
                  <w:vAlign w:val="center"/>
                  <w:hideMark/>
                </w:tcPr>
                <w:p w14:paraId="6BA44EE7" w14:textId="77777777" w:rsidR="00096052" w:rsidRPr="009F7729" w:rsidRDefault="00096052" w:rsidP="00096052">
                  <w:pPr>
                    <w:jc w:val="center"/>
                    <w:rPr>
                      <w:i/>
                      <w:color w:val="000000"/>
                    </w:rPr>
                  </w:pPr>
                  <w:r w:rsidRPr="009F7729">
                    <w:rPr>
                      <w:i/>
                      <w:color w:val="000000"/>
                    </w:rPr>
                    <w:t>1% pārbaude</w:t>
                  </w:r>
                </w:p>
              </w:tc>
              <w:tc>
                <w:tcPr>
                  <w:tcW w:w="1236" w:type="dxa"/>
                  <w:tcBorders>
                    <w:top w:val="nil"/>
                    <w:left w:val="nil"/>
                    <w:bottom w:val="single" w:sz="4" w:space="0" w:color="auto"/>
                    <w:right w:val="single" w:sz="4" w:space="0" w:color="auto"/>
                  </w:tcBorders>
                  <w:shd w:val="clear" w:color="auto" w:fill="auto"/>
                  <w:vAlign w:val="center"/>
                  <w:hideMark/>
                </w:tcPr>
                <w:p w14:paraId="1973DCF8" w14:textId="77777777" w:rsidR="00096052" w:rsidRPr="009F7729" w:rsidRDefault="00096052" w:rsidP="00096052">
                  <w:pPr>
                    <w:jc w:val="center"/>
                    <w:rPr>
                      <w:color w:val="000000"/>
                    </w:rPr>
                  </w:pPr>
                  <w:r>
                    <w:rPr>
                      <w:color w:val="000000"/>
                    </w:rPr>
                    <w:t>7</w:t>
                  </w:r>
                </w:p>
              </w:tc>
              <w:tc>
                <w:tcPr>
                  <w:tcW w:w="1012" w:type="dxa"/>
                  <w:tcBorders>
                    <w:top w:val="nil"/>
                    <w:left w:val="nil"/>
                    <w:bottom w:val="single" w:sz="4" w:space="0" w:color="auto"/>
                    <w:right w:val="single" w:sz="4" w:space="0" w:color="auto"/>
                  </w:tcBorders>
                  <w:shd w:val="clear" w:color="auto" w:fill="auto"/>
                  <w:vAlign w:val="center"/>
                  <w:hideMark/>
                </w:tcPr>
                <w:p w14:paraId="0CF0E30C" w14:textId="77777777" w:rsidR="00096052" w:rsidRPr="009F7729" w:rsidRDefault="00096052" w:rsidP="00096052">
                  <w:pPr>
                    <w:jc w:val="center"/>
                    <w:rPr>
                      <w:color w:val="000000"/>
                    </w:rPr>
                  </w:pPr>
                  <w:r w:rsidRPr="009F7729">
                    <w:rPr>
                      <w:color w:val="000000"/>
                    </w:rPr>
                    <w:t>40</w:t>
                  </w:r>
                  <w:r>
                    <w:rPr>
                      <w:color w:val="000000"/>
                    </w:rPr>
                    <w:t>,00</w:t>
                  </w:r>
                </w:p>
              </w:tc>
              <w:tc>
                <w:tcPr>
                  <w:tcW w:w="909" w:type="dxa"/>
                  <w:tcBorders>
                    <w:top w:val="nil"/>
                    <w:left w:val="nil"/>
                    <w:bottom w:val="single" w:sz="4" w:space="0" w:color="auto"/>
                    <w:right w:val="single" w:sz="4" w:space="0" w:color="auto"/>
                  </w:tcBorders>
                  <w:shd w:val="clear" w:color="auto" w:fill="auto"/>
                  <w:vAlign w:val="center"/>
                  <w:hideMark/>
                </w:tcPr>
                <w:p w14:paraId="10430BBE" w14:textId="77777777" w:rsidR="00096052" w:rsidRPr="009F7729" w:rsidRDefault="00096052" w:rsidP="00096052">
                  <w:pPr>
                    <w:jc w:val="center"/>
                    <w:rPr>
                      <w:color w:val="000000"/>
                    </w:rPr>
                  </w:pPr>
                  <w:r>
                    <w:rPr>
                      <w:color w:val="000000"/>
                    </w:rPr>
                    <w:t>40</w:t>
                  </w:r>
                </w:p>
              </w:tc>
              <w:tc>
                <w:tcPr>
                  <w:tcW w:w="1776" w:type="dxa"/>
                  <w:tcBorders>
                    <w:top w:val="nil"/>
                    <w:left w:val="nil"/>
                    <w:bottom w:val="single" w:sz="4" w:space="0" w:color="auto"/>
                    <w:right w:val="single" w:sz="4" w:space="0" w:color="auto"/>
                  </w:tcBorders>
                  <w:shd w:val="clear" w:color="auto" w:fill="auto"/>
                  <w:vAlign w:val="center"/>
                  <w:hideMark/>
                </w:tcPr>
                <w:p w14:paraId="77263D54" w14:textId="77777777" w:rsidR="00096052" w:rsidRPr="009F7729" w:rsidRDefault="00096052" w:rsidP="00096052">
                  <w:pPr>
                    <w:jc w:val="center"/>
                    <w:rPr>
                      <w:color w:val="000000"/>
                    </w:rPr>
                  </w:pPr>
                  <w:r>
                    <w:rPr>
                      <w:color w:val="000000"/>
                    </w:rPr>
                    <w:t>11</w:t>
                  </w:r>
                  <w:r>
                    <w:rPr>
                      <w:b/>
                      <w:bCs/>
                      <w:color w:val="000000"/>
                    </w:rPr>
                    <w:t> </w:t>
                  </w:r>
                  <w:r>
                    <w:rPr>
                      <w:color w:val="000000"/>
                    </w:rPr>
                    <w:t>200,00</w:t>
                  </w:r>
                </w:p>
              </w:tc>
            </w:tr>
            <w:tr w:rsidR="00096052" w:rsidRPr="009F7729" w14:paraId="579DC3CE" w14:textId="77777777" w:rsidTr="00096052">
              <w:trPr>
                <w:trHeight w:val="744"/>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0AE0A65B" w14:textId="77777777" w:rsidR="00096052" w:rsidRPr="009F7729" w:rsidRDefault="00096052" w:rsidP="00096052">
                  <w:pPr>
                    <w:jc w:val="center"/>
                    <w:rPr>
                      <w:color w:val="000000"/>
                    </w:rPr>
                  </w:pPr>
                  <w:r w:rsidRPr="009F7729">
                    <w:rPr>
                      <w:color w:val="000000"/>
                    </w:rPr>
                    <w:t>5</w:t>
                  </w:r>
                </w:p>
              </w:tc>
              <w:tc>
                <w:tcPr>
                  <w:tcW w:w="1967" w:type="dxa"/>
                  <w:tcBorders>
                    <w:top w:val="nil"/>
                    <w:left w:val="nil"/>
                    <w:bottom w:val="single" w:sz="4" w:space="0" w:color="auto"/>
                    <w:right w:val="single" w:sz="4" w:space="0" w:color="auto"/>
                  </w:tcBorders>
                  <w:shd w:val="clear" w:color="auto" w:fill="auto"/>
                  <w:vAlign w:val="center"/>
                  <w:hideMark/>
                </w:tcPr>
                <w:p w14:paraId="675AA55B" w14:textId="77777777" w:rsidR="00096052" w:rsidRPr="009F7729" w:rsidRDefault="00096052" w:rsidP="00096052">
                  <w:pPr>
                    <w:jc w:val="center"/>
                    <w:rPr>
                      <w:color w:val="000000"/>
                    </w:rPr>
                  </w:pPr>
                  <w:r w:rsidRPr="009F7729">
                    <w:rPr>
                      <w:color w:val="000000"/>
                    </w:rPr>
                    <w:t>Juridiskie pakalpojumi</w:t>
                  </w:r>
                </w:p>
              </w:tc>
              <w:tc>
                <w:tcPr>
                  <w:tcW w:w="1236" w:type="dxa"/>
                  <w:tcBorders>
                    <w:top w:val="nil"/>
                    <w:left w:val="nil"/>
                    <w:bottom w:val="single" w:sz="4" w:space="0" w:color="auto"/>
                    <w:right w:val="single" w:sz="4" w:space="0" w:color="auto"/>
                  </w:tcBorders>
                  <w:shd w:val="clear" w:color="auto" w:fill="auto"/>
                  <w:vAlign w:val="center"/>
                  <w:hideMark/>
                </w:tcPr>
                <w:p w14:paraId="1B868C05" w14:textId="77777777" w:rsidR="00096052" w:rsidRPr="009F7729" w:rsidRDefault="00096052" w:rsidP="00096052">
                  <w:pPr>
                    <w:jc w:val="center"/>
                    <w:rPr>
                      <w:color w:val="000000"/>
                    </w:rPr>
                  </w:pPr>
                  <w:r>
                    <w:rPr>
                      <w:color w:val="000000"/>
                    </w:rPr>
                    <w:t>18</w:t>
                  </w:r>
                </w:p>
              </w:tc>
              <w:tc>
                <w:tcPr>
                  <w:tcW w:w="1012" w:type="dxa"/>
                  <w:tcBorders>
                    <w:top w:val="nil"/>
                    <w:left w:val="nil"/>
                    <w:bottom w:val="single" w:sz="4" w:space="0" w:color="auto"/>
                    <w:right w:val="single" w:sz="4" w:space="0" w:color="auto"/>
                  </w:tcBorders>
                  <w:shd w:val="clear" w:color="auto" w:fill="auto"/>
                  <w:vAlign w:val="center"/>
                  <w:hideMark/>
                </w:tcPr>
                <w:p w14:paraId="13B66E3E" w14:textId="77777777" w:rsidR="00096052" w:rsidRPr="009F7729" w:rsidRDefault="00096052" w:rsidP="00096052">
                  <w:pPr>
                    <w:jc w:val="center"/>
                    <w:rPr>
                      <w:color w:val="000000"/>
                    </w:rPr>
                  </w:pPr>
                  <w:r w:rsidRPr="009F7729">
                    <w:rPr>
                      <w:color w:val="000000"/>
                    </w:rPr>
                    <w:t>100</w:t>
                  </w:r>
                  <w:r>
                    <w:rPr>
                      <w:color w:val="000000"/>
                    </w:rPr>
                    <w:t>,00</w:t>
                  </w:r>
                </w:p>
              </w:tc>
              <w:tc>
                <w:tcPr>
                  <w:tcW w:w="909" w:type="dxa"/>
                  <w:tcBorders>
                    <w:top w:val="nil"/>
                    <w:left w:val="nil"/>
                    <w:bottom w:val="single" w:sz="4" w:space="0" w:color="auto"/>
                    <w:right w:val="single" w:sz="4" w:space="0" w:color="auto"/>
                  </w:tcBorders>
                  <w:shd w:val="clear" w:color="auto" w:fill="auto"/>
                  <w:vAlign w:val="center"/>
                  <w:hideMark/>
                </w:tcPr>
                <w:p w14:paraId="58AFEC81" w14:textId="77777777" w:rsidR="00096052" w:rsidRPr="009F7729" w:rsidRDefault="00096052" w:rsidP="00096052">
                  <w:pPr>
                    <w:jc w:val="center"/>
                    <w:rPr>
                      <w:color w:val="000000"/>
                    </w:rPr>
                  </w:pPr>
                  <w:r>
                    <w:rPr>
                      <w:color w:val="000000"/>
                    </w:rPr>
                    <w:t>10</w:t>
                  </w:r>
                </w:p>
              </w:tc>
              <w:tc>
                <w:tcPr>
                  <w:tcW w:w="1776" w:type="dxa"/>
                  <w:tcBorders>
                    <w:top w:val="nil"/>
                    <w:left w:val="nil"/>
                    <w:bottom w:val="single" w:sz="4" w:space="0" w:color="auto"/>
                    <w:right w:val="single" w:sz="4" w:space="0" w:color="auto"/>
                  </w:tcBorders>
                  <w:shd w:val="clear" w:color="auto" w:fill="auto"/>
                  <w:vAlign w:val="center"/>
                  <w:hideMark/>
                </w:tcPr>
                <w:p w14:paraId="7011029A" w14:textId="77777777" w:rsidR="00096052" w:rsidRPr="009F7729" w:rsidRDefault="00096052" w:rsidP="00096052">
                  <w:pPr>
                    <w:jc w:val="center"/>
                    <w:rPr>
                      <w:color w:val="000000"/>
                    </w:rPr>
                  </w:pPr>
                  <w:r>
                    <w:rPr>
                      <w:color w:val="000000"/>
                    </w:rPr>
                    <w:t>18</w:t>
                  </w:r>
                  <w:r>
                    <w:rPr>
                      <w:b/>
                      <w:bCs/>
                      <w:color w:val="000000"/>
                    </w:rPr>
                    <w:t> </w:t>
                  </w:r>
                  <w:r>
                    <w:rPr>
                      <w:color w:val="000000"/>
                    </w:rPr>
                    <w:t>000,00</w:t>
                  </w:r>
                </w:p>
              </w:tc>
            </w:tr>
            <w:tr w:rsidR="00096052" w:rsidRPr="009F7729" w14:paraId="2DC52041" w14:textId="77777777" w:rsidTr="00096052">
              <w:trPr>
                <w:trHeight w:val="49"/>
                <w:jc w:val="center"/>
              </w:trPr>
              <w:tc>
                <w:tcPr>
                  <w:tcW w:w="5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6DAB66" w14:textId="77777777" w:rsidR="00096052" w:rsidRPr="009F7729" w:rsidRDefault="00096052" w:rsidP="00096052">
                  <w:pPr>
                    <w:jc w:val="right"/>
                    <w:rPr>
                      <w:b/>
                      <w:bCs/>
                      <w:color w:val="000000"/>
                    </w:rPr>
                  </w:pPr>
                  <w:r w:rsidRPr="009F7729">
                    <w:rPr>
                      <w:b/>
                      <w:bCs/>
                      <w:color w:val="000000"/>
                    </w:rPr>
                    <w:t>Kopā tiešās izmaksas (</w:t>
                  </w:r>
                  <w:r w:rsidRPr="009F7729">
                    <w:rPr>
                      <w:b/>
                      <w:bCs/>
                      <w:i/>
                      <w:color w:val="000000"/>
                    </w:rPr>
                    <w:t>euro</w:t>
                  </w:r>
                  <w:r w:rsidRPr="009F7729">
                    <w:rPr>
                      <w:b/>
                      <w:bCs/>
                      <w:color w:val="000000"/>
                    </w:rPr>
                    <w:t>)</w:t>
                  </w:r>
                </w:p>
              </w:tc>
              <w:tc>
                <w:tcPr>
                  <w:tcW w:w="1776" w:type="dxa"/>
                  <w:tcBorders>
                    <w:top w:val="nil"/>
                    <w:left w:val="nil"/>
                    <w:bottom w:val="single" w:sz="4" w:space="0" w:color="auto"/>
                    <w:right w:val="single" w:sz="4" w:space="0" w:color="auto"/>
                  </w:tcBorders>
                  <w:shd w:val="clear" w:color="auto" w:fill="auto"/>
                  <w:vAlign w:val="center"/>
                  <w:hideMark/>
                </w:tcPr>
                <w:p w14:paraId="3C5541AB" w14:textId="77777777" w:rsidR="00096052" w:rsidRPr="009F7729" w:rsidRDefault="00096052" w:rsidP="00096052">
                  <w:pPr>
                    <w:jc w:val="center"/>
                    <w:rPr>
                      <w:b/>
                      <w:bCs/>
                      <w:color w:val="000000"/>
                    </w:rPr>
                  </w:pPr>
                  <w:r>
                    <w:rPr>
                      <w:b/>
                      <w:bCs/>
                      <w:color w:val="000000"/>
                    </w:rPr>
                    <w:t>85 280,00</w:t>
                  </w:r>
                </w:p>
              </w:tc>
            </w:tr>
            <w:tr w:rsidR="00096052" w:rsidRPr="009F7729" w14:paraId="42AFB79F" w14:textId="77777777" w:rsidTr="00096052">
              <w:trPr>
                <w:trHeight w:val="224"/>
                <w:jc w:val="center"/>
              </w:trPr>
              <w:tc>
                <w:tcPr>
                  <w:tcW w:w="59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731D00" w14:textId="77777777" w:rsidR="00096052" w:rsidRPr="009F7729" w:rsidRDefault="00096052" w:rsidP="00096052">
                  <w:pPr>
                    <w:jc w:val="right"/>
                    <w:rPr>
                      <w:b/>
                      <w:bCs/>
                      <w:color w:val="000000"/>
                    </w:rPr>
                  </w:pPr>
                  <w:r w:rsidRPr="009F7729">
                    <w:rPr>
                      <w:b/>
                      <w:bCs/>
                      <w:color w:val="000000"/>
                    </w:rPr>
                    <w:t xml:space="preserve">Kopā tiešās izmaksas uz 1 </w:t>
                  </w:r>
                  <w:r>
                    <w:rPr>
                      <w:b/>
                      <w:bCs/>
                      <w:color w:val="000000"/>
                    </w:rPr>
                    <w:t>sertificētu arhitektu</w:t>
                  </w:r>
                  <w:r w:rsidRPr="009F7729">
                    <w:rPr>
                      <w:b/>
                      <w:bCs/>
                      <w:color w:val="000000"/>
                    </w:rPr>
                    <w:t xml:space="preserve"> (</w:t>
                  </w:r>
                  <w:r w:rsidRPr="009F7729">
                    <w:rPr>
                      <w:b/>
                      <w:bCs/>
                      <w:i/>
                      <w:color w:val="000000"/>
                    </w:rPr>
                    <w:t>euro</w:t>
                  </w:r>
                  <w:r w:rsidRPr="009F7729">
                    <w:rPr>
                      <w:b/>
                      <w:bCs/>
                      <w:color w:val="000000"/>
                    </w:rPr>
                    <w:t>)</w:t>
                  </w:r>
                </w:p>
              </w:tc>
              <w:tc>
                <w:tcPr>
                  <w:tcW w:w="1776" w:type="dxa"/>
                  <w:tcBorders>
                    <w:top w:val="nil"/>
                    <w:left w:val="nil"/>
                    <w:bottom w:val="single" w:sz="4" w:space="0" w:color="auto"/>
                    <w:right w:val="single" w:sz="4" w:space="0" w:color="auto"/>
                  </w:tcBorders>
                  <w:shd w:val="clear" w:color="auto" w:fill="auto"/>
                  <w:vAlign w:val="center"/>
                  <w:hideMark/>
                </w:tcPr>
                <w:p w14:paraId="212C7C77" w14:textId="77777777" w:rsidR="00096052" w:rsidRPr="009F7729" w:rsidRDefault="00096052" w:rsidP="00096052">
                  <w:pPr>
                    <w:jc w:val="center"/>
                    <w:rPr>
                      <w:b/>
                      <w:bCs/>
                      <w:color w:val="000000"/>
                    </w:rPr>
                  </w:pPr>
                  <w:r>
                    <w:rPr>
                      <w:b/>
                      <w:bCs/>
                      <w:color w:val="000000"/>
                    </w:rPr>
                    <w:t>147,00</w:t>
                  </w:r>
                </w:p>
              </w:tc>
            </w:tr>
          </w:tbl>
          <w:p w14:paraId="6A243928" w14:textId="77777777" w:rsidR="00096052" w:rsidRDefault="00096052" w:rsidP="00096052">
            <w:pPr>
              <w:shd w:val="clear" w:color="auto" w:fill="FFFFFF"/>
              <w:ind w:firstLine="394"/>
              <w:jc w:val="both"/>
            </w:pPr>
          </w:p>
          <w:p w14:paraId="0AB1B10A" w14:textId="77777777" w:rsidR="00096052" w:rsidRDefault="00096052" w:rsidP="00096052">
            <w:pPr>
              <w:jc w:val="right"/>
              <w:rPr>
                <w:i/>
              </w:rPr>
            </w:pPr>
          </w:p>
          <w:p w14:paraId="5DE1899F" w14:textId="77777777" w:rsidR="00096052" w:rsidRPr="00B74E1D" w:rsidRDefault="00096052" w:rsidP="00096052">
            <w:pPr>
              <w:jc w:val="right"/>
              <w:rPr>
                <w:b/>
                <w:i/>
              </w:rPr>
            </w:pPr>
            <w:r>
              <w:rPr>
                <w:i/>
              </w:rPr>
              <w:t>5</w:t>
            </w:r>
            <w:r w:rsidRPr="00B74E1D">
              <w:rPr>
                <w:b/>
                <w:i/>
              </w:rPr>
              <w:t>.</w:t>
            </w:r>
            <w:r w:rsidRPr="00B74E1D">
              <w:rPr>
                <w:i/>
                <w:lang w:eastAsia="x-none"/>
              </w:rPr>
              <w:t>tabula</w:t>
            </w:r>
          </w:p>
          <w:p w14:paraId="3069936C" w14:textId="77777777" w:rsidR="00096052" w:rsidRPr="00B74E1D" w:rsidRDefault="00096052" w:rsidP="00096052">
            <w:pPr>
              <w:jc w:val="center"/>
              <w:rPr>
                <w:b/>
              </w:rPr>
            </w:pPr>
            <w:r>
              <w:rPr>
                <w:b/>
              </w:rPr>
              <w:t xml:space="preserve">Arhitektu ar </w:t>
            </w:r>
            <w:r w:rsidRPr="00B74E1D">
              <w:rPr>
                <w:b/>
              </w:rPr>
              <w:t xml:space="preserve">uzraudzības izmaksu kopsavilkums </w:t>
            </w:r>
          </w:p>
          <w:tbl>
            <w:tblPr>
              <w:tblStyle w:val="TableGrid"/>
              <w:tblW w:w="0" w:type="auto"/>
              <w:jc w:val="center"/>
              <w:tblLook w:val="04A0" w:firstRow="1" w:lastRow="0" w:firstColumn="1" w:lastColumn="0" w:noHBand="0" w:noVBand="1"/>
            </w:tblPr>
            <w:tblGrid>
              <w:gridCol w:w="3089"/>
              <w:gridCol w:w="3038"/>
            </w:tblGrid>
            <w:tr w:rsidR="00096052" w:rsidRPr="00B10CC0" w14:paraId="7B44016B" w14:textId="77777777" w:rsidTr="00096052">
              <w:trPr>
                <w:jc w:val="center"/>
              </w:trPr>
              <w:tc>
                <w:tcPr>
                  <w:tcW w:w="3089" w:type="dxa"/>
                </w:tcPr>
                <w:p w14:paraId="5D4956F9" w14:textId="77777777" w:rsidR="00096052" w:rsidRPr="00B10CC0" w:rsidRDefault="00096052" w:rsidP="00096052">
                  <w:pPr>
                    <w:pStyle w:val="NormalWeb"/>
                    <w:spacing w:before="0" w:beforeAutospacing="0" w:after="0" w:afterAutospacing="0"/>
                    <w:jc w:val="center"/>
                    <w:rPr>
                      <w:rFonts w:ascii="Times New Roman" w:hAnsi="Times New Roman"/>
                      <w:b/>
                      <w:bCs/>
                      <w:sz w:val="24"/>
                      <w:szCs w:val="24"/>
                      <w:lang w:val="lv-LV" w:eastAsia="lv-LV"/>
                    </w:rPr>
                  </w:pPr>
                  <w:r w:rsidRPr="00B10CC0">
                    <w:rPr>
                      <w:rFonts w:ascii="Times New Roman" w:hAnsi="Times New Roman"/>
                      <w:b/>
                      <w:bCs/>
                      <w:sz w:val="24"/>
                      <w:szCs w:val="24"/>
                      <w:lang w:val="lv-LV" w:eastAsia="lv-LV"/>
                    </w:rPr>
                    <w:t>Rādītājs (izmaksu veids)</w:t>
                  </w:r>
                </w:p>
              </w:tc>
              <w:tc>
                <w:tcPr>
                  <w:tcW w:w="3038" w:type="dxa"/>
                </w:tcPr>
                <w:p w14:paraId="619A65E6" w14:textId="77777777" w:rsidR="00096052" w:rsidRPr="00B10CC0" w:rsidRDefault="00096052" w:rsidP="00096052">
                  <w:pPr>
                    <w:pStyle w:val="NormalWeb"/>
                    <w:spacing w:before="0" w:beforeAutospacing="0" w:after="0" w:afterAutospacing="0"/>
                    <w:jc w:val="center"/>
                    <w:rPr>
                      <w:rFonts w:ascii="Times New Roman" w:hAnsi="Times New Roman"/>
                      <w:b/>
                      <w:bCs/>
                      <w:sz w:val="24"/>
                      <w:szCs w:val="24"/>
                      <w:lang w:val="lv-LV" w:eastAsia="lv-LV"/>
                    </w:rPr>
                  </w:pPr>
                  <w:r w:rsidRPr="00B10CC0">
                    <w:rPr>
                      <w:rFonts w:ascii="Times New Roman" w:hAnsi="Times New Roman"/>
                      <w:b/>
                      <w:bCs/>
                      <w:sz w:val="24"/>
                      <w:szCs w:val="24"/>
                      <w:lang w:val="lv-LV" w:eastAsia="lv-LV"/>
                    </w:rPr>
                    <w:t xml:space="preserve">Izmaksu apjoms gadā </w:t>
                  </w:r>
                  <w:r w:rsidRPr="00B10CC0">
                    <w:rPr>
                      <w:rFonts w:ascii="Times New Roman" w:hAnsi="Times New Roman"/>
                      <w:b/>
                      <w:bCs/>
                      <w:i/>
                      <w:sz w:val="24"/>
                      <w:szCs w:val="24"/>
                      <w:lang w:val="lv-LV" w:eastAsia="lv-LV"/>
                    </w:rPr>
                    <w:t>(euro)</w:t>
                  </w:r>
                </w:p>
              </w:tc>
            </w:tr>
            <w:tr w:rsidR="00096052" w:rsidRPr="00B10CC0" w14:paraId="6AC1FCE1" w14:textId="77777777" w:rsidTr="00096052">
              <w:trPr>
                <w:jc w:val="center"/>
              </w:trPr>
              <w:tc>
                <w:tcPr>
                  <w:tcW w:w="3089" w:type="dxa"/>
                </w:tcPr>
                <w:p w14:paraId="7AF7500B" w14:textId="77777777" w:rsidR="00096052" w:rsidRPr="00B10CC0" w:rsidRDefault="00096052" w:rsidP="00096052">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Tiešās izmaksas</w:t>
                  </w:r>
                </w:p>
              </w:tc>
              <w:tc>
                <w:tcPr>
                  <w:tcW w:w="3038" w:type="dxa"/>
                </w:tcPr>
                <w:p w14:paraId="7CC69EAB" w14:textId="77777777" w:rsidR="00096052" w:rsidRPr="00B10CC0" w:rsidRDefault="00096052" w:rsidP="00096052">
                  <w:pPr>
                    <w:pStyle w:val="NormalWeb"/>
                    <w:spacing w:before="0" w:beforeAutospacing="0" w:after="0" w:afterAutospacing="0"/>
                    <w:jc w:val="center"/>
                    <w:rPr>
                      <w:rFonts w:ascii="Times New Roman" w:hAnsi="Times New Roman"/>
                      <w:bCs/>
                      <w:sz w:val="24"/>
                      <w:szCs w:val="24"/>
                      <w:lang w:val="lv-LV" w:eastAsia="lv-LV"/>
                    </w:rPr>
                  </w:pPr>
                  <w:r w:rsidRPr="00B10CC0">
                    <w:rPr>
                      <w:rFonts w:ascii="Times New Roman" w:hAnsi="Times New Roman"/>
                      <w:bCs/>
                      <w:color w:val="000000"/>
                      <w:sz w:val="24"/>
                      <w:szCs w:val="24"/>
                    </w:rPr>
                    <w:t>85</w:t>
                  </w:r>
                  <w:r>
                    <w:rPr>
                      <w:rFonts w:ascii="Times New Roman" w:hAnsi="Times New Roman"/>
                      <w:bCs/>
                      <w:color w:val="000000"/>
                      <w:sz w:val="24"/>
                      <w:szCs w:val="24"/>
                    </w:rPr>
                    <w:t> 280</w:t>
                  </w:r>
                </w:p>
              </w:tc>
            </w:tr>
            <w:tr w:rsidR="00096052" w:rsidRPr="00B10CC0" w14:paraId="6A082390" w14:textId="77777777" w:rsidTr="00096052">
              <w:trPr>
                <w:jc w:val="center"/>
              </w:trPr>
              <w:tc>
                <w:tcPr>
                  <w:tcW w:w="3089" w:type="dxa"/>
                </w:tcPr>
                <w:p w14:paraId="2F0F4032" w14:textId="77777777" w:rsidR="00096052" w:rsidRPr="00B10CC0" w:rsidRDefault="00096052" w:rsidP="00096052">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Netiešās izmaksas</w:t>
                  </w:r>
                </w:p>
              </w:tc>
              <w:tc>
                <w:tcPr>
                  <w:tcW w:w="3038" w:type="dxa"/>
                </w:tcPr>
                <w:p w14:paraId="771E8CB0" w14:textId="77777777" w:rsidR="00096052" w:rsidRPr="00B10CC0" w:rsidRDefault="00096052" w:rsidP="00096052">
                  <w:pPr>
                    <w:pStyle w:val="NormalWeb"/>
                    <w:spacing w:before="0" w:beforeAutospacing="0" w:after="0" w:afterAutospacing="0"/>
                    <w:jc w:val="center"/>
                    <w:rPr>
                      <w:rFonts w:ascii="Times New Roman" w:hAnsi="Times New Roman"/>
                      <w:bCs/>
                      <w:sz w:val="24"/>
                      <w:szCs w:val="24"/>
                      <w:lang w:val="lv-LV" w:eastAsia="lv-LV"/>
                    </w:rPr>
                  </w:pPr>
                  <w:r w:rsidRPr="00B10CC0">
                    <w:rPr>
                      <w:rFonts w:ascii="Times New Roman" w:hAnsi="Times New Roman"/>
                      <w:bCs/>
                      <w:sz w:val="24"/>
                      <w:szCs w:val="24"/>
                      <w:lang w:val="lv-LV" w:eastAsia="lv-LV"/>
                    </w:rPr>
                    <w:t>38</w:t>
                  </w:r>
                  <w:r>
                    <w:rPr>
                      <w:rFonts w:ascii="Times New Roman" w:hAnsi="Times New Roman"/>
                      <w:bCs/>
                      <w:sz w:val="24"/>
                      <w:szCs w:val="24"/>
                      <w:lang w:val="lv-LV" w:eastAsia="lv-LV"/>
                    </w:rPr>
                    <w:t> </w:t>
                  </w:r>
                  <w:r w:rsidRPr="00B10CC0">
                    <w:rPr>
                      <w:rFonts w:ascii="Times New Roman" w:hAnsi="Times New Roman"/>
                      <w:bCs/>
                      <w:sz w:val="24"/>
                      <w:szCs w:val="24"/>
                      <w:lang w:val="lv-LV" w:eastAsia="lv-LV"/>
                    </w:rPr>
                    <w:t>860</w:t>
                  </w:r>
                </w:p>
              </w:tc>
            </w:tr>
            <w:tr w:rsidR="00096052" w:rsidRPr="00B10CC0" w14:paraId="4D7E2FB0" w14:textId="77777777" w:rsidTr="00096052">
              <w:trPr>
                <w:jc w:val="center"/>
              </w:trPr>
              <w:tc>
                <w:tcPr>
                  <w:tcW w:w="3089" w:type="dxa"/>
                </w:tcPr>
                <w:p w14:paraId="55492D3E" w14:textId="77777777" w:rsidR="00096052" w:rsidRPr="00B10CC0" w:rsidRDefault="00096052" w:rsidP="00096052">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Pakalpojuma izmaksas kopā</w:t>
                  </w:r>
                </w:p>
              </w:tc>
              <w:tc>
                <w:tcPr>
                  <w:tcW w:w="3038" w:type="dxa"/>
                </w:tcPr>
                <w:p w14:paraId="73598CDF" w14:textId="77777777" w:rsidR="00096052" w:rsidRPr="00B10CC0" w:rsidRDefault="00096052" w:rsidP="00096052">
                  <w:pPr>
                    <w:pStyle w:val="NormalWeb"/>
                    <w:spacing w:before="0" w:beforeAutospacing="0" w:after="0" w:afterAutospacing="0"/>
                    <w:jc w:val="center"/>
                    <w:rPr>
                      <w:rFonts w:ascii="Times New Roman" w:hAnsi="Times New Roman"/>
                      <w:bCs/>
                      <w:sz w:val="24"/>
                      <w:szCs w:val="24"/>
                      <w:lang w:val="lv-LV" w:eastAsia="lv-LV"/>
                    </w:rPr>
                  </w:pPr>
                  <w:r w:rsidRPr="00B10CC0">
                    <w:rPr>
                      <w:rFonts w:ascii="Times New Roman" w:hAnsi="Times New Roman"/>
                      <w:bCs/>
                      <w:sz w:val="24"/>
                      <w:szCs w:val="24"/>
                      <w:lang w:val="lv-LV" w:eastAsia="lv-LV"/>
                    </w:rPr>
                    <w:t>124</w:t>
                  </w:r>
                  <w:r>
                    <w:rPr>
                      <w:rFonts w:ascii="Times New Roman" w:hAnsi="Times New Roman"/>
                      <w:bCs/>
                      <w:sz w:val="24"/>
                      <w:szCs w:val="24"/>
                      <w:lang w:val="lv-LV" w:eastAsia="lv-LV"/>
                    </w:rPr>
                    <w:t> 140</w:t>
                  </w:r>
                </w:p>
              </w:tc>
            </w:tr>
          </w:tbl>
          <w:p w14:paraId="7CF84355" w14:textId="77777777" w:rsidR="00096052" w:rsidRPr="008963EC" w:rsidRDefault="00096052" w:rsidP="00096052">
            <w:pPr>
              <w:autoSpaceDE w:val="0"/>
              <w:autoSpaceDN w:val="0"/>
              <w:adjustRightInd w:val="0"/>
              <w:rPr>
                <w:bCs/>
                <w:sz w:val="12"/>
              </w:rPr>
            </w:pPr>
          </w:p>
          <w:tbl>
            <w:tblPr>
              <w:tblStyle w:val="TableGrid"/>
              <w:tblW w:w="0" w:type="auto"/>
              <w:jc w:val="center"/>
              <w:tblLook w:val="04A0" w:firstRow="1" w:lastRow="0" w:firstColumn="1" w:lastColumn="0" w:noHBand="0" w:noVBand="1"/>
            </w:tblPr>
            <w:tblGrid>
              <w:gridCol w:w="3364"/>
              <w:gridCol w:w="3365"/>
            </w:tblGrid>
            <w:tr w:rsidR="00096052" w:rsidRPr="00B10CC0" w14:paraId="3F77B9F0" w14:textId="77777777" w:rsidTr="00096052">
              <w:trPr>
                <w:jc w:val="center"/>
              </w:trPr>
              <w:tc>
                <w:tcPr>
                  <w:tcW w:w="3364" w:type="dxa"/>
                </w:tcPr>
                <w:p w14:paraId="5B3C1042" w14:textId="77777777" w:rsidR="00096052" w:rsidRPr="00B10CC0" w:rsidRDefault="00096052" w:rsidP="00096052">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 xml:space="preserve">Maksas pakalpojumu vienību skaits gadā </w:t>
                  </w:r>
                </w:p>
              </w:tc>
              <w:tc>
                <w:tcPr>
                  <w:tcW w:w="3365" w:type="dxa"/>
                </w:tcPr>
                <w:p w14:paraId="2A48A1E6" w14:textId="77777777" w:rsidR="00096052" w:rsidRPr="00B10CC0" w:rsidRDefault="00096052" w:rsidP="00096052">
                  <w:pPr>
                    <w:pStyle w:val="NormalWeb"/>
                    <w:spacing w:before="0" w:beforeAutospacing="0" w:after="0" w:afterAutospacing="0"/>
                    <w:rPr>
                      <w:rFonts w:ascii="Times New Roman" w:hAnsi="Times New Roman"/>
                      <w:bCs/>
                      <w:sz w:val="24"/>
                      <w:szCs w:val="24"/>
                      <w:lang w:val="lv-LV" w:eastAsia="lv-LV"/>
                    </w:rPr>
                  </w:pPr>
                  <w:r w:rsidRPr="00B10CC0">
                    <w:rPr>
                      <w:rFonts w:ascii="Times New Roman" w:hAnsi="Times New Roman"/>
                      <w:bCs/>
                      <w:sz w:val="24"/>
                      <w:szCs w:val="24"/>
                      <w:lang w:val="lv-LV" w:eastAsia="lv-LV"/>
                    </w:rPr>
                    <w:t>580</w:t>
                  </w:r>
                </w:p>
              </w:tc>
            </w:tr>
            <w:tr w:rsidR="00096052" w:rsidRPr="00B10CC0" w14:paraId="01A0A439" w14:textId="77777777" w:rsidTr="00096052">
              <w:trPr>
                <w:jc w:val="center"/>
              </w:trPr>
              <w:tc>
                <w:tcPr>
                  <w:tcW w:w="3364" w:type="dxa"/>
                </w:tcPr>
                <w:p w14:paraId="6F250DAB" w14:textId="77777777" w:rsidR="00096052" w:rsidRPr="00B10CC0" w:rsidRDefault="00096052" w:rsidP="00096052">
                  <w:pPr>
                    <w:pStyle w:val="NormalWeb"/>
                    <w:spacing w:before="0" w:beforeAutospacing="0" w:after="0" w:afterAutospacing="0"/>
                    <w:rPr>
                      <w:rFonts w:ascii="Times New Roman" w:hAnsi="Times New Roman"/>
                      <w:b/>
                      <w:bCs/>
                      <w:sz w:val="24"/>
                      <w:szCs w:val="24"/>
                      <w:lang w:val="lv-LV" w:eastAsia="lv-LV"/>
                    </w:rPr>
                  </w:pPr>
                  <w:r w:rsidRPr="00B10CC0">
                    <w:rPr>
                      <w:rFonts w:ascii="Times New Roman" w:hAnsi="Times New Roman"/>
                      <w:b/>
                      <w:bCs/>
                      <w:sz w:val="24"/>
                      <w:szCs w:val="24"/>
                      <w:lang w:val="lv-LV" w:eastAsia="lv-LV"/>
                    </w:rPr>
                    <w:t xml:space="preserve">Maksas pakalpojuma izcenojums </w:t>
                  </w:r>
                  <w:r w:rsidRPr="00B10CC0">
                    <w:rPr>
                      <w:rFonts w:ascii="Times New Roman" w:hAnsi="Times New Roman"/>
                      <w:b/>
                      <w:bCs/>
                      <w:i/>
                      <w:sz w:val="24"/>
                      <w:szCs w:val="24"/>
                      <w:lang w:val="lv-LV" w:eastAsia="lv-LV"/>
                    </w:rPr>
                    <w:t>(euro)</w:t>
                  </w:r>
                </w:p>
              </w:tc>
              <w:tc>
                <w:tcPr>
                  <w:tcW w:w="3365" w:type="dxa"/>
                  <w:shd w:val="clear" w:color="auto" w:fill="auto"/>
                </w:tcPr>
                <w:p w14:paraId="7B8A3F05" w14:textId="77777777" w:rsidR="00096052" w:rsidRPr="00B10CC0" w:rsidRDefault="00096052" w:rsidP="00096052">
                  <w:pPr>
                    <w:pStyle w:val="NormalWeb"/>
                    <w:spacing w:before="0" w:beforeAutospacing="0" w:after="0" w:afterAutospacing="0"/>
                    <w:rPr>
                      <w:rFonts w:ascii="Times New Roman" w:hAnsi="Times New Roman"/>
                      <w:b/>
                      <w:bCs/>
                      <w:sz w:val="24"/>
                      <w:szCs w:val="24"/>
                      <w:lang w:val="lv-LV" w:eastAsia="lv-LV"/>
                    </w:rPr>
                  </w:pPr>
                  <w:r w:rsidRPr="00B10CC0">
                    <w:rPr>
                      <w:rFonts w:ascii="Times New Roman" w:hAnsi="Times New Roman"/>
                      <w:b/>
                      <w:bCs/>
                      <w:sz w:val="24"/>
                      <w:szCs w:val="24"/>
                      <w:lang w:val="lv-LV" w:eastAsia="lv-LV"/>
                    </w:rPr>
                    <w:t>21</w:t>
                  </w:r>
                  <w:r>
                    <w:rPr>
                      <w:rFonts w:ascii="Times New Roman" w:hAnsi="Times New Roman"/>
                      <w:b/>
                      <w:bCs/>
                      <w:sz w:val="24"/>
                      <w:szCs w:val="24"/>
                      <w:lang w:val="lv-LV" w:eastAsia="lv-LV"/>
                    </w:rPr>
                    <w:t>4</w:t>
                  </w:r>
                  <w:r w:rsidRPr="00B10CC0">
                    <w:rPr>
                      <w:rFonts w:ascii="Times New Roman" w:hAnsi="Times New Roman"/>
                      <w:b/>
                      <w:bCs/>
                      <w:sz w:val="24"/>
                      <w:szCs w:val="24"/>
                      <w:lang w:val="lv-LV" w:eastAsia="lv-LV"/>
                    </w:rPr>
                    <w:t>,00</w:t>
                  </w:r>
                </w:p>
              </w:tc>
            </w:tr>
          </w:tbl>
          <w:p w14:paraId="0AC8C67F" w14:textId="77777777" w:rsidR="00096052" w:rsidRPr="008963EC" w:rsidRDefault="00096052" w:rsidP="00096052">
            <w:pPr>
              <w:shd w:val="clear" w:color="auto" w:fill="FFFFFF"/>
              <w:ind w:firstLine="394"/>
              <w:jc w:val="both"/>
              <w:rPr>
                <w:sz w:val="12"/>
              </w:rPr>
            </w:pPr>
          </w:p>
          <w:p w14:paraId="5373BAEC" w14:textId="77777777" w:rsidR="00096052" w:rsidRDefault="00096052" w:rsidP="00096052">
            <w:pPr>
              <w:shd w:val="clear" w:color="auto" w:fill="FFFFFF"/>
              <w:jc w:val="both"/>
              <w:rPr>
                <w:b/>
              </w:rPr>
            </w:pPr>
            <w:r w:rsidRPr="00DE43B4">
              <w:rPr>
                <w:b/>
              </w:rPr>
              <w:t>Tiešās izmaksas – atvieglotas sertifikāta uzturēšanas prasības</w:t>
            </w:r>
          </w:p>
          <w:p w14:paraId="19D6CB56" w14:textId="77777777" w:rsidR="00096052" w:rsidRPr="008963EC" w:rsidRDefault="00096052" w:rsidP="00096052">
            <w:pPr>
              <w:shd w:val="clear" w:color="auto" w:fill="FFFFFF"/>
              <w:ind w:firstLine="394"/>
              <w:jc w:val="both"/>
              <w:rPr>
                <w:sz w:val="12"/>
              </w:rPr>
            </w:pPr>
          </w:p>
          <w:p w14:paraId="60436B12" w14:textId="77777777" w:rsidR="00096052" w:rsidRDefault="00096052" w:rsidP="00096052">
            <w:pPr>
              <w:shd w:val="clear" w:color="auto" w:fill="FFFFFF"/>
              <w:ind w:firstLine="394"/>
              <w:jc w:val="both"/>
            </w:pPr>
            <w:r>
              <w:t>Sertificēto arhitektu skaits, kas ievēros atvieglotas sertifikāta uzturēšanas prasības – 250.</w:t>
            </w:r>
          </w:p>
          <w:p w14:paraId="156F80A9" w14:textId="77777777" w:rsidR="00096052" w:rsidRPr="008963EC" w:rsidRDefault="00096052" w:rsidP="00096052">
            <w:pPr>
              <w:shd w:val="clear" w:color="auto" w:fill="FFFFFF"/>
              <w:ind w:firstLine="394"/>
              <w:jc w:val="both"/>
              <w:rPr>
                <w:sz w:val="12"/>
              </w:rPr>
            </w:pPr>
            <w:r>
              <w:t xml:space="preserve">Atvieglotas prasības sertifikāta uzturēšanai atļauts ievērot arhitektiem, kas uztur spēkā saskaņā ar </w:t>
            </w:r>
            <w:r w:rsidRPr="004E58A2">
              <w:rPr>
                <w:i/>
              </w:rPr>
              <w:t>Noteikumu Nr.169</w:t>
            </w:r>
            <w:r>
              <w:t xml:space="preserve"> 6. punktu izveidoto informatīvo piezīmi – </w:t>
            </w:r>
            <w:bookmarkStart w:id="1" w:name="_Hlk3203902"/>
            <w:r w:rsidRPr="00451F61">
              <w:rPr>
                <w:i/>
              </w:rPr>
              <w:t>Viena un divu dzīvokļu dzīvojamo ēku, atsevišķu dzīvokļu daudzdzīvokļu ēkās atjaunošanas un pārbūves, 1. un 2. grupas ražošanas un lauksaimniecības būvju projektēšana</w:t>
            </w:r>
            <w:bookmarkEnd w:id="1"/>
            <w:r>
              <w:t xml:space="preserve"> – un attiecīgi projektē tikai informatīvajā piezīmē uzskaitītos vai mazākus objektus. Atvieglotas sertifikāta uzturēšanas </w:t>
            </w:r>
            <w:r>
              <w:lastRenderedPageBreak/>
              <w:t xml:space="preserve">prasības izpaužas kā samazinātas prasības tālākizglītības un prakses apjomam. Ņemot vērā noteikto prasību vienkāršību, ir nepieciešami mazāki resursi </w:t>
            </w:r>
            <w:r w:rsidRPr="00C050E7">
              <w:rPr>
                <w:i/>
              </w:rPr>
              <w:t>20% pārbaudei</w:t>
            </w:r>
            <w:r>
              <w:t xml:space="preserve">. Tāpat mazāki resursi nepieciešami arī </w:t>
            </w:r>
            <w:r w:rsidRPr="00C050E7">
              <w:rPr>
                <w:i/>
              </w:rPr>
              <w:t>sūdzību izvērtēšanai</w:t>
            </w:r>
            <w:r>
              <w:t xml:space="preserve">, jo objekti ir nelieli, ir mazāks izskatāmo dokumentu apjoms un mazāka lietu sarežģītība. Attiecībā uz </w:t>
            </w:r>
            <w:r w:rsidRPr="00C050E7">
              <w:rPr>
                <w:i/>
              </w:rPr>
              <w:t>1% pārbaudi</w:t>
            </w:r>
            <w:r>
              <w:t xml:space="preserve"> – riska faktoru saraksts, pēc kuriem izvēlas būvprojektus </w:t>
            </w:r>
            <w:r w:rsidRPr="00C050E7">
              <w:rPr>
                <w:i/>
              </w:rPr>
              <w:t>1% pārbaudei</w:t>
            </w:r>
            <w:r>
              <w:t xml:space="preserve">, ir izveidots tāds, ka pārbaudāmie projekti lielākoties būs ārpus informatīvās piezīmes objektu kategorijas, kā arī gadījumā, ja tomēr būs jāveic </w:t>
            </w:r>
            <w:r w:rsidRPr="00C050E7">
              <w:rPr>
                <w:i/>
              </w:rPr>
              <w:t>1% pārbaude</w:t>
            </w:r>
            <w:r>
              <w:t xml:space="preserve"> kādam no arhitektiem, kas uztur sertifikātu ar atvieglotām uzturēšanas prasības, patērējamo resursu apjoms būs neliels objektu nelielā izmēra un mazāka dokumentu apjoma dēļ.</w:t>
            </w:r>
          </w:p>
          <w:p w14:paraId="71A7952E" w14:textId="77777777" w:rsidR="00096052" w:rsidRPr="00B74E1D" w:rsidRDefault="00096052" w:rsidP="00096052">
            <w:pPr>
              <w:jc w:val="right"/>
              <w:rPr>
                <w:b/>
                <w:i/>
              </w:rPr>
            </w:pPr>
            <w:r>
              <w:rPr>
                <w:i/>
              </w:rPr>
              <w:t>6</w:t>
            </w:r>
            <w:r w:rsidRPr="00B74E1D">
              <w:rPr>
                <w:b/>
                <w:i/>
              </w:rPr>
              <w:t>.</w:t>
            </w:r>
            <w:r w:rsidRPr="00B74E1D">
              <w:rPr>
                <w:i/>
                <w:lang w:eastAsia="x-none"/>
              </w:rPr>
              <w:t>tabula</w:t>
            </w:r>
          </w:p>
          <w:p w14:paraId="4512F1FB" w14:textId="77777777" w:rsidR="00096052" w:rsidRPr="00B74E1D" w:rsidRDefault="00096052" w:rsidP="00096052">
            <w:pPr>
              <w:jc w:val="center"/>
              <w:rPr>
                <w:b/>
              </w:rPr>
            </w:pPr>
            <w:r>
              <w:rPr>
                <w:b/>
              </w:rPr>
              <w:t xml:space="preserve">Arhitektu ar </w:t>
            </w:r>
            <w:r w:rsidRPr="00DE43B4">
              <w:rPr>
                <w:b/>
              </w:rPr>
              <w:t>atvieglot</w:t>
            </w:r>
            <w:r>
              <w:rPr>
                <w:b/>
              </w:rPr>
              <w:t>u</w:t>
            </w:r>
            <w:r w:rsidRPr="00DE43B4">
              <w:rPr>
                <w:b/>
              </w:rPr>
              <w:t xml:space="preserve"> sertifikāta uzturēšanas prasīb</w:t>
            </w:r>
            <w:r>
              <w:rPr>
                <w:b/>
              </w:rPr>
              <w:t>u</w:t>
            </w:r>
            <w:r w:rsidRPr="00B74E1D">
              <w:rPr>
                <w:b/>
              </w:rPr>
              <w:t xml:space="preserve"> uzraudzības tiešo izmaksu aprēķins </w:t>
            </w:r>
          </w:p>
          <w:tbl>
            <w:tblPr>
              <w:tblW w:w="7568" w:type="dxa"/>
              <w:jc w:val="center"/>
              <w:tblLook w:val="04A0" w:firstRow="1" w:lastRow="0" w:firstColumn="1" w:lastColumn="0" w:noHBand="0" w:noVBand="1"/>
            </w:tblPr>
            <w:tblGrid>
              <w:gridCol w:w="811"/>
              <w:gridCol w:w="1654"/>
              <w:gridCol w:w="1276"/>
              <w:gridCol w:w="1559"/>
              <w:gridCol w:w="993"/>
              <w:gridCol w:w="1275"/>
            </w:tblGrid>
            <w:tr w:rsidR="00096052" w:rsidRPr="009F7729" w14:paraId="49DE2EBA" w14:textId="77777777" w:rsidTr="00096052">
              <w:trPr>
                <w:trHeight w:val="682"/>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A1629" w14:textId="77777777" w:rsidR="00096052" w:rsidRPr="009F7729" w:rsidRDefault="00096052" w:rsidP="00096052">
                  <w:pPr>
                    <w:jc w:val="center"/>
                    <w:rPr>
                      <w:color w:val="000000"/>
                    </w:rPr>
                  </w:pPr>
                  <w:r w:rsidRPr="009F7729">
                    <w:rPr>
                      <w:color w:val="000000"/>
                    </w:rPr>
                    <w:t>N.p.k.</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0390CC8F" w14:textId="77777777" w:rsidR="00096052" w:rsidRPr="009F7729" w:rsidRDefault="00096052" w:rsidP="00096052">
                  <w:pPr>
                    <w:jc w:val="center"/>
                    <w:rPr>
                      <w:color w:val="000000"/>
                    </w:rPr>
                  </w:pPr>
                  <w:r w:rsidRPr="009F7729">
                    <w:rPr>
                      <w:color w:val="000000"/>
                    </w:rPr>
                    <w:t>Pārbaudes Nosaukums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43D20" w14:textId="77777777" w:rsidR="00096052" w:rsidRPr="009F7729" w:rsidRDefault="00096052" w:rsidP="00096052">
                  <w:pPr>
                    <w:jc w:val="center"/>
                    <w:rPr>
                      <w:color w:val="000000"/>
                    </w:rPr>
                  </w:pPr>
                  <w:r w:rsidRPr="009F7729">
                    <w:rPr>
                      <w:color w:val="000000"/>
                    </w:rPr>
                    <w:t>gadījumu skaits gadā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A9E7C7" w14:textId="77777777" w:rsidR="00096052" w:rsidRPr="009F7729" w:rsidRDefault="00096052" w:rsidP="00096052">
                  <w:pPr>
                    <w:jc w:val="center"/>
                    <w:rPr>
                      <w:color w:val="000000"/>
                    </w:rPr>
                  </w:pPr>
                  <w:r w:rsidRPr="009F7729">
                    <w:rPr>
                      <w:color w:val="000000"/>
                    </w:rPr>
                    <w:t>stundas likme (</w:t>
                  </w:r>
                  <w:r w:rsidRPr="009F7729">
                    <w:rPr>
                      <w:i/>
                      <w:color w:val="000000"/>
                    </w:rPr>
                    <w:t>euro</w:t>
                  </w:r>
                  <w:r w:rsidRPr="009F7729">
                    <w:rPr>
                      <w:color w:val="00000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72DB52F" w14:textId="77777777" w:rsidR="00096052" w:rsidRPr="009F7729" w:rsidRDefault="00096052" w:rsidP="00096052">
                  <w:pPr>
                    <w:jc w:val="center"/>
                    <w:rPr>
                      <w:color w:val="000000"/>
                    </w:rPr>
                  </w:pPr>
                  <w:r w:rsidRPr="009F7729">
                    <w:rPr>
                      <w:color w:val="000000"/>
                    </w:rPr>
                    <w:t>stundu skaits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8C7129" w14:textId="77777777" w:rsidR="00096052" w:rsidRPr="009F7729" w:rsidRDefault="00096052" w:rsidP="00096052">
                  <w:pPr>
                    <w:jc w:val="center"/>
                    <w:rPr>
                      <w:color w:val="000000"/>
                    </w:rPr>
                  </w:pPr>
                  <w:r w:rsidRPr="009F7729">
                    <w:rPr>
                      <w:color w:val="000000"/>
                    </w:rPr>
                    <w:t>kopā (</w:t>
                  </w:r>
                  <w:r w:rsidRPr="009F7729">
                    <w:rPr>
                      <w:i/>
                      <w:color w:val="000000"/>
                    </w:rPr>
                    <w:t>euro</w:t>
                  </w:r>
                  <w:r w:rsidRPr="009F7729">
                    <w:rPr>
                      <w:color w:val="000000"/>
                    </w:rPr>
                    <w:t>)</w:t>
                  </w:r>
                </w:p>
              </w:tc>
            </w:tr>
            <w:tr w:rsidR="00096052" w:rsidRPr="009F7729" w14:paraId="59C9C9F7" w14:textId="77777777" w:rsidTr="00096052">
              <w:trPr>
                <w:trHeight w:val="3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BB360B9" w14:textId="77777777" w:rsidR="00096052" w:rsidRPr="009F7729" w:rsidRDefault="00096052" w:rsidP="00096052">
                  <w:pPr>
                    <w:jc w:val="center"/>
                    <w:rPr>
                      <w:color w:val="000000"/>
                    </w:rPr>
                  </w:pPr>
                  <w:r w:rsidRPr="009F7729">
                    <w:rPr>
                      <w:color w:val="000000"/>
                    </w:rPr>
                    <w:t>1</w:t>
                  </w:r>
                </w:p>
              </w:tc>
              <w:tc>
                <w:tcPr>
                  <w:tcW w:w="1654" w:type="dxa"/>
                  <w:tcBorders>
                    <w:top w:val="nil"/>
                    <w:left w:val="nil"/>
                    <w:bottom w:val="single" w:sz="4" w:space="0" w:color="auto"/>
                    <w:right w:val="single" w:sz="4" w:space="0" w:color="auto"/>
                  </w:tcBorders>
                  <w:shd w:val="clear" w:color="auto" w:fill="auto"/>
                  <w:vAlign w:val="center"/>
                  <w:hideMark/>
                </w:tcPr>
                <w:p w14:paraId="5B927A2A" w14:textId="77777777" w:rsidR="00096052" w:rsidRPr="009F7729" w:rsidRDefault="00096052" w:rsidP="00096052">
                  <w:pPr>
                    <w:jc w:val="center"/>
                    <w:rPr>
                      <w:i/>
                      <w:color w:val="000000"/>
                    </w:rPr>
                  </w:pPr>
                  <w:r w:rsidRPr="009F7729">
                    <w:rPr>
                      <w:i/>
                      <w:color w:val="000000"/>
                    </w:rPr>
                    <w:t>100% pārbaude</w:t>
                  </w:r>
                </w:p>
              </w:tc>
              <w:tc>
                <w:tcPr>
                  <w:tcW w:w="1276" w:type="dxa"/>
                  <w:tcBorders>
                    <w:top w:val="nil"/>
                    <w:left w:val="nil"/>
                    <w:bottom w:val="single" w:sz="4" w:space="0" w:color="auto"/>
                    <w:right w:val="single" w:sz="4" w:space="0" w:color="auto"/>
                  </w:tcBorders>
                  <w:shd w:val="clear" w:color="auto" w:fill="auto"/>
                  <w:vAlign w:val="center"/>
                  <w:hideMark/>
                </w:tcPr>
                <w:p w14:paraId="1D6578E6" w14:textId="77777777" w:rsidR="00096052" w:rsidRPr="009F7729" w:rsidRDefault="00096052" w:rsidP="00096052">
                  <w:pPr>
                    <w:jc w:val="center"/>
                    <w:rPr>
                      <w:color w:val="000000"/>
                    </w:rPr>
                  </w:pPr>
                  <w:r>
                    <w:rPr>
                      <w:color w:val="000000"/>
                    </w:rPr>
                    <w:t>250</w:t>
                  </w:r>
                </w:p>
              </w:tc>
              <w:tc>
                <w:tcPr>
                  <w:tcW w:w="1559" w:type="dxa"/>
                  <w:tcBorders>
                    <w:top w:val="nil"/>
                    <w:left w:val="nil"/>
                    <w:bottom w:val="single" w:sz="4" w:space="0" w:color="auto"/>
                    <w:right w:val="single" w:sz="4" w:space="0" w:color="auto"/>
                  </w:tcBorders>
                  <w:shd w:val="clear" w:color="auto" w:fill="auto"/>
                  <w:vAlign w:val="center"/>
                  <w:hideMark/>
                </w:tcPr>
                <w:p w14:paraId="58DBC8A6" w14:textId="77777777" w:rsidR="00096052" w:rsidRPr="009F7729" w:rsidRDefault="00096052" w:rsidP="00096052">
                  <w:pPr>
                    <w:jc w:val="center"/>
                    <w:rPr>
                      <w:color w:val="000000"/>
                    </w:rPr>
                  </w:pPr>
                  <w:r w:rsidRPr="009F7729">
                    <w:rPr>
                      <w:color w:val="000000"/>
                    </w:rPr>
                    <w:t>1</w:t>
                  </w:r>
                  <w:r>
                    <w:rPr>
                      <w:color w:val="000000"/>
                    </w:rPr>
                    <w:t>2,00</w:t>
                  </w:r>
                </w:p>
              </w:tc>
              <w:tc>
                <w:tcPr>
                  <w:tcW w:w="993" w:type="dxa"/>
                  <w:tcBorders>
                    <w:top w:val="nil"/>
                    <w:left w:val="nil"/>
                    <w:bottom w:val="single" w:sz="4" w:space="0" w:color="auto"/>
                    <w:right w:val="single" w:sz="4" w:space="0" w:color="auto"/>
                  </w:tcBorders>
                  <w:shd w:val="clear" w:color="auto" w:fill="auto"/>
                  <w:vAlign w:val="center"/>
                  <w:hideMark/>
                </w:tcPr>
                <w:p w14:paraId="02AD71E2" w14:textId="77777777" w:rsidR="00096052" w:rsidRPr="009F7729" w:rsidRDefault="00096052" w:rsidP="00096052">
                  <w:pPr>
                    <w:jc w:val="center"/>
                    <w:rPr>
                      <w:color w:val="000000"/>
                    </w:rPr>
                  </w:pPr>
                  <w:r w:rsidRPr="009F7729">
                    <w:rPr>
                      <w:color w:val="000000"/>
                    </w:rPr>
                    <w:t>1</w:t>
                  </w:r>
                </w:p>
              </w:tc>
              <w:tc>
                <w:tcPr>
                  <w:tcW w:w="1275" w:type="dxa"/>
                  <w:tcBorders>
                    <w:top w:val="nil"/>
                    <w:left w:val="nil"/>
                    <w:bottom w:val="single" w:sz="4" w:space="0" w:color="auto"/>
                    <w:right w:val="single" w:sz="4" w:space="0" w:color="auto"/>
                  </w:tcBorders>
                  <w:shd w:val="clear" w:color="auto" w:fill="auto"/>
                  <w:vAlign w:val="center"/>
                  <w:hideMark/>
                </w:tcPr>
                <w:p w14:paraId="52F69BF4" w14:textId="77777777" w:rsidR="00096052" w:rsidRPr="009F7729" w:rsidRDefault="00096052" w:rsidP="00096052">
                  <w:pPr>
                    <w:jc w:val="center"/>
                    <w:rPr>
                      <w:color w:val="000000"/>
                    </w:rPr>
                  </w:pPr>
                  <w:r>
                    <w:rPr>
                      <w:color w:val="000000"/>
                    </w:rPr>
                    <w:t>3 000,00</w:t>
                  </w:r>
                </w:p>
              </w:tc>
            </w:tr>
            <w:tr w:rsidR="00096052" w:rsidRPr="009F7729" w14:paraId="03946400" w14:textId="77777777" w:rsidTr="00096052">
              <w:trPr>
                <w:trHeight w:val="3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D55EFE8" w14:textId="77777777" w:rsidR="00096052" w:rsidRPr="009F7729" w:rsidRDefault="00096052" w:rsidP="00096052">
                  <w:pPr>
                    <w:jc w:val="center"/>
                    <w:rPr>
                      <w:color w:val="000000"/>
                    </w:rPr>
                  </w:pPr>
                  <w:r w:rsidRPr="009F7729">
                    <w:rPr>
                      <w:color w:val="000000"/>
                    </w:rPr>
                    <w:t>2</w:t>
                  </w:r>
                </w:p>
              </w:tc>
              <w:tc>
                <w:tcPr>
                  <w:tcW w:w="1654" w:type="dxa"/>
                  <w:tcBorders>
                    <w:top w:val="nil"/>
                    <w:left w:val="nil"/>
                    <w:bottom w:val="single" w:sz="4" w:space="0" w:color="auto"/>
                    <w:right w:val="single" w:sz="4" w:space="0" w:color="auto"/>
                  </w:tcBorders>
                  <w:shd w:val="clear" w:color="auto" w:fill="auto"/>
                  <w:vAlign w:val="center"/>
                  <w:hideMark/>
                </w:tcPr>
                <w:p w14:paraId="54E175B1" w14:textId="77777777" w:rsidR="00096052" w:rsidRPr="009F7729" w:rsidRDefault="00096052" w:rsidP="00096052">
                  <w:pPr>
                    <w:jc w:val="center"/>
                    <w:rPr>
                      <w:i/>
                      <w:color w:val="000000"/>
                    </w:rPr>
                  </w:pPr>
                  <w:r w:rsidRPr="009F7729">
                    <w:rPr>
                      <w:i/>
                      <w:color w:val="000000"/>
                    </w:rPr>
                    <w:t>20% pārbaude</w:t>
                  </w:r>
                </w:p>
              </w:tc>
              <w:tc>
                <w:tcPr>
                  <w:tcW w:w="1276" w:type="dxa"/>
                  <w:tcBorders>
                    <w:top w:val="nil"/>
                    <w:left w:val="nil"/>
                    <w:bottom w:val="single" w:sz="4" w:space="0" w:color="auto"/>
                    <w:right w:val="single" w:sz="4" w:space="0" w:color="auto"/>
                  </w:tcBorders>
                  <w:shd w:val="clear" w:color="auto" w:fill="auto"/>
                  <w:vAlign w:val="center"/>
                  <w:hideMark/>
                </w:tcPr>
                <w:p w14:paraId="686CDC0B" w14:textId="77777777" w:rsidR="00096052" w:rsidRPr="009F7729" w:rsidRDefault="00096052" w:rsidP="00096052">
                  <w:pPr>
                    <w:jc w:val="center"/>
                    <w:rPr>
                      <w:color w:val="000000"/>
                    </w:rPr>
                  </w:pPr>
                  <w:r>
                    <w:rPr>
                      <w:color w:val="000000"/>
                    </w:rPr>
                    <w:t>50</w:t>
                  </w:r>
                </w:p>
              </w:tc>
              <w:tc>
                <w:tcPr>
                  <w:tcW w:w="1559" w:type="dxa"/>
                  <w:tcBorders>
                    <w:top w:val="nil"/>
                    <w:left w:val="nil"/>
                    <w:bottom w:val="single" w:sz="4" w:space="0" w:color="auto"/>
                    <w:right w:val="single" w:sz="4" w:space="0" w:color="auto"/>
                  </w:tcBorders>
                  <w:shd w:val="clear" w:color="auto" w:fill="auto"/>
                  <w:vAlign w:val="center"/>
                  <w:hideMark/>
                </w:tcPr>
                <w:p w14:paraId="33427C8C" w14:textId="77777777" w:rsidR="00096052" w:rsidRPr="009F7729" w:rsidRDefault="00096052" w:rsidP="00096052">
                  <w:pPr>
                    <w:jc w:val="center"/>
                    <w:rPr>
                      <w:color w:val="000000"/>
                    </w:rPr>
                  </w:pPr>
                  <w:r w:rsidRPr="009F7729">
                    <w:rPr>
                      <w:color w:val="000000"/>
                    </w:rPr>
                    <w:t>40</w:t>
                  </w:r>
                  <w:r>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18B0C594" w14:textId="77777777" w:rsidR="00096052" w:rsidRPr="009F7729" w:rsidRDefault="00096052" w:rsidP="00096052">
                  <w:pPr>
                    <w:jc w:val="center"/>
                    <w:rPr>
                      <w:color w:val="000000"/>
                    </w:rPr>
                  </w:pPr>
                  <w:r>
                    <w:rPr>
                      <w:color w:val="000000"/>
                    </w:rPr>
                    <w:t>1</w:t>
                  </w:r>
                </w:p>
              </w:tc>
              <w:tc>
                <w:tcPr>
                  <w:tcW w:w="1275" w:type="dxa"/>
                  <w:tcBorders>
                    <w:top w:val="nil"/>
                    <w:left w:val="nil"/>
                    <w:bottom w:val="single" w:sz="4" w:space="0" w:color="auto"/>
                    <w:right w:val="single" w:sz="4" w:space="0" w:color="auto"/>
                  </w:tcBorders>
                  <w:shd w:val="clear" w:color="auto" w:fill="auto"/>
                  <w:vAlign w:val="center"/>
                  <w:hideMark/>
                </w:tcPr>
                <w:p w14:paraId="50987384" w14:textId="77777777" w:rsidR="00096052" w:rsidRPr="009F7729" w:rsidRDefault="00096052" w:rsidP="00096052">
                  <w:pPr>
                    <w:jc w:val="center"/>
                    <w:rPr>
                      <w:color w:val="000000"/>
                    </w:rPr>
                  </w:pPr>
                  <w:r>
                    <w:rPr>
                      <w:color w:val="000000"/>
                    </w:rPr>
                    <w:t>2 000,00</w:t>
                  </w:r>
                </w:p>
              </w:tc>
            </w:tr>
            <w:tr w:rsidR="00096052" w:rsidRPr="009F7729" w14:paraId="1CA9075A" w14:textId="77777777" w:rsidTr="00096052">
              <w:trPr>
                <w:trHeight w:val="6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ECD0DB1" w14:textId="77777777" w:rsidR="00096052" w:rsidRPr="009F7729" w:rsidRDefault="00096052" w:rsidP="00096052">
                  <w:pPr>
                    <w:jc w:val="center"/>
                    <w:rPr>
                      <w:color w:val="000000"/>
                    </w:rPr>
                  </w:pPr>
                  <w:r w:rsidRPr="009F7729">
                    <w:rPr>
                      <w:color w:val="000000"/>
                    </w:rPr>
                    <w:t>3</w:t>
                  </w:r>
                </w:p>
              </w:tc>
              <w:tc>
                <w:tcPr>
                  <w:tcW w:w="1654" w:type="dxa"/>
                  <w:tcBorders>
                    <w:top w:val="nil"/>
                    <w:left w:val="nil"/>
                    <w:bottom w:val="single" w:sz="4" w:space="0" w:color="auto"/>
                    <w:right w:val="single" w:sz="4" w:space="0" w:color="auto"/>
                  </w:tcBorders>
                  <w:shd w:val="clear" w:color="auto" w:fill="auto"/>
                  <w:vAlign w:val="center"/>
                  <w:hideMark/>
                </w:tcPr>
                <w:p w14:paraId="4B933A42" w14:textId="77777777" w:rsidR="00096052" w:rsidRPr="009F7729" w:rsidRDefault="00096052" w:rsidP="00096052">
                  <w:pPr>
                    <w:jc w:val="center"/>
                    <w:rPr>
                      <w:i/>
                      <w:color w:val="000000"/>
                    </w:rPr>
                  </w:pPr>
                  <w:r w:rsidRPr="009F7729">
                    <w:rPr>
                      <w:i/>
                      <w:color w:val="000000"/>
                    </w:rPr>
                    <w:t>Sūdzību izvērtēšana</w:t>
                  </w:r>
                </w:p>
              </w:tc>
              <w:tc>
                <w:tcPr>
                  <w:tcW w:w="1276" w:type="dxa"/>
                  <w:tcBorders>
                    <w:top w:val="nil"/>
                    <w:left w:val="nil"/>
                    <w:bottom w:val="single" w:sz="4" w:space="0" w:color="auto"/>
                    <w:right w:val="single" w:sz="4" w:space="0" w:color="auto"/>
                  </w:tcBorders>
                  <w:shd w:val="clear" w:color="auto" w:fill="auto"/>
                  <w:vAlign w:val="center"/>
                  <w:hideMark/>
                </w:tcPr>
                <w:p w14:paraId="6A2ED2A9" w14:textId="77777777" w:rsidR="00096052" w:rsidRPr="009F7729" w:rsidRDefault="00096052" w:rsidP="00096052">
                  <w:pPr>
                    <w:jc w:val="center"/>
                    <w:rPr>
                      <w:color w:val="000000"/>
                    </w:rPr>
                  </w:pPr>
                  <w:r>
                    <w:rPr>
                      <w:color w:val="000000"/>
                    </w:rPr>
                    <w:t>10</w:t>
                  </w:r>
                </w:p>
              </w:tc>
              <w:tc>
                <w:tcPr>
                  <w:tcW w:w="1559" w:type="dxa"/>
                  <w:tcBorders>
                    <w:top w:val="nil"/>
                    <w:left w:val="nil"/>
                    <w:bottom w:val="single" w:sz="4" w:space="0" w:color="auto"/>
                    <w:right w:val="single" w:sz="4" w:space="0" w:color="auto"/>
                  </w:tcBorders>
                  <w:shd w:val="clear" w:color="auto" w:fill="auto"/>
                  <w:vAlign w:val="center"/>
                  <w:hideMark/>
                </w:tcPr>
                <w:p w14:paraId="215491AF" w14:textId="77777777" w:rsidR="00096052" w:rsidRPr="009F7729" w:rsidRDefault="00096052" w:rsidP="00096052">
                  <w:pPr>
                    <w:jc w:val="center"/>
                    <w:rPr>
                      <w:color w:val="000000"/>
                    </w:rPr>
                  </w:pPr>
                  <w:r w:rsidRPr="009F7729">
                    <w:rPr>
                      <w:color w:val="000000"/>
                    </w:rPr>
                    <w:t>40</w:t>
                  </w:r>
                  <w:r>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4465BCD1" w14:textId="77777777" w:rsidR="00096052" w:rsidRPr="009F7729" w:rsidRDefault="00096052" w:rsidP="00096052">
                  <w:pPr>
                    <w:jc w:val="center"/>
                    <w:rPr>
                      <w:color w:val="000000"/>
                    </w:rPr>
                  </w:pPr>
                  <w:r>
                    <w:rPr>
                      <w:color w:val="000000"/>
                    </w:rPr>
                    <w:t>3</w:t>
                  </w:r>
                </w:p>
              </w:tc>
              <w:tc>
                <w:tcPr>
                  <w:tcW w:w="1275" w:type="dxa"/>
                  <w:tcBorders>
                    <w:top w:val="nil"/>
                    <w:left w:val="nil"/>
                    <w:bottom w:val="single" w:sz="4" w:space="0" w:color="auto"/>
                    <w:right w:val="single" w:sz="4" w:space="0" w:color="auto"/>
                  </w:tcBorders>
                  <w:shd w:val="clear" w:color="auto" w:fill="auto"/>
                  <w:vAlign w:val="center"/>
                  <w:hideMark/>
                </w:tcPr>
                <w:p w14:paraId="0E097A64" w14:textId="77777777" w:rsidR="00096052" w:rsidRPr="009F7729" w:rsidRDefault="00096052" w:rsidP="00096052">
                  <w:pPr>
                    <w:jc w:val="center"/>
                    <w:rPr>
                      <w:color w:val="000000"/>
                    </w:rPr>
                  </w:pPr>
                  <w:r>
                    <w:rPr>
                      <w:color w:val="000000"/>
                    </w:rPr>
                    <w:t>1 200,00</w:t>
                  </w:r>
                </w:p>
              </w:tc>
            </w:tr>
            <w:tr w:rsidR="00096052" w:rsidRPr="009F7729" w14:paraId="72E3E1B0" w14:textId="77777777" w:rsidTr="00096052">
              <w:trPr>
                <w:trHeight w:val="600"/>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B8BC3F1" w14:textId="77777777" w:rsidR="00096052" w:rsidRPr="009F7729" w:rsidRDefault="00096052" w:rsidP="00096052">
                  <w:pPr>
                    <w:jc w:val="center"/>
                    <w:rPr>
                      <w:color w:val="000000"/>
                    </w:rPr>
                  </w:pPr>
                  <w:r w:rsidRPr="009F7729">
                    <w:rPr>
                      <w:color w:val="000000"/>
                    </w:rPr>
                    <w:t>4</w:t>
                  </w:r>
                </w:p>
              </w:tc>
              <w:tc>
                <w:tcPr>
                  <w:tcW w:w="1654" w:type="dxa"/>
                  <w:tcBorders>
                    <w:top w:val="nil"/>
                    <w:left w:val="nil"/>
                    <w:bottom w:val="single" w:sz="4" w:space="0" w:color="auto"/>
                    <w:right w:val="single" w:sz="4" w:space="0" w:color="auto"/>
                  </w:tcBorders>
                  <w:shd w:val="clear" w:color="auto" w:fill="auto"/>
                  <w:vAlign w:val="center"/>
                  <w:hideMark/>
                </w:tcPr>
                <w:p w14:paraId="5BE8A986" w14:textId="77777777" w:rsidR="00096052" w:rsidRPr="009F7729" w:rsidRDefault="00096052" w:rsidP="00096052">
                  <w:pPr>
                    <w:jc w:val="center"/>
                    <w:rPr>
                      <w:i/>
                      <w:color w:val="000000"/>
                    </w:rPr>
                  </w:pPr>
                  <w:r w:rsidRPr="009F7729">
                    <w:rPr>
                      <w:i/>
                      <w:color w:val="000000"/>
                    </w:rPr>
                    <w:t>1% pārbaude</w:t>
                  </w:r>
                </w:p>
              </w:tc>
              <w:tc>
                <w:tcPr>
                  <w:tcW w:w="1276" w:type="dxa"/>
                  <w:tcBorders>
                    <w:top w:val="nil"/>
                    <w:left w:val="nil"/>
                    <w:bottom w:val="single" w:sz="4" w:space="0" w:color="auto"/>
                    <w:right w:val="single" w:sz="4" w:space="0" w:color="auto"/>
                  </w:tcBorders>
                  <w:shd w:val="clear" w:color="auto" w:fill="auto"/>
                  <w:vAlign w:val="center"/>
                  <w:hideMark/>
                </w:tcPr>
                <w:p w14:paraId="07BC63A2" w14:textId="77777777" w:rsidR="00096052" w:rsidRPr="009F7729" w:rsidRDefault="00096052" w:rsidP="00096052">
                  <w:pPr>
                    <w:jc w:val="center"/>
                    <w:rPr>
                      <w:color w:val="000000"/>
                    </w:rPr>
                  </w:pPr>
                  <w:r>
                    <w:rPr>
                      <w:color w:val="000000"/>
                    </w:rPr>
                    <w:t>1</w:t>
                  </w:r>
                </w:p>
              </w:tc>
              <w:tc>
                <w:tcPr>
                  <w:tcW w:w="1559" w:type="dxa"/>
                  <w:tcBorders>
                    <w:top w:val="nil"/>
                    <w:left w:val="nil"/>
                    <w:bottom w:val="single" w:sz="4" w:space="0" w:color="auto"/>
                    <w:right w:val="single" w:sz="4" w:space="0" w:color="auto"/>
                  </w:tcBorders>
                  <w:shd w:val="clear" w:color="auto" w:fill="auto"/>
                  <w:vAlign w:val="center"/>
                  <w:hideMark/>
                </w:tcPr>
                <w:p w14:paraId="6146EB2E" w14:textId="77777777" w:rsidR="00096052" w:rsidRPr="009F7729" w:rsidRDefault="00096052" w:rsidP="00096052">
                  <w:pPr>
                    <w:jc w:val="center"/>
                    <w:rPr>
                      <w:color w:val="000000"/>
                    </w:rPr>
                  </w:pPr>
                  <w:r w:rsidRPr="009F7729">
                    <w:rPr>
                      <w:color w:val="000000"/>
                    </w:rPr>
                    <w:t>40</w:t>
                  </w:r>
                  <w:r>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78B93FCA" w14:textId="77777777" w:rsidR="00096052" w:rsidRPr="009F7729" w:rsidRDefault="00096052" w:rsidP="00096052">
                  <w:pPr>
                    <w:jc w:val="center"/>
                    <w:rPr>
                      <w:color w:val="000000"/>
                    </w:rPr>
                  </w:pPr>
                  <w:r>
                    <w:rPr>
                      <w:color w:val="000000"/>
                    </w:rPr>
                    <w:t>16</w:t>
                  </w:r>
                </w:p>
              </w:tc>
              <w:tc>
                <w:tcPr>
                  <w:tcW w:w="1275" w:type="dxa"/>
                  <w:tcBorders>
                    <w:top w:val="nil"/>
                    <w:left w:val="nil"/>
                    <w:bottom w:val="single" w:sz="4" w:space="0" w:color="auto"/>
                    <w:right w:val="single" w:sz="4" w:space="0" w:color="auto"/>
                  </w:tcBorders>
                  <w:shd w:val="clear" w:color="auto" w:fill="auto"/>
                  <w:vAlign w:val="center"/>
                  <w:hideMark/>
                </w:tcPr>
                <w:p w14:paraId="75D120CA" w14:textId="77777777" w:rsidR="00096052" w:rsidRPr="009F7729" w:rsidRDefault="00096052" w:rsidP="00096052">
                  <w:pPr>
                    <w:jc w:val="center"/>
                    <w:rPr>
                      <w:color w:val="000000"/>
                    </w:rPr>
                  </w:pPr>
                  <w:r>
                    <w:rPr>
                      <w:color w:val="000000"/>
                    </w:rPr>
                    <w:t>640,00</w:t>
                  </w:r>
                </w:p>
              </w:tc>
            </w:tr>
            <w:tr w:rsidR="00096052" w:rsidRPr="009F7729" w14:paraId="6FC72FC4" w14:textId="77777777" w:rsidTr="00096052">
              <w:trPr>
                <w:trHeight w:val="744"/>
                <w:jc w:val="center"/>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B5603F7" w14:textId="77777777" w:rsidR="00096052" w:rsidRPr="009F7729" w:rsidRDefault="00096052" w:rsidP="00096052">
                  <w:pPr>
                    <w:jc w:val="center"/>
                    <w:rPr>
                      <w:color w:val="000000"/>
                    </w:rPr>
                  </w:pPr>
                  <w:r w:rsidRPr="009F7729">
                    <w:rPr>
                      <w:color w:val="000000"/>
                    </w:rPr>
                    <w:t>5</w:t>
                  </w:r>
                </w:p>
              </w:tc>
              <w:tc>
                <w:tcPr>
                  <w:tcW w:w="1654" w:type="dxa"/>
                  <w:tcBorders>
                    <w:top w:val="nil"/>
                    <w:left w:val="nil"/>
                    <w:bottom w:val="single" w:sz="4" w:space="0" w:color="auto"/>
                    <w:right w:val="single" w:sz="4" w:space="0" w:color="auto"/>
                  </w:tcBorders>
                  <w:shd w:val="clear" w:color="auto" w:fill="auto"/>
                  <w:vAlign w:val="center"/>
                  <w:hideMark/>
                </w:tcPr>
                <w:p w14:paraId="1DE2EB48" w14:textId="77777777" w:rsidR="00096052" w:rsidRPr="009F7729" w:rsidRDefault="00096052" w:rsidP="00096052">
                  <w:pPr>
                    <w:jc w:val="center"/>
                    <w:rPr>
                      <w:color w:val="000000"/>
                    </w:rPr>
                  </w:pPr>
                  <w:r w:rsidRPr="009F7729">
                    <w:rPr>
                      <w:color w:val="000000"/>
                    </w:rPr>
                    <w:t>Juridiskie pakalpojumi</w:t>
                  </w:r>
                </w:p>
              </w:tc>
              <w:tc>
                <w:tcPr>
                  <w:tcW w:w="1276" w:type="dxa"/>
                  <w:tcBorders>
                    <w:top w:val="nil"/>
                    <w:left w:val="nil"/>
                    <w:bottom w:val="single" w:sz="4" w:space="0" w:color="auto"/>
                    <w:right w:val="single" w:sz="4" w:space="0" w:color="auto"/>
                  </w:tcBorders>
                  <w:shd w:val="clear" w:color="auto" w:fill="auto"/>
                  <w:vAlign w:val="center"/>
                  <w:hideMark/>
                </w:tcPr>
                <w:p w14:paraId="2568E6C0" w14:textId="77777777" w:rsidR="00096052" w:rsidRPr="009F7729" w:rsidRDefault="00096052" w:rsidP="00096052">
                  <w:pPr>
                    <w:jc w:val="center"/>
                    <w:rPr>
                      <w:color w:val="000000"/>
                    </w:rPr>
                  </w:pPr>
                  <w:r>
                    <w:rPr>
                      <w:color w:val="000000"/>
                    </w:rPr>
                    <w:t>7</w:t>
                  </w:r>
                </w:p>
              </w:tc>
              <w:tc>
                <w:tcPr>
                  <w:tcW w:w="1559" w:type="dxa"/>
                  <w:tcBorders>
                    <w:top w:val="nil"/>
                    <w:left w:val="nil"/>
                    <w:bottom w:val="single" w:sz="4" w:space="0" w:color="auto"/>
                    <w:right w:val="single" w:sz="4" w:space="0" w:color="auto"/>
                  </w:tcBorders>
                  <w:shd w:val="clear" w:color="auto" w:fill="auto"/>
                  <w:vAlign w:val="center"/>
                  <w:hideMark/>
                </w:tcPr>
                <w:p w14:paraId="44691311" w14:textId="77777777" w:rsidR="00096052" w:rsidRPr="009F7729" w:rsidRDefault="00096052" w:rsidP="00096052">
                  <w:pPr>
                    <w:jc w:val="center"/>
                    <w:rPr>
                      <w:color w:val="000000"/>
                    </w:rPr>
                  </w:pPr>
                  <w:r w:rsidRPr="009F7729">
                    <w:rPr>
                      <w:color w:val="000000"/>
                    </w:rPr>
                    <w:t>100</w:t>
                  </w:r>
                  <w:r>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14:paraId="0E0D3950" w14:textId="77777777" w:rsidR="00096052" w:rsidRPr="009F7729" w:rsidRDefault="00096052" w:rsidP="00096052">
                  <w:pPr>
                    <w:jc w:val="center"/>
                    <w:rPr>
                      <w:color w:val="000000"/>
                    </w:rPr>
                  </w:pPr>
                  <w:r>
                    <w:rPr>
                      <w:color w:val="000000"/>
                    </w:rPr>
                    <w:t>2</w:t>
                  </w:r>
                </w:p>
              </w:tc>
              <w:tc>
                <w:tcPr>
                  <w:tcW w:w="1275" w:type="dxa"/>
                  <w:tcBorders>
                    <w:top w:val="nil"/>
                    <w:left w:val="nil"/>
                    <w:bottom w:val="single" w:sz="4" w:space="0" w:color="auto"/>
                    <w:right w:val="single" w:sz="4" w:space="0" w:color="auto"/>
                  </w:tcBorders>
                  <w:shd w:val="clear" w:color="auto" w:fill="auto"/>
                  <w:vAlign w:val="center"/>
                  <w:hideMark/>
                </w:tcPr>
                <w:p w14:paraId="2C5C6624" w14:textId="77777777" w:rsidR="00096052" w:rsidRPr="009F7729" w:rsidRDefault="00096052" w:rsidP="00096052">
                  <w:pPr>
                    <w:jc w:val="center"/>
                    <w:rPr>
                      <w:color w:val="000000"/>
                    </w:rPr>
                  </w:pPr>
                  <w:r>
                    <w:rPr>
                      <w:color w:val="000000"/>
                    </w:rPr>
                    <w:t>1 400,00</w:t>
                  </w:r>
                </w:p>
              </w:tc>
            </w:tr>
            <w:tr w:rsidR="00096052" w:rsidRPr="009F7729" w14:paraId="1FE75530" w14:textId="77777777" w:rsidTr="00096052">
              <w:trPr>
                <w:trHeight w:val="49"/>
                <w:jc w:val="center"/>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80775A" w14:textId="77777777" w:rsidR="00096052" w:rsidRPr="009F7729" w:rsidRDefault="00096052" w:rsidP="00096052">
                  <w:pPr>
                    <w:jc w:val="right"/>
                    <w:rPr>
                      <w:b/>
                      <w:bCs/>
                      <w:color w:val="000000"/>
                    </w:rPr>
                  </w:pPr>
                  <w:r w:rsidRPr="009F7729">
                    <w:rPr>
                      <w:b/>
                      <w:bCs/>
                      <w:color w:val="000000"/>
                    </w:rPr>
                    <w:t>Kopā tiešās izmaksas (</w:t>
                  </w:r>
                  <w:r w:rsidRPr="009F7729">
                    <w:rPr>
                      <w:b/>
                      <w:bCs/>
                      <w:i/>
                      <w:color w:val="000000"/>
                    </w:rPr>
                    <w:t>euro</w:t>
                  </w:r>
                  <w:r w:rsidRPr="009F7729">
                    <w:rPr>
                      <w:b/>
                      <w:bCs/>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266F88FF" w14:textId="77777777" w:rsidR="00096052" w:rsidRPr="009F7729" w:rsidRDefault="00096052" w:rsidP="00096052">
                  <w:pPr>
                    <w:jc w:val="center"/>
                    <w:rPr>
                      <w:b/>
                      <w:bCs/>
                      <w:color w:val="000000"/>
                    </w:rPr>
                  </w:pPr>
                  <w:r>
                    <w:rPr>
                      <w:b/>
                      <w:bCs/>
                      <w:color w:val="000000"/>
                    </w:rPr>
                    <w:t>8 240,00</w:t>
                  </w:r>
                </w:p>
              </w:tc>
            </w:tr>
            <w:tr w:rsidR="00096052" w:rsidRPr="009F7729" w14:paraId="3EF8567B" w14:textId="77777777" w:rsidTr="00096052">
              <w:trPr>
                <w:trHeight w:val="224"/>
                <w:jc w:val="center"/>
              </w:trPr>
              <w:tc>
                <w:tcPr>
                  <w:tcW w:w="6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BBCEE9" w14:textId="77777777" w:rsidR="00096052" w:rsidRPr="009F7729" w:rsidRDefault="00096052" w:rsidP="00096052">
                  <w:pPr>
                    <w:jc w:val="right"/>
                    <w:rPr>
                      <w:b/>
                      <w:bCs/>
                      <w:color w:val="000000"/>
                    </w:rPr>
                  </w:pPr>
                  <w:r w:rsidRPr="009F7729">
                    <w:rPr>
                      <w:b/>
                      <w:bCs/>
                      <w:color w:val="000000"/>
                    </w:rPr>
                    <w:t xml:space="preserve">Kopā tiešās izmaksas uz 1 </w:t>
                  </w:r>
                  <w:r>
                    <w:rPr>
                      <w:b/>
                      <w:bCs/>
                      <w:color w:val="000000"/>
                    </w:rPr>
                    <w:t>sertificētu arhitektu</w:t>
                  </w:r>
                  <w:r w:rsidRPr="009F7729">
                    <w:rPr>
                      <w:b/>
                      <w:bCs/>
                      <w:color w:val="000000"/>
                    </w:rPr>
                    <w:t xml:space="preserve"> (</w:t>
                  </w:r>
                  <w:r w:rsidRPr="009F7729">
                    <w:rPr>
                      <w:b/>
                      <w:bCs/>
                      <w:i/>
                      <w:color w:val="000000"/>
                    </w:rPr>
                    <w:t>euro</w:t>
                  </w:r>
                  <w:r w:rsidRPr="009F7729">
                    <w:rPr>
                      <w:b/>
                      <w:bCs/>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27FD642A" w14:textId="77777777" w:rsidR="00096052" w:rsidRPr="009F7729" w:rsidRDefault="00096052" w:rsidP="00096052">
                  <w:pPr>
                    <w:jc w:val="center"/>
                    <w:rPr>
                      <w:b/>
                      <w:bCs/>
                      <w:color w:val="000000"/>
                    </w:rPr>
                  </w:pPr>
                  <w:r>
                    <w:rPr>
                      <w:b/>
                      <w:bCs/>
                      <w:color w:val="000000"/>
                    </w:rPr>
                    <w:t>33,00</w:t>
                  </w:r>
                </w:p>
              </w:tc>
            </w:tr>
          </w:tbl>
          <w:p w14:paraId="581A8180" w14:textId="77777777" w:rsidR="00096052" w:rsidRDefault="00096052" w:rsidP="00096052">
            <w:pPr>
              <w:shd w:val="clear" w:color="auto" w:fill="FFFFFF"/>
              <w:ind w:firstLine="394"/>
              <w:jc w:val="both"/>
              <w:rPr>
                <w:sz w:val="12"/>
              </w:rPr>
            </w:pPr>
          </w:p>
          <w:p w14:paraId="3F53E3FF" w14:textId="77777777" w:rsidR="00096052" w:rsidRPr="00554FE1" w:rsidRDefault="00096052" w:rsidP="00096052">
            <w:pPr>
              <w:shd w:val="clear" w:color="auto" w:fill="FFFFFF"/>
              <w:ind w:firstLine="394"/>
              <w:jc w:val="both"/>
              <w:rPr>
                <w:sz w:val="12"/>
              </w:rPr>
            </w:pPr>
          </w:p>
          <w:p w14:paraId="105E78A5" w14:textId="77777777" w:rsidR="00096052" w:rsidRPr="00B74E1D" w:rsidRDefault="00096052" w:rsidP="00096052">
            <w:pPr>
              <w:jc w:val="right"/>
              <w:rPr>
                <w:b/>
                <w:i/>
              </w:rPr>
            </w:pPr>
            <w:r>
              <w:rPr>
                <w:i/>
              </w:rPr>
              <w:t>7</w:t>
            </w:r>
            <w:r w:rsidRPr="00B74E1D">
              <w:rPr>
                <w:b/>
                <w:i/>
              </w:rPr>
              <w:t>.</w:t>
            </w:r>
            <w:r w:rsidRPr="00B74E1D">
              <w:rPr>
                <w:i/>
                <w:lang w:eastAsia="x-none"/>
              </w:rPr>
              <w:t>tabula</w:t>
            </w:r>
          </w:p>
          <w:p w14:paraId="1346FE9A" w14:textId="77777777" w:rsidR="00096052" w:rsidRPr="00B74E1D" w:rsidRDefault="00096052" w:rsidP="00096052">
            <w:pPr>
              <w:jc w:val="center"/>
              <w:rPr>
                <w:b/>
              </w:rPr>
            </w:pPr>
            <w:r>
              <w:rPr>
                <w:b/>
              </w:rPr>
              <w:t xml:space="preserve">Arhitektu ar </w:t>
            </w:r>
            <w:r w:rsidRPr="00DE43B4">
              <w:rPr>
                <w:b/>
              </w:rPr>
              <w:t>atvieglot</w:t>
            </w:r>
            <w:r>
              <w:rPr>
                <w:b/>
              </w:rPr>
              <w:t>u</w:t>
            </w:r>
            <w:r w:rsidRPr="00DE43B4">
              <w:rPr>
                <w:b/>
              </w:rPr>
              <w:t xml:space="preserve"> sertifikāta uzturēšanas prasīb</w:t>
            </w:r>
            <w:r>
              <w:rPr>
                <w:b/>
              </w:rPr>
              <w:t>u</w:t>
            </w:r>
            <w:r w:rsidRPr="00B74E1D">
              <w:rPr>
                <w:b/>
              </w:rPr>
              <w:t xml:space="preserve"> uzraudzības izmaksu kopsavilkums </w:t>
            </w:r>
          </w:p>
          <w:p w14:paraId="25A21750" w14:textId="77777777" w:rsidR="00096052" w:rsidRPr="00641998" w:rsidRDefault="00096052" w:rsidP="00096052">
            <w:pPr>
              <w:rPr>
                <w:b/>
              </w:rPr>
            </w:pPr>
          </w:p>
          <w:tbl>
            <w:tblPr>
              <w:tblStyle w:val="TableGrid"/>
              <w:tblW w:w="0" w:type="auto"/>
              <w:jc w:val="center"/>
              <w:tblLook w:val="04A0" w:firstRow="1" w:lastRow="0" w:firstColumn="1" w:lastColumn="0" w:noHBand="0" w:noVBand="1"/>
            </w:tblPr>
            <w:tblGrid>
              <w:gridCol w:w="3089"/>
              <w:gridCol w:w="3038"/>
            </w:tblGrid>
            <w:tr w:rsidR="00096052" w:rsidRPr="00641998" w14:paraId="0031397B" w14:textId="77777777" w:rsidTr="00096052">
              <w:trPr>
                <w:jc w:val="center"/>
              </w:trPr>
              <w:tc>
                <w:tcPr>
                  <w:tcW w:w="3089" w:type="dxa"/>
                </w:tcPr>
                <w:p w14:paraId="566528D6" w14:textId="77777777" w:rsidR="00096052" w:rsidRPr="00641998" w:rsidRDefault="00096052" w:rsidP="00096052">
                  <w:pPr>
                    <w:shd w:val="clear" w:color="auto" w:fill="FFFFFF"/>
                    <w:jc w:val="center"/>
                    <w:rPr>
                      <w:b/>
                    </w:rPr>
                  </w:pPr>
                  <w:r w:rsidRPr="00641998">
                    <w:rPr>
                      <w:b/>
                    </w:rPr>
                    <w:t>Rādītājs (izmaksu veids)</w:t>
                  </w:r>
                </w:p>
              </w:tc>
              <w:tc>
                <w:tcPr>
                  <w:tcW w:w="3038" w:type="dxa"/>
                </w:tcPr>
                <w:p w14:paraId="01DC6C3E" w14:textId="77777777" w:rsidR="00096052" w:rsidRPr="00641998" w:rsidRDefault="00096052" w:rsidP="00096052">
                  <w:pPr>
                    <w:shd w:val="clear" w:color="auto" w:fill="FFFFFF"/>
                    <w:jc w:val="center"/>
                    <w:rPr>
                      <w:b/>
                    </w:rPr>
                  </w:pPr>
                  <w:r w:rsidRPr="00641998">
                    <w:rPr>
                      <w:b/>
                    </w:rPr>
                    <w:t>Izmaksu apjoms gadā (</w:t>
                  </w:r>
                  <w:r w:rsidRPr="00641998">
                    <w:rPr>
                      <w:b/>
                      <w:i/>
                    </w:rPr>
                    <w:t>euro</w:t>
                  </w:r>
                  <w:r w:rsidRPr="00641998">
                    <w:rPr>
                      <w:b/>
                    </w:rPr>
                    <w:t>)</w:t>
                  </w:r>
                </w:p>
              </w:tc>
            </w:tr>
            <w:tr w:rsidR="00096052" w:rsidRPr="002A3D55" w14:paraId="06CF6E02" w14:textId="77777777" w:rsidTr="00096052">
              <w:trPr>
                <w:jc w:val="center"/>
              </w:trPr>
              <w:tc>
                <w:tcPr>
                  <w:tcW w:w="3089" w:type="dxa"/>
                </w:tcPr>
                <w:p w14:paraId="7B76C493" w14:textId="77777777" w:rsidR="00096052" w:rsidRPr="00641998" w:rsidRDefault="00096052" w:rsidP="00096052">
                  <w:pPr>
                    <w:shd w:val="clear" w:color="auto" w:fill="FFFFFF"/>
                  </w:pPr>
                  <w:r w:rsidRPr="00641998">
                    <w:t>Tiešās izmaksas</w:t>
                  </w:r>
                </w:p>
              </w:tc>
              <w:tc>
                <w:tcPr>
                  <w:tcW w:w="3038" w:type="dxa"/>
                </w:tcPr>
                <w:p w14:paraId="166048A4" w14:textId="77777777" w:rsidR="00096052" w:rsidRPr="00641998" w:rsidRDefault="00096052" w:rsidP="00096052">
                  <w:pPr>
                    <w:shd w:val="clear" w:color="auto" w:fill="FFFFFF"/>
                    <w:jc w:val="center"/>
                  </w:pPr>
                  <w:r w:rsidRPr="00641998">
                    <w:t>8</w:t>
                  </w:r>
                  <w:r>
                    <w:t> </w:t>
                  </w:r>
                  <w:r w:rsidRPr="00641998">
                    <w:t>240</w:t>
                  </w:r>
                  <w:r>
                    <w:t>,00</w:t>
                  </w:r>
                </w:p>
              </w:tc>
            </w:tr>
            <w:tr w:rsidR="00096052" w:rsidRPr="002A3D55" w14:paraId="095AF40A" w14:textId="77777777" w:rsidTr="00096052">
              <w:trPr>
                <w:jc w:val="center"/>
              </w:trPr>
              <w:tc>
                <w:tcPr>
                  <w:tcW w:w="3089" w:type="dxa"/>
                </w:tcPr>
                <w:p w14:paraId="5EBBFF91" w14:textId="77777777" w:rsidR="00096052" w:rsidRPr="00641998" w:rsidRDefault="00096052" w:rsidP="00096052">
                  <w:pPr>
                    <w:shd w:val="clear" w:color="auto" w:fill="FFFFFF"/>
                  </w:pPr>
                  <w:r w:rsidRPr="00641998">
                    <w:t>Netiešās izmaksas</w:t>
                  </w:r>
                </w:p>
              </w:tc>
              <w:tc>
                <w:tcPr>
                  <w:tcW w:w="3038" w:type="dxa"/>
                </w:tcPr>
                <w:p w14:paraId="6D484A65" w14:textId="77777777" w:rsidR="00096052" w:rsidRPr="00641998" w:rsidRDefault="00096052" w:rsidP="00096052">
                  <w:pPr>
                    <w:shd w:val="clear" w:color="auto" w:fill="FFFFFF"/>
                    <w:jc w:val="center"/>
                  </w:pPr>
                  <w:r w:rsidRPr="00641998">
                    <w:t>16</w:t>
                  </w:r>
                  <w:r>
                    <w:t> </w:t>
                  </w:r>
                  <w:r w:rsidRPr="00641998">
                    <w:t>750</w:t>
                  </w:r>
                  <w:r>
                    <w:t>,00</w:t>
                  </w:r>
                </w:p>
              </w:tc>
            </w:tr>
            <w:tr w:rsidR="00096052" w:rsidRPr="002A3D55" w14:paraId="5C00923B" w14:textId="77777777" w:rsidTr="00096052">
              <w:trPr>
                <w:jc w:val="center"/>
              </w:trPr>
              <w:tc>
                <w:tcPr>
                  <w:tcW w:w="3089" w:type="dxa"/>
                </w:tcPr>
                <w:p w14:paraId="0150D41E" w14:textId="77777777" w:rsidR="00096052" w:rsidRPr="00641998" w:rsidRDefault="00096052" w:rsidP="00096052">
                  <w:pPr>
                    <w:shd w:val="clear" w:color="auto" w:fill="FFFFFF"/>
                  </w:pPr>
                  <w:r w:rsidRPr="00641998">
                    <w:t>Pakalpojuma izmaksas kopā</w:t>
                  </w:r>
                </w:p>
              </w:tc>
              <w:tc>
                <w:tcPr>
                  <w:tcW w:w="3038" w:type="dxa"/>
                </w:tcPr>
                <w:p w14:paraId="14E62405" w14:textId="77777777" w:rsidR="00096052" w:rsidRPr="00641998" w:rsidRDefault="00096052" w:rsidP="00096052">
                  <w:pPr>
                    <w:shd w:val="clear" w:color="auto" w:fill="FFFFFF"/>
                    <w:jc w:val="center"/>
                  </w:pPr>
                  <w:r w:rsidRPr="00641998">
                    <w:t>24</w:t>
                  </w:r>
                  <w:r>
                    <w:t> </w:t>
                  </w:r>
                  <w:r w:rsidRPr="00641998">
                    <w:t>990</w:t>
                  </w:r>
                  <w:r>
                    <w:t>,00</w:t>
                  </w:r>
                </w:p>
              </w:tc>
            </w:tr>
          </w:tbl>
          <w:p w14:paraId="1CF6D28A" w14:textId="77777777" w:rsidR="00096052" w:rsidRPr="002A3D55" w:rsidRDefault="00096052" w:rsidP="00096052">
            <w:pPr>
              <w:autoSpaceDE w:val="0"/>
              <w:autoSpaceDN w:val="0"/>
              <w:adjustRightInd w:val="0"/>
              <w:rPr>
                <w:bCs/>
              </w:rPr>
            </w:pPr>
          </w:p>
          <w:tbl>
            <w:tblPr>
              <w:tblStyle w:val="TableGrid"/>
              <w:tblW w:w="0" w:type="auto"/>
              <w:jc w:val="center"/>
              <w:tblLook w:val="04A0" w:firstRow="1" w:lastRow="0" w:firstColumn="1" w:lastColumn="0" w:noHBand="0" w:noVBand="1"/>
            </w:tblPr>
            <w:tblGrid>
              <w:gridCol w:w="3364"/>
              <w:gridCol w:w="3365"/>
            </w:tblGrid>
            <w:tr w:rsidR="00096052" w:rsidRPr="00641998" w14:paraId="54EBA5FB" w14:textId="77777777" w:rsidTr="00096052">
              <w:trPr>
                <w:jc w:val="center"/>
              </w:trPr>
              <w:tc>
                <w:tcPr>
                  <w:tcW w:w="3364" w:type="dxa"/>
                </w:tcPr>
                <w:p w14:paraId="43F7C5E9" w14:textId="77777777" w:rsidR="00096052" w:rsidRPr="00641998" w:rsidRDefault="00096052" w:rsidP="00096052">
                  <w:pPr>
                    <w:pStyle w:val="NormalWeb"/>
                    <w:spacing w:before="0" w:beforeAutospacing="0" w:after="0" w:afterAutospacing="0"/>
                    <w:rPr>
                      <w:rFonts w:ascii="Times New Roman" w:hAnsi="Times New Roman"/>
                      <w:bCs/>
                      <w:sz w:val="24"/>
                      <w:szCs w:val="24"/>
                      <w:lang w:val="lv-LV" w:eastAsia="lv-LV"/>
                    </w:rPr>
                  </w:pPr>
                  <w:r w:rsidRPr="00641998">
                    <w:rPr>
                      <w:rFonts w:ascii="Times New Roman" w:hAnsi="Times New Roman"/>
                      <w:bCs/>
                      <w:sz w:val="24"/>
                      <w:szCs w:val="24"/>
                      <w:lang w:val="lv-LV" w:eastAsia="lv-LV"/>
                    </w:rPr>
                    <w:t xml:space="preserve">Maksas pakalpojumu vienību skaits gadā </w:t>
                  </w:r>
                </w:p>
              </w:tc>
              <w:tc>
                <w:tcPr>
                  <w:tcW w:w="3365" w:type="dxa"/>
                </w:tcPr>
                <w:p w14:paraId="137043F4" w14:textId="77777777" w:rsidR="00096052" w:rsidRPr="00641998" w:rsidRDefault="00096052" w:rsidP="00096052">
                  <w:pPr>
                    <w:pStyle w:val="NormalWeb"/>
                    <w:spacing w:before="0" w:beforeAutospacing="0" w:after="0" w:afterAutospacing="0"/>
                    <w:rPr>
                      <w:rFonts w:ascii="Times New Roman" w:hAnsi="Times New Roman"/>
                      <w:bCs/>
                      <w:sz w:val="24"/>
                      <w:szCs w:val="24"/>
                      <w:lang w:val="lv-LV" w:eastAsia="lv-LV"/>
                    </w:rPr>
                  </w:pPr>
                  <w:r w:rsidRPr="00641998">
                    <w:rPr>
                      <w:rFonts w:ascii="Times New Roman" w:hAnsi="Times New Roman"/>
                      <w:bCs/>
                      <w:sz w:val="24"/>
                      <w:szCs w:val="24"/>
                      <w:lang w:val="lv-LV" w:eastAsia="lv-LV"/>
                    </w:rPr>
                    <w:t>250</w:t>
                  </w:r>
                </w:p>
              </w:tc>
            </w:tr>
            <w:tr w:rsidR="00096052" w:rsidRPr="00641998" w14:paraId="2FEA20BD" w14:textId="77777777" w:rsidTr="00096052">
              <w:trPr>
                <w:jc w:val="center"/>
              </w:trPr>
              <w:tc>
                <w:tcPr>
                  <w:tcW w:w="3364" w:type="dxa"/>
                </w:tcPr>
                <w:p w14:paraId="6F4B6CD1" w14:textId="77777777" w:rsidR="00096052" w:rsidRPr="00641998" w:rsidRDefault="00096052" w:rsidP="00096052">
                  <w:pPr>
                    <w:pStyle w:val="NormalWeb"/>
                    <w:spacing w:before="0" w:beforeAutospacing="0" w:after="0" w:afterAutospacing="0"/>
                    <w:rPr>
                      <w:rFonts w:ascii="Times New Roman" w:hAnsi="Times New Roman"/>
                      <w:b/>
                      <w:bCs/>
                      <w:sz w:val="24"/>
                      <w:szCs w:val="24"/>
                      <w:lang w:val="lv-LV" w:eastAsia="lv-LV"/>
                    </w:rPr>
                  </w:pPr>
                  <w:r w:rsidRPr="00641998">
                    <w:rPr>
                      <w:rFonts w:ascii="Times New Roman" w:hAnsi="Times New Roman"/>
                      <w:b/>
                      <w:bCs/>
                      <w:sz w:val="24"/>
                      <w:szCs w:val="24"/>
                      <w:lang w:val="lv-LV" w:eastAsia="lv-LV"/>
                    </w:rPr>
                    <w:t xml:space="preserve">Maksas pakalpojuma izcenojums </w:t>
                  </w:r>
                  <w:r w:rsidRPr="00641998">
                    <w:rPr>
                      <w:rFonts w:ascii="Times New Roman" w:hAnsi="Times New Roman"/>
                      <w:b/>
                      <w:bCs/>
                      <w:i/>
                      <w:sz w:val="24"/>
                      <w:szCs w:val="24"/>
                      <w:lang w:val="lv-LV" w:eastAsia="lv-LV"/>
                    </w:rPr>
                    <w:t>(euro)</w:t>
                  </w:r>
                </w:p>
              </w:tc>
              <w:tc>
                <w:tcPr>
                  <w:tcW w:w="3365" w:type="dxa"/>
                </w:tcPr>
                <w:p w14:paraId="3B9A7793" w14:textId="77777777" w:rsidR="00096052" w:rsidRPr="00641998" w:rsidRDefault="00096052" w:rsidP="00096052">
                  <w:pPr>
                    <w:pStyle w:val="NormalWeb"/>
                    <w:spacing w:before="0" w:beforeAutospacing="0" w:after="0" w:afterAutospacing="0"/>
                    <w:rPr>
                      <w:rFonts w:ascii="Times New Roman" w:hAnsi="Times New Roman"/>
                      <w:b/>
                      <w:bCs/>
                      <w:sz w:val="24"/>
                      <w:szCs w:val="24"/>
                      <w:lang w:val="lv-LV" w:eastAsia="lv-LV"/>
                    </w:rPr>
                  </w:pPr>
                  <w:r w:rsidRPr="00641998">
                    <w:rPr>
                      <w:rFonts w:ascii="Times New Roman" w:hAnsi="Times New Roman"/>
                      <w:b/>
                      <w:bCs/>
                      <w:sz w:val="24"/>
                      <w:szCs w:val="24"/>
                      <w:lang w:val="lv-LV" w:eastAsia="lv-LV"/>
                    </w:rPr>
                    <w:t>100,00</w:t>
                  </w:r>
                </w:p>
              </w:tc>
            </w:tr>
          </w:tbl>
          <w:p w14:paraId="43F6C070" w14:textId="77777777" w:rsidR="00096052" w:rsidRPr="00DE43B4" w:rsidRDefault="00096052" w:rsidP="00096052">
            <w:pPr>
              <w:shd w:val="clear" w:color="auto" w:fill="FFFFFF"/>
              <w:ind w:firstLine="394"/>
              <w:jc w:val="both"/>
            </w:pPr>
          </w:p>
          <w:p w14:paraId="6C4150FE" w14:textId="77777777" w:rsidR="00096052" w:rsidRDefault="00096052" w:rsidP="00096052">
            <w:pPr>
              <w:shd w:val="clear" w:color="auto" w:fill="FFFFFF"/>
              <w:ind w:firstLine="394"/>
              <w:jc w:val="both"/>
            </w:pPr>
            <w:r w:rsidRPr="00B74E1D">
              <w:t>No aprēķina izriet, ka</w:t>
            </w:r>
            <w:r>
              <w:t>,</w:t>
            </w:r>
            <w:r w:rsidRPr="00B74E1D">
              <w:t xml:space="preserve"> lai nosegtu izmaksas par </w:t>
            </w:r>
            <w:r>
              <w:t>arhitektu</w:t>
            </w:r>
            <w:r w:rsidRPr="00B74E1D">
              <w:t xml:space="preserve"> uzraudzību, </w:t>
            </w:r>
            <w:r>
              <w:t xml:space="preserve">arhitektiem, kuriem ir </w:t>
            </w:r>
            <w:r w:rsidRPr="00DE43B4">
              <w:rPr>
                <w:b/>
              </w:rPr>
              <w:t>atvieglotas sertifikāta uzturēšanas prasības</w:t>
            </w:r>
            <w:r>
              <w:rPr>
                <w:b/>
              </w:rPr>
              <w:t xml:space="preserve"> </w:t>
            </w:r>
            <w:r w:rsidRPr="000E1DAA">
              <w:t>(250 arhitekti)</w:t>
            </w:r>
            <w:r w:rsidRPr="00B74E1D">
              <w:t xml:space="preserve"> ir jāmaksā</w:t>
            </w:r>
            <w:r>
              <w:t xml:space="preserve"> uzraudzības maksa 100 </w:t>
            </w:r>
            <w:r w:rsidRPr="000E1DAA">
              <w:rPr>
                <w:i/>
              </w:rPr>
              <w:t>euro</w:t>
            </w:r>
            <w:r>
              <w:t xml:space="preserve"> gadā un arhitektiem, kuriem ir </w:t>
            </w:r>
            <w:r w:rsidRPr="007171B2">
              <w:rPr>
                <w:b/>
              </w:rPr>
              <w:t>standarta sertifikāta uzturēšanas prasības</w:t>
            </w:r>
            <w:r>
              <w:t xml:space="preserve"> (580 arhitekti) ir jāmaksā uzraudzības maksa 214 </w:t>
            </w:r>
            <w:r w:rsidRPr="000E1DAA">
              <w:rPr>
                <w:i/>
              </w:rPr>
              <w:t>euro</w:t>
            </w:r>
            <w:r>
              <w:t xml:space="preserve"> gadā. Šajā maksā </w:t>
            </w:r>
            <w:r w:rsidRPr="00D16279">
              <w:rPr>
                <w:b/>
              </w:rPr>
              <w:t>nav iekļauta</w:t>
            </w:r>
            <w:r>
              <w:t xml:space="preserve"> gada maksa par Latvijas standartu tiešsaistes lasītavas abonēšanu 30 </w:t>
            </w:r>
            <w:r w:rsidRPr="00941AA5">
              <w:rPr>
                <w:i/>
              </w:rPr>
              <w:t>euro</w:t>
            </w:r>
            <w:r>
              <w:t xml:space="preserve"> apmērā.</w:t>
            </w:r>
          </w:p>
          <w:p w14:paraId="20CD04FB" w14:textId="3F6A088D" w:rsidR="00096052" w:rsidRDefault="00096052" w:rsidP="00096052">
            <w:pPr>
              <w:shd w:val="clear" w:color="auto" w:fill="FFFFFF"/>
              <w:ind w:firstLine="394"/>
              <w:jc w:val="both"/>
            </w:pPr>
          </w:p>
          <w:p w14:paraId="61D6D38D" w14:textId="77777777" w:rsidR="00C97CA2" w:rsidRDefault="00C97CA2" w:rsidP="00096052">
            <w:pPr>
              <w:shd w:val="clear" w:color="auto" w:fill="FFFFFF"/>
              <w:ind w:firstLine="394"/>
              <w:jc w:val="both"/>
            </w:pPr>
          </w:p>
          <w:p w14:paraId="7DFB8737" w14:textId="77777777" w:rsidR="00096052" w:rsidRPr="00AA2BE2" w:rsidRDefault="00096052" w:rsidP="00096052">
            <w:pPr>
              <w:jc w:val="both"/>
              <w:rPr>
                <w:b/>
                <w:u w:val="single"/>
              </w:rPr>
            </w:pPr>
            <w:r w:rsidRPr="00AA2BE2">
              <w:rPr>
                <w:b/>
                <w:u w:val="single"/>
              </w:rPr>
              <w:lastRenderedPageBreak/>
              <w:t xml:space="preserve">3. Atkārtota patstāvīgās prakses un profesionālās pilnveides pārbaude. </w:t>
            </w:r>
          </w:p>
          <w:p w14:paraId="357F3B9F" w14:textId="77777777" w:rsidR="00096052" w:rsidRDefault="00096052" w:rsidP="00096052">
            <w:pPr>
              <w:jc w:val="both"/>
              <w:rPr>
                <w:b/>
              </w:rPr>
            </w:pPr>
          </w:p>
          <w:p w14:paraId="6D1F194D" w14:textId="48BD92F2" w:rsidR="00096052" w:rsidRPr="000E47E0" w:rsidRDefault="00096052" w:rsidP="00096052">
            <w:pPr>
              <w:ind w:firstLine="477"/>
              <w:jc w:val="both"/>
            </w:pPr>
            <w:r>
              <w:t xml:space="preserve">Veicot sertificēta arhitekta prakses pārbaudi reizi piecos gados, bieži tiek konstatēts, ka prakse un/vai tālākizglītība nav atbilstoša institūcijas izvirzītajām prasībām, līdz ar to  </w:t>
            </w:r>
            <w:r w:rsidR="00DF5B30" w:rsidRPr="00DF5B30">
              <w:rPr>
                <w:iCs/>
              </w:rPr>
              <w:t>AKPI</w:t>
            </w:r>
            <w:r>
              <w:t xml:space="preserve"> eksperts </w:t>
            </w:r>
            <w:r w:rsidRPr="000E47E0">
              <w:rPr>
                <w:i/>
              </w:rPr>
              <w:t>20% pārbaudē</w:t>
            </w:r>
            <w:r>
              <w:t xml:space="preserve"> konstatējot, ka</w:t>
            </w:r>
            <w:r w:rsidRPr="000E47E0">
              <w:t xml:space="preserve"> arhitekts</w:t>
            </w:r>
            <w:r>
              <w:t xml:space="preserve"> nav izpildījis visus nosacījumus</w:t>
            </w:r>
            <w:r w:rsidRPr="000E47E0">
              <w:t xml:space="preserve">, </w:t>
            </w:r>
            <w:r>
              <w:t xml:space="preserve">vispirms aicina arhitektu pārbaudīt vai būvspeciālistu reģistrā ir ievadīta pilnīgi visa informācija par arhitekta patstāvīgo praksi un profesionālo pilnveidi. Gadījumā, ja pēc eksperta uzaicinājuma arhitekts būvspeciālistu reģistrā papildina </w:t>
            </w:r>
            <w:r w:rsidRPr="000E47E0">
              <w:t xml:space="preserve">informācija par vairāk kā </w:t>
            </w:r>
            <w:r>
              <w:t>diviem</w:t>
            </w:r>
            <w:r w:rsidRPr="000E47E0">
              <w:t xml:space="preserve"> ierakstiem</w:t>
            </w:r>
            <w:r>
              <w:t>, tiek piemērota atkārtota patstāvīgās prakses un profesionālās pilnveides p</w:t>
            </w:r>
            <w:r w:rsidRPr="000E47E0">
              <w:t>ārbaude</w:t>
            </w:r>
            <w:r>
              <w:t xml:space="preserve">s maksa, jo pēc </w:t>
            </w:r>
            <w:r w:rsidR="00DF5B30" w:rsidRPr="00DF5B30">
              <w:rPr>
                <w:iCs/>
              </w:rPr>
              <w:t>AKPI</w:t>
            </w:r>
            <w:r>
              <w:t xml:space="preserve"> pieredzes daudzos gadījumos ierakstu skaits tiek papildināts būtiski, tādējādi palielinot 20% pārbaudes veikšanai nepieciešamo eksperta darba ieguldījumu gan komunikācijai, gan informācijas analīzei.</w:t>
            </w:r>
          </w:p>
          <w:p w14:paraId="5D1A974E" w14:textId="77777777" w:rsidR="00096052" w:rsidRDefault="00096052" w:rsidP="00096052">
            <w:pPr>
              <w:ind w:firstLine="477"/>
              <w:jc w:val="both"/>
            </w:pPr>
            <w:r>
              <w:t>Nepieciešamais laika ieguldījums atkārtotas patstāvīgās prakses un profesionālās pilnveides pārbaudes gadījumā ir mazāks, nekā pirmajā reizē, jo eksperts analizē tikai papildus iesniegto informāciju. Atkārtotas patstāvīgās prakses un profesionālās pilnveides pārbaudes izcenojumā tiek ievērtētas tikai tiešās izmaksas, ņemot vērā, ka paredzamais gadījumu skaits nav prognozējams, jo būtiski mainās prakses uzraudzības principi, kas ietekmēs gadījumu skaitu, kad nepieciešams atkārtoti pārbaudīt patstāvīgo praksi un profesionālo pilnveidi, savukārt netiešo izmaksu komponente kopējās atkārtotās pārbaudes izmaksās ir nenozīmīgi niecīga. Netiešās izmaksas ir iekļautas sertifikāta uzturēšanas maksā.</w:t>
            </w:r>
          </w:p>
          <w:p w14:paraId="5B300511" w14:textId="77777777" w:rsidR="00C97CA2" w:rsidRDefault="00C97CA2" w:rsidP="00096052">
            <w:pPr>
              <w:jc w:val="right"/>
              <w:rPr>
                <w:i/>
              </w:rPr>
            </w:pPr>
          </w:p>
          <w:p w14:paraId="7FF7116D" w14:textId="097EA942" w:rsidR="00096052" w:rsidRPr="00B74E1D" w:rsidRDefault="00096052" w:rsidP="00096052">
            <w:pPr>
              <w:jc w:val="right"/>
              <w:rPr>
                <w:b/>
                <w:i/>
              </w:rPr>
            </w:pPr>
            <w:r>
              <w:rPr>
                <w:i/>
              </w:rPr>
              <w:t>8</w:t>
            </w:r>
            <w:r w:rsidRPr="00B74E1D">
              <w:rPr>
                <w:b/>
                <w:i/>
              </w:rPr>
              <w:t>.</w:t>
            </w:r>
            <w:r w:rsidRPr="00B74E1D">
              <w:rPr>
                <w:i/>
                <w:lang w:eastAsia="x-none"/>
              </w:rPr>
              <w:t>tabula</w:t>
            </w:r>
          </w:p>
          <w:p w14:paraId="44646DF8" w14:textId="77777777" w:rsidR="00096052" w:rsidRPr="00B74E1D" w:rsidRDefault="00096052" w:rsidP="00096052">
            <w:pPr>
              <w:jc w:val="center"/>
              <w:rPr>
                <w:b/>
              </w:rPr>
            </w:pPr>
            <w:r>
              <w:rPr>
                <w:b/>
              </w:rPr>
              <w:t>Atkārtotas patstāvīgās prakses un profesionālās pilnveides pārbaudes</w:t>
            </w:r>
            <w:r w:rsidRPr="00B74E1D">
              <w:rPr>
                <w:b/>
              </w:rPr>
              <w:t xml:space="preserve"> tiešo izmaksu aprēķins </w:t>
            </w:r>
          </w:p>
          <w:tbl>
            <w:tblPr>
              <w:tblStyle w:val="TableGrid"/>
              <w:tblW w:w="0" w:type="auto"/>
              <w:tblLook w:val="04A0" w:firstRow="1" w:lastRow="0" w:firstColumn="1" w:lastColumn="0" w:noHBand="0" w:noVBand="1"/>
            </w:tblPr>
            <w:tblGrid>
              <w:gridCol w:w="2206"/>
              <w:gridCol w:w="1258"/>
              <w:gridCol w:w="1450"/>
              <w:gridCol w:w="1350"/>
              <w:gridCol w:w="1446"/>
            </w:tblGrid>
            <w:tr w:rsidR="00096052" w14:paraId="535C5304" w14:textId="77777777" w:rsidTr="00096052">
              <w:tc>
                <w:tcPr>
                  <w:tcW w:w="2206" w:type="dxa"/>
                  <w:tcBorders>
                    <w:top w:val="single" w:sz="4" w:space="0" w:color="auto"/>
                    <w:left w:val="single" w:sz="4" w:space="0" w:color="auto"/>
                    <w:bottom w:val="single" w:sz="4" w:space="0" w:color="auto"/>
                    <w:right w:val="single" w:sz="4" w:space="0" w:color="auto"/>
                  </w:tcBorders>
                  <w:hideMark/>
                </w:tcPr>
                <w:p w14:paraId="5BDBA82C" w14:textId="77777777" w:rsidR="00096052" w:rsidRDefault="00096052" w:rsidP="00096052">
                  <w:pPr>
                    <w:autoSpaceDE w:val="0"/>
                    <w:autoSpaceDN w:val="0"/>
                    <w:adjustRightInd w:val="0"/>
                    <w:jc w:val="both"/>
                    <w:rPr>
                      <w:bCs/>
                      <w:lang w:eastAsia="en-US"/>
                    </w:rPr>
                  </w:pPr>
                  <w:r>
                    <w:rPr>
                      <w:bCs/>
                      <w:lang w:eastAsia="en-US"/>
                    </w:rPr>
                    <w:t xml:space="preserve">Rādītājs </w:t>
                  </w:r>
                  <w:r>
                    <w:rPr>
                      <w:bCs/>
                      <w:i/>
                      <w:lang w:eastAsia="en-US"/>
                    </w:rPr>
                    <w:t>(izmaksu veids)</w:t>
                  </w:r>
                </w:p>
              </w:tc>
              <w:tc>
                <w:tcPr>
                  <w:tcW w:w="1258" w:type="dxa"/>
                  <w:tcBorders>
                    <w:top w:val="single" w:sz="4" w:space="0" w:color="auto"/>
                    <w:left w:val="single" w:sz="4" w:space="0" w:color="auto"/>
                    <w:bottom w:val="single" w:sz="4" w:space="0" w:color="auto"/>
                    <w:right w:val="single" w:sz="4" w:space="0" w:color="auto"/>
                  </w:tcBorders>
                </w:tcPr>
                <w:p w14:paraId="14CF7B1A" w14:textId="77777777" w:rsidR="00096052" w:rsidRDefault="00096052" w:rsidP="00096052">
                  <w:pPr>
                    <w:autoSpaceDE w:val="0"/>
                    <w:autoSpaceDN w:val="0"/>
                    <w:adjustRightInd w:val="0"/>
                    <w:jc w:val="both"/>
                    <w:rPr>
                      <w:bCs/>
                      <w:lang w:eastAsia="en-US"/>
                    </w:rPr>
                  </w:pPr>
                  <w:r>
                    <w:rPr>
                      <w:bCs/>
                      <w:lang w:eastAsia="en-US"/>
                    </w:rPr>
                    <w:t xml:space="preserve">Skaits </w:t>
                  </w:r>
                </w:p>
                <w:p w14:paraId="76B2431F" w14:textId="77777777" w:rsidR="00096052" w:rsidRDefault="00096052" w:rsidP="00096052">
                  <w:pPr>
                    <w:autoSpaceDE w:val="0"/>
                    <w:autoSpaceDN w:val="0"/>
                    <w:adjustRightInd w:val="0"/>
                    <w:jc w:val="both"/>
                    <w:rPr>
                      <w:bCs/>
                      <w:i/>
                      <w:lang w:eastAsia="en-US"/>
                    </w:rPr>
                  </w:pPr>
                </w:p>
                <w:p w14:paraId="2FC602AF" w14:textId="77777777" w:rsidR="00096052" w:rsidRDefault="00096052" w:rsidP="00096052">
                  <w:pPr>
                    <w:autoSpaceDE w:val="0"/>
                    <w:autoSpaceDN w:val="0"/>
                    <w:adjustRightInd w:val="0"/>
                    <w:jc w:val="both"/>
                    <w:rPr>
                      <w:bCs/>
                      <w:lang w:eastAsia="en-US"/>
                    </w:rPr>
                  </w:pPr>
                </w:p>
              </w:tc>
              <w:tc>
                <w:tcPr>
                  <w:tcW w:w="1450" w:type="dxa"/>
                  <w:tcBorders>
                    <w:top w:val="single" w:sz="4" w:space="0" w:color="auto"/>
                    <w:left w:val="single" w:sz="4" w:space="0" w:color="auto"/>
                    <w:bottom w:val="single" w:sz="4" w:space="0" w:color="auto"/>
                    <w:right w:val="single" w:sz="4" w:space="0" w:color="auto"/>
                  </w:tcBorders>
                  <w:hideMark/>
                </w:tcPr>
                <w:p w14:paraId="5A61C851" w14:textId="77777777" w:rsidR="00096052" w:rsidRDefault="00096052" w:rsidP="00096052">
                  <w:pPr>
                    <w:autoSpaceDE w:val="0"/>
                    <w:autoSpaceDN w:val="0"/>
                    <w:adjustRightInd w:val="0"/>
                    <w:jc w:val="both"/>
                    <w:rPr>
                      <w:bCs/>
                      <w:lang w:eastAsia="en-US"/>
                    </w:rPr>
                  </w:pPr>
                  <w:r>
                    <w:rPr>
                      <w:bCs/>
                      <w:lang w:eastAsia="en-US"/>
                    </w:rPr>
                    <w:t xml:space="preserve">Eksperta stundas likme </w:t>
                  </w:r>
                  <w:r>
                    <w:rPr>
                      <w:bCs/>
                      <w:i/>
                      <w:lang w:eastAsia="en-US"/>
                    </w:rPr>
                    <w:t>(Euro/h)</w:t>
                  </w:r>
                </w:p>
              </w:tc>
              <w:tc>
                <w:tcPr>
                  <w:tcW w:w="1350" w:type="dxa"/>
                  <w:tcBorders>
                    <w:top w:val="single" w:sz="4" w:space="0" w:color="auto"/>
                    <w:left w:val="single" w:sz="4" w:space="0" w:color="auto"/>
                    <w:bottom w:val="single" w:sz="4" w:space="0" w:color="auto"/>
                    <w:right w:val="single" w:sz="4" w:space="0" w:color="auto"/>
                  </w:tcBorders>
                  <w:hideMark/>
                </w:tcPr>
                <w:p w14:paraId="744EB5F9" w14:textId="77777777" w:rsidR="00096052" w:rsidRDefault="00096052" w:rsidP="00096052">
                  <w:pPr>
                    <w:autoSpaceDE w:val="0"/>
                    <w:autoSpaceDN w:val="0"/>
                    <w:adjustRightInd w:val="0"/>
                    <w:jc w:val="both"/>
                    <w:rPr>
                      <w:bCs/>
                      <w:lang w:eastAsia="en-US"/>
                    </w:rPr>
                  </w:pPr>
                  <w:r>
                    <w:rPr>
                      <w:bCs/>
                      <w:lang w:eastAsia="en-US"/>
                    </w:rPr>
                    <w:t>Laika ieguldījums</w:t>
                  </w:r>
                </w:p>
                <w:p w14:paraId="0AA7F68A" w14:textId="77777777" w:rsidR="00096052" w:rsidRDefault="00096052" w:rsidP="00096052">
                  <w:pPr>
                    <w:autoSpaceDE w:val="0"/>
                    <w:autoSpaceDN w:val="0"/>
                    <w:adjustRightInd w:val="0"/>
                    <w:jc w:val="both"/>
                    <w:rPr>
                      <w:bCs/>
                      <w:i/>
                      <w:lang w:eastAsia="en-US"/>
                    </w:rPr>
                  </w:pPr>
                  <w:r>
                    <w:rPr>
                      <w:bCs/>
                      <w:i/>
                      <w:lang w:eastAsia="en-US"/>
                    </w:rPr>
                    <w:t>(h)</w:t>
                  </w:r>
                </w:p>
              </w:tc>
              <w:tc>
                <w:tcPr>
                  <w:tcW w:w="1446" w:type="dxa"/>
                  <w:tcBorders>
                    <w:top w:val="single" w:sz="4" w:space="0" w:color="auto"/>
                    <w:left w:val="single" w:sz="4" w:space="0" w:color="auto"/>
                    <w:bottom w:val="single" w:sz="4" w:space="0" w:color="auto"/>
                    <w:right w:val="single" w:sz="4" w:space="0" w:color="auto"/>
                  </w:tcBorders>
                  <w:hideMark/>
                </w:tcPr>
                <w:p w14:paraId="68A9C0F5" w14:textId="77777777" w:rsidR="00096052" w:rsidRDefault="00096052" w:rsidP="00096052">
                  <w:pPr>
                    <w:autoSpaceDE w:val="0"/>
                    <w:autoSpaceDN w:val="0"/>
                    <w:adjustRightInd w:val="0"/>
                    <w:jc w:val="both"/>
                    <w:rPr>
                      <w:bCs/>
                      <w:lang w:eastAsia="en-US"/>
                    </w:rPr>
                  </w:pPr>
                  <w:r>
                    <w:rPr>
                      <w:bCs/>
                      <w:lang w:eastAsia="en-US"/>
                    </w:rPr>
                    <w:t xml:space="preserve">Izmaksu apjoms  </w:t>
                  </w:r>
                  <w:r>
                    <w:rPr>
                      <w:bCs/>
                      <w:i/>
                      <w:lang w:eastAsia="en-US"/>
                    </w:rPr>
                    <w:t>(Euro)</w:t>
                  </w:r>
                </w:p>
              </w:tc>
            </w:tr>
            <w:tr w:rsidR="00096052" w14:paraId="515E9BB5" w14:textId="77777777" w:rsidTr="00096052">
              <w:tc>
                <w:tcPr>
                  <w:tcW w:w="2206" w:type="dxa"/>
                  <w:tcBorders>
                    <w:top w:val="single" w:sz="4" w:space="0" w:color="auto"/>
                    <w:left w:val="single" w:sz="4" w:space="0" w:color="auto"/>
                    <w:bottom w:val="single" w:sz="4" w:space="0" w:color="auto"/>
                    <w:right w:val="single" w:sz="4" w:space="0" w:color="auto"/>
                  </w:tcBorders>
                  <w:hideMark/>
                </w:tcPr>
                <w:p w14:paraId="17E99C65" w14:textId="77777777" w:rsidR="00096052" w:rsidRDefault="00096052" w:rsidP="00096052">
                  <w:pPr>
                    <w:autoSpaceDE w:val="0"/>
                    <w:autoSpaceDN w:val="0"/>
                    <w:adjustRightInd w:val="0"/>
                    <w:jc w:val="both"/>
                    <w:rPr>
                      <w:bCs/>
                      <w:lang w:eastAsia="en-US"/>
                    </w:rPr>
                  </w:pPr>
                  <w:r>
                    <w:rPr>
                      <w:lang w:eastAsia="en-US"/>
                    </w:rPr>
                    <w:t>Atkārtota patstāvīgās prakses un profesionālās pilnveides pārbaude</w:t>
                  </w:r>
                </w:p>
              </w:tc>
              <w:tc>
                <w:tcPr>
                  <w:tcW w:w="1258" w:type="dxa"/>
                  <w:tcBorders>
                    <w:top w:val="single" w:sz="4" w:space="0" w:color="auto"/>
                    <w:left w:val="single" w:sz="4" w:space="0" w:color="auto"/>
                    <w:bottom w:val="single" w:sz="4" w:space="0" w:color="auto"/>
                    <w:right w:val="single" w:sz="4" w:space="0" w:color="auto"/>
                  </w:tcBorders>
                  <w:hideMark/>
                </w:tcPr>
                <w:p w14:paraId="78217D4B" w14:textId="77777777" w:rsidR="00096052" w:rsidRDefault="00096052" w:rsidP="00096052">
                  <w:pPr>
                    <w:autoSpaceDE w:val="0"/>
                    <w:autoSpaceDN w:val="0"/>
                    <w:adjustRightInd w:val="0"/>
                    <w:jc w:val="both"/>
                    <w:rPr>
                      <w:bCs/>
                      <w:lang w:eastAsia="en-US"/>
                    </w:rPr>
                  </w:pPr>
                  <w:r>
                    <w:rPr>
                      <w:bCs/>
                      <w:lang w:eastAsia="en-US"/>
                    </w:rPr>
                    <w:t>1</w:t>
                  </w:r>
                </w:p>
              </w:tc>
              <w:tc>
                <w:tcPr>
                  <w:tcW w:w="1450" w:type="dxa"/>
                  <w:tcBorders>
                    <w:top w:val="single" w:sz="4" w:space="0" w:color="auto"/>
                    <w:left w:val="single" w:sz="4" w:space="0" w:color="auto"/>
                    <w:bottom w:val="single" w:sz="4" w:space="0" w:color="auto"/>
                    <w:right w:val="single" w:sz="4" w:space="0" w:color="auto"/>
                  </w:tcBorders>
                  <w:hideMark/>
                </w:tcPr>
                <w:p w14:paraId="37D0A5B3" w14:textId="77777777" w:rsidR="00096052" w:rsidRDefault="00096052" w:rsidP="00096052">
                  <w:pPr>
                    <w:autoSpaceDE w:val="0"/>
                    <w:autoSpaceDN w:val="0"/>
                    <w:adjustRightInd w:val="0"/>
                    <w:jc w:val="both"/>
                    <w:rPr>
                      <w:bCs/>
                      <w:lang w:eastAsia="en-US"/>
                    </w:rPr>
                  </w:pPr>
                  <w:r>
                    <w:rPr>
                      <w:bCs/>
                      <w:lang w:eastAsia="en-US"/>
                    </w:rPr>
                    <w:t>40,00</w:t>
                  </w:r>
                </w:p>
              </w:tc>
              <w:tc>
                <w:tcPr>
                  <w:tcW w:w="1350" w:type="dxa"/>
                  <w:tcBorders>
                    <w:top w:val="single" w:sz="4" w:space="0" w:color="auto"/>
                    <w:left w:val="single" w:sz="4" w:space="0" w:color="auto"/>
                    <w:bottom w:val="single" w:sz="4" w:space="0" w:color="auto"/>
                    <w:right w:val="single" w:sz="4" w:space="0" w:color="auto"/>
                  </w:tcBorders>
                  <w:hideMark/>
                </w:tcPr>
                <w:p w14:paraId="5A719CD1" w14:textId="77777777" w:rsidR="00096052" w:rsidRDefault="00096052" w:rsidP="00096052">
                  <w:pPr>
                    <w:autoSpaceDE w:val="0"/>
                    <w:autoSpaceDN w:val="0"/>
                    <w:adjustRightInd w:val="0"/>
                    <w:jc w:val="both"/>
                    <w:rPr>
                      <w:bCs/>
                      <w:lang w:eastAsia="en-US"/>
                    </w:rPr>
                  </w:pPr>
                  <w:r>
                    <w:rPr>
                      <w:bCs/>
                      <w:lang w:eastAsia="en-US"/>
                    </w:rPr>
                    <w:t>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5399E121" w14:textId="77777777" w:rsidR="00096052" w:rsidRDefault="00096052" w:rsidP="00096052">
                  <w:pPr>
                    <w:autoSpaceDE w:val="0"/>
                    <w:autoSpaceDN w:val="0"/>
                    <w:adjustRightInd w:val="0"/>
                    <w:jc w:val="both"/>
                    <w:rPr>
                      <w:b/>
                      <w:bCs/>
                      <w:u w:val="single"/>
                      <w:lang w:eastAsia="en-US"/>
                    </w:rPr>
                  </w:pPr>
                  <w:r>
                    <w:rPr>
                      <w:b/>
                      <w:bCs/>
                      <w:u w:val="single"/>
                      <w:lang w:eastAsia="en-US"/>
                    </w:rPr>
                    <w:t>40,00</w:t>
                  </w:r>
                </w:p>
              </w:tc>
            </w:tr>
          </w:tbl>
          <w:p w14:paraId="35885E19" w14:textId="77777777" w:rsidR="00096052" w:rsidRPr="00C97CA2" w:rsidRDefault="00096052" w:rsidP="00096052">
            <w:pPr>
              <w:shd w:val="clear" w:color="auto" w:fill="FFFFFF"/>
              <w:ind w:firstLine="394"/>
              <w:jc w:val="both"/>
              <w:rPr>
                <w:sz w:val="12"/>
                <w:szCs w:val="12"/>
                <w:u w:val="single"/>
              </w:rPr>
            </w:pPr>
          </w:p>
          <w:p w14:paraId="4B8EBBC6" w14:textId="77777777" w:rsidR="00096052" w:rsidRPr="00AA2BE2" w:rsidRDefault="00096052" w:rsidP="00096052">
            <w:pPr>
              <w:shd w:val="clear" w:color="auto" w:fill="FFFFFF"/>
              <w:jc w:val="both"/>
              <w:rPr>
                <w:b/>
                <w:u w:val="single"/>
              </w:rPr>
            </w:pPr>
            <w:r>
              <w:rPr>
                <w:b/>
                <w:u w:val="single"/>
              </w:rPr>
              <w:t>4</w:t>
            </w:r>
            <w:r w:rsidRPr="00AA2BE2">
              <w:rPr>
                <w:b/>
                <w:u w:val="single"/>
              </w:rPr>
              <w:t>. Profesionālās pilnveides pārbaude</w:t>
            </w:r>
          </w:p>
          <w:p w14:paraId="3DC67AD7" w14:textId="77777777" w:rsidR="00096052" w:rsidRPr="00C97CA2" w:rsidRDefault="00096052" w:rsidP="00096052">
            <w:pPr>
              <w:shd w:val="clear" w:color="auto" w:fill="FFFFFF"/>
              <w:ind w:firstLine="394"/>
              <w:jc w:val="both"/>
              <w:rPr>
                <w:sz w:val="16"/>
                <w:szCs w:val="16"/>
                <w:u w:val="single"/>
              </w:rPr>
            </w:pPr>
          </w:p>
          <w:p w14:paraId="026350C4" w14:textId="34A5CCB8" w:rsidR="00096052" w:rsidRDefault="00096052" w:rsidP="00096052">
            <w:pPr>
              <w:shd w:val="clear" w:color="auto" w:fill="FFFFFF"/>
              <w:ind w:firstLine="394"/>
              <w:jc w:val="both"/>
            </w:pPr>
            <w:r>
              <w:t xml:space="preserve">Profesionālās pilnveides eksāmena pirmo daļu piemēro gadījumā, ja </w:t>
            </w:r>
            <w:r w:rsidR="00DF5B30" w:rsidRPr="00DF5B30">
              <w:rPr>
                <w:iCs/>
              </w:rPr>
              <w:t>AKPI</w:t>
            </w:r>
            <w:r>
              <w:t xml:space="preserve"> noteiktajā apjomā nav apgūti formālās sadaļas tālākizglītības pasākumi. Izcenojumā tiek ievērtētas tikai tiešās izmaksas, jo netiešo izmaksu komponente kopējās izmaksās ir nenozīmīgi niecīga. Netiešās izmaksas iekļautas sertifikāta uzturēšanas maksā.</w:t>
            </w:r>
          </w:p>
          <w:p w14:paraId="371E2DB2" w14:textId="77777777" w:rsidR="00096052" w:rsidRPr="00C97CA2" w:rsidRDefault="00096052" w:rsidP="00096052">
            <w:pPr>
              <w:shd w:val="clear" w:color="auto" w:fill="FFFFFF"/>
              <w:ind w:firstLine="394"/>
              <w:jc w:val="both"/>
              <w:rPr>
                <w:sz w:val="16"/>
                <w:szCs w:val="16"/>
              </w:rPr>
            </w:pPr>
          </w:p>
          <w:p w14:paraId="1BCBCBE0" w14:textId="77777777" w:rsidR="00096052" w:rsidRPr="00B74E1D" w:rsidRDefault="00096052" w:rsidP="00096052">
            <w:pPr>
              <w:jc w:val="right"/>
              <w:rPr>
                <w:b/>
                <w:i/>
              </w:rPr>
            </w:pPr>
            <w:r>
              <w:rPr>
                <w:i/>
              </w:rPr>
              <w:t>9</w:t>
            </w:r>
            <w:r w:rsidRPr="00B74E1D">
              <w:rPr>
                <w:b/>
                <w:i/>
              </w:rPr>
              <w:t>.</w:t>
            </w:r>
            <w:r w:rsidRPr="00B74E1D">
              <w:rPr>
                <w:i/>
                <w:lang w:eastAsia="x-none"/>
              </w:rPr>
              <w:t>tabula</w:t>
            </w:r>
          </w:p>
          <w:p w14:paraId="7459226B" w14:textId="77777777" w:rsidR="00096052" w:rsidRDefault="00096052" w:rsidP="00096052">
            <w:pPr>
              <w:shd w:val="clear" w:color="auto" w:fill="FFFFFF"/>
              <w:ind w:firstLine="394"/>
              <w:jc w:val="both"/>
              <w:rPr>
                <w:u w:val="single"/>
              </w:rPr>
            </w:pPr>
            <w:r>
              <w:rPr>
                <w:b/>
              </w:rPr>
              <w:t xml:space="preserve">Profesionālās pilnveides pārbaudes 1. daļas </w:t>
            </w:r>
            <w:r w:rsidRPr="00B74E1D">
              <w:rPr>
                <w:b/>
              </w:rPr>
              <w:t>tiešo izmaksu aprēķins</w:t>
            </w:r>
          </w:p>
          <w:tbl>
            <w:tblPr>
              <w:tblStyle w:val="TableGrid"/>
              <w:tblW w:w="0" w:type="auto"/>
              <w:tblLook w:val="04A0" w:firstRow="1" w:lastRow="0" w:firstColumn="1" w:lastColumn="0" w:noHBand="0" w:noVBand="1"/>
            </w:tblPr>
            <w:tblGrid>
              <w:gridCol w:w="2246"/>
              <w:gridCol w:w="1243"/>
              <w:gridCol w:w="1438"/>
              <w:gridCol w:w="1350"/>
              <w:gridCol w:w="1433"/>
            </w:tblGrid>
            <w:tr w:rsidR="00096052" w14:paraId="2C29E1F0" w14:textId="77777777" w:rsidTr="00096052">
              <w:tc>
                <w:tcPr>
                  <w:tcW w:w="2425" w:type="dxa"/>
                  <w:tcBorders>
                    <w:top w:val="single" w:sz="4" w:space="0" w:color="auto"/>
                    <w:left w:val="single" w:sz="4" w:space="0" w:color="auto"/>
                    <w:bottom w:val="single" w:sz="4" w:space="0" w:color="auto"/>
                    <w:right w:val="single" w:sz="4" w:space="0" w:color="auto"/>
                  </w:tcBorders>
                  <w:hideMark/>
                </w:tcPr>
                <w:p w14:paraId="1A8A5F1B" w14:textId="77777777" w:rsidR="00096052" w:rsidRDefault="00096052" w:rsidP="00096052">
                  <w:pPr>
                    <w:autoSpaceDE w:val="0"/>
                    <w:autoSpaceDN w:val="0"/>
                    <w:adjustRightInd w:val="0"/>
                    <w:jc w:val="both"/>
                    <w:rPr>
                      <w:bCs/>
                      <w:lang w:eastAsia="en-US"/>
                    </w:rPr>
                  </w:pPr>
                  <w:r>
                    <w:rPr>
                      <w:bCs/>
                      <w:lang w:eastAsia="en-US"/>
                    </w:rPr>
                    <w:t xml:space="preserve">Rādītājs </w:t>
                  </w:r>
                  <w:r>
                    <w:rPr>
                      <w:bCs/>
                      <w:i/>
                      <w:lang w:eastAsia="en-US"/>
                    </w:rPr>
                    <w:t>(izmaksu veids)</w:t>
                  </w:r>
                </w:p>
              </w:tc>
              <w:tc>
                <w:tcPr>
                  <w:tcW w:w="1350" w:type="dxa"/>
                  <w:tcBorders>
                    <w:top w:val="single" w:sz="4" w:space="0" w:color="auto"/>
                    <w:left w:val="single" w:sz="4" w:space="0" w:color="auto"/>
                    <w:bottom w:val="single" w:sz="4" w:space="0" w:color="auto"/>
                    <w:right w:val="single" w:sz="4" w:space="0" w:color="auto"/>
                  </w:tcBorders>
                </w:tcPr>
                <w:p w14:paraId="496F4894" w14:textId="77777777" w:rsidR="00096052" w:rsidRDefault="00096052" w:rsidP="00096052">
                  <w:pPr>
                    <w:autoSpaceDE w:val="0"/>
                    <w:autoSpaceDN w:val="0"/>
                    <w:adjustRightInd w:val="0"/>
                    <w:jc w:val="both"/>
                    <w:rPr>
                      <w:bCs/>
                      <w:lang w:eastAsia="en-US"/>
                    </w:rPr>
                  </w:pPr>
                  <w:r>
                    <w:rPr>
                      <w:bCs/>
                      <w:lang w:eastAsia="en-US"/>
                    </w:rPr>
                    <w:t xml:space="preserve">Skaits </w:t>
                  </w:r>
                </w:p>
                <w:p w14:paraId="4D403154" w14:textId="77777777" w:rsidR="00096052" w:rsidRDefault="00096052" w:rsidP="00096052">
                  <w:pPr>
                    <w:autoSpaceDE w:val="0"/>
                    <w:autoSpaceDN w:val="0"/>
                    <w:adjustRightInd w:val="0"/>
                    <w:jc w:val="both"/>
                    <w:rPr>
                      <w:bCs/>
                      <w:i/>
                      <w:lang w:eastAsia="en-US"/>
                    </w:rPr>
                  </w:pPr>
                </w:p>
                <w:p w14:paraId="32B13C02" w14:textId="77777777" w:rsidR="00096052" w:rsidRDefault="00096052" w:rsidP="00096052">
                  <w:pPr>
                    <w:autoSpaceDE w:val="0"/>
                    <w:autoSpaceDN w:val="0"/>
                    <w:adjustRightInd w:val="0"/>
                    <w:jc w:val="both"/>
                    <w:rPr>
                      <w:bCs/>
                      <w:lang w:eastAsia="en-US"/>
                    </w:rPr>
                  </w:pPr>
                </w:p>
              </w:tc>
              <w:tc>
                <w:tcPr>
                  <w:tcW w:w="1530" w:type="dxa"/>
                  <w:tcBorders>
                    <w:top w:val="single" w:sz="4" w:space="0" w:color="auto"/>
                    <w:left w:val="single" w:sz="4" w:space="0" w:color="auto"/>
                    <w:bottom w:val="single" w:sz="4" w:space="0" w:color="auto"/>
                    <w:right w:val="single" w:sz="4" w:space="0" w:color="auto"/>
                  </w:tcBorders>
                  <w:hideMark/>
                </w:tcPr>
                <w:p w14:paraId="5457E00F" w14:textId="77777777" w:rsidR="00096052" w:rsidRDefault="00096052" w:rsidP="00096052">
                  <w:pPr>
                    <w:autoSpaceDE w:val="0"/>
                    <w:autoSpaceDN w:val="0"/>
                    <w:adjustRightInd w:val="0"/>
                    <w:jc w:val="both"/>
                    <w:rPr>
                      <w:bCs/>
                      <w:lang w:eastAsia="en-US"/>
                    </w:rPr>
                  </w:pPr>
                  <w:r>
                    <w:rPr>
                      <w:bCs/>
                      <w:lang w:eastAsia="en-US"/>
                    </w:rPr>
                    <w:t xml:space="preserve">Eksperta stundas likme </w:t>
                  </w:r>
                  <w:r>
                    <w:rPr>
                      <w:bCs/>
                      <w:i/>
                      <w:lang w:eastAsia="en-US"/>
                    </w:rPr>
                    <w:t>(Euro/h)</w:t>
                  </w:r>
                </w:p>
              </w:tc>
              <w:tc>
                <w:tcPr>
                  <w:tcW w:w="1350" w:type="dxa"/>
                  <w:tcBorders>
                    <w:top w:val="single" w:sz="4" w:space="0" w:color="auto"/>
                    <w:left w:val="single" w:sz="4" w:space="0" w:color="auto"/>
                    <w:bottom w:val="single" w:sz="4" w:space="0" w:color="auto"/>
                    <w:right w:val="single" w:sz="4" w:space="0" w:color="auto"/>
                  </w:tcBorders>
                  <w:hideMark/>
                </w:tcPr>
                <w:p w14:paraId="4A3B764A" w14:textId="77777777" w:rsidR="00096052" w:rsidRDefault="00096052" w:rsidP="00096052">
                  <w:pPr>
                    <w:autoSpaceDE w:val="0"/>
                    <w:autoSpaceDN w:val="0"/>
                    <w:adjustRightInd w:val="0"/>
                    <w:jc w:val="both"/>
                    <w:rPr>
                      <w:bCs/>
                      <w:lang w:eastAsia="en-US"/>
                    </w:rPr>
                  </w:pPr>
                  <w:r>
                    <w:rPr>
                      <w:bCs/>
                      <w:lang w:eastAsia="en-US"/>
                    </w:rPr>
                    <w:t>Laika ieguldījums</w:t>
                  </w:r>
                </w:p>
                <w:p w14:paraId="6635E2BA" w14:textId="77777777" w:rsidR="00096052" w:rsidRDefault="00096052" w:rsidP="00096052">
                  <w:pPr>
                    <w:autoSpaceDE w:val="0"/>
                    <w:autoSpaceDN w:val="0"/>
                    <w:adjustRightInd w:val="0"/>
                    <w:jc w:val="both"/>
                    <w:rPr>
                      <w:bCs/>
                      <w:i/>
                      <w:lang w:eastAsia="en-US"/>
                    </w:rPr>
                  </w:pPr>
                  <w:r>
                    <w:rPr>
                      <w:bCs/>
                      <w:i/>
                      <w:lang w:eastAsia="en-US"/>
                    </w:rPr>
                    <w:t>(h)</w:t>
                  </w:r>
                </w:p>
              </w:tc>
              <w:tc>
                <w:tcPr>
                  <w:tcW w:w="1530" w:type="dxa"/>
                  <w:tcBorders>
                    <w:top w:val="single" w:sz="4" w:space="0" w:color="auto"/>
                    <w:left w:val="single" w:sz="4" w:space="0" w:color="auto"/>
                    <w:bottom w:val="single" w:sz="4" w:space="0" w:color="auto"/>
                    <w:right w:val="single" w:sz="4" w:space="0" w:color="auto"/>
                  </w:tcBorders>
                  <w:hideMark/>
                </w:tcPr>
                <w:p w14:paraId="3C47DE59" w14:textId="77777777" w:rsidR="00096052" w:rsidRDefault="00096052" w:rsidP="00096052">
                  <w:pPr>
                    <w:autoSpaceDE w:val="0"/>
                    <w:autoSpaceDN w:val="0"/>
                    <w:adjustRightInd w:val="0"/>
                    <w:jc w:val="both"/>
                    <w:rPr>
                      <w:bCs/>
                      <w:lang w:eastAsia="en-US"/>
                    </w:rPr>
                  </w:pPr>
                  <w:r>
                    <w:rPr>
                      <w:bCs/>
                      <w:lang w:eastAsia="en-US"/>
                    </w:rPr>
                    <w:t xml:space="preserve">Izmaksu apjoms  </w:t>
                  </w:r>
                  <w:r>
                    <w:rPr>
                      <w:bCs/>
                      <w:i/>
                      <w:lang w:eastAsia="en-US"/>
                    </w:rPr>
                    <w:t>(Euro)</w:t>
                  </w:r>
                </w:p>
              </w:tc>
            </w:tr>
            <w:tr w:rsidR="00096052" w14:paraId="4A828ACB" w14:textId="77777777" w:rsidTr="00096052">
              <w:tc>
                <w:tcPr>
                  <w:tcW w:w="2425" w:type="dxa"/>
                  <w:tcBorders>
                    <w:top w:val="single" w:sz="4" w:space="0" w:color="auto"/>
                    <w:left w:val="single" w:sz="4" w:space="0" w:color="auto"/>
                    <w:bottom w:val="single" w:sz="4" w:space="0" w:color="auto"/>
                    <w:right w:val="single" w:sz="4" w:space="0" w:color="auto"/>
                  </w:tcBorders>
                  <w:hideMark/>
                </w:tcPr>
                <w:p w14:paraId="5DCD735A" w14:textId="77777777" w:rsidR="00096052" w:rsidRDefault="00096052" w:rsidP="00096052">
                  <w:pPr>
                    <w:autoSpaceDE w:val="0"/>
                    <w:autoSpaceDN w:val="0"/>
                    <w:adjustRightInd w:val="0"/>
                    <w:jc w:val="both"/>
                    <w:rPr>
                      <w:bCs/>
                      <w:lang w:eastAsia="en-US"/>
                    </w:rPr>
                  </w:pPr>
                  <w:r>
                    <w:rPr>
                      <w:lang w:eastAsia="en-US"/>
                    </w:rPr>
                    <w:t>Profesionālās pilnveides pārbaude – 1. daļa</w:t>
                  </w:r>
                </w:p>
              </w:tc>
              <w:tc>
                <w:tcPr>
                  <w:tcW w:w="1350" w:type="dxa"/>
                  <w:tcBorders>
                    <w:top w:val="single" w:sz="4" w:space="0" w:color="auto"/>
                    <w:left w:val="single" w:sz="4" w:space="0" w:color="auto"/>
                    <w:bottom w:val="single" w:sz="4" w:space="0" w:color="auto"/>
                    <w:right w:val="single" w:sz="4" w:space="0" w:color="auto"/>
                  </w:tcBorders>
                  <w:hideMark/>
                </w:tcPr>
                <w:p w14:paraId="2DCF2242" w14:textId="77777777" w:rsidR="00096052" w:rsidRDefault="00096052" w:rsidP="00096052">
                  <w:pPr>
                    <w:autoSpaceDE w:val="0"/>
                    <w:autoSpaceDN w:val="0"/>
                    <w:adjustRightInd w:val="0"/>
                    <w:jc w:val="both"/>
                    <w:rPr>
                      <w:bCs/>
                      <w:lang w:eastAsia="en-US"/>
                    </w:rPr>
                  </w:pPr>
                  <w:r>
                    <w:rPr>
                      <w:bCs/>
                      <w:lang w:eastAsia="en-US"/>
                    </w:rPr>
                    <w:t>1</w:t>
                  </w:r>
                </w:p>
              </w:tc>
              <w:tc>
                <w:tcPr>
                  <w:tcW w:w="1530" w:type="dxa"/>
                  <w:tcBorders>
                    <w:top w:val="single" w:sz="4" w:space="0" w:color="auto"/>
                    <w:left w:val="single" w:sz="4" w:space="0" w:color="auto"/>
                    <w:bottom w:val="single" w:sz="4" w:space="0" w:color="auto"/>
                    <w:right w:val="single" w:sz="4" w:space="0" w:color="auto"/>
                  </w:tcBorders>
                  <w:hideMark/>
                </w:tcPr>
                <w:p w14:paraId="7E61FA4A" w14:textId="77777777" w:rsidR="00096052" w:rsidRDefault="00096052" w:rsidP="00096052">
                  <w:pPr>
                    <w:autoSpaceDE w:val="0"/>
                    <w:autoSpaceDN w:val="0"/>
                    <w:adjustRightInd w:val="0"/>
                    <w:jc w:val="both"/>
                    <w:rPr>
                      <w:bCs/>
                      <w:lang w:eastAsia="en-US"/>
                    </w:rPr>
                  </w:pPr>
                  <w:r>
                    <w:rPr>
                      <w:bCs/>
                      <w:lang w:eastAsia="en-US"/>
                    </w:rPr>
                    <w:t>40,00</w:t>
                  </w:r>
                </w:p>
              </w:tc>
              <w:tc>
                <w:tcPr>
                  <w:tcW w:w="1350" w:type="dxa"/>
                  <w:tcBorders>
                    <w:top w:val="single" w:sz="4" w:space="0" w:color="auto"/>
                    <w:left w:val="single" w:sz="4" w:space="0" w:color="auto"/>
                    <w:bottom w:val="single" w:sz="4" w:space="0" w:color="auto"/>
                    <w:right w:val="single" w:sz="4" w:space="0" w:color="auto"/>
                  </w:tcBorders>
                  <w:hideMark/>
                </w:tcPr>
                <w:p w14:paraId="0FCBF18E" w14:textId="77777777" w:rsidR="00096052" w:rsidRDefault="00096052" w:rsidP="00096052">
                  <w:pPr>
                    <w:autoSpaceDE w:val="0"/>
                    <w:autoSpaceDN w:val="0"/>
                    <w:adjustRightInd w:val="0"/>
                    <w:jc w:val="both"/>
                    <w:rPr>
                      <w:bCs/>
                      <w:lang w:eastAsia="en-US"/>
                    </w:rPr>
                  </w:pPr>
                  <w:r>
                    <w:rPr>
                      <w:bCs/>
                      <w:lang w:eastAsia="en-US"/>
                    </w:rPr>
                    <w:t>6</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DFE940D" w14:textId="77777777" w:rsidR="00096052" w:rsidRDefault="00096052" w:rsidP="00096052">
                  <w:pPr>
                    <w:autoSpaceDE w:val="0"/>
                    <w:autoSpaceDN w:val="0"/>
                    <w:adjustRightInd w:val="0"/>
                    <w:jc w:val="both"/>
                    <w:rPr>
                      <w:b/>
                      <w:bCs/>
                      <w:u w:val="single"/>
                      <w:lang w:eastAsia="en-US"/>
                    </w:rPr>
                  </w:pPr>
                  <w:r>
                    <w:rPr>
                      <w:b/>
                      <w:bCs/>
                      <w:u w:val="single"/>
                      <w:lang w:eastAsia="en-US"/>
                    </w:rPr>
                    <w:t>240,00</w:t>
                  </w:r>
                </w:p>
              </w:tc>
            </w:tr>
          </w:tbl>
          <w:p w14:paraId="0D135FF2" w14:textId="77777777" w:rsidR="00096052" w:rsidRDefault="00096052" w:rsidP="00096052">
            <w:pPr>
              <w:shd w:val="clear" w:color="auto" w:fill="FFFFFF"/>
              <w:ind w:firstLine="394"/>
              <w:jc w:val="both"/>
              <w:rPr>
                <w:u w:val="single"/>
              </w:rPr>
            </w:pPr>
          </w:p>
          <w:p w14:paraId="3B54845B" w14:textId="77777777" w:rsidR="00096052" w:rsidRDefault="00096052" w:rsidP="00096052">
            <w:pPr>
              <w:shd w:val="clear" w:color="auto" w:fill="FFFFFF"/>
              <w:ind w:firstLine="394"/>
              <w:jc w:val="both"/>
            </w:pPr>
            <w:r w:rsidRPr="00DA7DB2">
              <w:t>Profesionālās pilnveides eksāmena otro daļu piemēro gadījumā, ja sertificēšanas institūcijas noteiktajā apjomā nav apgūti neformālās sadaļas</w:t>
            </w:r>
            <w:r>
              <w:t xml:space="preserve"> </w:t>
            </w:r>
            <w:r w:rsidRPr="00DA7DB2">
              <w:t>tālākizglītības pasākumi. Izcenojumā tiek ievērtētas tikai tiešās izmaksas, jo netiešo izmaksu komponente kopējās izmaksās ir nenozīmīgi niecīga, kā arī gadījumu skaits nav prognozējams. Līdz šim ne reizi konkrētais eksāmena veids nav piemērots. Netiešās izmaksas iekļautas sertifikāta uzturēšanas maksā.</w:t>
            </w:r>
          </w:p>
          <w:p w14:paraId="34666ECD" w14:textId="77777777" w:rsidR="00096052" w:rsidRPr="00DA7DB2" w:rsidRDefault="00096052" w:rsidP="00096052">
            <w:pPr>
              <w:shd w:val="clear" w:color="auto" w:fill="FFFFFF"/>
              <w:ind w:firstLine="394"/>
              <w:jc w:val="both"/>
            </w:pPr>
          </w:p>
          <w:p w14:paraId="58B57CD9" w14:textId="77777777" w:rsidR="00096052" w:rsidRPr="00B74E1D" w:rsidRDefault="00096052" w:rsidP="00096052">
            <w:pPr>
              <w:jc w:val="right"/>
              <w:rPr>
                <w:b/>
                <w:i/>
              </w:rPr>
            </w:pPr>
            <w:r>
              <w:rPr>
                <w:i/>
              </w:rPr>
              <w:t>10</w:t>
            </w:r>
            <w:r w:rsidRPr="00B74E1D">
              <w:rPr>
                <w:b/>
                <w:i/>
              </w:rPr>
              <w:t>.</w:t>
            </w:r>
            <w:r w:rsidRPr="00B74E1D">
              <w:rPr>
                <w:i/>
                <w:lang w:eastAsia="x-none"/>
              </w:rPr>
              <w:t>tabula</w:t>
            </w:r>
          </w:p>
          <w:p w14:paraId="45836A85" w14:textId="77777777" w:rsidR="00096052" w:rsidRPr="00DA7DB2" w:rsidRDefault="00096052" w:rsidP="00096052">
            <w:pPr>
              <w:shd w:val="clear" w:color="auto" w:fill="FFFFFF"/>
              <w:ind w:firstLine="394"/>
              <w:jc w:val="both"/>
            </w:pPr>
            <w:r>
              <w:rPr>
                <w:b/>
              </w:rPr>
              <w:t xml:space="preserve">Profesionālās pilnveides pārbaudes 2. daļas </w:t>
            </w:r>
            <w:r w:rsidRPr="00B74E1D">
              <w:rPr>
                <w:b/>
              </w:rPr>
              <w:t>tiešo izmaksu aprēķins</w:t>
            </w:r>
          </w:p>
          <w:tbl>
            <w:tblPr>
              <w:tblStyle w:val="TableGrid"/>
              <w:tblW w:w="0" w:type="auto"/>
              <w:tblLook w:val="04A0" w:firstRow="1" w:lastRow="0" w:firstColumn="1" w:lastColumn="0" w:noHBand="0" w:noVBand="1"/>
            </w:tblPr>
            <w:tblGrid>
              <w:gridCol w:w="2246"/>
              <w:gridCol w:w="1243"/>
              <w:gridCol w:w="1438"/>
              <w:gridCol w:w="1350"/>
              <w:gridCol w:w="1433"/>
            </w:tblGrid>
            <w:tr w:rsidR="00096052" w14:paraId="414BF1B6" w14:textId="77777777" w:rsidTr="00096052">
              <w:tc>
                <w:tcPr>
                  <w:tcW w:w="2425" w:type="dxa"/>
                  <w:tcBorders>
                    <w:top w:val="single" w:sz="4" w:space="0" w:color="auto"/>
                    <w:left w:val="single" w:sz="4" w:space="0" w:color="auto"/>
                    <w:bottom w:val="single" w:sz="4" w:space="0" w:color="auto"/>
                    <w:right w:val="single" w:sz="4" w:space="0" w:color="auto"/>
                  </w:tcBorders>
                  <w:hideMark/>
                </w:tcPr>
                <w:p w14:paraId="5D9A5A6A" w14:textId="77777777" w:rsidR="00096052" w:rsidRDefault="00096052" w:rsidP="00096052">
                  <w:pPr>
                    <w:autoSpaceDE w:val="0"/>
                    <w:autoSpaceDN w:val="0"/>
                    <w:adjustRightInd w:val="0"/>
                    <w:jc w:val="both"/>
                    <w:rPr>
                      <w:bCs/>
                      <w:lang w:eastAsia="en-US"/>
                    </w:rPr>
                  </w:pPr>
                  <w:r>
                    <w:rPr>
                      <w:bCs/>
                      <w:lang w:eastAsia="en-US"/>
                    </w:rPr>
                    <w:t xml:space="preserve">Rādītājs </w:t>
                  </w:r>
                  <w:r>
                    <w:rPr>
                      <w:bCs/>
                      <w:i/>
                      <w:lang w:eastAsia="en-US"/>
                    </w:rPr>
                    <w:t>(izmaksu veids)</w:t>
                  </w:r>
                </w:p>
              </w:tc>
              <w:tc>
                <w:tcPr>
                  <w:tcW w:w="1350" w:type="dxa"/>
                  <w:tcBorders>
                    <w:top w:val="single" w:sz="4" w:space="0" w:color="auto"/>
                    <w:left w:val="single" w:sz="4" w:space="0" w:color="auto"/>
                    <w:bottom w:val="single" w:sz="4" w:space="0" w:color="auto"/>
                    <w:right w:val="single" w:sz="4" w:space="0" w:color="auto"/>
                  </w:tcBorders>
                </w:tcPr>
                <w:p w14:paraId="058B7625" w14:textId="77777777" w:rsidR="00096052" w:rsidRDefault="00096052" w:rsidP="00096052">
                  <w:pPr>
                    <w:autoSpaceDE w:val="0"/>
                    <w:autoSpaceDN w:val="0"/>
                    <w:adjustRightInd w:val="0"/>
                    <w:jc w:val="both"/>
                    <w:rPr>
                      <w:bCs/>
                      <w:lang w:eastAsia="en-US"/>
                    </w:rPr>
                  </w:pPr>
                  <w:r>
                    <w:rPr>
                      <w:bCs/>
                      <w:lang w:eastAsia="en-US"/>
                    </w:rPr>
                    <w:t xml:space="preserve">Skaits </w:t>
                  </w:r>
                </w:p>
                <w:p w14:paraId="5240108E" w14:textId="77777777" w:rsidR="00096052" w:rsidRDefault="00096052" w:rsidP="00096052">
                  <w:pPr>
                    <w:autoSpaceDE w:val="0"/>
                    <w:autoSpaceDN w:val="0"/>
                    <w:adjustRightInd w:val="0"/>
                    <w:jc w:val="both"/>
                    <w:rPr>
                      <w:bCs/>
                      <w:i/>
                      <w:lang w:eastAsia="en-US"/>
                    </w:rPr>
                  </w:pPr>
                </w:p>
                <w:p w14:paraId="7EC7EA61" w14:textId="77777777" w:rsidR="00096052" w:rsidRDefault="00096052" w:rsidP="00096052">
                  <w:pPr>
                    <w:autoSpaceDE w:val="0"/>
                    <w:autoSpaceDN w:val="0"/>
                    <w:adjustRightInd w:val="0"/>
                    <w:jc w:val="both"/>
                    <w:rPr>
                      <w:bCs/>
                      <w:lang w:eastAsia="en-US"/>
                    </w:rPr>
                  </w:pPr>
                </w:p>
              </w:tc>
              <w:tc>
                <w:tcPr>
                  <w:tcW w:w="1530" w:type="dxa"/>
                  <w:tcBorders>
                    <w:top w:val="single" w:sz="4" w:space="0" w:color="auto"/>
                    <w:left w:val="single" w:sz="4" w:space="0" w:color="auto"/>
                    <w:bottom w:val="single" w:sz="4" w:space="0" w:color="auto"/>
                    <w:right w:val="single" w:sz="4" w:space="0" w:color="auto"/>
                  </w:tcBorders>
                  <w:hideMark/>
                </w:tcPr>
                <w:p w14:paraId="5677806D" w14:textId="77777777" w:rsidR="00096052" w:rsidRDefault="00096052" w:rsidP="00096052">
                  <w:pPr>
                    <w:autoSpaceDE w:val="0"/>
                    <w:autoSpaceDN w:val="0"/>
                    <w:adjustRightInd w:val="0"/>
                    <w:jc w:val="both"/>
                    <w:rPr>
                      <w:bCs/>
                      <w:lang w:eastAsia="en-US"/>
                    </w:rPr>
                  </w:pPr>
                  <w:r>
                    <w:rPr>
                      <w:bCs/>
                      <w:lang w:eastAsia="en-US"/>
                    </w:rPr>
                    <w:t xml:space="preserve">Eksperta stundas likme </w:t>
                  </w:r>
                  <w:r>
                    <w:rPr>
                      <w:bCs/>
                      <w:i/>
                      <w:lang w:eastAsia="en-US"/>
                    </w:rPr>
                    <w:t>(Euro/h)</w:t>
                  </w:r>
                </w:p>
              </w:tc>
              <w:tc>
                <w:tcPr>
                  <w:tcW w:w="1350" w:type="dxa"/>
                  <w:tcBorders>
                    <w:top w:val="single" w:sz="4" w:space="0" w:color="auto"/>
                    <w:left w:val="single" w:sz="4" w:space="0" w:color="auto"/>
                    <w:bottom w:val="single" w:sz="4" w:space="0" w:color="auto"/>
                    <w:right w:val="single" w:sz="4" w:space="0" w:color="auto"/>
                  </w:tcBorders>
                  <w:hideMark/>
                </w:tcPr>
                <w:p w14:paraId="4186B2BC" w14:textId="77777777" w:rsidR="00096052" w:rsidRDefault="00096052" w:rsidP="00096052">
                  <w:pPr>
                    <w:autoSpaceDE w:val="0"/>
                    <w:autoSpaceDN w:val="0"/>
                    <w:adjustRightInd w:val="0"/>
                    <w:jc w:val="both"/>
                    <w:rPr>
                      <w:bCs/>
                      <w:lang w:eastAsia="en-US"/>
                    </w:rPr>
                  </w:pPr>
                  <w:r>
                    <w:rPr>
                      <w:bCs/>
                      <w:lang w:eastAsia="en-US"/>
                    </w:rPr>
                    <w:t>Laika ieguldījums</w:t>
                  </w:r>
                </w:p>
                <w:p w14:paraId="6783A7AB" w14:textId="77777777" w:rsidR="00096052" w:rsidRDefault="00096052" w:rsidP="00096052">
                  <w:pPr>
                    <w:autoSpaceDE w:val="0"/>
                    <w:autoSpaceDN w:val="0"/>
                    <w:adjustRightInd w:val="0"/>
                    <w:jc w:val="both"/>
                    <w:rPr>
                      <w:bCs/>
                      <w:i/>
                      <w:lang w:eastAsia="en-US"/>
                    </w:rPr>
                  </w:pPr>
                  <w:r>
                    <w:rPr>
                      <w:bCs/>
                      <w:i/>
                      <w:lang w:eastAsia="en-US"/>
                    </w:rPr>
                    <w:t>(h)</w:t>
                  </w:r>
                </w:p>
              </w:tc>
              <w:tc>
                <w:tcPr>
                  <w:tcW w:w="1530" w:type="dxa"/>
                  <w:tcBorders>
                    <w:top w:val="single" w:sz="4" w:space="0" w:color="auto"/>
                    <w:left w:val="single" w:sz="4" w:space="0" w:color="auto"/>
                    <w:bottom w:val="single" w:sz="4" w:space="0" w:color="auto"/>
                    <w:right w:val="single" w:sz="4" w:space="0" w:color="auto"/>
                  </w:tcBorders>
                  <w:hideMark/>
                </w:tcPr>
                <w:p w14:paraId="40C42F00" w14:textId="77777777" w:rsidR="00096052" w:rsidRDefault="00096052" w:rsidP="00096052">
                  <w:pPr>
                    <w:autoSpaceDE w:val="0"/>
                    <w:autoSpaceDN w:val="0"/>
                    <w:adjustRightInd w:val="0"/>
                    <w:jc w:val="both"/>
                    <w:rPr>
                      <w:bCs/>
                      <w:lang w:eastAsia="en-US"/>
                    </w:rPr>
                  </w:pPr>
                  <w:r>
                    <w:rPr>
                      <w:bCs/>
                      <w:lang w:eastAsia="en-US"/>
                    </w:rPr>
                    <w:t xml:space="preserve">Izmaksu apjoms  </w:t>
                  </w:r>
                  <w:r>
                    <w:rPr>
                      <w:bCs/>
                      <w:i/>
                      <w:lang w:eastAsia="en-US"/>
                    </w:rPr>
                    <w:t>(Euro)</w:t>
                  </w:r>
                </w:p>
              </w:tc>
            </w:tr>
            <w:tr w:rsidR="00096052" w14:paraId="5CA3A348" w14:textId="77777777" w:rsidTr="00096052">
              <w:tc>
                <w:tcPr>
                  <w:tcW w:w="2425" w:type="dxa"/>
                  <w:tcBorders>
                    <w:top w:val="single" w:sz="4" w:space="0" w:color="auto"/>
                    <w:left w:val="single" w:sz="4" w:space="0" w:color="auto"/>
                    <w:bottom w:val="single" w:sz="4" w:space="0" w:color="auto"/>
                    <w:right w:val="single" w:sz="4" w:space="0" w:color="auto"/>
                  </w:tcBorders>
                  <w:hideMark/>
                </w:tcPr>
                <w:p w14:paraId="19849D60" w14:textId="77777777" w:rsidR="00096052" w:rsidRDefault="00096052" w:rsidP="00096052">
                  <w:pPr>
                    <w:autoSpaceDE w:val="0"/>
                    <w:autoSpaceDN w:val="0"/>
                    <w:adjustRightInd w:val="0"/>
                    <w:jc w:val="both"/>
                    <w:rPr>
                      <w:bCs/>
                      <w:lang w:eastAsia="en-US"/>
                    </w:rPr>
                  </w:pPr>
                  <w:r>
                    <w:rPr>
                      <w:lang w:eastAsia="en-US"/>
                    </w:rPr>
                    <w:t>Profesionālās pilnveides pārbaude – 2. daļa</w:t>
                  </w:r>
                </w:p>
              </w:tc>
              <w:tc>
                <w:tcPr>
                  <w:tcW w:w="1350" w:type="dxa"/>
                  <w:tcBorders>
                    <w:top w:val="single" w:sz="4" w:space="0" w:color="auto"/>
                    <w:left w:val="single" w:sz="4" w:space="0" w:color="auto"/>
                    <w:bottom w:val="single" w:sz="4" w:space="0" w:color="auto"/>
                    <w:right w:val="single" w:sz="4" w:space="0" w:color="auto"/>
                  </w:tcBorders>
                  <w:hideMark/>
                </w:tcPr>
                <w:p w14:paraId="0F961F94" w14:textId="77777777" w:rsidR="00096052" w:rsidRDefault="00096052" w:rsidP="00096052">
                  <w:pPr>
                    <w:autoSpaceDE w:val="0"/>
                    <w:autoSpaceDN w:val="0"/>
                    <w:adjustRightInd w:val="0"/>
                    <w:jc w:val="both"/>
                    <w:rPr>
                      <w:bCs/>
                      <w:lang w:eastAsia="en-US"/>
                    </w:rPr>
                  </w:pPr>
                  <w:r>
                    <w:rPr>
                      <w:bCs/>
                      <w:lang w:eastAsia="en-US"/>
                    </w:rPr>
                    <w:t>1</w:t>
                  </w:r>
                </w:p>
              </w:tc>
              <w:tc>
                <w:tcPr>
                  <w:tcW w:w="1530" w:type="dxa"/>
                  <w:tcBorders>
                    <w:top w:val="single" w:sz="4" w:space="0" w:color="auto"/>
                    <w:left w:val="single" w:sz="4" w:space="0" w:color="auto"/>
                    <w:bottom w:val="single" w:sz="4" w:space="0" w:color="auto"/>
                    <w:right w:val="single" w:sz="4" w:space="0" w:color="auto"/>
                  </w:tcBorders>
                  <w:hideMark/>
                </w:tcPr>
                <w:p w14:paraId="0D4630FC" w14:textId="77777777" w:rsidR="00096052" w:rsidRDefault="00096052" w:rsidP="00096052">
                  <w:pPr>
                    <w:autoSpaceDE w:val="0"/>
                    <w:autoSpaceDN w:val="0"/>
                    <w:adjustRightInd w:val="0"/>
                    <w:jc w:val="both"/>
                    <w:rPr>
                      <w:bCs/>
                      <w:lang w:eastAsia="en-US"/>
                    </w:rPr>
                  </w:pPr>
                  <w:r>
                    <w:rPr>
                      <w:bCs/>
                      <w:lang w:eastAsia="en-US"/>
                    </w:rPr>
                    <w:t>40,00</w:t>
                  </w:r>
                </w:p>
              </w:tc>
              <w:tc>
                <w:tcPr>
                  <w:tcW w:w="1350" w:type="dxa"/>
                  <w:tcBorders>
                    <w:top w:val="single" w:sz="4" w:space="0" w:color="auto"/>
                    <w:left w:val="single" w:sz="4" w:space="0" w:color="auto"/>
                    <w:bottom w:val="single" w:sz="4" w:space="0" w:color="auto"/>
                    <w:right w:val="single" w:sz="4" w:space="0" w:color="auto"/>
                  </w:tcBorders>
                  <w:hideMark/>
                </w:tcPr>
                <w:p w14:paraId="58D1DA35" w14:textId="77777777" w:rsidR="00096052" w:rsidRDefault="00096052" w:rsidP="00096052">
                  <w:pPr>
                    <w:autoSpaceDE w:val="0"/>
                    <w:autoSpaceDN w:val="0"/>
                    <w:adjustRightInd w:val="0"/>
                    <w:jc w:val="both"/>
                    <w:rPr>
                      <w:bCs/>
                      <w:lang w:eastAsia="en-US"/>
                    </w:rPr>
                  </w:pPr>
                  <w:r>
                    <w:rPr>
                      <w:bCs/>
                      <w:lang w:eastAsia="en-US"/>
                    </w:rPr>
                    <w:t>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5AD18F8" w14:textId="77777777" w:rsidR="00096052" w:rsidRDefault="00096052" w:rsidP="00096052">
                  <w:pPr>
                    <w:autoSpaceDE w:val="0"/>
                    <w:autoSpaceDN w:val="0"/>
                    <w:adjustRightInd w:val="0"/>
                    <w:jc w:val="both"/>
                    <w:rPr>
                      <w:b/>
                      <w:bCs/>
                      <w:u w:val="single"/>
                      <w:lang w:eastAsia="en-US"/>
                    </w:rPr>
                  </w:pPr>
                  <w:r>
                    <w:rPr>
                      <w:b/>
                      <w:bCs/>
                      <w:u w:val="single"/>
                      <w:lang w:eastAsia="en-US"/>
                    </w:rPr>
                    <w:t>120,00</w:t>
                  </w:r>
                </w:p>
              </w:tc>
            </w:tr>
          </w:tbl>
          <w:p w14:paraId="0CBBDC0C" w14:textId="77777777" w:rsidR="00096052" w:rsidRDefault="00096052" w:rsidP="00096052">
            <w:pPr>
              <w:shd w:val="clear" w:color="auto" w:fill="FFFFFF"/>
              <w:ind w:firstLine="394"/>
              <w:jc w:val="both"/>
              <w:rPr>
                <w:u w:val="single"/>
              </w:rPr>
            </w:pPr>
          </w:p>
          <w:p w14:paraId="1DF57880" w14:textId="77777777" w:rsidR="00096052" w:rsidRDefault="00096052" w:rsidP="00096052">
            <w:pPr>
              <w:shd w:val="clear" w:color="auto" w:fill="FFFFFF"/>
              <w:ind w:firstLine="394"/>
              <w:jc w:val="both"/>
            </w:pPr>
            <w:r w:rsidRPr="00B74E1D">
              <w:t xml:space="preserve">No aprēķina izriet, ka lai nosegtu </w:t>
            </w:r>
            <w:r>
              <w:rPr>
                <w:bCs/>
                <w:i/>
              </w:rPr>
              <w:t>profesionālās pilnveides pārbaudes eksāmena</w:t>
            </w:r>
            <w:r w:rsidRPr="00B74E1D">
              <w:t xml:space="preserve"> izmaksas </w:t>
            </w:r>
            <w:r>
              <w:t xml:space="preserve">tā cenai ir jābūt 240 </w:t>
            </w:r>
            <w:r w:rsidRPr="00941AA5">
              <w:rPr>
                <w:i/>
              </w:rPr>
              <w:t>euro</w:t>
            </w:r>
            <w:r>
              <w:t xml:space="preserve"> par 1. daļu un 120 </w:t>
            </w:r>
            <w:r w:rsidRPr="00D9526F">
              <w:rPr>
                <w:i/>
              </w:rPr>
              <w:t>euro</w:t>
            </w:r>
            <w:r>
              <w:t xml:space="preserve"> par 2.daļu no vienas personas par vienu eksāmenu</w:t>
            </w:r>
            <w:r w:rsidRPr="00B74E1D">
              <w:t>.</w:t>
            </w:r>
          </w:p>
          <w:p w14:paraId="6D1C8C8E" w14:textId="77777777" w:rsidR="00096052" w:rsidRDefault="00096052" w:rsidP="00096052">
            <w:pPr>
              <w:shd w:val="clear" w:color="auto" w:fill="FFFFFF"/>
              <w:ind w:firstLine="394"/>
              <w:jc w:val="both"/>
              <w:rPr>
                <w:u w:val="single"/>
              </w:rPr>
            </w:pPr>
          </w:p>
          <w:p w14:paraId="7B491D6B" w14:textId="77777777" w:rsidR="00096052" w:rsidRPr="00AA2BE2" w:rsidRDefault="00096052" w:rsidP="00096052">
            <w:pPr>
              <w:shd w:val="clear" w:color="auto" w:fill="FFFFFF"/>
              <w:jc w:val="both"/>
              <w:rPr>
                <w:b/>
                <w:u w:val="single"/>
              </w:rPr>
            </w:pPr>
            <w:r>
              <w:rPr>
                <w:b/>
                <w:u w:val="single"/>
              </w:rPr>
              <w:t>5</w:t>
            </w:r>
            <w:r w:rsidRPr="00AA2BE2">
              <w:rPr>
                <w:b/>
                <w:u w:val="single"/>
              </w:rPr>
              <w:t xml:space="preserve">. Informatīvās piezīmes piešķiršana ārpus prakses pārbaudes reizi </w:t>
            </w:r>
            <w:r>
              <w:rPr>
                <w:b/>
                <w:u w:val="single"/>
              </w:rPr>
              <w:t xml:space="preserve">piecos </w:t>
            </w:r>
            <w:r w:rsidRPr="00AA2BE2">
              <w:rPr>
                <w:b/>
                <w:u w:val="single"/>
              </w:rPr>
              <w:t>gados</w:t>
            </w:r>
          </w:p>
          <w:p w14:paraId="3EFA7933" w14:textId="77777777" w:rsidR="00096052" w:rsidRDefault="00096052" w:rsidP="00096052">
            <w:pPr>
              <w:shd w:val="clear" w:color="auto" w:fill="FFFFFF"/>
              <w:ind w:firstLine="394"/>
              <w:jc w:val="both"/>
              <w:rPr>
                <w:u w:val="single"/>
              </w:rPr>
            </w:pPr>
          </w:p>
          <w:p w14:paraId="2A085F96" w14:textId="77777777" w:rsidR="00096052" w:rsidRDefault="00096052" w:rsidP="00096052">
            <w:pPr>
              <w:ind w:firstLine="477"/>
              <w:jc w:val="both"/>
            </w:pPr>
            <w:r>
              <w:t xml:space="preserve">Sertificēšanas nolikumā paredzēta informatīvo piezīmju piešķiršana saskaņā ar </w:t>
            </w:r>
            <w:r w:rsidRPr="00D11331">
              <w:rPr>
                <w:i/>
              </w:rPr>
              <w:t>Noteikumu Nr.169</w:t>
            </w:r>
            <w:r>
              <w:t xml:space="preserve">. 6. punktu. Informatīvās piezīmes piešķiršanas sniedz iespēju arhitektam uzturēt sertifikātu ar atvieglotām prasībām un maksāt samazinātu uzraudzības maksu. </w:t>
            </w:r>
          </w:p>
          <w:p w14:paraId="1E47D0F7" w14:textId="77777777" w:rsidR="00096052" w:rsidRDefault="00096052" w:rsidP="00096052">
            <w:pPr>
              <w:ind w:firstLine="477"/>
              <w:jc w:val="both"/>
            </w:pPr>
            <w:r>
              <w:t>Veicot sertificēta arhitekta prakses pārbaudi reizi piecos gados, iespējams noteikt viņa atbilstību informatīvās piezīmes piešķiršanas kritērijiem, līdz ar to papildus izmaksas nerodas, savukārt, ja persona vēlas, lai informatīvā piezīme tiktu piešķirta, negaidot kārtējo prakses pārbaudi, nepieciešams veikt darbības, lai noteiktu personas atbilstību izvirzītajiem kritērijiem. Izvērtēšanu veic eksperts, pamatojoties uz būvspeciālistu reģistrā pieejamo informāciju. Izcenojumā tiek ievērtētas tikai tiešās izmaksas, jo netiešo izmaksu komponente kopējās izmaksās ir nenozīmīgi niecīga. Netiešās izmaksas iekļautas sertifikāta uzturēšanas maksā.</w:t>
            </w:r>
          </w:p>
          <w:p w14:paraId="4428548B" w14:textId="77777777" w:rsidR="00096052" w:rsidRPr="00064DE9" w:rsidRDefault="00096052" w:rsidP="00096052">
            <w:pPr>
              <w:shd w:val="clear" w:color="auto" w:fill="FFFFFF"/>
              <w:ind w:firstLine="394"/>
              <w:jc w:val="both"/>
              <w:rPr>
                <w:sz w:val="14"/>
              </w:rPr>
            </w:pPr>
          </w:p>
          <w:p w14:paraId="5A4036E8" w14:textId="77777777" w:rsidR="00096052" w:rsidRPr="00B74E1D" w:rsidRDefault="00096052" w:rsidP="00096052">
            <w:pPr>
              <w:jc w:val="right"/>
              <w:rPr>
                <w:b/>
                <w:i/>
              </w:rPr>
            </w:pPr>
            <w:r>
              <w:rPr>
                <w:i/>
              </w:rPr>
              <w:t>11</w:t>
            </w:r>
            <w:r w:rsidRPr="00B74E1D">
              <w:rPr>
                <w:b/>
                <w:i/>
              </w:rPr>
              <w:t>.</w:t>
            </w:r>
            <w:r w:rsidRPr="00B74E1D">
              <w:rPr>
                <w:i/>
                <w:lang w:eastAsia="x-none"/>
              </w:rPr>
              <w:t>tabula</w:t>
            </w:r>
          </w:p>
          <w:p w14:paraId="6C873706" w14:textId="77777777" w:rsidR="00096052" w:rsidRDefault="00096052" w:rsidP="00096052">
            <w:pPr>
              <w:pStyle w:val="ListParagraph"/>
              <w:jc w:val="center"/>
            </w:pPr>
            <w:r w:rsidRPr="00D11331">
              <w:rPr>
                <w:b/>
              </w:rPr>
              <w:t>Atbilstības novērtēšana</w:t>
            </w:r>
            <w:r>
              <w:rPr>
                <w:b/>
              </w:rPr>
              <w:t>s</w:t>
            </w:r>
            <w:r w:rsidRPr="00D11331">
              <w:rPr>
                <w:b/>
              </w:rPr>
              <w:t xml:space="preserve"> informatīvajai piezīmei noteiktajiem kritērijiem </w:t>
            </w:r>
            <w:r w:rsidRPr="00B74E1D">
              <w:rPr>
                <w:b/>
              </w:rPr>
              <w:t>tiešo izmaksu aprēķins</w:t>
            </w:r>
          </w:p>
          <w:tbl>
            <w:tblPr>
              <w:tblStyle w:val="TableGrid"/>
              <w:tblW w:w="0" w:type="auto"/>
              <w:tblLook w:val="04A0" w:firstRow="1" w:lastRow="0" w:firstColumn="1" w:lastColumn="0" w:noHBand="0" w:noVBand="1"/>
            </w:tblPr>
            <w:tblGrid>
              <w:gridCol w:w="2599"/>
              <w:gridCol w:w="851"/>
              <w:gridCol w:w="1480"/>
              <w:gridCol w:w="1350"/>
              <w:gridCol w:w="1430"/>
            </w:tblGrid>
            <w:tr w:rsidR="00096052" w14:paraId="1B30E113" w14:textId="77777777" w:rsidTr="00096052">
              <w:tc>
                <w:tcPr>
                  <w:tcW w:w="2599" w:type="dxa"/>
                  <w:tcBorders>
                    <w:top w:val="single" w:sz="4" w:space="0" w:color="auto"/>
                    <w:left w:val="single" w:sz="4" w:space="0" w:color="auto"/>
                    <w:bottom w:val="single" w:sz="4" w:space="0" w:color="auto"/>
                    <w:right w:val="single" w:sz="4" w:space="0" w:color="auto"/>
                  </w:tcBorders>
                  <w:hideMark/>
                </w:tcPr>
                <w:p w14:paraId="1A56CBBB" w14:textId="77777777" w:rsidR="00096052" w:rsidRDefault="00096052" w:rsidP="00096052">
                  <w:pPr>
                    <w:autoSpaceDE w:val="0"/>
                    <w:autoSpaceDN w:val="0"/>
                    <w:adjustRightInd w:val="0"/>
                    <w:jc w:val="both"/>
                    <w:rPr>
                      <w:bCs/>
                      <w:lang w:eastAsia="en-US"/>
                    </w:rPr>
                  </w:pPr>
                  <w:r>
                    <w:rPr>
                      <w:bCs/>
                      <w:lang w:eastAsia="en-US"/>
                    </w:rPr>
                    <w:t xml:space="preserve">Rādītājs </w:t>
                  </w:r>
                  <w:r>
                    <w:rPr>
                      <w:bCs/>
                      <w:i/>
                      <w:lang w:eastAsia="en-US"/>
                    </w:rPr>
                    <w:t>(izmaksu veids)</w:t>
                  </w:r>
                </w:p>
              </w:tc>
              <w:tc>
                <w:tcPr>
                  <w:tcW w:w="851" w:type="dxa"/>
                  <w:tcBorders>
                    <w:top w:val="single" w:sz="4" w:space="0" w:color="auto"/>
                    <w:left w:val="single" w:sz="4" w:space="0" w:color="auto"/>
                    <w:bottom w:val="single" w:sz="4" w:space="0" w:color="auto"/>
                    <w:right w:val="single" w:sz="4" w:space="0" w:color="auto"/>
                  </w:tcBorders>
                </w:tcPr>
                <w:p w14:paraId="0ED283CD" w14:textId="77777777" w:rsidR="00096052" w:rsidRDefault="00096052" w:rsidP="00096052">
                  <w:pPr>
                    <w:autoSpaceDE w:val="0"/>
                    <w:autoSpaceDN w:val="0"/>
                    <w:adjustRightInd w:val="0"/>
                    <w:jc w:val="both"/>
                    <w:rPr>
                      <w:bCs/>
                      <w:lang w:eastAsia="en-US"/>
                    </w:rPr>
                  </w:pPr>
                  <w:r>
                    <w:rPr>
                      <w:bCs/>
                      <w:lang w:eastAsia="en-US"/>
                    </w:rPr>
                    <w:t xml:space="preserve">Skaits </w:t>
                  </w:r>
                </w:p>
                <w:p w14:paraId="3D171229" w14:textId="77777777" w:rsidR="00096052" w:rsidRDefault="00096052" w:rsidP="00096052">
                  <w:pPr>
                    <w:autoSpaceDE w:val="0"/>
                    <w:autoSpaceDN w:val="0"/>
                    <w:adjustRightInd w:val="0"/>
                    <w:jc w:val="both"/>
                    <w:rPr>
                      <w:bCs/>
                      <w:i/>
                      <w:lang w:eastAsia="en-US"/>
                    </w:rPr>
                  </w:pPr>
                </w:p>
                <w:p w14:paraId="39207BB2" w14:textId="77777777" w:rsidR="00096052" w:rsidRDefault="00096052" w:rsidP="00096052">
                  <w:pPr>
                    <w:autoSpaceDE w:val="0"/>
                    <w:autoSpaceDN w:val="0"/>
                    <w:adjustRightInd w:val="0"/>
                    <w:jc w:val="both"/>
                    <w:rPr>
                      <w:bCs/>
                      <w:lang w:eastAsia="en-US"/>
                    </w:rPr>
                  </w:pPr>
                </w:p>
              </w:tc>
              <w:tc>
                <w:tcPr>
                  <w:tcW w:w="1480" w:type="dxa"/>
                  <w:tcBorders>
                    <w:top w:val="single" w:sz="4" w:space="0" w:color="auto"/>
                    <w:left w:val="single" w:sz="4" w:space="0" w:color="auto"/>
                    <w:bottom w:val="single" w:sz="4" w:space="0" w:color="auto"/>
                    <w:right w:val="single" w:sz="4" w:space="0" w:color="auto"/>
                  </w:tcBorders>
                  <w:hideMark/>
                </w:tcPr>
                <w:p w14:paraId="2E363C79" w14:textId="77777777" w:rsidR="00096052" w:rsidRDefault="00096052" w:rsidP="00096052">
                  <w:pPr>
                    <w:autoSpaceDE w:val="0"/>
                    <w:autoSpaceDN w:val="0"/>
                    <w:adjustRightInd w:val="0"/>
                    <w:jc w:val="both"/>
                    <w:rPr>
                      <w:bCs/>
                      <w:lang w:eastAsia="en-US"/>
                    </w:rPr>
                  </w:pPr>
                  <w:r>
                    <w:rPr>
                      <w:bCs/>
                      <w:lang w:eastAsia="en-US"/>
                    </w:rPr>
                    <w:t xml:space="preserve">Eksperta stundas likme </w:t>
                  </w:r>
                  <w:r>
                    <w:rPr>
                      <w:bCs/>
                      <w:i/>
                      <w:lang w:eastAsia="en-US"/>
                    </w:rPr>
                    <w:t>(Euro/h)</w:t>
                  </w:r>
                </w:p>
              </w:tc>
              <w:tc>
                <w:tcPr>
                  <w:tcW w:w="1350" w:type="dxa"/>
                  <w:tcBorders>
                    <w:top w:val="single" w:sz="4" w:space="0" w:color="auto"/>
                    <w:left w:val="single" w:sz="4" w:space="0" w:color="auto"/>
                    <w:bottom w:val="single" w:sz="4" w:space="0" w:color="auto"/>
                    <w:right w:val="single" w:sz="4" w:space="0" w:color="auto"/>
                  </w:tcBorders>
                  <w:hideMark/>
                </w:tcPr>
                <w:p w14:paraId="71BABB81" w14:textId="77777777" w:rsidR="00096052" w:rsidRDefault="00096052" w:rsidP="00096052">
                  <w:pPr>
                    <w:autoSpaceDE w:val="0"/>
                    <w:autoSpaceDN w:val="0"/>
                    <w:adjustRightInd w:val="0"/>
                    <w:jc w:val="both"/>
                    <w:rPr>
                      <w:bCs/>
                      <w:lang w:eastAsia="en-US"/>
                    </w:rPr>
                  </w:pPr>
                  <w:r>
                    <w:rPr>
                      <w:bCs/>
                      <w:lang w:eastAsia="en-US"/>
                    </w:rPr>
                    <w:t>Laika ieguldījums</w:t>
                  </w:r>
                </w:p>
                <w:p w14:paraId="23B843FE" w14:textId="77777777" w:rsidR="00096052" w:rsidRDefault="00096052" w:rsidP="00096052">
                  <w:pPr>
                    <w:autoSpaceDE w:val="0"/>
                    <w:autoSpaceDN w:val="0"/>
                    <w:adjustRightInd w:val="0"/>
                    <w:jc w:val="both"/>
                    <w:rPr>
                      <w:bCs/>
                      <w:i/>
                      <w:lang w:eastAsia="en-US"/>
                    </w:rPr>
                  </w:pPr>
                  <w:r>
                    <w:rPr>
                      <w:bCs/>
                      <w:i/>
                      <w:lang w:eastAsia="en-US"/>
                    </w:rPr>
                    <w:t>(h)</w:t>
                  </w:r>
                </w:p>
              </w:tc>
              <w:tc>
                <w:tcPr>
                  <w:tcW w:w="1430" w:type="dxa"/>
                  <w:tcBorders>
                    <w:top w:val="single" w:sz="4" w:space="0" w:color="auto"/>
                    <w:left w:val="single" w:sz="4" w:space="0" w:color="auto"/>
                    <w:bottom w:val="single" w:sz="4" w:space="0" w:color="auto"/>
                    <w:right w:val="single" w:sz="4" w:space="0" w:color="auto"/>
                  </w:tcBorders>
                  <w:hideMark/>
                </w:tcPr>
                <w:p w14:paraId="6F153220" w14:textId="77777777" w:rsidR="00096052" w:rsidRDefault="00096052" w:rsidP="00096052">
                  <w:pPr>
                    <w:autoSpaceDE w:val="0"/>
                    <w:autoSpaceDN w:val="0"/>
                    <w:adjustRightInd w:val="0"/>
                    <w:jc w:val="both"/>
                    <w:rPr>
                      <w:bCs/>
                      <w:lang w:eastAsia="en-US"/>
                    </w:rPr>
                  </w:pPr>
                  <w:r>
                    <w:rPr>
                      <w:bCs/>
                      <w:lang w:eastAsia="en-US"/>
                    </w:rPr>
                    <w:t xml:space="preserve">Izmaksu apjoms  </w:t>
                  </w:r>
                  <w:r>
                    <w:rPr>
                      <w:bCs/>
                      <w:i/>
                      <w:lang w:eastAsia="en-US"/>
                    </w:rPr>
                    <w:t>(Euro)</w:t>
                  </w:r>
                </w:p>
              </w:tc>
            </w:tr>
            <w:tr w:rsidR="00096052" w14:paraId="25D3E4FB" w14:textId="77777777" w:rsidTr="00096052">
              <w:tc>
                <w:tcPr>
                  <w:tcW w:w="2599" w:type="dxa"/>
                  <w:tcBorders>
                    <w:top w:val="single" w:sz="4" w:space="0" w:color="auto"/>
                    <w:left w:val="single" w:sz="4" w:space="0" w:color="auto"/>
                    <w:bottom w:val="single" w:sz="4" w:space="0" w:color="auto"/>
                    <w:right w:val="single" w:sz="4" w:space="0" w:color="auto"/>
                  </w:tcBorders>
                  <w:hideMark/>
                </w:tcPr>
                <w:p w14:paraId="3D375BA9" w14:textId="77777777" w:rsidR="00096052" w:rsidRDefault="00096052" w:rsidP="00096052">
                  <w:pPr>
                    <w:autoSpaceDE w:val="0"/>
                    <w:autoSpaceDN w:val="0"/>
                    <w:adjustRightInd w:val="0"/>
                    <w:rPr>
                      <w:bCs/>
                      <w:lang w:eastAsia="en-US"/>
                    </w:rPr>
                  </w:pPr>
                  <w:r>
                    <w:rPr>
                      <w:lang w:eastAsia="en-US"/>
                    </w:rPr>
                    <w:t>Atbilstības novērtēšana informatīvajai piezīmei noteiktajiem kritērijiem</w:t>
                  </w:r>
                </w:p>
              </w:tc>
              <w:tc>
                <w:tcPr>
                  <w:tcW w:w="851" w:type="dxa"/>
                  <w:tcBorders>
                    <w:top w:val="single" w:sz="4" w:space="0" w:color="auto"/>
                    <w:left w:val="single" w:sz="4" w:space="0" w:color="auto"/>
                    <w:bottom w:val="single" w:sz="4" w:space="0" w:color="auto"/>
                    <w:right w:val="single" w:sz="4" w:space="0" w:color="auto"/>
                  </w:tcBorders>
                  <w:hideMark/>
                </w:tcPr>
                <w:p w14:paraId="0FC4405C" w14:textId="77777777" w:rsidR="00096052" w:rsidRDefault="00096052" w:rsidP="00096052">
                  <w:pPr>
                    <w:autoSpaceDE w:val="0"/>
                    <w:autoSpaceDN w:val="0"/>
                    <w:adjustRightInd w:val="0"/>
                    <w:jc w:val="both"/>
                    <w:rPr>
                      <w:bCs/>
                      <w:lang w:eastAsia="en-US"/>
                    </w:rPr>
                  </w:pPr>
                  <w:r>
                    <w:rPr>
                      <w:bCs/>
                      <w:lang w:eastAsia="en-US"/>
                    </w:rPr>
                    <w:t>1</w:t>
                  </w:r>
                </w:p>
              </w:tc>
              <w:tc>
                <w:tcPr>
                  <w:tcW w:w="1480" w:type="dxa"/>
                  <w:tcBorders>
                    <w:top w:val="single" w:sz="4" w:space="0" w:color="auto"/>
                    <w:left w:val="single" w:sz="4" w:space="0" w:color="auto"/>
                    <w:bottom w:val="single" w:sz="4" w:space="0" w:color="auto"/>
                    <w:right w:val="single" w:sz="4" w:space="0" w:color="auto"/>
                  </w:tcBorders>
                  <w:hideMark/>
                </w:tcPr>
                <w:p w14:paraId="76E5B45A" w14:textId="77777777" w:rsidR="00096052" w:rsidRDefault="00096052" w:rsidP="00096052">
                  <w:pPr>
                    <w:autoSpaceDE w:val="0"/>
                    <w:autoSpaceDN w:val="0"/>
                    <w:adjustRightInd w:val="0"/>
                    <w:jc w:val="both"/>
                    <w:rPr>
                      <w:bCs/>
                      <w:lang w:eastAsia="en-US"/>
                    </w:rPr>
                  </w:pPr>
                  <w:r>
                    <w:rPr>
                      <w:bCs/>
                      <w:lang w:eastAsia="en-US"/>
                    </w:rPr>
                    <w:t>40,00</w:t>
                  </w:r>
                </w:p>
              </w:tc>
              <w:tc>
                <w:tcPr>
                  <w:tcW w:w="1350" w:type="dxa"/>
                  <w:tcBorders>
                    <w:top w:val="single" w:sz="4" w:space="0" w:color="auto"/>
                    <w:left w:val="single" w:sz="4" w:space="0" w:color="auto"/>
                    <w:bottom w:val="single" w:sz="4" w:space="0" w:color="auto"/>
                    <w:right w:val="single" w:sz="4" w:space="0" w:color="auto"/>
                  </w:tcBorders>
                  <w:hideMark/>
                </w:tcPr>
                <w:p w14:paraId="6544E3F8" w14:textId="77777777" w:rsidR="00096052" w:rsidRDefault="00096052" w:rsidP="00096052">
                  <w:pPr>
                    <w:autoSpaceDE w:val="0"/>
                    <w:autoSpaceDN w:val="0"/>
                    <w:adjustRightInd w:val="0"/>
                    <w:jc w:val="both"/>
                    <w:rPr>
                      <w:bCs/>
                      <w:lang w:eastAsia="en-US"/>
                    </w:rPr>
                  </w:pPr>
                  <w:r>
                    <w:rPr>
                      <w:bCs/>
                      <w:lang w:eastAsia="en-US"/>
                    </w:rPr>
                    <w:t>1</w:t>
                  </w:r>
                </w:p>
              </w:tc>
              <w:tc>
                <w:tcPr>
                  <w:tcW w:w="1430" w:type="dxa"/>
                  <w:tcBorders>
                    <w:top w:val="single" w:sz="4" w:space="0" w:color="auto"/>
                    <w:left w:val="single" w:sz="4" w:space="0" w:color="auto"/>
                    <w:bottom w:val="single" w:sz="4" w:space="0" w:color="auto"/>
                    <w:right w:val="single" w:sz="4" w:space="0" w:color="auto"/>
                  </w:tcBorders>
                  <w:hideMark/>
                </w:tcPr>
                <w:p w14:paraId="1EEA83ED" w14:textId="77777777" w:rsidR="00096052" w:rsidRDefault="00096052" w:rsidP="00096052">
                  <w:pPr>
                    <w:autoSpaceDE w:val="0"/>
                    <w:autoSpaceDN w:val="0"/>
                    <w:adjustRightInd w:val="0"/>
                    <w:jc w:val="both"/>
                    <w:rPr>
                      <w:bCs/>
                      <w:lang w:eastAsia="en-US"/>
                    </w:rPr>
                  </w:pPr>
                  <w:r>
                    <w:rPr>
                      <w:bCs/>
                      <w:lang w:eastAsia="en-US"/>
                    </w:rPr>
                    <w:t>40,00</w:t>
                  </w:r>
                </w:p>
              </w:tc>
            </w:tr>
          </w:tbl>
          <w:p w14:paraId="24D4783A" w14:textId="77777777" w:rsidR="00DE493D" w:rsidRDefault="00DE493D"/>
          <w:p w14:paraId="49439157" w14:textId="29BBBF7F" w:rsidR="00096052" w:rsidRPr="00AA3493" w:rsidRDefault="00096052" w:rsidP="00EE1D64">
            <w:pPr>
              <w:shd w:val="clear" w:color="auto" w:fill="FFFFFF"/>
              <w:ind w:firstLine="392"/>
              <w:contextualSpacing/>
              <w:jc w:val="both"/>
            </w:pPr>
          </w:p>
        </w:tc>
      </w:tr>
      <w:tr w:rsidR="00730B3B" w:rsidRPr="00AA3493" w14:paraId="4943915C" w14:textId="77777777" w:rsidTr="007D2C25">
        <w:tc>
          <w:tcPr>
            <w:tcW w:w="144" w:type="pct"/>
            <w:hideMark/>
          </w:tcPr>
          <w:p w14:paraId="49439159" w14:textId="77777777" w:rsidR="00BD5588" w:rsidRPr="00AA3493" w:rsidRDefault="00656B5C" w:rsidP="00EE1D64">
            <w:pPr>
              <w:widowControl w:val="0"/>
              <w:contextualSpacing/>
              <w:jc w:val="center"/>
            </w:pPr>
            <w:r w:rsidRPr="00AA3493">
              <w:lastRenderedPageBreak/>
              <w:t>3.</w:t>
            </w:r>
          </w:p>
        </w:tc>
        <w:tc>
          <w:tcPr>
            <w:tcW w:w="873" w:type="pct"/>
            <w:hideMark/>
          </w:tcPr>
          <w:p w14:paraId="4943915A" w14:textId="77777777" w:rsidR="00BD5588" w:rsidRPr="00AA3493" w:rsidRDefault="00656B5C" w:rsidP="00EE1D64">
            <w:pPr>
              <w:widowControl w:val="0"/>
              <w:contextualSpacing/>
            </w:pPr>
            <w:r w:rsidRPr="00AA3493">
              <w:t xml:space="preserve">Projekta izstrādē </w:t>
            </w:r>
            <w:r w:rsidRPr="00AA3493">
              <w:lastRenderedPageBreak/>
              <w:t>iesaistītās institūcijas un publiskas personas kapitālsabiedrības</w:t>
            </w:r>
          </w:p>
        </w:tc>
        <w:tc>
          <w:tcPr>
            <w:tcW w:w="3983" w:type="pct"/>
            <w:hideMark/>
          </w:tcPr>
          <w:p w14:paraId="4943915B" w14:textId="5FD3D92F" w:rsidR="00161647" w:rsidRPr="00AA3493" w:rsidRDefault="0051332D" w:rsidP="00EE1D64">
            <w:pPr>
              <w:widowControl w:val="0"/>
              <w:contextualSpacing/>
            </w:pPr>
            <w:r w:rsidRPr="00AA3493">
              <w:rPr>
                <w:bCs/>
              </w:rPr>
              <w:lastRenderedPageBreak/>
              <w:t>Ekonomikas ministrija</w:t>
            </w:r>
            <w:r w:rsidR="00B43D29" w:rsidRPr="00AA3493">
              <w:rPr>
                <w:bCs/>
              </w:rPr>
              <w:t>, SIA “Serteks”</w:t>
            </w:r>
          </w:p>
        </w:tc>
      </w:tr>
      <w:tr w:rsidR="00730B3B" w:rsidRPr="00AA3493" w14:paraId="49439160" w14:textId="77777777" w:rsidTr="007D2C25">
        <w:tc>
          <w:tcPr>
            <w:tcW w:w="144" w:type="pct"/>
            <w:hideMark/>
          </w:tcPr>
          <w:p w14:paraId="4943915D" w14:textId="77777777" w:rsidR="00BD5588" w:rsidRPr="00AA3493" w:rsidRDefault="00656B5C" w:rsidP="00EE1D64">
            <w:pPr>
              <w:widowControl w:val="0"/>
              <w:contextualSpacing/>
              <w:jc w:val="center"/>
            </w:pPr>
            <w:r w:rsidRPr="00AA3493">
              <w:t>4.</w:t>
            </w:r>
          </w:p>
        </w:tc>
        <w:tc>
          <w:tcPr>
            <w:tcW w:w="873" w:type="pct"/>
            <w:hideMark/>
          </w:tcPr>
          <w:p w14:paraId="4943915E" w14:textId="77777777" w:rsidR="00BD5588" w:rsidRPr="00AA3493" w:rsidRDefault="00656B5C" w:rsidP="00EE1D64">
            <w:pPr>
              <w:widowControl w:val="0"/>
              <w:contextualSpacing/>
            </w:pPr>
            <w:r w:rsidRPr="00AA3493">
              <w:t>Cita informācija</w:t>
            </w:r>
          </w:p>
        </w:tc>
        <w:tc>
          <w:tcPr>
            <w:tcW w:w="3983" w:type="pct"/>
            <w:hideMark/>
          </w:tcPr>
          <w:p w14:paraId="4943915F" w14:textId="77777777" w:rsidR="00BD5588" w:rsidRPr="00AA3493" w:rsidRDefault="0051332D" w:rsidP="00EE1D64">
            <w:pPr>
              <w:widowControl w:val="0"/>
              <w:ind w:firstLine="108"/>
              <w:contextualSpacing/>
              <w:jc w:val="both"/>
            </w:pPr>
            <w:r w:rsidRPr="00AA3493">
              <w:t>Nav.</w:t>
            </w:r>
          </w:p>
        </w:tc>
      </w:tr>
    </w:tbl>
    <w:p w14:paraId="49439161" w14:textId="77777777" w:rsidR="004E4DD9" w:rsidRPr="00AA3493" w:rsidRDefault="004E4DD9" w:rsidP="00EE1D64">
      <w:pPr>
        <w:pStyle w:val="Title"/>
        <w:contextualSpacing/>
        <w:jc w:val="both"/>
        <w:rPr>
          <w:sz w:val="24"/>
          <w:szCs w:val="24"/>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1"/>
        <w:gridCol w:w="3118"/>
        <w:gridCol w:w="5528"/>
      </w:tblGrid>
      <w:tr w:rsidR="00730B3B" w:rsidRPr="00AA3493" w14:paraId="49439163" w14:textId="77777777" w:rsidTr="00412B20">
        <w:tc>
          <w:tcPr>
            <w:tcW w:w="9067" w:type="dxa"/>
            <w:gridSpan w:val="3"/>
            <w:vAlign w:val="center"/>
            <w:hideMark/>
          </w:tcPr>
          <w:p w14:paraId="49439162" w14:textId="77777777" w:rsidR="00BD5588" w:rsidRPr="00AA3493" w:rsidRDefault="00656B5C" w:rsidP="00EE1D64">
            <w:pPr>
              <w:contextualSpacing/>
              <w:jc w:val="center"/>
              <w:rPr>
                <w:b/>
                <w:bCs/>
              </w:rPr>
            </w:pPr>
            <w:r w:rsidRPr="00AA3493">
              <w:rPr>
                <w:b/>
                <w:bCs/>
              </w:rPr>
              <w:t>II. Tiesību akta projekta ietekme uz sabiedrību, tautsaimniecības attīstību un administratīvo slogu</w:t>
            </w:r>
          </w:p>
        </w:tc>
      </w:tr>
      <w:tr w:rsidR="00730B3B" w:rsidRPr="00AA3493" w14:paraId="4943916A" w14:textId="77777777" w:rsidTr="00412B20">
        <w:tc>
          <w:tcPr>
            <w:tcW w:w="421" w:type="dxa"/>
            <w:hideMark/>
          </w:tcPr>
          <w:p w14:paraId="49439164" w14:textId="77777777" w:rsidR="00BD5588" w:rsidRPr="00AA3493" w:rsidRDefault="00656B5C" w:rsidP="00EE1D64">
            <w:pPr>
              <w:contextualSpacing/>
              <w:jc w:val="center"/>
            </w:pPr>
            <w:r w:rsidRPr="00AA3493">
              <w:t>1.</w:t>
            </w:r>
          </w:p>
        </w:tc>
        <w:tc>
          <w:tcPr>
            <w:tcW w:w="3118" w:type="dxa"/>
            <w:hideMark/>
          </w:tcPr>
          <w:p w14:paraId="49439165" w14:textId="77777777" w:rsidR="00BD5588" w:rsidRPr="00AA3493" w:rsidRDefault="00656B5C" w:rsidP="00EE1D64">
            <w:pPr>
              <w:contextualSpacing/>
            </w:pPr>
            <w:r w:rsidRPr="00AA3493">
              <w:t>Sabiedrības mērķgrupas, kuras tiesiskais regulējums ietekmē vai varētu ietekmēt</w:t>
            </w:r>
          </w:p>
        </w:tc>
        <w:tc>
          <w:tcPr>
            <w:tcW w:w="5528" w:type="dxa"/>
            <w:hideMark/>
          </w:tcPr>
          <w:p w14:paraId="49439166" w14:textId="00377F9B" w:rsidR="0051332D" w:rsidRPr="00AA3493" w:rsidRDefault="001C6BBF" w:rsidP="00EE1D64">
            <w:pPr>
              <w:pStyle w:val="naiskr"/>
              <w:spacing w:before="0" w:after="0"/>
              <w:contextualSpacing/>
              <w:jc w:val="both"/>
            </w:pPr>
            <w:r w:rsidRPr="00AA3493">
              <w:rPr>
                <w:iCs/>
              </w:rPr>
              <w:t>P</w:t>
            </w:r>
            <w:r w:rsidR="0051332D" w:rsidRPr="00AA3493">
              <w:rPr>
                <w:iCs/>
              </w:rPr>
              <w:t>rojekts ir attiecināms</w:t>
            </w:r>
            <w:r w:rsidR="0051332D" w:rsidRPr="00AA3493">
              <w:t xml:space="preserve"> uz šādām mērķa grupām:</w:t>
            </w:r>
          </w:p>
          <w:p w14:paraId="49439167" w14:textId="2F838710" w:rsidR="0051332D" w:rsidRPr="00AA3493" w:rsidRDefault="00B43D29" w:rsidP="00EE1D64">
            <w:pPr>
              <w:pStyle w:val="naiskr"/>
              <w:numPr>
                <w:ilvl w:val="0"/>
                <w:numId w:val="23"/>
              </w:numPr>
              <w:spacing w:before="0" w:after="0"/>
              <w:contextualSpacing/>
              <w:jc w:val="both"/>
            </w:pPr>
            <w:r w:rsidRPr="00AA3493">
              <w:t>SIA</w:t>
            </w:r>
            <w:r w:rsidR="004F7C2B" w:rsidRPr="00AA3493">
              <w:t xml:space="preserve"> “</w:t>
            </w:r>
            <w:r w:rsidRPr="00AA3493">
              <w:t>Serteks</w:t>
            </w:r>
            <w:r w:rsidR="004F7C2B" w:rsidRPr="00AA3493">
              <w:t>”</w:t>
            </w:r>
            <w:r w:rsidR="0051332D" w:rsidRPr="00AA3493">
              <w:t>;</w:t>
            </w:r>
          </w:p>
          <w:p w14:paraId="03B7B9FD" w14:textId="04AA2E53" w:rsidR="00B43D29" w:rsidRPr="00AA3493" w:rsidRDefault="00B43D29" w:rsidP="00EE1D64">
            <w:pPr>
              <w:pStyle w:val="naiskr"/>
              <w:numPr>
                <w:ilvl w:val="0"/>
                <w:numId w:val="23"/>
              </w:numPr>
              <w:spacing w:before="0" w:after="0"/>
              <w:contextualSpacing/>
              <w:jc w:val="both"/>
            </w:pPr>
            <w:r w:rsidRPr="00AA3493">
              <w:t xml:space="preserve">SIA </w:t>
            </w:r>
            <w:r w:rsidR="008B7BC9" w:rsidRPr="00AA3493">
              <w:t>“</w:t>
            </w:r>
            <w:r w:rsidRPr="00AA3493">
              <w:t>Serteks</w:t>
            </w:r>
            <w:r w:rsidR="008B7BC9" w:rsidRPr="00AA3493">
              <w:t>”</w:t>
            </w:r>
            <w:r w:rsidRPr="00AA3493">
              <w:t xml:space="preserve"> sertificēti arhitekti;</w:t>
            </w:r>
          </w:p>
          <w:p w14:paraId="49439169" w14:textId="18FE73C3" w:rsidR="00FA3B65" w:rsidRPr="00AA3493" w:rsidRDefault="00FA0975" w:rsidP="00EE1D64">
            <w:pPr>
              <w:pStyle w:val="naiskr"/>
              <w:spacing w:before="0" w:after="0"/>
              <w:ind w:left="108"/>
              <w:contextualSpacing/>
              <w:jc w:val="both"/>
            </w:pPr>
            <w:r w:rsidRPr="00AA3493">
              <w:t>2019.</w:t>
            </w:r>
            <w:r w:rsidR="00E50E6D" w:rsidRPr="00AA3493">
              <w:t xml:space="preserve"> </w:t>
            </w:r>
            <w:r w:rsidRPr="00AA3493">
              <w:t xml:space="preserve">gada </w:t>
            </w:r>
            <w:r w:rsidR="00B43D29" w:rsidRPr="00AA3493">
              <w:t>20</w:t>
            </w:r>
            <w:r w:rsidRPr="00AA3493">
              <w:t>.</w:t>
            </w:r>
            <w:r w:rsidR="00E50E6D" w:rsidRPr="00AA3493">
              <w:t xml:space="preserve"> </w:t>
            </w:r>
            <w:r w:rsidR="00B43D29" w:rsidRPr="00AA3493">
              <w:t>septembrī</w:t>
            </w:r>
            <w:r w:rsidRPr="00AA3493">
              <w:t xml:space="preserve"> ir reģistrēt</w:t>
            </w:r>
            <w:r w:rsidR="00B43D29" w:rsidRPr="00AA3493">
              <w:t>s</w:t>
            </w:r>
            <w:r w:rsidRPr="00AA3493">
              <w:t xml:space="preserve"> </w:t>
            </w:r>
            <w:r w:rsidR="00C31F37" w:rsidRPr="00AA3493">
              <w:t xml:space="preserve">viens </w:t>
            </w:r>
            <w:r w:rsidR="00A16F95" w:rsidRPr="00AA3493">
              <w:t>SIA “</w:t>
            </w:r>
            <w:r w:rsidR="00B43D29" w:rsidRPr="00AA3493">
              <w:t>Serteks</w:t>
            </w:r>
            <w:r w:rsidR="00A16F95" w:rsidRPr="00AA3493">
              <w:t>”</w:t>
            </w:r>
            <w:r w:rsidR="00B43D29" w:rsidRPr="00AA3493">
              <w:t xml:space="preserve"> sertificēts </w:t>
            </w:r>
            <w:r w:rsidRPr="00AA3493">
              <w:t xml:space="preserve"> arhitekt</w:t>
            </w:r>
            <w:r w:rsidR="00B43D29" w:rsidRPr="00AA3493">
              <w:t>s</w:t>
            </w:r>
            <w:r w:rsidR="00A87D40" w:rsidRPr="00AA3493">
              <w:t>.</w:t>
            </w:r>
            <w:r w:rsidRPr="00AA3493" w:rsidDel="00FA0975">
              <w:t xml:space="preserve"> </w:t>
            </w:r>
          </w:p>
        </w:tc>
      </w:tr>
      <w:tr w:rsidR="00730B3B" w:rsidRPr="00AA3493" w14:paraId="49439174" w14:textId="77777777" w:rsidTr="00412B20">
        <w:tc>
          <w:tcPr>
            <w:tcW w:w="421" w:type="dxa"/>
            <w:hideMark/>
          </w:tcPr>
          <w:p w14:paraId="4943916B" w14:textId="77777777" w:rsidR="00BD5588" w:rsidRPr="00AA3493" w:rsidRDefault="00656B5C" w:rsidP="00EE1D64">
            <w:pPr>
              <w:contextualSpacing/>
              <w:jc w:val="center"/>
            </w:pPr>
            <w:r w:rsidRPr="00AA3493">
              <w:t>2.</w:t>
            </w:r>
          </w:p>
        </w:tc>
        <w:tc>
          <w:tcPr>
            <w:tcW w:w="3118" w:type="dxa"/>
            <w:hideMark/>
          </w:tcPr>
          <w:p w14:paraId="4943916C" w14:textId="77777777" w:rsidR="00BD5588" w:rsidRPr="00AA3493" w:rsidRDefault="00656B5C" w:rsidP="00EE1D64">
            <w:pPr>
              <w:contextualSpacing/>
            </w:pPr>
            <w:r w:rsidRPr="00AA3493">
              <w:t>Tiesiskā regulējuma ietekme uz tautsaimniecību un administratīvo slogu</w:t>
            </w:r>
          </w:p>
        </w:tc>
        <w:tc>
          <w:tcPr>
            <w:tcW w:w="5528" w:type="dxa"/>
            <w:hideMark/>
          </w:tcPr>
          <w:p w14:paraId="49439173" w14:textId="08C60C5D" w:rsidR="00161647" w:rsidRPr="00AA3493" w:rsidRDefault="00B43D29" w:rsidP="00EE1D64">
            <w:pPr>
              <w:contextualSpacing/>
              <w:jc w:val="both"/>
              <w:rPr>
                <w:iCs/>
              </w:rPr>
            </w:pPr>
            <w:r w:rsidRPr="00AA3493">
              <w:t>Projekts šo jomu neskar</w:t>
            </w:r>
          </w:p>
        </w:tc>
      </w:tr>
      <w:tr w:rsidR="00730B3B" w:rsidRPr="00AA3493" w14:paraId="49439178" w14:textId="77777777" w:rsidTr="00412B20">
        <w:tc>
          <w:tcPr>
            <w:tcW w:w="421" w:type="dxa"/>
            <w:hideMark/>
          </w:tcPr>
          <w:p w14:paraId="49439175" w14:textId="77777777" w:rsidR="00BD5588" w:rsidRPr="00AA3493" w:rsidRDefault="00656B5C" w:rsidP="00EE1D64">
            <w:pPr>
              <w:contextualSpacing/>
              <w:jc w:val="center"/>
            </w:pPr>
            <w:r w:rsidRPr="00AA3493">
              <w:t>3.</w:t>
            </w:r>
          </w:p>
        </w:tc>
        <w:tc>
          <w:tcPr>
            <w:tcW w:w="3118" w:type="dxa"/>
            <w:hideMark/>
          </w:tcPr>
          <w:p w14:paraId="49439176" w14:textId="77777777" w:rsidR="00BD5588" w:rsidRPr="00AA3493" w:rsidRDefault="00656B5C" w:rsidP="00EE1D64">
            <w:pPr>
              <w:contextualSpacing/>
            </w:pPr>
            <w:r w:rsidRPr="00AA3493">
              <w:t>Administratīvo izmaksu monetārs novērtējums</w:t>
            </w:r>
          </w:p>
        </w:tc>
        <w:tc>
          <w:tcPr>
            <w:tcW w:w="5528" w:type="dxa"/>
            <w:hideMark/>
          </w:tcPr>
          <w:p w14:paraId="49439177" w14:textId="43482214" w:rsidR="00BD5588" w:rsidRPr="00AA3493" w:rsidRDefault="00F25DBB" w:rsidP="00EE1D64">
            <w:pPr>
              <w:contextualSpacing/>
            </w:pPr>
            <w:r w:rsidRPr="00AA3493">
              <w:t>Projekts šo jomu neskar</w:t>
            </w:r>
          </w:p>
        </w:tc>
      </w:tr>
      <w:tr w:rsidR="00730B3B" w:rsidRPr="00AA3493" w14:paraId="4943917C" w14:textId="77777777" w:rsidTr="00412B20">
        <w:tc>
          <w:tcPr>
            <w:tcW w:w="421" w:type="dxa"/>
            <w:hideMark/>
          </w:tcPr>
          <w:p w14:paraId="49439179" w14:textId="77777777" w:rsidR="00BD5588" w:rsidRPr="00AA3493" w:rsidRDefault="00656B5C" w:rsidP="00EE1D64">
            <w:pPr>
              <w:contextualSpacing/>
              <w:jc w:val="center"/>
            </w:pPr>
            <w:r w:rsidRPr="00AA3493">
              <w:t>4.</w:t>
            </w:r>
          </w:p>
        </w:tc>
        <w:tc>
          <w:tcPr>
            <w:tcW w:w="3118" w:type="dxa"/>
            <w:hideMark/>
          </w:tcPr>
          <w:p w14:paraId="4943917A" w14:textId="77777777" w:rsidR="00BD5588" w:rsidRPr="00AA3493" w:rsidRDefault="00656B5C" w:rsidP="00EE1D64">
            <w:pPr>
              <w:contextualSpacing/>
            </w:pPr>
            <w:r w:rsidRPr="00AA3493">
              <w:t>Atbilstības izmaksu monetārs novērtējums</w:t>
            </w:r>
          </w:p>
        </w:tc>
        <w:tc>
          <w:tcPr>
            <w:tcW w:w="5528" w:type="dxa"/>
            <w:hideMark/>
          </w:tcPr>
          <w:p w14:paraId="4943917B" w14:textId="77777777" w:rsidR="00BD5588" w:rsidRPr="00AA3493" w:rsidRDefault="00656B5C" w:rsidP="00EE1D64">
            <w:pPr>
              <w:contextualSpacing/>
            </w:pPr>
            <w:r w:rsidRPr="00AA3493">
              <w:t>Projekts šo jomu neskar</w:t>
            </w:r>
          </w:p>
        </w:tc>
      </w:tr>
      <w:tr w:rsidR="004E638D" w:rsidRPr="00AA3493" w14:paraId="49439180" w14:textId="77777777" w:rsidTr="00412B20">
        <w:tc>
          <w:tcPr>
            <w:tcW w:w="421" w:type="dxa"/>
            <w:hideMark/>
          </w:tcPr>
          <w:p w14:paraId="4943917D" w14:textId="77777777" w:rsidR="00BD5588" w:rsidRPr="00AA3493" w:rsidRDefault="00656B5C" w:rsidP="00EE1D64">
            <w:pPr>
              <w:contextualSpacing/>
              <w:jc w:val="center"/>
              <w:rPr>
                <w:highlight w:val="yellow"/>
              </w:rPr>
            </w:pPr>
            <w:r w:rsidRPr="00AA3493">
              <w:t>5.</w:t>
            </w:r>
          </w:p>
        </w:tc>
        <w:tc>
          <w:tcPr>
            <w:tcW w:w="3118" w:type="dxa"/>
            <w:hideMark/>
          </w:tcPr>
          <w:p w14:paraId="4943917E" w14:textId="77777777" w:rsidR="00BD5588" w:rsidRPr="00AA3493" w:rsidRDefault="00656B5C" w:rsidP="00EE1D64">
            <w:pPr>
              <w:contextualSpacing/>
            </w:pPr>
            <w:r w:rsidRPr="00AA3493">
              <w:t>Cita informācija</w:t>
            </w:r>
          </w:p>
        </w:tc>
        <w:tc>
          <w:tcPr>
            <w:tcW w:w="5528" w:type="dxa"/>
            <w:hideMark/>
          </w:tcPr>
          <w:p w14:paraId="4943917F" w14:textId="77777777" w:rsidR="00161647" w:rsidRPr="00AA3493" w:rsidRDefault="00656B5C" w:rsidP="00EE1D64">
            <w:pPr>
              <w:contextualSpacing/>
            </w:pPr>
            <w:r w:rsidRPr="00AA3493">
              <w:t>Nav</w:t>
            </w:r>
          </w:p>
        </w:tc>
      </w:tr>
    </w:tbl>
    <w:p w14:paraId="49439181" w14:textId="77777777" w:rsidR="004E4DD9" w:rsidRPr="00AA3493" w:rsidRDefault="004E4DD9" w:rsidP="00EE1D64">
      <w:pPr>
        <w:contextualSpacing/>
        <w:rPr>
          <w:highlight w:val="yellow"/>
        </w:rPr>
      </w:pPr>
    </w:p>
    <w:tbl>
      <w:tblPr>
        <w:tblStyle w:val="TableGridLight"/>
        <w:tblW w:w="5006" w:type="pct"/>
        <w:tblInd w:w="-5" w:type="dxa"/>
        <w:shd w:val="clear" w:color="auto" w:fill="FFFFFF" w:themeFill="background1"/>
        <w:tblLook w:val="04A0" w:firstRow="1" w:lastRow="0" w:firstColumn="1" w:lastColumn="0" w:noHBand="0" w:noVBand="1"/>
      </w:tblPr>
      <w:tblGrid>
        <w:gridCol w:w="9072"/>
      </w:tblGrid>
      <w:tr w:rsidR="00730B3B" w:rsidRPr="00AA3493" w14:paraId="49439183" w14:textId="77777777" w:rsidTr="00412B2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AA3493" w:rsidRDefault="00656B5C" w:rsidP="00EE1D64">
            <w:pPr>
              <w:ind w:right="-34"/>
              <w:contextualSpacing/>
              <w:jc w:val="center"/>
              <w:rPr>
                <w:b/>
              </w:rPr>
            </w:pPr>
            <w:r w:rsidRPr="00AA3493">
              <w:rPr>
                <w:b/>
              </w:rPr>
              <w:t>III. Tiesību akta projekta ietekme uz valsts budžetu un pašvaldību budžetiem</w:t>
            </w:r>
          </w:p>
        </w:tc>
      </w:tr>
      <w:tr w:rsidR="00730B3B" w:rsidRPr="00AA3493" w14:paraId="49439185" w14:textId="77777777" w:rsidTr="00412B2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77777777" w:rsidR="00BD7871" w:rsidRPr="00AA3493" w:rsidRDefault="00171C87" w:rsidP="00EE1D64">
            <w:pPr>
              <w:ind w:right="-34"/>
              <w:contextualSpacing/>
              <w:jc w:val="center"/>
            </w:pPr>
            <w:r w:rsidRPr="00AA3493">
              <w:t>Projekts šo jomu neskar</w:t>
            </w:r>
          </w:p>
        </w:tc>
      </w:tr>
    </w:tbl>
    <w:p w14:paraId="49439186" w14:textId="65E6F790" w:rsidR="004E4DD9" w:rsidRPr="00AA3493" w:rsidRDefault="004E4DD9" w:rsidP="00EE1D64">
      <w:pPr>
        <w:pStyle w:val="Title"/>
        <w:contextualSpacing/>
        <w:jc w:val="both"/>
        <w:rPr>
          <w:sz w:val="24"/>
          <w:szCs w:val="24"/>
          <w:highlight w:val="yellow"/>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3"/>
        <w:gridCol w:w="3118"/>
        <w:gridCol w:w="5527"/>
      </w:tblGrid>
      <w:tr w:rsidR="00C369B1" w:rsidRPr="00AA3493" w14:paraId="484DE9EC" w14:textId="77777777" w:rsidTr="00412B20">
        <w:trPr>
          <w:cantSplit/>
        </w:trPr>
        <w:tc>
          <w:tcPr>
            <w:tcW w:w="9068" w:type="dxa"/>
            <w:gridSpan w:val="3"/>
            <w:vAlign w:val="center"/>
            <w:hideMark/>
          </w:tcPr>
          <w:p w14:paraId="741AEEF4" w14:textId="77777777" w:rsidR="00C369B1" w:rsidRPr="00AA3493" w:rsidRDefault="00C369B1" w:rsidP="00EE1D64">
            <w:pPr>
              <w:contextualSpacing/>
              <w:jc w:val="center"/>
              <w:rPr>
                <w:b/>
                <w:bCs/>
              </w:rPr>
            </w:pPr>
            <w:r w:rsidRPr="00AA3493">
              <w:rPr>
                <w:b/>
                <w:bCs/>
              </w:rPr>
              <w:t>IV. Tiesību akta projekta ietekme uz spēkā esošo tiesību normu sistēmu</w:t>
            </w:r>
          </w:p>
        </w:tc>
      </w:tr>
      <w:tr w:rsidR="00C369B1" w:rsidRPr="00AA3493" w14:paraId="121BDE8B" w14:textId="77777777" w:rsidTr="00412B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423" w:type="dxa"/>
            <w:tcBorders>
              <w:top w:val="outset" w:sz="6" w:space="0" w:color="414142"/>
              <w:left w:val="outset" w:sz="6" w:space="0" w:color="414142"/>
              <w:bottom w:val="outset" w:sz="6" w:space="0" w:color="414142"/>
              <w:right w:val="outset" w:sz="6" w:space="0" w:color="414142"/>
            </w:tcBorders>
            <w:hideMark/>
          </w:tcPr>
          <w:p w14:paraId="7013D022" w14:textId="77777777" w:rsidR="00C369B1" w:rsidRPr="00AA3493" w:rsidRDefault="00C369B1" w:rsidP="00EE1D64">
            <w:pPr>
              <w:contextualSpacing/>
              <w:jc w:val="center"/>
              <w:rPr>
                <w:lang w:eastAsia="ru-RU"/>
              </w:rPr>
            </w:pPr>
            <w:r w:rsidRPr="00AA3493">
              <w:rPr>
                <w:lang w:eastAsia="ru-RU"/>
              </w:rPr>
              <w:t>1.</w:t>
            </w:r>
          </w:p>
        </w:tc>
        <w:tc>
          <w:tcPr>
            <w:tcW w:w="3118" w:type="dxa"/>
            <w:tcBorders>
              <w:top w:val="outset" w:sz="6" w:space="0" w:color="414142"/>
              <w:left w:val="outset" w:sz="6" w:space="0" w:color="414142"/>
              <w:bottom w:val="outset" w:sz="6" w:space="0" w:color="414142"/>
              <w:right w:val="outset" w:sz="6" w:space="0" w:color="414142"/>
            </w:tcBorders>
            <w:hideMark/>
          </w:tcPr>
          <w:p w14:paraId="43249A8B" w14:textId="77777777" w:rsidR="00C369B1" w:rsidRPr="00AA3493" w:rsidRDefault="00C369B1" w:rsidP="00EE1D64">
            <w:pPr>
              <w:contextualSpacing/>
              <w:rPr>
                <w:lang w:eastAsia="ru-RU"/>
              </w:rPr>
            </w:pPr>
            <w:r w:rsidRPr="00AA3493">
              <w:rPr>
                <w:lang w:eastAsia="ru-RU"/>
              </w:rPr>
              <w:t>Saistītie tiesību aktu projekti</w:t>
            </w:r>
          </w:p>
        </w:tc>
        <w:tc>
          <w:tcPr>
            <w:tcW w:w="5527" w:type="dxa"/>
            <w:tcBorders>
              <w:top w:val="outset" w:sz="6" w:space="0" w:color="414142"/>
              <w:left w:val="outset" w:sz="6" w:space="0" w:color="414142"/>
              <w:bottom w:val="outset" w:sz="6" w:space="0" w:color="414142"/>
              <w:right w:val="outset" w:sz="6" w:space="0" w:color="414142"/>
            </w:tcBorders>
            <w:hideMark/>
          </w:tcPr>
          <w:p w14:paraId="5A588CBC" w14:textId="4A89C294" w:rsidR="00C369B1" w:rsidRPr="00AA3493" w:rsidRDefault="00935221" w:rsidP="00EE1D64">
            <w:pPr>
              <w:shd w:val="clear" w:color="auto" w:fill="FFFFFF"/>
              <w:contextualSpacing/>
              <w:jc w:val="both"/>
              <w:rPr>
                <w:lang w:eastAsia="ru-RU"/>
              </w:rPr>
            </w:pPr>
            <w:r w:rsidRPr="00AA3493">
              <w:t>Projekts šo jomu neskar</w:t>
            </w:r>
          </w:p>
        </w:tc>
      </w:tr>
      <w:tr w:rsidR="00C369B1" w:rsidRPr="00AA3493" w14:paraId="00CBA090" w14:textId="77777777" w:rsidTr="00412B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jc w:val="center"/>
        </w:trPr>
        <w:tc>
          <w:tcPr>
            <w:tcW w:w="423" w:type="dxa"/>
            <w:tcBorders>
              <w:top w:val="outset" w:sz="6" w:space="0" w:color="414142"/>
              <w:left w:val="outset" w:sz="6" w:space="0" w:color="414142"/>
              <w:bottom w:val="outset" w:sz="6" w:space="0" w:color="414142"/>
              <w:right w:val="outset" w:sz="6" w:space="0" w:color="414142"/>
            </w:tcBorders>
            <w:hideMark/>
          </w:tcPr>
          <w:p w14:paraId="52353098" w14:textId="77777777" w:rsidR="00C369B1" w:rsidRPr="00AA3493" w:rsidRDefault="00C369B1" w:rsidP="00EE1D64">
            <w:pPr>
              <w:contextualSpacing/>
              <w:jc w:val="center"/>
              <w:rPr>
                <w:lang w:eastAsia="ru-RU"/>
              </w:rPr>
            </w:pPr>
            <w:r w:rsidRPr="00AA3493">
              <w:rPr>
                <w:lang w:eastAsia="ru-RU"/>
              </w:rPr>
              <w:t>2.</w:t>
            </w:r>
          </w:p>
        </w:tc>
        <w:tc>
          <w:tcPr>
            <w:tcW w:w="3118" w:type="dxa"/>
            <w:tcBorders>
              <w:top w:val="outset" w:sz="6" w:space="0" w:color="414142"/>
              <w:left w:val="outset" w:sz="6" w:space="0" w:color="414142"/>
              <w:bottom w:val="outset" w:sz="6" w:space="0" w:color="414142"/>
              <w:right w:val="outset" w:sz="6" w:space="0" w:color="414142"/>
            </w:tcBorders>
            <w:hideMark/>
          </w:tcPr>
          <w:p w14:paraId="5D96169A" w14:textId="77777777" w:rsidR="00C369B1" w:rsidRPr="00AA3493" w:rsidRDefault="00C369B1" w:rsidP="00EE1D64">
            <w:pPr>
              <w:contextualSpacing/>
              <w:rPr>
                <w:lang w:eastAsia="ru-RU"/>
              </w:rPr>
            </w:pPr>
            <w:r w:rsidRPr="00AA3493">
              <w:rPr>
                <w:lang w:eastAsia="ru-RU"/>
              </w:rPr>
              <w:t>Atbildīgā institūcija</w:t>
            </w:r>
          </w:p>
        </w:tc>
        <w:tc>
          <w:tcPr>
            <w:tcW w:w="5527" w:type="dxa"/>
            <w:tcBorders>
              <w:top w:val="outset" w:sz="6" w:space="0" w:color="414142"/>
              <w:left w:val="outset" w:sz="6" w:space="0" w:color="414142"/>
              <w:bottom w:val="outset" w:sz="6" w:space="0" w:color="414142"/>
              <w:right w:val="outset" w:sz="6" w:space="0" w:color="414142"/>
            </w:tcBorders>
            <w:hideMark/>
          </w:tcPr>
          <w:p w14:paraId="61EDF48D" w14:textId="77777777" w:rsidR="00C369B1" w:rsidRPr="00AA3493" w:rsidRDefault="00C369B1" w:rsidP="00EE1D64">
            <w:pPr>
              <w:contextualSpacing/>
              <w:rPr>
                <w:lang w:eastAsia="ru-RU"/>
              </w:rPr>
            </w:pPr>
            <w:r w:rsidRPr="00AA3493">
              <w:rPr>
                <w:lang w:eastAsia="ru-RU"/>
              </w:rPr>
              <w:t>Ekonomikas ministrija</w:t>
            </w:r>
          </w:p>
        </w:tc>
      </w:tr>
      <w:tr w:rsidR="00C369B1" w:rsidRPr="00AA3493" w14:paraId="23DAAA41" w14:textId="77777777" w:rsidTr="00412B20">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203"/>
          <w:jc w:val="center"/>
        </w:trPr>
        <w:tc>
          <w:tcPr>
            <w:tcW w:w="423" w:type="dxa"/>
            <w:tcBorders>
              <w:top w:val="outset" w:sz="6" w:space="0" w:color="414142"/>
              <w:left w:val="outset" w:sz="6" w:space="0" w:color="414142"/>
              <w:bottom w:val="outset" w:sz="6" w:space="0" w:color="414142"/>
              <w:right w:val="outset" w:sz="6" w:space="0" w:color="414142"/>
            </w:tcBorders>
            <w:hideMark/>
          </w:tcPr>
          <w:p w14:paraId="1EDB77E6" w14:textId="77777777" w:rsidR="00C369B1" w:rsidRPr="00AA3493" w:rsidRDefault="00C369B1" w:rsidP="00EE1D64">
            <w:pPr>
              <w:contextualSpacing/>
              <w:jc w:val="center"/>
              <w:rPr>
                <w:lang w:eastAsia="ru-RU"/>
              </w:rPr>
            </w:pPr>
            <w:r w:rsidRPr="00AA3493">
              <w:rPr>
                <w:lang w:eastAsia="ru-RU"/>
              </w:rPr>
              <w:t>3.</w:t>
            </w:r>
          </w:p>
        </w:tc>
        <w:tc>
          <w:tcPr>
            <w:tcW w:w="3118" w:type="dxa"/>
            <w:tcBorders>
              <w:top w:val="outset" w:sz="6" w:space="0" w:color="414142"/>
              <w:left w:val="outset" w:sz="6" w:space="0" w:color="414142"/>
              <w:bottom w:val="outset" w:sz="6" w:space="0" w:color="414142"/>
              <w:right w:val="outset" w:sz="6" w:space="0" w:color="414142"/>
            </w:tcBorders>
            <w:hideMark/>
          </w:tcPr>
          <w:p w14:paraId="64938640" w14:textId="77777777" w:rsidR="00C369B1" w:rsidRPr="00AA3493" w:rsidRDefault="00C369B1" w:rsidP="00EE1D64">
            <w:pPr>
              <w:contextualSpacing/>
              <w:rPr>
                <w:lang w:eastAsia="ru-RU"/>
              </w:rPr>
            </w:pPr>
            <w:r w:rsidRPr="00AA3493">
              <w:rPr>
                <w:lang w:eastAsia="ru-RU"/>
              </w:rPr>
              <w:t>Cita informācija</w:t>
            </w:r>
          </w:p>
        </w:tc>
        <w:tc>
          <w:tcPr>
            <w:tcW w:w="5527" w:type="dxa"/>
            <w:tcBorders>
              <w:top w:val="outset" w:sz="6" w:space="0" w:color="414142"/>
              <w:left w:val="outset" w:sz="6" w:space="0" w:color="414142"/>
              <w:bottom w:val="outset" w:sz="6" w:space="0" w:color="414142"/>
              <w:right w:val="outset" w:sz="6" w:space="0" w:color="414142"/>
            </w:tcBorders>
            <w:hideMark/>
          </w:tcPr>
          <w:p w14:paraId="0A922679" w14:textId="77777777" w:rsidR="00C369B1" w:rsidRPr="00AA3493" w:rsidRDefault="00C369B1" w:rsidP="00EE1D64">
            <w:pPr>
              <w:contextualSpacing/>
              <w:rPr>
                <w:lang w:eastAsia="ru-RU"/>
              </w:rPr>
            </w:pPr>
            <w:r w:rsidRPr="00AA3493">
              <w:rPr>
                <w:lang w:eastAsia="ru-RU"/>
              </w:rPr>
              <w:t>Nav</w:t>
            </w:r>
          </w:p>
        </w:tc>
      </w:tr>
    </w:tbl>
    <w:p w14:paraId="4943919F" w14:textId="779B8295" w:rsidR="00161647"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CA7726" w:rsidRPr="00AA3493" w14:paraId="5E7ACF26" w14:textId="77777777" w:rsidTr="00412B20">
        <w:tc>
          <w:tcPr>
            <w:tcW w:w="5000" w:type="pct"/>
            <w:vAlign w:val="center"/>
            <w:hideMark/>
          </w:tcPr>
          <w:p w14:paraId="713A23C2" w14:textId="68946734" w:rsidR="00CA7726" w:rsidRPr="00AA3493" w:rsidRDefault="00CA7726" w:rsidP="00EE1D64">
            <w:pPr>
              <w:contextualSpacing/>
              <w:jc w:val="center"/>
              <w:rPr>
                <w:b/>
                <w:bCs/>
              </w:rPr>
            </w:pPr>
            <w:r w:rsidRPr="00AA3493">
              <w:rPr>
                <w:b/>
                <w:bCs/>
              </w:rPr>
              <w:t>IV. Tiesību akta projekta ietekme uz spēkā esošo tiesību normu sistēmu</w:t>
            </w:r>
          </w:p>
        </w:tc>
      </w:tr>
      <w:tr w:rsidR="00CA7726" w:rsidRPr="00AA3493" w14:paraId="7C088E82" w14:textId="77777777" w:rsidTr="00412B20">
        <w:tc>
          <w:tcPr>
            <w:tcW w:w="5000" w:type="pct"/>
          </w:tcPr>
          <w:p w14:paraId="2869C072" w14:textId="77777777" w:rsidR="00CA7726" w:rsidRPr="00AA3493" w:rsidRDefault="00CA7726" w:rsidP="00EE1D64">
            <w:pPr>
              <w:ind w:left="57" w:firstLine="108"/>
              <w:contextualSpacing/>
              <w:jc w:val="center"/>
            </w:pPr>
            <w:r w:rsidRPr="00AA3493">
              <w:t>Projekts šo jomu neskar</w:t>
            </w:r>
          </w:p>
        </w:tc>
      </w:tr>
    </w:tbl>
    <w:p w14:paraId="23ED8052" w14:textId="69609CBC" w:rsidR="00CA7726" w:rsidRDefault="00CA7726"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730B3B" w:rsidRPr="00AA3493" w14:paraId="494391A1" w14:textId="77777777" w:rsidTr="00412B20">
        <w:tc>
          <w:tcPr>
            <w:tcW w:w="5000" w:type="pct"/>
            <w:vAlign w:val="center"/>
            <w:hideMark/>
          </w:tcPr>
          <w:p w14:paraId="494391A0" w14:textId="77777777" w:rsidR="009878D6" w:rsidRPr="00AA3493" w:rsidRDefault="00656B5C" w:rsidP="00EE1D64">
            <w:pPr>
              <w:contextualSpacing/>
              <w:jc w:val="center"/>
              <w:rPr>
                <w:b/>
                <w:bCs/>
              </w:rPr>
            </w:pPr>
            <w:r w:rsidRPr="00AA3493">
              <w:rPr>
                <w:b/>
                <w:bCs/>
              </w:rPr>
              <w:t>V. Tiesību akta projekta atbilstība Latvijas Republikas starptautiskajām saistībām</w:t>
            </w:r>
          </w:p>
        </w:tc>
      </w:tr>
      <w:tr w:rsidR="0051332D" w:rsidRPr="00AA3493" w14:paraId="494391A3" w14:textId="77777777" w:rsidTr="00412B20">
        <w:tc>
          <w:tcPr>
            <w:tcW w:w="5000" w:type="pct"/>
          </w:tcPr>
          <w:p w14:paraId="494391A2" w14:textId="77777777" w:rsidR="0051332D" w:rsidRPr="00AA3493" w:rsidRDefault="0051332D" w:rsidP="00EE1D64">
            <w:pPr>
              <w:ind w:left="57" w:firstLine="108"/>
              <w:contextualSpacing/>
              <w:jc w:val="center"/>
            </w:pPr>
            <w:r w:rsidRPr="00AA3493">
              <w:t>Proj</w:t>
            </w:r>
            <w:r w:rsidR="00C706EA" w:rsidRPr="00AA3493">
              <w:t>e</w:t>
            </w:r>
            <w:r w:rsidRPr="00AA3493">
              <w:t>kts šo jomu neskar</w:t>
            </w:r>
          </w:p>
        </w:tc>
      </w:tr>
    </w:tbl>
    <w:p w14:paraId="494391A4" w14:textId="77777777" w:rsidR="00161647" w:rsidRPr="00AA3493"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0"/>
        <w:gridCol w:w="3119"/>
        <w:gridCol w:w="5527"/>
      </w:tblGrid>
      <w:tr w:rsidR="00730B3B" w:rsidRPr="00AA3493" w14:paraId="494391A6" w14:textId="77777777" w:rsidTr="00412B20">
        <w:tc>
          <w:tcPr>
            <w:tcW w:w="5000" w:type="pct"/>
            <w:gridSpan w:val="3"/>
            <w:vAlign w:val="center"/>
            <w:hideMark/>
          </w:tcPr>
          <w:p w14:paraId="494391A5" w14:textId="77777777" w:rsidR="00BD5588" w:rsidRPr="00AA3493" w:rsidRDefault="00656B5C" w:rsidP="00EE1D64">
            <w:pPr>
              <w:contextualSpacing/>
              <w:jc w:val="center"/>
              <w:rPr>
                <w:b/>
                <w:bCs/>
              </w:rPr>
            </w:pPr>
            <w:r w:rsidRPr="00AA3493">
              <w:rPr>
                <w:b/>
                <w:bCs/>
              </w:rPr>
              <w:t>VI. Sabiedrības līdzdalība un komunikācijas aktivitātes</w:t>
            </w:r>
          </w:p>
        </w:tc>
      </w:tr>
      <w:tr w:rsidR="00730B3B" w:rsidRPr="00AA3493" w14:paraId="494391AA" w14:textId="77777777" w:rsidTr="00412B20">
        <w:tc>
          <w:tcPr>
            <w:tcW w:w="232" w:type="pct"/>
            <w:hideMark/>
          </w:tcPr>
          <w:p w14:paraId="494391A7" w14:textId="77777777" w:rsidR="00BD5588" w:rsidRPr="00AA3493" w:rsidRDefault="00656B5C" w:rsidP="00EE1D64">
            <w:pPr>
              <w:contextualSpacing/>
              <w:jc w:val="center"/>
            </w:pPr>
            <w:r w:rsidRPr="00AA3493">
              <w:t>1.</w:t>
            </w:r>
          </w:p>
        </w:tc>
        <w:tc>
          <w:tcPr>
            <w:tcW w:w="1720" w:type="pct"/>
            <w:hideMark/>
          </w:tcPr>
          <w:p w14:paraId="494391A8" w14:textId="77777777" w:rsidR="00BD5588" w:rsidRPr="00AA3493" w:rsidRDefault="00656B5C" w:rsidP="00EE1D64">
            <w:pPr>
              <w:contextualSpacing/>
            </w:pPr>
            <w:r w:rsidRPr="00AA3493">
              <w:t>Plānotās sabiedrības līdzdalības un komunikācijas aktivitātes saistībā ar projektu</w:t>
            </w:r>
          </w:p>
        </w:tc>
        <w:tc>
          <w:tcPr>
            <w:tcW w:w="3048" w:type="pct"/>
          </w:tcPr>
          <w:p w14:paraId="494391A9" w14:textId="551D2BAE" w:rsidR="00161647" w:rsidRPr="00AA3493" w:rsidRDefault="00353055" w:rsidP="00EE1D64">
            <w:pPr>
              <w:contextualSpacing/>
              <w:jc w:val="both"/>
            </w:pPr>
            <w:hyperlink r:id="rId8" w:history="1"/>
            <w:hyperlink r:id="rId9" w:history="1"/>
            <w:r w:rsidR="00C706EA" w:rsidRPr="00AA3493">
              <w:t>Projekts šo jomu neskar.</w:t>
            </w:r>
          </w:p>
        </w:tc>
      </w:tr>
      <w:tr w:rsidR="00730B3B" w:rsidRPr="00AA3493" w14:paraId="494391AE" w14:textId="77777777" w:rsidTr="00412B20">
        <w:tc>
          <w:tcPr>
            <w:tcW w:w="232" w:type="pct"/>
            <w:hideMark/>
          </w:tcPr>
          <w:p w14:paraId="494391AB" w14:textId="77777777" w:rsidR="00BD5588" w:rsidRPr="00AA3493" w:rsidRDefault="00656B5C" w:rsidP="00EE1D64">
            <w:pPr>
              <w:contextualSpacing/>
              <w:jc w:val="center"/>
            </w:pPr>
            <w:r w:rsidRPr="00AA3493">
              <w:t>2.</w:t>
            </w:r>
          </w:p>
        </w:tc>
        <w:tc>
          <w:tcPr>
            <w:tcW w:w="1720" w:type="pct"/>
            <w:hideMark/>
          </w:tcPr>
          <w:p w14:paraId="494391AC" w14:textId="77777777" w:rsidR="00BD5588" w:rsidRPr="00AA3493" w:rsidRDefault="00656B5C" w:rsidP="00EE1D64">
            <w:pPr>
              <w:contextualSpacing/>
            </w:pPr>
            <w:r w:rsidRPr="00AA3493">
              <w:t>Sabiedrības līdzdalība projekta izstrādē</w:t>
            </w:r>
          </w:p>
        </w:tc>
        <w:tc>
          <w:tcPr>
            <w:tcW w:w="3048" w:type="pct"/>
          </w:tcPr>
          <w:p w14:paraId="494391AD" w14:textId="207C4324" w:rsidR="00FB3024" w:rsidRPr="00AA3493" w:rsidRDefault="00935221" w:rsidP="00EE1D64">
            <w:pPr>
              <w:pStyle w:val="naisnod"/>
              <w:spacing w:before="0" w:after="0"/>
              <w:ind w:right="57"/>
              <w:contextualSpacing/>
              <w:jc w:val="both"/>
              <w:rPr>
                <w:b w:val="0"/>
              </w:rPr>
            </w:pPr>
            <w:r w:rsidRPr="00AA3493">
              <w:rPr>
                <w:b w:val="0"/>
                <w:bCs w:val="0"/>
              </w:rPr>
              <w:t>Projekts šo jomu neskar</w:t>
            </w:r>
          </w:p>
        </w:tc>
      </w:tr>
      <w:tr w:rsidR="00730B3B" w:rsidRPr="00AA3493" w14:paraId="494391B2" w14:textId="77777777" w:rsidTr="00412B20">
        <w:tc>
          <w:tcPr>
            <w:tcW w:w="232" w:type="pct"/>
            <w:hideMark/>
          </w:tcPr>
          <w:p w14:paraId="494391AF" w14:textId="77777777" w:rsidR="00BD5588" w:rsidRPr="00AA3493" w:rsidRDefault="00656B5C" w:rsidP="00EE1D64">
            <w:pPr>
              <w:contextualSpacing/>
              <w:jc w:val="center"/>
            </w:pPr>
            <w:r w:rsidRPr="00AA3493">
              <w:t>3.</w:t>
            </w:r>
          </w:p>
        </w:tc>
        <w:tc>
          <w:tcPr>
            <w:tcW w:w="1720" w:type="pct"/>
            <w:hideMark/>
          </w:tcPr>
          <w:p w14:paraId="494391B0" w14:textId="77777777" w:rsidR="00BD5588" w:rsidRPr="00AA3493" w:rsidRDefault="00656B5C" w:rsidP="00EE1D64">
            <w:pPr>
              <w:contextualSpacing/>
            </w:pPr>
            <w:r w:rsidRPr="00AA3493">
              <w:t>Sabiedrības līdzdalības rezultāti</w:t>
            </w:r>
          </w:p>
        </w:tc>
        <w:tc>
          <w:tcPr>
            <w:tcW w:w="3048" w:type="pct"/>
          </w:tcPr>
          <w:p w14:paraId="494391B1" w14:textId="5A288A4D" w:rsidR="00251C35" w:rsidRPr="00AA3493" w:rsidRDefault="00935221" w:rsidP="00EE1D64">
            <w:pPr>
              <w:contextualSpacing/>
              <w:jc w:val="both"/>
            </w:pPr>
            <w:r w:rsidRPr="00AA3493">
              <w:rPr>
                <w:bCs/>
              </w:rPr>
              <w:t>Projekts šo jomu neskar</w:t>
            </w:r>
          </w:p>
        </w:tc>
      </w:tr>
      <w:tr w:rsidR="00730B3B" w:rsidRPr="00AA3493" w14:paraId="494391B7" w14:textId="77777777" w:rsidTr="00412B20">
        <w:trPr>
          <w:trHeight w:val="277"/>
        </w:trPr>
        <w:tc>
          <w:tcPr>
            <w:tcW w:w="232" w:type="pct"/>
            <w:hideMark/>
          </w:tcPr>
          <w:p w14:paraId="494391B3" w14:textId="77777777" w:rsidR="00BD5588" w:rsidRPr="00AA3493" w:rsidRDefault="00656B5C" w:rsidP="00EE1D64">
            <w:pPr>
              <w:contextualSpacing/>
              <w:jc w:val="center"/>
            </w:pPr>
            <w:r w:rsidRPr="00AA3493">
              <w:t>4.</w:t>
            </w:r>
          </w:p>
        </w:tc>
        <w:tc>
          <w:tcPr>
            <w:tcW w:w="1720" w:type="pct"/>
            <w:hideMark/>
          </w:tcPr>
          <w:p w14:paraId="494391B4" w14:textId="77777777" w:rsidR="00BD5588" w:rsidRPr="00AA3493" w:rsidRDefault="00656B5C" w:rsidP="00EE1D64">
            <w:pPr>
              <w:contextualSpacing/>
            </w:pPr>
            <w:r w:rsidRPr="00AA3493">
              <w:t>Cita informācija</w:t>
            </w:r>
          </w:p>
        </w:tc>
        <w:tc>
          <w:tcPr>
            <w:tcW w:w="3048" w:type="pct"/>
            <w:hideMark/>
          </w:tcPr>
          <w:p w14:paraId="494391B6" w14:textId="5DD33F25" w:rsidR="00161647" w:rsidRPr="00AA3493" w:rsidRDefault="00121FCD" w:rsidP="00EE1D64">
            <w:pPr>
              <w:contextualSpacing/>
              <w:jc w:val="both"/>
            </w:pPr>
            <w:r w:rsidRPr="00AA3493">
              <w:t>Saskaņā ar Valsts pārvaldes iekārtas likuma 45.</w:t>
            </w:r>
            <w:r w:rsidR="00935CF7" w:rsidRPr="00AA3493">
              <w:t xml:space="preserve"> </w:t>
            </w:r>
            <w:r w:rsidRPr="00AA3493">
              <w:t xml:space="preserve">panta piekto daļu </w:t>
            </w:r>
            <w:r w:rsidRPr="007658F1">
              <w:t xml:space="preserve">informācija par noslēgtajiem deleģēšanas </w:t>
            </w:r>
            <w:r w:rsidRPr="007658F1">
              <w:lastRenderedPageBreak/>
              <w:t xml:space="preserve">līgumiem, kā arī paši deleģēšanas līgumi ir </w:t>
            </w:r>
            <w:r w:rsidR="00F109E4" w:rsidRPr="007658F1">
              <w:t>jāpublicē Ekonomikas ministrijas mājas lapā internet</w:t>
            </w:r>
            <w:r w:rsidRPr="002E4A20">
              <w:t>ā</w:t>
            </w:r>
            <w:r w:rsidRPr="00AA3493">
              <w:rPr>
                <w:rStyle w:val="FootnoteReference"/>
              </w:rPr>
              <w:footnoteReference w:id="2"/>
            </w:r>
            <w:r w:rsidRPr="00AA3493">
              <w:t>.</w:t>
            </w:r>
          </w:p>
        </w:tc>
      </w:tr>
    </w:tbl>
    <w:p w14:paraId="494391B8" w14:textId="77777777" w:rsidR="00161647" w:rsidRPr="00AA3493"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3081"/>
        <w:gridCol w:w="5527"/>
      </w:tblGrid>
      <w:tr w:rsidR="00730B3B" w:rsidRPr="00AA3493" w14:paraId="494391BB" w14:textId="77777777" w:rsidTr="00412B20">
        <w:trPr>
          <w:cantSplit/>
          <w:trHeight w:val="54"/>
        </w:trPr>
        <w:tc>
          <w:tcPr>
            <w:tcW w:w="5000" w:type="pct"/>
            <w:gridSpan w:val="3"/>
            <w:vAlign w:val="center"/>
            <w:hideMark/>
          </w:tcPr>
          <w:p w14:paraId="494391BA" w14:textId="2B492462" w:rsidR="00BD5588" w:rsidRPr="00AA3493" w:rsidRDefault="00656B5C" w:rsidP="00EE1D64">
            <w:pPr>
              <w:contextualSpacing/>
              <w:jc w:val="center"/>
            </w:pPr>
            <w:r w:rsidRPr="00AA3493">
              <w:rPr>
                <w:b/>
                <w:bCs/>
              </w:rPr>
              <w:t>VII. Tiesību akta projekta izpildes nodrošināšan</w:t>
            </w:r>
            <w:r w:rsidR="00B76031" w:rsidRPr="00AA3493">
              <w:rPr>
                <w:b/>
                <w:bCs/>
              </w:rPr>
              <w:t>a un tās ietekme uz institūcijām</w:t>
            </w:r>
          </w:p>
        </w:tc>
      </w:tr>
      <w:tr w:rsidR="00730B3B" w:rsidRPr="00AA3493" w14:paraId="494391BF" w14:textId="77777777" w:rsidTr="00412B20">
        <w:trPr>
          <w:cantSplit/>
        </w:trPr>
        <w:tc>
          <w:tcPr>
            <w:tcW w:w="253" w:type="pct"/>
            <w:hideMark/>
          </w:tcPr>
          <w:p w14:paraId="494391BC" w14:textId="77777777" w:rsidR="00BD5588" w:rsidRPr="00AA3493" w:rsidRDefault="00656B5C" w:rsidP="00EE1D64">
            <w:pPr>
              <w:contextualSpacing/>
              <w:jc w:val="center"/>
            </w:pPr>
            <w:r w:rsidRPr="00AA3493">
              <w:t>1.</w:t>
            </w:r>
          </w:p>
        </w:tc>
        <w:tc>
          <w:tcPr>
            <w:tcW w:w="1699" w:type="pct"/>
            <w:hideMark/>
          </w:tcPr>
          <w:p w14:paraId="494391BD" w14:textId="77777777" w:rsidR="00BD5588" w:rsidRPr="00AA3493" w:rsidRDefault="00656B5C" w:rsidP="00EE1D64">
            <w:pPr>
              <w:contextualSpacing/>
            </w:pPr>
            <w:r w:rsidRPr="00AA3493">
              <w:t>Projekta izpildē iesaistītās institūcijas</w:t>
            </w:r>
          </w:p>
        </w:tc>
        <w:tc>
          <w:tcPr>
            <w:tcW w:w="3048" w:type="pct"/>
            <w:hideMark/>
          </w:tcPr>
          <w:p w14:paraId="494391BE" w14:textId="75B454EF" w:rsidR="003046D3" w:rsidRPr="00AA3493" w:rsidRDefault="00935221" w:rsidP="00EE1D64">
            <w:pPr>
              <w:contextualSpacing/>
              <w:jc w:val="both"/>
            </w:pPr>
            <w:r w:rsidRPr="00AA3493">
              <w:t>Ekonomikas ministrija, SIA “Serteks”</w:t>
            </w:r>
          </w:p>
        </w:tc>
      </w:tr>
      <w:tr w:rsidR="00730B3B" w:rsidRPr="00AA3493" w14:paraId="494391C4" w14:textId="77777777" w:rsidTr="00412B20">
        <w:tc>
          <w:tcPr>
            <w:tcW w:w="253" w:type="pct"/>
            <w:hideMark/>
          </w:tcPr>
          <w:p w14:paraId="494391C0" w14:textId="77777777" w:rsidR="00BD5588" w:rsidRPr="00AA3493" w:rsidRDefault="00656B5C" w:rsidP="00EE1D64">
            <w:pPr>
              <w:contextualSpacing/>
              <w:jc w:val="center"/>
            </w:pPr>
            <w:r w:rsidRPr="00AA3493">
              <w:t>2.</w:t>
            </w:r>
          </w:p>
        </w:tc>
        <w:tc>
          <w:tcPr>
            <w:tcW w:w="1699" w:type="pct"/>
            <w:hideMark/>
          </w:tcPr>
          <w:p w14:paraId="494391C1" w14:textId="77777777" w:rsidR="00BD5588" w:rsidRPr="00AA3493" w:rsidRDefault="00656B5C" w:rsidP="00EE1D64">
            <w:pPr>
              <w:contextualSpacing/>
            </w:pPr>
            <w:r w:rsidRPr="00AA3493">
              <w:t>Projekta izpildes ietekme uz pārvaldes funkcijām un institucionālo struktūru.</w:t>
            </w:r>
            <w:r w:rsidRPr="00AA3493">
              <w:br/>
              <w:t>Jaunu institūciju izveide, esošu institūciju likvidācija vai reorganizācija, to ietekme uz institūcijas cilvēkresursiem</w:t>
            </w:r>
          </w:p>
        </w:tc>
        <w:tc>
          <w:tcPr>
            <w:tcW w:w="3048" w:type="pct"/>
            <w:hideMark/>
          </w:tcPr>
          <w:p w14:paraId="1B2D2518" w14:textId="1F4B9B95" w:rsidR="00640D77" w:rsidRDefault="00FA0A43" w:rsidP="00EE1D64">
            <w:pPr>
              <w:ind w:left="82" w:right="161"/>
              <w:contextualSpacing/>
              <w:jc w:val="both"/>
            </w:pPr>
            <w:r>
              <w:t>P</w:t>
            </w:r>
            <w:r w:rsidR="00640D77" w:rsidRPr="007D6895">
              <w:t xml:space="preserve">rojekta izpilde tiks nodrošināta esošo funkciju ietvaros, nav </w:t>
            </w:r>
            <w:r w:rsidR="00856ABF">
              <w:t xml:space="preserve">paredzēta jaunu </w:t>
            </w:r>
            <w:r w:rsidR="00640D77" w:rsidRPr="007D6895">
              <w:t>institūcij</w:t>
            </w:r>
            <w:r w:rsidR="00856ABF">
              <w:t>u izveidošana</w:t>
            </w:r>
            <w:r w:rsidR="00640D77" w:rsidRPr="007D6895">
              <w:t>, esoš</w:t>
            </w:r>
            <w:r w:rsidR="00856ABF">
              <w:t>o</w:t>
            </w:r>
            <w:r w:rsidR="00640D77" w:rsidRPr="007D6895">
              <w:t xml:space="preserve"> institūcij</w:t>
            </w:r>
            <w:r w:rsidR="00856ABF">
              <w:t xml:space="preserve">u </w:t>
            </w:r>
            <w:r w:rsidR="00856ABF" w:rsidRPr="007D6895">
              <w:t>likvidē</w:t>
            </w:r>
            <w:r w:rsidR="00856ABF">
              <w:t>šana</w:t>
            </w:r>
            <w:r w:rsidR="00640D77" w:rsidRPr="007D6895">
              <w:t xml:space="preserve"> vai reorganizācij</w:t>
            </w:r>
            <w:r w:rsidR="00856ABF">
              <w:t>a</w:t>
            </w:r>
            <w:r w:rsidR="00640D77" w:rsidRPr="007D6895">
              <w:t>.</w:t>
            </w:r>
          </w:p>
          <w:p w14:paraId="494391C3" w14:textId="604E9E16" w:rsidR="00CE664B" w:rsidRPr="00AA3493" w:rsidRDefault="006E68F7" w:rsidP="00EE1D64">
            <w:pPr>
              <w:ind w:left="82" w:right="161"/>
              <w:contextualSpacing/>
              <w:jc w:val="both"/>
            </w:pPr>
            <w:r>
              <w:rPr>
                <w:iCs/>
              </w:rPr>
              <w:t>P</w:t>
            </w:r>
            <w:r w:rsidR="00640D77" w:rsidRPr="0045538D">
              <w:rPr>
                <w:iCs/>
              </w:rPr>
              <w:t>rojekta izpilde tiks organizēta esošo cilvēkresursu ietvaros.</w:t>
            </w:r>
          </w:p>
        </w:tc>
      </w:tr>
      <w:tr w:rsidR="004E638D" w:rsidRPr="00AA3493" w14:paraId="494391C8" w14:textId="77777777" w:rsidTr="00412B20">
        <w:trPr>
          <w:cantSplit/>
        </w:trPr>
        <w:tc>
          <w:tcPr>
            <w:tcW w:w="253" w:type="pct"/>
            <w:hideMark/>
          </w:tcPr>
          <w:p w14:paraId="494391C5" w14:textId="77777777" w:rsidR="00BD5588" w:rsidRPr="00AA3493" w:rsidRDefault="00656B5C" w:rsidP="00EE1D64">
            <w:pPr>
              <w:contextualSpacing/>
              <w:jc w:val="center"/>
              <w:rPr>
                <w:highlight w:val="yellow"/>
              </w:rPr>
            </w:pPr>
            <w:r w:rsidRPr="00AA3493">
              <w:t>3.</w:t>
            </w:r>
          </w:p>
        </w:tc>
        <w:tc>
          <w:tcPr>
            <w:tcW w:w="1699" w:type="pct"/>
            <w:hideMark/>
          </w:tcPr>
          <w:p w14:paraId="494391C6" w14:textId="77777777" w:rsidR="00BD5588" w:rsidRPr="00AA3493" w:rsidRDefault="00656B5C" w:rsidP="00EE1D64">
            <w:pPr>
              <w:contextualSpacing/>
            </w:pPr>
            <w:r w:rsidRPr="00AA3493">
              <w:t>Cita informācija</w:t>
            </w:r>
          </w:p>
        </w:tc>
        <w:tc>
          <w:tcPr>
            <w:tcW w:w="3048" w:type="pct"/>
            <w:hideMark/>
          </w:tcPr>
          <w:p w14:paraId="494391C7" w14:textId="77777777" w:rsidR="00BD5588" w:rsidRPr="00AA3493" w:rsidRDefault="00656B5C" w:rsidP="00EE1D64">
            <w:pPr>
              <w:ind w:firstLine="108"/>
              <w:contextualSpacing/>
            </w:pPr>
            <w:r w:rsidRPr="00AA3493">
              <w:t>Nav</w:t>
            </w:r>
            <w:r w:rsidR="00EA3D31" w:rsidRPr="00AA3493">
              <w:t>.</w:t>
            </w:r>
          </w:p>
        </w:tc>
      </w:tr>
    </w:tbl>
    <w:p w14:paraId="494391CA" w14:textId="77777777" w:rsidR="006F71EA" w:rsidRPr="00AA3493" w:rsidRDefault="006F71EA" w:rsidP="00EE1D64">
      <w:pPr>
        <w:tabs>
          <w:tab w:val="left" w:pos="6804"/>
        </w:tabs>
        <w:contextualSpacing/>
        <w:rPr>
          <w:lang w:eastAsia="ru-RU"/>
        </w:rPr>
      </w:pPr>
    </w:p>
    <w:p w14:paraId="494391CB" w14:textId="77777777" w:rsidR="00F615B8" w:rsidRPr="00AA3493" w:rsidRDefault="00F615B8" w:rsidP="00EE1D64">
      <w:pPr>
        <w:tabs>
          <w:tab w:val="left" w:pos="6804"/>
        </w:tabs>
        <w:contextualSpacing/>
        <w:rPr>
          <w:lang w:eastAsia="ru-RU"/>
        </w:rPr>
      </w:pPr>
    </w:p>
    <w:p w14:paraId="494391CC" w14:textId="0802FEC9" w:rsidR="00D21A8A" w:rsidRPr="00AA3493" w:rsidRDefault="006F71EA" w:rsidP="00EE1D64">
      <w:pPr>
        <w:tabs>
          <w:tab w:val="left" w:pos="7230"/>
        </w:tabs>
        <w:contextualSpacing/>
        <w:rPr>
          <w:lang w:eastAsia="ru-RU"/>
        </w:rPr>
      </w:pPr>
      <w:r w:rsidRPr="00AA3493">
        <w:rPr>
          <w:lang w:eastAsia="ru-RU"/>
        </w:rPr>
        <w:t>Ekonomikas ministrs</w:t>
      </w:r>
      <w:r w:rsidR="00AA3493">
        <w:rPr>
          <w:lang w:eastAsia="ru-RU"/>
        </w:rPr>
        <w:tab/>
      </w:r>
      <w:r w:rsidR="00C87146" w:rsidRPr="00AA3493">
        <w:rPr>
          <w:lang w:eastAsia="ru-RU"/>
        </w:rPr>
        <w:t>R</w:t>
      </w:r>
      <w:r w:rsidR="009C36C3" w:rsidRPr="00AA3493">
        <w:rPr>
          <w:lang w:eastAsia="ru-RU"/>
        </w:rPr>
        <w:t>.</w:t>
      </w:r>
      <w:r w:rsidR="00B16445" w:rsidRPr="00AA3493">
        <w:rPr>
          <w:lang w:eastAsia="ru-RU"/>
        </w:rPr>
        <w:t xml:space="preserve"> </w:t>
      </w:r>
      <w:r w:rsidR="00C87146" w:rsidRPr="00AA3493">
        <w:rPr>
          <w:lang w:eastAsia="ru-RU"/>
        </w:rPr>
        <w:t>Nemiro</w:t>
      </w:r>
    </w:p>
    <w:p w14:paraId="494391CE" w14:textId="5A1803BC" w:rsidR="00F615B8" w:rsidRDefault="00F615B8" w:rsidP="00EE1D64">
      <w:pPr>
        <w:tabs>
          <w:tab w:val="left" w:pos="7230"/>
        </w:tabs>
        <w:contextualSpacing/>
        <w:rPr>
          <w:lang w:eastAsia="ru-RU"/>
        </w:rPr>
      </w:pPr>
    </w:p>
    <w:p w14:paraId="66542766" w14:textId="77777777" w:rsidR="00412B20" w:rsidRPr="00AA3493" w:rsidRDefault="00412B20" w:rsidP="00EE1D64">
      <w:pPr>
        <w:tabs>
          <w:tab w:val="left" w:pos="7230"/>
        </w:tabs>
        <w:contextualSpacing/>
        <w:rPr>
          <w:lang w:eastAsia="ru-RU"/>
        </w:rPr>
      </w:pPr>
    </w:p>
    <w:p w14:paraId="494391CF" w14:textId="77777777" w:rsidR="00D21A8A" w:rsidRPr="00AA3493" w:rsidRDefault="00656B5C" w:rsidP="00EE1D64">
      <w:pPr>
        <w:tabs>
          <w:tab w:val="left" w:pos="7230"/>
        </w:tabs>
        <w:contextualSpacing/>
        <w:rPr>
          <w:lang w:eastAsia="ru-RU"/>
        </w:rPr>
      </w:pPr>
      <w:r w:rsidRPr="00AA3493">
        <w:rPr>
          <w:lang w:eastAsia="ru-RU"/>
        </w:rPr>
        <w:t xml:space="preserve">Vīza: </w:t>
      </w:r>
    </w:p>
    <w:p w14:paraId="494391D0" w14:textId="2D91FD91" w:rsidR="00D21A8A" w:rsidRPr="00AA3493" w:rsidRDefault="00656B5C" w:rsidP="00EE1D64">
      <w:pPr>
        <w:tabs>
          <w:tab w:val="left" w:pos="7230"/>
          <w:tab w:val="left" w:pos="7371"/>
        </w:tabs>
        <w:contextualSpacing/>
        <w:rPr>
          <w:lang w:eastAsia="ru-RU"/>
        </w:rPr>
      </w:pPr>
      <w:r w:rsidRPr="00AA3493">
        <w:rPr>
          <w:lang w:eastAsia="ru-RU"/>
        </w:rPr>
        <w:t xml:space="preserve">Valsts </w:t>
      </w:r>
      <w:r w:rsidR="00B16445" w:rsidRPr="00AA3493">
        <w:rPr>
          <w:lang w:eastAsia="ru-RU"/>
        </w:rPr>
        <w:t>sekretār</w:t>
      </w:r>
      <w:r w:rsidR="006F71EA" w:rsidRPr="00AA3493">
        <w:rPr>
          <w:lang w:eastAsia="ru-RU"/>
        </w:rPr>
        <w:t>s</w:t>
      </w:r>
      <w:r w:rsidR="00AA3493">
        <w:rPr>
          <w:lang w:eastAsia="ru-RU"/>
        </w:rPr>
        <w:tab/>
      </w:r>
      <w:r w:rsidR="009C36C3" w:rsidRPr="00AA3493">
        <w:rPr>
          <w:lang w:eastAsia="ru-RU"/>
        </w:rPr>
        <w:t>Ē.</w:t>
      </w:r>
      <w:r w:rsidR="00B16445" w:rsidRPr="00AA3493">
        <w:rPr>
          <w:lang w:eastAsia="ru-RU"/>
        </w:rPr>
        <w:t xml:space="preserve"> </w:t>
      </w:r>
      <w:r w:rsidR="009C36C3" w:rsidRPr="00AA3493">
        <w:rPr>
          <w:lang w:eastAsia="ru-RU"/>
        </w:rPr>
        <w:t>Eglītis</w:t>
      </w:r>
    </w:p>
    <w:p w14:paraId="494391D2" w14:textId="43A163EF" w:rsidR="00F615B8" w:rsidRDefault="00F615B8" w:rsidP="00EE1D64">
      <w:pPr>
        <w:suppressAutoHyphens/>
        <w:contextualSpacing/>
        <w:rPr>
          <w:sz w:val="20"/>
          <w:szCs w:val="20"/>
          <w:lang w:eastAsia="ru-RU"/>
        </w:rPr>
      </w:pPr>
    </w:p>
    <w:p w14:paraId="2183941A" w14:textId="77777777" w:rsidR="00412B20" w:rsidRDefault="00412B20" w:rsidP="00EE1D64">
      <w:pPr>
        <w:suppressAutoHyphens/>
        <w:contextualSpacing/>
        <w:rPr>
          <w:sz w:val="20"/>
          <w:szCs w:val="20"/>
          <w:lang w:eastAsia="ru-RU"/>
        </w:rPr>
      </w:pPr>
    </w:p>
    <w:p w14:paraId="494391D8" w14:textId="77777777" w:rsidR="005F11BD" w:rsidRPr="00935221" w:rsidRDefault="00265082" w:rsidP="00EE1D64">
      <w:pPr>
        <w:tabs>
          <w:tab w:val="left" w:pos="0"/>
        </w:tabs>
        <w:contextualSpacing/>
        <w:jc w:val="both"/>
        <w:rPr>
          <w:sz w:val="20"/>
          <w:szCs w:val="20"/>
          <w:lang w:eastAsia="ru-RU"/>
        </w:rPr>
      </w:pPr>
      <w:r w:rsidRPr="00935221">
        <w:rPr>
          <w:sz w:val="20"/>
          <w:szCs w:val="20"/>
          <w:lang w:eastAsia="ru-RU"/>
        </w:rPr>
        <w:t xml:space="preserve">Gusts </w:t>
      </w:r>
      <w:r w:rsidR="009C36C3" w:rsidRPr="00935221">
        <w:rPr>
          <w:sz w:val="20"/>
          <w:szCs w:val="20"/>
          <w:lang w:eastAsia="ru-RU"/>
        </w:rPr>
        <w:t>Sproģis</w:t>
      </w:r>
      <w:r w:rsidR="00B16445" w:rsidRPr="00935221">
        <w:rPr>
          <w:sz w:val="20"/>
          <w:szCs w:val="20"/>
          <w:lang w:eastAsia="ru-RU"/>
        </w:rPr>
        <w:t>,</w:t>
      </w:r>
      <w:r w:rsidR="00B10692" w:rsidRPr="00935221">
        <w:rPr>
          <w:sz w:val="20"/>
          <w:szCs w:val="20"/>
          <w:lang w:eastAsia="ru-RU"/>
        </w:rPr>
        <w:t xml:space="preserve"> </w:t>
      </w:r>
      <w:r w:rsidR="005F11BD" w:rsidRPr="00935221">
        <w:rPr>
          <w:sz w:val="20"/>
          <w:szCs w:val="20"/>
          <w:lang w:eastAsia="ru-RU"/>
        </w:rPr>
        <w:t>670</w:t>
      </w:r>
      <w:r w:rsidR="009C36C3" w:rsidRPr="00935221">
        <w:rPr>
          <w:sz w:val="20"/>
          <w:szCs w:val="20"/>
          <w:lang w:eastAsia="ru-RU"/>
        </w:rPr>
        <w:t>13113</w:t>
      </w:r>
    </w:p>
    <w:p w14:paraId="494391D9" w14:textId="77777777" w:rsidR="005F11BD" w:rsidRPr="00935221" w:rsidRDefault="009C36C3" w:rsidP="00EE1D64">
      <w:pPr>
        <w:tabs>
          <w:tab w:val="left" w:pos="0"/>
        </w:tabs>
        <w:contextualSpacing/>
        <w:jc w:val="both"/>
        <w:rPr>
          <w:sz w:val="20"/>
          <w:szCs w:val="20"/>
          <w:lang w:eastAsia="ru-RU"/>
        </w:rPr>
      </w:pPr>
      <w:r w:rsidRPr="00935221">
        <w:rPr>
          <w:sz w:val="20"/>
          <w:szCs w:val="20"/>
          <w:lang w:eastAsia="ru-RU"/>
        </w:rPr>
        <w:t>Gusts</w:t>
      </w:r>
      <w:r w:rsidR="005F11BD" w:rsidRPr="00935221">
        <w:rPr>
          <w:sz w:val="20"/>
          <w:szCs w:val="20"/>
          <w:lang w:eastAsia="ru-RU"/>
        </w:rPr>
        <w:t>.</w:t>
      </w:r>
      <w:r w:rsidRPr="00935221">
        <w:rPr>
          <w:sz w:val="20"/>
          <w:szCs w:val="20"/>
          <w:lang w:eastAsia="ru-RU"/>
        </w:rPr>
        <w:t>Sprogis</w:t>
      </w:r>
      <w:r w:rsidR="005F11BD" w:rsidRPr="00935221">
        <w:rPr>
          <w:sz w:val="20"/>
          <w:szCs w:val="20"/>
          <w:lang w:eastAsia="ru-RU"/>
        </w:rPr>
        <w:t>@</w:t>
      </w:r>
      <w:r w:rsidRPr="00935221">
        <w:rPr>
          <w:sz w:val="20"/>
          <w:szCs w:val="20"/>
          <w:lang w:eastAsia="ru-RU"/>
        </w:rPr>
        <w:t>em</w:t>
      </w:r>
      <w:r w:rsidR="005F11BD" w:rsidRPr="00935221">
        <w:rPr>
          <w:sz w:val="20"/>
          <w:szCs w:val="20"/>
          <w:lang w:eastAsia="ru-RU"/>
        </w:rPr>
        <w:t>.gov.lv</w:t>
      </w:r>
    </w:p>
    <w:sectPr w:rsidR="005F11BD" w:rsidRPr="00935221" w:rsidSect="00412B20">
      <w:headerReference w:type="default" r:id="rId10"/>
      <w:footerReference w:type="default" r:id="rId11"/>
      <w:footerReference w:type="first" r:id="rId12"/>
      <w:pgSz w:w="11906" w:h="16838" w:code="9"/>
      <w:pgMar w:top="1134" w:right="1134"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03A9" w14:textId="77777777" w:rsidR="00353055" w:rsidRDefault="00353055">
      <w:r>
        <w:separator/>
      </w:r>
    </w:p>
  </w:endnote>
  <w:endnote w:type="continuationSeparator" w:id="0">
    <w:p w14:paraId="25F3167F" w14:textId="77777777" w:rsidR="00353055" w:rsidRDefault="0035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0" w14:textId="7A477E02" w:rsidR="00BD26F1" w:rsidRPr="009C36C3" w:rsidRDefault="00BD26F1"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C1D7A">
      <w:rPr>
        <w:noProof/>
        <w:sz w:val="20"/>
        <w:szCs w:val="20"/>
      </w:rPr>
      <w:t>EMAnot_261119_ARH_cenr.docx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1" w14:textId="370DC43B" w:rsidR="00BD26F1" w:rsidRDefault="00BD26F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C1D7A">
      <w:rPr>
        <w:noProof/>
        <w:sz w:val="20"/>
        <w:szCs w:val="20"/>
      </w:rPr>
      <w:t>EMAnot_261119_ARH_cenr.docx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84B8" w14:textId="77777777" w:rsidR="00353055" w:rsidRDefault="00353055">
      <w:r>
        <w:separator/>
      </w:r>
    </w:p>
  </w:footnote>
  <w:footnote w:type="continuationSeparator" w:id="0">
    <w:p w14:paraId="30D15514" w14:textId="77777777" w:rsidR="00353055" w:rsidRDefault="00353055">
      <w:r>
        <w:continuationSeparator/>
      </w:r>
    </w:p>
  </w:footnote>
  <w:footnote w:id="1">
    <w:p w14:paraId="29D528C5" w14:textId="623705D7" w:rsidR="00BD26F1" w:rsidRDefault="00BD26F1">
      <w:pPr>
        <w:pStyle w:val="FootnoteText"/>
      </w:pPr>
      <w:r>
        <w:rPr>
          <w:rStyle w:val="FootnoteReference"/>
        </w:rPr>
        <w:footnoteRef/>
      </w:r>
      <w:r>
        <w:t xml:space="preserve"> </w:t>
      </w:r>
      <w:hyperlink r:id="rId1" w:history="1">
        <w:r w:rsidRPr="00FF723D">
          <w:rPr>
            <w:rStyle w:val="Hyperlink"/>
          </w:rPr>
          <w:t>https://www.em.gov.lv/files/attachments/Serteks_Delegesanas_Ligums_5.2-17.2_2019_10.pdf</w:t>
        </w:r>
      </w:hyperlink>
    </w:p>
  </w:footnote>
  <w:footnote w:id="2">
    <w:p w14:paraId="494391E2" w14:textId="31064522" w:rsidR="00BD26F1" w:rsidRDefault="00BD26F1">
      <w:pPr>
        <w:pStyle w:val="FootnoteText"/>
      </w:pPr>
      <w:r>
        <w:rPr>
          <w:rStyle w:val="FootnoteReference"/>
        </w:rPr>
        <w:footnoteRef/>
      </w:r>
      <w:r>
        <w:t xml:space="preserve"> </w:t>
      </w:r>
      <w:bookmarkStart w:id="2" w:name="_Hlk536455591"/>
      <w:r w:rsidRPr="00F109E4">
        <w:t>https://www.em.gov.lv/lv/nozares_politika/buvnieciba/</w:t>
      </w:r>
      <w:r>
        <w:t>buvspecialisti</w:t>
      </w:r>
      <w:r w:rsidRPr="00F109E4">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57078"/>
      <w:docPartObj>
        <w:docPartGallery w:val="Page Numbers (Top of Page)"/>
        <w:docPartUnique/>
      </w:docPartObj>
    </w:sdtPr>
    <w:sdtEndPr>
      <w:rPr>
        <w:noProof/>
        <w:sz w:val="20"/>
        <w:szCs w:val="20"/>
      </w:rPr>
    </w:sdtEndPr>
    <w:sdtContent>
      <w:p w14:paraId="494391DE" w14:textId="77777777" w:rsidR="00BD26F1" w:rsidRPr="00AA3493" w:rsidRDefault="00BD26F1">
        <w:pPr>
          <w:pStyle w:val="Header"/>
          <w:jc w:val="center"/>
          <w:rPr>
            <w:sz w:val="20"/>
            <w:szCs w:val="20"/>
          </w:rPr>
        </w:pPr>
        <w:r w:rsidRPr="00AA3493">
          <w:rPr>
            <w:sz w:val="20"/>
            <w:szCs w:val="20"/>
          </w:rPr>
          <w:fldChar w:fldCharType="begin"/>
        </w:r>
        <w:r w:rsidRPr="00AA3493">
          <w:rPr>
            <w:sz w:val="20"/>
            <w:szCs w:val="20"/>
          </w:rPr>
          <w:instrText xml:space="preserve"> PAGE   \* MERGEFORMAT </w:instrText>
        </w:r>
        <w:r w:rsidRPr="00AA3493">
          <w:rPr>
            <w:sz w:val="20"/>
            <w:szCs w:val="20"/>
          </w:rPr>
          <w:fldChar w:fldCharType="separate"/>
        </w:r>
        <w:r w:rsidRPr="00AA3493">
          <w:rPr>
            <w:noProof/>
            <w:sz w:val="20"/>
            <w:szCs w:val="20"/>
          </w:rPr>
          <w:t>13</w:t>
        </w:r>
        <w:r w:rsidRPr="00AA3493">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multilevel"/>
    <w:tmpl w:val="59F8E312"/>
    <w:lvl w:ilvl="0">
      <w:start w:val="1"/>
      <w:numFmt w:val="decimal"/>
      <w:lvlText w:val="%1."/>
      <w:lvlJc w:val="left"/>
      <w:pPr>
        <w:ind w:left="752" w:hanging="360"/>
      </w:pPr>
      <w:rPr>
        <w:rFonts w:hint="default"/>
      </w:rPr>
    </w:lvl>
    <w:lvl w:ilvl="1">
      <w:start w:val="1"/>
      <w:numFmt w:val="decimal"/>
      <w:isLgl/>
      <w:lvlText w:val="%1.%2."/>
      <w:lvlJc w:val="left"/>
      <w:pPr>
        <w:ind w:left="1112"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27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440"/>
      </w:pPr>
      <w:rPr>
        <w:rFonts w:hint="default"/>
      </w:rPr>
    </w:lvl>
    <w:lvl w:ilvl="8">
      <w:start w:val="1"/>
      <w:numFmt w:val="decimal"/>
      <w:isLgl/>
      <w:lvlText w:val="%1.%2.%3.%4.%5.%6.%7.%8.%9."/>
      <w:lvlJc w:val="left"/>
      <w:pPr>
        <w:ind w:left="5072" w:hanging="1800"/>
      </w:pPr>
      <w:rPr>
        <w:rFonts w:hint="default"/>
      </w:rPr>
    </w:lvl>
  </w:abstractNum>
  <w:abstractNum w:abstractNumId="6" w15:restartNumberingAfterBreak="0">
    <w:nsid w:val="171D5AD5"/>
    <w:multiLevelType w:val="hybridMultilevel"/>
    <w:tmpl w:val="C2DAC68A"/>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7"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8"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9" w15:restartNumberingAfterBreak="0">
    <w:nsid w:val="21835D55"/>
    <w:multiLevelType w:val="hybridMultilevel"/>
    <w:tmpl w:val="F3D49B98"/>
    <w:lvl w:ilvl="0" w:tplc="191E0696">
      <w:start w:val="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11"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2"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5" w15:restartNumberingAfterBreak="0">
    <w:nsid w:val="42F90558"/>
    <w:multiLevelType w:val="hybridMultilevel"/>
    <w:tmpl w:val="9A203482"/>
    <w:lvl w:ilvl="0" w:tplc="16F2B88C">
      <w:start w:val="1"/>
      <w:numFmt w:val="bullet"/>
      <w:lvlText w:val=""/>
      <w:lvlJc w:val="left"/>
      <w:pPr>
        <w:ind w:left="8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7"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18"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9"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0"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22" w15:restartNumberingAfterBreak="0">
    <w:nsid w:val="69A76ABD"/>
    <w:multiLevelType w:val="hybridMultilevel"/>
    <w:tmpl w:val="D45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4"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5"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7"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28"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17"/>
  </w:num>
  <w:num w:numId="4">
    <w:abstractNumId w:val="24"/>
  </w:num>
  <w:num w:numId="5">
    <w:abstractNumId w:val="10"/>
  </w:num>
  <w:num w:numId="6">
    <w:abstractNumId w:val="16"/>
  </w:num>
  <w:num w:numId="7">
    <w:abstractNumId w:val="3"/>
  </w:num>
  <w:num w:numId="8">
    <w:abstractNumId w:val="1"/>
  </w:num>
  <w:num w:numId="9">
    <w:abstractNumId w:val="23"/>
  </w:num>
  <w:num w:numId="10">
    <w:abstractNumId w:val="11"/>
  </w:num>
  <w:num w:numId="11">
    <w:abstractNumId w:val="21"/>
  </w:num>
  <w:num w:numId="12">
    <w:abstractNumId w:val="14"/>
  </w:num>
  <w:num w:numId="13">
    <w:abstractNumId w:val="18"/>
  </w:num>
  <w:num w:numId="14">
    <w:abstractNumId w:val="0"/>
  </w:num>
  <w:num w:numId="15">
    <w:abstractNumId w:val="28"/>
  </w:num>
  <w:num w:numId="16">
    <w:abstractNumId w:val="25"/>
  </w:num>
  <w:num w:numId="17">
    <w:abstractNumId w:val="20"/>
  </w:num>
  <w:num w:numId="18">
    <w:abstractNumId w:val="4"/>
  </w:num>
  <w:num w:numId="19">
    <w:abstractNumId w:val="5"/>
  </w:num>
  <w:num w:numId="20">
    <w:abstractNumId w:val="13"/>
  </w:num>
  <w:num w:numId="21">
    <w:abstractNumId w:val="12"/>
  </w:num>
  <w:num w:numId="22">
    <w:abstractNumId w:val="8"/>
  </w:num>
  <w:num w:numId="23">
    <w:abstractNumId w:val="26"/>
  </w:num>
  <w:num w:numId="24">
    <w:abstractNumId w:val="7"/>
  </w:num>
  <w:num w:numId="25">
    <w:abstractNumId w:val="19"/>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09D8"/>
    <w:rsid w:val="00003B47"/>
    <w:rsid w:val="00003D69"/>
    <w:rsid w:val="0000686F"/>
    <w:rsid w:val="00012352"/>
    <w:rsid w:val="00013E9A"/>
    <w:rsid w:val="00021740"/>
    <w:rsid w:val="000259BE"/>
    <w:rsid w:val="00026A3E"/>
    <w:rsid w:val="00026F27"/>
    <w:rsid w:val="00031364"/>
    <w:rsid w:val="0003391E"/>
    <w:rsid w:val="000347D8"/>
    <w:rsid w:val="000365F0"/>
    <w:rsid w:val="0003749D"/>
    <w:rsid w:val="00037A92"/>
    <w:rsid w:val="0004239D"/>
    <w:rsid w:val="00047406"/>
    <w:rsid w:val="00052657"/>
    <w:rsid w:val="00053C46"/>
    <w:rsid w:val="0005630E"/>
    <w:rsid w:val="00057408"/>
    <w:rsid w:val="00060F24"/>
    <w:rsid w:val="00061012"/>
    <w:rsid w:val="00063446"/>
    <w:rsid w:val="00064AFF"/>
    <w:rsid w:val="00064DE9"/>
    <w:rsid w:val="00066C9C"/>
    <w:rsid w:val="000719FE"/>
    <w:rsid w:val="000722CA"/>
    <w:rsid w:val="000727FC"/>
    <w:rsid w:val="000754B3"/>
    <w:rsid w:val="0007674D"/>
    <w:rsid w:val="00076CC8"/>
    <w:rsid w:val="00080441"/>
    <w:rsid w:val="00083E83"/>
    <w:rsid w:val="00085008"/>
    <w:rsid w:val="0008718F"/>
    <w:rsid w:val="00087451"/>
    <w:rsid w:val="00087587"/>
    <w:rsid w:val="00087AE9"/>
    <w:rsid w:val="00087DC4"/>
    <w:rsid w:val="0009085E"/>
    <w:rsid w:val="00090DCF"/>
    <w:rsid w:val="00092BEE"/>
    <w:rsid w:val="00096052"/>
    <w:rsid w:val="000A7D26"/>
    <w:rsid w:val="000A7E37"/>
    <w:rsid w:val="000B4DC5"/>
    <w:rsid w:val="000B4EFE"/>
    <w:rsid w:val="000C1448"/>
    <w:rsid w:val="000C295D"/>
    <w:rsid w:val="000C403F"/>
    <w:rsid w:val="000C44E4"/>
    <w:rsid w:val="000C4D2D"/>
    <w:rsid w:val="000C5469"/>
    <w:rsid w:val="000C78E6"/>
    <w:rsid w:val="000D2D9C"/>
    <w:rsid w:val="000D4323"/>
    <w:rsid w:val="000E056E"/>
    <w:rsid w:val="000E14F5"/>
    <w:rsid w:val="000E17E6"/>
    <w:rsid w:val="000E1B3E"/>
    <w:rsid w:val="000E1DAA"/>
    <w:rsid w:val="000E47E0"/>
    <w:rsid w:val="000E7589"/>
    <w:rsid w:val="000E7C57"/>
    <w:rsid w:val="000F5102"/>
    <w:rsid w:val="000F5F54"/>
    <w:rsid w:val="00101937"/>
    <w:rsid w:val="00103620"/>
    <w:rsid w:val="00106E39"/>
    <w:rsid w:val="00106F94"/>
    <w:rsid w:val="00111311"/>
    <w:rsid w:val="001114A8"/>
    <w:rsid w:val="00113C64"/>
    <w:rsid w:val="00114640"/>
    <w:rsid w:val="00115D80"/>
    <w:rsid w:val="00120B65"/>
    <w:rsid w:val="00121DE1"/>
    <w:rsid w:val="00121FCD"/>
    <w:rsid w:val="00123B02"/>
    <w:rsid w:val="00141DD2"/>
    <w:rsid w:val="0014402C"/>
    <w:rsid w:val="001470F1"/>
    <w:rsid w:val="00155D7A"/>
    <w:rsid w:val="00155D84"/>
    <w:rsid w:val="00156487"/>
    <w:rsid w:val="00156750"/>
    <w:rsid w:val="0015794D"/>
    <w:rsid w:val="0016015E"/>
    <w:rsid w:val="00161647"/>
    <w:rsid w:val="001628CE"/>
    <w:rsid w:val="00164017"/>
    <w:rsid w:val="00165C0E"/>
    <w:rsid w:val="00170B58"/>
    <w:rsid w:val="00171C87"/>
    <w:rsid w:val="00175ED5"/>
    <w:rsid w:val="00175F3C"/>
    <w:rsid w:val="00177449"/>
    <w:rsid w:val="0018035F"/>
    <w:rsid w:val="001806C5"/>
    <w:rsid w:val="001807BB"/>
    <w:rsid w:val="00193E5B"/>
    <w:rsid w:val="001A012E"/>
    <w:rsid w:val="001A054C"/>
    <w:rsid w:val="001A138B"/>
    <w:rsid w:val="001B1D2D"/>
    <w:rsid w:val="001B22BD"/>
    <w:rsid w:val="001B3857"/>
    <w:rsid w:val="001B50DA"/>
    <w:rsid w:val="001B6DF3"/>
    <w:rsid w:val="001C05E2"/>
    <w:rsid w:val="001C32CC"/>
    <w:rsid w:val="001C45AC"/>
    <w:rsid w:val="001C6BBF"/>
    <w:rsid w:val="001D000B"/>
    <w:rsid w:val="001D00AA"/>
    <w:rsid w:val="001D1D0E"/>
    <w:rsid w:val="001D4E60"/>
    <w:rsid w:val="001D4F44"/>
    <w:rsid w:val="001E1344"/>
    <w:rsid w:val="001E1EA0"/>
    <w:rsid w:val="001E3166"/>
    <w:rsid w:val="001E72B2"/>
    <w:rsid w:val="001F0223"/>
    <w:rsid w:val="001F02B7"/>
    <w:rsid w:val="001F2805"/>
    <w:rsid w:val="001F3847"/>
    <w:rsid w:val="001F490F"/>
    <w:rsid w:val="001F5971"/>
    <w:rsid w:val="001F5F76"/>
    <w:rsid w:val="001F6499"/>
    <w:rsid w:val="001F6B89"/>
    <w:rsid w:val="0020047F"/>
    <w:rsid w:val="0020255C"/>
    <w:rsid w:val="0020488B"/>
    <w:rsid w:val="0020771F"/>
    <w:rsid w:val="00211BFD"/>
    <w:rsid w:val="002130EC"/>
    <w:rsid w:val="002160E3"/>
    <w:rsid w:val="00217FD6"/>
    <w:rsid w:val="002201BC"/>
    <w:rsid w:val="00224FF8"/>
    <w:rsid w:val="002261F1"/>
    <w:rsid w:val="00227120"/>
    <w:rsid w:val="0022720E"/>
    <w:rsid w:val="00227B99"/>
    <w:rsid w:val="0023250E"/>
    <w:rsid w:val="00236647"/>
    <w:rsid w:val="0024179D"/>
    <w:rsid w:val="00241C2F"/>
    <w:rsid w:val="0024208E"/>
    <w:rsid w:val="00242292"/>
    <w:rsid w:val="002450F0"/>
    <w:rsid w:val="00247D4A"/>
    <w:rsid w:val="00251C35"/>
    <w:rsid w:val="00253C57"/>
    <w:rsid w:val="00254A5D"/>
    <w:rsid w:val="00256B2C"/>
    <w:rsid w:val="002574E6"/>
    <w:rsid w:val="00261913"/>
    <w:rsid w:val="002625B6"/>
    <w:rsid w:val="00262845"/>
    <w:rsid w:val="00265082"/>
    <w:rsid w:val="002654A0"/>
    <w:rsid w:val="002655AC"/>
    <w:rsid w:val="00265679"/>
    <w:rsid w:val="002757BA"/>
    <w:rsid w:val="00281BA3"/>
    <w:rsid w:val="00286F08"/>
    <w:rsid w:val="002873BD"/>
    <w:rsid w:val="00293120"/>
    <w:rsid w:val="002960B7"/>
    <w:rsid w:val="002972A4"/>
    <w:rsid w:val="002A234A"/>
    <w:rsid w:val="002A6382"/>
    <w:rsid w:val="002B05BA"/>
    <w:rsid w:val="002B4723"/>
    <w:rsid w:val="002B4DC4"/>
    <w:rsid w:val="002C0ACD"/>
    <w:rsid w:val="002C527E"/>
    <w:rsid w:val="002C55BD"/>
    <w:rsid w:val="002C56BC"/>
    <w:rsid w:val="002C71B0"/>
    <w:rsid w:val="002C7259"/>
    <w:rsid w:val="002C78A0"/>
    <w:rsid w:val="002D20F1"/>
    <w:rsid w:val="002D67D8"/>
    <w:rsid w:val="002D7166"/>
    <w:rsid w:val="002E13B4"/>
    <w:rsid w:val="002E264C"/>
    <w:rsid w:val="002E4A20"/>
    <w:rsid w:val="002E5A95"/>
    <w:rsid w:val="002E7248"/>
    <w:rsid w:val="002F0979"/>
    <w:rsid w:val="002F1D71"/>
    <w:rsid w:val="002F1F46"/>
    <w:rsid w:val="002F4B13"/>
    <w:rsid w:val="002F52E2"/>
    <w:rsid w:val="002F6CDE"/>
    <w:rsid w:val="002F6E82"/>
    <w:rsid w:val="002F7C2D"/>
    <w:rsid w:val="00301726"/>
    <w:rsid w:val="003046D3"/>
    <w:rsid w:val="00305144"/>
    <w:rsid w:val="00305FDF"/>
    <w:rsid w:val="00306CA0"/>
    <w:rsid w:val="00312498"/>
    <w:rsid w:val="003162A1"/>
    <w:rsid w:val="003173E5"/>
    <w:rsid w:val="003222F8"/>
    <w:rsid w:val="003252AE"/>
    <w:rsid w:val="003272CB"/>
    <w:rsid w:val="00327B93"/>
    <w:rsid w:val="00330B03"/>
    <w:rsid w:val="00330E50"/>
    <w:rsid w:val="003317B6"/>
    <w:rsid w:val="003341BD"/>
    <w:rsid w:val="00335A27"/>
    <w:rsid w:val="003435A9"/>
    <w:rsid w:val="0034599E"/>
    <w:rsid w:val="00345D02"/>
    <w:rsid w:val="00346C0D"/>
    <w:rsid w:val="00347A07"/>
    <w:rsid w:val="00347EFE"/>
    <w:rsid w:val="0035131F"/>
    <w:rsid w:val="00353055"/>
    <w:rsid w:val="0035370B"/>
    <w:rsid w:val="00360524"/>
    <w:rsid w:val="0036295A"/>
    <w:rsid w:val="00362F16"/>
    <w:rsid w:val="00367545"/>
    <w:rsid w:val="00371A18"/>
    <w:rsid w:val="00371A41"/>
    <w:rsid w:val="0037320F"/>
    <w:rsid w:val="0037328C"/>
    <w:rsid w:val="00374554"/>
    <w:rsid w:val="00374CAD"/>
    <w:rsid w:val="00380C19"/>
    <w:rsid w:val="00386EA8"/>
    <w:rsid w:val="00391C66"/>
    <w:rsid w:val="0039261E"/>
    <w:rsid w:val="003A2C7F"/>
    <w:rsid w:val="003A5C5F"/>
    <w:rsid w:val="003A71C2"/>
    <w:rsid w:val="003B044A"/>
    <w:rsid w:val="003B1642"/>
    <w:rsid w:val="003B4B3E"/>
    <w:rsid w:val="003C17DF"/>
    <w:rsid w:val="003C1D7A"/>
    <w:rsid w:val="003C3CD9"/>
    <w:rsid w:val="003C6409"/>
    <w:rsid w:val="003D1F6B"/>
    <w:rsid w:val="003D1F8A"/>
    <w:rsid w:val="003E2AB8"/>
    <w:rsid w:val="003E3107"/>
    <w:rsid w:val="003E51D8"/>
    <w:rsid w:val="003E6879"/>
    <w:rsid w:val="003E71C5"/>
    <w:rsid w:val="003F0979"/>
    <w:rsid w:val="003F47D0"/>
    <w:rsid w:val="003F5C6E"/>
    <w:rsid w:val="003F6C14"/>
    <w:rsid w:val="00403044"/>
    <w:rsid w:val="00410BB6"/>
    <w:rsid w:val="00412B20"/>
    <w:rsid w:val="004160B4"/>
    <w:rsid w:val="00417087"/>
    <w:rsid w:val="00420BDC"/>
    <w:rsid w:val="00422B12"/>
    <w:rsid w:val="004267BF"/>
    <w:rsid w:val="0042698C"/>
    <w:rsid w:val="0042788B"/>
    <w:rsid w:val="00430A57"/>
    <w:rsid w:val="004327C5"/>
    <w:rsid w:val="004330F8"/>
    <w:rsid w:val="00433601"/>
    <w:rsid w:val="00435615"/>
    <w:rsid w:val="004360B2"/>
    <w:rsid w:val="00441AAA"/>
    <w:rsid w:val="0044380E"/>
    <w:rsid w:val="0044587A"/>
    <w:rsid w:val="00445996"/>
    <w:rsid w:val="00445FC9"/>
    <w:rsid w:val="00446DAB"/>
    <w:rsid w:val="00447527"/>
    <w:rsid w:val="00451F61"/>
    <w:rsid w:val="0045462A"/>
    <w:rsid w:val="0045563C"/>
    <w:rsid w:val="00457AF6"/>
    <w:rsid w:val="00462CA0"/>
    <w:rsid w:val="00466C3A"/>
    <w:rsid w:val="00471095"/>
    <w:rsid w:val="00471C87"/>
    <w:rsid w:val="00473ED4"/>
    <w:rsid w:val="00473F9D"/>
    <w:rsid w:val="00480E00"/>
    <w:rsid w:val="00482527"/>
    <w:rsid w:val="00485616"/>
    <w:rsid w:val="00486C08"/>
    <w:rsid w:val="00490E1B"/>
    <w:rsid w:val="00493A83"/>
    <w:rsid w:val="00497D16"/>
    <w:rsid w:val="004A1321"/>
    <w:rsid w:val="004A22A4"/>
    <w:rsid w:val="004A3238"/>
    <w:rsid w:val="004A7DCB"/>
    <w:rsid w:val="004B2D3A"/>
    <w:rsid w:val="004B4668"/>
    <w:rsid w:val="004C48F7"/>
    <w:rsid w:val="004C4BD0"/>
    <w:rsid w:val="004C5DAC"/>
    <w:rsid w:val="004D2FD7"/>
    <w:rsid w:val="004D5914"/>
    <w:rsid w:val="004D6765"/>
    <w:rsid w:val="004E1F8F"/>
    <w:rsid w:val="004E4DD9"/>
    <w:rsid w:val="004E58A2"/>
    <w:rsid w:val="004E638D"/>
    <w:rsid w:val="004F037B"/>
    <w:rsid w:val="004F0EF4"/>
    <w:rsid w:val="004F429E"/>
    <w:rsid w:val="004F5E98"/>
    <w:rsid w:val="004F6E35"/>
    <w:rsid w:val="004F7C2B"/>
    <w:rsid w:val="00500EFB"/>
    <w:rsid w:val="00502F05"/>
    <w:rsid w:val="0050539C"/>
    <w:rsid w:val="00506264"/>
    <w:rsid w:val="00506F9F"/>
    <w:rsid w:val="00511426"/>
    <w:rsid w:val="00511F5D"/>
    <w:rsid w:val="0051332D"/>
    <w:rsid w:val="00517562"/>
    <w:rsid w:val="00520FF8"/>
    <w:rsid w:val="00521B9E"/>
    <w:rsid w:val="00524F21"/>
    <w:rsid w:val="00526410"/>
    <w:rsid w:val="00526871"/>
    <w:rsid w:val="00526EAD"/>
    <w:rsid w:val="0054386E"/>
    <w:rsid w:val="00544AF0"/>
    <w:rsid w:val="00546803"/>
    <w:rsid w:val="00550F7C"/>
    <w:rsid w:val="00553BE8"/>
    <w:rsid w:val="00553FC7"/>
    <w:rsid w:val="00554FE1"/>
    <w:rsid w:val="00555D79"/>
    <w:rsid w:val="005615CB"/>
    <w:rsid w:val="0056282E"/>
    <w:rsid w:val="00565D9D"/>
    <w:rsid w:val="00572525"/>
    <w:rsid w:val="00573BF7"/>
    <w:rsid w:val="00574881"/>
    <w:rsid w:val="005751E7"/>
    <w:rsid w:val="0057570D"/>
    <w:rsid w:val="0057649D"/>
    <w:rsid w:val="0057649F"/>
    <w:rsid w:val="005777F5"/>
    <w:rsid w:val="00585273"/>
    <w:rsid w:val="00585498"/>
    <w:rsid w:val="00586501"/>
    <w:rsid w:val="00586700"/>
    <w:rsid w:val="00586C71"/>
    <w:rsid w:val="00587D93"/>
    <w:rsid w:val="00592F04"/>
    <w:rsid w:val="0059452D"/>
    <w:rsid w:val="00595340"/>
    <w:rsid w:val="005A1052"/>
    <w:rsid w:val="005A188F"/>
    <w:rsid w:val="005A2055"/>
    <w:rsid w:val="005A2484"/>
    <w:rsid w:val="005A329B"/>
    <w:rsid w:val="005A5354"/>
    <w:rsid w:val="005B20E8"/>
    <w:rsid w:val="005B3A73"/>
    <w:rsid w:val="005B3B2D"/>
    <w:rsid w:val="005B4660"/>
    <w:rsid w:val="005B49CC"/>
    <w:rsid w:val="005B5679"/>
    <w:rsid w:val="005B5D36"/>
    <w:rsid w:val="005B6391"/>
    <w:rsid w:val="005C163B"/>
    <w:rsid w:val="005C360A"/>
    <w:rsid w:val="005C4A7D"/>
    <w:rsid w:val="005C627F"/>
    <w:rsid w:val="005C6BC0"/>
    <w:rsid w:val="005C6D85"/>
    <w:rsid w:val="005D04BE"/>
    <w:rsid w:val="005D1200"/>
    <w:rsid w:val="005D1637"/>
    <w:rsid w:val="005D4518"/>
    <w:rsid w:val="005D70DF"/>
    <w:rsid w:val="005D7A3E"/>
    <w:rsid w:val="005F11BD"/>
    <w:rsid w:val="005F1B3A"/>
    <w:rsid w:val="005F1CE1"/>
    <w:rsid w:val="005F2C4A"/>
    <w:rsid w:val="005F3091"/>
    <w:rsid w:val="005F4046"/>
    <w:rsid w:val="005F5F07"/>
    <w:rsid w:val="00602F30"/>
    <w:rsid w:val="00604CFB"/>
    <w:rsid w:val="006054CA"/>
    <w:rsid w:val="006078BE"/>
    <w:rsid w:val="00617DE9"/>
    <w:rsid w:val="00622380"/>
    <w:rsid w:val="00626D11"/>
    <w:rsid w:val="00630BEE"/>
    <w:rsid w:val="006333B4"/>
    <w:rsid w:val="00637027"/>
    <w:rsid w:val="00640753"/>
    <w:rsid w:val="00640D77"/>
    <w:rsid w:val="00641998"/>
    <w:rsid w:val="006437BB"/>
    <w:rsid w:val="00644F79"/>
    <w:rsid w:val="00645773"/>
    <w:rsid w:val="006460EE"/>
    <w:rsid w:val="00647229"/>
    <w:rsid w:val="0065011B"/>
    <w:rsid w:val="00653B64"/>
    <w:rsid w:val="006558AA"/>
    <w:rsid w:val="00656B5C"/>
    <w:rsid w:val="00661FAF"/>
    <w:rsid w:val="00662942"/>
    <w:rsid w:val="00662B82"/>
    <w:rsid w:val="0066352D"/>
    <w:rsid w:val="0066452E"/>
    <w:rsid w:val="00664C74"/>
    <w:rsid w:val="00664D5F"/>
    <w:rsid w:val="00666600"/>
    <w:rsid w:val="00671596"/>
    <w:rsid w:val="00671944"/>
    <w:rsid w:val="00672815"/>
    <w:rsid w:val="00675275"/>
    <w:rsid w:val="0068089A"/>
    <w:rsid w:val="0068243E"/>
    <w:rsid w:val="00684FFD"/>
    <w:rsid w:val="006858C4"/>
    <w:rsid w:val="00685BC8"/>
    <w:rsid w:val="00687679"/>
    <w:rsid w:val="00687BFB"/>
    <w:rsid w:val="00690B8E"/>
    <w:rsid w:val="006910CD"/>
    <w:rsid w:val="00691559"/>
    <w:rsid w:val="00694072"/>
    <w:rsid w:val="006959D6"/>
    <w:rsid w:val="00696552"/>
    <w:rsid w:val="006A3533"/>
    <w:rsid w:val="006A5F9D"/>
    <w:rsid w:val="006B19FE"/>
    <w:rsid w:val="006B1C47"/>
    <w:rsid w:val="006C41A9"/>
    <w:rsid w:val="006C63BA"/>
    <w:rsid w:val="006D2EF8"/>
    <w:rsid w:val="006D68C5"/>
    <w:rsid w:val="006D7239"/>
    <w:rsid w:val="006E1003"/>
    <w:rsid w:val="006E2C23"/>
    <w:rsid w:val="006E35D4"/>
    <w:rsid w:val="006E44C9"/>
    <w:rsid w:val="006E68F7"/>
    <w:rsid w:val="006E7A69"/>
    <w:rsid w:val="006F23A5"/>
    <w:rsid w:val="006F562F"/>
    <w:rsid w:val="006F5885"/>
    <w:rsid w:val="006F71EA"/>
    <w:rsid w:val="00703A01"/>
    <w:rsid w:val="00704509"/>
    <w:rsid w:val="007067FA"/>
    <w:rsid w:val="007077D4"/>
    <w:rsid w:val="00712191"/>
    <w:rsid w:val="00715417"/>
    <w:rsid w:val="007171B2"/>
    <w:rsid w:val="007174FD"/>
    <w:rsid w:val="007206F1"/>
    <w:rsid w:val="00725349"/>
    <w:rsid w:val="00730A4F"/>
    <w:rsid w:val="00730B3B"/>
    <w:rsid w:val="00730E45"/>
    <w:rsid w:val="0073105C"/>
    <w:rsid w:val="0073346F"/>
    <w:rsid w:val="00733E87"/>
    <w:rsid w:val="00736AC1"/>
    <w:rsid w:val="00736BBC"/>
    <w:rsid w:val="007401D3"/>
    <w:rsid w:val="00740602"/>
    <w:rsid w:val="00744246"/>
    <w:rsid w:val="007449A8"/>
    <w:rsid w:val="00746B81"/>
    <w:rsid w:val="007506D1"/>
    <w:rsid w:val="007622D5"/>
    <w:rsid w:val="00764C1C"/>
    <w:rsid w:val="007658F1"/>
    <w:rsid w:val="00770594"/>
    <w:rsid w:val="00770AC7"/>
    <w:rsid w:val="00770AFA"/>
    <w:rsid w:val="00774E4C"/>
    <w:rsid w:val="0077698E"/>
    <w:rsid w:val="00781BA9"/>
    <w:rsid w:val="00784BCC"/>
    <w:rsid w:val="007861AF"/>
    <w:rsid w:val="0078705C"/>
    <w:rsid w:val="00787DBB"/>
    <w:rsid w:val="007912D4"/>
    <w:rsid w:val="00793205"/>
    <w:rsid w:val="007941FC"/>
    <w:rsid w:val="007A009D"/>
    <w:rsid w:val="007A0521"/>
    <w:rsid w:val="007A0FBA"/>
    <w:rsid w:val="007A17BF"/>
    <w:rsid w:val="007A2E82"/>
    <w:rsid w:val="007A50B2"/>
    <w:rsid w:val="007A58E4"/>
    <w:rsid w:val="007A5ECA"/>
    <w:rsid w:val="007C0208"/>
    <w:rsid w:val="007C0CCB"/>
    <w:rsid w:val="007C2632"/>
    <w:rsid w:val="007C37B8"/>
    <w:rsid w:val="007C4D0D"/>
    <w:rsid w:val="007D2C25"/>
    <w:rsid w:val="007D318B"/>
    <w:rsid w:val="007D5CAB"/>
    <w:rsid w:val="007E17D3"/>
    <w:rsid w:val="007E1B0F"/>
    <w:rsid w:val="007E2C4F"/>
    <w:rsid w:val="007E53DC"/>
    <w:rsid w:val="007E64F1"/>
    <w:rsid w:val="007F2330"/>
    <w:rsid w:val="007F2FF9"/>
    <w:rsid w:val="007F42E4"/>
    <w:rsid w:val="007F7FCB"/>
    <w:rsid w:val="008010CA"/>
    <w:rsid w:val="00806754"/>
    <w:rsid w:val="00807D03"/>
    <w:rsid w:val="008118D9"/>
    <w:rsid w:val="00812E43"/>
    <w:rsid w:val="00813717"/>
    <w:rsid w:val="00814949"/>
    <w:rsid w:val="0081518E"/>
    <w:rsid w:val="00820521"/>
    <w:rsid w:val="00823F93"/>
    <w:rsid w:val="00831571"/>
    <w:rsid w:val="008346BC"/>
    <w:rsid w:val="008355B9"/>
    <w:rsid w:val="00835A27"/>
    <w:rsid w:val="00836331"/>
    <w:rsid w:val="008406CB"/>
    <w:rsid w:val="0084238D"/>
    <w:rsid w:val="0085094E"/>
    <w:rsid w:val="00850CAE"/>
    <w:rsid w:val="008518B8"/>
    <w:rsid w:val="008534E9"/>
    <w:rsid w:val="0085447F"/>
    <w:rsid w:val="00854BBB"/>
    <w:rsid w:val="0085528D"/>
    <w:rsid w:val="00856ABF"/>
    <w:rsid w:val="00857D89"/>
    <w:rsid w:val="00860FE1"/>
    <w:rsid w:val="008634D3"/>
    <w:rsid w:val="0086369F"/>
    <w:rsid w:val="00864080"/>
    <w:rsid w:val="00864B18"/>
    <w:rsid w:val="008654CD"/>
    <w:rsid w:val="0087080F"/>
    <w:rsid w:val="0087237C"/>
    <w:rsid w:val="00872A5F"/>
    <w:rsid w:val="00877E51"/>
    <w:rsid w:val="008817F9"/>
    <w:rsid w:val="00881DD7"/>
    <w:rsid w:val="008829D7"/>
    <w:rsid w:val="00882AB3"/>
    <w:rsid w:val="00882E11"/>
    <w:rsid w:val="00890522"/>
    <w:rsid w:val="00890A2E"/>
    <w:rsid w:val="00892DF6"/>
    <w:rsid w:val="00893527"/>
    <w:rsid w:val="008943E4"/>
    <w:rsid w:val="00894B9E"/>
    <w:rsid w:val="008955A3"/>
    <w:rsid w:val="008963EC"/>
    <w:rsid w:val="008A271D"/>
    <w:rsid w:val="008A2C78"/>
    <w:rsid w:val="008A2E5B"/>
    <w:rsid w:val="008A3868"/>
    <w:rsid w:val="008B69B2"/>
    <w:rsid w:val="008B7BC9"/>
    <w:rsid w:val="008C11FE"/>
    <w:rsid w:val="008C2C97"/>
    <w:rsid w:val="008C54F6"/>
    <w:rsid w:val="008C5945"/>
    <w:rsid w:val="008C675A"/>
    <w:rsid w:val="008D0205"/>
    <w:rsid w:val="008D1627"/>
    <w:rsid w:val="008D27ED"/>
    <w:rsid w:val="008D586F"/>
    <w:rsid w:val="008D7B2C"/>
    <w:rsid w:val="008E20CA"/>
    <w:rsid w:val="008E37E1"/>
    <w:rsid w:val="008E5D4D"/>
    <w:rsid w:val="008E7035"/>
    <w:rsid w:val="008F30BA"/>
    <w:rsid w:val="008F53A4"/>
    <w:rsid w:val="008F597A"/>
    <w:rsid w:val="00905240"/>
    <w:rsid w:val="00906D57"/>
    <w:rsid w:val="009070D2"/>
    <w:rsid w:val="00910521"/>
    <w:rsid w:val="00914C95"/>
    <w:rsid w:val="00915454"/>
    <w:rsid w:val="00917E28"/>
    <w:rsid w:val="00921BD1"/>
    <w:rsid w:val="00922B83"/>
    <w:rsid w:val="009260F3"/>
    <w:rsid w:val="009277E1"/>
    <w:rsid w:val="00933EC4"/>
    <w:rsid w:val="00935024"/>
    <w:rsid w:val="00935221"/>
    <w:rsid w:val="00935CF7"/>
    <w:rsid w:val="0093683F"/>
    <w:rsid w:val="00936952"/>
    <w:rsid w:val="00941371"/>
    <w:rsid w:val="00941494"/>
    <w:rsid w:val="00941AA5"/>
    <w:rsid w:val="00943E24"/>
    <w:rsid w:val="00945599"/>
    <w:rsid w:val="0094647F"/>
    <w:rsid w:val="009468C9"/>
    <w:rsid w:val="009479F9"/>
    <w:rsid w:val="00954956"/>
    <w:rsid w:val="00955D10"/>
    <w:rsid w:val="0095692D"/>
    <w:rsid w:val="00956FC9"/>
    <w:rsid w:val="00960AFA"/>
    <w:rsid w:val="00962AF4"/>
    <w:rsid w:val="00963AD9"/>
    <w:rsid w:val="00967A53"/>
    <w:rsid w:val="00967F03"/>
    <w:rsid w:val="009724A0"/>
    <w:rsid w:val="009724A6"/>
    <w:rsid w:val="009878D6"/>
    <w:rsid w:val="00987919"/>
    <w:rsid w:val="009926C6"/>
    <w:rsid w:val="0099293D"/>
    <w:rsid w:val="00994348"/>
    <w:rsid w:val="00994F14"/>
    <w:rsid w:val="009A118B"/>
    <w:rsid w:val="009A235A"/>
    <w:rsid w:val="009A259E"/>
    <w:rsid w:val="009A2CF5"/>
    <w:rsid w:val="009A714F"/>
    <w:rsid w:val="009B09E6"/>
    <w:rsid w:val="009B0A76"/>
    <w:rsid w:val="009B381F"/>
    <w:rsid w:val="009B6364"/>
    <w:rsid w:val="009B6C25"/>
    <w:rsid w:val="009B7EC2"/>
    <w:rsid w:val="009C097A"/>
    <w:rsid w:val="009C36C3"/>
    <w:rsid w:val="009C44D8"/>
    <w:rsid w:val="009C470C"/>
    <w:rsid w:val="009C61CF"/>
    <w:rsid w:val="009C68B2"/>
    <w:rsid w:val="009C750C"/>
    <w:rsid w:val="009D2FBD"/>
    <w:rsid w:val="009D5BBB"/>
    <w:rsid w:val="009D66C8"/>
    <w:rsid w:val="009D6904"/>
    <w:rsid w:val="009E1678"/>
    <w:rsid w:val="009E396C"/>
    <w:rsid w:val="009E5D5A"/>
    <w:rsid w:val="009F0B72"/>
    <w:rsid w:val="009F30F5"/>
    <w:rsid w:val="009F340F"/>
    <w:rsid w:val="009F45FC"/>
    <w:rsid w:val="009F734F"/>
    <w:rsid w:val="00A00CBC"/>
    <w:rsid w:val="00A120ED"/>
    <w:rsid w:val="00A132D8"/>
    <w:rsid w:val="00A144EA"/>
    <w:rsid w:val="00A15C64"/>
    <w:rsid w:val="00A16C6D"/>
    <w:rsid w:val="00A16F95"/>
    <w:rsid w:val="00A17758"/>
    <w:rsid w:val="00A24AFB"/>
    <w:rsid w:val="00A25225"/>
    <w:rsid w:val="00A257AC"/>
    <w:rsid w:val="00A30EE6"/>
    <w:rsid w:val="00A313A1"/>
    <w:rsid w:val="00A32C5A"/>
    <w:rsid w:val="00A3410C"/>
    <w:rsid w:val="00A3501E"/>
    <w:rsid w:val="00A372A6"/>
    <w:rsid w:val="00A43F82"/>
    <w:rsid w:val="00A477A0"/>
    <w:rsid w:val="00A53CB3"/>
    <w:rsid w:val="00A5594D"/>
    <w:rsid w:val="00A56106"/>
    <w:rsid w:val="00A56C56"/>
    <w:rsid w:val="00A57548"/>
    <w:rsid w:val="00A61C1D"/>
    <w:rsid w:val="00A64807"/>
    <w:rsid w:val="00A673FC"/>
    <w:rsid w:val="00A70AB3"/>
    <w:rsid w:val="00A7157A"/>
    <w:rsid w:val="00A739A4"/>
    <w:rsid w:val="00A75671"/>
    <w:rsid w:val="00A7594E"/>
    <w:rsid w:val="00A75DAE"/>
    <w:rsid w:val="00A8049D"/>
    <w:rsid w:val="00A823F2"/>
    <w:rsid w:val="00A84BE4"/>
    <w:rsid w:val="00A869BA"/>
    <w:rsid w:val="00A86CA4"/>
    <w:rsid w:val="00A8798F"/>
    <w:rsid w:val="00A87D40"/>
    <w:rsid w:val="00A929A6"/>
    <w:rsid w:val="00A935AC"/>
    <w:rsid w:val="00A93CF9"/>
    <w:rsid w:val="00A95BEA"/>
    <w:rsid w:val="00A97860"/>
    <w:rsid w:val="00AA18CB"/>
    <w:rsid w:val="00AA2B92"/>
    <w:rsid w:val="00AA2BE2"/>
    <w:rsid w:val="00AA3493"/>
    <w:rsid w:val="00AA5715"/>
    <w:rsid w:val="00AB6C6A"/>
    <w:rsid w:val="00AB7E83"/>
    <w:rsid w:val="00AB7F20"/>
    <w:rsid w:val="00AC0E40"/>
    <w:rsid w:val="00AC144B"/>
    <w:rsid w:val="00AC550B"/>
    <w:rsid w:val="00AD389F"/>
    <w:rsid w:val="00AD49A5"/>
    <w:rsid w:val="00AD4F6E"/>
    <w:rsid w:val="00AD5B4A"/>
    <w:rsid w:val="00AD7B2D"/>
    <w:rsid w:val="00AE175C"/>
    <w:rsid w:val="00AE2E51"/>
    <w:rsid w:val="00AE4C68"/>
    <w:rsid w:val="00AE70AB"/>
    <w:rsid w:val="00AE7FC1"/>
    <w:rsid w:val="00AF0385"/>
    <w:rsid w:val="00AF05A1"/>
    <w:rsid w:val="00AF17E7"/>
    <w:rsid w:val="00AF76BF"/>
    <w:rsid w:val="00B019F6"/>
    <w:rsid w:val="00B065E5"/>
    <w:rsid w:val="00B06667"/>
    <w:rsid w:val="00B10692"/>
    <w:rsid w:val="00B10CC0"/>
    <w:rsid w:val="00B12421"/>
    <w:rsid w:val="00B129E8"/>
    <w:rsid w:val="00B16445"/>
    <w:rsid w:val="00B20641"/>
    <w:rsid w:val="00B20AA5"/>
    <w:rsid w:val="00B236C8"/>
    <w:rsid w:val="00B23A37"/>
    <w:rsid w:val="00B26258"/>
    <w:rsid w:val="00B26B4A"/>
    <w:rsid w:val="00B27F75"/>
    <w:rsid w:val="00B3094A"/>
    <w:rsid w:val="00B31B55"/>
    <w:rsid w:val="00B31D9D"/>
    <w:rsid w:val="00B3287C"/>
    <w:rsid w:val="00B40B45"/>
    <w:rsid w:val="00B43795"/>
    <w:rsid w:val="00B43D29"/>
    <w:rsid w:val="00B500DE"/>
    <w:rsid w:val="00B55735"/>
    <w:rsid w:val="00B56FBF"/>
    <w:rsid w:val="00B578BC"/>
    <w:rsid w:val="00B57CFA"/>
    <w:rsid w:val="00B57E20"/>
    <w:rsid w:val="00B65FC2"/>
    <w:rsid w:val="00B66142"/>
    <w:rsid w:val="00B66B08"/>
    <w:rsid w:val="00B670D1"/>
    <w:rsid w:val="00B6763C"/>
    <w:rsid w:val="00B7077E"/>
    <w:rsid w:val="00B74E1D"/>
    <w:rsid w:val="00B76031"/>
    <w:rsid w:val="00B76386"/>
    <w:rsid w:val="00B77DC8"/>
    <w:rsid w:val="00B82A2E"/>
    <w:rsid w:val="00B84E2D"/>
    <w:rsid w:val="00B925B0"/>
    <w:rsid w:val="00B93515"/>
    <w:rsid w:val="00B94112"/>
    <w:rsid w:val="00B9422A"/>
    <w:rsid w:val="00B96E3C"/>
    <w:rsid w:val="00BA68AA"/>
    <w:rsid w:val="00BB0AE1"/>
    <w:rsid w:val="00BB1412"/>
    <w:rsid w:val="00BB1B72"/>
    <w:rsid w:val="00BB279B"/>
    <w:rsid w:val="00BB7186"/>
    <w:rsid w:val="00BB73D5"/>
    <w:rsid w:val="00BC5121"/>
    <w:rsid w:val="00BC5B05"/>
    <w:rsid w:val="00BC6411"/>
    <w:rsid w:val="00BC6B0E"/>
    <w:rsid w:val="00BD1F3B"/>
    <w:rsid w:val="00BD26F1"/>
    <w:rsid w:val="00BD4E32"/>
    <w:rsid w:val="00BD5588"/>
    <w:rsid w:val="00BD7871"/>
    <w:rsid w:val="00BE601A"/>
    <w:rsid w:val="00BF0DEC"/>
    <w:rsid w:val="00BF29F3"/>
    <w:rsid w:val="00BF4208"/>
    <w:rsid w:val="00BF5C85"/>
    <w:rsid w:val="00C01E9F"/>
    <w:rsid w:val="00C02C98"/>
    <w:rsid w:val="00C04CA1"/>
    <w:rsid w:val="00C050E7"/>
    <w:rsid w:val="00C11F43"/>
    <w:rsid w:val="00C17487"/>
    <w:rsid w:val="00C22835"/>
    <w:rsid w:val="00C24361"/>
    <w:rsid w:val="00C250AC"/>
    <w:rsid w:val="00C2541A"/>
    <w:rsid w:val="00C271AB"/>
    <w:rsid w:val="00C31F37"/>
    <w:rsid w:val="00C32595"/>
    <w:rsid w:val="00C32F8D"/>
    <w:rsid w:val="00C35CC5"/>
    <w:rsid w:val="00C369B1"/>
    <w:rsid w:val="00C36D50"/>
    <w:rsid w:val="00C46579"/>
    <w:rsid w:val="00C50D47"/>
    <w:rsid w:val="00C50D68"/>
    <w:rsid w:val="00C522C6"/>
    <w:rsid w:val="00C54801"/>
    <w:rsid w:val="00C60815"/>
    <w:rsid w:val="00C61359"/>
    <w:rsid w:val="00C616BC"/>
    <w:rsid w:val="00C63916"/>
    <w:rsid w:val="00C64B1A"/>
    <w:rsid w:val="00C65604"/>
    <w:rsid w:val="00C65978"/>
    <w:rsid w:val="00C65E26"/>
    <w:rsid w:val="00C706EA"/>
    <w:rsid w:val="00C711EA"/>
    <w:rsid w:val="00C721C7"/>
    <w:rsid w:val="00C7261C"/>
    <w:rsid w:val="00C81749"/>
    <w:rsid w:val="00C82409"/>
    <w:rsid w:val="00C825A6"/>
    <w:rsid w:val="00C842D4"/>
    <w:rsid w:val="00C8600B"/>
    <w:rsid w:val="00C87146"/>
    <w:rsid w:val="00C928B5"/>
    <w:rsid w:val="00C92CB1"/>
    <w:rsid w:val="00C93083"/>
    <w:rsid w:val="00C9438F"/>
    <w:rsid w:val="00C96250"/>
    <w:rsid w:val="00C978B3"/>
    <w:rsid w:val="00C97CA2"/>
    <w:rsid w:val="00CA26AB"/>
    <w:rsid w:val="00CA7328"/>
    <w:rsid w:val="00CA7726"/>
    <w:rsid w:val="00CB1554"/>
    <w:rsid w:val="00CB452F"/>
    <w:rsid w:val="00CB4C58"/>
    <w:rsid w:val="00CB5BD2"/>
    <w:rsid w:val="00CC0370"/>
    <w:rsid w:val="00CC2EC1"/>
    <w:rsid w:val="00CC598E"/>
    <w:rsid w:val="00CC61BB"/>
    <w:rsid w:val="00CD0804"/>
    <w:rsid w:val="00CD3445"/>
    <w:rsid w:val="00CE176D"/>
    <w:rsid w:val="00CE3517"/>
    <w:rsid w:val="00CE664B"/>
    <w:rsid w:val="00CE7DC5"/>
    <w:rsid w:val="00CF157D"/>
    <w:rsid w:val="00CF4763"/>
    <w:rsid w:val="00D007AA"/>
    <w:rsid w:val="00D01547"/>
    <w:rsid w:val="00D0220C"/>
    <w:rsid w:val="00D07250"/>
    <w:rsid w:val="00D10449"/>
    <w:rsid w:val="00D11331"/>
    <w:rsid w:val="00D11989"/>
    <w:rsid w:val="00D13686"/>
    <w:rsid w:val="00D15242"/>
    <w:rsid w:val="00D16279"/>
    <w:rsid w:val="00D17D5C"/>
    <w:rsid w:val="00D21A8A"/>
    <w:rsid w:val="00D26CF3"/>
    <w:rsid w:val="00D33589"/>
    <w:rsid w:val="00D40F21"/>
    <w:rsid w:val="00D422C4"/>
    <w:rsid w:val="00D43C16"/>
    <w:rsid w:val="00D442F7"/>
    <w:rsid w:val="00D53CAA"/>
    <w:rsid w:val="00D57365"/>
    <w:rsid w:val="00D60B72"/>
    <w:rsid w:val="00D60C4A"/>
    <w:rsid w:val="00D626CC"/>
    <w:rsid w:val="00D67853"/>
    <w:rsid w:val="00D70DBF"/>
    <w:rsid w:val="00D7172F"/>
    <w:rsid w:val="00D71FD3"/>
    <w:rsid w:val="00D739E1"/>
    <w:rsid w:val="00D757A1"/>
    <w:rsid w:val="00D76E5C"/>
    <w:rsid w:val="00D773E0"/>
    <w:rsid w:val="00D8230B"/>
    <w:rsid w:val="00D84D1A"/>
    <w:rsid w:val="00D84DBF"/>
    <w:rsid w:val="00D84E0C"/>
    <w:rsid w:val="00D85216"/>
    <w:rsid w:val="00D86996"/>
    <w:rsid w:val="00D9526F"/>
    <w:rsid w:val="00D96E63"/>
    <w:rsid w:val="00DA1545"/>
    <w:rsid w:val="00DA2BC9"/>
    <w:rsid w:val="00DA7DB2"/>
    <w:rsid w:val="00DB0C82"/>
    <w:rsid w:val="00DB4D30"/>
    <w:rsid w:val="00DC2409"/>
    <w:rsid w:val="00DC55B5"/>
    <w:rsid w:val="00DC745B"/>
    <w:rsid w:val="00DC7FA8"/>
    <w:rsid w:val="00DD0E23"/>
    <w:rsid w:val="00DD21FA"/>
    <w:rsid w:val="00DD254D"/>
    <w:rsid w:val="00DD4716"/>
    <w:rsid w:val="00DD53AB"/>
    <w:rsid w:val="00DE0E3D"/>
    <w:rsid w:val="00DE18D5"/>
    <w:rsid w:val="00DE32AA"/>
    <w:rsid w:val="00DE358A"/>
    <w:rsid w:val="00DE43B4"/>
    <w:rsid w:val="00DE493D"/>
    <w:rsid w:val="00DE4B11"/>
    <w:rsid w:val="00DE6782"/>
    <w:rsid w:val="00DF086B"/>
    <w:rsid w:val="00DF1064"/>
    <w:rsid w:val="00DF16FA"/>
    <w:rsid w:val="00DF2DA5"/>
    <w:rsid w:val="00DF5B30"/>
    <w:rsid w:val="00E03F83"/>
    <w:rsid w:val="00E04291"/>
    <w:rsid w:val="00E063A4"/>
    <w:rsid w:val="00E072D8"/>
    <w:rsid w:val="00E10D60"/>
    <w:rsid w:val="00E12FC5"/>
    <w:rsid w:val="00E13684"/>
    <w:rsid w:val="00E17384"/>
    <w:rsid w:val="00E226C5"/>
    <w:rsid w:val="00E265D9"/>
    <w:rsid w:val="00E273A1"/>
    <w:rsid w:val="00E27FD5"/>
    <w:rsid w:val="00E30236"/>
    <w:rsid w:val="00E37A50"/>
    <w:rsid w:val="00E37CCB"/>
    <w:rsid w:val="00E40162"/>
    <w:rsid w:val="00E44034"/>
    <w:rsid w:val="00E44472"/>
    <w:rsid w:val="00E44E02"/>
    <w:rsid w:val="00E50E6D"/>
    <w:rsid w:val="00E538DD"/>
    <w:rsid w:val="00E55E6C"/>
    <w:rsid w:val="00E55EBD"/>
    <w:rsid w:val="00E5632C"/>
    <w:rsid w:val="00E6066C"/>
    <w:rsid w:val="00E647BE"/>
    <w:rsid w:val="00E65509"/>
    <w:rsid w:val="00E65BA1"/>
    <w:rsid w:val="00E67D5B"/>
    <w:rsid w:val="00E744A6"/>
    <w:rsid w:val="00E75142"/>
    <w:rsid w:val="00E75269"/>
    <w:rsid w:val="00E80197"/>
    <w:rsid w:val="00E81071"/>
    <w:rsid w:val="00E81246"/>
    <w:rsid w:val="00E8436C"/>
    <w:rsid w:val="00E846F4"/>
    <w:rsid w:val="00E84E77"/>
    <w:rsid w:val="00E9502E"/>
    <w:rsid w:val="00E95784"/>
    <w:rsid w:val="00E95CFC"/>
    <w:rsid w:val="00E96134"/>
    <w:rsid w:val="00E961BD"/>
    <w:rsid w:val="00EA0744"/>
    <w:rsid w:val="00EA1F88"/>
    <w:rsid w:val="00EA3D31"/>
    <w:rsid w:val="00EA410A"/>
    <w:rsid w:val="00EA4F58"/>
    <w:rsid w:val="00EA70E5"/>
    <w:rsid w:val="00EB4236"/>
    <w:rsid w:val="00EB796A"/>
    <w:rsid w:val="00EC2439"/>
    <w:rsid w:val="00EC271D"/>
    <w:rsid w:val="00EC27FE"/>
    <w:rsid w:val="00EC74CE"/>
    <w:rsid w:val="00EC78C2"/>
    <w:rsid w:val="00ED2B0A"/>
    <w:rsid w:val="00ED2D7B"/>
    <w:rsid w:val="00ED7E73"/>
    <w:rsid w:val="00EE1D64"/>
    <w:rsid w:val="00EE3CCF"/>
    <w:rsid w:val="00EE5671"/>
    <w:rsid w:val="00EE59E4"/>
    <w:rsid w:val="00EE640D"/>
    <w:rsid w:val="00EE6C56"/>
    <w:rsid w:val="00EF1283"/>
    <w:rsid w:val="00EF1EE3"/>
    <w:rsid w:val="00EF2C74"/>
    <w:rsid w:val="00EF33F2"/>
    <w:rsid w:val="00EF3683"/>
    <w:rsid w:val="00EF6408"/>
    <w:rsid w:val="00F01F2F"/>
    <w:rsid w:val="00F0235A"/>
    <w:rsid w:val="00F05CA2"/>
    <w:rsid w:val="00F109E4"/>
    <w:rsid w:val="00F142A2"/>
    <w:rsid w:val="00F20499"/>
    <w:rsid w:val="00F213DD"/>
    <w:rsid w:val="00F24CC9"/>
    <w:rsid w:val="00F25DBB"/>
    <w:rsid w:val="00F27C71"/>
    <w:rsid w:val="00F27E10"/>
    <w:rsid w:val="00F360B5"/>
    <w:rsid w:val="00F3731A"/>
    <w:rsid w:val="00F43962"/>
    <w:rsid w:val="00F478A2"/>
    <w:rsid w:val="00F502BA"/>
    <w:rsid w:val="00F52FEE"/>
    <w:rsid w:val="00F54498"/>
    <w:rsid w:val="00F544AD"/>
    <w:rsid w:val="00F57336"/>
    <w:rsid w:val="00F57DC3"/>
    <w:rsid w:val="00F615B8"/>
    <w:rsid w:val="00F6294C"/>
    <w:rsid w:val="00F66026"/>
    <w:rsid w:val="00F71CA5"/>
    <w:rsid w:val="00F72657"/>
    <w:rsid w:val="00F7595E"/>
    <w:rsid w:val="00F75E3D"/>
    <w:rsid w:val="00F76D43"/>
    <w:rsid w:val="00F7727C"/>
    <w:rsid w:val="00F8173F"/>
    <w:rsid w:val="00F8383A"/>
    <w:rsid w:val="00F843A3"/>
    <w:rsid w:val="00F87404"/>
    <w:rsid w:val="00F90202"/>
    <w:rsid w:val="00F947AC"/>
    <w:rsid w:val="00FA0975"/>
    <w:rsid w:val="00FA0A43"/>
    <w:rsid w:val="00FA124C"/>
    <w:rsid w:val="00FA13C1"/>
    <w:rsid w:val="00FA3B65"/>
    <w:rsid w:val="00FB1045"/>
    <w:rsid w:val="00FB176F"/>
    <w:rsid w:val="00FB3024"/>
    <w:rsid w:val="00FB3168"/>
    <w:rsid w:val="00FC1CAA"/>
    <w:rsid w:val="00FC6C20"/>
    <w:rsid w:val="00FC7129"/>
    <w:rsid w:val="00FD29AD"/>
    <w:rsid w:val="00FD43F6"/>
    <w:rsid w:val="00FE0E49"/>
    <w:rsid w:val="00FE0F4E"/>
    <w:rsid w:val="00FE33B5"/>
    <w:rsid w:val="00FE3C00"/>
    <w:rsid w:val="00FE43C1"/>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 w:type="character" w:styleId="UnresolvedMention">
    <w:name w:val="Unresolved Mention"/>
    <w:basedOn w:val="DefaultParagraphFont"/>
    <w:uiPriority w:val="99"/>
    <w:semiHidden/>
    <w:unhideWhenUsed/>
    <w:rsid w:val="00BA68AA"/>
    <w:rPr>
      <w:color w:val="605E5C"/>
      <w:shd w:val="clear" w:color="auto" w:fill="E1DFDD"/>
    </w:rPr>
  </w:style>
  <w:style w:type="character" w:styleId="FollowedHyperlink">
    <w:name w:val="FollowedHyperlink"/>
    <w:basedOn w:val="DefaultParagraphFont"/>
    <w:uiPriority w:val="99"/>
    <w:semiHidden/>
    <w:unhideWhenUsed/>
    <w:rsid w:val="001C3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66402722">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404766118">
      <w:bodyDiv w:val="1"/>
      <w:marLeft w:val="0"/>
      <w:marRight w:val="0"/>
      <w:marTop w:val="0"/>
      <w:marBottom w:val="0"/>
      <w:divBdr>
        <w:top w:val="none" w:sz="0" w:space="0" w:color="auto"/>
        <w:left w:val="none" w:sz="0" w:space="0" w:color="auto"/>
        <w:bottom w:val="none" w:sz="0" w:space="0" w:color="auto"/>
        <w:right w:val="none" w:sz="0" w:space="0" w:color="auto"/>
      </w:divBdr>
    </w:div>
    <w:div w:id="478159561">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599533002">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402285963">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1843427616">
      <w:bodyDiv w:val="1"/>
      <w:marLeft w:val="0"/>
      <w:marRight w:val="0"/>
      <w:marTop w:val="0"/>
      <w:marBottom w:val="0"/>
      <w:divBdr>
        <w:top w:val="none" w:sz="0" w:space="0" w:color="auto"/>
        <w:left w:val="none" w:sz="0" w:space="0" w:color="auto"/>
        <w:bottom w:val="none" w:sz="0" w:space="0" w:color="auto"/>
        <w:right w:val="none" w:sz="0" w:space="0" w:color="auto"/>
      </w:divBdr>
    </w:div>
    <w:div w:id="1988625445">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files/attachments/Serteks_Delegesanas_Ligums_5.2-17.2_2019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64C9-095C-4E7F-BE5E-6FB05AED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12</Pages>
  <Words>18475</Words>
  <Characters>10531</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dc:description/>
  <cp:lastModifiedBy>Gusts Sproģis</cp:lastModifiedBy>
  <cp:revision>127</cp:revision>
  <cp:lastPrinted>2018-11-23T13:06:00Z</cp:lastPrinted>
  <dcterms:created xsi:type="dcterms:W3CDTF">2019-03-20T15:32:00Z</dcterms:created>
  <dcterms:modified xsi:type="dcterms:W3CDTF">2019-11-26T11:53:00Z</dcterms:modified>
</cp:coreProperties>
</file>