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10B0" w14:textId="2060D9F1" w:rsidR="001E50FE" w:rsidRDefault="001E50FE" w:rsidP="00AA1BDB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</w:p>
    <w:p w14:paraId="3E95C832" w14:textId="0482CE34" w:rsidR="00AA1BDB" w:rsidRDefault="00AA1BDB" w:rsidP="00AA1BDB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</w:p>
    <w:p w14:paraId="292D4BAD" w14:textId="77777777" w:rsidR="00AA1BDB" w:rsidRPr="00AA1BDB" w:rsidRDefault="00AA1BDB" w:rsidP="00AA1BDB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</w:p>
    <w:p w14:paraId="7E32B0A4" w14:textId="7AB97119" w:rsidR="00AA1BDB" w:rsidRPr="00AA1BDB" w:rsidRDefault="00AA1BDB" w:rsidP="00AA1BD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BDB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D33BB7" w:rsidRPr="00D33BB7">
        <w:rPr>
          <w:rFonts w:ascii="Times New Roman" w:hAnsi="Times New Roman" w:cs="Times New Roman"/>
          <w:sz w:val="28"/>
          <w:szCs w:val="28"/>
        </w:rPr>
        <w:t>7. janvārī</w:t>
      </w:r>
      <w:r w:rsidRPr="00AA1BD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D33BB7">
        <w:rPr>
          <w:rFonts w:ascii="Times New Roman" w:eastAsia="Times New Roman" w:hAnsi="Times New Roman" w:cs="Times New Roman"/>
          <w:sz w:val="28"/>
          <w:szCs w:val="28"/>
        </w:rPr>
        <w:t> 4</w:t>
      </w:r>
    </w:p>
    <w:p w14:paraId="79AF808E" w14:textId="0D94967D" w:rsidR="00AA1BDB" w:rsidRPr="00AA1BDB" w:rsidRDefault="00AA1BDB" w:rsidP="00AA1BD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BD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A1BD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33BB7">
        <w:rPr>
          <w:rFonts w:ascii="Times New Roman" w:eastAsia="Times New Roman" w:hAnsi="Times New Roman" w:cs="Times New Roman"/>
          <w:sz w:val="28"/>
          <w:szCs w:val="28"/>
        </w:rPr>
        <w:t> 1 7</w:t>
      </w:r>
      <w:bookmarkStart w:id="0" w:name="_GoBack"/>
      <w:bookmarkEnd w:id="0"/>
      <w:r w:rsidRPr="00AA1BD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2E7E66F" w14:textId="77777777" w:rsidR="00303CCB" w:rsidRPr="00AA1BDB" w:rsidRDefault="00303CCB" w:rsidP="00AA1B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9FEBFAB" w14:textId="4E996F91" w:rsidR="002A0BED" w:rsidRPr="00AA1BDB" w:rsidRDefault="00A10C9F" w:rsidP="00AA1B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2016.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29.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marta noteikumos Nr.</w:t>
      </w:r>
      <w:r w:rsidR="00D77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179 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Kārtība, kādā nosakāms naudas sods par Konkurences likuma 11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anta pirmajā daļā un 13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antā un Negodīgas mazumtirdzniecības prakses aizlieguma likum</w:t>
      </w:r>
      <w:r w:rsidR="00622545"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5., 6., 7. un 8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antā paredzētajiem pārkāpumiem</w:t>
      </w:r>
      <w:r w:rsidR="00AA1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0337195A" w14:textId="73D446F7" w:rsidR="002A0BED" w:rsidRPr="00AA1BDB" w:rsidRDefault="002A0BED" w:rsidP="00AA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5C827" w14:textId="77777777" w:rsidR="00D77568" w:rsidRDefault="002A0BED" w:rsidP="00AA1BDB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7570979" w14:textId="3F2AEF01" w:rsidR="00D77568" w:rsidRDefault="002A0BED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>Konkurences likuma 12.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Pr="00AA1BDB">
        <w:rPr>
          <w:rFonts w:ascii="Times New Roman" w:hAnsi="Times New Roman" w:cs="Times New Roman"/>
          <w:sz w:val="28"/>
          <w:szCs w:val="28"/>
        </w:rPr>
        <w:t>panta piekto daļu, 12.</w:t>
      </w:r>
      <w:r w:rsidRPr="00AA1B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Pr="00AA1BDB">
        <w:rPr>
          <w:rFonts w:ascii="Times New Roman" w:hAnsi="Times New Roman" w:cs="Times New Roman"/>
          <w:sz w:val="28"/>
          <w:szCs w:val="28"/>
        </w:rPr>
        <w:t xml:space="preserve">panta septīto daļu, </w:t>
      </w:r>
    </w:p>
    <w:p w14:paraId="48CBA296" w14:textId="77777777" w:rsidR="00D77568" w:rsidRDefault="002A0BED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>14</w:t>
      </w:r>
      <w:r w:rsidR="00AA1BDB">
        <w:rPr>
          <w:rFonts w:ascii="Times New Roman" w:hAnsi="Times New Roman" w:cs="Times New Roman"/>
          <w:sz w:val="28"/>
          <w:szCs w:val="28"/>
        </w:rPr>
        <w:t>. p</w:t>
      </w:r>
      <w:r w:rsidRPr="00AA1BDB">
        <w:rPr>
          <w:rFonts w:ascii="Times New Roman" w:hAnsi="Times New Roman" w:cs="Times New Roman"/>
          <w:sz w:val="28"/>
          <w:szCs w:val="28"/>
        </w:rPr>
        <w:t xml:space="preserve">anta ceturto daļu un </w:t>
      </w:r>
    </w:p>
    <w:p w14:paraId="21AC1BAE" w14:textId="3FE4D4FC" w:rsidR="00D77568" w:rsidRDefault="002A0BED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>14.</w:t>
      </w:r>
      <w:r w:rsidRPr="00AA1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Pr="00AA1BDB">
        <w:rPr>
          <w:rFonts w:ascii="Times New Roman" w:hAnsi="Times New Roman" w:cs="Times New Roman"/>
          <w:sz w:val="28"/>
          <w:szCs w:val="28"/>
        </w:rPr>
        <w:t xml:space="preserve">panta ceturto daļu un </w:t>
      </w:r>
    </w:p>
    <w:p w14:paraId="4FE935EA" w14:textId="77777777" w:rsidR="00D77568" w:rsidRDefault="002A0BED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 xml:space="preserve">Negodīgas mazumtirdzniecības </w:t>
      </w:r>
    </w:p>
    <w:p w14:paraId="62C4C3AA" w14:textId="5B25B04C" w:rsidR="00D77568" w:rsidRDefault="00D77568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 xml:space="preserve">prakses </w:t>
      </w:r>
      <w:r w:rsidR="002A0BED" w:rsidRPr="00AA1BDB">
        <w:rPr>
          <w:rFonts w:ascii="Times New Roman" w:hAnsi="Times New Roman" w:cs="Times New Roman"/>
          <w:sz w:val="28"/>
          <w:szCs w:val="28"/>
        </w:rPr>
        <w:t xml:space="preserve">aizlieguma likuma </w:t>
      </w:r>
    </w:p>
    <w:p w14:paraId="4CFE5CE0" w14:textId="0C243DE4" w:rsidR="002A0BED" w:rsidRPr="00AA1BDB" w:rsidRDefault="002A0BED" w:rsidP="00D7756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>9.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Pr="00AA1BDB">
        <w:rPr>
          <w:rFonts w:ascii="Times New Roman" w:hAnsi="Times New Roman" w:cs="Times New Roman"/>
          <w:sz w:val="28"/>
          <w:szCs w:val="28"/>
        </w:rPr>
        <w:t>panta ceturto daļu</w:t>
      </w:r>
    </w:p>
    <w:p w14:paraId="6505418F" w14:textId="77777777" w:rsidR="00946A3E" w:rsidRPr="00AA1BDB" w:rsidRDefault="00946A3E" w:rsidP="00AA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DEC1E" w14:textId="3C3DD0BC" w:rsidR="00A10C9F" w:rsidRPr="00AA1BDB" w:rsidRDefault="00A10C9F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2016.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gada 29.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marta noteikumos Nr.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 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Kārtība, kādā nosakāms naudas sods par Konkurences likuma 11</w:t>
      </w:r>
      <w:r w:rsid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anta pirmajā daļā un 13</w:t>
      </w:r>
      <w:r w:rsid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antā un Negodīgas mazumtirdzniecības prakses aizlieguma likum</w:t>
      </w:r>
      <w:r w:rsidR="00622545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5., 6., 7. un 8</w:t>
      </w:r>
      <w:r w:rsid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antā paredzētajiem pārkāpumiem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46FCE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</w:t>
      </w:r>
      <w:r w:rsidR="00C12F75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2016, 62., </w:t>
      </w:r>
      <w:r w:rsidR="00D9085D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622545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085D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nr.)</w:t>
      </w: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šādus grozījumus:</w:t>
      </w:r>
    </w:p>
    <w:p w14:paraId="5DDE75DC" w14:textId="77777777" w:rsidR="00AA1BDB" w:rsidRDefault="00AA1BDB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EE8CB" w14:textId="2E00558B" w:rsidR="00A10C9F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Izteikt noteikumu nosaukumu šādā redakcijā:</w:t>
      </w:r>
    </w:p>
    <w:p w14:paraId="65CCB3F7" w14:textId="77777777" w:rsidR="00AA1BDB" w:rsidRPr="00D77568" w:rsidRDefault="00AA1BDB" w:rsidP="00AA1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E58BC9" w14:textId="7E0849D9" w:rsidR="00A10C9F" w:rsidRPr="00AA1BDB" w:rsidRDefault="00AA1BDB" w:rsidP="00AA1B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A10C9F" w:rsidRPr="00AA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Kārtība, kādā nosakāms naudas sods par Konkurences likuma 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p</w:t>
      </w:r>
      <w:r w:rsidR="00A10C9F" w:rsidRPr="00AA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anta pirmajā daļā, 13. un 14.</w:t>
      </w:r>
      <w:r w:rsidR="00A10C9F" w:rsidRPr="00AA1BD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A10C9F" w:rsidRPr="00AA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pantā un Negodīgas mazumtirdzniecības prakses aizlieguma likuma 5., 6., 7. un 8. pantā paredzētajiem pārkāpumiem</w:t>
      </w:r>
      <w:r w:rsidRPr="00D77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97CEC" w:rsidRPr="00D77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7F3BD7" w14:textId="77777777" w:rsidR="00946A3E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D4900" w14:textId="6769F8B6" w:rsidR="00A26EBA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DC5408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norādi, uz kāda likuma pamata noteikumi izdoti, 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šādā redakcijā:</w:t>
      </w:r>
    </w:p>
    <w:p w14:paraId="030AF293" w14:textId="77777777" w:rsidR="00AA1BDB" w:rsidRDefault="00AA1BDB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53C66821" w14:textId="2DCC4D6B" w:rsidR="00A26EBA" w:rsidRPr="00AA1BDB" w:rsidRDefault="00AA1BDB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"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Izdoti saskaņā ar Konkurences likuma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p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anta piekto daļu, </w:t>
      </w:r>
      <w:r w:rsidR="00A26EBA" w:rsidRPr="00AA1BDB">
        <w:rPr>
          <w:rFonts w:ascii="Times New Roman" w:hAnsi="Times New Roman" w:cs="Times New Roman"/>
          <w:sz w:val="28"/>
          <w:szCs w:val="28"/>
        </w:rPr>
        <w:t>12.</w:t>
      </w:r>
      <w:r w:rsidR="00A26EBA" w:rsidRPr="00AA1B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="00A26EBA" w:rsidRPr="00AA1BDB">
        <w:rPr>
          <w:rFonts w:ascii="Times New Roman" w:hAnsi="Times New Roman" w:cs="Times New Roman"/>
          <w:sz w:val="28"/>
          <w:szCs w:val="28"/>
        </w:rPr>
        <w:t xml:space="preserve">panta septīto daļu, 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D775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panta ceturto daļu un 14.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panta ceturto daļu un Negodīgas mazumtirdzniecības prakses aizlieguma likuma </w:t>
      </w:r>
      <w:r w:rsidR="00A26EBA" w:rsidRPr="00AA1BDB">
        <w:rPr>
          <w:rFonts w:ascii="Times New Roman" w:hAnsi="Times New Roman" w:cs="Times New Roman"/>
          <w:sz w:val="28"/>
          <w:szCs w:val="28"/>
        </w:rPr>
        <w:t>9.</w:t>
      </w:r>
      <w:r w:rsidR="00D77568">
        <w:rPr>
          <w:rFonts w:ascii="Times New Roman" w:hAnsi="Times New Roman" w:cs="Times New Roman"/>
          <w:sz w:val="28"/>
          <w:szCs w:val="28"/>
        </w:rPr>
        <w:t> </w:t>
      </w:r>
      <w:r w:rsidR="00A26EBA" w:rsidRPr="00AA1BDB">
        <w:rPr>
          <w:rFonts w:ascii="Times New Roman" w:hAnsi="Times New Roman" w:cs="Times New Roman"/>
          <w:sz w:val="28"/>
          <w:szCs w:val="28"/>
        </w:rPr>
        <w:t>panta ceturto daļu</w:t>
      </w:r>
      <w:r w:rsidR="00A26EBA" w:rsidRPr="00AA1BDB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14:paraId="1D308845" w14:textId="77777777" w:rsidR="00A10C9F" w:rsidRPr="00AA1BDB" w:rsidRDefault="00A10C9F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88845" w14:textId="65707B10" w:rsidR="00A10C9F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Papildināt noteikumus ar 1.</w:t>
      </w:r>
      <w:r w:rsidR="00C9145B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14:paraId="26D4E474" w14:textId="77777777" w:rsidR="00AA1BDB" w:rsidRDefault="00AA1BDB" w:rsidP="00AA1BD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8336C3" w14:textId="2011C392" w:rsidR="005D7F50" w:rsidRPr="00AA1BDB" w:rsidRDefault="00AA1BDB" w:rsidP="00AA1BD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"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B0FC3" w:rsidRPr="00AA1BDB">
        <w:rPr>
          <w:rFonts w:ascii="Times New Roman" w:hAnsi="Times New Roman" w:cs="Times New Roman"/>
          <w:sz w:val="28"/>
          <w:szCs w:val="28"/>
        </w:rPr>
        <w:t>kārtību</w:t>
      </w:r>
      <w:r w:rsidR="002B0F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0FC3">
        <w:rPr>
          <w:rFonts w:ascii="Times New Roman" w:hAnsi="Times New Roman" w:cs="Times New Roman"/>
          <w:sz w:val="28"/>
          <w:szCs w:val="28"/>
        </w:rPr>
        <w:t>kādā</w:t>
      </w:r>
      <w:r w:rsidR="002B0FC3" w:rsidRPr="00AA1BDB">
        <w:rPr>
          <w:rFonts w:ascii="Times New Roman" w:hAnsi="Times New Roman" w:cs="Times New Roman"/>
          <w:sz w:val="28"/>
          <w:szCs w:val="28"/>
        </w:rPr>
        <w:t xml:space="preserve"> no</w:t>
      </w:r>
      <w:r w:rsidR="002B0FC3">
        <w:rPr>
          <w:rFonts w:ascii="Times New Roman" w:hAnsi="Times New Roman" w:cs="Times New Roman"/>
          <w:sz w:val="28"/>
          <w:szCs w:val="28"/>
        </w:rPr>
        <w:t>saka</w:t>
      </w:r>
      <w:r w:rsidR="002B0FC3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nau</w:t>
      </w:r>
      <w:r w:rsidR="00210764" w:rsidRPr="00AA1BDB">
        <w:rPr>
          <w:rFonts w:ascii="Times New Roman" w:hAnsi="Times New Roman" w:cs="Times New Roman"/>
          <w:sz w:val="28"/>
          <w:szCs w:val="28"/>
        </w:rPr>
        <w:t>das sod</w:t>
      </w:r>
      <w:r w:rsidR="002B0FC3">
        <w:rPr>
          <w:rFonts w:ascii="Times New Roman" w:hAnsi="Times New Roman" w:cs="Times New Roman"/>
          <w:sz w:val="28"/>
          <w:szCs w:val="28"/>
        </w:rPr>
        <w:t>u</w:t>
      </w:r>
      <w:r w:rsidR="00210764" w:rsidRPr="00AA1BDB">
        <w:rPr>
          <w:rFonts w:ascii="Times New Roman" w:hAnsi="Times New Roman" w:cs="Times New Roman"/>
          <w:sz w:val="28"/>
          <w:szCs w:val="28"/>
        </w:rPr>
        <w:t xml:space="preserve"> 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 Konkurences likuma 14.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10764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pantā </w:t>
      </w:r>
      <w:r w:rsidR="00021875" w:rsidRPr="002B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paredz</w:t>
      </w:r>
      <w:r w:rsidR="00EE0046" w:rsidRPr="002B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ē</w:t>
      </w:r>
      <w:r w:rsidR="00210764" w:rsidRPr="002B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tajiem pārkāpumiem</w:t>
      </w:r>
      <w:r w:rsidR="002B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B0FC3">
        <w:rPr>
          <w:rFonts w:ascii="Times New Roman" w:hAnsi="Times New Roman" w:cs="Times New Roman"/>
          <w:sz w:val="28"/>
          <w:szCs w:val="28"/>
        </w:rPr>
        <w:t xml:space="preserve"> </w:t>
      </w:r>
      <w:r w:rsidR="002B0FC3" w:rsidRPr="00AA1BDB">
        <w:rPr>
          <w:rFonts w:ascii="Times New Roman" w:hAnsi="Times New Roman" w:cs="Times New Roman"/>
          <w:sz w:val="28"/>
          <w:szCs w:val="28"/>
        </w:rPr>
        <w:t>kā arī</w:t>
      </w:r>
      <w:r w:rsidR="002B0FC3">
        <w:rPr>
          <w:rFonts w:ascii="Times New Roman" w:hAnsi="Times New Roman" w:cs="Times New Roman"/>
          <w:sz w:val="28"/>
          <w:szCs w:val="28"/>
        </w:rPr>
        <w:t xml:space="preserve"> </w:t>
      </w:r>
      <w:r w:rsidR="00210764" w:rsidRPr="00AA1BDB">
        <w:rPr>
          <w:rFonts w:ascii="Times New Roman" w:hAnsi="Times New Roman" w:cs="Times New Roman"/>
          <w:sz w:val="28"/>
          <w:szCs w:val="28"/>
        </w:rPr>
        <w:t>finanšu gada neto apgrozījuma aprēķināšanas īpatnības atsevišķiem gadījumiem, naudas soda</w:t>
      </w:r>
      <w:proofErr w:type="gramEnd"/>
      <w:r w:rsidR="00210764" w:rsidRPr="00AA1BDB">
        <w:rPr>
          <w:rFonts w:ascii="Times New Roman" w:hAnsi="Times New Roman" w:cs="Times New Roman"/>
          <w:sz w:val="28"/>
          <w:szCs w:val="28"/>
        </w:rPr>
        <w:t xml:space="preserve"> apmēra noteikšanas kritērijus</w:t>
      </w:r>
      <w:r w:rsidR="002B0FC3">
        <w:rPr>
          <w:rFonts w:ascii="Times New Roman" w:hAnsi="Times New Roman" w:cs="Times New Roman"/>
          <w:sz w:val="28"/>
          <w:szCs w:val="28"/>
        </w:rPr>
        <w:t xml:space="preserve"> un</w:t>
      </w:r>
      <w:r w:rsidR="00210764" w:rsidRPr="00AA1BDB">
        <w:rPr>
          <w:rFonts w:ascii="Times New Roman" w:hAnsi="Times New Roman" w:cs="Times New Roman"/>
          <w:sz w:val="28"/>
          <w:szCs w:val="28"/>
        </w:rPr>
        <w:t xml:space="preserve"> atbildību mīkstinošos un pastiprinošos apstākļus</w:t>
      </w:r>
      <w:r w:rsidR="00197CEC" w:rsidRPr="00AA1B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197CEC" w:rsidRPr="00AA1BDB">
        <w:rPr>
          <w:rFonts w:ascii="Times New Roman" w:hAnsi="Times New Roman" w:cs="Times New Roman"/>
          <w:sz w:val="28"/>
          <w:szCs w:val="28"/>
        </w:rPr>
        <w:t>.</w:t>
      </w:r>
    </w:p>
    <w:p w14:paraId="5AD0D306" w14:textId="183C69F2" w:rsidR="001D6381" w:rsidRPr="00AA1BDB" w:rsidRDefault="001D6381" w:rsidP="00AA1BD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37EB1E" w14:textId="51A01274" w:rsidR="00A10C9F" w:rsidRPr="00AA1BDB" w:rsidRDefault="00946A3E" w:rsidP="00AA1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sz w:val="28"/>
          <w:szCs w:val="28"/>
        </w:rPr>
        <w:t>4. </w:t>
      </w:r>
      <w:r w:rsidR="005D7F50" w:rsidRPr="00AA1BDB">
        <w:rPr>
          <w:rFonts w:ascii="Times New Roman" w:hAnsi="Times New Roman" w:cs="Times New Roman"/>
          <w:sz w:val="28"/>
          <w:szCs w:val="28"/>
        </w:rPr>
        <w:t>Svītrot 4</w:t>
      </w:r>
      <w:r w:rsidR="00AA1BDB">
        <w:rPr>
          <w:rFonts w:ascii="Times New Roman" w:hAnsi="Times New Roman" w:cs="Times New Roman"/>
          <w:sz w:val="28"/>
          <w:szCs w:val="28"/>
        </w:rPr>
        <w:t>. p</w:t>
      </w:r>
      <w:r w:rsidR="005D7F50" w:rsidRPr="00AA1BDB">
        <w:rPr>
          <w:rFonts w:ascii="Times New Roman" w:hAnsi="Times New Roman" w:cs="Times New Roman"/>
          <w:sz w:val="28"/>
          <w:szCs w:val="28"/>
        </w:rPr>
        <w:t xml:space="preserve">unktu. </w:t>
      </w:r>
    </w:p>
    <w:p w14:paraId="058AE1CC" w14:textId="77777777" w:rsidR="005D7F50" w:rsidRPr="00AA1BDB" w:rsidRDefault="005D7F50" w:rsidP="00AA1BDB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43B830" w14:textId="24667A2B" w:rsidR="00A10C9F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3A26E4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Izteikt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unktu </w:t>
      </w:r>
      <w:r w:rsidR="00197CEC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36962B6D" w14:textId="77777777" w:rsidR="00AA1BDB" w:rsidRDefault="00AA1BDB" w:rsidP="00AA1BD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B19596" w14:textId="6D42EE91" w:rsidR="00197CEC" w:rsidRPr="00AA1BDB" w:rsidRDefault="00AA1BDB" w:rsidP="00AA1BD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97CEC" w:rsidRPr="00AA1BDB">
        <w:rPr>
          <w:sz w:val="28"/>
          <w:szCs w:val="28"/>
        </w:rPr>
        <w:t>14.</w:t>
      </w:r>
      <w:r w:rsidR="00D77568">
        <w:rPr>
          <w:sz w:val="28"/>
          <w:szCs w:val="28"/>
        </w:rPr>
        <w:t> </w:t>
      </w:r>
      <w:r w:rsidR="00197CEC" w:rsidRPr="00AA1BDB">
        <w:rPr>
          <w:sz w:val="28"/>
          <w:szCs w:val="28"/>
        </w:rPr>
        <w:t>Pēc pārkāpuma veida par vieglu pārkāpumu uzskata aizliegtas vertikālās vienošanās un aizliegtas sadarbības vienošanās, brīvas un godīgas konkurences noteikumu pārkāpumu (Konkurences likuma 14.</w:t>
      </w:r>
      <w:r w:rsidR="00197CEC" w:rsidRPr="00AA1BDB">
        <w:rPr>
          <w:sz w:val="28"/>
          <w:szCs w:val="28"/>
          <w:vertAlign w:val="superscript"/>
        </w:rPr>
        <w:t>1</w:t>
      </w:r>
      <w:r w:rsidR="00D77568">
        <w:rPr>
          <w:sz w:val="28"/>
          <w:szCs w:val="28"/>
        </w:rPr>
        <w:t> </w:t>
      </w:r>
      <w:r w:rsidR="00197CEC" w:rsidRPr="00AA1BDB">
        <w:rPr>
          <w:sz w:val="28"/>
          <w:szCs w:val="28"/>
        </w:rPr>
        <w:t>pant</w:t>
      </w:r>
      <w:r w:rsidR="00E24CFB">
        <w:rPr>
          <w:sz w:val="28"/>
          <w:szCs w:val="28"/>
        </w:rPr>
        <w:t>s</w:t>
      </w:r>
      <w:r w:rsidR="00197CEC" w:rsidRPr="00AA1BDB">
        <w:rPr>
          <w:sz w:val="28"/>
          <w:szCs w:val="28"/>
        </w:rPr>
        <w:t>), kā arī aizliegtu negodīgas mazumtirdzniecības praksi, par smagu pārkāpumu</w:t>
      </w:r>
      <w:r w:rsidR="00E24CFB">
        <w:rPr>
          <w:sz w:val="28"/>
          <w:szCs w:val="28"/>
        </w:rPr>
        <w:t> </w:t>
      </w:r>
      <w:r w:rsidR="00197CEC" w:rsidRPr="00AA1BDB">
        <w:rPr>
          <w:sz w:val="28"/>
          <w:szCs w:val="28"/>
        </w:rPr>
        <w:t>– dominējošā stāvokļa ļaunprātīgu izmantošanu un vertikālās vienošanās, kuru mērķis ir ierobežot pircēja iespēju noteikt tālākpārdošanas cenu, par sevišķi smagu pārkāpumu</w:t>
      </w:r>
      <w:r w:rsidR="00E24CFB">
        <w:rPr>
          <w:sz w:val="28"/>
          <w:szCs w:val="28"/>
        </w:rPr>
        <w:t> </w:t>
      </w:r>
      <w:r w:rsidR="00197CEC" w:rsidRPr="00AA1BDB">
        <w:rPr>
          <w:sz w:val="28"/>
          <w:szCs w:val="28"/>
        </w:rPr>
        <w:t>– karteļu vienošanās un vienošanās, kuras satur ierobežojumus preču importam vai eksportam.</w:t>
      </w:r>
      <w:r>
        <w:rPr>
          <w:sz w:val="28"/>
          <w:szCs w:val="28"/>
        </w:rPr>
        <w:t>"</w:t>
      </w:r>
    </w:p>
    <w:p w14:paraId="0B26BC77" w14:textId="77777777" w:rsidR="00D768EE" w:rsidRPr="00AA1BDB" w:rsidRDefault="00D768EE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FD49E" w14:textId="1F24CFB2" w:rsidR="00A10C9F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Papildināt noteikumus ar 17.2.</w:t>
      </w:r>
      <w:r w:rsidR="003A26E4" w:rsidRPr="00AA1B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14:paraId="17FC7480" w14:textId="77777777" w:rsidR="00AA1BDB" w:rsidRDefault="00AA1BDB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6005F1" w14:textId="20777B98" w:rsidR="00F22F18" w:rsidRPr="00AA1BDB" w:rsidRDefault="00AA1BDB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8818F7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17.2.</w:t>
      </w:r>
      <w:r w:rsidR="003A26E4" w:rsidRPr="00AA1B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0C9F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 izdarīts viegls pārkāpums, kas izpaužas kā brīvas un godīgas konkurences noteikumu pārkāpums</w:t>
      </w:r>
      <w:r w:rsidR="005B4ACE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ACE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(Konkurences likuma 14.</w:t>
      </w:r>
      <w:r w:rsidR="005B4ACE" w:rsidRPr="00AA1B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775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4ACE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pants)</w:t>
      </w:r>
      <w:r w:rsidR="00A10C9F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</w:t>
      </w:r>
      <w:r w:rsidR="00A10C9F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līdz 1</w:t>
      </w:r>
      <w:r w:rsidR="00E24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9105A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procentam</w:t>
      </w:r>
      <w:r w:rsidR="00A10C9F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5075E8" w:rsidRPr="00A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CFEE4E2" w14:textId="02C6B2CD" w:rsidR="00835963" w:rsidRPr="00AA1BDB" w:rsidRDefault="00835963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393B0A" w14:textId="2BE4FD4A" w:rsidR="00F22F18" w:rsidRPr="00AA1BDB" w:rsidRDefault="00946A3E" w:rsidP="00AA1B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DB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22F18" w:rsidRPr="00AA1BDB">
        <w:rPr>
          <w:rFonts w:ascii="Times New Roman" w:eastAsia="Times New Roman" w:hAnsi="Times New Roman" w:cs="Times New Roman"/>
          <w:sz w:val="28"/>
          <w:szCs w:val="28"/>
        </w:rPr>
        <w:t xml:space="preserve">Aizstāt 20.2. apakšpunktā vārdu un skaitli </w:t>
      </w:r>
      <w:r w:rsidR="00AA1BDB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2F18" w:rsidRPr="00AA1BDB">
        <w:rPr>
          <w:rFonts w:ascii="Times New Roman" w:eastAsia="Times New Roman" w:hAnsi="Times New Roman" w:cs="Times New Roman"/>
          <w:sz w:val="28"/>
          <w:szCs w:val="28"/>
        </w:rPr>
        <w:t>vai 13.</w:t>
      </w:r>
      <w:r w:rsidR="00AA1BDB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2F18" w:rsidRPr="00AA1BDB">
        <w:rPr>
          <w:rFonts w:ascii="Times New Roman" w:eastAsia="Times New Roman" w:hAnsi="Times New Roman" w:cs="Times New Roman"/>
          <w:sz w:val="28"/>
          <w:szCs w:val="28"/>
        </w:rPr>
        <w:t xml:space="preserve"> ar skaitļiem un vārdu </w:t>
      </w:r>
      <w:r w:rsidR="00AA1BDB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2F18" w:rsidRPr="00AA1BDB">
        <w:rPr>
          <w:rFonts w:ascii="Times New Roman" w:eastAsia="Times New Roman" w:hAnsi="Times New Roman" w:cs="Times New Roman"/>
          <w:sz w:val="28"/>
          <w:szCs w:val="28"/>
        </w:rPr>
        <w:t>13. vai 14.</w:t>
      </w:r>
      <w:r w:rsidR="00F22F18" w:rsidRPr="00AA1B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A1BD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75E8" w:rsidRPr="00AA1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F6736" w14:textId="77777777" w:rsidR="00A10C9F" w:rsidRPr="00AA1BDB" w:rsidRDefault="00A10C9F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76C6A" w14:textId="4FFD5032" w:rsidR="00A10C9F" w:rsidRPr="00AA1BDB" w:rsidRDefault="00946A3E" w:rsidP="00AA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22.1.3.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apakšpunkt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vārd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u un skaitli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41038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AAB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skait</w:t>
      </w:r>
      <w:r w:rsidR="003170AB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ļiem</w:t>
      </w:r>
      <w:r w:rsidR="00061AAB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vārd</w:t>
      </w:r>
      <w:r w:rsidR="00061AAB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24FE2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vai 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A1B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10C9F" w:rsidRPr="00AA1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72189E" w14:textId="77777777" w:rsidR="00AA1BDB" w:rsidRPr="00AA1BDB" w:rsidRDefault="00AA1BDB" w:rsidP="00AA1BD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27417C" w14:textId="77777777" w:rsidR="00AA1BDB" w:rsidRPr="00AA1BDB" w:rsidRDefault="00AA1BDB" w:rsidP="00AA1BD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0814F4" w14:textId="77777777" w:rsidR="00AA1BDB" w:rsidRPr="00AA1BDB" w:rsidRDefault="00AA1BDB" w:rsidP="00AA1BD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18A57D" w14:textId="77777777" w:rsidR="00AA1BDB" w:rsidRPr="00AA1BDB" w:rsidRDefault="00AA1BDB" w:rsidP="00D77568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Hlk529965267"/>
      <w:r w:rsidRPr="00AA1BDB">
        <w:rPr>
          <w:sz w:val="28"/>
          <w:szCs w:val="28"/>
        </w:rPr>
        <w:t>Ministru prezidents</w:t>
      </w:r>
      <w:r w:rsidRPr="00AA1BDB">
        <w:rPr>
          <w:sz w:val="28"/>
          <w:szCs w:val="28"/>
        </w:rPr>
        <w:tab/>
        <w:t>A. K. Kariņš</w:t>
      </w:r>
    </w:p>
    <w:p w14:paraId="769185DF" w14:textId="77777777" w:rsidR="00AA1BDB" w:rsidRPr="00AA1BDB" w:rsidRDefault="00AA1BDB" w:rsidP="00D77568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C9B791" w14:textId="77777777" w:rsidR="00AA1BDB" w:rsidRPr="00AA1BDB" w:rsidRDefault="00AA1BDB" w:rsidP="00D77568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09423BF" w14:textId="77777777" w:rsidR="00AA1BDB" w:rsidRPr="00AA1BDB" w:rsidRDefault="00AA1BDB" w:rsidP="00D77568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2C29B4" w14:textId="77777777" w:rsidR="00AA1BDB" w:rsidRPr="00AA1BDB" w:rsidRDefault="00AA1BDB" w:rsidP="00D77568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A1BDB">
        <w:rPr>
          <w:sz w:val="28"/>
          <w:szCs w:val="28"/>
        </w:rPr>
        <w:t>Ekonomikas ministrs</w:t>
      </w:r>
      <w:r w:rsidRPr="00AA1BDB">
        <w:rPr>
          <w:sz w:val="28"/>
          <w:szCs w:val="28"/>
        </w:rPr>
        <w:tab/>
        <w:t>R. </w:t>
      </w:r>
      <w:proofErr w:type="spellStart"/>
      <w:r w:rsidRPr="00AA1BDB">
        <w:rPr>
          <w:sz w:val="28"/>
          <w:szCs w:val="28"/>
        </w:rPr>
        <w:t>Nemiro</w:t>
      </w:r>
      <w:bookmarkEnd w:id="1"/>
      <w:proofErr w:type="spellEnd"/>
    </w:p>
    <w:sectPr w:rsidR="00AA1BDB" w:rsidRPr="00AA1BDB" w:rsidSect="00AA1B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AA3B" w14:textId="77777777" w:rsidR="00BA58A1" w:rsidRDefault="00BA58A1" w:rsidP="009266C6">
      <w:pPr>
        <w:spacing w:after="0" w:line="240" w:lineRule="auto"/>
      </w:pPr>
      <w:r>
        <w:separator/>
      </w:r>
    </w:p>
  </w:endnote>
  <w:endnote w:type="continuationSeparator" w:id="0">
    <w:p w14:paraId="4DA83C7F" w14:textId="77777777" w:rsidR="00BA58A1" w:rsidRDefault="00BA58A1" w:rsidP="009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BAEE" w14:textId="77777777" w:rsidR="00AA1BDB" w:rsidRPr="00AA1BDB" w:rsidRDefault="00AA1BDB" w:rsidP="00AA1B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925D" w14:textId="36ECF280" w:rsidR="00AA1BDB" w:rsidRPr="00AA1BDB" w:rsidRDefault="00AA1B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6D57" w14:textId="77777777" w:rsidR="00BA58A1" w:rsidRDefault="00BA58A1" w:rsidP="009266C6">
      <w:pPr>
        <w:spacing w:after="0" w:line="240" w:lineRule="auto"/>
      </w:pPr>
      <w:r>
        <w:separator/>
      </w:r>
    </w:p>
  </w:footnote>
  <w:footnote w:type="continuationSeparator" w:id="0">
    <w:p w14:paraId="3146D40D" w14:textId="77777777" w:rsidR="00BA58A1" w:rsidRDefault="00BA58A1" w:rsidP="0092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78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6A7F46" w14:textId="13A68B3D" w:rsidR="00AA1BDB" w:rsidRPr="00AA1BDB" w:rsidRDefault="00AA1B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B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1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1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1B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45B9" w14:textId="7DEFDD39" w:rsidR="00AA1BDB" w:rsidRDefault="00AA1BDB">
    <w:pPr>
      <w:pStyle w:val="Header"/>
      <w:rPr>
        <w:rFonts w:ascii="Times New Roman" w:hAnsi="Times New Roman" w:cs="Times New Roman"/>
        <w:sz w:val="24"/>
        <w:szCs w:val="24"/>
      </w:rPr>
    </w:pPr>
  </w:p>
  <w:p w14:paraId="01F52BBF" w14:textId="77777777" w:rsidR="00AA1BDB" w:rsidRDefault="00AA1BDB">
    <w:pPr>
      <w:pStyle w:val="Header"/>
    </w:pPr>
    <w:r>
      <w:rPr>
        <w:noProof/>
      </w:rPr>
      <w:drawing>
        <wp:inline distT="0" distB="0" distL="0" distR="0" wp14:anchorId="359BE68D" wp14:editId="38E870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E84"/>
    <w:multiLevelType w:val="multilevel"/>
    <w:tmpl w:val="6576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EF7BA7"/>
    <w:multiLevelType w:val="hybridMultilevel"/>
    <w:tmpl w:val="860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0B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AC238D"/>
    <w:multiLevelType w:val="hybridMultilevel"/>
    <w:tmpl w:val="12582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9F"/>
    <w:rsid w:val="0001541E"/>
    <w:rsid w:val="00021875"/>
    <w:rsid w:val="0003379C"/>
    <w:rsid w:val="00035032"/>
    <w:rsid w:val="00061AAB"/>
    <w:rsid w:val="00130C44"/>
    <w:rsid w:val="00130FA8"/>
    <w:rsid w:val="0013127E"/>
    <w:rsid w:val="00146FCE"/>
    <w:rsid w:val="0019105A"/>
    <w:rsid w:val="00192ABA"/>
    <w:rsid w:val="00197CEC"/>
    <w:rsid w:val="001A22EC"/>
    <w:rsid w:val="001D6381"/>
    <w:rsid w:val="001E50FE"/>
    <w:rsid w:val="001E62B8"/>
    <w:rsid w:val="00205F13"/>
    <w:rsid w:val="00207216"/>
    <w:rsid w:val="00210764"/>
    <w:rsid w:val="002A0BED"/>
    <w:rsid w:val="002B0FC3"/>
    <w:rsid w:val="00303CCB"/>
    <w:rsid w:val="00305BC5"/>
    <w:rsid w:val="00315F49"/>
    <w:rsid w:val="003170AB"/>
    <w:rsid w:val="00374909"/>
    <w:rsid w:val="003811BA"/>
    <w:rsid w:val="00383166"/>
    <w:rsid w:val="00393816"/>
    <w:rsid w:val="003A26E4"/>
    <w:rsid w:val="003D6C0D"/>
    <w:rsid w:val="003E2FBA"/>
    <w:rsid w:val="003F53B0"/>
    <w:rsid w:val="00427889"/>
    <w:rsid w:val="00476E6C"/>
    <w:rsid w:val="00482014"/>
    <w:rsid w:val="004D3289"/>
    <w:rsid w:val="004D6CD1"/>
    <w:rsid w:val="00501FA7"/>
    <w:rsid w:val="0050610C"/>
    <w:rsid w:val="005075E8"/>
    <w:rsid w:val="00523EA1"/>
    <w:rsid w:val="005802DB"/>
    <w:rsid w:val="005B4ACE"/>
    <w:rsid w:val="005D0C0B"/>
    <w:rsid w:val="005D7F50"/>
    <w:rsid w:val="00622545"/>
    <w:rsid w:val="006611AA"/>
    <w:rsid w:val="006623B8"/>
    <w:rsid w:val="00691122"/>
    <w:rsid w:val="006A181E"/>
    <w:rsid w:val="0070287A"/>
    <w:rsid w:val="00721CCA"/>
    <w:rsid w:val="00725A3C"/>
    <w:rsid w:val="007309EB"/>
    <w:rsid w:val="007735DE"/>
    <w:rsid w:val="00793C97"/>
    <w:rsid w:val="007E68C9"/>
    <w:rsid w:val="008318D4"/>
    <w:rsid w:val="00835963"/>
    <w:rsid w:val="00845316"/>
    <w:rsid w:val="0086744F"/>
    <w:rsid w:val="008818F7"/>
    <w:rsid w:val="00907DCE"/>
    <w:rsid w:val="009266C6"/>
    <w:rsid w:val="00946A3E"/>
    <w:rsid w:val="00980079"/>
    <w:rsid w:val="00990DD8"/>
    <w:rsid w:val="009A5F78"/>
    <w:rsid w:val="009A772F"/>
    <w:rsid w:val="009C0CC0"/>
    <w:rsid w:val="00A10C9F"/>
    <w:rsid w:val="00A26EBA"/>
    <w:rsid w:val="00A3478F"/>
    <w:rsid w:val="00AA1296"/>
    <w:rsid w:val="00AA1BDB"/>
    <w:rsid w:val="00AD27C4"/>
    <w:rsid w:val="00B304B7"/>
    <w:rsid w:val="00BA12F1"/>
    <w:rsid w:val="00BA58A1"/>
    <w:rsid w:val="00BA63F4"/>
    <w:rsid w:val="00C057E1"/>
    <w:rsid w:val="00C10D56"/>
    <w:rsid w:val="00C12F75"/>
    <w:rsid w:val="00C34397"/>
    <w:rsid w:val="00C41038"/>
    <w:rsid w:val="00C9145B"/>
    <w:rsid w:val="00CB464E"/>
    <w:rsid w:val="00CC0DA2"/>
    <w:rsid w:val="00CD6348"/>
    <w:rsid w:val="00CF6D90"/>
    <w:rsid w:val="00D24FE2"/>
    <w:rsid w:val="00D33BB7"/>
    <w:rsid w:val="00D502F5"/>
    <w:rsid w:val="00D768EE"/>
    <w:rsid w:val="00D77568"/>
    <w:rsid w:val="00D9085D"/>
    <w:rsid w:val="00DA4A72"/>
    <w:rsid w:val="00DC2DDA"/>
    <w:rsid w:val="00DC5408"/>
    <w:rsid w:val="00E15F30"/>
    <w:rsid w:val="00E24CFB"/>
    <w:rsid w:val="00E95449"/>
    <w:rsid w:val="00EC1C36"/>
    <w:rsid w:val="00EC7906"/>
    <w:rsid w:val="00ED42B9"/>
    <w:rsid w:val="00EE0046"/>
    <w:rsid w:val="00F1553B"/>
    <w:rsid w:val="00F22F18"/>
    <w:rsid w:val="00F82D25"/>
    <w:rsid w:val="00FD2CDC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070093"/>
  <w15:chartTrackingRefBased/>
  <w15:docId w15:val="{B10A62B8-CD6A-403E-A23B-6909A05A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C9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10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CB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30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6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D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DA"/>
    <w:rPr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A0B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0FE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A1BDB"/>
    <w:rPr>
      <w:lang w:val="lv-LV"/>
    </w:rPr>
  </w:style>
  <w:style w:type="paragraph" w:customStyle="1" w:styleId="naisf">
    <w:name w:val="naisf"/>
    <w:basedOn w:val="Normal"/>
    <w:rsid w:val="00A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BB45-20A5-4631-84F5-450C3BD2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2016.gada 29.marta noteikumos Nr. 179 “ Kārtība, kādā nosakāms naudas sods par Konkurences likuma 11.panta pirmajā daļā un 13.pantā un Negodīgas mazumtirdzniecības prakses aizlieguma likuma 5., 6., 7. un 8.pantā paredzētajiem 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2016.gada 29.marta noteikumos Nr. 179 “ Kārtība, kādā nosakāms naudas sods par Konkurences likuma 11.panta pirmajā daļā un 13.pantā un Negodīgas mazumtirdzniecības prakses aizlieguma likuma 5., 6., 7. un 8.pantā paredzētajiem pārkāpumiem”</dc:title>
  <dc:subject/>
  <dc:creator>Dita Dzērviniece</dc:creator>
  <cp:keywords>Ministru kabineta noteikumu projekts</cp:keywords>
  <dc:description/>
  <cp:lastModifiedBy>Leontine Babkina</cp:lastModifiedBy>
  <cp:revision>16</cp:revision>
  <cp:lastPrinted>2020-01-06T06:26:00Z</cp:lastPrinted>
  <dcterms:created xsi:type="dcterms:W3CDTF">2019-11-29T07:24:00Z</dcterms:created>
  <dcterms:modified xsi:type="dcterms:W3CDTF">2020-01-08T10:15:00Z</dcterms:modified>
</cp:coreProperties>
</file>