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C5869" w14:textId="77777777" w:rsidR="007A177D" w:rsidRPr="007A177D" w:rsidRDefault="007A177D" w:rsidP="007A177D">
      <w:pPr>
        <w:shd w:val="clear" w:color="auto" w:fill="FFFFFF"/>
        <w:spacing w:before="130" w:line="260" w:lineRule="exact"/>
        <w:jc w:val="center"/>
        <w:rPr>
          <w:rFonts w:eastAsia="Calibri"/>
          <w:b/>
          <w:sz w:val="28"/>
          <w:szCs w:val="28"/>
          <w:lang w:eastAsia="en-US"/>
        </w:rPr>
      </w:pPr>
      <w:r w:rsidRPr="007A177D">
        <w:rPr>
          <w:rFonts w:eastAsia="Calibri"/>
          <w:b/>
          <w:sz w:val="28"/>
          <w:szCs w:val="28"/>
          <w:lang w:eastAsia="en-US"/>
        </w:rPr>
        <w:t xml:space="preserve">Likumprojekta “Grozījumi likumā “Par nodokļiem un nodevām”” </w:t>
      </w:r>
      <w:r w:rsidRPr="007A177D">
        <w:rPr>
          <w:rFonts w:eastAsia="Calibri"/>
          <w:b/>
          <w:bCs/>
          <w:sz w:val="28"/>
          <w:szCs w:val="28"/>
          <w:lang w:eastAsia="en-US"/>
        </w:rPr>
        <w:t>sākotnējās ietekmes novērtējuma ziņojums (anotācija)</w:t>
      </w:r>
    </w:p>
    <w:p w14:paraId="1328DA71" w14:textId="77777777" w:rsidR="003A10F7" w:rsidRPr="00A5594D" w:rsidRDefault="003A10F7" w:rsidP="003A10F7">
      <w:pPr>
        <w:shd w:val="clear" w:color="auto" w:fill="FFFFFF"/>
        <w:spacing w:before="130" w:line="260" w:lineRule="exact"/>
        <w:jc w:val="both"/>
        <w:rPr>
          <w:b/>
          <w:bCs/>
        </w:rPr>
      </w:pPr>
      <w:bookmarkStart w:id="0" w:name="_GoBack"/>
      <w:bookmarkEnd w:id="0"/>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92"/>
        <w:gridCol w:w="5839"/>
      </w:tblGrid>
      <w:tr w:rsidR="00A5594D" w:rsidRPr="00A5594D" w14:paraId="37715422" w14:textId="77777777" w:rsidTr="00950018">
        <w:trPr>
          <w:cantSplit/>
        </w:trPr>
        <w:tc>
          <w:tcPr>
            <w:tcW w:w="8359" w:type="dxa"/>
            <w:gridSpan w:val="2"/>
            <w:shd w:val="clear" w:color="auto" w:fill="FFFFFF"/>
            <w:vAlign w:val="center"/>
            <w:hideMark/>
          </w:tcPr>
          <w:p w14:paraId="2150E516" w14:textId="77777777" w:rsidR="003A10F7" w:rsidRPr="00A5594D" w:rsidRDefault="003A10F7" w:rsidP="009B5C24">
            <w:pPr>
              <w:jc w:val="center"/>
              <w:rPr>
                <w:b/>
                <w:iCs/>
                <w:lang w:eastAsia="en-US"/>
              </w:rPr>
            </w:pPr>
            <w:r w:rsidRPr="00A5594D">
              <w:rPr>
                <w:b/>
                <w:iCs/>
                <w:lang w:eastAsia="en-US"/>
              </w:rPr>
              <w:t>Tiesību akta projekta anotācijas kopsavilkums</w:t>
            </w:r>
          </w:p>
        </w:tc>
      </w:tr>
      <w:tr w:rsidR="00A5594D" w:rsidRPr="00A5594D" w14:paraId="0E0E0E77" w14:textId="77777777" w:rsidTr="00950018">
        <w:trPr>
          <w:cantSplit/>
        </w:trPr>
        <w:tc>
          <w:tcPr>
            <w:tcW w:w="3014" w:type="dxa"/>
            <w:shd w:val="clear" w:color="auto" w:fill="FFFFFF"/>
            <w:hideMark/>
          </w:tcPr>
          <w:p w14:paraId="11B57FB6" w14:textId="77777777" w:rsidR="003A10F7" w:rsidRPr="00A5594D" w:rsidRDefault="003A10F7" w:rsidP="009B5C24">
            <w:pPr>
              <w:rPr>
                <w:iCs/>
                <w:lang w:eastAsia="en-US"/>
              </w:rPr>
            </w:pPr>
            <w:r w:rsidRPr="00A5594D">
              <w:rPr>
                <w:iCs/>
                <w:lang w:eastAsia="en-US"/>
              </w:rPr>
              <w:t>Mērķis, risinājums un projekta spēkā stāšanās laiks (500 zīmes bez atstarpēm)</w:t>
            </w:r>
          </w:p>
        </w:tc>
        <w:tc>
          <w:tcPr>
            <w:tcW w:w="5345" w:type="dxa"/>
            <w:shd w:val="clear" w:color="auto" w:fill="FFFFFF"/>
            <w:hideMark/>
          </w:tcPr>
          <w:p w14:paraId="7AF1170C" w14:textId="4FE0F1EC" w:rsidR="003A10F7" w:rsidRPr="00A5594D" w:rsidRDefault="007A177D" w:rsidP="003E3760">
            <w:pPr>
              <w:jc w:val="both"/>
              <w:rPr>
                <w:iCs/>
                <w:lang w:eastAsia="en-US"/>
              </w:rPr>
            </w:pPr>
            <w:r w:rsidRPr="007A177D">
              <w:rPr>
                <w:iCs/>
                <w:lang w:eastAsia="en-US"/>
              </w:rPr>
              <w:t xml:space="preserve">Likumprojekts “Grozījumi likumā “Par nodokļiem un nodevām” (turpmāk – </w:t>
            </w:r>
            <w:r w:rsidR="00636098">
              <w:rPr>
                <w:iCs/>
                <w:lang w:eastAsia="en-US"/>
              </w:rPr>
              <w:t>Likump</w:t>
            </w:r>
            <w:r w:rsidRPr="007A177D">
              <w:rPr>
                <w:iCs/>
                <w:lang w:eastAsia="en-US"/>
              </w:rPr>
              <w:t>rojekts) paredz veikt grozījumu</w:t>
            </w:r>
            <w:r w:rsidR="00632712">
              <w:rPr>
                <w:iCs/>
                <w:lang w:eastAsia="en-US"/>
              </w:rPr>
              <w:t>s</w:t>
            </w:r>
            <w:r w:rsidRPr="007A177D">
              <w:rPr>
                <w:iCs/>
                <w:lang w:eastAsia="en-US"/>
              </w:rPr>
              <w:t xml:space="preserve"> likumā “Par nodokļiem un nodevām”,</w:t>
            </w:r>
            <w:r w:rsidR="00755C9F">
              <w:rPr>
                <w:iCs/>
                <w:lang w:eastAsia="en-US"/>
              </w:rPr>
              <w:t xml:space="preserve"> </w:t>
            </w:r>
            <w:r w:rsidR="00A63A8D">
              <w:rPr>
                <w:iCs/>
                <w:lang w:eastAsia="en-US"/>
              </w:rPr>
              <w:t>nosakot</w:t>
            </w:r>
            <w:proofErr w:type="gramStart"/>
            <w:r w:rsidR="004D4F9E">
              <w:rPr>
                <w:iCs/>
                <w:lang w:eastAsia="en-US"/>
              </w:rPr>
              <w:t xml:space="preserve">  </w:t>
            </w:r>
            <w:proofErr w:type="gramEnd"/>
            <w:r w:rsidR="00755C9F">
              <w:rPr>
                <w:iCs/>
                <w:lang w:eastAsia="en-US"/>
              </w:rPr>
              <w:t>Valsts robežsardz</w:t>
            </w:r>
            <w:r w:rsidR="004D4F9E">
              <w:rPr>
                <w:iCs/>
                <w:lang w:eastAsia="en-US"/>
              </w:rPr>
              <w:t>i kā vienu no kontrolējošajām iestādēm</w:t>
            </w:r>
            <w:r w:rsidR="00CA6F7E">
              <w:rPr>
                <w:iCs/>
                <w:lang w:eastAsia="en-US"/>
              </w:rPr>
              <w:t>, kura</w:t>
            </w:r>
            <w:r w:rsidR="00755C9F">
              <w:rPr>
                <w:iCs/>
                <w:lang w:eastAsia="en-US"/>
              </w:rPr>
              <w:t xml:space="preserve"> </w:t>
            </w:r>
            <w:r w:rsidR="007B02C3">
              <w:rPr>
                <w:iCs/>
                <w:lang w:eastAsia="en-US"/>
              </w:rPr>
              <w:t>savu funkciju nodrošināšanai</w:t>
            </w:r>
            <w:r w:rsidR="00132472">
              <w:rPr>
                <w:iCs/>
                <w:lang w:eastAsia="en-US"/>
              </w:rPr>
              <w:t xml:space="preserve">, </w:t>
            </w:r>
            <w:r w:rsidR="00CA6F7E">
              <w:rPr>
                <w:iCs/>
                <w:lang w:eastAsia="en-US"/>
              </w:rPr>
              <w:t xml:space="preserve">ir tiesīga </w:t>
            </w:r>
            <w:r w:rsidR="00132472">
              <w:rPr>
                <w:iCs/>
                <w:lang w:eastAsia="en-US"/>
              </w:rPr>
              <w:t>pārbaudes laikā būvlaukumā</w:t>
            </w:r>
            <w:r w:rsidR="000524AF">
              <w:rPr>
                <w:iCs/>
                <w:lang w:eastAsia="en-US"/>
              </w:rPr>
              <w:t>,</w:t>
            </w:r>
            <w:r w:rsidRPr="007A177D">
              <w:rPr>
                <w:iCs/>
                <w:lang w:eastAsia="en-US"/>
              </w:rPr>
              <w:t xml:space="preserve"> pieprasīt un saņemt elektroniskās darba laika uzskaites sistēmas (turpmāk – EDLUS) datus par personām, k</w:t>
            </w:r>
            <w:r w:rsidR="003E3760">
              <w:rPr>
                <w:iCs/>
                <w:lang w:eastAsia="en-US"/>
              </w:rPr>
              <w:t>uras</w:t>
            </w:r>
            <w:r w:rsidRPr="007A177D">
              <w:rPr>
                <w:iCs/>
                <w:lang w:eastAsia="en-US"/>
              </w:rPr>
              <w:t xml:space="preserve"> datu pieprasījuma brīdī atrodas būvlaukumā, kā arī tiešsaistē izmantot Vienotās elektroniskās darba laika uzskaites datubāzi (turpmāk – VEDLUDB). </w:t>
            </w:r>
            <w:r w:rsidR="00636098">
              <w:rPr>
                <w:iCs/>
                <w:lang w:eastAsia="en-US"/>
              </w:rPr>
              <w:t>Likump</w:t>
            </w:r>
            <w:r w:rsidRPr="007A177D">
              <w:rPr>
                <w:iCs/>
                <w:lang w:eastAsia="en-US"/>
              </w:rPr>
              <w:t>rojekts stāsies spēkā vispārējā kārtībā.</w:t>
            </w:r>
          </w:p>
        </w:tc>
      </w:tr>
    </w:tbl>
    <w:p w14:paraId="4C4D9C4F" w14:textId="77777777" w:rsidR="00BD5588" w:rsidRPr="00A5594D" w:rsidRDefault="00BD5588" w:rsidP="007F5A97">
      <w:pPr>
        <w:pStyle w:val="Title"/>
        <w:spacing w:before="130" w:line="260" w:lineRule="exact"/>
        <w:jc w:val="both"/>
        <w:rPr>
          <w:sz w:val="24"/>
          <w:szCs w:val="24"/>
        </w:rPr>
      </w:pPr>
    </w:p>
    <w:tbl>
      <w:tblPr>
        <w:tblpPr w:leftFromText="180" w:rightFromText="180" w:vertAnchor="text" w:tblpXSpec="right" w:tblpY="1"/>
        <w:tblOverlap w:val="neve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768"/>
        <w:gridCol w:w="5817"/>
      </w:tblGrid>
      <w:tr w:rsidR="00A5594D" w:rsidRPr="00A5594D" w14:paraId="362F8D7D" w14:textId="77777777" w:rsidTr="004B4BDC">
        <w:tc>
          <w:tcPr>
            <w:tcW w:w="5000" w:type="pct"/>
            <w:gridSpan w:val="3"/>
            <w:vAlign w:val="center"/>
            <w:hideMark/>
          </w:tcPr>
          <w:p w14:paraId="2D0430C0" w14:textId="718285A8" w:rsidR="00BD5588" w:rsidRPr="00A5594D" w:rsidRDefault="00BD5588" w:rsidP="004B4BDC">
            <w:pPr>
              <w:jc w:val="center"/>
              <w:rPr>
                <w:b/>
                <w:bCs/>
              </w:rPr>
            </w:pPr>
            <w:r w:rsidRPr="00A5594D">
              <w:rPr>
                <w:b/>
                <w:bCs/>
              </w:rPr>
              <w:t>I. Tiesību akta projekta izstrādes nepieciešamība</w:t>
            </w:r>
          </w:p>
        </w:tc>
      </w:tr>
      <w:tr w:rsidR="00A5594D" w:rsidRPr="00A5594D" w14:paraId="7DCB9320" w14:textId="77777777" w:rsidTr="004B4BDC">
        <w:tc>
          <w:tcPr>
            <w:tcW w:w="308" w:type="pct"/>
            <w:hideMark/>
          </w:tcPr>
          <w:p w14:paraId="5953B6A5" w14:textId="77777777" w:rsidR="00BD5588" w:rsidRPr="00A5594D" w:rsidRDefault="00BD5588" w:rsidP="008A414D">
            <w:pPr>
              <w:jc w:val="center"/>
            </w:pPr>
            <w:r w:rsidRPr="00A5594D">
              <w:t>1.</w:t>
            </w:r>
          </w:p>
        </w:tc>
        <w:tc>
          <w:tcPr>
            <w:tcW w:w="1513" w:type="pct"/>
          </w:tcPr>
          <w:p w14:paraId="053D0A97" w14:textId="39DAA57D" w:rsidR="00500E03" w:rsidRPr="00A5594D" w:rsidRDefault="00497DAD" w:rsidP="008A414D">
            <w:r w:rsidRPr="00A5594D">
              <w:t>Pamatojums</w:t>
            </w:r>
          </w:p>
          <w:p w14:paraId="5793999D" w14:textId="77777777" w:rsidR="00500E03" w:rsidRPr="00A5594D" w:rsidRDefault="00500E03" w:rsidP="008A414D"/>
          <w:p w14:paraId="33D074F9" w14:textId="613262C9" w:rsidR="00BD5588" w:rsidRPr="00A5594D" w:rsidRDefault="00BD5588" w:rsidP="008A414D"/>
        </w:tc>
        <w:tc>
          <w:tcPr>
            <w:tcW w:w="3179" w:type="pct"/>
          </w:tcPr>
          <w:p w14:paraId="1185749B" w14:textId="77777777" w:rsidR="00C06CA8" w:rsidRPr="00A5594D" w:rsidRDefault="00C06CA8" w:rsidP="008A414D">
            <w:pPr>
              <w:numPr>
                <w:ilvl w:val="0"/>
                <w:numId w:val="4"/>
              </w:numPr>
              <w:tabs>
                <w:tab w:val="left" w:pos="319"/>
              </w:tabs>
              <w:ind w:left="319" w:hanging="284"/>
              <w:contextualSpacing/>
              <w:jc w:val="both"/>
              <w:rPr>
                <w:rFonts w:eastAsia="Calibri"/>
                <w:bCs/>
                <w:szCs w:val="22"/>
                <w:lang w:eastAsia="en-US"/>
              </w:rPr>
            </w:pPr>
            <w:r w:rsidRPr="00A5594D">
              <w:rPr>
                <w:rFonts w:eastAsia="Calibri"/>
                <w:bCs/>
                <w:szCs w:val="22"/>
                <w:lang w:eastAsia="en-US"/>
              </w:rPr>
              <w:t xml:space="preserve">Iekšlietu ministrijas iniciatīva; </w:t>
            </w:r>
          </w:p>
          <w:p w14:paraId="49027191" w14:textId="41E1DC52" w:rsidR="0097227E" w:rsidRPr="008771A4" w:rsidRDefault="006B1E3D" w:rsidP="008A414D">
            <w:pPr>
              <w:numPr>
                <w:ilvl w:val="0"/>
                <w:numId w:val="4"/>
              </w:numPr>
              <w:tabs>
                <w:tab w:val="left" w:pos="319"/>
              </w:tabs>
              <w:ind w:left="319" w:hanging="284"/>
              <w:contextualSpacing/>
              <w:jc w:val="both"/>
              <w:rPr>
                <w:rFonts w:eastAsia="Calibri"/>
                <w:bCs/>
                <w:szCs w:val="22"/>
                <w:lang w:eastAsia="en-US"/>
              </w:rPr>
            </w:pPr>
            <w:r w:rsidRPr="006B1E3D">
              <w:rPr>
                <w:rFonts w:eastAsia="Calibri"/>
                <w:bCs/>
                <w:iCs/>
                <w:szCs w:val="22"/>
                <w:lang w:eastAsia="en-US"/>
              </w:rPr>
              <w:t xml:space="preserve">Robežsardzes likuma </w:t>
            </w:r>
            <w:proofErr w:type="gramStart"/>
            <w:r w:rsidRPr="006B1E3D">
              <w:rPr>
                <w:rFonts w:eastAsia="Calibri"/>
                <w:bCs/>
                <w:iCs/>
                <w:szCs w:val="22"/>
                <w:lang w:eastAsia="en-US"/>
              </w:rPr>
              <w:t>13.panta</w:t>
            </w:r>
            <w:proofErr w:type="gramEnd"/>
            <w:r w:rsidRPr="006B1E3D">
              <w:rPr>
                <w:rFonts w:eastAsia="Calibri"/>
                <w:bCs/>
                <w:iCs/>
                <w:szCs w:val="22"/>
                <w:lang w:eastAsia="en-US"/>
              </w:rPr>
              <w:t xml:space="preserve"> 14., 15.punkts un Imigrācijas likuma 3.panta pirmā daļa.</w:t>
            </w:r>
          </w:p>
        </w:tc>
      </w:tr>
      <w:tr w:rsidR="00A5594D" w:rsidRPr="00A5594D" w14:paraId="3E76B563" w14:textId="77777777" w:rsidTr="004B4BDC">
        <w:tc>
          <w:tcPr>
            <w:tcW w:w="308" w:type="pct"/>
          </w:tcPr>
          <w:p w14:paraId="67A5A28E" w14:textId="5A73E3D8" w:rsidR="00A871FB" w:rsidRPr="00A5594D" w:rsidRDefault="00DE0F72" w:rsidP="008A414D">
            <w:pPr>
              <w:jc w:val="center"/>
            </w:pPr>
            <w:r w:rsidRPr="00A5594D">
              <w:t>2.</w:t>
            </w:r>
          </w:p>
          <w:p w14:paraId="39933E76" w14:textId="77777777" w:rsidR="00A871FB" w:rsidRPr="00A5594D" w:rsidRDefault="00A871FB" w:rsidP="008A414D"/>
          <w:p w14:paraId="2A637552" w14:textId="77777777" w:rsidR="00A871FB" w:rsidRPr="00A5594D" w:rsidRDefault="00A871FB" w:rsidP="008A414D"/>
          <w:p w14:paraId="2EA5C986" w14:textId="77777777" w:rsidR="00A871FB" w:rsidRPr="00A5594D" w:rsidRDefault="00A871FB" w:rsidP="008A414D"/>
          <w:p w14:paraId="54B91579" w14:textId="77777777" w:rsidR="00A871FB" w:rsidRPr="00A5594D" w:rsidRDefault="00A871FB" w:rsidP="008A414D"/>
          <w:p w14:paraId="2ECC3B26" w14:textId="5B799D8B" w:rsidR="00A871FB" w:rsidRPr="00A5594D" w:rsidRDefault="00A871FB" w:rsidP="008A414D"/>
          <w:p w14:paraId="639DCE7C" w14:textId="586E79CF" w:rsidR="00B74734" w:rsidRPr="00A5594D" w:rsidRDefault="00B74734" w:rsidP="008A414D"/>
          <w:p w14:paraId="6EFE4EC9" w14:textId="77777777" w:rsidR="00B74734" w:rsidRPr="00A5594D" w:rsidRDefault="00B74734" w:rsidP="008A414D"/>
          <w:p w14:paraId="77E2BA25" w14:textId="77777777" w:rsidR="00B74734" w:rsidRPr="00A5594D" w:rsidRDefault="00B74734" w:rsidP="008A414D"/>
          <w:p w14:paraId="77D7E2EE" w14:textId="77777777" w:rsidR="00B74734" w:rsidRPr="00A5594D" w:rsidRDefault="00B74734" w:rsidP="008A414D"/>
          <w:p w14:paraId="4BB2B35E" w14:textId="77777777" w:rsidR="00B74734" w:rsidRPr="00A5594D" w:rsidRDefault="00B74734" w:rsidP="008A414D"/>
          <w:p w14:paraId="5CB1C7AD" w14:textId="77777777" w:rsidR="00B74734" w:rsidRPr="00A5594D" w:rsidRDefault="00B74734" w:rsidP="008A414D"/>
          <w:p w14:paraId="3E239071" w14:textId="77777777" w:rsidR="00B74734" w:rsidRPr="00A5594D" w:rsidRDefault="00B74734" w:rsidP="008A414D"/>
          <w:p w14:paraId="59D8EC6D" w14:textId="77777777" w:rsidR="00B74734" w:rsidRPr="00A5594D" w:rsidRDefault="00B74734" w:rsidP="008A414D"/>
          <w:p w14:paraId="0E75C26A" w14:textId="77777777" w:rsidR="00B74734" w:rsidRPr="00A5594D" w:rsidRDefault="00B74734" w:rsidP="008A414D"/>
          <w:p w14:paraId="3E4D6698" w14:textId="77777777" w:rsidR="00B74734" w:rsidRPr="00A5594D" w:rsidRDefault="00B74734" w:rsidP="008A414D"/>
          <w:p w14:paraId="6A4FE03D" w14:textId="77777777" w:rsidR="00B74734" w:rsidRPr="00A5594D" w:rsidRDefault="00B74734" w:rsidP="008A414D"/>
          <w:p w14:paraId="4B3BC4FA" w14:textId="77777777" w:rsidR="00B74734" w:rsidRPr="00A5594D" w:rsidRDefault="00B74734" w:rsidP="008A414D"/>
          <w:p w14:paraId="613BE115" w14:textId="77777777" w:rsidR="00B74734" w:rsidRPr="00A5594D" w:rsidRDefault="00B74734" w:rsidP="008A414D"/>
          <w:p w14:paraId="3FA36E54" w14:textId="77777777" w:rsidR="00B74734" w:rsidRPr="00A5594D" w:rsidRDefault="00B74734" w:rsidP="008A414D"/>
          <w:p w14:paraId="6D5CAD43" w14:textId="77777777" w:rsidR="00B74734" w:rsidRPr="00A5594D" w:rsidRDefault="00B74734" w:rsidP="008A414D"/>
          <w:p w14:paraId="359F551D" w14:textId="77777777" w:rsidR="00B74734" w:rsidRPr="00A5594D" w:rsidRDefault="00B74734" w:rsidP="008A414D"/>
          <w:p w14:paraId="2143D6BD" w14:textId="3C91031E" w:rsidR="00B74734" w:rsidRPr="00A5594D" w:rsidRDefault="00B74734" w:rsidP="008A414D"/>
          <w:p w14:paraId="0895A07B" w14:textId="77777777" w:rsidR="00B74734" w:rsidRPr="00A5594D" w:rsidRDefault="00B74734" w:rsidP="008A414D"/>
          <w:p w14:paraId="2231579D" w14:textId="6F3A3100" w:rsidR="00B74734" w:rsidRPr="00A5594D" w:rsidRDefault="00B74734" w:rsidP="008A414D"/>
          <w:p w14:paraId="2676AE2F" w14:textId="77777777" w:rsidR="00DE0F72" w:rsidRPr="00A5594D" w:rsidRDefault="00DE0F72" w:rsidP="008A414D"/>
        </w:tc>
        <w:tc>
          <w:tcPr>
            <w:tcW w:w="1513" w:type="pct"/>
          </w:tcPr>
          <w:p w14:paraId="585A0B3C" w14:textId="48A34D5D" w:rsidR="00500E03" w:rsidRPr="00A5594D" w:rsidRDefault="00DE0F72" w:rsidP="008A414D">
            <w:r w:rsidRPr="00A5594D">
              <w:t>Pašreizējā situācija un problēmas, kuru risināšanai tiesību akta projekts izstrādāts, tiesiskā regulējuma mērķis un būtība</w:t>
            </w:r>
          </w:p>
          <w:p w14:paraId="26D4609E" w14:textId="77777777" w:rsidR="00500E03" w:rsidRPr="00A5594D" w:rsidRDefault="00500E03" w:rsidP="008A414D"/>
          <w:p w14:paraId="4A74A74C" w14:textId="77777777" w:rsidR="00500E03" w:rsidRPr="00A5594D" w:rsidRDefault="00500E03" w:rsidP="008A414D"/>
          <w:p w14:paraId="3BED3DA7" w14:textId="77777777" w:rsidR="00500E03" w:rsidRPr="00A5594D" w:rsidRDefault="00500E03" w:rsidP="008A414D"/>
          <w:p w14:paraId="5682AB9E" w14:textId="77777777" w:rsidR="00500E03" w:rsidRPr="00A5594D" w:rsidRDefault="00500E03" w:rsidP="008A414D"/>
          <w:p w14:paraId="60839E11" w14:textId="77777777" w:rsidR="00500E03" w:rsidRPr="00A5594D" w:rsidRDefault="00500E03" w:rsidP="008A414D"/>
          <w:p w14:paraId="115E5DBE" w14:textId="77777777" w:rsidR="00500E03" w:rsidRPr="00A5594D" w:rsidRDefault="00500E03" w:rsidP="008A414D"/>
          <w:p w14:paraId="49E39890" w14:textId="77777777" w:rsidR="00500E03" w:rsidRPr="00A5594D" w:rsidRDefault="00500E03" w:rsidP="008A414D"/>
          <w:p w14:paraId="35C6E8F2" w14:textId="6C3F0D06" w:rsidR="00DE0F72" w:rsidRPr="00A5594D" w:rsidRDefault="00DE0F72" w:rsidP="008A414D"/>
        </w:tc>
        <w:tc>
          <w:tcPr>
            <w:tcW w:w="3179" w:type="pct"/>
          </w:tcPr>
          <w:p w14:paraId="0D7BB7D9" w14:textId="1886961A" w:rsidR="00DD2621" w:rsidRPr="00DD2621" w:rsidRDefault="00DD2621" w:rsidP="008A414D">
            <w:pPr>
              <w:jc w:val="both"/>
              <w:rPr>
                <w:bCs/>
                <w:iCs/>
              </w:rPr>
            </w:pPr>
            <w:r w:rsidRPr="00DD2621">
              <w:rPr>
                <w:bCs/>
                <w:iCs/>
              </w:rPr>
              <w:t xml:space="preserve">Saeimā </w:t>
            </w:r>
            <w:proofErr w:type="gramStart"/>
            <w:r w:rsidRPr="00DD2621">
              <w:rPr>
                <w:bCs/>
                <w:iCs/>
              </w:rPr>
              <w:t>2017.gada</w:t>
            </w:r>
            <w:proofErr w:type="gramEnd"/>
            <w:r w:rsidRPr="00DD2621">
              <w:rPr>
                <w:bCs/>
                <w:iCs/>
              </w:rPr>
              <w:t xml:space="preserve"> 22.jūnijā tika pieņemts likums “Grozījumi likumā “Par nodokļiem un nodevām””, kas paredz ar 2017. gada 1. oktobri ieviest elektronisko darba laika uzskaiti būvlaukumos, kuros tiek veikta jaunas trešās grupas būves būvniecība vai būvdarbi, kuru izmaksas ir viens miljons eiro vai vairāk</w:t>
            </w:r>
            <w:r w:rsidRPr="00DD2621">
              <w:rPr>
                <w:bCs/>
              </w:rPr>
              <w:t xml:space="preserve"> (no 2020.gada 1.janvāra - </w:t>
            </w:r>
            <w:r w:rsidRPr="00DD2621">
              <w:rPr>
                <w:bCs/>
                <w:iCs/>
              </w:rPr>
              <w:t>350 000 </w:t>
            </w:r>
            <w:proofErr w:type="spellStart"/>
            <w:r w:rsidRPr="00DD2621">
              <w:rPr>
                <w:bCs/>
                <w:iCs/>
              </w:rPr>
              <w:t>euro</w:t>
            </w:r>
            <w:proofErr w:type="spellEnd"/>
            <w:r w:rsidRPr="00DD2621">
              <w:rPr>
                <w:bCs/>
                <w:i/>
                <w:iCs/>
              </w:rPr>
              <w:t xml:space="preserve"> </w:t>
            </w:r>
            <w:r w:rsidRPr="00DD2621">
              <w:rPr>
                <w:bCs/>
                <w:iCs/>
              </w:rPr>
              <w:t>vai vairāk).</w:t>
            </w:r>
          </w:p>
          <w:p w14:paraId="26C6A290" w14:textId="77777777" w:rsidR="00891C95" w:rsidRPr="00891C95" w:rsidRDefault="00891C95" w:rsidP="008A414D">
            <w:pPr>
              <w:jc w:val="both"/>
              <w:rPr>
                <w:bCs/>
                <w:iCs/>
              </w:rPr>
            </w:pPr>
            <w:r w:rsidRPr="00891C95">
              <w:rPr>
                <w:bCs/>
                <w:iCs/>
              </w:rPr>
              <w:t xml:space="preserve">Likuma „Par nodokļiem un nodevām” </w:t>
            </w:r>
            <w:proofErr w:type="gramStart"/>
            <w:r w:rsidRPr="00891C95">
              <w:rPr>
                <w:bCs/>
                <w:iCs/>
              </w:rPr>
              <w:t>113.panta</w:t>
            </w:r>
            <w:proofErr w:type="gramEnd"/>
            <w:r w:rsidRPr="00891C95">
              <w:rPr>
                <w:bCs/>
                <w:iCs/>
              </w:rPr>
              <w:t xml:space="preserve"> pirmā daļa nosaka, ka EDLUS tiek reģistrēti un uzkrāti dati:</w:t>
            </w:r>
          </w:p>
          <w:p w14:paraId="2D57339F" w14:textId="77777777" w:rsidR="00891C95" w:rsidRPr="00891C95" w:rsidRDefault="00891C95" w:rsidP="008A414D">
            <w:pPr>
              <w:numPr>
                <w:ilvl w:val="0"/>
                <w:numId w:val="8"/>
              </w:numPr>
              <w:jc w:val="both"/>
              <w:rPr>
                <w:bCs/>
                <w:iCs/>
              </w:rPr>
            </w:pPr>
            <w:r w:rsidRPr="00891C95">
              <w:rPr>
                <w:bCs/>
                <w:iCs/>
              </w:rPr>
              <w:t>par būvlaukumā nodarbinātu personu;</w:t>
            </w:r>
          </w:p>
          <w:p w14:paraId="05643547" w14:textId="6F66250B" w:rsidR="00891C95" w:rsidRPr="00891C95" w:rsidRDefault="00891C95" w:rsidP="008A414D">
            <w:pPr>
              <w:numPr>
                <w:ilvl w:val="0"/>
                <w:numId w:val="8"/>
              </w:numPr>
              <w:jc w:val="both"/>
              <w:rPr>
                <w:bCs/>
                <w:iCs/>
              </w:rPr>
            </w:pPr>
            <w:r w:rsidRPr="00891C95">
              <w:rPr>
                <w:bCs/>
                <w:iCs/>
              </w:rPr>
              <w:t xml:space="preserve">par personu, </w:t>
            </w:r>
            <w:r w:rsidR="00E84887" w:rsidRPr="00891C95">
              <w:rPr>
                <w:bCs/>
                <w:iCs/>
              </w:rPr>
              <w:t>k</w:t>
            </w:r>
            <w:r w:rsidR="00E84887">
              <w:rPr>
                <w:bCs/>
                <w:iCs/>
              </w:rPr>
              <w:t>ura</w:t>
            </w:r>
            <w:r w:rsidR="00E84887" w:rsidRPr="00891C95">
              <w:rPr>
                <w:bCs/>
                <w:iCs/>
              </w:rPr>
              <w:t xml:space="preserve"> </w:t>
            </w:r>
            <w:r w:rsidRPr="00891C95">
              <w:rPr>
                <w:bCs/>
                <w:iCs/>
              </w:rPr>
              <w:t xml:space="preserve">uzturas būvlaukumā, bet nav nodarbināta būvdarbu veikšanā būvlaukumā; </w:t>
            </w:r>
          </w:p>
          <w:p w14:paraId="705CA873" w14:textId="77777777" w:rsidR="00891C95" w:rsidRPr="00891C95" w:rsidRDefault="00891C95" w:rsidP="008A414D">
            <w:pPr>
              <w:numPr>
                <w:ilvl w:val="0"/>
                <w:numId w:val="8"/>
              </w:numPr>
              <w:jc w:val="both"/>
              <w:rPr>
                <w:bCs/>
                <w:iCs/>
              </w:rPr>
            </w:pPr>
            <w:r w:rsidRPr="00891C95">
              <w:rPr>
                <w:bCs/>
                <w:iCs/>
              </w:rPr>
              <w:t xml:space="preserve">par galvenā būvdarbu veicēja noslēgto būvdarbu līgumu ar būvniecības ierosinātāju un, ja mainās līguma summa, par šī līguma grozījumiem. </w:t>
            </w:r>
          </w:p>
          <w:p w14:paraId="40672C05" w14:textId="67A5D599" w:rsidR="00DD2621" w:rsidRDefault="000004DB" w:rsidP="008A414D">
            <w:pPr>
              <w:jc w:val="both"/>
              <w:rPr>
                <w:bCs/>
              </w:rPr>
            </w:pPr>
            <w:r>
              <w:rPr>
                <w:bCs/>
                <w:iCs/>
              </w:rPr>
              <w:t>G</w:t>
            </w:r>
            <w:r w:rsidR="00DD2621" w:rsidRPr="00DD2621">
              <w:rPr>
                <w:bCs/>
                <w:iCs/>
              </w:rPr>
              <w:t>alvenais būvdarbu veicējs EDLUS reģistrētos un uzkrātos datus</w:t>
            </w:r>
            <w:r w:rsidR="00B811B3">
              <w:rPr>
                <w:bCs/>
                <w:iCs/>
              </w:rPr>
              <w:t xml:space="preserve"> par būvlaukumā nodarbinātajām personām</w:t>
            </w:r>
            <w:r w:rsidR="00DD2621" w:rsidRPr="00DD2621">
              <w:rPr>
                <w:bCs/>
                <w:iCs/>
              </w:rPr>
              <w:t xml:space="preserve"> nodod iekļaušanai VEDLUDB</w:t>
            </w:r>
            <w:r w:rsidR="00891C95" w:rsidRPr="00891C95">
              <w:rPr>
                <w:bCs/>
                <w:iCs/>
              </w:rPr>
              <w:t xml:space="preserve"> </w:t>
            </w:r>
            <w:r w:rsidR="00891C95" w:rsidRPr="000524AF">
              <w:rPr>
                <w:rFonts w:eastAsia="Calibri"/>
                <w:bCs/>
                <w:iCs/>
                <w:lang w:eastAsia="en-US"/>
              </w:rPr>
              <w:t xml:space="preserve">(EDLUS uzkrāto datu nodošana glabāšanai centralizēti VEDLUDB paredzēta no </w:t>
            </w:r>
            <w:proofErr w:type="gramStart"/>
            <w:r w:rsidR="00891C95" w:rsidRPr="000524AF">
              <w:rPr>
                <w:rFonts w:eastAsia="Calibri"/>
                <w:bCs/>
                <w:iCs/>
                <w:lang w:eastAsia="en-US"/>
              </w:rPr>
              <w:t>2020.gada</w:t>
            </w:r>
            <w:proofErr w:type="gramEnd"/>
            <w:r w:rsidR="00891C95" w:rsidRPr="000524AF">
              <w:rPr>
                <w:rFonts w:eastAsia="Calibri"/>
                <w:bCs/>
                <w:iCs/>
                <w:lang w:eastAsia="en-US"/>
              </w:rPr>
              <w:t xml:space="preserve"> 1.februāra)</w:t>
            </w:r>
            <w:r w:rsidR="007C1A66">
              <w:rPr>
                <w:bCs/>
                <w:iCs/>
              </w:rPr>
              <w:t>.</w:t>
            </w:r>
            <w:r w:rsidR="005C00FD">
              <w:rPr>
                <w:bCs/>
                <w:iCs/>
              </w:rPr>
              <w:t xml:space="preserve"> </w:t>
            </w:r>
            <w:r w:rsidR="005C00FD" w:rsidRPr="00A14E7E">
              <w:rPr>
                <w:bCs/>
                <w:iCs/>
              </w:rPr>
              <w:t>Savukārt,</w:t>
            </w:r>
            <w:proofErr w:type="gramStart"/>
            <w:r w:rsidR="005C00FD" w:rsidRPr="00A14E7E">
              <w:rPr>
                <w:bCs/>
                <w:iCs/>
              </w:rPr>
              <w:t xml:space="preserve">  </w:t>
            </w:r>
            <w:proofErr w:type="gramEnd"/>
            <w:r w:rsidR="005C00FD" w:rsidRPr="00A14E7E">
              <w:rPr>
                <w:bCs/>
                <w:iCs/>
              </w:rPr>
              <w:t>datus par personu, kura uzturas būvlaukumā, bet nav nodarbināta būvdarbu veikšanā būvlaukumā</w:t>
            </w:r>
            <w:r w:rsidR="00481164" w:rsidRPr="00A14E7E">
              <w:rPr>
                <w:bCs/>
                <w:iCs/>
              </w:rPr>
              <w:t xml:space="preserve">, tiek uzglabāti </w:t>
            </w:r>
            <w:r w:rsidR="0019234F" w:rsidRPr="00A14E7E">
              <w:rPr>
                <w:shd w:val="clear" w:color="auto" w:fill="FFFFFF"/>
              </w:rPr>
              <w:t xml:space="preserve"> energoneatkarīgajos datu nesējos, tajā skaitā datu centru serveros,</w:t>
            </w:r>
            <w:r w:rsidR="0019234F" w:rsidRPr="00A14E7E">
              <w:rPr>
                <w:bCs/>
                <w:iCs/>
              </w:rPr>
              <w:t xml:space="preserve"> </w:t>
            </w:r>
            <w:r w:rsidR="00481164" w:rsidRPr="00A14E7E">
              <w:rPr>
                <w:bCs/>
                <w:iCs/>
              </w:rPr>
              <w:t>trīs gadus</w:t>
            </w:r>
            <w:r w:rsidR="005A01CB" w:rsidRPr="00A14E7E">
              <w:rPr>
                <w:bCs/>
                <w:iCs/>
              </w:rPr>
              <w:t xml:space="preserve"> no brīža, kad dati reģistrēti EDLUS</w:t>
            </w:r>
            <w:r w:rsidR="0019234F" w:rsidRPr="00A14E7E">
              <w:rPr>
                <w:bCs/>
                <w:iCs/>
              </w:rPr>
              <w:t>, proti, minētie dati</w:t>
            </w:r>
            <w:r w:rsidR="005A01CB" w:rsidRPr="00A14E7E">
              <w:rPr>
                <w:bCs/>
                <w:iCs/>
              </w:rPr>
              <w:t xml:space="preserve">  </w:t>
            </w:r>
            <w:r w:rsidR="00481164" w:rsidRPr="00A14E7E">
              <w:rPr>
                <w:bCs/>
                <w:iCs/>
              </w:rPr>
              <w:t>netiek nodoti iekļaušanai VEDLUDB</w:t>
            </w:r>
            <w:r w:rsidR="0019234F" w:rsidRPr="00A14E7E">
              <w:rPr>
                <w:bCs/>
                <w:iCs/>
              </w:rPr>
              <w:t>.</w:t>
            </w:r>
            <w:r w:rsidR="00481164">
              <w:rPr>
                <w:bCs/>
                <w:iCs/>
              </w:rPr>
              <w:t xml:space="preserve"> </w:t>
            </w:r>
          </w:p>
          <w:p w14:paraId="3C6F1579" w14:textId="1E982E59" w:rsidR="00E1002A" w:rsidRPr="000524AF" w:rsidRDefault="00E1002A" w:rsidP="008A414D">
            <w:pPr>
              <w:jc w:val="both"/>
              <w:rPr>
                <w:rFonts w:eastAsia="Calibri"/>
                <w:bCs/>
                <w:iCs/>
                <w:lang w:eastAsia="en-US"/>
              </w:rPr>
            </w:pPr>
            <w:r w:rsidRPr="000524AF">
              <w:rPr>
                <w:rFonts w:eastAsia="Calibri"/>
                <w:bCs/>
                <w:iCs/>
                <w:lang w:eastAsia="en-US"/>
              </w:rPr>
              <w:t>Šobrīd likum</w:t>
            </w:r>
            <w:r w:rsidR="0089673A">
              <w:rPr>
                <w:rFonts w:eastAsia="Calibri"/>
                <w:bCs/>
                <w:iCs/>
                <w:lang w:eastAsia="en-US"/>
              </w:rPr>
              <w:t>a</w:t>
            </w:r>
            <w:r w:rsidRPr="000524AF">
              <w:rPr>
                <w:rFonts w:eastAsia="Calibri"/>
                <w:bCs/>
                <w:iCs/>
                <w:lang w:eastAsia="en-US"/>
              </w:rPr>
              <w:t xml:space="preserve"> „Par nodokļiem un nodevām” </w:t>
            </w:r>
            <w:proofErr w:type="gramStart"/>
            <w:r w:rsidR="0089673A" w:rsidRPr="00A14E7E">
              <w:rPr>
                <w:rFonts w:eastAsia="Calibri"/>
                <w:bCs/>
                <w:iCs/>
                <w:lang w:eastAsia="en-US"/>
              </w:rPr>
              <w:t>114.panta</w:t>
            </w:r>
            <w:proofErr w:type="gramEnd"/>
            <w:r w:rsidR="0089673A" w:rsidRPr="00A14E7E">
              <w:rPr>
                <w:rFonts w:eastAsia="Calibri"/>
                <w:bCs/>
                <w:iCs/>
                <w:lang w:eastAsia="en-US"/>
              </w:rPr>
              <w:t xml:space="preserve"> </w:t>
            </w:r>
            <w:r w:rsidR="00CA51FB" w:rsidRPr="00A14E7E">
              <w:rPr>
                <w:rFonts w:eastAsia="Calibri"/>
                <w:bCs/>
                <w:iCs/>
                <w:lang w:eastAsia="en-US"/>
              </w:rPr>
              <w:t>otrā daļa</w:t>
            </w:r>
            <w:r w:rsidR="00CA51FB">
              <w:rPr>
                <w:rFonts w:eastAsia="Calibri"/>
                <w:bCs/>
                <w:iCs/>
                <w:lang w:eastAsia="en-US"/>
              </w:rPr>
              <w:t xml:space="preserve"> </w:t>
            </w:r>
            <w:r w:rsidRPr="000524AF">
              <w:rPr>
                <w:rFonts w:eastAsia="Calibri"/>
                <w:bCs/>
                <w:iCs/>
                <w:lang w:eastAsia="en-US"/>
              </w:rPr>
              <w:t>paredz Valsts ieņēmumu dienestam un Valsts darba inspekcijai tiesības savu funkciju veikšanai</w:t>
            </w:r>
            <w:r w:rsidR="00A115A7">
              <w:rPr>
                <w:rFonts w:eastAsia="Calibri"/>
                <w:bCs/>
                <w:iCs/>
                <w:lang w:eastAsia="en-US"/>
              </w:rPr>
              <w:t>,</w:t>
            </w:r>
            <w:r w:rsidRPr="000524AF">
              <w:rPr>
                <w:rFonts w:eastAsia="Calibri"/>
                <w:bCs/>
                <w:iCs/>
                <w:lang w:eastAsia="en-US"/>
              </w:rPr>
              <w:t xml:space="preserve"> pārbaudes laikā būvlaukumā</w:t>
            </w:r>
            <w:r w:rsidR="00A115A7">
              <w:rPr>
                <w:rFonts w:eastAsia="Calibri"/>
                <w:bCs/>
                <w:iCs/>
                <w:lang w:eastAsia="en-US"/>
              </w:rPr>
              <w:t>,</w:t>
            </w:r>
            <w:r w:rsidRPr="000524AF">
              <w:rPr>
                <w:rFonts w:eastAsia="Calibri"/>
                <w:bCs/>
                <w:iCs/>
                <w:lang w:eastAsia="en-US"/>
              </w:rPr>
              <w:t xml:space="preserve"> pieprasīt no galvenā būvdarbu veicēja EDLUS </w:t>
            </w:r>
            <w:r w:rsidRPr="000524AF">
              <w:rPr>
                <w:rFonts w:eastAsia="Calibri"/>
                <w:bCs/>
                <w:iCs/>
                <w:lang w:eastAsia="en-US"/>
              </w:rPr>
              <w:lastRenderedPageBreak/>
              <w:t xml:space="preserve">datus par visām personām, </w:t>
            </w:r>
            <w:r w:rsidR="00E84887" w:rsidRPr="000524AF">
              <w:rPr>
                <w:rFonts w:eastAsia="Calibri"/>
                <w:bCs/>
                <w:iCs/>
                <w:lang w:eastAsia="en-US"/>
              </w:rPr>
              <w:t>k</w:t>
            </w:r>
            <w:r w:rsidR="00E84887">
              <w:rPr>
                <w:rFonts w:eastAsia="Calibri"/>
                <w:bCs/>
                <w:iCs/>
                <w:lang w:eastAsia="en-US"/>
              </w:rPr>
              <w:t>uras</w:t>
            </w:r>
            <w:r w:rsidR="00E84887" w:rsidRPr="000524AF">
              <w:rPr>
                <w:rFonts w:eastAsia="Calibri"/>
                <w:bCs/>
                <w:iCs/>
                <w:lang w:eastAsia="en-US"/>
              </w:rPr>
              <w:t xml:space="preserve"> </w:t>
            </w:r>
            <w:r w:rsidRPr="000524AF">
              <w:rPr>
                <w:rFonts w:eastAsia="Calibri"/>
                <w:bCs/>
                <w:iCs/>
                <w:lang w:eastAsia="en-US"/>
              </w:rPr>
              <w:t>atrodas būvlaukumā, savukārt, galvenajam būvdarbu veicējam  ir pienākums tos izsniegt.</w:t>
            </w:r>
          </w:p>
          <w:p w14:paraId="0B5955CC" w14:textId="0926B7DA" w:rsidR="003E2BEA" w:rsidRDefault="00E1002A" w:rsidP="008A414D">
            <w:pPr>
              <w:jc w:val="both"/>
              <w:rPr>
                <w:bCs/>
              </w:rPr>
            </w:pPr>
            <w:r>
              <w:rPr>
                <w:bCs/>
                <w:iCs/>
              </w:rPr>
              <w:t>L</w:t>
            </w:r>
            <w:r w:rsidR="003E2BEA" w:rsidRPr="009B1DBC">
              <w:rPr>
                <w:bCs/>
                <w:iCs/>
              </w:rPr>
              <w:t>ikuma „Par nodo</w:t>
            </w:r>
            <w:r w:rsidR="003E2BEA">
              <w:rPr>
                <w:bCs/>
                <w:iCs/>
              </w:rPr>
              <w:t xml:space="preserve">kļiem un nodevām” </w:t>
            </w:r>
            <w:proofErr w:type="gramStart"/>
            <w:r w:rsidR="003E2BEA">
              <w:rPr>
                <w:bCs/>
                <w:iCs/>
              </w:rPr>
              <w:t>114.panta</w:t>
            </w:r>
            <w:proofErr w:type="gramEnd"/>
            <w:r w:rsidR="003E2BEA">
              <w:rPr>
                <w:bCs/>
                <w:iCs/>
              </w:rPr>
              <w:t xml:space="preserve"> piekt</w:t>
            </w:r>
            <w:r w:rsidR="00D6016F">
              <w:rPr>
                <w:bCs/>
                <w:iCs/>
              </w:rPr>
              <w:t>ā</w:t>
            </w:r>
            <w:r w:rsidR="003E2BEA">
              <w:rPr>
                <w:bCs/>
                <w:iCs/>
              </w:rPr>
              <w:t xml:space="preserve"> daļ</w:t>
            </w:r>
            <w:r w:rsidR="00D6016F">
              <w:rPr>
                <w:bCs/>
                <w:iCs/>
              </w:rPr>
              <w:t>a nosaka, ka</w:t>
            </w:r>
            <w:r w:rsidR="003E2BEA">
              <w:rPr>
                <w:bCs/>
                <w:iCs/>
              </w:rPr>
              <w:t xml:space="preserve">, </w:t>
            </w:r>
            <w:r w:rsidR="003E2BEA" w:rsidRPr="00DD2621">
              <w:rPr>
                <w:bCs/>
                <w:iCs/>
              </w:rPr>
              <w:t xml:space="preserve">VEDLUDB </w:t>
            </w:r>
            <w:r w:rsidR="003E2BEA" w:rsidRPr="00DD2621">
              <w:rPr>
                <w:bCs/>
              </w:rPr>
              <w:t>turētājs nodrošina galvenā būvdarbu veicēja nodo</w:t>
            </w:r>
            <w:r w:rsidR="0052720B">
              <w:rPr>
                <w:bCs/>
              </w:rPr>
              <w:t>to datu uzkrāšanu, glabāšanu, iz</w:t>
            </w:r>
            <w:r w:rsidR="003E2BEA" w:rsidRPr="00DD2621">
              <w:rPr>
                <w:bCs/>
              </w:rPr>
              <w:t>sniegšanu un tiešsaistes piekļuvi kontrolējošām i</w:t>
            </w:r>
            <w:r w:rsidR="0052720B">
              <w:rPr>
                <w:bCs/>
              </w:rPr>
              <w:t>nstitūcijām</w:t>
            </w:r>
            <w:r w:rsidR="003E2BEA" w:rsidRPr="00DD2621">
              <w:rPr>
                <w:bCs/>
              </w:rPr>
              <w:t xml:space="preserve"> (Valsts ieņēmumu dienestam, Valsts darba inspekcijai, Būvniecības kontroles birojam) un Centrālajai statistikas pārvaldei.</w:t>
            </w:r>
          </w:p>
          <w:p w14:paraId="5474B287" w14:textId="77777777" w:rsidR="00D6016F" w:rsidRPr="005A6454" w:rsidRDefault="00D6016F" w:rsidP="008A414D">
            <w:pPr>
              <w:jc w:val="both"/>
            </w:pPr>
            <w:r w:rsidRPr="005A6454">
              <w:t xml:space="preserve">Ievērojot Ministru kabineta </w:t>
            </w:r>
            <w:proofErr w:type="gramStart"/>
            <w:r w:rsidRPr="005A6454">
              <w:t>2018.gada</w:t>
            </w:r>
            <w:proofErr w:type="gramEnd"/>
            <w:r w:rsidRPr="005A6454">
              <w:t xml:space="preserve"> 7.augusta sēdes protokollēmuma 2.punktu (prot. Nr.37, 73</w:t>
            </w:r>
            <w:r w:rsidRPr="00D6016F">
              <w:t xml:space="preserve"> </w:t>
            </w:r>
            <w:r w:rsidRPr="005A6454">
              <w:t>§) un likuma “Par nodokļiem un nodevām” 112.panta pirmajā daļā noteikto,</w:t>
            </w:r>
            <w:r w:rsidRPr="00D6016F">
              <w:t xml:space="preserve"> </w:t>
            </w:r>
            <w:r w:rsidRPr="005A6454">
              <w:t>VEDLUDB ir Būvniecības informācijas sistēmas sastāvdaļa un tās pārzinis un turētājs ir Būvniecības valsts kontroles birojs.</w:t>
            </w:r>
          </w:p>
          <w:p w14:paraId="740AC544" w14:textId="77927B11" w:rsidR="009B1DBC" w:rsidRPr="009B1DBC" w:rsidRDefault="009B1DBC" w:rsidP="008A414D">
            <w:pPr>
              <w:jc w:val="both"/>
              <w:rPr>
                <w:bCs/>
                <w:iCs/>
              </w:rPr>
            </w:pPr>
            <w:r w:rsidRPr="009B1DBC">
              <w:rPr>
                <w:bCs/>
                <w:iCs/>
              </w:rPr>
              <w:t>No minētā tiesiskā regulējuma izriet, ka Valsts robežsardze</w:t>
            </w:r>
            <w:r w:rsidR="00B76418">
              <w:rPr>
                <w:bCs/>
                <w:iCs/>
              </w:rPr>
              <w:t>i</w:t>
            </w:r>
            <w:r w:rsidRPr="009B1DBC">
              <w:rPr>
                <w:bCs/>
                <w:iCs/>
              </w:rPr>
              <w:t xml:space="preserve"> nav </w:t>
            </w:r>
            <w:r w:rsidR="004F3AB6">
              <w:rPr>
                <w:bCs/>
                <w:iCs/>
              </w:rPr>
              <w:t xml:space="preserve">tiesību </w:t>
            </w:r>
            <w:r w:rsidRPr="009B1DBC">
              <w:rPr>
                <w:bCs/>
                <w:iCs/>
              </w:rPr>
              <w:t>kā viena</w:t>
            </w:r>
            <w:r w:rsidR="00B76418">
              <w:rPr>
                <w:bCs/>
                <w:iCs/>
              </w:rPr>
              <w:t>i</w:t>
            </w:r>
            <w:r w:rsidRPr="009B1DBC">
              <w:rPr>
                <w:bCs/>
                <w:iCs/>
              </w:rPr>
              <w:t xml:space="preserve"> </w:t>
            </w:r>
            <w:proofErr w:type="gramStart"/>
            <w:r w:rsidRPr="009B1DBC">
              <w:rPr>
                <w:bCs/>
                <w:iCs/>
              </w:rPr>
              <w:t>no kontrolējošam iestādēm</w:t>
            </w:r>
            <w:proofErr w:type="gramEnd"/>
            <w:r w:rsidRPr="009B1DBC">
              <w:rPr>
                <w:bCs/>
                <w:iCs/>
              </w:rPr>
              <w:t>, veicot pārbaudi būvlaukumā</w:t>
            </w:r>
            <w:r w:rsidR="00240AE1">
              <w:rPr>
                <w:bCs/>
                <w:iCs/>
              </w:rPr>
              <w:t>,</w:t>
            </w:r>
            <w:r w:rsidR="00240AE1" w:rsidRPr="00240AE1">
              <w:rPr>
                <w:iCs/>
                <w:lang w:eastAsia="en-US"/>
              </w:rPr>
              <w:t xml:space="preserve"> </w:t>
            </w:r>
            <w:r w:rsidR="00240AE1" w:rsidRPr="00240AE1">
              <w:rPr>
                <w:bCs/>
                <w:iCs/>
              </w:rPr>
              <w:t xml:space="preserve">pieprasīt un saņemt </w:t>
            </w:r>
            <w:r w:rsidR="00423F73">
              <w:rPr>
                <w:bCs/>
                <w:iCs/>
              </w:rPr>
              <w:t>EDLUS reģistrēt</w:t>
            </w:r>
            <w:r w:rsidR="002A3AFE">
              <w:rPr>
                <w:bCs/>
                <w:iCs/>
              </w:rPr>
              <w:t>o</w:t>
            </w:r>
            <w:r w:rsidR="00423F73">
              <w:rPr>
                <w:bCs/>
                <w:iCs/>
              </w:rPr>
              <w:t xml:space="preserve"> informācij</w:t>
            </w:r>
            <w:r w:rsidR="002A3AFE">
              <w:rPr>
                <w:bCs/>
                <w:iCs/>
              </w:rPr>
              <w:t>u</w:t>
            </w:r>
            <w:r w:rsidR="00423F73">
              <w:rPr>
                <w:bCs/>
                <w:iCs/>
              </w:rPr>
              <w:t>, kā arī Valsts robežsardzei nav piekļuves tiesību VEDLUDB</w:t>
            </w:r>
            <w:r w:rsidR="00F72F31">
              <w:rPr>
                <w:bCs/>
                <w:iCs/>
              </w:rPr>
              <w:t>.</w:t>
            </w:r>
          </w:p>
          <w:p w14:paraId="5110A04B" w14:textId="77777777" w:rsidR="00DD2621" w:rsidRPr="008A414D" w:rsidRDefault="00DD2621" w:rsidP="008A414D">
            <w:pPr>
              <w:jc w:val="both"/>
              <w:rPr>
                <w:bCs/>
                <w:iCs/>
              </w:rPr>
            </w:pPr>
            <w:r w:rsidRPr="008A414D">
              <w:rPr>
                <w:bCs/>
                <w:iCs/>
              </w:rPr>
              <w:t xml:space="preserve">Eiropas Parlamenta un Padomes </w:t>
            </w:r>
            <w:proofErr w:type="gramStart"/>
            <w:r w:rsidRPr="008A414D">
              <w:rPr>
                <w:bCs/>
                <w:iCs/>
              </w:rPr>
              <w:t>2009.gada</w:t>
            </w:r>
            <w:proofErr w:type="gramEnd"/>
            <w:r w:rsidRPr="008A414D">
              <w:rPr>
                <w:bCs/>
                <w:iCs/>
              </w:rPr>
              <w:t xml:space="preserve"> 18.jūnija direktīvas 2009/52/EK, ar ko nosaka minimālos standartus sankcijām un pasākumiem pret darba devējiem, kas nodarbina trešās valsts valstspiederīgos, kuri dalībvalstīs uzturas nelikumīgi 14.pants, kas Latvijas Republikā ir pārņemts ar Imigrācijas likumu, nosaka, ka dalībvalstis nodrošina, ka to teritorijā veic efektīvas un pienācīgas pārbaudes, lai kontrolētu, vai netiek nodarbināti to trešo valstu valstspiederīgie, kuri dalībvalstīs uzturas nelikumīgi.</w:t>
            </w:r>
          </w:p>
          <w:p w14:paraId="4FB3D759" w14:textId="77777777" w:rsidR="00E808C4" w:rsidRPr="008A414D" w:rsidRDefault="00E808C4" w:rsidP="008A414D">
            <w:pPr>
              <w:jc w:val="both"/>
              <w:rPr>
                <w:rFonts w:eastAsia="Calibri"/>
                <w:bCs/>
                <w:iCs/>
                <w:lang w:eastAsia="en-US"/>
              </w:rPr>
            </w:pPr>
            <w:r w:rsidRPr="008A414D">
              <w:rPr>
                <w:rFonts w:eastAsia="Calibri"/>
                <w:bCs/>
                <w:iCs/>
                <w:lang w:eastAsia="en-US"/>
              </w:rPr>
              <w:t xml:space="preserve">Robežsardzes likuma </w:t>
            </w:r>
            <w:proofErr w:type="gramStart"/>
            <w:r w:rsidRPr="008A414D">
              <w:rPr>
                <w:rFonts w:eastAsia="Calibri"/>
                <w:bCs/>
                <w:iCs/>
                <w:lang w:eastAsia="en-US"/>
              </w:rPr>
              <w:t>2.pants</w:t>
            </w:r>
            <w:proofErr w:type="gramEnd"/>
            <w:r w:rsidRPr="008A414D">
              <w:rPr>
                <w:rFonts w:eastAsia="Calibri"/>
                <w:bCs/>
                <w:iCs/>
                <w:lang w:eastAsia="en-US"/>
              </w:rPr>
              <w:t xml:space="preserve"> nosaka, ka Valsts robežsardzes funkcijas ir valsts robežas neaizskaramības nodrošināšana un nelegālās migrācijas novēršana. Atbilstoši noteiktajām funkcijām, Valsts robežsardze realizē tai noteiktus uzdevumus.</w:t>
            </w:r>
          </w:p>
          <w:p w14:paraId="05E24D58" w14:textId="53F0668B" w:rsidR="00DD2621" w:rsidRPr="00DD2621" w:rsidRDefault="00DD2621" w:rsidP="008A414D">
            <w:pPr>
              <w:jc w:val="both"/>
              <w:rPr>
                <w:bCs/>
                <w:iCs/>
              </w:rPr>
            </w:pPr>
            <w:r w:rsidRPr="00DD2621">
              <w:rPr>
                <w:bCs/>
                <w:iCs/>
              </w:rPr>
              <w:t xml:space="preserve">Pamatojoties uz Robežsardzes likuma </w:t>
            </w:r>
            <w:proofErr w:type="gramStart"/>
            <w:r w:rsidRPr="00DD2621">
              <w:rPr>
                <w:bCs/>
                <w:iCs/>
              </w:rPr>
              <w:t>13.panta</w:t>
            </w:r>
            <w:proofErr w:type="gramEnd"/>
            <w:r w:rsidRPr="00DD2621">
              <w:rPr>
                <w:bCs/>
                <w:iCs/>
              </w:rPr>
              <w:t xml:space="preserve"> 15.punktu, viens no Valsts robežsardzes uzdevumiem ir kontrolēt kā tiek ievēroti noteikumi par ārzemnieku ieceļošanu, uzturēšanos (tajā skaitā ir saprotama arī ārzemnieku nodarbinātības kontrole), izceļošanu un tranzītu Latvijas Republikas teritorijā. Papildus tam, Imigrācijas likuma </w:t>
            </w:r>
            <w:proofErr w:type="gramStart"/>
            <w:r w:rsidRPr="00DD2621">
              <w:rPr>
                <w:bCs/>
                <w:iCs/>
              </w:rPr>
              <w:t>3.pants</w:t>
            </w:r>
            <w:proofErr w:type="gramEnd"/>
            <w:r w:rsidRPr="00DD2621">
              <w:rPr>
                <w:bCs/>
                <w:iCs/>
              </w:rPr>
              <w:t xml:space="preserve"> nosaka, ka ārzemnieku ieceļošanu un uzturēšanos Latvijas Republikā atbilstoši savai kompetencei dokumentē un kontrolē arī Valsts robežsardze.</w:t>
            </w:r>
          </w:p>
          <w:p w14:paraId="55BDD241" w14:textId="0879D824" w:rsidR="00DD2621" w:rsidRPr="00DD2621" w:rsidRDefault="00DD2621" w:rsidP="008A414D">
            <w:pPr>
              <w:jc w:val="both"/>
              <w:rPr>
                <w:bCs/>
                <w:iCs/>
              </w:rPr>
            </w:pPr>
            <w:r w:rsidRPr="00DD2621">
              <w:rPr>
                <w:bCs/>
                <w:iCs/>
              </w:rPr>
              <w:t>Ievērojot minēto, Valsts robežsardze ir viena no atbildīgajām iestādēm, kura nodrošina ārzemnieku ieceļošanas</w:t>
            </w:r>
            <w:r w:rsidR="00B210C4">
              <w:rPr>
                <w:bCs/>
                <w:iCs/>
              </w:rPr>
              <w:t>,</w:t>
            </w:r>
            <w:r w:rsidRPr="00DD2621">
              <w:rPr>
                <w:bCs/>
                <w:iCs/>
              </w:rPr>
              <w:t xml:space="preserve"> uzturēšanās (tajā skaitā nodarbinātības) </w:t>
            </w:r>
            <w:r w:rsidR="00B210C4">
              <w:rPr>
                <w:bCs/>
                <w:iCs/>
              </w:rPr>
              <w:t xml:space="preserve">un izceļošanas </w:t>
            </w:r>
            <w:r w:rsidRPr="00DD2621">
              <w:rPr>
                <w:bCs/>
                <w:iCs/>
              </w:rPr>
              <w:t>kontrol</w:t>
            </w:r>
            <w:r w:rsidR="0044652D">
              <w:rPr>
                <w:bCs/>
                <w:iCs/>
              </w:rPr>
              <w:t>i</w:t>
            </w:r>
            <w:proofErr w:type="gramStart"/>
            <w:r w:rsidRPr="00DD2621">
              <w:rPr>
                <w:bCs/>
                <w:iCs/>
              </w:rPr>
              <w:t xml:space="preserve">  </w:t>
            </w:r>
            <w:proofErr w:type="gramEnd"/>
            <w:r w:rsidRPr="00DD2621">
              <w:rPr>
                <w:bCs/>
                <w:iCs/>
              </w:rPr>
              <w:t>Latvijas Republikā.</w:t>
            </w:r>
          </w:p>
          <w:p w14:paraId="6E37E4AC" w14:textId="6277F2C4" w:rsidR="00DD2621" w:rsidRPr="00DD2621" w:rsidRDefault="00DD2621" w:rsidP="008A414D">
            <w:pPr>
              <w:jc w:val="both"/>
              <w:rPr>
                <w:bCs/>
                <w:iCs/>
              </w:rPr>
            </w:pPr>
            <w:r w:rsidRPr="00DD2621">
              <w:rPr>
                <w:bCs/>
                <w:iCs/>
              </w:rPr>
              <w:t xml:space="preserve">Ņemot vērā pieaugošo tendenci būvobjektos, kuros arvien vairāk tiek nodarbināti ārzemnieki (it īpaši no Austrumu </w:t>
            </w:r>
            <w:r w:rsidRPr="00DD2621">
              <w:rPr>
                <w:bCs/>
                <w:iCs/>
              </w:rPr>
              <w:lastRenderedPageBreak/>
              <w:t>partnerības valstīm pēc bezvīzu režīma ieviešanas)</w:t>
            </w:r>
            <w:r w:rsidR="00A031F6">
              <w:rPr>
                <w:bCs/>
                <w:iCs/>
              </w:rPr>
              <w:t>,</w:t>
            </w:r>
            <w:r w:rsidR="002007D1">
              <w:rPr>
                <w:bCs/>
                <w:iCs/>
              </w:rPr>
              <w:t xml:space="preserve"> kuri tiek norīkoti </w:t>
            </w:r>
            <w:r w:rsidR="002007D1" w:rsidRPr="00DD2621">
              <w:rPr>
                <w:bCs/>
                <w:iCs/>
              </w:rPr>
              <w:t>uz Latvijas Republiku pakalpojum</w:t>
            </w:r>
            <w:r w:rsidR="002007D1">
              <w:rPr>
                <w:bCs/>
                <w:iCs/>
              </w:rPr>
              <w:t xml:space="preserve">u sniegšanai, </w:t>
            </w:r>
            <w:r w:rsidR="002007D1" w:rsidRPr="00DD2621">
              <w:rPr>
                <w:bCs/>
                <w:iCs/>
              </w:rPr>
              <w:t xml:space="preserve">izmantojot Imigrācijas likuma </w:t>
            </w:r>
            <w:proofErr w:type="gramStart"/>
            <w:r w:rsidR="002007D1" w:rsidRPr="00DD2621">
              <w:rPr>
                <w:bCs/>
                <w:iCs/>
              </w:rPr>
              <w:t>9.panta</w:t>
            </w:r>
            <w:proofErr w:type="gramEnd"/>
            <w:r w:rsidR="002007D1" w:rsidRPr="00DD2621">
              <w:rPr>
                <w:bCs/>
                <w:iCs/>
              </w:rPr>
              <w:t xml:space="preserve"> trešās daļas 6.punktā piešķirtās tiesības, </w:t>
            </w:r>
            <w:r w:rsidR="002007D1">
              <w:rPr>
                <w:bCs/>
                <w:iCs/>
              </w:rPr>
              <w:t>un</w:t>
            </w:r>
            <w:r w:rsidR="00A65C64">
              <w:rPr>
                <w:bCs/>
                <w:iCs/>
              </w:rPr>
              <w:t xml:space="preserve"> </w:t>
            </w:r>
            <w:r w:rsidR="00DC3A20">
              <w:rPr>
                <w:bCs/>
                <w:iCs/>
              </w:rPr>
              <w:t xml:space="preserve">ārzemnieki, </w:t>
            </w:r>
            <w:r w:rsidR="00A65C64">
              <w:rPr>
                <w:bCs/>
                <w:iCs/>
              </w:rPr>
              <w:t xml:space="preserve">kuri </w:t>
            </w:r>
            <w:r w:rsidR="00674B00" w:rsidRPr="00840985">
              <w:rPr>
                <w:bCs/>
                <w:iCs/>
              </w:rPr>
              <w:t>iegūst</w:t>
            </w:r>
            <w:r w:rsidRPr="00DD2621">
              <w:rPr>
                <w:bCs/>
                <w:iCs/>
              </w:rPr>
              <w:t xml:space="preserve"> tiesīb</w:t>
            </w:r>
            <w:r w:rsidR="00AF73F1">
              <w:rPr>
                <w:bCs/>
                <w:iCs/>
              </w:rPr>
              <w:t>as</w:t>
            </w:r>
            <w:r w:rsidRPr="00DD2621">
              <w:rPr>
                <w:bCs/>
                <w:iCs/>
              </w:rPr>
              <w:t xml:space="preserve"> uz nodarbinātību</w:t>
            </w:r>
            <w:r w:rsidR="00DC3A20">
              <w:rPr>
                <w:bCs/>
                <w:iCs/>
              </w:rPr>
              <w:t>,</w:t>
            </w:r>
            <w:r w:rsidR="00A31C79">
              <w:rPr>
                <w:bCs/>
                <w:iCs/>
              </w:rPr>
              <w:t xml:space="preserve"> </w:t>
            </w:r>
            <w:r w:rsidRPr="00DD2621">
              <w:rPr>
                <w:bCs/>
                <w:iCs/>
              </w:rPr>
              <w:t xml:space="preserve">Valsts robežsardzes amatpersonām </w:t>
            </w:r>
            <w:r w:rsidR="006374B0">
              <w:rPr>
                <w:bCs/>
                <w:iCs/>
              </w:rPr>
              <w:t xml:space="preserve">intensīvāk </w:t>
            </w:r>
            <w:r w:rsidR="00333083">
              <w:rPr>
                <w:bCs/>
                <w:iCs/>
              </w:rPr>
              <w:t xml:space="preserve"> jāveic</w:t>
            </w:r>
            <w:r w:rsidRPr="00DD2621">
              <w:rPr>
                <w:bCs/>
                <w:iCs/>
              </w:rPr>
              <w:t xml:space="preserve"> </w:t>
            </w:r>
            <w:r w:rsidRPr="00840985">
              <w:rPr>
                <w:bCs/>
                <w:iCs/>
              </w:rPr>
              <w:t xml:space="preserve">ārzemnieku </w:t>
            </w:r>
            <w:r w:rsidR="00D41145" w:rsidRPr="00840985">
              <w:rPr>
                <w:bCs/>
                <w:iCs/>
              </w:rPr>
              <w:t xml:space="preserve"> uzturēšanās (tajā skaitā nodarbinātības) </w:t>
            </w:r>
            <w:r w:rsidR="00C57D33" w:rsidRPr="00840985">
              <w:rPr>
                <w:bCs/>
                <w:iCs/>
              </w:rPr>
              <w:t xml:space="preserve">nosacījumu ievērošanas </w:t>
            </w:r>
            <w:r w:rsidRPr="00840985">
              <w:rPr>
                <w:bCs/>
                <w:iCs/>
              </w:rPr>
              <w:t>kontroles pasākum</w:t>
            </w:r>
            <w:r w:rsidR="00A31C79" w:rsidRPr="00840985">
              <w:rPr>
                <w:bCs/>
                <w:iCs/>
              </w:rPr>
              <w:t>i</w:t>
            </w:r>
            <w:r w:rsidR="00C57D33" w:rsidRPr="00840985">
              <w:rPr>
                <w:bCs/>
                <w:iCs/>
              </w:rPr>
              <w:t xml:space="preserve"> būvobjektos.</w:t>
            </w:r>
          </w:p>
          <w:p w14:paraId="714C8B40" w14:textId="49AA76EF" w:rsidR="00DD2621" w:rsidRPr="00CE3302" w:rsidRDefault="00DD2621" w:rsidP="008A414D">
            <w:pPr>
              <w:jc w:val="both"/>
              <w:rPr>
                <w:bCs/>
                <w:iCs/>
              </w:rPr>
            </w:pPr>
            <w:r w:rsidRPr="00DD2621">
              <w:rPr>
                <w:bCs/>
                <w:iCs/>
              </w:rPr>
              <w:t xml:space="preserve">Valsts robežsardze, veicot ārzemnieku uzturēšanās nosacījumu ievērošanas kontroli, </w:t>
            </w:r>
            <w:proofErr w:type="gramStart"/>
            <w:r w:rsidRPr="00DD2621">
              <w:rPr>
                <w:bCs/>
                <w:iCs/>
              </w:rPr>
              <w:t>2018.gadā</w:t>
            </w:r>
            <w:proofErr w:type="gramEnd"/>
            <w:r w:rsidRPr="00DD2621">
              <w:rPr>
                <w:bCs/>
                <w:iCs/>
              </w:rPr>
              <w:t xml:space="preserve"> ir konstatējusi 428 nelikumīgas nodarbinātības pārkāpumus (strādāšana bez piešķirtām tiesībām uz nodarbinātību un ārzemnieka nodarbināšanas aizlieguma pārkāpšana) (2019.gada </w:t>
            </w:r>
            <w:r w:rsidR="008D4780">
              <w:rPr>
                <w:bCs/>
                <w:iCs/>
              </w:rPr>
              <w:t>deviņos</w:t>
            </w:r>
            <w:r w:rsidR="005609D9">
              <w:rPr>
                <w:bCs/>
                <w:iCs/>
              </w:rPr>
              <w:t xml:space="preserve"> mēnešos</w:t>
            </w:r>
            <w:r w:rsidRPr="00DD2621">
              <w:rPr>
                <w:bCs/>
                <w:iCs/>
              </w:rPr>
              <w:t xml:space="preserve"> </w:t>
            </w:r>
            <w:r w:rsidR="00333083" w:rsidRPr="00DD2621">
              <w:rPr>
                <w:bCs/>
                <w:iCs/>
              </w:rPr>
              <w:t>–</w:t>
            </w:r>
            <w:r w:rsidRPr="00DD2621">
              <w:rPr>
                <w:bCs/>
                <w:iCs/>
              </w:rPr>
              <w:t xml:space="preserve"> </w:t>
            </w:r>
            <w:r w:rsidR="00BF71C0">
              <w:rPr>
                <w:bCs/>
                <w:iCs/>
              </w:rPr>
              <w:t>327</w:t>
            </w:r>
            <w:r w:rsidRPr="00DD2621">
              <w:rPr>
                <w:bCs/>
                <w:iCs/>
              </w:rPr>
              <w:t xml:space="preserve">, 2017.gadā – 134, 2016.gadā – 123), no kuriem lielākais nelikumīgas nodarbinātības pārkāpumu skaits  konstatēts būvniecības nozarē (aptuveni 65%). </w:t>
            </w:r>
            <w:r w:rsidR="00E91A98" w:rsidRPr="00CE3302">
              <w:rPr>
                <w:bCs/>
                <w:iCs/>
              </w:rPr>
              <w:t xml:space="preserve">Papildus tam, </w:t>
            </w:r>
            <w:r w:rsidR="007A1A31" w:rsidRPr="00CE3302">
              <w:rPr>
                <w:bCs/>
                <w:iCs/>
              </w:rPr>
              <w:t xml:space="preserve">2019.gada deviņos mēnešos </w:t>
            </w:r>
            <w:r w:rsidR="00E91A98" w:rsidRPr="00CE3302">
              <w:rPr>
                <w:bCs/>
                <w:iCs/>
              </w:rPr>
              <w:t>būvobjektos</w:t>
            </w:r>
            <w:r w:rsidR="007A1A31" w:rsidRPr="00CE3302">
              <w:rPr>
                <w:bCs/>
                <w:iCs/>
              </w:rPr>
              <w:t xml:space="preserve"> konstat</w:t>
            </w:r>
            <w:r w:rsidR="00921457" w:rsidRPr="00CE3302">
              <w:rPr>
                <w:bCs/>
                <w:iCs/>
              </w:rPr>
              <w:t>ēti 6 nelikumīgas uzturēšanās valstī pārkāpumi</w:t>
            </w:r>
            <w:r w:rsidR="00C93D51" w:rsidRPr="00CE3302">
              <w:rPr>
                <w:bCs/>
                <w:iCs/>
              </w:rPr>
              <w:t xml:space="preserve">, proti, </w:t>
            </w:r>
            <w:r w:rsidR="00DF458B" w:rsidRPr="00CE3302">
              <w:rPr>
                <w:bCs/>
                <w:iCs/>
              </w:rPr>
              <w:t>6 ārzemnieki (5 – Moldovas pilsoņi, 1 – Ukrainas pilsonis), kuri uzturējās Latvijas Republikā bezvīzu režīma ietvaros</w:t>
            </w:r>
            <w:r w:rsidR="007229EB" w:rsidRPr="00CE3302">
              <w:rPr>
                <w:bCs/>
                <w:iCs/>
              </w:rPr>
              <w:t>,</w:t>
            </w:r>
            <w:r w:rsidR="00DF458B" w:rsidRPr="00CE3302">
              <w:rPr>
                <w:bCs/>
                <w:iCs/>
              </w:rPr>
              <w:t xml:space="preserve"> </w:t>
            </w:r>
            <w:r w:rsidR="00C93D51" w:rsidRPr="00CE3302">
              <w:rPr>
                <w:bCs/>
                <w:iCs/>
              </w:rPr>
              <w:t>pārsnie</w:t>
            </w:r>
            <w:r w:rsidR="00DF458B" w:rsidRPr="00CE3302">
              <w:rPr>
                <w:bCs/>
                <w:iCs/>
              </w:rPr>
              <w:t>dza</w:t>
            </w:r>
            <w:r w:rsidR="001A3EB0" w:rsidRPr="00CE3302">
              <w:rPr>
                <w:bCs/>
                <w:iCs/>
              </w:rPr>
              <w:t xml:space="preserve"> </w:t>
            </w:r>
            <w:r w:rsidR="00DF458B" w:rsidRPr="00CE3302">
              <w:rPr>
                <w:bCs/>
                <w:iCs/>
              </w:rPr>
              <w:t>180 dienu laikā noteikto</w:t>
            </w:r>
            <w:r w:rsidR="00F71600" w:rsidRPr="00CE3302">
              <w:rPr>
                <w:bCs/>
                <w:iCs/>
              </w:rPr>
              <w:t xml:space="preserve"> uzturēšanās termiņ</w:t>
            </w:r>
            <w:r w:rsidR="001A3EB0" w:rsidRPr="00CE3302">
              <w:rPr>
                <w:bCs/>
                <w:iCs/>
              </w:rPr>
              <w:t>u,</w:t>
            </w:r>
            <w:r w:rsidR="00C379FB" w:rsidRPr="00CE3302">
              <w:rPr>
                <w:bCs/>
                <w:iCs/>
              </w:rPr>
              <w:t xml:space="preserve"> līdz ar ko Valsts robe</w:t>
            </w:r>
            <w:r w:rsidR="00FD2C1B" w:rsidRPr="00CE3302">
              <w:rPr>
                <w:bCs/>
                <w:iCs/>
              </w:rPr>
              <w:t xml:space="preserve">žsardze, pamatojoties uz Imigrācijas likuma 41.panata trešo daļu, </w:t>
            </w:r>
            <w:r w:rsidR="008806CB" w:rsidRPr="00CE3302">
              <w:rPr>
                <w:bCs/>
                <w:iCs/>
              </w:rPr>
              <w:t>i</w:t>
            </w:r>
            <w:r w:rsidR="0098403B" w:rsidRPr="00CE3302">
              <w:rPr>
                <w:bCs/>
                <w:iCs/>
              </w:rPr>
              <w:t>zsniedza izbraukšanas rīkojumus</w:t>
            </w:r>
            <w:r w:rsidR="00C20A10" w:rsidRPr="00CE3302">
              <w:rPr>
                <w:bCs/>
                <w:iCs/>
              </w:rPr>
              <w:t>,</w:t>
            </w:r>
            <w:r w:rsidR="001A3EB0" w:rsidRPr="00CE3302">
              <w:rPr>
                <w:bCs/>
                <w:iCs/>
              </w:rPr>
              <w:t xml:space="preserve"> un 1 </w:t>
            </w:r>
            <w:r w:rsidR="007229EB" w:rsidRPr="00CE3302">
              <w:rPr>
                <w:bCs/>
                <w:iCs/>
              </w:rPr>
              <w:t xml:space="preserve">gadījumā (Ukrainas pilsonis) konstatēts, ka vīza izsniegta citam nolūkam, līdz ar ko </w:t>
            </w:r>
            <w:r w:rsidR="0063069A" w:rsidRPr="00CE3302">
              <w:rPr>
                <w:bCs/>
                <w:iCs/>
              </w:rPr>
              <w:t xml:space="preserve">personai </w:t>
            </w:r>
            <w:r w:rsidR="00C20A10" w:rsidRPr="00CE3302">
              <w:rPr>
                <w:bCs/>
                <w:iCs/>
              </w:rPr>
              <w:t xml:space="preserve">tika </w:t>
            </w:r>
            <w:r w:rsidR="001A3EB0" w:rsidRPr="00CE3302">
              <w:rPr>
                <w:bCs/>
                <w:iCs/>
              </w:rPr>
              <w:t>atcelta vīza</w:t>
            </w:r>
            <w:r w:rsidR="0063069A" w:rsidRPr="00CE3302">
              <w:rPr>
                <w:bCs/>
                <w:iCs/>
              </w:rPr>
              <w:t>.</w:t>
            </w:r>
          </w:p>
          <w:p w14:paraId="2086FE54" w14:textId="77777777" w:rsidR="00DD2621" w:rsidRPr="00DD2621" w:rsidRDefault="00DD2621" w:rsidP="008A414D">
            <w:pPr>
              <w:jc w:val="both"/>
              <w:rPr>
                <w:bCs/>
                <w:iCs/>
              </w:rPr>
            </w:pPr>
            <w:r w:rsidRPr="00DD2621">
              <w:rPr>
                <w:bCs/>
                <w:iCs/>
              </w:rPr>
              <w:t>Visbiežāk konstatētie pārkāpumi:</w:t>
            </w:r>
          </w:p>
          <w:p w14:paraId="75D79B87" w14:textId="77777777" w:rsidR="00DD2621" w:rsidRPr="00DD2621" w:rsidRDefault="00DD2621" w:rsidP="008A414D">
            <w:pPr>
              <w:numPr>
                <w:ilvl w:val="0"/>
                <w:numId w:val="7"/>
              </w:numPr>
              <w:ind w:left="602"/>
              <w:jc w:val="both"/>
              <w:rPr>
                <w:bCs/>
                <w:iCs/>
              </w:rPr>
            </w:pPr>
            <w:r w:rsidRPr="00DD2621">
              <w:rPr>
                <w:bCs/>
                <w:iCs/>
              </w:rPr>
              <w:t xml:space="preserve">Ukrainas, Moldovas pilsoņi ieceļo Latvijas Republikā bezvīzu režīma ietvaros kā tūristi, bet pēc ieceļošanas uzsāk darba attiecības, nenoslēdzot darba līgumus; </w:t>
            </w:r>
          </w:p>
          <w:p w14:paraId="6B768107" w14:textId="77777777" w:rsidR="00DD2621" w:rsidRPr="00DD2621" w:rsidRDefault="00DD2621" w:rsidP="008A414D">
            <w:pPr>
              <w:numPr>
                <w:ilvl w:val="0"/>
                <w:numId w:val="7"/>
              </w:numPr>
              <w:ind w:left="602"/>
              <w:jc w:val="both"/>
              <w:rPr>
                <w:bCs/>
                <w:iCs/>
              </w:rPr>
            </w:pPr>
            <w:r w:rsidRPr="00DD2621">
              <w:rPr>
                <w:bCs/>
                <w:iCs/>
              </w:rPr>
              <w:t>ārzemnieki tiek nodarbināti amatos, kuros nav saņemtas tiesības uz nodarbinātību;</w:t>
            </w:r>
          </w:p>
          <w:p w14:paraId="3C40D477" w14:textId="6FCA92D4" w:rsidR="00DD2621" w:rsidRPr="00DD2621" w:rsidRDefault="00DD2621" w:rsidP="008A414D">
            <w:pPr>
              <w:numPr>
                <w:ilvl w:val="0"/>
                <w:numId w:val="7"/>
              </w:numPr>
              <w:ind w:left="602"/>
              <w:jc w:val="both"/>
              <w:rPr>
                <w:bCs/>
                <w:iCs/>
              </w:rPr>
            </w:pPr>
            <w:r w:rsidRPr="00DD2621">
              <w:rPr>
                <w:bCs/>
                <w:iCs/>
              </w:rPr>
              <w:t xml:space="preserve">ārzemnieks tiek nodarbināts pie vairākiem darba devējiem, bet </w:t>
            </w:r>
            <w:r w:rsidR="00ED691B" w:rsidRPr="00CE3302">
              <w:rPr>
                <w:bCs/>
                <w:iCs/>
              </w:rPr>
              <w:t>tiesības uz nodarbinātību</w:t>
            </w:r>
            <w:proofErr w:type="gramStart"/>
            <w:r w:rsidR="00ED691B">
              <w:rPr>
                <w:bCs/>
                <w:iCs/>
              </w:rPr>
              <w:t xml:space="preserve"> </w:t>
            </w:r>
            <w:r w:rsidRPr="00DD2621">
              <w:rPr>
                <w:bCs/>
                <w:iCs/>
              </w:rPr>
              <w:t xml:space="preserve"> </w:t>
            </w:r>
            <w:proofErr w:type="gramEnd"/>
            <w:r w:rsidRPr="00DD2621">
              <w:rPr>
                <w:bCs/>
                <w:iCs/>
              </w:rPr>
              <w:t xml:space="preserve">piešķirtas nodarbinātībai pie viena darba devēja; </w:t>
            </w:r>
          </w:p>
          <w:p w14:paraId="1E23BADD" w14:textId="77777777" w:rsidR="00DD2621" w:rsidRPr="00DD2621" w:rsidRDefault="00DD2621" w:rsidP="008A414D">
            <w:pPr>
              <w:numPr>
                <w:ilvl w:val="0"/>
                <w:numId w:val="7"/>
              </w:numPr>
              <w:ind w:left="602"/>
              <w:jc w:val="both"/>
              <w:rPr>
                <w:bCs/>
                <w:iCs/>
              </w:rPr>
            </w:pPr>
            <w:r w:rsidRPr="00DD2621">
              <w:rPr>
                <w:bCs/>
                <w:iCs/>
              </w:rPr>
              <w:t>nodarbinātā ārzemnieka darba izpildes vieta neatbilst piešķirtajām tiesībām uz nodarbinātību;</w:t>
            </w:r>
          </w:p>
          <w:p w14:paraId="5BC47DC2" w14:textId="77777777" w:rsidR="00DD2621" w:rsidRPr="00DD2621" w:rsidRDefault="00DD2621" w:rsidP="008A414D">
            <w:pPr>
              <w:numPr>
                <w:ilvl w:val="0"/>
                <w:numId w:val="7"/>
              </w:numPr>
              <w:ind w:left="602"/>
              <w:jc w:val="both"/>
              <w:rPr>
                <w:bCs/>
                <w:iCs/>
              </w:rPr>
            </w:pPr>
            <w:r w:rsidRPr="00DD2621">
              <w:rPr>
                <w:bCs/>
                <w:iCs/>
              </w:rPr>
              <w:t>tiek pārsniegts pieļauto darba stundu skaits;</w:t>
            </w:r>
          </w:p>
          <w:p w14:paraId="1C1974A3" w14:textId="5D207A8C" w:rsidR="00DD2621" w:rsidRPr="00DD2621" w:rsidRDefault="00DD2621" w:rsidP="008A414D">
            <w:pPr>
              <w:numPr>
                <w:ilvl w:val="0"/>
                <w:numId w:val="7"/>
              </w:numPr>
              <w:ind w:left="602"/>
              <w:jc w:val="both"/>
              <w:rPr>
                <w:bCs/>
                <w:iCs/>
              </w:rPr>
            </w:pPr>
            <w:r w:rsidRPr="00DD2621">
              <w:rPr>
                <w:bCs/>
                <w:iCs/>
              </w:rPr>
              <w:t xml:space="preserve">darba attiecības tiek uzsāktas pirms </w:t>
            </w:r>
            <w:r w:rsidR="00ED691B" w:rsidRPr="00CE3302">
              <w:rPr>
                <w:bCs/>
                <w:iCs/>
              </w:rPr>
              <w:t>piešķirtas tiesības uz nodarbinātību</w:t>
            </w:r>
            <w:r w:rsidRPr="00CE3302">
              <w:rPr>
                <w:bCs/>
                <w:iCs/>
              </w:rPr>
              <w:t>;</w:t>
            </w:r>
          </w:p>
          <w:p w14:paraId="179C600B" w14:textId="77777777" w:rsidR="00DD2621" w:rsidRPr="00DD2621" w:rsidRDefault="00DD2621" w:rsidP="008A414D">
            <w:pPr>
              <w:numPr>
                <w:ilvl w:val="0"/>
                <w:numId w:val="7"/>
              </w:numPr>
              <w:ind w:left="602"/>
              <w:jc w:val="both"/>
              <w:rPr>
                <w:bCs/>
                <w:iCs/>
              </w:rPr>
            </w:pPr>
            <w:r w:rsidRPr="00DD2621">
              <w:rPr>
                <w:bCs/>
                <w:iCs/>
              </w:rPr>
              <w:t>tiek veikta komercdarbība bez tiesībām uz nodarbinātību (Latvijas Republikā reģistrē komercdarbību kā individuālais komersants, pēc kā noslēdz apakšuzņēmuma līgumu ar Latvijas uzņēmumu par celtniecības darbu veikšanu);</w:t>
            </w:r>
          </w:p>
          <w:p w14:paraId="651D3CC4" w14:textId="1BBE76D4" w:rsidR="00DD2621" w:rsidRDefault="00DD2621" w:rsidP="008A414D">
            <w:pPr>
              <w:numPr>
                <w:ilvl w:val="0"/>
                <w:numId w:val="7"/>
              </w:numPr>
              <w:ind w:left="602"/>
              <w:jc w:val="both"/>
              <w:rPr>
                <w:bCs/>
                <w:iCs/>
              </w:rPr>
            </w:pPr>
            <w:r w:rsidRPr="00DD2621">
              <w:rPr>
                <w:bCs/>
                <w:iCs/>
              </w:rPr>
              <w:t>darba devējs citā Eiropas Savienības dalībvalstī, Eiropas Ekonomikas zonas valstī vai Šveices Konfederācijā (turpmāk – Savienības dalībvalstis)</w:t>
            </w:r>
            <w:proofErr w:type="gramStart"/>
            <w:r w:rsidRPr="00DD2621">
              <w:rPr>
                <w:bCs/>
                <w:iCs/>
              </w:rPr>
              <w:t xml:space="preserve">  </w:t>
            </w:r>
            <w:proofErr w:type="gramEnd"/>
            <w:r w:rsidRPr="00DD2621">
              <w:rPr>
                <w:bCs/>
                <w:iCs/>
              </w:rPr>
              <w:t xml:space="preserve">neievēro tiesisko regulējumu attiecībā uz darbinieku </w:t>
            </w:r>
            <w:r w:rsidRPr="00DD2621">
              <w:rPr>
                <w:bCs/>
                <w:iCs/>
              </w:rPr>
              <w:lastRenderedPageBreak/>
              <w:t>norīkošanu (nav nosūtīšanas/komandējuma dokumentu, nav iekļauts citas Savienības dalībvalsts reģistros kā nodokļu maksātājs, darba līgums nav noslēgts ar norīkotāja uzņēmumu, darbinieks tiek komandēts pamatojoties uz cita uzņēmuma nosūtīšanas/komandējuma dokumentiem, nav noslēgti sadarbības līgumi starp uzņēmumie</w:t>
            </w:r>
            <w:r w:rsidR="003A29F6">
              <w:rPr>
                <w:bCs/>
                <w:iCs/>
              </w:rPr>
              <w:t>m);</w:t>
            </w:r>
          </w:p>
          <w:p w14:paraId="74E16F11" w14:textId="23459694" w:rsidR="003A29F6" w:rsidRPr="003A29F6" w:rsidRDefault="003A29F6" w:rsidP="008A414D">
            <w:pPr>
              <w:numPr>
                <w:ilvl w:val="0"/>
                <w:numId w:val="7"/>
              </w:numPr>
              <w:ind w:left="602"/>
              <w:jc w:val="both"/>
              <w:rPr>
                <w:bCs/>
                <w:iCs/>
                <w:u w:val="single"/>
              </w:rPr>
            </w:pPr>
            <w:r w:rsidRPr="00E22642">
              <w:rPr>
                <w:bCs/>
                <w:iCs/>
              </w:rPr>
              <w:t>tiek pārsniegts noteiktais uzturēšanās termiņš Latvijas Republikā</w:t>
            </w:r>
            <w:r w:rsidRPr="003A29F6">
              <w:rPr>
                <w:bCs/>
                <w:iCs/>
                <w:u w:val="single"/>
              </w:rPr>
              <w:t>.</w:t>
            </w:r>
          </w:p>
          <w:p w14:paraId="2DB122F1" w14:textId="420A2BB8" w:rsidR="00DD2621" w:rsidRDefault="00DD2621" w:rsidP="008A414D">
            <w:pPr>
              <w:jc w:val="both"/>
              <w:rPr>
                <w:bCs/>
                <w:iCs/>
              </w:rPr>
            </w:pPr>
            <w:r w:rsidRPr="00DD2621">
              <w:rPr>
                <w:bCs/>
                <w:iCs/>
              </w:rPr>
              <w:t xml:space="preserve">Pamatojoties uz Robežsardzes likuma </w:t>
            </w:r>
            <w:proofErr w:type="gramStart"/>
            <w:r w:rsidRPr="00DD2621">
              <w:rPr>
                <w:bCs/>
                <w:iCs/>
              </w:rPr>
              <w:t>15.panta</w:t>
            </w:r>
            <w:proofErr w:type="gramEnd"/>
            <w:r w:rsidRPr="00DD2621">
              <w:rPr>
                <w:bCs/>
                <w:iCs/>
              </w:rPr>
              <w:t xml:space="preserve"> pirmās daļas 12.punkta b)</w:t>
            </w:r>
            <w:r w:rsidR="00365C9B">
              <w:rPr>
                <w:bCs/>
                <w:iCs/>
              </w:rPr>
              <w:t xml:space="preserve"> </w:t>
            </w:r>
            <w:r w:rsidR="00365C9B" w:rsidRPr="00E22642">
              <w:rPr>
                <w:bCs/>
                <w:iCs/>
              </w:rPr>
              <w:t>un c)</w:t>
            </w:r>
            <w:r w:rsidRPr="00E22642">
              <w:rPr>
                <w:bCs/>
                <w:iCs/>
              </w:rPr>
              <w:t xml:space="preserve"> apakšpunktu,</w:t>
            </w:r>
            <w:r w:rsidRPr="00DD2621">
              <w:rPr>
                <w:bCs/>
                <w:iCs/>
              </w:rPr>
              <w:t xml:space="preserve"> Valsts robežsardzes amatpersonai ir tiesības, apmeklēt un apsekot komersanta telpas, uzņēmuma </w:t>
            </w:r>
            <w:r w:rsidR="004B382D" w:rsidRPr="00E22642">
              <w:rPr>
                <w:bCs/>
                <w:iCs/>
              </w:rPr>
              <w:t>(organizatorisku vienību, kurās darba devēji nodarbina ārzemniekus)</w:t>
            </w:r>
            <w:r w:rsidR="004B382D">
              <w:rPr>
                <w:bCs/>
                <w:iCs/>
              </w:rPr>
              <w:t xml:space="preserve"> </w:t>
            </w:r>
            <w:r w:rsidRPr="00DD2621">
              <w:rPr>
                <w:bCs/>
                <w:iCs/>
              </w:rPr>
              <w:t xml:space="preserve">darba vietas, kā arī jebkuras citas vietas uzņēmumā, kas nodarbinātajam ir pieejamas darba gaitā, </w:t>
            </w:r>
            <w:r w:rsidR="0062506D">
              <w:rPr>
                <w:bCs/>
                <w:iCs/>
              </w:rPr>
              <w:t xml:space="preserve">un </w:t>
            </w:r>
            <w:r w:rsidRPr="00DD2621">
              <w:rPr>
                <w:bCs/>
                <w:iCs/>
              </w:rPr>
              <w:t xml:space="preserve">no fiziskās vai juridiskās personas iegūt informāciju, dokumentus vai to kopijas, kas pamato ārzemnieka vai viņa uzaicinātāja sniegtās informācijas un ziņu patiesumu, proti, iegūt informāciju, dokumentus vai to kopijas, </w:t>
            </w:r>
            <w:r w:rsidRPr="00B61EFD">
              <w:rPr>
                <w:bCs/>
                <w:iCs/>
              </w:rPr>
              <w:t xml:space="preserve">kas apstiprina ārzemnieka </w:t>
            </w:r>
            <w:r w:rsidR="00DD339B" w:rsidRPr="00B61EFD">
              <w:rPr>
                <w:bCs/>
                <w:iCs/>
              </w:rPr>
              <w:t xml:space="preserve"> </w:t>
            </w:r>
            <w:r w:rsidR="00BA527A" w:rsidRPr="00E22642">
              <w:rPr>
                <w:bCs/>
                <w:iCs/>
              </w:rPr>
              <w:t>uzturēšanās</w:t>
            </w:r>
            <w:r w:rsidR="00151B83" w:rsidRPr="00E22642">
              <w:rPr>
                <w:bCs/>
                <w:iCs/>
              </w:rPr>
              <w:t xml:space="preserve"> mērķi Latvijas Republikā.</w:t>
            </w:r>
          </w:p>
          <w:p w14:paraId="407EABE3" w14:textId="301B1DB9" w:rsidR="00DD2621" w:rsidRDefault="00BA527A" w:rsidP="008A414D">
            <w:pPr>
              <w:jc w:val="both"/>
              <w:rPr>
                <w:bCs/>
                <w:iCs/>
              </w:rPr>
            </w:pPr>
            <w:r w:rsidRPr="0031638B">
              <w:rPr>
                <w:bCs/>
                <w:iCs/>
              </w:rPr>
              <w:t xml:space="preserve">Likuma „Par nodokļiem un nodevām” </w:t>
            </w:r>
            <w:proofErr w:type="gramStart"/>
            <w:r w:rsidRPr="0031638B">
              <w:rPr>
                <w:bCs/>
                <w:iCs/>
              </w:rPr>
              <w:t>113.panta</w:t>
            </w:r>
            <w:proofErr w:type="gramEnd"/>
            <w:r w:rsidRPr="0031638B">
              <w:rPr>
                <w:bCs/>
                <w:iCs/>
              </w:rPr>
              <w:t xml:space="preserve"> pirmās daļas 1. un 2.apakšpunkts nosaka, kādi dati tiek reģistrēti un uzkrāti EDLUS, proti no personas datiem EDLUS tiek reģistrēts būvlaukumā esošās personas vārds, uzvārds un personas kods vai dzimšanas dati (būvlaukumā nodarbinātajam var būt dzimšanas datu vietā norādīts vīzas vai uzturēšanās atļaujas numurs), ja nav personas koda. No minētā izriet, ka EDLUS netiek reģistrēta būvlaukumā esošās personas valstiskā piederība, līdz ar to, EDLUS nav iespējas atlasīt  tikai datus par ārzemniekiem, kuri atrodas būvlaukumā. Tādējādi</w:t>
            </w:r>
            <w:r w:rsidR="009608E0" w:rsidRPr="0031638B">
              <w:rPr>
                <w:bCs/>
                <w:iCs/>
              </w:rPr>
              <w:t>,</w:t>
            </w:r>
            <w:r w:rsidRPr="0031638B">
              <w:rPr>
                <w:bCs/>
                <w:iCs/>
              </w:rPr>
              <w:t xml:space="preserve"> lai Valsts robežsardze </w:t>
            </w:r>
            <w:r w:rsidR="00B87BFE">
              <w:rPr>
                <w:bCs/>
                <w:iCs/>
              </w:rPr>
              <w:t>i</w:t>
            </w:r>
            <w:r w:rsidR="00DD2621" w:rsidRPr="00DD2621">
              <w:rPr>
                <w:bCs/>
                <w:iCs/>
              </w:rPr>
              <w:t xml:space="preserve">zpildītu vienu no </w:t>
            </w:r>
            <w:r>
              <w:rPr>
                <w:bCs/>
                <w:iCs/>
              </w:rPr>
              <w:t xml:space="preserve">tai noteiktajiem </w:t>
            </w:r>
            <w:r w:rsidR="00DD2621" w:rsidRPr="00DD2621">
              <w:rPr>
                <w:bCs/>
                <w:iCs/>
              </w:rPr>
              <w:t xml:space="preserve"> uzdevumiem, </w:t>
            </w:r>
            <w:r>
              <w:rPr>
                <w:bCs/>
                <w:iCs/>
              </w:rPr>
              <w:t>ko paredz</w:t>
            </w:r>
            <w:r w:rsidR="00DD2621" w:rsidRPr="00DD2621">
              <w:rPr>
                <w:bCs/>
                <w:iCs/>
              </w:rPr>
              <w:t xml:space="preserve"> Robežsardzes likuma 13.panta 15.punkt</w:t>
            </w:r>
            <w:r>
              <w:rPr>
                <w:bCs/>
                <w:iCs/>
              </w:rPr>
              <w:t>s</w:t>
            </w:r>
            <w:r w:rsidR="00D20F7F">
              <w:rPr>
                <w:bCs/>
                <w:iCs/>
              </w:rPr>
              <w:t>,</w:t>
            </w:r>
            <w:r w:rsidR="00DD2621" w:rsidRPr="00DD2621">
              <w:rPr>
                <w:bCs/>
                <w:iCs/>
              </w:rPr>
              <w:t xml:space="preserve"> Valsts robežsardzes amatpersonām ir nepiecie</w:t>
            </w:r>
            <w:r w:rsidR="006C66F6">
              <w:rPr>
                <w:bCs/>
                <w:iCs/>
              </w:rPr>
              <w:t xml:space="preserve">šama informācija par </w:t>
            </w:r>
            <w:r w:rsidRPr="0031638B">
              <w:rPr>
                <w:bCs/>
                <w:iCs/>
              </w:rPr>
              <w:t xml:space="preserve">visām </w:t>
            </w:r>
            <w:r w:rsidR="006C66F6" w:rsidRPr="0031638B">
              <w:rPr>
                <w:bCs/>
                <w:iCs/>
              </w:rPr>
              <w:t>būvlaukumā</w:t>
            </w:r>
            <w:r w:rsidR="00DD2621" w:rsidRPr="0031638B">
              <w:rPr>
                <w:bCs/>
                <w:iCs/>
              </w:rPr>
              <w:t xml:space="preserve"> </w:t>
            </w:r>
            <w:r w:rsidR="00633E6B" w:rsidRPr="0031638B">
              <w:rPr>
                <w:bCs/>
                <w:iCs/>
              </w:rPr>
              <w:t>eso</w:t>
            </w:r>
            <w:r w:rsidR="00854A69" w:rsidRPr="0031638B">
              <w:rPr>
                <w:bCs/>
                <w:iCs/>
              </w:rPr>
              <w:t>šajām personām</w:t>
            </w:r>
            <w:r w:rsidR="002315C7" w:rsidRPr="0031638B">
              <w:rPr>
                <w:bCs/>
                <w:iCs/>
              </w:rPr>
              <w:t xml:space="preserve"> (tajā skaitā Latvijas Republikas pilsoņi</w:t>
            </w:r>
            <w:r w:rsidR="0054507F" w:rsidRPr="0031638B">
              <w:rPr>
                <w:bCs/>
                <w:iCs/>
              </w:rPr>
              <w:t>em</w:t>
            </w:r>
            <w:r w:rsidR="002315C7" w:rsidRPr="0031638B">
              <w:rPr>
                <w:bCs/>
                <w:iCs/>
              </w:rPr>
              <w:t xml:space="preserve"> un nepilsoņi</w:t>
            </w:r>
            <w:r w:rsidR="0054507F" w:rsidRPr="0031638B">
              <w:rPr>
                <w:bCs/>
                <w:iCs/>
              </w:rPr>
              <w:t>em</w:t>
            </w:r>
            <w:r w:rsidR="002315C7" w:rsidRPr="0031638B">
              <w:rPr>
                <w:bCs/>
                <w:iCs/>
              </w:rPr>
              <w:t>)</w:t>
            </w:r>
            <w:r w:rsidR="00854A69" w:rsidRPr="0031638B">
              <w:rPr>
                <w:bCs/>
                <w:iCs/>
              </w:rPr>
              <w:t>, lai</w:t>
            </w:r>
            <w:r w:rsidR="001A7A68" w:rsidRPr="0031638B">
              <w:rPr>
                <w:bCs/>
                <w:iCs/>
              </w:rPr>
              <w:t xml:space="preserve"> no tā</w:t>
            </w:r>
            <w:r w:rsidRPr="0031638B">
              <w:rPr>
                <w:bCs/>
                <w:iCs/>
              </w:rPr>
              <w:t>m</w:t>
            </w:r>
            <w:r>
              <w:rPr>
                <w:bCs/>
                <w:iCs/>
              </w:rPr>
              <w:t xml:space="preserve"> </w:t>
            </w:r>
            <w:r w:rsidR="00885A84">
              <w:rPr>
                <w:bCs/>
                <w:iCs/>
              </w:rPr>
              <w:t xml:space="preserve">identificētu </w:t>
            </w:r>
            <w:r w:rsidR="00097CB2">
              <w:rPr>
                <w:bCs/>
                <w:iCs/>
              </w:rPr>
              <w:t xml:space="preserve">ārzemniekus, kuri atrodas </w:t>
            </w:r>
            <w:r w:rsidR="00854A69">
              <w:rPr>
                <w:bCs/>
                <w:iCs/>
              </w:rPr>
              <w:t xml:space="preserve">būvlaukumā </w:t>
            </w:r>
            <w:r w:rsidR="00097CB2">
              <w:rPr>
                <w:bCs/>
                <w:iCs/>
              </w:rPr>
              <w:t xml:space="preserve">(gan būvlaukumā </w:t>
            </w:r>
            <w:r w:rsidR="00854A69">
              <w:rPr>
                <w:bCs/>
                <w:iCs/>
              </w:rPr>
              <w:t xml:space="preserve">nodarbinātus </w:t>
            </w:r>
            <w:r w:rsidR="00633E6B">
              <w:rPr>
                <w:bCs/>
                <w:iCs/>
              </w:rPr>
              <w:t>ārzemnieku</w:t>
            </w:r>
            <w:r w:rsidR="00854A69">
              <w:rPr>
                <w:bCs/>
                <w:iCs/>
              </w:rPr>
              <w:t>s</w:t>
            </w:r>
            <w:r w:rsidR="00097CB2">
              <w:rPr>
                <w:bCs/>
                <w:iCs/>
              </w:rPr>
              <w:t>, gan</w:t>
            </w:r>
            <w:r w:rsidR="00854A69">
              <w:rPr>
                <w:bCs/>
                <w:iCs/>
              </w:rPr>
              <w:t xml:space="preserve"> ārzemniekus, kuri </w:t>
            </w:r>
            <w:r w:rsidR="00DD70AD">
              <w:rPr>
                <w:bCs/>
                <w:iCs/>
              </w:rPr>
              <w:t xml:space="preserve">atrodas būvlaukumā, bet </w:t>
            </w:r>
            <w:r w:rsidR="00A268EA">
              <w:rPr>
                <w:bCs/>
                <w:iCs/>
              </w:rPr>
              <w:t>nav nodarbināti</w:t>
            </w:r>
            <w:r w:rsidR="00DD70AD" w:rsidRPr="00DD70AD">
              <w:rPr>
                <w:bCs/>
                <w:iCs/>
              </w:rPr>
              <w:t xml:space="preserve"> būvdarbu veikšanā</w:t>
            </w:r>
            <w:r w:rsidR="00271F34">
              <w:rPr>
                <w:bCs/>
                <w:iCs/>
              </w:rPr>
              <w:t>)</w:t>
            </w:r>
            <w:r w:rsidR="007A249C">
              <w:rPr>
                <w:bCs/>
                <w:iCs/>
              </w:rPr>
              <w:t xml:space="preserve"> un</w:t>
            </w:r>
            <w:r w:rsidR="00DD2621" w:rsidRPr="00DD2621">
              <w:rPr>
                <w:bCs/>
                <w:iCs/>
              </w:rPr>
              <w:t xml:space="preserve"> noskaidrotu vai tiek </w:t>
            </w:r>
            <w:r w:rsidR="00EA141F">
              <w:rPr>
                <w:bCs/>
                <w:iCs/>
              </w:rPr>
              <w:t>ievēroti ieceļošanas,</w:t>
            </w:r>
            <w:r w:rsidR="00DD2621" w:rsidRPr="00DD2621">
              <w:rPr>
                <w:bCs/>
                <w:iCs/>
              </w:rPr>
              <w:t xml:space="preserve"> uzturēšanās (t.sk. </w:t>
            </w:r>
            <w:r w:rsidR="00A4161E" w:rsidRPr="00A4161E">
              <w:rPr>
                <w:rFonts w:eastAsia="Calibri"/>
                <w:bCs/>
                <w:iCs/>
                <w:sz w:val="28"/>
                <w:szCs w:val="28"/>
                <w:lang w:eastAsia="en-US"/>
              </w:rPr>
              <w:t xml:space="preserve"> </w:t>
            </w:r>
            <w:r w:rsidR="00A4161E" w:rsidRPr="00A4161E">
              <w:rPr>
                <w:rFonts w:eastAsia="Calibri"/>
                <w:bCs/>
                <w:iCs/>
                <w:lang w:eastAsia="en-US"/>
              </w:rPr>
              <w:t>nodarbinātības</w:t>
            </w:r>
            <w:r w:rsidR="00DD2621" w:rsidRPr="00A4161E">
              <w:rPr>
                <w:bCs/>
                <w:iCs/>
              </w:rPr>
              <w:t>)</w:t>
            </w:r>
            <w:r w:rsidR="00EA141F">
              <w:rPr>
                <w:bCs/>
                <w:iCs/>
              </w:rPr>
              <w:t xml:space="preserve"> un izceļošanas no Latvijas Republikas</w:t>
            </w:r>
            <w:r w:rsidR="00DD2621" w:rsidRPr="00DD2621">
              <w:rPr>
                <w:bCs/>
                <w:iCs/>
              </w:rPr>
              <w:t xml:space="preserve"> nosacījumi</w:t>
            </w:r>
            <w:r w:rsidR="00EA141F">
              <w:rPr>
                <w:bCs/>
                <w:iCs/>
              </w:rPr>
              <w:t>.</w:t>
            </w:r>
          </w:p>
          <w:p w14:paraId="14668524" w14:textId="18D5FDA9" w:rsidR="002F5F1F" w:rsidRPr="0031638B" w:rsidRDefault="00267FE3" w:rsidP="008A414D">
            <w:pPr>
              <w:jc w:val="both"/>
              <w:rPr>
                <w:bCs/>
                <w:iCs/>
              </w:rPr>
            </w:pPr>
            <w:r w:rsidRPr="0031638B">
              <w:rPr>
                <w:bCs/>
                <w:iCs/>
              </w:rPr>
              <w:t xml:space="preserve">No </w:t>
            </w:r>
            <w:r w:rsidR="005C55A0" w:rsidRPr="0031638B">
              <w:rPr>
                <w:bCs/>
                <w:iCs/>
              </w:rPr>
              <w:t xml:space="preserve">iepriekš </w:t>
            </w:r>
            <w:r w:rsidR="00612157" w:rsidRPr="0031638B">
              <w:rPr>
                <w:bCs/>
                <w:iCs/>
              </w:rPr>
              <w:t xml:space="preserve">minētā izriet, ka </w:t>
            </w:r>
            <w:r w:rsidR="003C448F" w:rsidRPr="0031638B">
              <w:rPr>
                <w:bCs/>
                <w:iCs/>
              </w:rPr>
              <w:t>būvlaukumā nodarbināto ārzemnieku un ārzemnieku, kuri uzturas būvlaukumā, bet nav nodarbināti būvdarbu veikšanā būvlaukumā</w:t>
            </w:r>
            <w:proofErr w:type="gramStart"/>
            <w:r w:rsidR="003C448F" w:rsidRPr="0031638B">
              <w:rPr>
                <w:bCs/>
                <w:iCs/>
              </w:rPr>
              <w:t xml:space="preserve">   </w:t>
            </w:r>
            <w:proofErr w:type="gramEnd"/>
            <w:r w:rsidR="003C448F" w:rsidRPr="0031638B">
              <w:rPr>
                <w:bCs/>
                <w:iCs/>
              </w:rPr>
              <w:t>ieceļošanas, uzturēšanās (t.sk.  nodarbinātības) un izceļošanas no Latvijas Republikas nosacījumu ievērošanas pārbaude nav iespējama bez visu būvlaukumā esošo personu</w:t>
            </w:r>
            <w:r w:rsidR="003C448F" w:rsidRPr="00A840EB">
              <w:rPr>
                <w:bCs/>
                <w:iCs/>
                <w:u w:val="single"/>
              </w:rPr>
              <w:t xml:space="preserve"> </w:t>
            </w:r>
            <w:r w:rsidR="003C448F" w:rsidRPr="0031638B">
              <w:rPr>
                <w:bCs/>
                <w:iCs/>
              </w:rPr>
              <w:lastRenderedPageBreak/>
              <w:t>datu apstrādes, kuras pārbaudes brīdī atrodas būvlaukumā un ir reģistrētas EDLUS.</w:t>
            </w:r>
            <w:r w:rsidR="00612157" w:rsidRPr="0031638B">
              <w:rPr>
                <w:bCs/>
                <w:iCs/>
              </w:rPr>
              <w:t xml:space="preserve"> Tādējādi, </w:t>
            </w:r>
            <w:r w:rsidR="001875DD" w:rsidRPr="0031638B">
              <w:rPr>
                <w:bCs/>
                <w:iCs/>
              </w:rPr>
              <w:t>EDLUS reģistr</w:t>
            </w:r>
            <w:r w:rsidR="005E1AA5" w:rsidRPr="0031638B">
              <w:rPr>
                <w:bCs/>
                <w:iCs/>
              </w:rPr>
              <w:t>ēto</w:t>
            </w:r>
            <w:r w:rsidR="001875DD" w:rsidRPr="0031638B">
              <w:rPr>
                <w:bCs/>
                <w:iCs/>
              </w:rPr>
              <w:t xml:space="preserve"> </w:t>
            </w:r>
            <w:r w:rsidR="005E1AA5" w:rsidRPr="0031638B">
              <w:rPr>
                <w:bCs/>
                <w:iCs/>
              </w:rPr>
              <w:t xml:space="preserve"> personu, kuras nav ārzemnieki (Latvijas Republikas pilsoņu un nepilsoņi), </w:t>
            </w:r>
            <w:r w:rsidR="000A2D44" w:rsidRPr="0031638B">
              <w:rPr>
                <w:bCs/>
                <w:iCs/>
              </w:rPr>
              <w:t>datu apstrād</w:t>
            </w:r>
            <w:r w:rsidR="00076594" w:rsidRPr="0031638B">
              <w:rPr>
                <w:bCs/>
                <w:iCs/>
              </w:rPr>
              <w:t xml:space="preserve">e </w:t>
            </w:r>
            <w:r w:rsidR="00232101" w:rsidRPr="0031638B">
              <w:rPr>
                <w:bCs/>
                <w:iCs/>
              </w:rPr>
              <w:t>V</w:t>
            </w:r>
            <w:r w:rsidR="00076594" w:rsidRPr="0031638B">
              <w:rPr>
                <w:bCs/>
                <w:iCs/>
              </w:rPr>
              <w:t>alsts robežsardzei ir nepieciešama</w:t>
            </w:r>
            <w:r w:rsidR="003C40EF" w:rsidRPr="0031638B">
              <w:rPr>
                <w:bCs/>
                <w:iCs/>
              </w:rPr>
              <w:t>, lai izpildītu</w:t>
            </w:r>
            <w:r w:rsidR="00AB745B" w:rsidRPr="0031638B">
              <w:rPr>
                <w:bCs/>
                <w:iCs/>
              </w:rPr>
              <w:t xml:space="preserve"> </w:t>
            </w:r>
            <w:r w:rsidR="00232101" w:rsidRPr="0031638B">
              <w:rPr>
                <w:bCs/>
                <w:iCs/>
              </w:rPr>
              <w:t>Robežsa</w:t>
            </w:r>
            <w:r w:rsidR="003C40EF" w:rsidRPr="0031638B">
              <w:rPr>
                <w:bCs/>
                <w:iCs/>
              </w:rPr>
              <w:t>rdzes likumā noteikto pienākumu.</w:t>
            </w:r>
            <w:r w:rsidR="004E6D9F" w:rsidRPr="0031638B">
              <w:rPr>
                <w:rFonts w:eastAsia="Calibri"/>
                <w:bCs/>
                <w:iCs/>
                <w:lang w:eastAsia="en-US"/>
              </w:rPr>
              <w:t xml:space="preserve"> </w:t>
            </w:r>
          </w:p>
          <w:p w14:paraId="5694EDB8" w14:textId="3548D700" w:rsidR="00DD2621" w:rsidRPr="00DD2621" w:rsidRDefault="00DD2621" w:rsidP="008A414D">
            <w:pPr>
              <w:jc w:val="both"/>
              <w:rPr>
                <w:bCs/>
                <w:iCs/>
              </w:rPr>
            </w:pPr>
            <w:r w:rsidRPr="00DD2621">
              <w:rPr>
                <w:bCs/>
                <w:iCs/>
              </w:rPr>
              <w:t xml:space="preserve">Valsts robežsardzes rīcībā ir informācija no Iedzīvotāju reģistra un Darba atļauju reģistra par </w:t>
            </w:r>
            <w:r w:rsidR="00885A84">
              <w:rPr>
                <w:bCs/>
                <w:iCs/>
              </w:rPr>
              <w:t>likumīgu</w:t>
            </w:r>
            <w:r w:rsidRPr="00DD2621">
              <w:rPr>
                <w:bCs/>
                <w:iCs/>
              </w:rPr>
              <w:t xml:space="preserve"> nodarbinātību. Jāatzīmē, ka zem </w:t>
            </w:r>
            <w:r w:rsidR="00885A84">
              <w:rPr>
                <w:bCs/>
                <w:iCs/>
              </w:rPr>
              <w:t>likumīgas</w:t>
            </w:r>
            <w:r w:rsidRPr="00DD2621">
              <w:rPr>
                <w:bCs/>
                <w:iCs/>
              </w:rPr>
              <w:t xml:space="preserve"> nodarbinātības „slēpjas” arī nelegālā nodarbinātība, kas izpaužas </w:t>
            </w:r>
            <w:r w:rsidR="00036E96">
              <w:rPr>
                <w:bCs/>
                <w:iCs/>
              </w:rPr>
              <w:t xml:space="preserve">kā </w:t>
            </w:r>
            <w:r w:rsidRPr="00DD2621">
              <w:rPr>
                <w:bCs/>
                <w:iCs/>
              </w:rPr>
              <w:t>nodarbinātības noteikumu neievērošanā, piemēram, ārzemnieks strādā amatā, kurā t</w:t>
            </w:r>
            <w:r w:rsidR="00036E96">
              <w:rPr>
                <w:bCs/>
                <w:iCs/>
              </w:rPr>
              <w:t>am</w:t>
            </w:r>
            <w:r w:rsidRPr="00DD2621">
              <w:rPr>
                <w:bCs/>
                <w:iCs/>
              </w:rPr>
              <w:t xml:space="preserve"> nav piešķirtas tiesības uz nodarbinātību, ārzemnieks strādā vairāk darba stundas</w:t>
            </w:r>
            <w:proofErr w:type="gramStart"/>
            <w:r w:rsidRPr="00DD2621">
              <w:rPr>
                <w:bCs/>
                <w:iCs/>
              </w:rPr>
              <w:t xml:space="preserve"> nekā ta</w:t>
            </w:r>
            <w:r w:rsidR="00036E96">
              <w:rPr>
                <w:bCs/>
                <w:iCs/>
              </w:rPr>
              <w:t>m</w:t>
            </w:r>
            <w:r w:rsidRPr="00DD2621">
              <w:rPr>
                <w:bCs/>
                <w:iCs/>
              </w:rPr>
              <w:t xml:space="preserve"> piešķirtas pieļaujamās darba stundas, darba izpildes vieta neatbilst piešķirtajām tiesībām uz nodarbinātību</w:t>
            </w:r>
            <w:proofErr w:type="gramEnd"/>
            <w:r w:rsidRPr="00DD2621">
              <w:rPr>
                <w:bCs/>
                <w:iCs/>
              </w:rPr>
              <w:t xml:space="preserve">, ārzemnieks nodarbināts pie vairākiem darba devējiem, taču </w:t>
            </w:r>
            <w:r w:rsidR="008823BC" w:rsidRPr="00C11407">
              <w:rPr>
                <w:bCs/>
                <w:iCs/>
              </w:rPr>
              <w:t>t</w:t>
            </w:r>
            <w:r w:rsidR="009308E4" w:rsidRPr="00C11407">
              <w:rPr>
                <w:bCs/>
                <w:iCs/>
              </w:rPr>
              <w:t>iesības uz nodarbinātību</w:t>
            </w:r>
            <w:r w:rsidRPr="00DD2621">
              <w:rPr>
                <w:bCs/>
                <w:iCs/>
              </w:rPr>
              <w:t xml:space="preserve"> piešķirtas nodarbinātībai pie viena darba devēja.</w:t>
            </w:r>
          </w:p>
          <w:p w14:paraId="2A7085E9" w14:textId="02648036" w:rsidR="00DD2621" w:rsidRPr="00DD2621" w:rsidRDefault="00DD2621" w:rsidP="008A414D">
            <w:pPr>
              <w:jc w:val="both"/>
              <w:rPr>
                <w:bCs/>
                <w:iCs/>
              </w:rPr>
            </w:pPr>
            <w:r w:rsidRPr="00DD2621">
              <w:rPr>
                <w:bCs/>
                <w:iCs/>
              </w:rPr>
              <w:t xml:space="preserve">Valsts robežsardzei nav informācijas par ārzemniekiem, kuri nodarbināti kādā citā Savienības dalībvalstī, un kurus darba devējs norīko darbā pakalpojumu sniegšanai Latvijas Republikā, proti, pamatojoties uz Imigrācijas likuma </w:t>
            </w:r>
            <w:proofErr w:type="gramStart"/>
            <w:r w:rsidRPr="00DD2621">
              <w:rPr>
                <w:bCs/>
                <w:iCs/>
              </w:rPr>
              <w:t>9.panta</w:t>
            </w:r>
            <w:proofErr w:type="gramEnd"/>
            <w:r w:rsidRPr="00DD2621">
              <w:rPr>
                <w:bCs/>
                <w:iCs/>
              </w:rPr>
              <w:t xml:space="preserve"> trešās daļas 6.punktu, norīkotajiem darbiniekiem nav nepieciešams saņemt tiesības uz nodarbinātību, ja  tie likumīgi uzturas Latvijas Republikā saistībā ar to, ka likumīgi strādā kādā citā Savienības dalībvalstī un darba devējs viņu norīko darbā pakalpojumu sniegšanai Latvijā uz laika posmu, kas nepārsniedz 90 dienas sešu mēnešu laikā. Tādējādi</w:t>
            </w:r>
            <w:r w:rsidR="00036E96">
              <w:rPr>
                <w:bCs/>
                <w:iCs/>
              </w:rPr>
              <w:t>,</w:t>
            </w:r>
            <w:r w:rsidRPr="00DD2621">
              <w:rPr>
                <w:bCs/>
                <w:iCs/>
              </w:rPr>
              <w:t xml:space="preserve"> minētie ārzemnieki netiek reģistrēti ne Iedzīvotāju reģistrā, ne Darba atļauju reģistrā un par šādiem ārzemniekiem Valsts robežsardzes amatpersonas </w:t>
            </w:r>
            <w:r w:rsidR="00036E96">
              <w:rPr>
                <w:bCs/>
                <w:iCs/>
              </w:rPr>
              <w:t>iegūst informāciju</w:t>
            </w:r>
            <w:r w:rsidR="00036E96" w:rsidRPr="00DD2621">
              <w:rPr>
                <w:bCs/>
                <w:iCs/>
              </w:rPr>
              <w:t xml:space="preserve"> </w:t>
            </w:r>
            <w:r w:rsidRPr="00DD2621">
              <w:rPr>
                <w:bCs/>
                <w:iCs/>
              </w:rPr>
              <w:t>tikai pārbaudes laikā būvlaukumā.</w:t>
            </w:r>
          </w:p>
          <w:p w14:paraId="52F5EAC0" w14:textId="5D10D545" w:rsidR="00AB51D6" w:rsidRPr="00AF0CF3" w:rsidRDefault="00DD2621" w:rsidP="008A414D">
            <w:pPr>
              <w:ind w:firstLine="35"/>
              <w:jc w:val="both"/>
              <w:rPr>
                <w:bCs/>
                <w:iCs/>
              </w:rPr>
            </w:pPr>
            <w:r w:rsidRPr="00AF0CF3">
              <w:rPr>
                <w:bCs/>
                <w:iCs/>
              </w:rPr>
              <w:t>EDLUS reģistrētā informācija dod iespēju konstatēt:</w:t>
            </w:r>
          </w:p>
          <w:p w14:paraId="2D7826B9" w14:textId="36CEEB1A" w:rsidR="00F110C2" w:rsidRPr="007C7E1E" w:rsidRDefault="00DD2621"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sidRPr="007C7E1E">
              <w:rPr>
                <w:rFonts w:ascii="Times New Roman" w:hAnsi="Times New Roman" w:cs="Times New Roman"/>
                <w:bCs/>
                <w:iCs/>
                <w:sz w:val="24"/>
                <w:szCs w:val="24"/>
              </w:rPr>
              <w:t xml:space="preserve">kādi ārzemnieki </w:t>
            </w:r>
            <w:r w:rsidR="007C7E1E">
              <w:rPr>
                <w:rFonts w:ascii="Times New Roman" w:hAnsi="Times New Roman" w:cs="Times New Roman"/>
                <w:bCs/>
                <w:iCs/>
                <w:sz w:val="24"/>
                <w:szCs w:val="24"/>
              </w:rPr>
              <w:t>atrodas būvlaukumā</w:t>
            </w:r>
            <w:r w:rsidR="00F110C2" w:rsidRPr="007C7E1E">
              <w:rPr>
                <w:rFonts w:ascii="Times New Roman" w:hAnsi="Times New Roman" w:cs="Times New Roman"/>
                <w:bCs/>
                <w:iCs/>
                <w:sz w:val="24"/>
                <w:szCs w:val="24"/>
              </w:rPr>
              <w:t>;</w:t>
            </w:r>
          </w:p>
          <w:p w14:paraId="6590636B" w14:textId="61ECF20F" w:rsidR="00AB51D6" w:rsidRPr="00C11407" w:rsidRDefault="00F110C2"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Pr>
                <w:rFonts w:ascii="Times New Roman" w:hAnsi="Times New Roman" w:cs="Times New Roman"/>
                <w:bCs/>
                <w:iCs/>
                <w:sz w:val="24"/>
                <w:szCs w:val="24"/>
              </w:rPr>
              <w:t xml:space="preserve">kādi ārzemnieki </w:t>
            </w:r>
            <w:r w:rsidR="00DD2621" w:rsidRPr="00AF0CF3">
              <w:rPr>
                <w:rFonts w:ascii="Times New Roman" w:hAnsi="Times New Roman" w:cs="Times New Roman"/>
                <w:bCs/>
                <w:iCs/>
                <w:sz w:val="24"/>
                <w:szCs w:val="24"/>
              </w:rPr>
              <w:t>tiek nodarbināti būvlaukumā</w:t>
            </w:r>
            <w:proofErr w:type="gramStart"/>
            <w:r w:rsidR="00BA527A">
              <w:rPr>
                <w:rFonts w:ascii="Times New Roman" w:hAnsi="Times New Roman" w:cs="Times New Roman"/>
                <w:bCs/>
                <w:iCs/>
                <w:sz w:val="24"/>
                <w:szCs w:val="24"/>
              </w:rPr>
              <w:t xml:space="preserve"> </w:t>
            </w:r>
            <w:r w:rsidR="00BA527A" w:rsidRPr="00BA527A">
              <w:rPr>
                <w:rFonts w:ascii="Times New Roman" w:eastAsia="Times New Roman" w:hAnsi="Times New Roman" w:cs="Times New Roman"/>
                <w:bCs/>
                <w:iCs/>
                <w:sz w:val="24"/>
                <w:szCs w:val="24"/>
                <w:lang w:eastAsia="lv-LV"/>
              </w:rPr>
              <w:t xml:space="preserve"> </w:t>
            </w:r>
            <w:proofErr w:type="gramEnd"/>
            <w:r w:rsidR="00BA527A" w:rsidRPr="00C11407">
              <w:rPr>
                <w:rFonts w:ascii="Times New Roman" w:hAnsi="Times New Roman" w:cs="Times New Roman"/>
                <w:bCs/>
                <w:iCs/>
                <w:sz w:val="24"/>
                <w:szCs w:val="24"/>
              </w:rPr>
              <w:t>un kādi uzturas būvlaukumā, bet netiek nodarbināti būvdarbu veikšanā</w:t>
            </w:r>
            <w:r w:rsidR="00DD2621" w:rsidRPr="00C11407">
              <w:rPr>
                <w:rFonts w:ascii="Times New Roman" w:hAnsi="Times New Roman" w:cs="Times New Roman"/>
                <w:bCs/>
                <w:iCs/>
                <w:sz w:val="24"/>
                <w:szCs w:val="24"/>
              </w:rPr>
              <w:t>;</w:t>
            </w:r>
          </w:p>
          <w:p w14:paraId="6AEBCCAC" w14:textId="7403E3B9" w:rsidR="00AF0CF3" w:rsidRPr="00AF0CF3" w:rsidRDefault="00DD2621"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sidRPr="00C11407">
              <w:rPr>
                <w:rFonts w:ascii="Times New Roman" w:hAnsi="Times New Roman" w:cs="Times New Roman"/>
                <w:bCs/>
                <w:iCs/>
                <w:sz w:val="24"/>
                <w:szCs w:val="24"/>
              </w:rPr>
              <w:t>darba devēju (juridiska vai fiziska persona),</w:t>
            </w:r>
            <w:r w:rsidRPr="00AF0CF3">
              <w:rPr>
                <w:rFonts w:ascii="Times New Roman" w:hAnsi="Times New Roman" w:cs="Times New Roman"/>
                <w:bCs/>
                <w:iCs/>
                <w:sz w:val="24"/>
                <w:szCs w:val="24"/>
              </w:rPr>
              <w:t xml:space="preserve"> kurš nodarbina ārzemnieku; </w:t>
            </w:r>
          </w:p>
          <w:p w14:paraId="4FE0617F" w14:textId="77777777" w:rsidR="00AF0CF3" w:rsidRPr="00AF0CF3" w:rsidRDefault="00DD2621"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sidRPr="00AF0CF3">
              <w:rPr>
                <w:rFonts w:ascii="Times New Roman" w:hAnsi="Times New Roman" w:cs="Times New Roman"/>
                <w:bCs/>
                <w:iCs/>
                <w:sz w:val="24"/>
                <w:szCs w:val="24"/>
              </w:rPr>
              <w:t>kādā amatā nodarbināts ārzemnieks;</w:t>
            </w:r>
          </w:p>
          <w:p w14:paraId="7D8CAEC8" w14:textId="2A72C7E0" w:rsidR="00AF0CF3" w:rsidRPr="00AF0CF3" w:rsidRDefault="00DD2621"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sidRPr="00AF0CF3">
              <w:rPr>
                <w:rFonts w:ascii="Times New Roman" w:hAnsi="Times New Roman" w:cs="Times New Roman"/>
                <w:bCs/>
                <w:iCs/>
                <w:sz w:val="24"/>
                <w:szCs w:val="24"/>
              </w:rPr>
              <w:t>vai netiek pārsniegtas pieļautās darba stundas;</w:t>
            </w:r>
          </w:p>
          <w:p w14:paraId="17C2B38A" w14:textId="77777777" w:rsidR="00BA527A" w:rsidRDefault="00DD2621"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sidRPr="00AF0CF3">
              <w:rPr>
                <w:rFonts w:ascii="Times New Roman" w:hAnsi="Times New Roman" w:cs="Times New Roman"/>
                <w:bCs/>
                <w:iCs/>
                <w:sz w:val="24"/>
                <w:szCs w:val="24"/>
              </w:rPr>
              <w:t xml:space="preserve">vai tiek </w:t>
            </w:r>
            <w:r w:rsidR="00C74A06">
              <w:rPr>
                <w:rFonts w:ascii="Times New Roman" w:hAnsi="Times New Roman" w:cs="Times New Roman"/>
                <w:bCs/>
                <w:iCs/>
                <w:sz w:val="24"/>
                <w:szCs w:val="24"/>
              </w:rPr>
              <w:t>ievērots</w:t>
            </w:r>
            <w:r w:rsidR="00C74A06" w:rsidRPr="00AF0CF3">
              <w:rPr>
                <w:rFonts w:ascii="Times New Roman" w:hAnsi="Times New Roman" w:cs="Times New Roman"/>
                <w:bCs/>
                <w:iCs/>
                <w:sz w:val="24"/>
                <w:szCs w:val="24"/>
              </w:rPr>
              <w:t xml:space="preserve"> </w:t>
            </w:r>
            <w:r w:rsidRPr="00AF0CF3">
              <w:rPr>
                <w:rFonts w:ascii="Times New Roman" w:hAnsi="Times New Roman" w:cs="Times New Roman"/>
                <w:bCs/>
                <w:iCs/>
                <w:sz w:val="24"/>
                <w:szCs w:val="24"/>
              </w:rPr>
              <w:t xml:space="preserve">Imigrācijas likumā </w:t>
            </w:r>
            <w:proofErr w:type="gramStart"/>
            <w:r w:rsidRPr="00AF0CF3">
              <w:rPr>
                <w:rFonts w:ascii="Times New Roman" w:hAnsi="Times New Roman" w:cs="Times New Roman"/>
                <w:bCs/>
                <w:iCs/>
                <w:sz w:val="24"/>
                <w:szCs w:val="24"/>
              </w:rPr>
              <w:t>9.panta</w:t>
            </w:r>
            <w:proofErr w:type="gramEnd"/>
            <w:r w:rsidRPr="00AF0CF3">
              <w:rPr>
                <w:rFonts w:ascii="Times New Roman" w:hAnsi="Times New Roman" w:cs="Times New Roman"/>
                <w:bCs/>
                <w:iCs/>
                <w:sz w:val="24"/>
                <w:szCs w:val="24"/>
              </w:rPr>
              <w:t xml:space="preserve"> trešās daļas 6.punktā noteiktais ierobežojums, – uzturēšanās Latvijas Republikā laiks - 90 dienas sešu mēnešu laikā</w:t>
            </w:r>
            <w:r w:rsidR="00BA527A">
              <w:rPr>
                <w:rFonts w:ascii="Times New Roman" w:hAnsi="Times New Roman" w:cs="Times New Roman"/>
                <w:bCs/>
                <w:iCs/>
                <w:sz w:val="24"/>
                <w:szCs w:val="24"/>
              </w:rPr>
              <w:t>;</w:t>
            </w:r>
          </w:p>
          <w:p w14:paraId="152846B6" w14:textId="7309058A" w:rsidR="00BA527A" w:rsidRPr="00CE7FBB" w:rsidRDefault="00BA527A" w:rsidP="008A414D">
            <w:pPr>
              <w:pStyle w:val="ListParagraph"/>
              <w:numPr>
                <w:ilvl w:val="0"/>
                <w:numId w:val="5"/>
              </w:numPr>
              <w:spacing w:after="0" w:line="240" w:lineRule="auto"/>
              <w:ind w:left="744" w:hanging="283"/>
              <w:jc w:val="both"/>
              <w:rPr>
                <w:rFonts w:ascii="Times New Roman" w:hAnsi="Times New Roman" w:cs="Times New Roman"/>
                <w:bCs/>
                <w:iCs/>
                <w:sz w:val="24"/>
                <w:szCs w:val="24"/>
              </w:rPr>
            </w:pPr>
            <w:r w:rsidRPr="00CE7FBB">
              <w:rPr>
                <w:rFonts w:ascii="Times New Roman" w:hAnsi="Times New Roman" w:cs="Times New Roman"/>
                <w:bCs/>
                <w:iCs/>
                <w:sz w:val="24"/>
                <w:szCs w:val="24"/>
              </w:rPr>
              <w:t>vai tiek ievēroti uzturēšanās nosacījumi Latvijas Republikā (</w:t>
            </w:r>
            <w:r w:rsidR="00717939" w:rsidRPr="00CE7FBB">
              <w:rPr>
                <w:rFonts w:ascii="Times New Roman" w:hAnsi="Times New Roman" w:cs="Times New Roman"/>
                <w:bCs/>
                <w:iCs/>
                <w:sz w:val="24"/>
                <w:szCs w:val="24"/>
              </w:rPr>
              <w:t xml:space="preserve">piemēram, </w:t>
            </w:r>
            <w:r w:rsidRPr="00CE7FBB">
              <w:rPr>
                <w:rFonts w:ascii="Times New Roman" w:hAnsi="Times New Roman" w:cs="Times New Roman"/>
                <w:bCs/>
                <w:iCs/>
                <w:sz w:val="24"/>
                <w:szCs w:val="24"/>
              </w:rPr>
              <w:t>vai nav pārkāpts noteiktais uzturēšanās termiņš Latvijas Republikā, vai patiesais uzturēšanās mērķis atbilst norādītajam).</w:t>
            </w:r>
          </w:p>
          <w:p w14:paraId="6D51A9E6" w14:textId="77777777" w:rsidR="004A39A8" w:rsidRPr="00CE7FBB" w:rsidRDefault="00375F6F" w:rsidP="008A414D">
            <w:pPr>
              <w:jc w:val="both"/>
              <w:rPr>
                <w:rFonts w:eastAsia="Calibri"/>
                <w:bCs/>
                <w:iCs/>
                <w:lang w:eastAsia="en-US"/>
              </w:rPr>
            </w:pPr>
            <w:r w:rsidRPr="00F65C24">
              <w:rPr>
                <w:rFonts w:eastAsia="Calibri"/>
                <w:bCs/>
                <w:iCs/>
                <w:lang w:eastAsia="en-US"/>
              </w:rPr>
              <w:lastRenderedPageBreak/>
              <w:t>EDLUS reģistrētā informācija</w:t>
            </w:r>
            <w:proofErr w:type="gramStart"/>
            <w:r w:rsidRPr="00F65C24">
              <w:rPr>
                <w:rFonts w:eastAsia="Calibri"/>
                <w:bCs/>
                <w:iCs/>
                <w:lang w:eastAsia="en-US"/>
              </w:rPr>
              <w:t xml:space="preserve">  </w:t>
            </w:r>
            <w:proofErr w:type="gramEnd"/>
            <w:r w:rsidRPr="00F65C24">
              <w:rPr>
                <w:rFonts w:eastAsia="Calibri"/>
                <w:bCs/>
                <w:iCs/>
                <w:lang w:eastAsia="en-US"/>
              </w:rPr>
              <w:t xml:space="preserve">par  būvlaukumā esošajām personām Valsts robežsardzes amatpersonām sniedz informāciju par ārzemniekiem, kuri atrodas būvlaukumā (būvlaukumā nodarbinātiem ārzemniekiem un ārzemniekiem, kuri atrodas būvlaukumā, bet nav nodarbināti būvdarbu veikšanā) un </w:t>
            </w:r>
            <w:r w:rsidR="00036E96">
              <w:rPr>
                <w:rFonts w:eastAsia="Calibri"/>
                <w:bCs/>
                <w:iCs/>
                <w:lang w:eastAsia="en-US"/>
              </w:rPr>
              <w:t xml:space="preserve">ļauj </w:t>
            </w:r>
            <w:r w:rsidRPr="00F65C24">
              <w:rPr>
                <w:rFonts w:eastAsia="Calibri"/>
                <w:bCs/>
                <w:iCs/>
                <w:lang w:eastAsia="en-US"/>
              </w:rPr>
              <w:t>noskaidrot vai tiek ievēroti ieceļošanas, uzturēšanās (t.sk. nodarbināšanas) un izceļošanas no Latvijas Republikas nosacījumi</w:t>
            </w:r>
            <w:r w:rsidR="00BA527A" w:rsidRPr="00CE7FBB">
              <w:rPr>
                <w:rFonts w:eastAsia="Calibri"/>
                <w:bCs/>
                <w:iCs/>
                <w:lang w:eastAsia="en-US"/>
              </w:rPr>
              <w:t>, proti, vai būvlaukumā nodarbinātais ārzemnieks tiek nodarbināts likumīgi, kā arī vai būvlaukumā esošais ārzemnieks, kurš nav nodarbināts būvdarbu veikšanā, ievēro uzturēšanās nosacījumus Latvijas Republikā (piemēram, ārzemnieks atrodas būvlaukumā kā materiālu piegādātājs, līdz ar to jāveic ārzemnieka uzturēšanās (</w:t>
            </w:r>
            <w:r w:rsidR="005779CB" w:rsidRPr="00CE7FBB">
              <w:rPr>
                <w:rFonts w:eastAsia="Calibri"/>
                <w:bCs/>
                <w:iCs/>
                <w:lang w:eastAsia="en-US"/>
              </w:rPr>
              <w:t xml:space="preserve">tajā skaitā </w:t>
            </w:r>
            <w:r w:rsidR="00BA527A" w:rsidRPr="00CE7FBB">
              <w:rPr>
                <w:rFonts w:eastAsia="Calibri"/>
                <w:bCs/>
                <w:iCs/>
                <w:lang w:eastAsia="en-US"/>
              </w:rPr>
              <w:t>nodarbinātības) pārbaude, noskaidrojot vai patiesais ieceļošanas un uzturēšanās mērķis atbilst norādītajam)</w:t>
            </w:r>
            <w:r w:rsidR="004A39A8" w:rsidRPr="00CE7FBB">
              <w:rPr>
                <w:rFonts w:eastAsia="Calibri"/>
                <w:bCs/>
                <w:iCs/>
                <w:lang w:eastAsia="en-US"/>
              </w:rPr>
              <w:t>.</w:t>
            </w:r>
          </w:p>
          <w:p w14:paraId="0A269107" w14:textId="5B415AE6" w:rsidR="00DD2621" w:rsidRPr="00DD2621" w:rsidRDefault="00DD2621" w:rsidP="008A414D">
            <w:pPr>
              <w:jc w:val="both"/>
              <w:rPr>
                <w:bCs/>
                <w:iCs/>
              </w:rPr>
            </w:pPr>
            <w:r w:rsidRPr="00DD2621">
              <w:rPr>
                <w:bCs/>
                <w:iCs/>
              </w:rPr>
              <w:t xml:space="preserve">Papildus tam, Robežsardzes likuma </w:t>
            </w:r>
            <w:proofErr w:type="gramStart"/>
            <w:r w:rsidRPr="00DD2621">
              <w:rPr>
                <w:bCs/>
                <w:iCs/>
              </w:rPr>
              <w:t>13.panta</w:t>
            </w:r>
            <w:proofErr w:type="gramEnd"/>
            <w:r w:rsidRPr="00DD2621">
              <w:rPr>
                <w:bCs/>
                <w:iCs/>
              </w:rPr>
              <w:t xml:space="preserve"> 14.punktā noteikts, ka viens no Valsts robežsardzes uzdevumiem ir savas kompetences ietvaros izskatīt administratīvo pārkāpumu lietas un uzlikt administratīvos sodus. Valsts robežsardze, pamatojoties uz Latvijas Administratīvo pārkāpuma kodeksa (turpmāk – LAPK)</w:t>
            </w:r>
            <w:proofErr w:type="gramStart"/>
            <w:r w:rsidRPr="00DD2621">
              <w:rPr>
                <w:bCs/>
                <w:iCs/>
              </w:rPr>
              <w:t xml:space="preserve">  </w:t>
            </w:r>
            <w:proofErr w:type="gramEnd"/>
            <w:r w:rsidRPr="00DD2621">
              <w:rPr>
                <w:bCs/>
                <w:iCs/>
              </w:rPr>
              <w:t>226.</w:t>
            </w:r>
            <w:r w:rsidRPr="00DD2621">
              <w:rPr>
                <w:bCs/>
                <w:iCs/>
                <w:vertAlign w:val="superscript"/>
              </w:rPr>
              <w:t>1</w:t>
            </w:r>
            <w:r w:rsidRPr="00DD2621">
              <w:rPr>
                <w:bCs/>
                <w:iCs/>
              </w:rPr>
              <w:t>panta pirmo daļu, izskata LAPK 189.</w:t>
            </w:r>
            <w:r w:rsidRPr="00DD2621">
              <w:rPr>
                <w:bCs/>
                <w:iCs/>
                <w:vertAlign w:val="superscript"/>
              </w:rPr>
              <w:t xml:space="preserve">1  </w:t>
            </w:r>
            <w:r w:rsidRPr="00DD2621">
              <w:rPr>
                <w:bCs/>
                <w:iCs/>
              </w:rPr>
              <w:t>pantā</w:t>
            </w:r>
            <w:r w:rsidRPr="00DD2621">
              <w:rPr>
                <w:bCs/>
                <w:i/>
                <w:iCs/>
              </w:rPr>
              <w:t xml:space="preserve"> ‘Strādāšana bez darba atļaujas” </w:t>
            </w:r>
            <w:r w:rsidRPr="00DD2621">
              <w:rPr>
                <w:bCs/>
                <w:iCs/>
              </w:rPr>
              <w:t>un 189.</w:t>
            </w:r>
            <w:r w:rsidRPr="00DD2621">
              <w:rPr>
                <w:bCs/>
                <w:iCs/>
                <w:vertAlign w:val="superscript"/>
              </w:rPr>
              <w:t xml:space="preserve">2 </w:t>
            </w:r>
            <w:r w:rsidRPr="00DD2621">
              <w:rPr>
                <w:bCs/>
                <w:iCs/>
              </w:rPr>
              <w:t xml:space="preserve">pantā </w:t>
            </w:r>
            <w:r w:rsidRPr="00DD2621">
              <w:rPr>
                <w:bCs/>
                <w:i/>
                <w:iCs/>
              </w:rPr>
              <w:t>„Ārzemnieka nodarbināšanas aizlieguma pārkāpšana”</w:t>
            </w:r>
            <w:r w:rsidRPr="00DD2621">
              <w:rPr>
                <w:bCs/>
                <w:iCs/>
              </w:rPr>
              <w:t xml:space="preserve"> paredzētās administratīvo pārkāpumu lietas</w:t>
            </w:r>
            <w:r w:rsidR="00BA527A">
              <w:rPr>
                <w:bCs/>
                <w:iCs/>
              </w:rPr>
              <w:t xml:space="preserve"> </w:t>
            </w:r>
            <w:r w:rsidR="00BA527A" w:rsidRPr="006302F4">
              <w:rPr>
                <w:bCs/>
                <w:iCs/>
              </w:rPr>
              <w:t>(</w:t>
            </w:r>
            <w:r w:rsidR="00A91DDB" w:rsidRPr="006302F4">
              <w:rPr>
                <w:bCs/>
                <w:iCs/>
              </w:rPr>
              <w:t xml:space="preserve">attiecīgi, stājoties spēkā Administratīvās atbildības likumam </w:t>
            </w:r>
            <w:r w:rsidR="00BA527A" w:rsidRPr="006302F4">
              <w:rPr>
                <w:bCs/>
                <w:iCs/>
              </w:rPr>
              <w:t xml:space="preserve">- Valsts robežsardze, pamatojoties uz Imigrācijas likuma </w:t>
            </w:r>
            <w:r w:rsidR="00BA527A" w:rsidRPr="006302F4">
              <w:rPr>
                <w:rFonts w:ascii="Arial" w:hAnsi="Arial" w:cs="Arial"/>
                <w:bCs/>
                <w:color w:val="414142"/>
                <w:sz w:val="20"/>
                <w:szCs w:val="20"/>
                <w:shd w:val="clear" w:color="auto" w:fill="FFFFFF"/>
              </w:rPr>
              <w:t xml:space="preserve"> </w:t>
            </w:r>
            <w:r w:rsidR="00BA527A" w:rsidRPr="006302F4">
              <w:rPr>
                <w:bCs/>
                <w:iCs/>
              </w:rPr>
              <w:t>68.</w:t>
            </w:r>
            <w:r w:rsidR="00BA527A" w:rsidRPr="006302F4">
              <w:rPr>
                <w:bCs/>
                <w:iCs/>
                <w:vertAlign w:val="superscript"/>
              </w:rPr>
              <w:t>7</w:t>
            </w:r>
            <w:r w:rsidR="00BA527A" w:rsidRPr="006302F4">
              <w:rPr>
                <w:bCs/>
                <w:iCs/>
              </w:rPr>
              <w:t xml:space="preserve"> pantu,  </w:t>
            </w:r>
            <w:r w:rsidR="00E52ECE" w:rsidRPr="006302F4">
              <w:rPr>
                <w:bCs/>
                <w:iCs/>
              </w:rPr>
              <w:t xml:space="preserve">veiks  administratīvā pārkāpuma procesu par Imigrācijas likuma </w:t>
            </w:r>
            <w:r w:rsidR="00BA527A" w:rsidRPr="006302F4">
              <w:rPr>
                <w:bCs/>
                <w:iCs/>
              </w:rPr>
              <w:t>68.</w:t>
            </w:r>
            <w:r w:rsidR="00BA527A" w:rsidRPr="006302F4">
              <w:rPr>
                <w:bCs/>
                <w:iCs/>
                <w:vertAlign w:val="superscript"/>
              </w:rPr>
              <w:t>4</w:t>
            </w:r>
            <w:r w:rsidR="00BA527A" w:rsidRPr="006302F4">
              <w:rPr>
                <w:bCs/>
                <w:iCs/>
              </w:rPr>
              <w:t> un 68.</w:t>
            </w:r>
            <w:r w:rsidR="00BA527A" w:rsidRPr="006302F4">
              <w:rPr>
                <w:bCs/>
                <w:iCs/>
                <w:vertAlign w:val="superscript"/>
              </w:rPr>
              <w:t>5</w:t>
            </w:r>
            <w:r w:rsidR="00BA527A" w:rsidRPr="006302F4">
              <w:rPr>
                <w:bCs/>
                <w:iCs/>
              </w:rPr>
              <w:t> pant</w:t>
            </w:r>
            <w:r w:rsidR="00E52ECE" w:rsidRPr="006302F4">
              <w:rPr>
                <w:bCs/>
                <w:iCs/>
              </w:rPr>
              <w:t>ā paredzētajiem pārkāpumiem</w:t>
            </w:r>
            <w:r w:rsidR="00BA527A" w:rsidRPr="006302F4">
              <w:rPr>
                <w:bCs/>
                <w:iCs/>
              </w:rPr>
              <w:t>)</w:t>
            </w:r>
            <w:r w:rsidRPr="006302F4">
              <w:rPr>
                <w:bCs/>
                <w:iCs/>
              </w:rPr>
              <w:t>.</w:t>
            </w:r>
            <w:r w:rsidRPr="00DD2621">
              <w:rPr>
                <w:bCs/>
                <w:iCs/>
              </w:rPr>
              <w:t xml:space="preserve"> EDLUS reģistrētā informācija kalpo kā pierādījums administratīvo pārkāpuma lietās, kuras uzsāktas pret ārzemnieku vai tā darba devēju pēc LAPK  189.</w:t>
            </w:r>
            <w:r w:rsidRPr="00DD2621">
              <w:rPr>
                <w:bCs/>
                <w:iCs/>
                <w:vertAlign w:val="superscript"/>
              </w:rPr>
              <w:t xml:space="preserve">1 </w:t>
            </w:r>
            <w:r w:rsidRPr="00DD2621">
              <w:rPr>
                <w:bCs/>
                <w:iCs/>
              </w:rPr>
              <w:t>un 189.</w:t>
            </w:r>
            <w:r w:rsidRPr="00DD2621">
              <w:rPr>
                <w:bCs/>
                <w:iCs/>
                <w:vertAlign w:val="superscript"/>
              </w:rPr>
              <w:t xml:space="preserve">2 </w:t>
            </w:r>
            <w:r w:rsidRPr="00DD2621">
              <w:rPr>
                <w:bCs/>
                <w:iCs/>
              </w:rPr>
              <w:t>panta</w:t>
            </w:r>
            <w:r w:rsidR="00BA527A">
              <w:rPr>
                <w:bCs/>
                <w:iCs/>
              </w:rPr>
              <w:t xml:space="preserve"> </w:t>
            </w:r>
            <w:r w:rsidR="00BA527A" w:rsidRPr="006302F4">
              <w:rPr>
                <w:bCs/>
                <w:iCs/>
              </w:rPr>
              <w:t>(</w:t>
            </w:r>
            <w:r w:rsidR="00C2355B" w:rsidRPr="006302F4">
              <w:t>attiecīgi, stājoties spēkā Administratīvās atbildības likumam</w:t>
            </w:r>
            <w:r w:rsidR="00BD5367" w:rsidRPr="006302F4">
              <w:rPr>
                <w:bCs/>
                <w:iCs/>
              </w:rPr>
              <w:t xml:space="preserve"> – pēc </w:t>
            </w:r>
            <w:r w:rsidR="00BA527A" w:rsidRPr="006302F4">
              <w:rPr>
                <w:bCs/>
                <w:iCs/>
              </w:rPr>
              <w:t>Imigrācijas likum</w:t>
            </w:r>
            <w:r w:rsidR="00BD5367" w:rsidRPr="006302F4">
              <w:rPr>
                <w:bCs/>
                <w:iCs/>
              </w:rPr>
              <w:t>a</w:t>
            </w:r>
            <w:r w:rsidR="00BA527A" w:rsidRPr="006302F4">
              <w:rPr>
                <w:bCs/>
                <w:iCs/>
              </w:rPr>
              <w:t xml:space="preserve"> 68.</w:t>
            </w:r>
            <w:r w:rsidR="00BA527A" w:rsidRPr="006302F4">
              <w:rPr>
                <w:bCs/>
                <w:iCs/>
                <w:vertAlign w:val="superscript"/>
              </w:rPr>
              <w:t>5</w:t>
            </w:r>
            <w:r w:rsidR="00BA527A" w:rsidRPr="006302F4">
              <w:rPr>
                <w:bCs/>
                <w:iCs/>
              </w:rPr>
              <w:t> un  68.</w:t>
            </w:r>
            <w:r w:rsidR="00BA527A" w:rsidRPr="006302F4">
              <w:rPr>
                <w:bCs/>
                <w:iCs/>
                <w:vertAlign w:val="superscript"/>
              </w:rPr>
              <w:t>4</w:t>
            </w:r>
            <w:r w:rsidR="00BA527A" w:rsidRPr="006302F4">
              <w:rPr>
                <w:bCs/>
                <w:iCs/>
              </w:rPr>
              <w:t> panta)</w:t>
            </w:r>
            <w:r w:rsidRPr="006302F4">
              <w:rPr>
                <w:bCs/>
                <w:iCs/>
              </w:rPr>
              <w:t xml:space="preserve">. </w:t>
            </w:r>
          </w:p>
          <w:p w14:paraId="04966B13" w14:textId="6CE2EA2C" w:rsidR="00DD2621" w:rsidRPr="00DD2621" w:rsidRDefault="00DD2621" w:rsidP="008A414D">
            <w:pPr>
              <w:jc w:val="both"/>
              <w:rPr>
                <w:bCs/>
                <w:iCs/>
              </w:rPr>
            </w:pPr>
            <w:r w:rsidRPr="00DD2621">
              <w:rPr>
                <w:bCs/>
                <w:iCs/>
              </w:rPr>
              <w:t xml:space="preserve">Ņemot vērā iepriekš minēto, EDLUS reģistrētā informācija par būvlaukumā </w:t>
            </w:r>
            <w:r w:rsidR="00A74DE9">
              <w:rPr>
                <w:bCs/>
                <w:iCs/>
              </w:rPr>
              <w:t>esošajām personām</w:t>
            </w:r>
            <w:r w:rsidR="00D50BA2">
              <w:rPr>
                <w:bCs/>
                <w:iCs/>
              </w:rPr>
              <w:t>, kuras atrodas būvlaukumā,</w:t>
            </w:r>
            <w:proofErr w:type="gramStart"/>
            <w:r w:rsidR="00D50BA2">
              <w:rPr>
                <w:bCs/>
                <w:iCs/>
              </w:rPr>
              <w:t xml:space="preserve"> </w:t>
            </w:r>
            <w:r w:rsidR="00CC7D31">
              <w:rPr>
                <w:bCs/>
                <w:iCs/>
              </w:rPr>
              <w:t xml:space="preserve"> </w:t>
            </w:r>
            <w:proofErr w:type="gramEnd"/>
            <w:r w:rsidRPr="00DD2621">
              <w:rPr>
                <w:bCs/>
                <w:iCs/>
              </w:rPr>
              <w:t>Valsts robežsardzei ir nepieciešama, lai nodrošinātu tai noteiktu funkciju izpildi.</w:t>
            </w:r>
          </w:p>
          <w:p w14:paraId="2787A2B8" w14:textId="3FF83590" w:rsidR="00DD1300" w:rsidRDefault="00DD2621" w:rsidP="008A414D">
            <w:pPr>
              <w:jc w:val="both"/>
              <w:rPr>
                <w:bCs/>
                <w:iCs/>
              </w:rPr>
            </w:pPr>
            <w:r w:rsidRPr="00DD2621">
              <w:rPr>
                <w:bCs/>
                <w:iCs/>
              </w:rPr>
              <w:t xml:space="preserve">Tādējādi </w:t>
            </w:r>
            <w:r w:rsidR="005A5E6B">
              <w:rPr>
                <w:bCs/>
                <w:iCs/>
              </w:rPr>
              <w:t>Likump</w:t>
            </w:r>
            <w:r w:rsidRPr="00DD2621">
              <w:rPr>
                <w:bCs/>
                <w:iCs/>
              </w:rPr>
              <w:t>rojekts paredz Valsts robežsardz</w:t>
            </w:r>
            <w:r w:rsidR="008742C5">
              <w:rPr>
                <w:bCs/>
                <w:iCs/>
              </w:rPr>
              <w:t>e</w:t>
            </w:r>
            <w:r w:rsidRPr="00DD2621">
              <w:rPr>
                <w:bCs/>
                <w:iCs/>
              </w:rPr>
              <w:t xml:space="preserve">i </w:t>
            </w:r>
            <w:r w:rsidR="008742C5">
              <w:rPr>
                <w:bCs/>
                <w:iCs/>
              </w:rPr>
              <w:t>tiesības</w:t>
            </w:r>
            <w:r w:rsidR="00FE7A55">
              <w:rPr>
                <w:bCs/>
                <w:iCs/>
              </w:rPr>
              <w:t>,</w:t>
            </w:r>
            <w:r w:rsidRPr="00DD2621">
              <w:rPr>
                <w:bCs/>
                <w:iCs/>
              </w:rPr>
              <w:t xml:space="preserve"> savu funkciju nodrošināšanai,</w:t>
            </w:r>
            <w:r w:rsidR="00FE7A55">
              <w:rPr>
                <w:bCs/>
                <w:iCs/>
              </w:rPr>
              <w:t xml:space="preserve"> pārbaudes laikā būvlaukumā</w:t>
            </w:r>
            <w:r w:rsidRPr="00DD2621">
              <w:rPr>
                <w:bCs/>
                <w:iCs/>
              </w:rPr>
              <w:t xml:space="preserve"> pieprasīt un saņemt EDLUS datus par </w:t>
            </w:r>
            <w:r w:rsidR="003C65AE">
              <w:rPr>
                <w:bCs/>
                <w:iCs/>
              </w:rPr>
              <w:t xml:space="preserve">visām </w:t>
            </w:r>
            <w:r w:rsidRPr="00DD2621">
              <w:rPr>
                <w:bCs/>
                <w:iCs/>
              </w:rPr>
              <w:t>personām, kuras datu pieprasījuma brīdī atrodas būvlaukumā</w:t>
            </w:r>
            <w:r w:rsidR="009B0AF5">
              <w:rPr>
                <w:bCs/>
                <w:iCs/>
              </w:rPr>
              <w:t>, un tiešsaistē izmantot</w:t>
            </w:r>
            <w:proofErr w:type="gramStart"/>
            <w:r w:rsidR="009B0AF5">
              <w:rPr>
                <w:bCs/>
                <w:iCs/>
              </w:rPr>
              <w:t xml:space="preserve"> </w:t>
            </w:r>
            <w:r w:rsidR="009B0AF5" w:rsidRPr="00DD2621">
              <w:rPr>
                <w:bCs/>
                <w:iCs/>
              </w:rPr>
              <w:t xml:space="preserve"> </w:t>
            </w:r>
            <w:proofErr w:type="gramEnd"/>
            <w:r w:rsidR="009B0AF5" w:rsidRPr="00DD2621">
              <w:rPr>
                <w:bCs/>
                <w:iCs/>
              </w:rPr>
              <w:t>VEDLUDB</w:t>
            </w:r>
            <w:r w:rsidR="00862F2A">
              <w:rPr>
                <w:bCs/>
                <w:iCs/>
              </w:rPr>
              <w:t xml:space="preserve">, </w:t>
            </w:r>
            <w:r w:rsidR="00862F2A" w:rsidRPr="00862F2A">
              <w:rPr>
                <w:bCs/>
                <w:iCs/>
              </w:rPr>
              <w:t>kurā tiek iekļauti EDLUS dati par būvlaukumā nodarbinātajām personām.</w:t>
            </w:r>
          </w:p>
          <w:p w14:paraId="116DDAFC" w14:textId="783335FF" w:rsidR="009A7A9E" w:rsidRPr="005A5E6B" w:rsidRDefault="00DD1300" w:rsidP="008A414D">
            <w:pPr>
              <w:jc w:val="both"/>
              <w:rPr>
                <w:bCs/>
                <w:iCs/>
              </w:rPr>
            </w:pPr>
            <w:r w:rsidRPr="00DD1300">
              <w:t xml:space="preserve">Likumprojekts paredz, ka </w:t>
            </w:r>
            <w:r w:rsidR="00862F2A">
              <w:t xml:space="preserve">Valsts robežsardze VEDLUDB (par būvlaukumā nodarbinātajām personām) un </w:t>
            </w:r>
            <w:r w:rsidRPr="001B64CB">
              <w:t>EDLUS reģistrētos datus</w:t>
            </w:r>
            <w:r w:rsidR="00EA31CB" w:rsidRPr="001B64CB">
              <w:t xml:space="preserve"> </w:t>
            </w:r>
            <w:r w:rsidR="005A23D4">
              <w:t>(</w:t>
            </w:r>
            <w:r w:rsidR="000C2B0F" w:rsidRPr="001B64CB">
              <w:t>par</w:t>
            </w:r>
            <w:r w:rsidR="000C2B0F">
              <w:rPr>
                <w:sz w:val="28"/>
                <w:szCs w:val="20"/>
              </w:rPr>
              <w:t xml:space="preserve"> </w:t>
            </w:r>
            <w:r w:rsidR="00EA31CB" w:rsidRPr="00EA31CB">
              <w:t>būvlaukumā nodarbinātajām personām</w:t>
            </w:r>
            <w:r w:rsidR="00CD35C5">
              <w:t xml:space="preserve"> un</w:t>
            </w:r>
            <w:r w:rsidR="000C2B0F">
              <w:t xml:space="preserve"> par</w:t>
            </w:r>
            <w:r w:rsidR="00EA31CB" w:rsidRPr="00EA31CB">
              <w:t xml:space="preserve"> </w:t>
            </w:r>
            <w:r w:rsidR="00700ACF" w:rsidRPr="00700ACF">
              <w:t xml:space="preserve">personām, </w:t>
            </w:r>
            <w:r w:rsidR="00766144" w:rsidRPr="00700ACF">
              <w:t>k</w:t>
            </w:r>
            <w:r w:rsidR="00766144">
              <w:t>uras</w:t>
            </w:r>
            <w:r w:rsidR="00766144" w:rsidRPr="00700ACF">
              <w:t xml:space="preserve"> </w:t>
            </w:r>
            <w:r w:rsidR="00700ACF" w:rsidRPr="00700ACF">
              <w:t xml:space="preserve">uzturas būvlaukumā, bet nav </w:t>
            </w:r>
            <w:r w:rsidR="00700ACF" w:rsidRPr="00700ACF">
              <w:lastRenderedPageBreak/>
              <w:t>nodarbināta</w:t>
            </w:r>
            <w:r w:rsidR="001B64CB">
              <w:t>s</w:t>
            </w:r>
            <w:r w:rsidR="00700ACF" w:rsidRPr="00700ACF">
              <w:t xml:space="preserve"> būvdarbu veikšanā būvlaukumā</w:t>
            </w:r>
            <w:r w:rsidR="005A23D4">
              <w:t>)</w:t>
            </w:r>
            <w:r w:rsidR="00EA31CB" w:rsidRPr="00EA31CB">
              <w:t xml:space="preserve"> </w:t>
            </w:r>
            <w:r w:rsidR="00EA31CB" w:rsidRPr="001B64CB">
              <w:t xml:space="preserve">izmanto </w:t>
            </w:r>
            <w:r w:rsidR="00EA31CB" w:rsidRPr="001B64CB">
              <w:rPr>
                <w:bCs/>
                <w:iCs/>
              </w:rPr>
              <w:t>ārzemnieku ieceļošanas</w:t>
            </w:r>
            <w:r w:rsidR="00CD35C5">
              <w:rPr>
                <w:bCs/>
                <w:iCs/>
              </w:rPr>
              <w:t xml:space="preserve">, uzturēšanās un izceļošanas </w:t>
            </w:r>
            <w:r w:rsidR="003A1758" w:rsidRPr="00BD2CCB">
              <w:rPr>
                <w:rFonts w:eastAsia="Calibri"/>
                <w:bCs/>
                <w:iCs/>
                <w:lang w:eastAsia="en-US"/>
              </w:rPr>
              <w:t>reglamentējošo normatīvo aktu</w:t>
            </w:r>
            <w:r w:rsidR="003A1758" w:rsidRPr="003A1758">
              <w:rPr>
                <w:rFonts w:eastAsia="Calibri"/>
                <w:bCs/>
                <w:iCs/>
                <w:sz w:val="28"/>
                <w:szCs w:val="28"/>
                <w:lang w:eastAsia="en-US"/>
              </w:rPr>
              <w:t xml:space="preserve"> </w:t>
            </w:r>
            <w:r w:rsidR="00EA31CB" w:rsidRPr="001B64CB">
              <w:rPr>
                <w:bCs/>
                <w:iCs/>
              </w:rPr>
              <w:t>ievērošanas kontrolei</w:t>
            </w:r>
            <w:r w:rsidR="004D6FEF" w:rsidRPr="001B64CB">
              <w:rPr>
                <w:bCs/>
                <w:iCs/>
              </w:rPr>
              <w:t>.</w:t>
            </w:r>
          </w:p>
        </w:tc>
      </w:tr>
      <w:tr w:rsidR="00A5594D" w:rsidRPr="00A5594D" w14:paraId="18205378" w14:textId="77777777" w:rsidTr="004B4BDC">
        <w:tc>
          <w:tcPr>
            <w:tcW w:w="308" w:type="pct"/>
            <w:hideMark/>
          </w:tcPr>
          <w:p w14:paraId="2EC3DF91" w14:textId="076EC708" w:rsidR="00DE0F72" w:rsidRPr="00A5594D" w:rsidRDefault="00DE0F72" w:rsidP="002D6AD2">
            <w:pPr>
              <w:jc w:val="center"/>
            </w:pPr>
            <w:r w:rsidRPr="00A5594D">
              <w:lastRenderedPageBreak/>
              <w:t>3.</w:t>
            </w:r>
          </w:p>
        </w:tc>
        <w:tc>
          <w:tcPr>
            <w:tcW w:w="1513" w:type="pct"/>
            <w:hideMark/>
          </w:tcPr>
          <w:p w14:paraId="2B6490B3" w14:textId="77777777" w:rsidR="00DE0F72" w:rsidRPr="00A5594D" w:rsidRDefault="00DE0F72" w:rsidP="002D6AD2">
            <w:r w:rsidRPr="00A5594D">
              <w:t>Projekta izstrādē iesaistītās institūcijas un publiskas personas kapitālsabiedrības</w:t>
            </w:r>
          </w:p>
        </w:tc>
        <w:tc>
          <w:tcPr>
            <w:tcW w:w="3179" w:type="pct"/>
            <w:hideMark/>
          </w:tcPr>
          <w:p w14:paraId="4C0FE065" w14:textId="2811C6BB" w:rsidR="00DE0F72" w:rsidRPr="00283622" w:rsidRDefault="00EA7BBB" w:rsidP="002D6AD2">
            <w:r>
              <w:rPr>
                <w:rFonts w:eastAsia="Calibri"/>
                <w:szCs w:val="22"/>
                <w:lang w:eastAsia="en-US"/>
              </w:rPr>
              <w:t>Valsts robežsardze.</w:t>
            </w:r>
          </w:p>
        </w:tc>
      </w:tr>
      <w:tr w:rsidR="00A5594D" w:rsidRPr="00A5594D" w14:paraId="4AF4C615" w14:textId="77777777" w:rsidTr="004B4BDC">
        <w:tc>
          <w:tcPr>
            <w:tcW w:w="308" w:type="pct"/>
            <w:hideMark/>
          </w:tcPr>
          <w:p w14:paraId="2B2ECEBA" w14:textId="77777777" w:rsidR="00DE0F72" w:rsidRPr="00A5594D" w:rsidRDefault="00DE0F72" w:rsidP="002D6AD2">
            <w:pPr>
              <w:jc w:val="center"/>
            </w:pPr>
            <w:r w:rsidRPr="00A5594D">
              <w:t>4.</w:t>
            </w:r>
          </w:p>
        </w:tc>
        <w:tc>
          <w:tcPr>
            <w:tcW w:w="1513" w:type="pct"/>
            <w:hideMark/>
          </w:tcPr>
          <w:p w14:paraId="3DBD8EE3" w14:textId="77777777" w:rsidR="00DE0F72" w:rsidRPr="00A5594D" w:rsidRDefault="00DE0F72" w:rsidP="002D6AD2">
            <w:r w:rsidRPr="00A5594D">
              <w:t>Cita informācija</w:t>
            </w:r>
          </w:p>
        </w:tc>
        <w:tc>
          <w:tcPr>
            <w:tcW w:w="3179" w:type="pct"/>
            <w:hideMark/>
          </w:tcPr>
          <w:p w14:paraId="2C1F61B9" w14:textId="77777777" w:rsidR="00DE0F72" w:rsidRPr="0058052E" w:rsidRDefault="00DE0F72" w:rsidP="002D6AD2">
            <w:r w:rsidRPr="0058052E">
              <w:t>Nav.</w:t>
            </w:r>
          </w:p>
        </w:tc>
      </w:tr>
    </w:tbl>
    <w:p w14:paraId="2B5FDF3C" w14:textId="76553915" w:rsidR="00BD5588" w:rsidRPr="00A5594D" w:rsidRDefault="004B4BDC" w:rsidP="00BD5588">
      <w:pPr>
        <w:pStyle w:val="Title"/>
        <w:spacing w:before="130" w:line="260" w:lineRule="exact"/>
        <w:ind w:firstLine="539"/>
        <w:jc w:val="both"/>
        <w:rPr>
          <w:sz w:val="24"/>
          <w:szCs w:val="24"/>
        </w:rPr>
      </w:pPr>
      <w:r>
        <w:rPr>
          <w:sz w:val="24"/>
          <w:szCs w:val="24"/>
        </w:rPr>
        <w:br w:type="textWrapping" w:clear="all"/>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5818"/>
      </w:tblGrid>
      <w:tr w:rsidR="00A5594D" w:rsidRPr="00A5594D" w14:paraId="62BD00DD" w14:textId="77777777" w:rsidTr="000F7C3F">
        <w:tc>
          <w:tcPr>
            <w:tcW w:w="5000" w:type="pct"/>
            <w:gridSpan w:val="3"/>
            <w:vAlign w:val="center"/>
            <w:hideMark/>
          </w:tcPr>
          <w:p w14:paraId="1803BED7" w14:textId="77777777" w:rsidR="00BD5588" w:rsidRPr="00A5594D" w:rsidRDefault="00BD5588" w:rsidP="009B5C24">
            <w:pPr>
              <w:jc w:val="center"/>
              <w:rPr>
                <w:b/>
                <w:bCs/>
              </w:rPr>
            </w:pPr>
            <w:r w:rsidRPr="00A5594D">
              <w:rPr>
                <w:b/>
                <w:bCs/>
              </w:rPr>
              <w:t>II. Tiesību akta projekta ietekme uz sabiedrību, tautsaimniecības attīstību un administratīvo slogu</w:t>
            </w:r>
          </w:p>
        </w:tc>
      </w:tr>
      <w:tr w:rsidR="00A5594D" w:rsidRPr="00A5594D" w14:paraId="7F141B9D" w14:textId="77777777" w:rsidTr="000F7C3F">
        <w:tc>
          <w:tcPr>
            <w:tcW w:w="311" w:type="pct"/>
            <w:hideMark/>
          </w:tcPr>
          <w:p w14:paraId="07D7186C" w14:textId="77777777" w:rsidR="00AB28E9" w:rsidRPr="00A5594D" w:rsidRDefault="00AB28E9" w:rsidP="00AB28E9">
            <w:pPr>
              <w:jc w:val="center"/>
            </w:pPr>
            <w:r w:rsidRPr="00A5594D">
              <w:t>1.</w:t>
            </w:r>
          </w:p>
        </w:tc>
        <w:tc>
          <w:tcPr>
            <w:tcW w:w="1479" w:type="pct"/>
            <w:hideMark/>
          </w:tcPr>
          <w:p w14:paraId="61D09D8E" w14:textId="77777777" w:rsidR="00AB28E9" w:rsidRPr="00A5594D" w:rsidRDefault="00AB28E9" w:rsidP="00AB28E9">
            <w:r w:rsidRPr="00A5594D">
              <w:t>Sabiedrības mērķgrupas, kuras tiesiskais regulējums ietekmē</w:t>
            </w:r>
            <w:proofErr w:type="gramStart"/>
            <w:r w:rsidRPr="00A5594D">
              <w:t xml:space="preserve"> vai varētu ietekmēt</w:t>
            </w:r>
            <w:proofErr w:type="gramEnd"/>
          </w:p>
        </w:tc>
        <w:tc>
          <w:tcPr>
            <w:tcW w:w="3210" w:type="pct"/>
          </w:tcPr>
          <w:p w14:paraId="060DF46D" w14:textId="2661E72F" w:rsidR="006C76A3" w:rsidRPr="006C76A3" w:rsidRDefault="005A5E6B" w:rsidP="006C76A3">
            <w:pPr>
              <w:jc w:val="both"/>
              <w:rPr>
                <w:iCs/>
              </w:rPr>
            </w:pPr>
            <w:r>
              <w:rPr>
                <w:iCs/>
              </w:rPr>
              <w:t>Likump</w:t>
            </w:r>
            <w:r w:rsidR="006C76A3" w:rsidRPr="006C76A3">
              <w:rPr>
                <w:iCs/>
              </w:rPr>
              <w:t xml:space="preserve">rojektā ietvertais tiesiskais regulējums attiecas uz galveno būvdarbu veicēju, kurš veic būvdarbus savām vajadzībām vai ir noslēdzis līgumu ar būvniecības ierosinātāju par jaunas trešās grupas būves būvniecību vai par būvdarbiem, kuru izmaksas veido 1 miljonu </w:t>
            </w:r>
            <w:proofErr w:type="spellStart"/>
            <w:r w:rsidR="006C76A3" w:rsidRPr="006C76A3">
              <w:rPr>
                <w:iCs/>
              </w:rPr>
              <w:t>euro</w:t>
            </w:r>
            <w:proofErr w:type="spellEnd"/>
            <w:r w:rsidR="006C76A3" w:rsidRPr="006C76A3">
              <w:rPr>
                <w:iCs/>
              </w:rPr>
              <w:t xml:space="preserve"> vai vairāk. No </w:t>
            </w:r>
            <w:proofErr w:type="gramStart"/>
            <w:r w:rsidR="006C76A3" w:rsidRPr="006C76A3">
              <w:rPr>
                <w:iCs/>
              </w:rPr>
              <w:t>2020.gada</w:t>
            </w:r>
            <w:proofErr w:type="gramEnd"/>
            <w:r w:rsidR="006C76A3" w:rsidRPr="006C76A3">
              <w:rPr>
                <w:iCs/>
              </w:rPr>
              <w:t xml:space="preserve"> 1.janvāra </w:t>
            </w:r>
            <w:r>
              <w:rPr>
                <w:iCs/>
              </w:rPr>
              <w:t>Likump</w:t>
            </w:r>
            <w:r w:rsidR="006C76A3" w:rsidRPr="006C76A3">
              <w:rPr>
                <w:iCs/>
              </w:rPr>
              <w:t>rojektā ietvertais tiesiskais regulējums attieksies arī uz galveno būvdarbu veicēju, kurš nodarbināts jaunas trešās grupas būves būvniecībā vai būvdarbos, kuru izmaksas  350 000 </w:t>
            </w:r>
            <w:proofErr w:type="spellStart"/>
            <w:r w:rsidR="006C76A3" w:rsidRPr="006C76A3">
              <w:rPr>
                <w:iCs/>
              </w:rPr>
              <w:t>euro</w:t>
            </w:r>
            <w:proofErr w:type="spellEnd"/>
            <w:r w:rsidR="006C76A3" w:rsidRPr="006C76A3">
              <w:rPr>
                <w:i/>
                <w:iCs/>
              </w:rPr>
              <w:t xml:space="preserve"> </w:t>
            </w:r>
            <w:r w:rsidR="006C76A3" w:rsidRPr="006C76A3">
              <w:rPr>
                <w:iCs/>
              </w:rPr>
              <w:t>vai vairāk.</w:t>
            </w:r>
          </w:p>
          <w:p w14:paraId="1B3944E1" w14:textId="7FC08FCF" w:rsidR="00AB28E9" w:rsidRPr="00A5594D" w:rsidRDefault="006C76A3" w:rsidP="006C76A3">
            <w:pPr>
              <w:jc w:val="both"/>
            </w:pPr>
            <w:r w:rsidRPr="006C76A3">
              <w:rPr>
                <w:iCs/>
              </w:rPr>
              <w:t>Papildus tam, tas attiecas uz VEDLUDB</w:t>
            </w:r>
            <w:r w:rsidRPr="006C76A3">
              <w:t xml:space="preserve"> pārzini un turētāju</w:t>
            </w:r>
            <w:r w:rsidR="00F61F84">
              <w:t xml:space="preserve"> (</w:t>
            </w:r>
            <w:r w:rsidR="00F61F84" w:rsidRPr="00F61F84">
              <w:rPr>
                <w:rFonts w:eastAsia="Calibri"/>
                <w:lang w:eastAsia="en-US"/>
              </w:rPr>
              <w:t xml:space="preserve">pamatojoties uz </w:t>
            </w:r>
            <w:proofErr w:type="gramStart"/>
            <w:r w:rsidR="00F61F84" w:rsidRPr="00F61F84">
              <w:t>2018.gada</w:t>
            </w:r>
            <w:proofErr w:type="gramEnd"/>
            <w:r w:rsidR="00F61F84" w:rsidRPr="00F61F84">
              <w:t xml:space="preserve"> 7.augusta sēdes protokollēmuma 2.punktu (prot. Nr.37, 73 §) VEDLUDB pārzinis un turētājs ir </w:t>
            </w:r>
            <w:r w:rsidR="00F61F84" w:rsidRPr="00160C8D">
              <w:t>Būvniecības valsts kontroles birojs</w:t>
            </w:r>
            <w:r w:rsidR="00F61F84" w:rsidRPr="00F61F84">
              <w:t>)</w:t>
            </w:r>
            <w:r w:rsidRPr="006C76A3">
              <w:t>, kurš nodrošina galvenā būvdarbu veicēja nodoto datu uzkrāšanu, glabāšanu, iesniegšanu un tiešsaistes piekļuvi kontrolējošām iestādēm.</w:t>
            </w:r>
          </w:p>
        </w:tc>
      </w:tr>
      <w:tr w:rsidR="00EA7BBB" w:rsidRPr="00EA7BBB" w14:paraId="41155DAC" w14:textId="77777777" w:rsidTr="000F7C3F">
        <w:tc>
          <w:tcPr>
            <w:tcW w:w="311" w:type="pct"/>
            <w:hideMark/>
          </w:tcPr>
          <w:p w14:paraId="417458DC" w14:textId="7B01EEFE" w:rsidR="00AB28E9" w:rsidRPr="006C76A3" w:rsidRDefault="00AB28E9" w:rsidP="00AB28E9">
            <w:pPr>
              <w:jc w:val="center"/>
            </w:pPr>
            <w:r w:rsidRPr="006C76A3">
              <w:t>2.</w:t>
            </w:r>
          </w:p>
        </w:tc>
        <w:tc>
          <w:tcPr>
            <w:tcW w:w="1479" w:type="pct"/>
            <w:hideMark/>
          </w:tcPr>
          <w:p w14:paraId="2781CF75" w14:textId="77777777" w:rsidR="00AB28E9" w:rsidRPr="006C76A3" w:rsidRDefault="00AB28E9" w:rsidP="00AB28E9">
            <w:r w:rsidRPr="006C76A3">
              <w:t>Tiesiskā regulējuma ietekme uz tautsaimniecību un administratīvo slogu</w:t>
            </w:r>
          </w:p>
        </w:tc>
        <w:tc>
          <w:tcPr>
            <w:tcW w:w="3210" w:type="pct"/>
          </w:tcPr>
          <w:p w14:paraId="06D9AF81" w14:textId="77777777" w:rsidR="00B523FE" w:rsidRPr="00B523FE" w:rsidRDefault="00B523FE" w:rsidP="00B523FE">
            <w:pPr>
              <w:jc w:val="both"/>
              <w:rPr>
                <w:rFonts w:eastAsia="Calibri"/>
                <w:lang w:eastAsia="en-US"/>
              </w:rPr>
            </w:pPr>
            <w:r w:rsidRPr="00B523FE">
              <w:rPr>
                <w:rFonts w:eastAsia="Calibri"/>
                <w:lang w:eastAsia="en-US"/>
              </w:rPr>
              <w:t>Likumprojekta tiesiskais regulējums neietekmēs tautsaimniecību.</w:t>
            </w:r>
          </w:p>
          <w:p w14:paraId="7AA648B8" w14:textId="0F28FBEF" w:rsidR="003419D0" w:rsidRPr="00FA68B0" w:rsidRDefault="00413A60" w:rsidP="003419D0">
            <w:pPr>
              <w:jc w:val="both"/>
              <w:rPr>
                <w:rFonts w:eastAsia="Calibri"/>
                <w:u w:val="single"/>
                <w:lang w:eastAsia="en-US"/>
              </w:rPr>
            </w:pPr>
            <w:r>
              <w:rPr>
                <w:rFonts w:eastAsia="Calibri"/>
                <w:lang w:eastAsia="en-US"/>
              </w:rPr>
              <w:t>Likump</w:t>
            </w:r>
            <w:r w:rsidR="007F31C6">
              <w:rPr>
                <w:rFonts w:eastAsia="Calibri"/>
                <w:lang w:eastAsia="en-US"/>
              </w:rPr>
              <w:t xml:space="preserve">rojekts </w:t>
            </w:r>
            <w:r w:rsidR="00E5565B">
              <w:rPr>
                <w:rFonts w:eastAsia="Calibri"/>
                <w:lang w:eastAsia="en-US"/>
              </w:rPr>
              <w:t xml:space="preserve">uzliks pienākumu </w:t>
            </w:r>
            <w:r w:rsidR="001F1075">
              <w:rPr>
                <w:rFonts w:eastAsia="Calibri"/>
                <w:lang w:eastAsia="en-US"/>
              </w:rPr>
              <w:t>galvenajam būvdarbu veicējam</w:t>
            </w:r>
            <w:r w:rsidR="001F1075" w:rsidRPr="006C76A3">
              <w:rPr>
                <w:rFonts w:eastAsia="Calibri"/>
                <w:lang w:eastAsia="en-US"/>
              </w:rPr>
              <w:t xml:space="preserve"> </w:t>
            </w:r>
            <w:r w:rsidR="00CE0930">
              <w:rPr>
                <w:rFonts w:eastAsia="Calibri"/>
                <w:lang w:eastAsia="en-US"/>
              </w:rPr>
              <w:t>arī Valsts robežsardze</w:t>
            </w:r>
            <w:r w:rsidR="00850FD7">
              <w:rPr>
                <w:rFonts w:eastAsia="Calibri"/>
                <w:lang w:eastAsia="en-US"/>
              </w:rPr>
              <w:t>i pēc tās</w:t>
            </w:r>
            <w:r w:rsidR="00CE0930">
              <w:rPr>
                <w:rFonts w:eastAsia="Calibri"/>
                <w:lang w:eastAsia="en-US"/>
              </w:rPr>
              <w:t xml:space="preserve"> pieprasījuma</w:t>
            </w:r>
            <w:r w:rsidR="0092404C">
              <w:rPr>
                <w:rFonts w:eastAsia="Calibri"/>
                <w:lang w:eastAsia="en-US"/>
              </w:rPr>
              <w:t xml:space="preserve">, veicot pārbaudi būvlaukumā, </w:t>
            </w:r>
            <w:r w:rsidR="001F1075">
              <w:rPr>
                <w:rFonts w:eastAsia="Calibri"/>
                <w:lang w:eastAsia="en-US"/>
              </w:rPr>
              <w:t xml:space="preserve">uzrādīt un izsniegt EDLUS </w:t>
            </w:r>
            <w:r w:rsidR="00B3394B">
              <w:rPr>
                <w:rFonts w:eastAsia="Calibri"/>
                <w:lang w:eastAsia="en-US"/>
              </w:rPr>
              <w:t xml:space="preserve">datus </w:t>
            </w:r>
            <w:r w:rsidR="00073CC1" w:rsidRPr="00073CC1">
              <w:rPr>
                <w:rFonts w:eastAsia="Calibri"/>
                <w:bCs/>
                <w:iCs/>
                <w:lang w:eastAsia="en-US"/>
              </w:rPr>
              <w:t>par personām, kuras datu pieprasījuma brīdī atrodas būvlaukumā</w:t>
            </w:r>
            <w:r w:rsidR="004F6BCB">
              <w:rPr>
                <w:rFonts w:eastAsia="Calibri"/>
                <w:bCs/>
                <w:iCs/>
                <w:lang w:eastAsia="en-US"/>
              </w:rPr>
              <w:t xml:space="preserve">. </w:t>
            </w:r>
            <w:proofErr w:type="gramStart"/>
            <w:r w:rsidR="00073CC1">
              <w:rPr>
                <w:rFonts w:eastAsia="Calibri"/>
                <w:bCs/>
                <w:iCs/>
                <w:lang w:eastAsia="en-US"/>
              </w:rPr>
              <w:t>Savukārt,</w:t>
            </w:r>
            <w:proofErr w:type="gramEnd"/>
            <w:r w:rsidR="00073CC1">
              <w:rPr>
                <w:rFonts w:eastAsia="Calibri"/>
                <w:bCs/>
                <w:iCs/>
                <w:lang w:eastAsia="en-US"/>
              </w:rPr>
              <w:t xml:space="preserve"> </w:t>
            </w:r>
            <w:r w:rsidR="00073CC1" w:rsidRPr="00073CC1">
              <w:rPr>
                <w:rFonts w:eastAsia="Calibri"/>
                <w:bCs/>
                <w:iCs/>
                <w:lang w:eastAsia="en-US"/>
              </w:rPr>
              <w:t>VEDLUDB pārzini</w:t>
            </w:r>
            <w:r w:rsidR="00073CC1">
              <w:rPr>
                <w:rFonts w:eastAsia="Calibri"/>
                <w:bCs/>
                <w:iCs/>
                <w:lang w:eastAsia="en-US"/>
              </w:rPr>
              <w:t>m un turētājam</w:t>
            </w:r>
            <w:r w:rsidR="003E16F4">
              <w:rPr>
                <w:rFonts w:eastAsia="Calibri"/>
                <w:bCs/>
                <w:iCs/>
                <w:lang w:eastAsia="en-US"/>
              </w:rPr>
              <w:t xml:space="preserve"> jānodrošina </w:t>
            </w:r>
            <w:r w:rsidR="002A437E">
              <w:rPr>
                <w:rFonts w:eastAsia="Calibri"/>
                <w:bCs/>
                <w:iCs/>
                <w:lang w:eastAsia="en-US"/>
              </w:rPr>
              <w:t xml:space="preserve">arī Valsts robežsardzei kā vienai no kontrolējošajām institūcijām tiešsaistes piekļuve </w:t>
            </w:r>
            <w:r w:rsidR="00A36C63" w:rsidRPr="00A36C63">
              <w:rPr>
                <w:rFonts w:eastAsia="Calibri"/>
                <w:bCs/>
                <w:iCs/>
                <w:lang w:eastAsia="en-US"/>
              </w:rPr>
              <w:t>VEDLUDB</w:t>
            </w:r>
            <w:r w:rsidR="00A36C63">
              <w:rPr>
                <w:rFonts w:eastAsia="Calibri"/>
                <w:bCs/>
                <w:iCs/>
                <w:lang w:eastAsia="en-US"/>
              </w:rPr>
              <w:t>.</w:t>
            </w:r>
            <w:r w:rsidR="00EF6BB1">
              <w:rPr>
                <w:rFonts w:eastAsia="Calibri"/>
                <w:bCs/>
                <w:iCs/>
                <w:lang w:eastAsia="en-US"/>
              </w:rPr>
              <w:t xml:space="preserve"> </w:t>
            </w:r>
            <w:r w:rsidR="00EF6BB1" w:rsidRPr="00B928AB">
              <w:rPr>
                <w:rFonts w:eastAsia="Calibri"/>
                <w:bCs/>
                <w:iCs/>
                <w:lang w:eastAsia="en-US"/>
              </w:rPr>
              <w:t>Ta</w:t>
            </w:r>
            <w:r w:rsidR="00F24ADB" w:rsidRPr="00B928AB">
              <w:rPr>
                <w:rFonts w:eastAsia="Calibri"/>
                <w:bCs/>
                <w:iCs/>
                <w:lang w:eastAsia="en-US"/>
              </w:rPr>
              <w:t xml:space="preserve">ču, </w:t>
            </w:r>
            <w:r w:rsidR="00F24ADB" w:rsidRPr="00B928AB">
              <w:rPr>
                <w:rFonts w:eastAsia="Calibri"/>
                <w:lang w:eastAsia="en-US"/>
              </w:rPr>
              <w:t>ņemot vērā to, ka minētajiem subjektiem likums „Par nodokļiem un nodevām” jau noteic minētos uzdevumus attiecībā pret citām kontrolējošām iestād</w:t>
            </w:r>
            <w:r w:rsidR="00D47DA8" w:rsidRPr="00B928AB">
              <w:rPr>
                <w:rFonts w:eastAsia="Calibri"/>
                <w:lang w:eastAsia="en-US"/>
              </w:rPr>
              <w:t>ēm</w:t>
            </w:r>
            <w:r w:rsidR="00E11B42" w:rsidRPr="00B928AB">
              <w:rPr>
                <w:rFonts w:eastAsia="Calibri"/>
                <w:lang w:eastAsia="en-US"/>
              </w:rPr>
              <w:t xml:space="preserve"> (pienākums sniegt galvenā būvdarbu veicēja rīcībā </w:t>
            </w:r>
            <w:r w:rsidR="00A279E9" w:rsidRPr="00B928AB">
              <w:rPr>
                <w:rFonts w:eastAsia="Calibri"/>
                <w:lang w:eastAsia="en-US"/>
              </w:rPr>
              <w:t>esošu informāciju un nodrošināt piekļuvi informācijas sistēmai)</w:t>
            </w:r>
            <w:r w:rsidR="00D47DA8" w:rsidRPr="00B928AB">
              <w:rPr>
                <w:rFonts w:eastAsia="Calibri"/>
                <w:lang w:eastAsia="en-US"/>
              </w:rPr>
              <w:t xml:space="preserve">, </w:t>
            </w:r>
            <w:r w:rsidR="00EF6BB1" w:rsidRPr="00B928AB">
              <w:rPr>
                <w:rFonts w:eastAsia="Calibri"/>
                <w:lang w:eastAsia="en-US"/>
              </w:rPr>
              <w:t>Likumprojekt</w:t>
            </w:r>
            <w:r w:rsidR="00053690" w:rsidRPr="00B928AB">
              <w:rPr>
                <w:rFonts w:eastAsia="Calibri"/>
                <w:lang w:eastAsia="en-US"/>
              </w:rPr>
              <w:t>s nebūtiski palielinās</w:t>
            </w:r>
            <w:proofErr w:type="gramStart"/>
            <w:r w:rsidR="00053690" w:rsidRPr="00B928AB">
              <w:rPr>
                <w:rFonts w:eastAsia="Calibri"/>
                <w:lang w:eastAsia="en-US"/>
              </w:rPr>
              <w:t xml:space="preserve"> </w:t>
            </w:r>
            <w:r w:rsidR="00EF6BB1" w:rsidRPr="00B928AB">
              <w:rPr>
                <w:rFonts w:eastAsia="Calibri"/>
                <w:lang w:eastAsia="en-US"/>
              </w:rPr>
              <w:t xml:space="preserve"> </w:t>
            </w:r>
            <w:proofErr w:type="gramEnd"/>
            <w:r w:rsidR="00EF6BB1" w:rsidRPr="00B928AB">
              <w:rPr>
                <w:rFonts w:eastAsia="Calibri"/>
                <w:lang w:eastAsia="en-US"/>
              </w:rPr>
              <w:t>administratīvo slogu minētajiem subjektiem</w:t>
            </w:r>
            <w:r w:rsidR="00491EEC" w:rsidRPr="00B928AB">
              <w:rPr>
                <w:rFonts w:eastAsia="Calibri"/>
                <w:lang w:eastAsia="en-US"/>
              </w:rPr>
              <w:t xml:space="preserve">, kā arī sagaidāms, ka tas pozitīvi ietekmēs </w:t>
            </w:r>
            <w:r w:rsidR="003B09F3" w:rsidRPr="00B928AB">
              <w:rPr>
                <w:rFonts w:eastAsia="Calibri"/>
                <w:lang w:eastAsia="en-US"/>
              </w:rPr>
              <w:t>cīņu pret</w:t>
            </w:r>
            <w:r w:rsidR="00291889" w:rsidRPr="00B928AB">
              <w:rPr>
                <w:rFonts w:eastAsia="Calibri"/>
                <w:lang w:eastAsia="en-US"/>
              </w:rPr>
              <w:t xml:space="preserve"> </w:t>
            </w:r>
            <w:r w:rsidR="00E154B4" w:rsidRPr="00B928AB">
              <w:rPr>
                <w:rFonts w:eastAsia="Calibri"/>
                <w:lang w:eastAsia="en-US"/>
              </w:rPr>
              <w:t xml:space="preserve">izvairīšanos no nodokļu nomaksas un novērsīs </w:t>
            </w:r>
            <w:r w:rsidR="00473FB7" w:rsidRPr="00B928AB">
              <w:rPr>
                <w:rFonts w:eastAsia="Calibri"/>
                <w:lang w:eastAsia="en-US"/>
              </w:rPr>
              <w:t xml:space="preserve">ārzemnieku nelikumīgu uzturēšanos valstī. </w:t>
            </w:r>
          </w:p>
          <w:p w14:paraId="3A0085AF" w14:textId="3D6F6F20" w:rsidR="007611D8" w:rsidRPr="00BE7C9A" w:rsidRDefault="00D41ACB" w:rsidP="009C39FF">
            <w:pPr>
              <w:jc w:val="both"/>
            </w:pPr>
            <w:r w:rsidRPr="00BE7C9A">
              <w:rPr>
                <w:rFonts w:eastAsia="Calibri"/>
                <w:lang w:eastAsia="en-US"/>
              </w:rPr>
              <w:lastRenderedPageBreak/>
              <w:t>Likumprojekts neparedz radīt jaunu informāciju, bet gan sniegt galvenā būvdarbu veicēja rīcībā jau esošu informāciju</w:t>
            </w:r>
            <w:r w:rsidR="003419D0" w:rsidRPr="00BE7C9A">
              <w:rPr>
                <w:rFonts w:eastAsia="Calibri"/>
                <w:lang w:eastAsia="en-US"/>
              </w:rPr>
              <w:t>, kas neradīs būtisku administratīvo slogu subjektam</w:t>
            </w:r>
            <w:r w:rsidR="008C7167" w:rsidRPr="00BE7C9A">
              <w:rPr>
                <w:rFonts w:eastAsia="Calibri"/>
                <w:lang w:eastAsia="en-US"/>
              </w:rPr>
              <w:t xml:space="preserve">, kā arī tas nemaina </w:t>
            </w:r>
            <w:r w:rsidR="00022B68" w:rsidRPr="00BE7C9A">
              <w:rPr>
                <w:bCs/>
                <w:iCs/>
              </w:rPr>
              <w:t>VEDLUDB pārzinim un turētājam</w:t>
            </w:r>
            <w:r w:rsidR="001A5878" w:rsidRPr="00BE7C9A">
              <w:t xml:space="preserve"> deleģētos </w:t>
            </w:r>
            <w:r w:rsidR="00240CD3" w:rsidRPr="00BE7C9A">
              <w:t>uzdevumus</w:t>
            </w:r>
            <w:r w:rsidR="001A5878" w:rsidRPr="00BE7C9A">
              <w:t>.</w:t>
            </w:r>
          </w:p>
        </w:tc>
      </w:tr>
      <w:tr w:rsidR="00EA7BBB" w:rsidRPr="00EA7BBB" w14:paraId="3BE917F9" w14:textId="77777777" w:rsidTr="000F7C3F">
        <w:tc>
          <w:tcPr>
            <w:tcW w:w="311" w:type="pct"/>
            <w:hideMark/>
          </w:tcPr>
          <w:p w14:paraId="6BB753D1" w14:textId="25BE9307" w:rsidR="00AB28E9" w:rsidRPr="008A038F" w:rsidRDefault="00AB28E9" w:rsidP="00AB28E9">
            <w:pPr>
              <w:jc w:val="center"/>
            </w:pPr>
            <w:r w:rsidRPr="008A038F">
              <w:lastRenderedPageBreak/>
              <w:t>3.</w:t>
            </w:r>
          </w:p>
        </w:tc>
        <w:tc>
          <w:tcPr>
            <w:tcW w:w="1479" w:type="pct"/>
            <w:hideMark/>
          </w:tcPr>
          <w:p w14:paraId="73176BF0" w14:textId="77777777" w:rsidR="00AB28E9" w:rsidRPr="008A038F" w:rsidRDefault="00AB28E9" w:rsidP="00AB28E9">
            <w:r w:rsidRPr="008A038F">
              <w:t>Administratīvo izmaksu monetārs novērtējums</w:t>
            </w:r>
          </w:p>
        </w:tc>
        <w:tc>
          <w:tcPr>
            <w:tcW w:w="3210" w:type="pct"/>
          </w:tcPr>
          <w:p w14:paraId="6494CF7F" w14:textId="1ABCB008" w:rsidR="00AB28E9" w:rsidRPr="00BE7C9A" w:rsidRDefault="00911D39" w:rsidP="00800AEC">
            <w:pPr>
              <w:ind w:left="34"/>
              <w:jc w:val="both"/>
            </w:pPr>
            <w:r w:rsidRPr="00BE7C9A">
              <w:rPr>
                <w:rFonts w:eastAsia="Calibri"/>
              </w:rPr>
              <w:t xml:space="preserve">Administratīvās izmaksas </w:t>
            </w:r>
            <w:r w:rsidR="007B770E" w:rsidRPr="00BE7C9A">
              <w:rPr>
                <w:rFonts w:eastAsia="Calibri"/>
              </w:rPr>
              <w:t>(</w:t>
            </w:r>
            <w:r w:rsidRPr="00BE7C9A">
              <w:rPr>
                <w:rFonts w:eastAsia="Calibri"/>
              </w:rPr>
              <w:t>naudas izt</w:t>
            </w:r>
            <w:r w:rsidR="00E76837" w:rsidRPr="00BE7C9A">
              <w:rPr>
                <w:rFonts w:eastAsia="Calibri"/>
              </w:rPr>
              <w:t>eiksmē</w:t>
            </w:r>
            <w:r w:rsidR="007B770E" w:rsidRPr="00BE7C9A">
              <w:rPr>
                <w:rFonts w:eastAsia="Calibri"/>
              </w:rPr>
              <w:t>)</w:t>
            </w:r>
            <w:r w:rsidR="00E76837" w:rsidRPr="00BE7C9A">
              <w:rPr>
                <w:rFonts w:eastAsia="Calibri"/>
              </w:rPr>
              <w:t xml:space="preserve"> gada laikā mērķgrupai</w:t>
            </w:r>
            <w:r w:rsidR="008C4D47" w:rsidRPr="00BE7C9A">
              <w:rPr>
                <w:rFonts w:eastAsia="Calibri"/>
              </w:rPr>
              <w:t xml:space="preserve"> </w:t>
            </w:r>
            <w:r w:rsidR="00F8113D" w:rsidRPr="00BE7C9A">
              <w:rPr>
                <w:rFonts w:eastAsia="Calibri"/>
              </w:rPr>
              <w:t xml:space="preserve">- </w:t>
            </w:r>
            <w:r w:rsidR="008C4D47" w:rsidRPr="00BE7C9A">
              <w:rPr>
                <w:rFonts w:eastAsia="Calibri"/>
              </w:rPr>
              <w:t>galvena</w:t>
            </w:r>
            <w:r w:rsidR="00F8113D" w:rsidRPr="00BE7C9A">
              <w:rPr>
                <w:rFonts w:eastAsia="Calibri"/>
              </w:rPr>
              <w:t>jam</w:t>
            </w:r>
            <w:r w:rsidR="008C4D47" w:rsidRPr="00BE7C9A">
              <w:rPr>
                <w:rFonts w:eastAsia="Calibri"/>
              </w:rPr>
              <w:t xml:space="preserve"> būvdarbu veicēj</w:t>
            </w:r>
            <w:r w:rsidR="00F8113D" w:rsidRPr="00BE7C9A">
              <w:rPr>
                <w:rFonts w:eastAsia="Calibri"/>
              </w:rPr>
              <w:t>am un</w:t>
            </w:r>
            <w:r w:rsidR="008C4D47" w:rsidRPr="00BE7C9A">
              <w:rPr>
                <w:rFonts w:eastAsia="Calibri"/>
              </w:rPr>
              <w:t xml:space="preserve"> </w:t>
            </w:r>
            <w:proofErr w:type="gramStart"/>
            <w:r w:rsidR="008C4D47" w:rsidRPr="00BE7C9A">
              <w:rPr>
                <w:rFonts w:eastAsia="Calibri"/>
              </w:rPr>
              <w:t>Būvniecības valsts kontroles biroj</w:t>
            </w:r>
            <w:r w:rsidR="00F8113D" w:rsidRPr="00BE7C9A">
              <w:rPr>
                <w:rFonts w:eastAsia="Calibri"/>
              </w:rPr>
              <w:t>am</w:t>
            </w:r>
            <w:r w:rsidR="00E76837" w:rsidRPr="00BE7C9A">
              <w:rPr>
                <w:rFonts w:eastAsia="Calibri"/>
              </w:rPr>
              <w:t>,</w:t>
            </w:r>
            <w:proofErr w:type="gramEnd"/>
            <w:r w:rsidR="00E76837" w:rsidRPr="00BE7C9A">
              <w:rPr>
                <w:rFonts w:eastAsia="Calibri"/>
              </w:rPr>
              <w:t xml:space="preserve"> </w:t>
            </w:r>
            <w:r w:rsidRPr="00BE7C9A">
              <w:rPr>
                <w:rFonts w:eastAsia="Calibri"/>
              </w:rPr>
              <w:t>nepārsniedz 200</w:t>
            </w:r>
            <w:r w:rsidR="00E76837" w:rsidRPr="00BE7C9A">
              <w:rPr>
                <w:rFonts w:eastAsia="Calibri"/>
              </w:rPr>
              <w:t>0</w:t>
            </w:r>
            <w:r w:rsidRPr="00BE7C9A">
              <w:rPr>
                <w:rFonts w:eastAsia="Calibri"/>
              </w:rPr>
              <w:t> </w:t>
            </w:r>
            <w:proofErr w:type="spellStart"/>
            <w:r w:rsidRPr="00BE7C9A">
              <w:rPr>
                <w:rFonts w:eastAsia="Calibri"/>
                <w:i/>
                <w:iCs/>
              </w:rPr>
              <w:t>euro</w:t>
            </w:r>
            <w:proofErr w:type="spellEnd"/>
            <w:r w:rsidR="00800AEC" w:rsidRPr="00BE7C9A">
              <w:rPr>
                <w:rFonts w:eastAsia="Calibri"/>
              </w:rPr>
              <w:t>.</w:t>
            </w:r>
          </w:p>
        </w:tc>
      </w:tr>
      <w:tr w:rsidR="00EA7BBB" w:rsidRPr="00EA7BBB" w14:paraId="66738B6E" w14:textId="77777777" w:rsidTr="000F7C3F">
        <w:tc>
          <w:tcPr>
            <w:tcW w:w="311" w:type="pct"/>
            <w:hideMark/>
          </w:tcPr>
          <w:p w14:paraId="78498751" w14:textId="77777777" w:rsidR="00AB28E9" w:rsidRPr="008A038F" w:rsidRDefault="00AB28E9" w:rsidP="00AB28E9">
            <w:pPr>
              <w:jc w:val="center"/>
            </w:pPr>
            <w:r w:rsidRPr="008A038F">
              <w:t>4.</w:t>
            </w:r>
          </w:p>
        </w:tc>
        <w:tc>
          <w:tcPr>
            <w:tcW w:w="1479" w:type="pct"/>
            <w:hideMark/>
          </w:tcPr>
          <w:p w14:paraId="37D922CA" w14:textId="77777777" w:rsidR="00AB28E9" w:rsidRPr="008A038F" w:rsidRDefault="00AB28E9" w:rsidP="00AB28E9">
            <w:r w:rsidRPr="008A038F">
              <w:t>Atbilstības izmaksu monetārs novērtējums</w:t>
            </w:r>
          </w:p>
        </w:tc>
        <w:tc>
          <w:tcPr>
            <w:tcW w:w="3210" w:type="pct"/>
          </w:tcPr>
          <w:p w14:paraId="20187CAC" w14:textId="7B53A9F9" w:rsidR="00042102" w:rsidRPr="008A038F" w:rsidRDefault="00071F5B" w:rsidP="00C0609A">
            <w:pPr>
              <w:jc w:val="both"/>
            </w:pPr>
            <w:r>
              <w:t>Sabiedrības grupām, lai nodrošinātu Likumprojekta izpildi, izmaksas nevei</w:t>
            </w:r>
            <w:r w:rsidR="00C0609A">
              <w:t>dosies.</w:t>
            </w:r>
          </w:p>
        </w:tc>
      </w:tr>
      <w:tr w:rsidR="00EA7BBB" w:rsidRPr="00EA7BBB" w14:paraId="6D2DD036" w14:textId="77777777" w:rsidTr="000F7C3F">
        <w:tc>
          <w:tcPr>
            <w:tcW w:w="311" w:type="pct"/>
            <w:hideMark/>
          </w:tcPr>
          <w:p w14:paraId="79B8D698" w14:textId="77777777" w:rsidR="00AB28E9" w:rsidRPr="008A038F" w:rsidRDefault="00AB28E9" w:rsidP="00AB28E9">
            <w:pPr>
              <w:jc w:val="center"/>
            </w:pPr>
            <w:r w:rsidRPr="008A038F">
              <w:t>5.</w:t>
            </w:r>
          </w:p>
        </w:tc>
        <w:tc>
          <w:tcPr>
            <w:tcW w:w="1479" w:type="pct"/>
            <w:hideMark/>
          </w:tcPr>
          <w:p w14:paraId="430D8B0A" w14:textId="77777777" w:rsidR="00AB28E9" w:rsidRPr="008A038F" w:rsidRDefault="00AB28E9" w:rsidP="00AB28E9">
            <w:r w:rsidRPr="008A038F">
              <w:t>Cita informācija</w:t>
            </w:r>
          </w:p>
        </w:tc>
        <w:tc>
          <w:tcPr>
            <w:tcW w:w="3210" w:type="pct"/>
          </w:tcPr>
          <w:p w14:paraId="799BE85A" w14:textId="77777777" w:rsidR="00AB28E9" w:rsidRPr="008A038F" w:rsidRDefault="00AB28E9" w:rsidP="00AB28E9">
            <w:r w:rsidRPr="008A038F">
              <w:t>Nav</w:t>
            </w:r>
            <w:r w:rsidR="009B19DA" w:rsidRPr="008A038F">
              <w:t>.</w:t>
            </w:r>
          </w:p>
        </w:tc>
      </w:tr>
    </w:tbl>
    <w:p w14:paraId="119989DA" w14:textId="77777777" w:rsidR="00BD5588" w:rsidRPr="00EA7BBB" w:rsidRDefault="00BD5588" w:rsidP="00BD5588">
      <w:pPr>
        <w:pStyle w:val="Title"/>
        <w:spacing w:before="130" w:line="260" w:lineRule="exact"/>
        <w:ind w:firstLine="539"/>
        <w:jc w:val="both"/>
        <w:rPr>
          <w:color w:val="FF0000"/>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6"/>
      </w:tblGrid>
      <w:tr w:rsidR="00EA7BBB" w:rsidRPr="00EA7BBB" w14:paraId="1A0AC65D" w14:textId="77777777" w:rsidTr="009B5C24">
        <w:trPr>
          <w:cantSplit/>
        </w:trPr>
        <w:tc>
          <w:tcPr>
            <w:tcW w:w="8299" w:type="dxa"/>
            <w:shd w:val="clear" w:color="auto" w:fill="auto"/>
            <w:vAlign w:val="center"/>
            <w:hideMark/>
          </w:tcPr>
          <w:p w14:paraId="4A4A28C4" w14:textId="77777777" w:rsidR="00AC6695" w:rsidRPr="00593DAB" w:rsidRDefault="00AC6695" w:rsidP="009B5C24">
            <w:pPr>
              <w:jc w:val="center"/>
              <w:rPr>
                <w:b/>
                <w:bCs/>
                <w:lang w:eastAsia="en-US"/>
              </w:rPr>
            </w:pPr>
            <w:r w:rsidRPr="00593DAB">
              <w:rPr>
                <w:b/>
                <w:bCs/>
                <w:lang w:eastAsia="en-US"/>
              </w:rPr>
              <w:t>III. Tiesību akta projekta ietekme uz valsts budžetu un pašvaldību budžetiem</w:t>
            </w:r>
          </w:p>
        </w:tc>
      </w:tr>
      <w:tr w:rsidR="00EA7BBB" w:rsidRPr="00EA7BBB" w14:paraId="0C879BC0" w14:textId="77777777" w:rsidTr="009B5C24">
        <w:trPr>
          <w:cantSplit/>
        </w:trPr>
        <w:tc>
          <w:tcPr>
            <w:tcW w:w="8299" w:type="dxa"/>
            <w:shd w:val="clear" w:color="auto" w:fill="auto"/>
            <w:vAlign w:val="center"/>
          </w:tcPr>
          <w:p w14:paraId="2A68AB7D" w14:textId="13A952E8" w:rsidR="00AC6695" w:rsidRPr="00593DAB" w:rsidRDefault="00A910C2" w:rsidP="009B5C24">
            <w:pPr>
              <w:jc w:val="center"/>
              <w:rPr>
                <w:b/>
                <w:bCs/>
                <w:lang w:eastAsia="en-US"/>
              </w:rPr>
            </w:pPr>
            <w:r w:rsidRPr="00593DAB">
              <w:rPr>
                <w:shd w:val="clear" w:color="auto" w:fill="FFFFFF"/>
              </w:rPr>
              <w:t>Projekts šo jomu neskar</w:t>
            </w:r>
            <w:r w:rsidRPr="00593DAB">
              <w:rPr>
                <w:bCs/>
                <w:i/>
                <w:lang w:eastAsia="en-US"/>
              </w:rPr>
              <w:t>.</w:t>
            </w:r>
          </w:p>
        </w:tc>
      </w:tr>
      <w:tr w:rsidR="00EA7BBB" w:rsidRPr="00EA7BBB" w14:paraId="3C4310E1" w14:textId="77777777" w:rsidTr="009B5C24">
        <w:trPr>
          <w:cantSplit/>
        </w:trPr>
        <w:tc>
          <w:tcPr>
            <w:tcW w:w="8299" w:type="dxa"/>
            <w:shd w:val="clear" w:color="auto" w:fill="auto"/>
            <w:vAlign w:val="center"/>
          </w:tcPr>
          <w:p w14:paraId="496ED736" w14:textId="77777777" w:rsidR="00AC6695" w:rsidRPr="00593DAB" w:rsidRDefault="00AC6695" w:rsidP="009B5C24">
            <w:pPr>
              <w:jc w:val="center"/>
              <w:rPr>
                <w:b/>
                <w:bCs/>
                <w:lang w:eastAsia="en-US"/>
              </w:rPr>
            </w:pPr>
          </w:p>
        </w:tc>
      </w:tr>
      <w:tr w:rsidR="00EA7BBB" w:rsidRPr="00EA7BBB" w14:paraId="25311D4A" w14:textId="77777777" w:rsidTr="009B5C24">
        <w:tblPrEx>
          <w:tblCellMar>
            <w:top w:w="30" w:type="dxa"/>
            <w:left w:w="30" w:type="dxa"/>
            <w:bottom w:w="30" w:type="dxa"/>
            <w:right w:w="30" w:type="dxa"/>
          </w:tblCellMar>
        </w:tblPrEx>
        <w:trPr>
          <w:cantSplit/>
        </w:trPr>
        <w:tc>
          <w:tcPr>
            <w:tcW w:w="8299" w:type="dxa"/>
            <w:vAlign w:val="center"/>
            <w:hideMark/>
          </w:tcPr>
          <w:p w14:paraId="73EB4E8B" w14:textId="77777777" w:rsidR="00AC6695" w:rsidRPr="00593DAB" w:rsidRDefault="00AC6695" w:rsidP="009B5C24">
            <w:pPr>
              <w:jc w:val="center"/>
              <w:rPr>
                <w:b/>
                <w:bCs/>
              </w:rPr>
            </w:pPr>
            <w:r w:rsidRPr="00593DAB">
              <w:rPr>
                <w:b/>
                <w:bCs/>
              </w:rPr>
              <w:t>IV. Tiesību akta projekta ietekme uz spēkā esošo tiesību normu sistēmu</w:t>
            </w:r>
          </w:p>
        </w:tc>
      </w:tr>
      <w:tr w:rsidR="00EA7BBB" w:rsidRPr="00EA7BBB" w14:paraId="1B0F98C9" w14:textId="77777777" w:rsidTr="003915BC">
        <w:tblPrEx>
          <w:tblCellMar>
            <w:top w:w="30" w:type="dxa"/>
            <w:left w:w="30" w:type="dxa"/>
            <w:bottom w:w="30" w:type="dxa"/>
            <w:right w:w="30" w:type="dxa"/>
          </w:tblCellMar>
        </w:tblPrEx>
        <w:trPr>
          <w:cantSplit/>
          <w:trHeight w:val="389"/>
        </w:trPr>
        <w:tc>
          <w:tcPr>
            <w:tcW w:w="8299" w:type="dxa"/>
            <w:hideMark/>
          </w:tcPr>
          <w:p w14:paraId="40ABD4CD" w14:textId="2DBEF95D" w:rsidR="003915BC" w:rsidRPr="00593DAB" w:rsidRDefault="00671DB4" w:rsidP="003915BC">
            <w:pPr>
              <w:jc w:val="center"/>
            </w:pPr>
            <w:r w:rsidRPr="00671DB4">
              <w:t>Projekts šo jomu neskar</w:t>
            </w:r>
            <w:r w:rsidRPr="00671DB4">
              <w:rPr>
                <w:bCs/>
                <w:i/>
              </w:rPr>
              <w:t>.</w:t>
            </w:r>
          </w:p>
        </w:tc>
      </w:tr>
      <w:tr w:rsidR="00B21765" w:rsidRPr="00EA7BBB" w14:paraId="1068F17A" w14:textId="77777777" w:rsidTr="003915BC">
        <w:tblPrEx>
          <w:tblCellMar>
            <w:top w:w="30" w:type="dxa"/>
            <w:left w:w="30" w:type="dxa"/>
            <w:bottom w:w="30" w:type="dxa"/>
            <w:right w:w="30" w:type="dxa"/>
          </w:tblCellMar>
        </w:tblPrEx>
        <w:trPr>
          <w:cantSplit/>
          <w:trHeight w:val="389"/>
        </w:trPr>
        <w:tc>
          <w:tcPr>
            <w:tcW w:w="8299" w:type="dxa"/>
          </w:tcPr>
          <w:p w14:paraId="07C44A74" w14:textId="58FAC462" w:rsidR="00B21765" w:rsidRPr="00593DAB" w:rsidRDefault="00B21765" w:rsidP="003915BC">
            <w:pPr>
              <w:jc w:val="center"/>
              <w:rPr>
                <w:shd w:val="clear" w:color="auto" w:fill="FFFFFF"/>
              </w:rPr>
            </w:pPr>
            <w:r w:rsidRPr="00593DAB">
              <w:rPr>
                <w:b/>
                <w:bCs/>
                <w:iCs/>
              </w:rPr>
              <w:t>V. Tiesību akta projekta atbilstība Latvijas Republikas starptautiskajām saistībām</w:t>
            </w:r>
          </w:p>
        </w:tc>
      </w:tr>
      <w:tr w:rsidR="00B21765" w:rsidRPr="00EA7BBB" w14:paraId="52EB8FF4" w14:textId="77777777" w:rsidTr="003915BC">
        <w:tblPrEx>
          <w:tblCellMar>
            <w:top w:w="30" w:type="dxa"/>
            <w:left w:w="30" w:type="dxa"/>
            <w:bottom w:w="30" w:type="dxa"/>
            <w:right w:w="30" w:type="dxa"/>
          </w:tblCellMar>
        </w:tblPrEx>
        <w:trPr>
          <w:cantSplit/>
          <w:trHeight w:val="389"/>
        </w:trPr>
        <w:tc>
          <w:tcPr>
            <w:tcW w:w="8299" w:type="dxa"/>
          </w:tcPr>
          <w:p w14:paraId="49B57F90" w14:textId="006A9931" w:rsidR="00B21765" w:rsidRPr="00B21765" w:rsidRDefault="00B21765" w:rsidP="003915BC">
            <w:pPr>
              <w:jc w:val="center"/>
              <w:rPr>
                <w:bCs/>
                <w:iCs/>
              </w:rPr>
            </w:pPr>
            <w:r w:rsidRPr="00B21765">
              <w:rPr>
                <w:bCs/>
                <w:iCs/>
              </w:rPr>
              <w:t>Projekts šo jomu neskar</w:t>
            </w:r>
            <w:r w:rsidRPr="00B21765">
              <w:rPr>
                <w:bCs/>
                <w:i/>
                <w:iCs/>
              </w:rPr>
              <w:t>.</w:t>
            </w:r>
          </w:p>
        </w:tc>
      </w:tr>
    </w:tbl>
    <w:p w14:paraId="4C203E44" w14:textId="77777777" w:rsidR="006A167A" w:rsidRPr="00B75EDA" w:rsidRDefault="006A167A" w:rsidP="00AC6695">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1"/>
        <w:gridCol w:w="2787"/>
        <w:gridCol w:w="5814"/>
      </w:tblGrid>
      <w:tr w:rsidR="00B75EDA" w:rsidRPr="00B75EDA" w14:paraId="1CA4A28C" w14:textId="77777777" w:rsidTr="00B743B7">
        <w:trPr>
          <w:cantSplit/>
        </w:trPr>
        <w:tc>
          <w:tcPr>
            <w:tcW w:w="5000" w:type="pct"/>
            <w:gridSpan w:val="3"/>
            <w:vAlign w:val="center"/>
            <w:hideMark/>
          </w:tcPr>
          <w:p w14:paraId="5EA5E08E" w14:textId="77777777" w:rsidR="00AC6695" w:rsidRPr="00B75EDA" w:rsidRDefault="00AC6695" w:rsidP="009B5C24">
            <w:pPr>
              <w:jc w:val="center"/>
              <w:rPr>
                <w:b/>
                <w:bCs/>
              </w:rPr>
            </w:pPr>
            <w:r w:rsidRPr="00B75EDA">
              <w:rPr>
                <w:b/>
                <w:bCs/>
              </w:rPr>
              <w:t>VI. Sabiedrības līdzdalība un komunikācijas aktivitātes</w:t>
            </w:r>
          </w:p>
        </w:tc>
      </w:tr>
      <w:tr w:rsidR="00B75EDA" w:rsidRPr="00B75EDA" w14:paraId="408B8CA7" w14:textId="77777777" w:rsidTr="00B743B7">
        <w:trPr>
          <w:cantSplit/>
        </w:trPr>
        <w:tc>
          <w:tcPr>
            <w:tcW w:w="254" w:type="pct"/>
            <w:hideMark/>
          </w:tcPr>
          <w:p w14:paraId="72FC8B1B" w14:textId="77777777" w:rsidR="00D433E2" w:rsidRPr="00B75EDA" w:rsidRDefault="00D433E2" w:rsidP="00D433E2">
            <w:pPr>
              <w:jc w:val="center"/>
            </w:pPr>
            <w:r w:rsidRPr="00B75EDA">
              <w:t>1.</w:t>
            </w:r>
          </w:p>
        </w:tc>
        <w:tc>
          <w:tcPr>
            <w:tcW w:w="1538" w:type="pct"/>
            <w:hideMark/>
          </w:tcPr>
          <w:p w14:paraId="5D717821" w14:textId="77777777" w:rsidR="00D433E2" w:rsidRPr="00B75EDA" w:rsidRDefault="00D433E2" w:rsidP="00D433E2">
            <w:r w:rsidRPr="00B75EDA">
              <w:t>Plānotās sabiedrības līdzdalības un komunikācijas aktivitātes saistībā ar projektu</w:t>
            </w:r>
          </w:p>
        </w:tc>
        <w:tc>
          <w:tcPr>
            <w:tcW w:w="3208" w:type="pct"/>
          </w:tcPr>
          <w:p w14:paraId="651A646D" w14:textId="2E5E9D19" w:rsidR="00D433E2" w:rsidRPr="00B75EDA" w:rsidRDefault="009C3AE7" w:rsidP="00342C8B">
            <w:pPr>
              <w:jc w:val="both"/>
            </w:pPr>
            <w:r w:rsidRPr="009C3AE7">
              <w:rPr>
                <w:rFonts w:eastAsia="Calibri"/>
                <w:lang w:eastAsia="en-US"/>
              </w:rPr>
              <w:t>Sabiedrības līdzdalība tiks nodrošināta saskaņā</w:t>
            </w:r>
            <w:proofErr w:type="gramStart"/>
            <w:r w:rsidRPr="009C3AE7">
              <w:rPr>
                <w:rFonts w:eastAsia="Calibri"/>
                <w:lang w:eastAsia="en-US"/>
              </w:rPr>
              <w:t xml:space="preserve"> ar Ministru kabineta 2009. gada 25. augusta noteikumiem Nr. 970 “Sabiedrības līdzdalības kārtība attīstības plānošanas procesā” sagatavojot un publicējot paziņojumu par līdzdalības procesu</w:t>
            </w:r>
            <w:proofErr w:type="gramEnd"/>
            <w:r w:rsidRPr="009C3AE7">
              <w:rPr>
                <w:rFonts w:eastAsia="Calibri"/>
                <w:lang w:eastAsia="en-US"/>
              </w:rPr>
              <w:t>.</w:t>
            </w:r>
          </w:p>
        </w:tc>
      </w:tr>
      <w:tr w:rsidR="00B75EDA" w:rsidRPr="00B75EDA" w14:paraId="49642786" w14:textId="77777777" w:rsidTr="009C3AE7">
        <w:trPr>
          <w:cantSplit/>
          <w:trHeight w:val="643"/>
        </w:trPr>
        <w:tc>
          <w:tcPr>
            <w:tcW w:w="254" w:type="pct"/>
            <w:hideMark/>
          </w:tcPr>
          <w:p w14:paraId="449FC174" w14:textId="77777777" w:rsidR="00D433E2" w:rsidRPr="00B75EDA" w:rsidRDefault="00D433E2" w:rsidP="00D433E2">
            <w:pPr>
              <w:jc w:val="center"/>
            </w:pPr>
            <w:r w:rsidRPr="00B75EDA">
              <w:t>2.</w:t>
            </w:r>
          </w:p>
        </w:tc>
        <w:tc>
          <w:tcPr>
            <w:tcW w:w="1538" w:type="pct"/>
            <w:hideMark/>
          </w:tcPr>
          <w:p w14:paraId="3FCD505D" w14:textId="77777777" w:rsidR="00D433E2" w:rsidRPr="00B75EDA" w:rsidRDefault="00D433E2" w:rsidP="00D433E2">
            <w:r w:rsidRPr="00B75EDA">
              <w:t>Sabiedrības līdzdalība projekta izstrādē</w:t>
            </w:r>
          </w:p>
        </w:tc>
        <w:tc>
          <w:tcPr>
            <w:tcW w:w="3208" w:type="pct"/>
          </w:tcPr>
          <w:p w14:paraId="4290D5BA" w14:textId="32F7FC67" w:rsidR="00D433E2" w:rsidRPr="00B75EDA" w:rsidRDefault="009C3AE7" w:rsidP="0043644C">
            <w:pPr>
              <w:jc w:val="both"/>
            </w:pPr>
            <w:r w:rsidRPr="009C3AE7">
              <w:rPr>
                <w:rFonts w:eastAsia="Calibri"/>
              </w:rPr>
              <w:t>Ministru kabineta noteikumu projekts tiks</w:t>
            </w:r>
            <w:r w:rsidRPr="009C3AE7">
              <w:rPr>
                <w:rFonts w:eastAsia="Calibri"/>
                <w:b/>
                <w:i/>
              </w:rPr>
              <w:t xml:space="preserve"> </w:t>
            </w:r>
            <w:r w:rsidRPr="009C3AE7">
              <w:rPr>
                <w:rFonts w:eastAsia="Calibri"/>
              </w:rPr>
              <w:t xml:space="preserve">ievietots Iekšlietu ministrijas </w:t>
            </w:r>
            <w:proofErr w:type="gramStart"/>
            <w:r w:rsidRPr="009C3AE7">
              <w:rPr>
                <w:rFonts w:eastAsia="Calibri"/>
              </w:rPr>
              <w:t>mājas lapā</w:t>
            </w:r>
            <w:proofErr w:type="gramEnd"/>
            <w:r w:rsidRPr="009C3AE7">
              <w:rPr>
                <w:rFonts w:eastAsia="Calibri"/>
              </w:rPr>
              <w:t xml:space="preserve"> sadaļā „Sabiedrības līdzdalība”.</w:t>
            </w:r>
          </w:p>
        </w:tc>
      </w:tr>
      <w:tr w:rsidR="00B75EDA" w:rsidRPr="00B75EDA" w14:paraId="334156FF" w14:textId="77777777" w:rsidTr="00B743B7">
        <w:trPr>
          <w:cantSplit/>
        </w:trPr>
        <w:tc>
          <w:tcPr>
            <w:tcW w:w="254" w:type="pct"/>
            <w:hideMark/>
          </w:tcPr>
          <w:p w14:paraId="224D0930" w14:textId="0F585109" w:rsidR="00AC6695" w:rsidRPr="00B75EDA" w:rsidRDefault="00AC6695" w:rsidP="009B5C24">
            <w:pPr>
              <w:jc w:val="center"/>
            </w:pPr>
            <w:r w:rsidRPr="00B75EDA">
              <w:t>3.</w:t>
            </w:r>
          </w:p>
        </w:tc>
        <w:tc>
          <w:tcPr>
            <w:tcW w:w="1538" w:type="pct"/>
            <w:hideMark/>
          </w:tcPr>
          <w:p w14:paraId="0066312F" w14:textId="77777777" w:rsidR="00AC6695" w:rsidRPr="00B75EDA" w:rsidRDefault="00AC6695" w:rsidP="009B5C24">
            <w:r w:rsidRPr="00B75EDA">
              <w:t>Sabiedrības līdzdalības rezultāti</w:t>
            </w:r>
          </w:p>
        </w:tc>
        <w:tc>
          <w:tcPr>
            <w:tcW w:w="3208" w:type="pct"/>
          </w:tcPr>
          <w:p w14:paraId="6B799B22" w14:textId="5122D18E" w:rsidR="00D908B0" w:rsidRPr="00B75EDA" w:rsidRDefault="003C0A24" w:rsidP="009C3AE7">
            <w:pPr>
              <w:jc w:val="both"/>
            </w:pPr>
            <w:r w:rsidRPr="003C0A24">
              <w:rPr>
                <w:rFonts w:eastAsia="Calibri"/>
              </w:rPr>
              <w:t>Informācija par rezultātiem</w:t>
            </w:r>
            <w:proofErr w:type="gramStart"/>
            <w:r w:rsidRPr="003C0A24">
              <w:rPr>
                <w:rFonts w:eastAsia="Calibri"/>
              </w:rPr>
              <w:t xml:space="preserve">  </w:t>
            </w:r>
            <w:proofErr w:type="gramEnd"/>
            <w:r w:rsidRPr="003C0A24">
              <w:rPr>
                <w:rFonts w:eastAsia="Calibri"/>
              </w:rPr>
              <w:t xml:space="preserve">tiks norādīta pēc </w:t>
            </w:r>
            <w:r w:rsidRPr="003C0A24">
              <w:rPr>
                <w:rFonts w:eastAsia="Calibri"/>
                <w:lang w:eastAsia="en-US"/>
              </w:rPr>
              <w:t>paziņojumā par līdzdalības procesu noteiktā termiņa.</w:t>
            </w:r>
          </w:p>
        </w:tc>
      </w:tr>
      <w:tr w:rsidR="00B75EDA" w:rsidRPr="00B75EDA" w14:paraId="12863604" w14:textId="77777777" w:rsidTr="00B743B7">
        <w:trPr>
          <w:cantSplit/>
        </w:trPr>
        <w:tc>
          <w:tcPr>
            <w:tcW w:w="254" w:type="pct"/>
            <w:hideMark/>
          </w:tcPr>
          <w:p w14:paraId="6CB34F39" w14:textId="77777777" w:rsidR="00AC6695" w:rsidRPr="00B75EDA" w:rsidRDefault="00AC6695" w:rsidP="009B5C24">
            <w:pPr>
              <w:jc w:val="center"/>
            </w:pPr>
            <w:r w:rsidRPr="00B75EDA">
              <w:t>4.</w:t>
            </w:r>
          </w:p>
        </w:tc>
        <w:tc>
          <w:tcPr>
            <w:tcW w:w="1538" w:type="pct"/>
            <w:hideMark/>
          </w:tcPr>
          <w:p w14:paraId="35F32EB3" w14:textId="77777777" w:rsidR="00AC6695" w:rsidRPr="00B75EDA" w:rsidRDefault="00AC6695" w:rsidP="009B5C24">
            <w:r w:rsidRPr="00B75EDA">
              <w:t>Cita informācija</w:t>
            </w:r>
          </w:p>
        </w:tc>
        <w:tc>
          <w:tcPr>
            <w:tcW w:w="3208" w:type="pct"/>
          </w:tcPr>
          <w:p w14:paraId="4D535F92" w14:textId="77777777" w:rsidR="00AC6695" w:rsidRPr="00B75EDA" w:rsidRDefault="00AC6695" w:rsidP="009B5C24">
            <w:r w:rsidRPr="00B75EDA">
              <w:t>Nav</w:t>
            </w:r>
            <w:r w:rsidR="009B19DA" w:rsidRPr="00B75EDA">
              <w:t>.</w:t>
            </w:r>
          </w:p>
        </w:tc>
      </w:tr>
    </w:tbl>
    <w:p w14:paraId="454A53B4" w14:textId="1EC265D3" w:rsidR="00BD5588" w:rsidRPr="00B75EDA" w:rsidRDefault="00BD5588" w:rsidP="00DE0F72">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5818"/>
      </w:tblGrid>
      <w:tr w:rsidR="00B75EDA" w:rsidRPr="00B75EDA" w14:paraId="03981301" w14:textId="77777777" w:rsidTr="009B5C24">
        <w:trPr>
          <w:cantSplit/>
        </w:trPr>
        <w:tc>
          <w:tcPr>
            <w:tcW w:w="5000" w:type="pct"/>
            <w:gridSpan w:val="3"/>
            <w:vAlign w:val="center"/>
            <w:hideMark/>
          </w:tcPr>
          <w:p w14:paraId="17110922" w14:textId="77D443F4" w:rsidR="00BD5588" w:rsidRPr="00B75EDA" w:rsidRDefault="00BD5588" w:rsidP="009B5C24">
            <w:pPr>
              <w:jc w:val="center"/>
              <w:rPr>
                <w:b/>
                <w:bCs/>
              </w:rPr>
            </w:pPr>
            <w:r w:rsidRPr="00B75EDA">
              <w:br w:type="page"/>
            </w:r>
            <w:r w:rsidRPr="00B75EDA">
              <w:rPr>
                <w:b/>
                <w:bCs/>
              </w:rPr>
              <w:t>VII. Tiesību akta projekta izpildes nodrošināšana un tās ietekme uz institūcijām</w:t>
            </w:r>
          </w:p>
        </w:tc>
      </w:tr>
      <w:tr w:rsidR="00B75EDA" w:rsidRPr="00B75EDA" w14:paraId="7EA3404D" w14:textId="77777777" w:rsidTr="0029553A">
        <w:trPr>
          <w:cantSplit/>
        </w:trPr>
        <w:tc>
          <w:tcPr>
            <w:tcW w:w="311" w:type="pct"/>
            <w:hideMark/>
          </w:tcPr>
          <w:p w14:paraId="7C1DC2EF" w14:textId="77777777" w:rsidR="0029553A" w:rsidRPr="00B75EDA" w:rsidRDefault="0029553A" w:rsidP="0029553A">
            <w:pPr>
              <w:jc w:val="center"/>
            </w:pPr>
            <w:r w:rsidRPr="00B75EDA">
              <w:t>1.</w:t>
            </w:r>
          </w:p>
        </w:tc>
        <w:tc>
          <w:tcPr>
            <w:tcW w:w="1479" w:type="pct"/>
            <w:hideMark/>
          </w:tcPr>
          <w:p w14:paraId="1CCC4629" w14:textId="77777777" w:rsidR="0029553A" w:rsidRPr="00B75EDA" w:rsidRDefault="0029553A" w:rsidP="0029553A">
            <w:r w:rsidRPr="00B75EDA">
              <w:t>Projekta izpildē iesaistītās institūcijas</w:t>
            </w:r>
          </w:p>
        </w:tc>
        <w:tc>
          <w:tcPr>
            <w:tcW w:w="3210" w:type="pct"/>
          </w:tcPr>
          <w:p w14:paraId="396F51D6" w14:textId="479CE89E" w:rsidR="0029553A" w:rsidRPr="00B75EDA" w:rsidRDefault="00096A0B" w:rsidP="00096A0B">
            <w:r>
              <w:rPr>
                <w:rFonts w:eastAsia="Calibri"/>
                <w:szCs w:val="22"/>
                <w:lang w:eastAsia="en-US"/>
              </w:rPr>
              <w:t>Valsts robežsardze.</w:t>
            </w:r>
          </w:p>
        </w:tc>
      </w:tr>
      <w:tr w:rsidR="00B75EDA" w:rsidRPr="00B75EDA" w14:paraId="0A6FD393" w14:textId="77777777" w:rsidTr="0029553A">
        <w:trPr>
          <w:cantSplit/>
        </w:trPr>
        <w:tc>
          <w:tcPr>
            <w:tcW w:w="311" w:type="pct"/>
            <w:hideMark/>
          </w:tcPr>
          <w:p w14:paraId="57E6C7B4" w14:textId="77777777" w:rsidR="0029553A" w:rsidRPr="00B75EDA" w:rsidRDefault="0029553A" w:rsidP="0029553A">
            <w:pPr>
              <w:jc w:val="center"/>
            </w:pPr>
            <w:r w:rsidRPr="00B75EDA">
              <w:lastRenderedPageBreak/>
              <w:t>2.</w:t>
            </w:r>
          </w:p>
        </w:tc>
        <w:tc>
          <w:tcPr>
            <w:tcW w:w="1479" w:type="pct"/>
            <w:hideMark/>
          </w:tcPr>
          <w:p w14:paraId="4B881670" w14:textId="77777777" w:rsidR="0029553A" w:rsidRPr="00B75EDA" w:rsidRDefault="0029553A" w:rsidP="0029553A">
            <w:r w:rsidRPr="00B75EDA">
              <w:t>Projekta izpildes ietekme uz pārvaldes funkcijām un institucionālo struktūru.</w:t>
            </w:r>
            <w:r w:rsidRPr="00B75EDA">
              <w:br/>
              <w:t>Jaunu institūciju izveide, esošu institūciju likvidācija vai reorganizācija, to ietekme uz institūcijas cilvēkresursiem</w:t>
            </w:r>
          </w:p>
        </w:tc>
        <w:tc>
          <w:tcPr>
            <w:tcW w:w="3210" w:type="pct"/>
          </w:tcPr>
          <w:p w14:paraId="16F9F4AE" w14:textId="011063F7" w:rsidR="00D320CB" w:rsidRPr="00B75EDA" w:rsidRDefault="00D320CB" w:rsidP="00D320CB">
            <w:pPr>
              <w:snapToGrid w:val="0"/>
              <w:jc w:val="both"/>
              <w:rPr>
                <w:rFonts w:eastAsia="Calibri"/>
                <w:lang w:eastAsia="en-US"/>
              </w:rPr>
            </w:pPr>
            <w:r w:rsidRPr="00B75EDA">
              <w:rPr>
                <w:rFonts w:eastAsia="Calibri"/>
                <w:lang w:eastAsia="en-US"/>
              </w:rPr>
              <w:t>Projekts nesašaurina un nepaplašina Valsts robežsardzes</w:t>
            </w:r>
            <w:r w:rsidR="00746DCE" w:rsidRPr="00B75EDA">
              <w:rPr>
                <w:rFonts w:eastAsia="Calibri"/>
                <w:lang w:eastAsia="en-US"/>
              </w:rPr>
              <w:t xml:space="preserve">, </w:t>
            </w:r>
            <w:r w:rsidRPr="00B75EDA">
              <w:rPr>
                <w:rFonts w:eastAsia="Calibri"/>
                <w:lang w:eastAsia="en-US"/>
              </w:rPr>
              <w:t>funkcijas un uzdevumus</w:t>
            </w:r>
            <w:r w:rsidR="00252CBD">
              <w:rPr>
                <w:rFonts w:eastAsia="Calibri"/>
                <w:lang w:eastAsia="en-US"/>
              </w:rPr>
              <w:t>.</w:t>
            </w:r>
          </w:p>
          <w:p w14:paraId="3ED19C8E" w14:textId="3C3D07F8" w:rsidR="0029553A" w:rsidRPr="00B75EDA" w:rsidRDefault="00D320CB" w:rsidP="00D320CB">
            <w:pPr>
              <w:jc w:val="both"/>
            </w:pPr>
            <w:r w:rsidRPr="00B75EDA">
              <w:rPr>
                <w:rFonts w:eastAsia="Calibri"/>
              </w:rPr>
              <w:t>Saistībā ar projekta izpildi nebūs nepieciešams veidot jaunas institūcijas vai likvidēt vai reorganizēt esošās.</w:t>
            </w:r>
          </w:p>
        </w:tc>
      </w:tr>
      <w:tr w:rsidR="00B75EDA" w:rsidRPr="00B75EDA" w14:paraId="5CE9BBD0" w14:textId="77777777" w:rsidTr="0029553A">
        <w:trPr>
          <w:cantSplit/>
        </w:trPr>
        <w:tc>
          <w:tcPr>
            <w:tcW w:w="311" w:type="pct"/>
            <w:hideMark/>
          </w:tcPr>
          <w:p w14:paraId="7F1455A9" w14:textId="77777777" w:rsidR="0029553A" w:rsidRPr="00B75EDA" w:rsidRDefault="0029553A" w:rsidP="0029553A">
            <w:pPr>
              <w:jc w:val="center"/>
            </w:pPr>
            <w:r w:rsidRPr="00B75EDA">
              <w:t>3.</w:t>
            </w:r>
          </w:p>
        </w:tc>
        <w:tc>
          <w:tcPr>
            <w:tcW w:w="1479" w:type="pct"/>
            <w:hideMark/>
          </w:tcPr>
          <w:p w14:paraId="4A273B7D" w14:textId="77777777" w:rsidR="0029553A" w:rsidRPr="00B75EDA" w:rsidRDefault="0029553A" w:rsidP="0029553A">
            <w:r w:rsidRPr="00B75EDA">
              <w:t>Cita informācija</w:t>
            </w:r>
          </w:p>
        </w:tc>
        <w:tc>
          <w:tcPr>
            <w:tcW w:w="3210" w:type="pct"/>
          </w:tcPr>
          <w:p w14:paraId="5E22176E" w14:textId="77777777" w:rsidR="0029553A" w:rsidRPr="00B75EDA" w:rsidRDefault="0029553A" w:rsidP="0029553A">
            <w:r w:rsidRPr="00B75EDA">
              <w:t>Nav</w:t>
            </w:r>
            <w:r w:rsidR="009B19DA" w:rsidRPr="00B75EDA">
              <w:t>.</w:t>
            </w:r>
          </w:p>
        </w:tc>
      </w:tr>
    </w:tbl>
    <w:p w14:paraId="0DD70723" w14:textId="77777777" w:rsidR="00E44472" w:rsidRPr="00B75EDA" w:rsidRDefault="00E44472"/>
    <w:p w14:paraId="0030D1BA" w14:textId="5EEB636D" w:rsidR="003915BC" w:rsidRPr="00B75EDA" w:rsidRDefault="00AC6695" w:rsidP="00372313">
      <w:pPr>
        <w:tabs>
          <w:tab w:val="right" w:pos="9074"/>
        </w:tabs>
        <w:ind w:left="-709"/>
        <w:rPr>
          <w:sz w:val="28"/>
          <w:szCs w:val="28"/>
          <w:lang w:val="de-DE"/>
        </w:rPr>
      </w:pPr>
      <w:r w:rsidRPr="00B75EDA">
        <w:t xml:space="preserve">    </w:t>
      </w:r>
    </w:p>
    <w:p w14:paraId="6BEA72C8" w14:textId="72ADB046" w:rsidR="003915BC" w:rsidRPr="00B75EDA" w:rsidRDefault="003915BC" w:rsidP="003915BC">
      <w:pPr>
        <w:tabs>
          <w:tab w:val="left" w:pos="6237"/>
        </w:tabs>
        <w:jc w:val="both"/>
      </w:pPr>
      <w:r w:rsidRPr="00B75EDA">
        <w:t>Iekšlietu ministrs</w:t>
      </w:r>
      <w:proofErr w:type="gramStart"/>
      <w:r w:rsidRPr="00B75EDA">
        <w:t xml:space="preserve">                                                               </w:t>
      </w:r>
      <w:proofErr w:type="gramEnd"/>
      <w:r w:rsidR="00180D1A" w:rsidRPr="00B75EDA">
        <w:tab/>
      </w:r>
      <w:r w:rsidR="00180D1A" w:rsidRPr="00B75EDA">
        <w:tab/>
      </w:r>
      <w:r w:rsidR="00180D1A" w:rsidRPr="00B75EDA">
        <w:tab/>
      </w:r>
      <w:r w:rsidRPr="00B75EDA">
        <w:t xml:space="preserve"> </w:t>
      </w:r>
      <w:proofErr w:type="spellStart"/>
      <w:r w:rsidR="00FB7601" w:rsidRPr="00B75EDA">
        <w:t>S.</w:t>
      </w:r>
      <w:r w:rsidR="00441010" w:rsidRPr="00B75EDA">
        <w:t>Ģirģens</w:t>
      </w:r>
      <w:proofErr w:type="spellEnd"/>
    </w:p>
    <w:p w14:paraId="1C4254ED" w14:textId="77777777" w:rsidR="003915BC" w:rsidRPr="00B75EDA" w:rsidRDefault="003915BC" w:rsidP="003915BC">
      <w:pPr>
        <w:jc w:val="both"/>
      </w:pPr>
    </w:p>
    <w:p w14:paraId="37C0CA1C" w14:textId="77777777" w:rsidR="003915BC" w:rsidRPr="00B75EDA" w:rsidRDefault="003915BC" w:rsidP="003915BC">
      <w:pPr>
        <w:jc w:val="both"/>
      </w:pPr>
    </w:p>
    <w:p w14:paraId="7A166EFB" w14:textId="41BABD5F" w:rsidR="003915BC" w:rsidRPr="00B75EDA" w:rsidRDefault="003915BC" w:rsidP="003915BC">
      <w:pPr>
        <w:tabs>
          <w:tab w:val="left" w:pos="6237"/>
        </w:tabs>
        <w:jc w:val="both"/>
      </w:pPr>
      <w:r w:rsidRPr="00B75EDA">
        <w:t>Iekšlietu ministrijas valsts sekretārs</w:t>
      </w:r>
      <w:proofErr w:type="gramStart"/>
      <w:r w:rsidRPr="00B75EDA">
        <w:t xml:space="preserve">                                </w:t>
      </w:r>
      <w:proofErr w:type="gramEnd"/>
      <w:r w:rsidR="00180D1A" w:rsidRPr="00B75EDA">
        <w:tab/>
      </w:r>
      <w:r w:rsidR="00180D1A" w:rsidRPr="00B75EDA">
        <w:tab/>
      </w:r>
      <w:r w:rsidR="00180D1A" w:rsidRPr="00B75EDA">
        <w:tab/>
      </w:r>
      <w:r w:rsidRPr="00B75EDA">
        <w:t xml:space="preserve"> </w:t>
      </w:r>
      <w:r w:rsidR="00397157" w:rsidRPr="00B75EDA">
        <w:t xml:space="preserve"> </w:t>
      </w:r>
      <w:proofErr w:type="spellStart"/>
      <w:r w:rsidR="00397157" w:rsidRPr="00B75EDA">
        <w:t>D.</w:t>
      </w:r>
      <w:r w:rsidRPr="00B75EDA">
        <w:t>Trofimovs</w:t>
      </w:r>
      <w:proofErr w:type="spellEnd"/>
    </w:p>
    <w:p w14:paraId="49AC9915" w14:textId="77777777" w:rsidR="003915BC" w:rsidRPr="00B75EDA" w:rsidRDefault="003915BC" w:rsidP="003915BC">
      <w:pPr>
        <w:tabs>
          <w:tab w:val="left" w:pos="6237"/>
        </w:tabs>
        <w:jc w:val="both"/>
        <w:rPr>
          <w:sz w:val="28"/>
          <w:szCs w:val="28"/>
        </w:rPr>
      </w:pPr>
    </w:p>
    <w:p w14:paraId="46419D80" w14:textId="77777777" w:rsidR="003915BC" w:rsidRPr="00B75EDA" w:rsidRDefault="003915BC" w:rsidP="003915BC">
      <w:pPr>
        <w:jc w:val="both"/>
        <w:rPr>
          <w:sz w:val="20"/>
          <w:szCs w:val="20"/>
        </w:rPr>
      </w:pPr>
    </w:p>
    <w:p w14:paraId="4EF0CBA7" w14:textId="0DD8CA2E" w:rsidR="00D24172" w:rsidRPr="00B75EDA" w:rsidRDefault="00463D2B" w:rsidP="003915BC">
      <w:pPr>
        <w:jc w:val="both"/>
        <w:rPr>
          <w:sz w:val="20"/>
          <w:szCs w:val="20"/>
        </w:rPr>
      </w:pPr>
      <w:r>
        <w:rPr>
          <w:sz w:val="20"/>
          <w:szCs w:val="20"/>
        </w:rPr>
        <w:t>Valtenberga, 67913456</w:t>
      </w:r>
    </w:p>
    <w:p w14:paraId="07BBCC4F" w14:textId="29D98C1D" w:rsidR="000B0D3B" w:rsidRPr="00B75EDA" w:rsidRDefault="00FF32D9" w:rsidP="00AD6981">
      <w:pPr>
        <w:tabs>
          <w:tab w:val="right" w:pos="9074"/>
        </w:tabs>
        <w:ind w:left="-709"/>
      </w:pPr>
      <w:r>
        <w:rPr>
          <w:sz w:val="20"/>
          <w:szCs w:val="20"/>
        </w:rPr>
        <w:t xml:space="preserve">              </w:t>
      </w:r>
      <w:r w:rsidR="00463D2B">
        <w:rPr>
          <w:sz w:val="20"/>
          <w:szCs w:val="20"/>
        </w:rPr>
        <w:t>tatjana.valtenberga</w:t>
      </w:r>
      <w:r w:rsidR="00DB3A4A" w:rsidRPr="00B75EDA">
        <w:rPr>
          <w:sz w:val="20"/>
          <w:szCs w:val="20"/>
        </w:rPr>
        <w:t>@rs</w:t>
      </w:r>
      <w:r w:rsidR="003915BC" w:rsidRPr="00B75EDA">
        <w:rPr>
          <w:sz w:val="20"/>
          <w:szCs w:val="20"/>
        </w:rPr>
        <w:t>.gov.lv</w:t>
      </w:r>
    </w:p>
    <w:sectPr w:rsidR="000B0D3B" w:rsidRPr="00B75EDA" w:rsidSect="00A117C5">
      <w:headerReference w:type="default" r:id="rId8"/>
      <w:footerReference w:type="default" r:id="rId9"/>
      <w:footerReference w:type="first" r:id="rId10"/>
      <w:pgSz w:w="11907" w:h="16840" w:code="9"/>
      <w:pgMar w:top="1418" w:right="1134" w:bottom="1134" w:left="1701"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42FE9" w14:textId="77777777" w:rsidR="007F0165" w:rsidRDefault="007F0165" w:rsidP="003A10F7">
      <w:r>
        <w:separator/>
      </w:r>
    </w:p>
  </w:endnote>
  <w:endnote w:type="continuationSeparator" w:id="0">
    <w:p w14:paraId="548CAA11" w14:textId="77777777" w:rsidR="007F0165" w:rsidRDefault="007F0165" w:rsidP="003A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137049"/>
      <w:docPartObj>
        <w:docPartGallery w:val="Page Numbers (Bottom of Page)"/>
        <w:docPartUnique/>
      </w:docPartObj>
    </w:sdtPr>
    <w:sdtEndPr>
      <w:rPr>
        <w:rFonts w:ascii="Cambria" w:hAnsi="Cambria"/>
        <w:noProof/>
        <w:sz w:val="19"/>
        <w:szCs w:val="19"/>
      </w:rPr>
    </w:sdtEndPr>
    <w:sdtContent>
      <w:p w14:paraId="3C972C17" w14:textId="73C40FCB" w:rsidR="00000EA3" w:rsidRPr="00000EA3" w:rsidRDefault="00A74A6C" w:rsidP="00000EA3">
        <w:pPr>
          <w:pStyle w:val="Footer"/>
          <w:tabs>
            <w:tab w:val="left" w:pos="941"/>
          </w:tabs>
        </w:pPr>
        <w:r>
          <w:t>IE</w:t>
        </w:r>
        <w:r w:rsidR="00000EA3" w:rsidRPr="00000EA3">
          <w:t>Manot_</w:t>
        </w:r>
        <w:r w:rsidR="002D5D3C">
          <w:t>02</w:t>
        </w:r>
        <w:r w:rsidR="00122166">
          <w:t>1</w:t>
        </w:r>
        <w:r w:rsidR="002D5D3C">
          <w:t>2</w:t>
        </w:r>
        <w:r w:rsidR="00000EA3" w:rsidRPr="00000EA3">
          <w:t>19</w:t>
        </w:r>
      </w:p>
      <w:p w14:paraId="55B94904" w14:textId="0BCAEE0E" w:rsidR="00500E03" w:rsidRDefault="008E1F14" w:rsidP="00D10D3C">
        <w:pPr>
          <w:pStyle w:val="Footer"/>
          <w:tabs>
            <w:tab w:val="left" w:pos="941"/>
          </w:tabs>
        </w:pPr>
        <w:r>
          <w:tab/>
        </w:r>
        <w:r>
          <w:tab/>
        </w:r>
        <w:r>
          <w:tab/>
        </w:r>
        <w:r>
          <w:tab/>
        </w:r>
      </w:p>
      <w:p w14:paraId="62F3DA96" w14:textId="33140D82" w:rsidR="00500E03" w:rsidRPr="00A24354" w:rsidRDefault="001B64CB" w:rsidP="001B64CB">
        <w:pPr>
          <w:pStyle w:val="Footer"/>
          <w:tabs>
            <w:tab w:val="left" w:pos="3420"/>
            <w:tab w:val="right" w:pos="9071"/>
          </w:tabs>
          <w:rPr>
            <w:rFonts w:ascii="Cambria" w:hAnsi="Cambria"/>
            <w:sz w:val="19"/>
            <w:szCs w:val="19"/>
          </w:rPr>
        </w:pPr>
        <w:r>
          <w:rPr>
            <w:rFonts w:ascii="Cambria" w:hAnsi="Cambria"/>
            <w:sz w:val="19"/>
            <w:szCs w:val="19"/>
          </w:rPr>
          <w:tab/>
        </w:r>
        <w:r>
          <w:rPr>
            <w:rFonts w:ascii="Cambria" w:hAnsi="Cambria"/>
            <w:sz w:val="19"/>
            <w:szCs w:val="19"/>
          </w:rPr>
          <w:tab/>
        </w:r>
        <w:r>
          <w:rPr>
            <w:rFonts w:ascii="Cambria" w:hAnsi="Cambria"/>
            <w:sz w:val="19"/>
            <w:szCs w:val="19"/>
          </w:rPr>
          <w:tab/>
        </w:r>
        <w:r>
          <w:rPr>
            <w:rFonts w:ascii="Cambria" w:hAnsi="Cambria"/>
            <w:sz w:val="19"/>
            <w:szCs w:val="19"/>
          </w:rPr>
          <w:tab/>
        </w:r>
      </w:p>
    </w:sdtContent>
  </w:sdt>
  <w:p w14:paraId="0DB6FB1C" w14:textId="235713E9" w:rsidR="003A10F7" w:rsidRDefault="003A10F7" w:rsidP="00246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9FF9" w14:textId="79B616B5" w:rsidR="00000EA3" w:rsidRDefault="00000EA3" w:rsidP="002D5D3C">
    <w:pPr>
      <w:pStyle w:val="Footer"/>
      <w:tabs>
        <w:tab w:val="clear" w:pos="4153"/>
        <w:tab w:val="clear" w:pos="8306"/>
        <w:tab w:val="left" w:pos="6945"/>
      </w:tabs>
    </w:pPr>
    <w:r>
      <w:t>I</w:t>
    </w:r>
    <w:r w:rsidR="00A74A6C">
      <w:t>E</w:t>
    </w:r>
    <w:r>
      <w:t>Manot_</w:t>
    </w:r>
    <w:r w:rsidR="002D5D3C">
      <w:t>02</w:t>
    </w:r>
    <w:r w:rsidR="00122166">
      <w:t>1</w:t>
    </w:r>
    <w:r w:rsidR="002D5D3C">
      <w:t>2</w:t>
    </w:r>
    <w:r>
      <w:t>19</w:t>
    </w:r>
    <w:r w:rsidR="002D5D3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CDFDF" w14:textId="77777777" w:rsidR="007F0165" w:rsidRDefault="007F0165" w:rsidP="003A10F7">
      <w:r>
        <w:separator/>
      </w:r>
    </w:p>
  </w:footnote>
  <w:footnote w:type="continuationSeparator" w:id="0">
    <w:p w14:paraId="062C99BF" w14:textId="77777777" w:rsidR="007F0165" w:rsidRDefault="007F0165" w:rsidP="003A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8169"/>
      <w:docPartObj>
        <w:docPartGallery w:val="Page Numbers (Top of Page)"/>
        <w:docPartUnique/>
      </w:docPartObj>
    </w:sdtPr>
    <w:sdtEndPr>
      <w:rPr>
        <w:noProof/>
      </w:rPr>
    </w:sdtEndPr>
    <w:sdtContent>
      <w:p w14:paraId="6798BA2E" w14:textId="43192535" w:rsidR="000B68C3" w:rsidRDefault="000B68C3">
        <w:pPr>
          <w:pStyle w:val="Header"/>
          <w:jc w:val="center"/>
        </w:pPr>
        <w:r>
          <w:fldChar w:fldCharType="begin"/>
        </w:r>
        <w:r>
          <w:instrText xml:space="preserve"> PAGE   \* MERGEFORMAT </w:instrText>
        </w:r>
        <w:r>
          <w:fldChar w:fldCharType="separate"/>
        </w:r>
        <w:r w:rsidR="00904911">
          <w:rPr>
            <w:noProof/>
          </w:rPr>
          <w:t>9</w:t>
        </w:r>
        <w:r>
          <w:rPr>
            <w:noProof/>
          </w:rPr>
          <w:fldChar w:fldCharType="end"/>
        </w:r>
      </w:p>
    </w:sdtContent>
  </w:sdt>
  <w:p w14:paraId="7CA02B4B" w14:textId="77777777" w:rsidR="000B68C3" w:rsidRDefault="000B6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084"/>
    <w:multiLevelType w:val="hybridMultilevel"/>
    <w:tmpl w:val="6A0A5CC2"/>
    <w:lvl w:ilvl="0" w:tplc="37C872EC">
      <w:start w:val="201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70688"/>
    <w:multiLevelType w:val="multilevel"/>
    <w:tmpl w:val="AF7EF9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511B9"/>
    <w:multiLevelType w:val="hybridMultilevel"/>
    <w:tmpl w:val="CEF8B192"/>
    <w:lvl w:ilvl="0" w:tplc="C5BA19B6">
      <w:start w:val="1"/>
      <w:numFmt w:val="decimal"/>
      <w:lvlText w:val="%1)"/>
      <w:lvlJc w:val="left"/>
      <w:pPr>
        <w:ind w:left="750"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9300A7"/>
    <w:multiLevelType w:val="hybridMultilevel"/>
    <w:tmpl w:val="4DFC5504"/>
    <w:lvl w:ilvl="0" w:tplc="EEF255D6">
      <w:start w:val="1"/>
      <w:numFmt w:val="decimal"/>
      <w:lvlText w:val="%1."/>
      <w:lvlJc w:val="left"/>
      <w:pPr>
        <w:ind w:left="419" w:hanging="360"/>
      </w:pPr>
      <w:rPr>
        <w:rFonts w:hint="default"/>
        <w:b w:val="0"/>
        <w:i w:val="0"/>
      </w:rPr>
    </w:lvl>
    <w:lvl w:ilvl="1" w:tplc="04260019" w:tentative="1">
      <w:start w:val="1"/>
      <w:numFmt w:val="lowerLetter"/>
      <w:lvlText w:val="%2."/>
      <w:lvlJc w:val="left"/>
      <w:pPr>
        <w:ind w:left="1139" w:hanging="360"/>
      </w:pPr>
    </w:lvl>
    <w:lvl w:ilvl="2" w:tplc="0426001B" w:tentative="1">
      <w:start w:val="1"/>
      <w:numFmt w:val="lowerRoman"/>
      <w:lvlText w:val="%3."/>
      <w:lvlJc w:val="right"/>
      <w:pPr>
        <w:ind w:left="1859" w:hanging="180"/>
      </w:pPr>
    </w:lvl>
    <w:lvl w:ilvl="3" w:tplc="0426000F" w:tentative="1">
      <w:start w:val="1"/>
      <w:numFmt w:val="decimal"/>
      <w:lvlText w:val="%4."/>
      <w:lvlJc w:val="left"/>
      <w:pPr>
        <w:ind w:left="2579" w:hanging="360"/>
      </w:pPr>
    </w:lvl>
    <w:lvl w:ilvl="4" w:tplc="04260019" w:tentative="1">
      <w:start w:val="1"/>
      <w:numFmt w:val="lowerLetter"/>
      <w:lvlText w:val="%5."/>
      <w:lvlJc w:val="left"/>
      <w:pPr>
        <w:ind w:left="3299" w:hanging="360"/>
      </w:pPr>
    </w:lvl>
    <w:lvl w:ilvl="5" w:tplc="0426001B" w:tentative="1">
      <w:start w:val="1"/>
      <w:numFmt w:val="lowerRoman"/>
      <w:lvlText w:val="%6."/>
      <w:lvlJc w:val="right"/>
      <w:pPr>
        <w:ind w:left="4019" w:hanging="180"/>
      </w:pPr>
    </w:lvl>
    <w:lvl w:ilvl="6" w:tplc="0426000F" w:tentative="1">
      <w:start w:val="1"/>
      <w:numFmt w:val="decimal"/>
      <w:lvlText w:val="%7."/>
      <w:lvlJc w:val="left"/>
      <w:pPr>
        <w:ind w:left="4739" w:hanging="360"/>
      </w:pPr>
    </w:lvl>
    <w:lvl w:ilvl="7" w:tplc="04260019" w:tentative="1">
      <w:start w:val="1"/>
      <w:numFmt w:val="lowerLetter"/>
      <w:lvlText w:val="%8."/>
      <w:lvlJc w:val="left"/>
      <w:pPr>
        <w:ind w:left="5459" w:hanging="360"/>
      </w:pPr>
    </w:lvl>
    <w:lvl w:ilvl="8" w:tplc="0426001B" w:tentative="1">
      <w:start w:val="1"/>
      <w:numFmt w:val="lowerRoman"/>
      <w:lvlText w:val="%9."/>
      <w:lvlJc w:val="right"/>
      <w:pPr>
        <w:ind w:left="6179" w:hanging="180"/>
      </w:pPr>
    </w:lvl>
  </w:abstractNum>
  <w:abstractNum w:abstractNumId="5" w15:restartNumberingAfterBreak="0">
    <w:nsid w:val="603A582A"/>
    <w:multiLevelType w:val="hybridMultilevel"/>
    <w:tmpl w:val="73FC14EE"/>
    <w:lvl w:ilvl="0" w:tplc="6C7C6D5C">
      <w:start w:val="1"/>
      <w:numFmt w:val="decimal"/>
      <w:lvlText w:val="%1)"/>
      <w:lvlJc w:val="left"/>
      <w:pPr>
        <w:ind w:left="1440" w:hanging="360"/>
      </w:pPr>
      <w:rPr>
        <w:rFonts w:ascii="Times New Roman" w:eastAsia="Calibri" w:hAnsi="Times New Roman" w:cs="Times New Roman"/>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D864B84"/>
    <w:multiLevelType w:val="hybridMultilevel"/>
    <w:tmpl w:val="062AE1CC"/>
    <w:lvl w:ilvl="0" w:tplc="51848F2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FB47CB6"/>
    <w:multiLevelType w:val="hybridMultilevel"/>
    <w:tmpl w:val="5F8C0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4DB"/>
    <w:rsid w:val="00000EA3"/>
    <w:rsid w:val="00004DDD"/>
    <w:rsid w:val="00015BBE"/>
    <w:rsid w:val="00021121"/>
    <w:rsid w:val="00022B68"/>
    <w:rsid w:val="000323B4"/>
    <w:rsid w:val="000352AF"/>
    <w:rsid w:val="00036E96"/>
    <w:rsid w:val="00042102"/>
    <w:rsid w:val="00042B3F"/>
    <w:rsid w:val="0004375A"/>
    <w:rsid w:val="00052231"/>
    <w:rsid w:val="000524AF"/>
    <w:rsid w:val="00053690"/>
    <w:rsid w:val="00056621"/>
    <w:rsid w:val="00064184"/>
    <w:rsid w:val="00070F7E"/>
    <w:rsid w:val="00071F5B"/>
    <w:rsid w:val="00073CC1"/>
    <w:rsid w:val="00075E45"/>
    <w:rsid w:val="00076594"/>
    <w:rsid w:val="0008012C"/>
    <w:rsid w:val="0008084E"/>
    <w:rsid w:val="00091C0D"/>
    <w:rsid w:val="00096A0B"/>
    <w:rsid w:val="00096E53"/>
    <w:rsid w:val="000971C6"/>
    <w:rsid w:val="0009755C"/>
    <w:rsid w:val="00097CB2"/>
    <w:rsid w:val="000A0EB5"/>
    <w:rsid w:val="000A1FD9"/>
    <w:rsid w:val="000A2D44"/>
    <w:rsid w:val="000B0D3B"/>
    <w:rsid w:val="000B19ED"/>
    <w:rsid w:val="000B556A"/>
    <w:rsid w:val="000B68C3"/>
    <w:rsid w:val="000C2B0F"/>
    <w:rsid w:val="000C5E89"/>
    <w:rsid w:val="000C7CE6"/>
    <w:rsid w:val="000D5593"/>
    <w:rsid w:val="000D5BA7"/>
    <w:rsid w:val="000D7FD4"/>
    <w:rsid w:val="000E053D"/>
    <w:rsid w:val="000E1379"/>
    <w:rsid w:val="000E156A"/>
    <w:rsid w:val="000E62A9"/>
    <w:rsid w:val="000F1765"/>
    <w:rsid w:val="000F5B1F"/>
    <w:rsid w:val="000F5C82"/>
    <w:rsid w:val="000F7C3F"/>
    <w:rsid w:val="001043F3"/>
    <w:rsid w:val="001047F7"/>
    <w:rsid w:val="0010487D"/>
    <w:rsid w:val="00122166"/>
    <w:rsid w:val="0012367B"/>
    <w:rsid w:val="001249BF"/>
    <w:rsid w:val="00126655"/>
    <w:rsid w:val="001275FB"/>
    <w:rsid w:val="00127EE4"/>
    <w:rsid w:val="00132472"/>
    <w:rsid w:val="00134614"/>
    <w:rsid w:val="0013640D"/>
    <w:rsid w:val="001406CC"/>
    <w:rsid w:val="0014257D"/>
    <w:rsid w:val="00143486"/>
    <w:rsid w:val="00147667"/>
    <w:rsid w:val="001506EE"/>
    <w:rsid w:val="00151B83"/>
    <w:rsid w:val="00155558"/>
    <w:rsid w:val="001560AA"/>
    <w:rsid w:val="00160C8D"/>
    <w:rsid w:val="001642DB"/>
    <w:rsid w:val="001665AE"/>
    <w:rsid w:val="00180D1A"/>
    <w:rsid w:val="00183619"/>
    <w:rsid w:val="00187387"/>
    <w:rsid w:val="001875DD"/>
    <w:rsid w:val="0019186E"/>
    <w:rsid w:val="0019234F"/>
    <w:rsid w:val="001929BE"/>
    <w:rsid w:val="001953D4"/>
    <w:rsid w:val="001A1F4A"/>
    <w:rsid w:val="001A3EB0"/>
    <w:rsid w:val="001A561C"/>
    <w:rsid w:val="001A5878"/>
    <w:rsid w:val="001A7A68"/>
    <w:rsid w:val="001B1156"/>
    <w:rsid w:val="001B1BF5"/>
    <w:rsid w:val="001B2389"/>
    <w:rsid w:val="001B2847"/>
    <w:rsid w:val="001B64CB"/>
    <w:rsid w:val="001B70EA"/>
    <w:rsid w:val="001C41BD"/>
    <w:rsid w:val="001C7BA5"/>
    <w:rsid w:val="001D0B80"/>
    <w:rsid w:val="001D2D45"/>
    <w:rsid w:val="001D4B69"/>
    <w:rsid w:val="001D4BE9"/>
    <w:rsid w:val="001D5D51"/>
    <w:rsid w:val="001D6239"/>
    <w:rsid w:val="001D69CA"/>
    <w:rsid w:val="001E39C4"/>
    <w:rsid w:val="001E3C55"/>
    <w:rsid w:val="001F1075"/>
    <w:rsid w:val="001F6854"/>
    <w:rsid w:val="002007C9"/>
    <w:rsid w:val="002007D1"/>
    <w:rsid w:val="002014F5"/>
    <w:rsid w:val="00203E60"/>
    <w:rsid w:val="00213595"/>
    <w:rsid w:val="00213A03"/>
    <w:rsid w:val="002175C0"/>
    <w:rsid w:val="00220895"/>
    <w:rsid w:val="0022340C"/>
    <w:rsid w:val="002315C7"/>
    <w:rsid w:val="00231647"/>
    <w:rsid w:val="00232101"/>
    <w:rsid w:val="00240AE1"/>
    <w:rsid w:val="00240CD3"/>
    <w:rsid w:val="002421CB"/>
    <w:rsid w:val="00246B26"/>
    <w:rsid w:val="00247655"/>
    <w:rsid w:val="002526C8"/>
    <w:rsid w:val="00252CBD"/>
    <w:rsid w:val="002540D4"/>
    <w:rsid w:val="00256093"/>
    <w:rsid w:val="0026063D"/>
    <w:rsid w:val="00261D2F"/>
    <w:rsid w:val="00264872"/>
    <w:rsid w:val="002653F3"/>
    <w:rsid w:val="00267FE3"/>
    <w:rsid w:val="00270F5D"/>
    <w:rsid w:val="00271F34"/>
    <w:rsid w:val="0027468C"/>
    <w:rsid w:val="00282FE6"/>
    <w:rsid w:val="00283622"/>
    <w:rsid w:val="00291889"/>
    <w:rsid w:val="00292C19"/>
    <w:rsid w:val="002932B3"/>
    <w:rsid w:val="00294667"/>
    <w:rsid w:val="0029553A"/>
    <w:rsid w:val="002A257C"/>
    <w:rsid w:val="002A3AFE"/>
    <w:rsid w:val="002A437E"/>
    <w:rsid w:val="002A552D"/>
    <w:rsid w:val="002B1051"/>
    <w:rsid w:val="002D0CF3"/>
    <w:rsid w:val="002D477B"/>
    <w:rsid w:val="002D5D3C"/>
    <w:rsid w:val="002D6AD2"/>
    <w:rsid w:val="002D7179"/>
    <w:rsid w:val="002E27D8"/>
    <w:rsid w:val="002E51DA"/>
    <w:rsid w:val="002E7C04"/>
    <w:rsid w:val="002F5F1F"/>
    <w:rsid w:val="00300E1D"/>
    <w:rsid w:val="003133FF"/>
    <w:rsid w:val="0031638B"/>
    <w:rsid w:val="00322A81"/>
    <w:rsid w:val="00323F9C"/>
    <w:rsid w:val="00327933"/>
    <w:rsid w:val="003314A7"/>
    <w:rsid w:val="00333083"/>
    <w:rsid w:val="003419D0"/>
    <w:rsid w:val="00342C8B"/>
    <w:rsid w:val="00342D99"/>
    <w:rsid w:val="003534DB"/>
    <w:rsid w:val="00360861"/>
    <w:rsid w:val="003617A5"/>
    <w:rsid w:val="00361E69"/>
    <w:rsid w:val="00362A7B"/>
    <w:rsid w:val="00365C9B"/>
    <w:rsid w:val="0036797B"/>
    <w:rsid w:val="00372313"/>
    <w:rsid w:val="00375F6F"/>
    <w:rsid w:val="00377D5A"/>
    <w:rsid w:val="00386D57"/>
    <w:rsid w:val="003915BC"/>
    <w:rsid w:val="003937BE"/>
    <w:rsid w:val="00394BF8"/>
    <w:rsid w:val="00397157"/>
    <w:rsid w:val="00397E4C"/>
    <w:rsid w:val="003A10F7"/>
    <w:rsid w:val="003A1758"/>
    <w:rsid w:val="003A190B"/>
    <w:rsid w:val="003A29F6"/>
    <w:rsid w:val="003A33E7"/>
    <w:rsid w:val="003A55CA"/>
    <w:rsid w:val="003A7FBB"/>
    <w:rsid w:val="003B09F3"/>
    <w:rsid w:val="003B0AD7"/>
    <w:rsid w:val="003B531B"/>
    <w:rsid w:val="003B7B90"/>
    <w:rsid w:val="003C0A24"/>
    <w:rsid w:val="003C15F5"/>
    <w:rsid w:val="003C2C68"/>
    <w:rsid w:val="003C40EF"/>
    <w:rsid w:val="003C448F"/>
    <w:rsid w:val="003C65AE"/>
    <w:rsid w:val="003C791D"/>
    <w:rsid w:val="003D5853"/>
    <w:rsid w:val="003E16F4"/>
    <w:rsid w:val="003E1FC9"/>
    <w:rsid w:val="003E2BEA"/>
    <w:rsid w:val="003E3760"/>
    <w:rsid w:val="003F396A"/>
    <w:rsid w:val="00401A17"/>
    <w:rsid w:val="00403E26"/>
    <w:rsid w:val="00413A02"/>
    <w:rsid w:val="00413A60"/>
    <w:rsid w:val="004201A1"/>
    <w:rsid w:val="004212E2"/>
    <w:rsid w:val="00422F43"/>
    <w:rsid w:val="00423F73"/>
    <w:rsid w:val="00425FB9"/>
    <w:rsid w:val="0043047C"/>
    <w:rsid w:val="00431084"/>
    <w:rsid w:val="0043644C"/>
    <w:rsid w:val="00441010"/>
    <w:rsid w:val="00441619"/>
    <w:rsid w:val="00443980"/>
    <w:rsid w:val="00444FBB"/>
    <w:rsid w:val="00445A0A"/>
    <w:rsid w:val="0044652D"/>
    <w:rsid w:val="00453DA7"/>
    <w:rsid w:val="00455D1B"/>
    <w:rsid w:val="00461EF7"/>
    <w:rsid w:val="00463D2B"/>
    <w:rsid w:val="00464AEF"/>
    <w:rsid w:val="004702CF"/>
    <w:rsid w:val="0047071F"/>
    <w:rsid w:val="00470DD8"/>
    <w:rsid w:val="00473FB7"/>
    <w:rsid w:val="00475CD6"/>
    <w:rsid w:val="00481164"/>
    <w:rsid w:val="00486956"/>
    <w:rsid w:val="00490207"/>
    <w:rsid w:val="004911E7"/>
    <w:rsid w:val="00491EEC"/>
    <w:rsid w:val="004963A5"/>
    <w:rsid w:val="00497DAD"/>
    <w:rsid w:val="004A39A8"/>
    <w:rsid w:val="004B0C05"/>
    <w:rsid w:val="004B0DF0"/>
    <w:rsid w:val="004B382D"/>
    <w:rsid w:val="004B4BDC"/>
    <w:rsid w:val="004C101C"/>
    <w:rsid w:val="004C6598"/>
    <w:rsid w:val="004C7034"/>
    <w:rsid w:val="004D4F9E"/>
    <w:rsid w:val="004D6FEF"/>
    <w:rsid w:val="004E6D9F"/>
    <w:rsid w:val="004F3AB6"/>
    <w:rsid w:val="004F6BCB"/>
    <w:rsid w:val="004F6E7C"/>
    <w:rsid w:val="00500E03"/>
    <w:rsid w:val="0050444D"/>
    <w:rsid w:val="00507A59"/>
    <w:rsid w:val="00510F9F"/>
    <w:rsid w:val="005216A1"/>
    <w:rsid w:val="00521F28"/>
    <w:rsid w:val="005228A9"/>
    <w:rsid w:val="00522D01"/>
    <w:rsid w:val="0052720B"/>
    <w:rsid w:val="00527376"/>
    <w:rsid w:val="00530A62"/>
    <w:rsid w:val="00534EAD"/>
    <w:rsid w:val="00544363"/>
    <w:rsid w:val="0054507F"/>
    <w:rsid w:val="00545E39"/>
    <w:rsid w:val="00557386"/>
    <w:rsid w:val="005578EA"/>
    <w:rsid w:val="005609D9"/>
    <w:rsid w:val="00562C6F"/>
    <w:rsid w:val="0057164E"/>
    <w:rsid w:val="0057574D"/>
    <w:rsid w:val="0057651F"/>
    <w:rsid w:val="005769B8"/>
    <w:rsid w:val="00577270"/>
    <w:rsid w:val="005779CB"/>
    <w:rsid w:val="0058052E"/>
    <w:rsid w:val="00590E1F"/>
    <w:rsid w:val="00591B9F"/>
    <w:rsid w:val="00592F50"/>
    <w:rsid w:val="00593DAB"/>
    <w:rsid w:val="00594CC4"/>
    <w:rsid w:val="005974B8"/>
    <w:rsid w:val="005A01CB"/>
    <w:rsid w:val="005A0520"/>
    <w:rsid w:val="005A06B1"/>
    <w:rsid w:val="005A23D4"/>
    <w:rsid w:val="005A5E6B"/>
    <w:rsid w:val="005A6454"/>
    <w:rsid w:val="005B031F"/>
    <w:rsid w:val="005B0F52"/>
    <w:rsid w:val="005B6260"/>
    <w:rsid w:val="005B74EE"/>
    <w:rsid w:val="005C00FD"/>
    <w:rsid w:val="005C30A7"/>
    <w:rsid w:val="005C55A0"/>
    <w:rsid w:val="005C5C8B"/>
    <w:rsid w:val="005C63C6"/>
    <w:rsid w:val="005D1341"/>
    <w:rsid w:val="005D21DC"/>
    <w:rsid w:val="005D71B8"/>
    <w:rsid w:val="005E1AA5"/>
    <w:rsid w:val="005E4254"/>
    <w:rsid w:val="005F04C9"/>
    <w:rsid w:val="005F7F9E"/>
    <w:rsid w:val="00604F66"/>
    <w:rsid w:val="00610B2B"/>
    <w:rsid w:val="00610C00"/>
    <w:rsid w:val="00612157"/>
    <w:rsid w:val="00612E3C"/>
    <w:rsid w:val="006142A4"/>
    <w:rsid w:val="00620A7D"/>
    <w:rsid w:val="00624B04"/>
    <w:rsid w:val="0062506D"/>
    <w:rsid w:val="00627BB7"/>
    <w:rsid w:val="006302F4"/>
    <w:rsid w:val="0063069A"/>
    <w:rsid w:val="00631A9C"/>
    <w:rsid w:val="00632712"/>
    <w:rsid w:val="006328B7"/>
    <w:rsid w:val="00633E6B"/>
    <w:rsid w:val="0063531A"/>
    <w:rsid w:val="00636098"/>
    <w:rsid w:val="006374B0"/>
    <w:rsid w:val="006455C9"/>
    <w:rsid w:val="00645B25"/>
    <w:rsid w:val="00653BEE"/>
    <w:rsid w:val="006559FA"/>
    <w:rsid w:val="00656D43"/>
    <w:rsid w:val="0065705F"/>
    <w:rsid w:val="00664184"/>
    <w:rsid w:val="00665908"/>
    <w:rsid w:val="00667645"/>
    <w:rsid w:val="00670FBA"/>
    <w:rsid w:val="00671DB4"/>
    <w:rsid w:val="006720E3"/>
    <w:rsid w:val="00674B00"/>
    <w:rsid w:val="00681161"/>
    <w:rsid w:val="00690C3E"/>
    <w:rsid w:val="00693723"/>
    <w:rsid w:val="0069460A"/>
    <w:rsid w:val="006955BF"/>
    <w:rsid w:val="006A167A"/>
    <w:rsid w:val="006A2602"/>
    <w:rsid w:val="006A5FB0"/>
    <w:rsid w:val="006B1E3D"/>
    <w:rsid w:val="006B21EE"/>
    <w:rsid w:val="006B4D64"/>
    <w:rsid w:val="006C011F"/>
    <w:rsid w:val="006C141B"/>
    <w:rsid w:val="006C42E2"/>
    <w:rsid w:val="006C66F6"/>
    <w:rsid w:val="006C76A3"/>
    <w:rsid w:val="006D115A"/>
    <w:rsid w:val="006D5492"/>
    <w:rsid w:val="006E2A97"/>
    <w:rsid w:val="006E74B3"/>
    <w:rsid w:val="006F2473"/>
    <w:rsid w:val="006F79F0"/>
    <w:rsid w:val="00700ACF"/>
    <w:rsid w:val="00700C02"/>
    <w:rsid w:val="00701AFB"/>
    <w:rsid w:val="00713EBE"/>
    <w:rsid w:val="00713EFB"/>
    <w:rsid w:val="007141E3"/>
    <w:rsid w:val="00717939"/>
    <w:rsid w:val="007229EB"/>
    <w:rsid w:val="007257E5"/>
    <w:rsid w:val="00737402"/>
    <w:rsid w:val="00744DF6"/>
    <w:rsid w:val="00746DCE"/>
    <w:rsid w:val="007471BE"/>
    <w:rsid w:val="00750D70"/>
    <w:rsid w:val="00751F42"/>
    <w:rsid w:val="00755C9F"/>
    <w:rsid w:val="00756472"/>
    <w:rsid w:val="007579E8"/>
    <w:rsid w:val="007611D8"/>
    <w:rsid w:val="00761625"/>
    <w:rsid w:val="00766144"/>
    <w:rsid w:val="00766595"/>
    <w:rsid w:val="00772F00"/>
    <w:rsid w:val="00773C91"/>
    <w:rsid w:val="00784BBF"/>
    <w:rsid w:val="00791E29"/>
    <w:rsid w:val="00796F17"/>
    <w:rsid w:val="007A0B24"/>
    <w:rsid w:val="007A177D"/>
    <w:rsid w:val="007A1A31"/>
    <w:rsid w:val="007A249C"/>
    <w:rsid w:val="007A4EE6"/>
    <w:rsid w:val="007A66DD"/>
    <w:rsid w:val="007B0278"/>
    <w:rsid w:val="007B02C3"/>
    <w:rsid w:val="007B3587"/>
    <w:rsid w:val="007B651B"/>
    <w:rsid w:val="007B770E"/>
    <w:rsid w:val="007C08F8"/>
    <w:rsid w:val="007C1A66"/>
    <w:rsid w:val="007C540C"/>
    <w:rsid w:val="007C5676"/>
    <w:rsid w:val="007C7E1E"/>
    <w:rsid w:val="007D318A"/>
    <w:rsid w:val="007D713D"/>
    <w:rsid w:val="007E0E95"/>
    <w:rsid w:val="007E3334"/>
    <w:rsid w:val="007E334F"/>
    <w:rsid w:val="007E4261"/>
    <w:rsid w:val="007F0165"/>
    <w:rsid w:val="007F01A3"/>
    <w:rsid w:val="007F2038"/>
    <w:rsid w:val="007F22CF"/>
    <w:rsid w:val="007F2F6C"/>
    <w:rsid w:val="007F31C6"/>
    <w:rsid w:val="007F3E68"/>
    <w:rsid w:val="007F47BD"/>
    <w:rsid w:val="007F4B4F"/>
    <w:rsid w:val="007F5A97"/>
    <w:rsid w:val="007F7642"/>
    <w:rsid w:val="007F7CDF"/>
    <w:rsid w:val="008004B5"/>
    <w:rsid w:val="00800AEC"/>
    <w:rsid w:val="00801CB1"/>
    <w:rsid w:val="00802590"/>
    <w:rsid w:val="00812EF6"/>
    <w:rsid w:val="008164C8"/>
    <w:rsid w:val="00821AB0"/>
    <w:rsid w:val="00824E35"/>
    <w:rsid w:val="00824EF2"/>
    <w:rsid w:val="00826975"/>
    <w:rsid w:val="008319DC"/>
    <w:rsid w:val="00840985"/>
    <w:rsid w:val="00842325"/>
    <w:rsid w:val="0085012F"/>
    <w:rsid w:val="00850FD7"/>
    <w:rsid w:val="00854A69"/>
    <w:rsid w:val="00856471"/>
    <w:rsid w:val="00857342"/>
    <w:rsid w:val="00862F2A"/>
    <w:rsid w:val="00865273"/>
    <w:rsid w:val="00865F37"/>
    <w:rsid w:val="00870F3F"/>
    <w:rsid w:val="008742C5"/>
    <w:rsid w:val="0087615B"/>
    <w:rsid w:val="008771A4"/>
    <w:rsid w:val="008806CB"/>
    <w:rsid w:val="008823BC"/>
    <w:rsid w:val="008827C2"/>
    <w:rsid w:val="00885A84"/>
    <w:rsid w:val="0089079E"/>
    <w:rsid w:val="00891C95"/>
    <w:rsid w:val="008923B0"/>
    <w:rsid w:val="008943C6"/>
    <w:rsid w:val="00894A06"/>
    <w:rsid w:val="008951E2"/>
    <w:rsid w:val="0089673A"/>
    <w:rsid w:val="008A038F"/>
    <w:rsid w:val="008A414D"/>
    <w:rsid w:val="008A4276"/>
    <w:rsid w:val="008B17E7"/>
    <w:rsid w:val="008B4313"/>
    <w:rsid w:val="008C0FC1"/>
    <w:rsid w:val="008C4465"/>
    <w:rsid w:val="008C4D47"/>
    <w:rsid w:val="008C6A8C"/>
    <w:rsid w:val="008C7167"/>
    <w:rsid w:val="008C7EA0"/>
    <w:rsid w:val="008D3328"/>
    <w:rsid w:val="008D3D64"/>
    <w:rsid w:val="008D4780"/>
    <w:rsid w:val="008D4A39"/>
    <w:rsid w:val="008D71B2"/>
    <w:rsid w:val="008E00BA"/>
    <w:rsid w:val="008E024C"/>
    <w:rsid w:val="008E1065"/>
    <w:rsid w:val="008E1F14"/>
    <w:rsid w:val="008E68FD"/>
    <w:rsid w:val="008E6C93"/>
    <w:rsid w:val="008F08F0"/>
    <w:rsid w:val="008F0A77"/>
    <w:rsid w:val="008F0FD4"/>
    <w:rsid w:val="008F21D5"/>
    <w:rsid w:val="008F475C"/>
    <w:rsid w:val="008F5B3E"/>
    <w:rsid w:val="008F6F1C"/>
    <w:rsid w:val="00900CF6"/>
    <w:rsid w:val="00904911"/>
    <w:rsid w:val="00906162"/>
    <w:rsid w:val="00910033"/>
    <w:rsid w:val="00911D39"/>
    <w:rsid w:val="009124B5"/>
    <w:rsid w:val="00912745"/>
    <w:rsid w:val="009141D5"/>
    <w:rsid w:val="00921457"/>
    <w:rsid w:val="0092404C"/>
    <w:rsid w:val="009240A9"/>
    <w:rsid w:val="00926BB5"/>
    <w:rsid w:val="009308E4"/>
    <w:rsid w:val="00931A7F"/>
    <w:rsid w:val="00935FB8"/>
    <w:rsid w:val="00937B5A"/>
    <w:rsid w:val="00940D52"/>
    <w:rsid w:val="00942E60"/>
    <w:rsid w:val="00945050"/>
    <w:rsid w:val="009464D3"/>
    <w:rsid w:val="009464EF"/>
    <w:rsid w:val="00950018"/>
    <w:rsid w:val="009608E0"/>
    <w:rsid w:val="00971177"/>
    <w:rsid w:val="0097227E"/>
    <w:rsid w:val="00973404"/>
    <w:rsid w:val="0098403B"/>
    <w:rsid w:val="009848B2"/>
    <w:rsid w:val="0098716C"/>
    <w:rsid w:val="00995481"/>
    <w:rsid w:val="00995A5C"/>
    <w:rsid w:val="009A0456"/>
    <w:rsid w:val="009A241E"/>
    <w:rsid w:val="009A4982"/>
    <w:rsid w:val="009A57BC"/>
    <w:rsid w:val="009A7A9E"/>
    <w:rsid w:val="009B000C"/>
    <w:rsid w:val="009B0AF5"/>
    <w:rsid w:val="009B19DA"/>
    <w:rsid w:val="009B1DBC"/>
    <w:rsid w:val="009B33F9"/>
    <w:rsid w:val="009B5155"/>
    <w:rsid w:val="009B5C24"/>
    <w:rsid w:val="009C1680"/>
    <w:rsid w:val="009C179B"/>
    <w:rsid w:val="009C2233"/>
    <w:rsid w:val="009C31E4"/>
    <w:rsid w:val="009C39FF"/>
    <w:rsid w:val="009C3AE7"/>
    <w:rsid w:val="009C5E39"/>
    <w:rsid w:val="009C677A"/>
    <w:rsid w:val="009D3E0C"/>
    <w:rsid w:val="009D6445"/>
    <w:rsid w:val="009D6826"/>
    <w:rsid w:val="009F005C"/>
    <w:rsid w:val="009F7975"/>
    <w:rsid w:val="00A01543"/>
    <w:rsid w:val="00A031F6"/>
    <w:rsid w:val="00A060BD"/>
    <w:rsid w:val="00A07416"/>
    <w:rsid w:val="00A07E10"/>
    <w:rsid w:val="00A115A7"/>
    <w:rsid w:val="00A117C5"/>
    <w:rsid w:val="00A12613"/>
    <w:rsid w:val="00A14E7E"/>
    <w:rsid w:val="00A17A8D"/>
    <w:rsid w:val="00A22D73"/>
    <w:rsid w:val="00A24354"/>
    <w:rsid w:val="00A268EA"/>
    <w:rsid w:val="00A279E9"/>
    <w:rsid w:val="00A27C64"/>
    <w:rsid w:val="00A31C79"/>
    <w:rsid w:val="00A329EE"/>
    <w:rsid w:val="00A32EF4"/>
    <w:rsid w:val="00A36C63"/>
    <w:rsid w:val="00A4161E"/>
    <w:rsid w:val="00A51584"/>
    <w:rsid w:val="00A546CA"/>
    <w:rsid w:val="00A5594D"/>
    <w:rsid w:val="00A5699F"/>
    <w:rsid w:val="00A5747A"/>
    <w:rsid w:val="00A5794F"/>
    <w:rsid w:val="00A63A8D"/>
    <w:rsid w:val="00A64FD4"/>
    <w:rsid w:val="00A657F5"/>
    <w:rsid w:val="00A65C64"/>
    <w:rsid w:val="00A7317E"/>
    <w:rsid w:val="00A73381"/>
    <w:rsid w:val="00A74A6C"/>
    <w:rsid w:val="00A74DE9"/>
    <w:rsid w:val="00A7747C"/>
    <w:rsid w:val="00A80EE1"/>
    <w:rsid w:val="00A82541"/>
    <w:rsid w:val="00A840EB"/>
    <w:rsid w:val="00A871FB"/>
    <w:rsid w:val="00A910C2"/>
    <w:rsid w:val="00A91999"/>
    <w:rsid w:val="00A91BBB"/>
    <w:rsid w:val="00A91C1B"/>
    <w:rsid w:val="00A91DDB"/>
    <w:rsid w:val="00A92199"/>
    <w:rsid w:val="00A92FB5"/>
    <w:rsid w:val="00A932CB"/>
    <w:rsid w:val="00AA0FB0"/>
    <w:rsid w:val="00AA4BCC"/>
    <w:rsid w:val="00AB15BB"/>
    <w:rsid w:val="00AB28E9"/>
    <w:rsid w:val="00AB51D6"/>
    <w:rsid w:val="00AB6122"/>
    <w:rsid w:val="00AB625C"/>
    <w:rsid w:val="00AB745B"/>
    <w:rsid w:val="00AC0C94"/>
    <w:rsid w:val="00AC4740"/>
    <w:rsid w:val="00AC63D4"/>
    <w:rsid w:val="00AC6695"/>
    <w:rsid w:val="00AC71A9"/>
    <w:rsid w:val="00AD4D31"/>
    <w:rsid w:val="00AD6981"/>
    <w:rsid w:val="00AE0E1B"/>
    <w:rsid w:val="00AE1300"/>
    <w:rsid w:val="00AE1994"/>
    <w:rsid w:val="00AE2346"/>
    <w:rsid w:val="00AE239C"/>
    <w:rsid w:val="00AE445A"/>
    <w:rsid w:val="00AE7CFA"/>
    <w:rsid w:val="00AF0326"/>
    <w:rsid w:val="00AF0CF3"/>
    <w:rsid w:val="00AF21E0"/>
    <w:rsid w:val="00AF4A02"/>
    <w:rsid w:val="00AF654D"/>
    <w:rsid w:val="00AF7099"/>
    <w:rsid w:val="00AF73F1"/>
    <w:rsid w:val="00AF7E4B"/>
    <w:rsid w:val="00B04228"/>
    <w:rsid w:val="00B07F56"/>
    <w:rsid w:val="00B11FB8"/>
    <w:rsid w:val="00B210C4"/>
    <w:rsid w:val="00B21765"/>
    <w:rsid w:val="00B2594B"/>
    <w:rsid w:val="00B3022C"/>
    <w:rsid w:val="00B3077C"/>
    <w:rsid w:val="00B30B2E"/>
    <w:rsid w:val="00B3394B"/>
    <w:rsid w:val="00B347FB"/>
    <w:rsid w:val="00B35350"/>
    <w:rsid w:val="00B36664"/>
    <w:rsid w:val="00B523FE"/>
    <w:rsid w:val="00B52573"/>
    <w:rsid w:val="00B61BFF"/>
    <w:rsid w:val="00B61EFD"/>
    <w:rsid w:val="00B625A4"/>
    <w:rsid w:val="00B6317E"/>
    <w:rsid w:val="00B70933"/>
    <w:rsid w:val="00B743B7"/>
    <w:rsid w:val="00B74734"/>
    <w:rsid w:val="00B75EDA"/>
    <w:rsid w:val="00B76418"/>
    <w:rsid w:val="00B811B3"/>
    <w:rsid w:val="00B81B79"/>
    <w:rsid w:val="00B87BFE"/>
    <w:rsid w:val="00B90977"/>
    <w:rsid w:val="00B928AB"/>
    <w:rsid w:val="00B92E4C"/>
    <w:rsid w:val="00B94112"/>
    <w:rsid w:val="00BA07BF"/>
    <w:rsid w:val="00BA125F"/>
    <w:rsid w:val="00BA1C68"/>
    <w:rsid w:val="00BA5100"/>
    <w:rsid w:val="00BA527A"/>
    <w:rsid w:val="00BA5C76"/>
    <w:rsid w:val="00BB2FD3"/>
    <w:rsid w:val="00BC2F4C"/>
    <w:rsid w:val="00BC34E8"/>
    <w:rsid w:val="00BC47CE"/>
    <w:rsid w:val="00BD01D9"/>
    <w:rsid w:val="00BD2CCB"/>
    <w:rsid w:val="00BD34D9"/>
    <w:rsid w:val="00BD5367"/>
    <w:rsid w:val="00BD5588"/>
    <w:rsid w:val="00BE3B79"/>
    <w:rsid w:val="00BE7C9A"/>
    <w:rsid w:val="00BF27A1"/>
    <w:rsid w:val="00BF344C"/>
    <w:rsid w:val="00BF5633"/>
    <w:rsid w:val="00BF71C0"/>
    <w:rsid w:val="00C05F18"/>
    <w:rsid w:val="00C0609A"/>
    <w:rsid w:val="00C06C00"/>
    <w:rsid w:val="00C06C04"/>
    <w:rsid w:val="00C06CA8"/>
    <w:rsid w:val="00C06D4B"/>
    <w:rsid w:val="00C0754A"/>
    <w:rsid w:val="00C11407"/>
    <w:rsid w:val="00C151E2"/>
    <w:rsid w:val="00C174BE"/>
    <w:rsid w:val="00C20A10"/>
    <w:rsid w:val="00C217F0"/>
    <w:rsid w:val="00C2355B"/>
    <w:rsid w:val="00C26163"/>
    <w:rsid w:val="00C316BB"/>
    <w:rsid w:val="00C379FB"/>
    <w:rsid w:val="00C41C05"/>
    <w:rsid w:val="00C44C55"/>
    <w:rsid w:val="00C45BF2"/>
    <w:rsid w:val="00C45EAD"/>
    <w:rsid w:val="00C57D33"/>
    <w:rsid w:val="00C61F5B"/>
    <w:rsid w:val="00C7184B"/>
    <w:rsid w:val="00C74A06"/>
    <w:rsid w:val="00C846C1"/>
    <w:rsid w:val="00C85385"/>
    <w:rsid w:val="00C93D51"/>
    <w:rsid w:val="00C96121"/>
    <w:rsid w:val="00C965AA"/>
    <w:rsid w:val="00C96E8F"/>
    <w:rsid w:val="00CA3B61"/>
    <w:rsid w:val="00CA3DB1"/>
    <w:rsid w:val="00CA51FB"/>
    <w:rsid w:val="00CA62AD"/>
    <w:rsid w:val="00CA6F7E"/>
    <w:rsid w:val="00CB2F4D"/>
    <w:rsid w:val="00CB53DF"/>
    <w:rsid w:val="00CB7820"/>
    <w:rsid w:val="00CC0314"/>
    <w:rsid w:val="00CC4617"/>
    <w:rsid w:val="00CC4D5E"/>
    <w:rsid w:val="00CC524E"/>
    <w:rsid w:val="00CC7A5E"/>
    <w:rsid w:val="00CC7D31"/>
    <w:rsid w:val="00CD2A53"/>
    <w:rsid w:val="00CD35C5"/>
    <w:rsid w:val="00CD44B1"/>
    <w:rsid w:val="00CD4784"/>
    <w:rsid w:val="00CD4D55"/>
    <w:rsid w:val="00CE020E"/>
    <w:rsid w:val="00CE0217"/>
    <w:rsid w:val="00CE0930"/>
    <w:rsid w:val="00CE0B43"/>
    <w:rsid w:val="00CE132E"/>
    <w:rsid w:val="00CE2912"/>
    <w:rsid w:val="00CE3302"/>
    <w:rsid w:val="00CE4C49"/>
    <w:rsid w:val="00CE74DB"/>
    <w:rsid w:val="00CE7FBB"/>
    <w:rsid w:val="00CF004E"/>
    <w:rsid w:val="00CF2DB1"/>
    <w:rsid w:val="00CF458F"/>
    <w:rsid w:val="00CF5AA7"/>
    <w:rsid w:val="00CF5F17"/>
    <w:rsid w:val="00CF6A1F"/>
    <w:rsid w:val="00D10D3C"/>
    <w:rsid w:val="00D10DB1"/>
    <w:rsid w:val="00D15CFC"/>
    <w:rsid w:val="00D20F7F"/>
    <w:rsid w:val="00D2129C"/>
    <w:rsid w:val="00D24172"/>
    <w:rsid w:val="00D320CB"/>
    <w:rsid w:val="00D36227"/>
    <w:rsid w:val="00D41145"/>
    <w:rsid w:val="00D41ACB"/>
    <w:rsid w:val="00D433E2"/>
    <w:rsid w:val="00D4761F"/>
    <w:rsid w:val="00D47DA8"/>
    <w:rsid w:val="00D50BA2"/>
    <w:rsid w:val="00D51949"/>
    <w:rsid w:val="00D51F43"/>
    <w:rsid w:val="00D53F18"/>
    <w:rsid w:val="00D54414"/>
    <w:rsid w:val="00D6016F"/>
    <w:rsid w:val="00D72E2F"/>
    <w:rsid w:val="00D75951"/>
    <w:rsid w:val="00D85177"/>
    <w:rsid w:val="00D902F2"/>
    <w:rsid w:val="00D908B0"/>
    <w:rsid w:val="00D93A3F"/>
    <w:rsid w:val="00DA7974"/>
    <w:rsid w:val="00DB3A4A"/>
    <w:rsid w:val="00DB3E7B"/>
    <w:rsid w:val="00DB6E43"/>
    <w:rsid w:val="00DC24A0"/>
    <w:rsid w:val="00DC3A20"/>
    <w:rsid w:val="00DD1300"/>
    <w:rsid w:val="00DD2621"/>
    <w:rsid w:val="00DD339B"/>
    <w:rsid w:val="00DD3914"/>
    <w:rsid w:val="00DD569D"/>
    <w:rsid w:val="00DD70AD"/>
    <w:rsid w:val="00DE0F72"/>
    <w:rsid w:val="00DE5F49"/>
    <w:rsid w:val="00DE7388"/>
    <w:rsid w:val="00DF0255"/>
    <w:rsid w:val="00DF151F"/>
    <w:rsid w:val="00DF458B"/>
    <w:rsid w:val="00E040E0"/>
    <w:rsid w:val="00E05FBF"/>
    <w:rsid w:val="00E1002A"/>
    <w:rsid w:val="00E11B42"/>
    <w:rsid w:val="00E11FE4"/>
    <w:rsid w:val="00E154B4"/>
    <w:rsid w:val="00E22642"/>
    <w:rsid w:val="00E24392"/>
    <w:rsid w:val="00E27096"/>
    <w:rsid w:val="00E31A56"/>
    <w:rsid w:val="00E366FC"/>
    <w:rsid w:val="00E41B44"/>
    <w:rsid w:val="00E42643"/>
    <w:rsid w:val="00E43F73"/>
    <w:rsid w:val="00E44472"/>
    <w:rsid w:val="00E44CFB"/>
    <w:rsid w:val="00E453CB"/>
    <w:rsid w:val="00E46FD8"/>
    <w:rsid w:val="00E52ECE"/>
    <w:rsid w:val="00E5560D"/>
    <w:rsid w:val="00E5565B"/>
    <w:rsid w:val="00E55A02"/>
    <w:rsid w:val="00E609AC"/>
    <w:rsid w:val="00E60ABF"/>
    <w:rsid w:val="00E60C28"/>
    <w:rsid w:val="00E63D95"/>
    <w:rsid w:val="00E64AD8"/>
    <w:rsid w:val="00E66173"/>
    <w:rsid w:val="00E76837"/>
    <w:rsid w:val="00E808C4"/>
    <w:rsid w:val="00E84887"/>
    <w:rsid w:val="00E850EF"/>
    <w:rsid w:val="00E90114"/>
    <w:rsid w:val="00E91A98"/>
    <w:rsid w:val="00E93CF2"/>
    <w:rsid w:val="00E9581D"/>
    <w:rsid w:val="00E96346"/>
    <w:rsid w:val="00EA0207"/>
    <w:rsid w:val="00EA141F"/>
    <w:rsid w:val="00EA31CB"/>
    <w:rsid w:val="00EA5C26"/>
    <w:rsid w:val="00EA7BBB"/>
    <w:rsid w:val="00EB38CF"/>
    <w:rsid w:val="00EC149E"/>
    <w:rsid w:val="00EC2ADD"/>
    <w:rsid w:val="00EC7056"/>
    <w:rsid w:val="00EC70D8"/>
    <w:rsid w:val="00ED3417"/>
    <w:rsid w:val="00ED4651"/>
    <w:rsid w:val="00ED505F"/>
    <w:rsid w:val="00ED691B"/>
    <w:rsid w:val="00EE3005"/>
    <w:rsid w:val="00EE67BF"/>
    <w:rsid w:val="00EE73C4"/>
    <w:rsid w:val="00EF2442"/>
    <w:rsid w:val="00EF3310"/>
    <w:rsid w:val="00EF5A9E"/>
    <w:rsid w:val="00EF6BB1"/>
    <w:rsid w:val="00EF79D6"/>
    <w:rsid w:val="00EF7E39"/>
    <w:rsid w:val="00F0094F"/>
    <w:rsid w:val="00F022C4"/>
    <w:rsid w:val="00F05FF3"/>
    <w:rsid w:val="00F110C2"/>
    <w:rsid w:val="00F115E2"/>
    <w:rsid w:val="00F12203"/>
    <w:rsid w:val="00F13BB2"/>
    <w:rsid w:val="00F1427C"/>
    <w:rsid w:val="00F1771D"/>
    <w:rsid w:val="00F21F9D"/>
    <w:rsid w:val="00F22B9D"/>
    <w:rsid w:val="00F24ADB"/>
    <w:rsid w:val="00F25010"/>
    <w:rsid w:val="00F254DA"/>
    <w:rsid w:val="00F25644"/>
    <w:rsid w:val="00F26394"/>
    <w:rsid w:val="00F407FA"/>
    <w:rsid w:val="00F50B88"/>
    <w:rsid w:val="00F61F84"/>
    <w:rsid w:val="00F63D19"/>
    <w:rsid w:val="00F6528A"/>
    <w:rsid w:val="00F65C24"/>
    <w:rsid w:val="00F67EF7"/>
    <w:rsid w:val="00F71600"/>
    <w:rsid w:val="00F72F31"/>
    <w:rsid w:val="00F76F1A"/>
    <w:rsid w:val="00F7723C"/>
    <w:rsid w:val="00F77B36"/>
    <w:rsid w:val="00F8113D"/>
    <w:rsid w:val="00F876ED"/>
    <w:rsid w:val="00F8775B"/>
    <w:rsid w:val="00F87ED5"/>
    <w:rsid w:val="00F94F98"/>
    <w:rsid w:val="00FA68B0"/>
    <w:rsid w:val="00FA71FC"/>
    <w:rsid w:val="00FB7601"/>
    <w:rsid w:val="00FC6448"/>
    <w:rsid w:val="00FC656F"/>
    <w:rsid w:val="00FD2C1B"/>
    <w:rsid w:val="00FD309F"/>
    <w:rsid w:val="00FD4071"/>
    <w:rsid w:val="00FD5277"/>
    <w:rsid w:val="00FD5EA0"/>
    <w:rsid w:val="00FE2700"/>
    <w:rsid w:val="00FE33E8"/>
    <w:rsid w:val="00FE4194"/>
    <w:rsid w:val="00FE42C3"/>
    <w:rsid w:val="00FE65DC"/>
    <w:rsid w:val="00FE72D8"/>
    <w:rsid w:val="00FE7A55"/>
    <w:rsid w:val="00FF00FD"/>
    <w:rsid w:val="00FF32D9"/>
    <w:rsid w:val="00FF36C8"/>
    <w:rsid w:val="00FF6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0378"/>
  <w15:docId w15:val="{42ED2B64-09BB-4557-8409-FC3F4447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Header">
    <w:name w:val="header"/>
    <w:basedOn w:val="Normal"/>
    <w:link w:val="HeaderChar"/>
    <w:uiPriority w:val="99"/>
    <w:unhideWhenUsed/>
    <w:rsid w:val="003A10F7"/>
    <w:pPr>
      <w:tabs>
        <w:tab w:val="center" w:pos="4153"/>
        <w:tab w:val="right" w:pos="8306"/>
      </w:tabs>
    </w:pPr>
  </w:style>
  <w:style w:type="character" w:customStyle="1" w:styleId="HeaderChar">
    <w:name w:val="Header Char"/>
    <w:basedOn w:val="DefaultParagraphFont"/>
    <w:link w:val="Header"/>
    <w:uiPriority w:val="99"/>
    <w:rsid w:val="003A10F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A10F7"/>
    <w:pPr>
      <w:tabs>
        <w:tab w:val="center" w:pos="4153"/>
        <w:tab w:val="right" w:pos="8306"/>
      </w:tabs>
    </w:pPr>
  </w:style>
  <w:style w:type="character" w:customStyle="1" w:styleId="FooterChar">
    <w:name w:val="Footer Char"/>
    <w:basedOn w:val="DefaultParagraphFont"/>
    <w:link w:val="Footer"/>
    <w:uiPriority w:val="99"/>
    <w:rsid w:val="003A10F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B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096E53"/>
    <w:rPr>
      <w:sz w:val="16"/>
      <w:szCs w:val="16"/>
    </w:rPr>
  </w:style>
  <w:style w:type="paragraph" w:styleId="CommentText">
    <w:name w:val="annotation text"/>
    <w:basedOn w:val="Normal"/>
    <w:link w:val="CommentTextChar"/>
    <w:uiPriority w:val="99"/>
    <w:unhideWhenUsed/>
    <w:rsid w:val="00096E53"/>
    <w:rPr>
      <w:sz w:val="20"/>
      <w:szCs w:val="20"/>
    </w:rPr>
  </w:style>
  <w:style w:type="character" w:customStyle="1" w:styleId="CommentTextChar">
    <w:name w:val="Comment Text Char"/>
    <w:basedOn w:val="DefaultParagraphFont"/>
    <w:link w:val="CommentText"/>
    <w:uiPriority w:val="99"/>
    <w:rsid w:val="00096E5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6E53"/>
    <w:rPr>
      <w:b/>
      <w:bCs/>
    </w:rPr>
  </w:style>
  <w:style w:type="character" w:customStyle="1" w:styleId="CommentSubjectChar">
    <w:name w:val="Comment Subject Char"/>
    <w:basedOn w:val="CommentTextChar"/>
    <w:link w:val="CommentSubject"/>
    <w:uiPriority w:val="99"/>
    <w:semiHidden/>
    <w:rsid w:val="00096E5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0F7C3F"/>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E3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31659">
      <w:bodyDiv w:val="1"/>
      <w:marLeft w:val="0"/>
      <w:marRight w:val="0"/>
      <w:marTop w:val="0"/>
      <w:marBottom w:val="0"/>
      <w:divBdr>
        <w:top w:val="none" w:sz="0" w:space="0" w:color="auto"/>
        <w:left w:val="none" w:sz="0" w:space="0" w:color="auto"/>
        <w:bottom w:val="none" w:sz="0" w:space="0" w:color="auto"/>
        <w:right w:val="none" w:sz="0" w:space="0" w:color="auto"/>
      </w:divBdr>
    </w:div>
    <w:div w:id="341518293">
      <w:bodyDiv w:val="1"/>
      <w:marLeft w:val="0"/>
      <w:marRight w:val="0"/>
      <w:marTop w:val="0"/>
      <w:marBottom w:val="0"/>
      <w:divBdr>
        <w:top w:val="none" w:sz="0" w:space="0" w:color="auto"/>
        <w:left w:val="none" w:sz="0" w:space="0" w:color="auto"/>
        <w:bottom w:val="none" w:sz="0" w:space="0" w:color="auto"/>
        <w:right w:val="none" w:sz="0" w:space="0" w:color="auto"/>
      </w:divBdr>
    </w:div>
    <w:div w:id="874729291">
      <w:bodyDiv w:val="1"/>
      <w:marLeft w:val="0"/>
      <w:marRight w:val="0"/>
      <w:marTop w:val="0"/>
      <w:marBottom w:val="0"/>
      <w:divBdr>
        <w:top w:val="none" w:sz="0" w:space="0" w:color="auto"/>
        <w:left w:val="none" w:sz="0" w:space="0" w:color="auto"/>
        <w:bottom w:val="none" w:sz="0" w:space="0" w:color="auto"/>
        <w:right w:val="none" w:sz="0" w:space="0" w:color="auto"/>
      </w:divBdr>
      <w:divsChild>
        <w:div w:id="747732902">
          <w:marLeft w:val="0"/>
          <w:marRight w:val="0"/>
          <w:marTop w:val="0"/>
          <w:marBottom w:val="0"/>
          <w:divBdr>
            <w:top w:val="none" w:sz="0" w:space="0" w:color="auto"/>
            <w:left w:val="none" w:sz="0" w:space="0" w:color="auto"/>
            <w:bottom w:val="none" w:sz="0" w:space="0" w:color="auto"/>
            <w:right w:val="none" w:sz="0" w:space="0" w:color="auto"/>
          </w:divBdr>
          <w:divsChild>
            <w:div w:id="2073308114">
              <w:marLeft w:val="0"/>
              <w:marRight w:val="0"/>
              <w:marTop w:val="0"/>
              <w:marBottom w:val="0"/>
              <w:divBdr>
                <w:top w:val="none" w:sz="0" w:space="0" w:color="auto"/>
                <w:left w:val="none" w:sz="0" w:space="0" w:color="auto"/>
                <w:bottom w:val="none" w:sz="0" w:space="0" w:color="auto"/>
                <w:right w:val="none" w:sz="0" w:space="0" w:color="auto"/>
              </w:divBdr>
              <w:divsChild>
                <w:div w:id="717239620">
                  <w:marLeft w:val="0"/>
                  <w:marRight w:val="0"/>
                  <w:marTop w:val="0"/>
                  <w:marBottom w:val="0"/>
                  <w:divBdr>
                    <w:top w:val="none" w:sz="0" w:space="0" w:color="auto"/>
                    <w:left w:val="none" w:sz="0" w:space="0" w:color="auto"/>
                    <w:bottom w:val="none" w:sz="0" w:space="0" w:color="auto"/>
                    <w:right w:val="none" w:sz="0" w:space="0" w:color="auto"/>
                  </w:divBdr>
                  <w:divsChild>
                    <w:div w:id="1131827190">
                      <w:marLeft w:val="-150"/>
                      <w:marRight w:val="-150"/>
                      <w:marTop w:val="0"/>
                      <w:marBottom w:val="0"/>
                      <w:divBdr>
                        <w:top w:val="none" w:sz="0" w:space="0" w:color="auto"/>
                        <w:left w:val="none" w:sz="0" w:space="0" w:color="auto"/>
                        <w:bottom w:val="none" w:sz="0" w:space="0" w:color="auto"/>
                        <w:right w:val="none" w:sz="0" w:space="0" w:color="auto"/>
                      </w:divBdr>
                      <w:divsChild>
                        <w:div w:id="1374187393">
                          <w:marLeft w:val="0"/>
                          <w:marRight w:val="0"/>
                          <w:marTop w:val="0"/>
                          <w:marBottom w:val="0"/>
                          <w:divBdr>
                            <w:top w:val="none" w:sz="0" w:space="0" w:color="auto"/>
                            <w:left w:val="none" w:sz="0" w:space="0" w:color="auto"/>
                            <w:bottom w:val="none" w:sz="0" w:space="0" w:color="auto"/>
                            <w:right w:val="none" w:sz="0" w:space="0" w:color="auto"/>
                          </w:divBdr>
                          <w:divsChild>
                            <w:div w:id="352851671">
                              <w:marLeft w:val="0"/>
                              <w:marRight w:val="0"/>
                              <w:marTop w:val="0"/>
                              <w:marBottom w:val="0"/>
                              <w:divBdr>
                                <w:top w:val="none" w:sz="0" w:space="0" w:color="auto"/>
                                <w:left w:val="none" w:sz="0" w:space="0" w:color="auto"/>
                                <w:bottom w:val="none" w:sz="0" w:space="0" w:color="auto"/>
                                <w:right w:val="none" w:sz="0" w:space="0" w:color="auto"/>
                              </w:divBdr>
                              <w:divsChild>
                                <w:div w:id="132648077">
                                  <w:marLeft w:val="0"/>
                                  <w:marRight w:val="0"/>
                                  <w:marTop w:val="0"/>
                                  <w:marBottom w:val="300"/>
                                  <w:divBdr>
                                    <w:top w:val="none" w:sz="0" w:space="0" w:color="auto"/>
                                    <w:left w:val="none" w:sz="0" w:space="0" w:color="auto"/>
                                    <w:bottom w:val="none" w:sz="0" w:space="0" w:color="auto"/>
                                    <w:right w:val="none" w:sz="0" w:space="0" w:color="auto"/>
                                  </w:divBdr>
                                  <w:divsChild>
                                    <w:div w:id="1544175210">
                                      <w:marLeft w:val="0"/>
                                      <w:marRight w:val="0"/>
                                      <w:marTop w:val="0"/>
                                      <w:marBottom w:val="0"/>
                                      <w:divBdr>
                                        <w:top w:val="none" w:sz="0" w:space="0" w:color="auto"/>
                                        <w:left w:val="none" w:sz="0" w:space="0" w:color="auto"/>
                                        <w:bottom w:val="none" w:sz="0" w:space="0" w:color="auto"/>
                                        <w:right w:val="none" w:sz="0" w:space="0" w:color="auto"/>
                                      </w:divBdr>
                                      <w:divsChild>
                                        <w:div w:id="36008293">
                                          <w:marLeft w:val="0"/>
                                          <w:marRight w:val="0"/>
                                          <w:marTop w:val="0"/>
                                          <w:marBottom w:val="0"/>
                                          <w:divBdr>
                                            <w:top w:val="none" w:sz="0" w:space="0" w:color="auto"/>
                                            <w:left w:val="none" w:sz="0" w:space="0" w:color="auto"/>
                                            <w:bottom w:val="none" w:sz="0" w:space="0" w:color="auto"/>
                                            <w:right w:val="none" w:sz="0" w:space="0" w:color="auto"/>
                                          </w:divBdr>
                                          <w:divsChild>
                                            <w:div w:id="684550501">
                                              <w:marLeft w:val="0"/>
                                              <w:marRight w:val="0"/>
                                              <w:marTop w:val="0"/>
                                              <w:marBottom w:val="0"/>
                                              <w:divBdr>
                                                <w:top w:val="none" w:sz="0" w:space="0" w:color="auto"/>
                                                <w:left w:val="none" w:sz="0" w:space="0" w:color="auto"/>
                                                <w:bottom w:val="none" w:sz="0" w:space="0" w:color="auto"/>
                                                <w:right w:val="none" w:sz="0" w:space="0" w:color="auto"/>
                                              </w:divBdr>
                                              <w:divsChild>
                                                <w:div w:id="1464418693">
                                                  <w:marLeft w:val="0"/>
                                                  <w:marRight w:val="0"/>
                                                  <w:marTop w:val="0"/>
                                                  <w:marBottom w:val="0"/>
                                                  <w:divBdr>
                                                    <w:top w:val="none" w:sz="0" w:space="0" w:color="auto"/>
                                                    <w:left w:val="none" w:sz="0" w:space="0" w:color="auto"/>
                                                    <w:bottom w:val="none" w:sz="0" w:space="0" w:color="auto"/>
                                                    <w:right w:val="none" w:sz="0" w:space="0" w:color="auto"/>
                                                  </w:divBdr>
                                                  <w:divsChild>
                                                    <w:div w:id="1569346121">
                                                      <w:marLeft w:val="0"/>
                                                      <w:marRight w:val="0"/>
                                                      <w:marTop w:val="0"/>
                                                      <w:marBottom w:val="0"/>
                                                      <w:divBdr>
                                                        <w:top w:val="none" w:sz="0" w:space="0" w:color="auto"/>
                                                        <w:left w:val="none" w:sz="0" w:space="0" w:color="auto"/>
                                                        <w:bottom w:val="none" w:sz="0" w:space="0" w:color="auto"/>
                                                        <w:right w:val="none" w:sz="0" w:space="0" w:color="auto"/>
                                                      </w:divBdr>
                                                      <w:divsChild>
                                                        <w:div w:id="1007095378">
                                                          <w:marLeft w:val="0"/>
                                                          <w:marRight w:val="0"/>
                                                          <w:marTop w:val="0"/>
                                                          <w:marBottom w:val="0"/>
                                                          <w:divBdr>
                                                            <w:top w:val="none" w:sz="0" w:space="0" w:color="auto"/>
                                                            <w:left w:val="none" w:sz="0" w:space="0" w:color="auto"/>
                                                            <w:bottom w:val="none" w:sz="0" w:space="0" w:color="auto"/>
                                                            <w:right w:val="none" w:sz="0" w:space="0" w:color="auto"/>
                                                          </w:divBdr>
                                                          <w:divsChild>
                                                            <w:div w:id="6053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5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1C47A-664D-4FFD-AE54-C84990E1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12699</Words>
  <Characters>7239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Grozījumi Ministru kabineta 2010.gada 27.jūlija noteikumos nr.704 "Noteikumi par robežšķērsošanas vietām un tajās veicamajām pārbaudēm"</vt:lpstr>
    </vt:vector>
  </TitlesOfParts>
  <Company>Iekšlietu ministrija</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27.jūlija noteikumos nr.704 "Noteikumi par robežšķērsošanas vietām un tajās veicamajām pārbaudēm"</dc:title>
  <dc:subject>Anotācija</dc:subject>
  <dc:creator>Ilze Kozlovska</dc:creator>
  <cp:keywords/>
  <dc:description/>
  <cp:lastModifiedBy>Jekaterina Borovika</cp:lastModifiedBy>
  <cp:revision>2</cp:revision>
  <cp:lastPrinted>2019-12-02T06:53:00Z</cp:lastPrinted>
  <dcterms:created xsi:type="dcterms:W3CDTF">2020-01-07T10:45:00Z</dcterms:created>
  <dcterms:modified xsi:type="dcterms:W3CDTF">2020-01-07T10:45:00Z</dcterms:modified>
</cp:coreProperties>
</file>