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B2" w:rsidRDefault="007D2503" w:rsidP="00C440B2">
      <w:pPr>
        <w:spacing w:after="0" w:line="240" w:lineRule="auto"/>
        <w:jc w:val="center"/>
        <w:rPr>
          <w:rFonts w:ascii="Times New Roman" w:eastAsia="Times New Roman" w:hAnsi="Times New Roman" w:cs="Times New Roman"/>
          <w:b/>
          <w:bCs/>
          <w:iCs/>
          <w:color w:val="414142"/>
          <w:sz w:val="24"/>
          <w:szCs w:val="24"/>
          <w:lang w:val="sv-SE" w:eastAsia="lv-LV"/>
        </w:rPr>
      </w:pPr>
      <w:bookmarkStart w:id="0" w:name="_GoBack"/>
      <w:bookmarkEnd w:id="0"/>
      <w:r>
        <w:rPr>
          <w:rFonts w:ascii="Times New Roman" w:eastAsia="Times New Roman" w:hAnsi="Times New Roman" w:cs="Times New Roman"/>
          <w:b/>
          <w:bCs/>
          <w:iCs/>
          <w:color w:val="414142"/>
          <w:sz w:val="24"/>
          <w:szCs w:val="24"/>
          <w:lang w:val="sv-SE" w:eastAsia="lv-LV"/>
        </w:rPr>
        <w:t xml:space="preserve"> Ministru kabineta noteikumu </w:t>
      </w:r>
      <w:r w:rsidR="00C440B2" w:rsidRPr="00C440B2">
        <w:rPr>
          <w:rFonts w:ascii="Times New Roman" w:eastAsia="Times New Roman" w:hAnsi="Times New Roman" w:cs="Times New Roman"/>
          <w:b/>
          <w:bCs/>
          <w:iCs/>
          <w:color w:val="414142"/>
          <w:sz w:val="24"/>
          <w:szCs w:val="24"/>
          <w:lang w:val="sv-SE" w:eastAsia="lv-LV"/>
        </w:rPr>
        <w:t xml:space="preserve">projekta </w:t>
      </w:r>
      <w:r w:rsidR="00C440B2">
        <w:rPr>
          <w:rFonts w:ascii="Times New Roman" w:eastAsia="Times New Roman" w:hAnsi="Times New Roman" w:cs="Times New Roman"/>
          <w:b/>
          <w:bCs/>
          <w:iCs/>
          <w:color w:val="414142"/>
          <w:sz w:val="24"/>
          <w:szCs w:val="24"/>
          <w:lang w:val="sv-SE" w:eastAsia="lv-LV"/>
        </w:rPr>
        <w:t>”</w:t>
      </w:r>
      <w:r w:rsidRPr="007D2503">
        <w:rPr>
          <w:rFonts w:ascii="Times New Roman" w:eastAsia="Times New Roman" w:hAnsi="Times New Roman" w:cs="Times New Roman"/>
          <w:b/>
          <w:bCs/>
          <w:iCs/>
          <w:color w:val="414142"/>
          <w:sz w:val="24"/>
          <w:szCs w:val="24"/>
          <w:lang w:val="sv-SE" w:eastAsia="lv-LV"/>
        </w:rPr>
        <w:t>Grozījumi Ministru kabineta 2006.gada 12.decembra noteikumos Nr.994  “Kārtība, kādā augstskolas un koledžas tiek finansētas no valsts budžeta līdzekļiem”</w:t>
      </w:r>
      <w:r w:rsidR="009F6CFD">
        <w:rPr>
          <w:rFonts w:ascii="Times New Roman" w:eastAsia="Times New Roman" w:hAnsi="Times New Roman" w:cs="Times New Roman"/>
          <w:b/>
          <w:bCs/>
          <w:iCs/>
          <w:color w:val="414142"/>
          <w:sz w:val="24"/>
          <w:szCs w:val="24"/>
          <w:lang w:val="sv-SE" w:eastAsia="lv-LV"/>
        </w:rPr>
        <w:t>’’</w:t>
      </w:r>
      <w:r w:rsidR="00C440B2">
        <w:rPr>
          <w:rFonts w:ascii="Times New Roman" w:eastAsia="Times New Roman" w:hAnsi="Times New Roman" w:cs="Times New Roman"/>
          <w:b/>
          <w:bCs/>
          <w:iCs/>
          <w:color w:val="414142"/>
          <w:sz w:val="24"/>
          <w:szCs w:val="24"/>
          <w:lang w:val="sv-SE" w:eastAsia="lv-LV"/>
        </w:rPr>
        <w:t xml:space="preserve"> sākotnējās ietekmes novērtējuma ziņojums (anotācija)</w:t>
      </w:r>
    </w:p>
    <w:p w:rsidR="00C440B2" w:rsidRDefault="00C440B2" w:rsidP="00C440B2">
      <w:pPr>
        <w:spacing w:after="0" w:line="240" w:lineRule="auto"/>
        <w:rPr>
          <w:rFonts w:ascii="Times New Roman" w:eastAsia="Times New Roman" w:hAnsi="Times New Roman" w:cs="Times New Roman"/>
          <w:b/>
          <w:bCs/>
          <w:iCs/>
          <w:color w:val="414142"/>
          <w:sz w:val="24"/>
          <w:szCs w:val="24"/>
          <w:lang w:val="sv-SE" w:eastAsia="lv-LV"/>
        </w:rPr>
      </w:pP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8"/>
        <w:gridCol w:w="386"/>
        <w:gridCol w:w="856"/>
        <w:gridCol w:w="815"/>
        <w:gridCol w:w="75"/>
        <w:gridCol w:w="242"/>
        <w:gridCol w:w="515"/>
        <w:gridCol w:w="219"/>
        <w:gridCol w:w="805"/>
        <w:gridCol w:w="976"/>
        <w:gridCol w:w="805"/>
        <w:gridCol w:w="976"/>
        <w:gridCol w:w="1953"/>
        <w:gridCol w:w="179"/>
        <w:gridCol w:w="365"/>
        <w:gridCol w:w="287"/>
      </w:tblGrid>
      <w:tr w:rsidR="00C440B2" w:rsidRPr="00E5323B" w:rsidTr="007C1EA2">
        <w:trPr>
          <w:gridAfter w:val="2"/>
          <w:wAfter w:w="311" w:type="pct"/>
          <w:tblCellSpacing w:w="15" w:type="dxa"/>
        </w:trPr>
        <w:tc>
          <w:tcPr>
            <w:tcW w:w="4643" w:type="pct"/>
            <w:gridSpan w:val="14"/>
            <w:tcBorders>
              <w:top w:val="outset" w:sz="6" w:space="0" w:color="auto"/>
              <w:left w:val="outset" w:sz="6" w:space="0" w:color="auto"/>
              <w:bottom w:val="outset" w:sz="6" w:space="0" w:color="auto"/>
              <w:right w:val="outset" w:sz="6" w:space="0" w:color="auto"/>
            </w:tcBorders>
            <w:vAlign w:val="center"/>
            <w:hideMark/>
          </w:tcPr>
          <w:p w:rsidR="00C440B2" w:rsidRPr="00E5323B" w:rsidRDefault="00C440B2" w:rsidP="00CC57C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440B2" w:rsidRPr="00CB0721" w:rsidTr="007C1EA2">
        <w:trPr>
          <w:gridAfter w:val="2"/>
          <w:wAfter w:w="311" w:type="pct"/>
          <w:tblCellSpacing w:w="15" w:type="dxa"/>
        </w:trPr>
        <w:tc>
          <w:tcPr>
            <w:tcW w:w="1191" w:type="pct"/>
            <w:gridSpan w:val="4"/>
            <w:tcBorders>
              <w:top w:val="outset" w:sz="6" w:space="0" w:color="auto"/>
              <w:left w:val="outset" w:sz="6" w:space="0" w:color="auto"/>
              <w:bottom w:val="outset" w:sz="6" w:space="0" w:color="auto"/>
              <w:right w:val="outset" w:sz="6" w:space="0" w:color="auto"/>
            </w:tcBorders>
            <w:hideMark/>
          </w:tcPr>
          <w:p w:rsidR="00C440B2" w:rsidRPr="00906C75" w:rsidRDefault="00C440B2" w:rsidP="00CC57C5">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436" w:type="pct"/>
            <w:gridSpan w:val="10"/>
            <w:tcBorders>
              <w:top w:val="outset" w:sz="6" w:space="0" w:color="auto"/>
              <w:left w:val="outset" w:sz="6" w:space="0" w:color="auto"/>
              <w:bottom w:val="outset" w:sz="6" w:space="0" w:color="auto"/>
              <w:right w:val="outset" w:sz="6" w:space="0" w:color="auto"/>
            </w:tcBorders>
            <w:hideMark/>
          </w:tcPr>
          <w:p w:rsidR="009F6CFD" w:rsidRPr="00D15A11" w:rsidRDefault="009F6CFD" w:rsidP="009F6CFD">
            <w:pPr>
              <w:spacing w:after="0" w:line="240" w:lineRule="auto"/>
              <w:jc w:val="both"/>
              <w:rPr>
                <w:rFonts w:ascii="Times New Roman" w:eastAsia="Times New Roman" w:hAnsi="Times New Roman" w:cs="Times New Roman"/>
                <w:iCs/>
                <w:sz w:val="24"/>
                <w:szCs w:val="24"/>
                <w:lang w:eastAsia="lv-LV"/>
              </w:rPr>
            </w:pPr>
            <w:r w:rsidRPr="009F6CFD">
              <w:rPr>
                <w:rFonts w:ascii="Times New Roman" w:eastAsia="Times New Roman" w:hAnsi="Times New Roman" w:cs="Times New Roman"/>
                <w:iCs/>
                <w:sz w:val="24"/>
                <w:szCs w:val="24"/>
                <w:lang w:eastAsia="lv-LV"/>
              </w:rPr>
              <w:t xml:space="preserve">Noteikumu projekta ”Grozījumi Ministru kabineta </w:t>
            </w:r>
            <w:proofErr w:type="gramStart"/>
            <w:r w:rsidRPr="009F6CFD">
              <w:rPr>
                <w:rFonts w:ascii="Times New Roman" w:eastAsia="Times New Roman" w:hAnsi="Times New Roman" w:cs="Times New Roman"/>
                <w:iCs/>
                <w:sz w:val="24"/>
                <w:szCs w:val="24"/>
                <w:lang w:eastAsia="lv-LV"/>
              </w:rPr>
              <w:t>2006.gada</w:t>
            </w:r>
            <w:proofErr w:type="gramEnd"/>
            <w:r w:rsidRPr="009F6CFD">
              <w:rPr>
                <w:rFonts w:ascii="Times New Roman" w:eastAsia="Times New Roman" w:hAnsi="Times New Roman" w:cs="Times New Roman"/>
                <w:iCs/>
                <w:sz w:val="24"/>
                <w:szCs w:val="24"/>
                <w:lang w:eastAsia="lv-LV"/>
              </w:rPr>
              <w:t xml:space="preserve"> 12.decembra noteikumos Nr.994  “Kārtība, kādā augstskolas un koledžas tiek finansētas no valsts budžeta līdzekļiem”” (turpmāk – projekts) </w:t>
            </w:r>
            <w:r w:rsidRPr="005F726E">
              <w:rPr>
                <w:rFonts w:ascii="Times New Roman" w:eastAsia="Times New Roman" w:hAnsi="Times New Roman" w:cs="Times New Roman"/>
                <w:i/>
                <w:iCs/>
                <w:sz w:val="24"/>
                <w:szCs w:val="24"/>
                <w:lang w:eastAsia="lv-LV"/>
              </w:rPr>
              <w:t>mērķis</w:t>
            </w:r>
            <w:r w:rsidRPr="009F6CFD">
              <w:rPr>
                <w:rFonts w:ascii="Times New Roman" w:eastAsia="Times New Roman" w:hAnsi="Times New Roman" w:cs="Times New Roman"/>
                <w:iCs/>
                <w:sz w:val="24"/>
                <w:szCs w:val="24"/>
                <w:lang w:eastAsia="lv-LV"/>
              </w:rPr>
              <w:t xml:space="preserve"> ir</w:t>
            </w:r>
            <w:r w:rsidRPr="005F726E">
              <w:rPr>
                <w:rFonts w:ascii="Times New Roman" w:eastAsia="Times New Roman" w:hAnsi="Times New Roman" w:cs="Times New Roman"/>
                <w:iCs/>
                <w:sz w:val="24"/>
                <w:szCs w:val="24"/>
                <w:lang w:eastAsia="lv-LV"/>
              </w:rPr>
              <w:t xml:space="preserve"> </w:t>
            </w:r>
            <w:r w:rsidR="005F726E">
              <w:rPr>
                <w:rFonts w:ascii="Times New Roman" w:eastAsia="Times New Roman" w:hAnsi="Times New Roman" w:cs="Times New Roman"/>
                <w:iCs/>
                <w:sz w:val="24"/>
                <w:szCs w:val="24"/>
                <w:lang w:eastAsia="lv-LV"/>
              </w:rPr>
              <w:t xml:space="preserve">regulēt </w:t>
            </w:r>
            <w:r>
              <w:rPr>
                <w:rFonts w:ascii="Times New Roman" w:eastAsia="Times New Roman" w:hAnsi="Times New Roman" w:cs="Times New Roman"/>
                <w:iCs/>
                <w:sz w:val="24"/>
                <w:szCs w:val="24"/>
                <w:lang w:eastAsia="lv-LV"/>
              </w:rPr>
              <w:t>s</w:t>
            </w:r>
            <w:r w:rsidRPr="00D15A11">
              <w:rPr>
                <w:rFonts w:ascii="Times New Roman" w:eastAsia="Times New Roman" w:hAnsi="Times New Roman" w:cs="Times New Roman"/>
                <w:iCs/>
                <w:sz w:val="24"/>
                <w:szCs w:val="24"/>
                <w:lang w:eastAsia="lv-LV"/>
              </w:rPr>
              <w:t>tudiju finansējum</w:t>
            </w:r>
            <w:r>
              <w:rPr>
                <w:rFonts w:ascii="Times New Roman" w:eastAsia="Times New Roman" w:hAnsi="Times New Roman" w:cs="Times New Roman"/>
                <w:iCs/>
                <w:sz w:val="24"/>
                <w:szCs w:val="24"/>
                <w:lang w:eastAsia="lv-LV"/>
              </w:rPr>
              <w:t>a</w:t>
            </w:r>
            <w:r w:rsidRPr="00D15A11">
              <w:rPr>
                <w:rFonts w:ascii="Times New Roman" w:eastAsia="Times New Roman" w:hAnsi="Times New Roman" w:cs="Times New Roman"/>
                <w:iCs/>
                <w:sz w:val="24"/>
                <w:szCs w:val="24"/>
                <w:lang w:eastAsia="lv-LV"/>
              </w:rPr>
              <w:t xml:space="preserve"> no valsts budžeta līdzekļiem</w:t>
            </w:r>
            <w:r>
              <w:rPr>
                <w:rFonts w:ascii="Times New Roman" w:eastAsia="Times New Roman" w:hAnsi="Times New Roman" w:cs="Times New Roman"/>
                <w:iCs/>
                <w:sz w:val="24"/>
                <w:szCs w:val="24"/>
                <w:lang w:eastAsia="lv-LV"/>
              </w:rPr>
              <w:t xml:space="preserve"> </w:t>
            </w:r>
            <w:r w:rsidRPr="00D15A11">
              <w:rPr>
                <w:rFonts w:ascii="Times New Roman" w:eastAsia="Times New Roman" w:hAnsi="Times New Roman" w:cs="Times New Roman"/>
                <w:iCs/>
                <w:sz w:val="24"/>
                <w:szCs w:val="24"/>
                <w:lang w:eastAsia="lv-LV"/>
              </w:rPr>
              <w:t>piešķir</w:t>
            </w:r>
            <w:r w:rsidR="005F726E">
              <w:rPr>
                <w:rFonts w:ascii="Times New Roman" w:eastAsia="Times New Roman" w:hAnsi="Times New Roman" w:cs="Times New Roman"/>
                <w:iCs/>
                <w:sz w:val="24"/>
                <w:szCs w:val="24"/>
                <w:lang w:eastAsia="lv-LV"/>
              </w:rPr>
              <w:t xml:space="preserve">šanu </w:t>
            </w:r>
            <w:r>
              <w:rPr>
                <w:rFonts w:ascii="Times New Roman" w:eastAsia="Times New Roman" w:hAnsi="Times New Roman" w:cs="Times New Roman"/>
                <w:iCs/>
                <w:sz w:val="24"/>
                <w:szCs w:val="24"/>
                <w:lang w:eastAsia="lv-LV"/>
              </w:rPr>
              <w:t xml:space="preserve"> </w:t>
            </w:r>
            <w:r w:rsidR="005F726E" w:rsidRPr="005F726E">
              <w:rPr>
                <w:rFonts w:ascii="Times New Roman" w:eastAsia="Times New Roman" w:hAnsi="Times New Roman" w:cs="Times New Roman"/>
                <w:iCs/>
                <w:sz w:val="24"/>
                <w:szCs w:val="24"/>
                <w:lang w:eastAsia="lv-LV"/>
              </w:rPr>
              <w:t>Rīgas Stradiņa universitātei (turpmāk – RSU)</w:t>
            </w:r>
          </w:p>
          <w:p w:rsidR="009F6CFD" w:rsidRDefault="009F6CFD" w:rsidP="009F6CFD">
            <w:pPr>
              <w:spacing w:after="0" w:line="240" w:lineRule="auto"/>
              <w:jc w:val="both"/>
              <w:rPr>
                <w:rFonts w:ascii="Times New Roman" w:eastAsia="Times New Roman" w:hAnsi="Times New Roman" w:cs="Times New Roman"/>
                <w:iCs/>
                <w:sz w:val="24"/>
                <w:szCs w:val="24"/>
                <w:lang w:eastAsia="lv-LV"/>
              </w:rPr>
            </w:pPr>
            <w:r w:rsidRPr="00D15A11">
              <w:rPr>
                <w:rFonts w:ascii="Times New Roman" w:eastAsia="Times New Roman" w:hAnsi="Times New Roman" w:cs="Times New Roman"/>
                <w:iCs/>
                <w:sz w:val="24"/>
                <w:szCs w:val="24"/>
                <w:lang w:eastAsia="lv-LV"/>
              </w:rPr>
              <w:t xml:space="preserve"> speciālistu sagatavošanai tiesībaizsardzības iestāžu vajadzībām</w:t>
            </w:r>
            <w:r w:rsidR="005F726E">
              <w:rPr>
                <w:rFonts w:ascii="Times New Roman" w:eastAsia="Times New Roman" w:hAnsi="Times New Roman" w:cs="Times New Roman"/>
                <w:iCs/>
                <w:sz w:val="24"/>
                <w:szCs w:val="24"/>
                <w:lang w:eastAsia="lv-LV"/>
              </w:rPr>
              <w:t xml:space="preserve"> atbilstoši Ministru kabinetā atbalstītajiem politikas plānošanas dokumentiem.</w:t>
            </w:r>
          </w:p>
          <w:p w:rsidR="00221443" w:rsidRPr="003E3A0D" w:rsidRDefault="00E90974" w:rsidP="002214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93560C">
              <w:rPr>
                <w:rFonts w:ascii="Times New Roman" w:eastAsia="Times New Roman" w:hAnsi="Times New Roman" w:cs="Times New Roman"/>
                <w:iCs/>
                <w:sz w:val="24"/>
                <w:szCs w:val="24"/>
                <w:lang w:eastAsia="lv-LV"/>
              </w:rPr>
              <w:t xml:space="preserve">Projekts </w:t>
            </w:r>
            <w:r w:rsidR="005F726E">
              <w:rPr>
                <w:rFonts w:ascii="Times New Roman" w:eastAsia="Times New Roman" w:hAnsi="Times New Roman" w:cs="Times New Roman"/>
                <w:iCs/>
                <w:sz w:val="24"/>
                <w:szCs w:val="24"/>
                <w:lang w:eastAsia="lv-LV"/>
              </w:rPr>
              <w:t>paredz s</w:t>
            </w:r>
            <w:r w:rsidR="005F726E" w:rsidRPr="00D15A11">
              <w:rPr>
                <w:rFonts w:ascii="Times New Roman" w:eastAsia="Times New Roman" w:hAnsi="Times New Roman" w:cs="Times New Roman"/>
                <w:iCs/>
                <w:sz w:val="24"/>
                <w:szCs w:val="24"/>
                <w:lang w:eastAsia="lv-LV"/>
              </w:rPr>
              <w:t xml:space="preserve">tudiju </w:t>
            </w:r>
            <w:r w:rsidR="00221443">
              <w:rPr>
                <w:rFonts w:ascii="Times New Roman" w:eastAsia="Times New Roman" w:hAnsi="Times New Roman" w:cs="Times New Roman"/>
                <w:iCs/>
                <w:sz w:val="24"/>
                <w:szCs w:val="24"/>
                <w:lang w:eastAsia="lv-LV"/>
              </w:rPr>
              <w:t xml:space="preserve">bāzes finansējuma piešķiršanas nosacījumus RSU </w:t>
            </w:r>
            <w:r w:rsidR="005F726E" w:rsidRPr="00D15A11">
              <w:rPr>
                <w:rFonts w:ascii="Times New Roman" w:eastAsia="Times New Roman" w:hAnsi="Times New Roman" w:cs="Times New Roman"/>
                <w:iCs/>
                <w:sz w:val="24"/>
                <w:szCs w:val="24"/>
                <w:lang w:eastAsia="lv-LV"/>
              </w:rPr>
              <w:t>speciālistu sagatavošanai tiesībaizsardzības iestāžu vajadzībām</w:t>
            </w:r>
            <w:r w:rsidR="00221443">
              <w:rPr>
                <w:rFonts w:ascii="Times New Roman" w:eastAsia="Times New Roman" w:hAnsi="Times New Roman" w:cs="Times New Roman"/>
                <w:iCs/>
                <w:sz w:val="24"/>
                <w:szCs w:val="24"/>
                <w:lang w:eastAsia="lv-LV"/>
              </w:rPr>
              <w:t xml:space="preserve">, ievērojot arī to, ka attiecībā uz </w:t>
            </w:r>
            <w:r w:rsidR="00221443" w:rsidRPr="003E3A0D">
              <w:rPr>
                <w:rFonts w:ascii="Times New Roman" w:eastAsia="Times New Roman" w:hAnsi="Times New Roman" w:cs="Times New Roman"/>
                <w:iCs/>
                <w:sz w:val="24"/>
                <w:szCs w:val="24"/>
                <w:lang w:eastAsia="lv-LV"/>
              </w:rPr>
              <w:t>Iekšlietu ministrijas sistēmas iestā</w:t>
            </w:r>
            <w:r w:rsidR="00221443">
              <w:rPr>
                <w:rFonts w:ascii="Times New Roman" w:eastAsia="Times New Roman" w:hAnsi="Times New Roman" w:cs="Times New Roman"/>
                <w:iCs/>
                <w:sz w:val="24"/>
                <w:szCs w:val="24"/>
                <w:lang w:eastAsia="lv-LV"/>
              </w:rPr>
              <w:t>žu un Ieslodzījuma vietu pārvaldes amatpersonām ar speciālajām dienesta pakāpēm (turpmāk – amatpersona) izglītības ieguves jautājumus regulē arī citi normatīvie akti.</w:t>
            </w:r>
          </w:p>
          <w:p w:rsidR="00C440B2" w:rsidRPr="00E5323B" w:rsidRDefault="009F6CFD" w:rsidP="009F6CFD">
            <w:pPr>
              <w:pStyle w:val="naiskr"/>
              <w:spacing w:before="0" w:beforeAutospacing="0" w:after="0" w:afterAutospacing="0"/>
              <w:jc w:val="both"/>
              <w:rPr>
                <w:iCs/>
                <w:color w:val="A6A6A6" w:themeColor="background1" w:themeShade="A6"/>
                <w:lang w:val="sv-SE"/>
              </w:rPr>
            </w:pPr>
            <w:r>
              <w:rPr>
                <w:iCs/>
              </w:rPr>
              <w:t xml:space="preserve">    </w:t>
            </w:r>
            <w:r w:rsidRPr="00C909D9">
              <w:rPr>
                <w:iCs/>
              </w:rPr>
              <w:t xml:space="preserve">Paredzēts, ka jaunais regulējums stājas spēkā </w:t>
            </w:r>
            <w:proofErr w:type="gramStart"/>
            <w:r w:rsidRPr="00C909D9">
              <w:rPr>
                <w:iCs/>
              </w:rPr>
              <w:t>2020.gada</w:t>
            </w:r>
            <w:proofErr w:type="gramEnd"/>
            <w:r w:rsidRPr="00C909D9">
              <w:rPr>
                <w:iCs/>
              </w:rPr>
              <w:t xml:space="preserve"> 1.septembrī, ievērojot izglītības ieguves uzsākšanas laiku RSU.</w:t>
            </w:r>
          </w:p>
        </w:tc>
      </w:tr>
      <w:tr w:rsidR="00911126" w:rsidRPr="00E5323B" w:rsidTr="007C1EA2">
        <w:trPr>
          <w:gridAfter w:val="2"/>
          <w:wAfter w:w="311" w:type="pct"/>
          <w:tblCellSpacing w:w="15" w:type="dxa"/>
        </w:trPr>
        <w:tc>
          <w:tcPr>
            <w:tcW w:w="4643" w:type="pct"/>
            <w:gridSpan w:val="14"/>
            <w:tcBorders>
              <w:top w:val="outset" w:sz="6" w:space="0" w:color="auto"/>
              <w:left w:val="outset" w:sz="6" w:space="0" w:color="auto"/>
              <w:bottom w:val="outset" w:sz="6" w:space="0" w:color="auto"/>
              <w:right w:val="outset" w:sz="6" w:space="0" w:color="auto"/>
            </w:tcBorders>
            <w:vAlign w:val="center"/>
            <w:hideMark/>
          </w:tcPr>
          <w:p w:rsidR="00911126" w:rsidRPr="00E5323B" w:rsidRDefault="00911126" w:rsidP="0080700D">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911126" w:rsidRPr="00AA008E" w:rsidTr="007C1EA2">
        <w:trPr>
          <w:gridAfter w:val="2"/>
          <w:wAfter w:w="311" w:type="pct"/>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194" w:type="pct"/>
            <w:gridSpan w:val="5"/>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279" w:type="pct"/>
            <w:gridSpan w:val="8"/>
            <w:tcBorders>
              <w:top w:val="outset" w:sz="6" w:space="0" w:color="auto"/>
              <w:left w:val="outset" w:sz="6" w:space="0" w:color="auto"/>
              <w:bottom w:val="outset" w:sz="6" w:space="0" w:color="auto"/>
              <w:right w:val="outset" w:sz="6" w:space="0" w:color="auto"/>
            </w:tcBorders>
            <w:hideMark/>
          </w:tcPr>
          <w:p w:rsidR="00F56FDC" w:rsidRPr="00FF77F9" w:rsidRDefault="00F56FDC" w:rsidP="00F56FDC">
            <w:pPr>
              <w:pStyle w:val="liknoteik"/>
              <w:spacing w:before="0" w:beforeAutospacing="0" w:after="0" w:afterAutospacing="0"/>
              <w:jc w:val="both"/>
            </w:pPr>
            <w:r>
              <w:rPr>
                <w:iCs/>
              </w:rPr>
              <w:t xml:space="preserve">Atbilstoši </w:t>
            </w:r>
            <w:r w:rsidRPr="00F56FDC">
              <w:rPr>
                <w:iCs/>
              </w:rPr>
              <w:t xml:space="preserve">Ministru kabineta 2019. gada </w:t>
            </w:r>
            <w:proofErr w:type="gramStart"/>
            <w:r w:rsidRPr="00F56FDC">
              <w:rPr>
                <w:iCs/>
              </w:rPr>
              <w:t>7.maija</w:t>
            </w:r>
            <w:proofErr w:type="gramEnd"/>
            <w:r w:rsidRPr="00F56FDC">
              <w:rPr>
                <w:iCs/>
              </w:rPr>
              <w:t xml:space="preserve"> rīkojuma Nr.220 “Par konceptuālo ziņojumu “Par tiesībaizsardzības iestāžu amatpersonu izglītības sistēmas pilnveidi”” 3. punktā dot</w:t>
            </w:r>
            <w:r>
              <w:rPr>
                <w:iCs/>
              </w:rPr>
              <w:t>ajam</w:t>
            </w:r>
            <w:r w:rsidRPr="00F56FDC">
              <w:rPr>
                <w:iCs/>
              </w:rPr>
              <w:t xml:space="preserve"> uzdevum</w:t>
            </w:r>
            <w:r>
              <w:rPr>
                <w:iCs/>
              </w:rPr>
              <w:t>am</w:t>
            </w:r>
            <w:r w:rsidRPr="00F56FDC">
              <w:rPr>
                <w:iCs/>
              </w:rPr>
              <w:t xml:space="preserve">  – Iekšlietu ministrijai kopīgi ar Izglītības un zinātnes ministriju sagatavot un līdz 2019. gada 1.septembrim iesniegt noteiktā kārtībā Ministru kabinetā informatīvo ziņojumu par konkrētas valsts universitātes izvēli un atbilstoša normatīvā regulējuma izstrādes nepieciešamību</w:t>
            </w:r>
            <w:r>
              <w:rPr>
                <w:iCs/>
              </w:rPr>
              <w:t xml:space="preserve">, tika sagatavots un Ministru kabineta 2019.gada 17.septembra sēdē </w:t>
            </w:r>
            <w:r w:rsidRPr="00221443">
              <w:rPr>
                <w:iCs/>
              </w:rPr>
              <w:t>(prot.Nr.</w:t>
            </w:r>
            <w:r w:rsidR="00221443" w:rsidRPr="00221443">
              <w:rPr>
                <w:iCs/>
              </w:rPr>
              <w:t>42, 28.</w:t>
            </w:r>
            <w:r w:rsidRPr="00221443">
              <w:rPr>
                <w:iCs/>
              </w:rPr>
              <w:t>§)</w:t>
            </w:r>
            <w:r>
              <w:rPr>
                <w:iCs/>
              </w:rPr>
              <w:t xml:space="preserve"> izskatīts i</w:t>
            </w:r>
            <w:r w:rsidRPr="00F56FDC">
              <w:rPr>
                <w:iCs/>
              </w:rPr>
              <w:t>nformatīvais ziņojums</w:t>
            </w:r>
            <w:r>
              <w:rPr>
                <w:iCs/>
              </w:rPr>
              <w:t xml:space="preserve"> </w:t>
            </w:r>
            <w:r w:rsidRPr="00F56FDC">
              <w:rPr>
                <w:iCs/>
              </w:rPr>
              <w:t>„Par valsts universitātes izvēli tiesībaizsardzības iestāžu speciālistu sagatavošanai un atbilstoša normatīvā regulējuma izstrādes nepieciešamību”</w:t>
            </w:r>
            <w:r>
              <w:rPr>
                <w:iCs/>
              </w:rPr>
              <w:t xml:space="preserve"> (turpmāk – informatīvais ziņojums).</w:t>
            </w:r>
            <w:r w:rsidRPr="00FF77F9">
              <w:t xml:space="preserve"> </w:t>
            </w:r>
          </w:p>
          <w:p w:rsidR="00F56FDC" w:rsidRDefault="00F56FDC" w:rsidP="00F56FDC">
            <w:pPr>
              <w:pStyle w:val="liknoteik"/>
              <w:spacing w:before="0" w:beforeAutospacing="0" w:after="0" w:afterAutospacing="0"/>
              <w:jc w:val="both"/>
            </w:pPr>
            <w:r w:rsidRPr="00FF77F9">
              <w:t xml:space="preserve">     </w:t>
            </w:r>
            <w:r>
              <w:t>I</w:t>
            </w:r>
            <w:r>
              <w:rPr>
                <w:iCs/>
              </w:rPr>
              <w:t>nformatīvais</w:t>
            </w:r>
            <w:r w:rsidRPr="00FF77F9">
              <w:t xml:space="preserve"> </w:t>
            </w:r>
            <w:r w:rsidR="00983684">
              <w:t>z</w:t>
            </w:r>
            <w:r w:rsidRPr="00FF77F9">
              <w:t xml:space="preserve">iņojums sniedz pamatojumu ilgtermiņa sadarbības partnera (valsts universitātes) izvēlē speciālistu sagatavošanai tiesībaizsardzības iestāžu vajadzībām, kā arī satur informāciju par turpmāk plānotajiem pasākumiem un atbilstoša normatīvā regulējuma izstrādes nepieciešamību. </w:t>
            </w:r>
          </w:p>
          <w:p w:rsidR="00204472" w:rsidRDefault="00204472" w:rsidP="00F56FDC">
            <w:pPr>
              <w:pStyle w:val="liknoteik"/>
              <w:spacing w:before="0" w:beforeAutospacing="0" w:after="0" w:afterAutospacing="0"/>
              <w:jc w:val="both"/>
            </w:pPr>
            <w:r>
              <w:t xml:space="preserve">    Izskatot informatīvo ziņojumu, Ministru kabinets cita starpā: </w:t>
            </w:r>
          </w:p>
          <w:p w:rsidR="00204472" w:rsidRPr="00204472" w:rsidRDefault="00204472" w:rsidP="00204472">
            <w:pPr>
              <w:pStyle w:val="liknoteik"/>
              <w:spacing w:before="0" w:beforeAutospacing="0" w:after="0" w:afterAutospacing="0"/>
              <w:jc w:val="both"/>
            </w:pPr>
            <w:r>
              <w:t>- a</w:t>
            </w:r>
            <w:r w:rsidRPr="00204472">
              <w:t>tbalstī</w:t>
            </w:r>
            <w:r>
              <w:t>ja</w:t>
            </w:r>
            <w:r w:rsidRPr="00204472">
              <w:t xml:space="preserve"> priekšlikumu par speciālistu sagatavošanu tiesībaizsardzības iestāžu vajadzībām par valsts budžeta līdzekļiem </w:t>
            </w:r>
            <w:r w:rsidR="00C5330D">
              <w:t xml:space="preserve">RSU </w:t>
            </w:r>
            <w:proofErr w:type="spellStart"/>
            <w:r w:rsidRPr="00204472">
              <w:t>bakaulaura</w:t>
            </w:r>
            <w:proofErr w:type="spellEnd"/>
            <w:r w:rsidRPr="00204472">
              <w:t xml:space="preserve"> studiju programmā “Policijas darbs”, ar speciālu modeli papildinātā maģistra programmā “Tiesību zinātne” un kvalifikācijas paaugstināšanas kursos</w:t>
            </w:r>
            <w:r>
              <w:t>;</w:t>
            </w:r>
          </w:p>
          <w:p w:rsidR="00911126" w:rsidRDefault="00204472" w:rsidP="00D46B54">
            <w:pPr>
              <w:pStyle w:val="liknoteik"/>
              <w:spacing w:before="0" w:beforeAutospacing="0" w:after="0" w:afterAutospacing="0"/>
              <w:jc w:val="both"/>
            </w:pPr>
            <w:r>
              <w:t xml:space="preserve">- uzdeva </w:t>
            </w:r>
            <w:r w:rsidRPr="00204472">
              <w:t xml:space="preserve">Iekšlietu ministrijai līdz </w:t>
            </w:r>
            <w:proofErr w:type="gramStart"/>
            <w:r w:rsidRPr="00204472">
              <w:t>2019.gada</w:t>
            </w:r>
            <w:proofErr w:type="gramEnd"/>
            <w:r w:rsidRPr="00204472">
              <w:t xml:space="preserve"> 1.decembrim sagatavot un iekšlietu ministram normatīvajos aktos noteiktajā kārtībā  iesniegt izskatīšanai Ministru kabinetā noteikumu </w:t>
            </w:r>
            <w:r w:rsidRPr="00204472">
              <w:lastRenderedPageBreak/>
              <w:t>projektu par grozījumiem 2006.gada 12.decembra Ministru kabineta noteikumos Nr.994 “Kārtība, kādā augstskolas un koledžas tiek finansētas no valsts budžeta līdzekļiem”</w:t>
            </w:r>
            <w:r w:rsidR="00D46B54">
              <w:t xml:space="preserve"> (turpmāk – noteikumi Nr.994)</w:t>
            </w:r>
            <w:r w:rsidRPr="00204472">
              <w:t>.</w:t>
            </w:r>
          </w:p>
          <w:p w:rsidR="00090363" w:rsidRPr="00AA008E" w:rsidRDefault="00090363" w:rsidP="00090363">
            <w:pPr>
              <w:pStyle w:val="liknoteik"/>
              <w:spacing w:before="0" w:beforeAutospacing="0" w:after="0" w:afterAutospacing="0"/>
              <w:jc w:val="both"/>
              <w:rPr>
                <w:iCs/>
                <w:color w:val="A6A6A6" w:themeColor="background1" w:themeShade="A6"/>
              </w:rPr>
            </w:pPr>
            <w:r w:rsidRPr="00C82B40">
              <w:t>S</w:t>
            </w:r>
            <w:r w:rsidRPr="00090363">
              <w:t xml:space="preserve">peciālistu sagatavošana tiesībaizsardzības iestāžu vajadzībām </w:t>
            </w:r>
            <w:r w:rsidRPr="00C82B40">
              <w:t xml:space="preserve">RSU </w:t>
            </w:r>
            <w:r w:rsidRPr="00090363">
              <w:t>gan pilna laika, gan nepilna laika studijā</w:t>
            </w:r>
            <w:r>
              <w:t>s</w:t>
            </w:r>
            <w:r w:rsidRPr="00090363">
              <w:t xml:space="preserve"> tiks pilnībā nodrošināta no Iekšlietu ministrija</w:t>
            </w:r>
            <w:r w:rsidRPr="00C82B40">
              <w:t>i (attiecīgajām Iekšlietu ministrijas sistēmas iestādēm)</w:t>
            </w:r>
            <w:r w:rsidRPr="00090363">
              <w:t xml:space="preserve"> un</w:t>
            </w:r>
            <w:r w:rsidRPr="00C82B40">
              <w:t xml:space="preserve"> citām tiesībaizsardzības iestādēm piešķirtajiem valsts budžeta līdzekļiem.</w:t>
            </w:r>
            <w:r w:rsidRPr="00C82B40">
              <w:rPr>
                <w:sz w:val="28"/>
                <w:szCs w:val="28"/>
              </w:rPr>
              <w:t xml:space="preserve"> </w:t>
            </w:r>
          </w:p>
        </w:tc>
      </w:tr>
      <w:tr w:rsidR="00911126" w:rsidRPr="003E3962" w:rsidTr="007C1EA2">
        <w:trPr>
          <w:gridAfter w:val="2"/>
          <w:wAfter w:w="311" w:type="pct"/>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2.</w:t>
            </w:r>
          </w:p>
        </w:tc>
        <w:tc>
          <w:tcPr>
            <w:tcW w:w="1194" w:type="pct"/>
            <w:gridSpan w:val="5"/>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79" w:type="pct"/>
            <w:gridSpan w:val="8"/>
            <w:tcBorders>
              <w:top w:val="outset" w:sz="6" w:space="0" w:color="auto"/>
              <w:left w:val="outset" w:sz="6" w:space="0" w:color="auto"/>
              <w:bottom w:val="outset" w:sz="6" w:space="0" w:color="auto"/>
              <w:right w:val="outset" w:sz="6" w:space="0" w:color="auto"/>
            </w:tcBorders>
          </w:tcPr>
          <w:p w:rsidR="00D46B54" w:rsidRDefault="00D46B54" w:rsidP="00B045B5">
            <w:pPr>
              <w:pStyle w:val="liknoteik"/>
              <w:spacing w:before="0" w:beforeAutospacing="0" w:after="0" w:afterAutospacing="0"/>
              <w:jc w:val="both"/>
            </w:pPr>
            <w:r>
              <w:t xml:space="preserve"> </w:t>
            </w:r>
            <w:r w:rsidR="00CB53E4">
              <w:t xml:space="preserve">[1] </w:t>
            </w:r>
            <w:r>
              <w:t xml:space="preserve">Kā norādīts informatīvā ziņojuma </w:t>
            </w:r>
            <w:r w:rsidRPr="00B045B5">
              <w:t>IV.</w:t>
            </w:r>
            <w:r w:rsidR="00B045B5">
              <w:t xml:space="preserve"> nodaļā “</w:t>
            </w:r>
            <w:r w:rsidRPr="00B045B5">
              <w:t>Nepieciešamie tiesību aktu projekti</w:t>
            </w:r>
            <w:r w:rsidR="00B045B5">
              <w:t>”– “</w:t>
            </w:r>
            <w:r w:rsidRPr="00FF77F9">
              <w:t xml:space="preserve">Lai valsts un sabiedrības interesēs īstenotu ilgtermiņa sadarbību ar RSU, nodrošinot ikgadēju valsts pasūtījumu speciālistu sagatavošanā tiesībaizsardzības iestāžu vajadzībām, </w:t>
            </w:r>
            <w:proofErr w:type="gramStart"/>
            <w:r w:rsidRPr="00FF77F9">
              <w:t xml:space="preserve">ievērojot, ka </w:t>
            </w:r>
            <w:r w:rsidRPr="00C5330D">
              <w:rPr>
                <w:i/>
              </w:rPr>
              <w:t>no tiesībaizsardzības iestādēm piešķirtajiem valsts budžeta līdzekļiem</w:t>
            </w:r>
            <w:proofErr w:type="gramEnd"/>
            <w:r w:rsidRPr="00C5330D">
              <w:rPr>
                <w:i/>
              </w:rPr>
              <w:t xml:space="preserve"> tiks finansētas arī </w:t>
            </w:r>
            <w:r w:rsidRPr="00AC5657">
              <w:rPr>
                <w:b/>
                <w:i/>
              </w:rPr>
              <w:t>nepilna laika studijas</w:t>
            </w:r>
            <w:r w:rsidRPr="00FF77F9">
              <w:t>, nepieciešami grozījumi Ministru kabineta 2006.gada 12.decembra noteikumos Nr.994 “Kārtība, kādā augstskolas un koledžas tiek finansētas no valsts budžeta līdzekļiem”</w:t>
            </w:r>
            <w:r w:rsidR="00C5330D">
              <w:t>”</w:t>
            </w:r>
            <w:r w:rsidRPr="00FF77F9">
              <w:t xml:space="preserve">. </w:t>
            </w:r>
          </w:p>
          <w:p w:rsidR="00AC5657" w:rsidRDefault="00AC5657" w:rsidP="00AC5657">
            <w:pPr>
              <w:pStyle w:val="liknoteik"/>
              <w:spacing w:before="0" w:beforeAutospacing="0" w:after="0" w:afterAutospacing="0"/>
              <w:jc w:val="both"/>
            </w:pPr>
            <w:r>
              <w:t>Pašreiz noteikumos Nr.994 noteikts, ka:</w:t>
            </w:r>
          </w:p>
          <w:p w:rsidR="00AC5657" w:rsidRDefault="00AC5657" w:rsidP="00AC5657">
            <w:pPr>
              <w:pStyle w:val="liknoteik"/>
              <w:spacing w:before="0" w:beforeAutospacing="0" w:after="0" w:afterAutospacing="0"/>
              <w:jc w:val="both"/>
            </w:pPr>
            <w:r>
              <w:t>- studiju bāzes finansējumu no valsts budžeta līdzekļiem piešķir pilna laika studijām;</w:t>
            </w:r>
          </w:p>
          <w:p w:rsidR="00AC5657" w:rsidRDefault="00AC5657" w:rsidP="00B045B5">
            <w:pPr>
              <w:pStyle w:val="liknoteik"/>
              <w:spacing w:before="0" w:beforeAutospacing="0" w:after="0" w:afterAutospacing="0"/>
              <w:jc w:val="both"/>
            </w:pPr>
            <w:r>
              <w:t xml:space="preserve">- studiju izmaksu koeficientu vērtības studiju vietas izmaksu aprēķinos nepilna laika studijās ir trīs ceturtdaļas no šo noteikumu </w:t>
            </w:r>
            <w:hyperlink r:id="rId8" w:anchor="piel1" w:history="1">
              <w:r w:rsidRPr="00B045B5">
                <w:t>1.pielikumā</w:t>
              </w:r>
            </w:hyperlink>
            <w:r>
              <w:t xml:space="preserve"> noteiktās attiecīgās izglītības tematiskās jomas koeficienta vērtības.  </w:t>
            </w:r>
          </w:p>
          <w:p w:rsidR="00280066" w:rsidRDefault="00C5330D" w:rsidP="00280066">
            <w:pPr>
              <w:pStyle w:val="liknoteik"/>
              <w:spacing w:before="0" w:beforeAutospacing="0" w:after="0" w:afterAutospacing="0"/>
              <w:jc w:val="both"/>
            </w:pPr>
            <w:r>
              <w:t xml:space="preserve">   Arī </w:t>
            </w:r>
            <w:r w:rsidR="00AC5657">
              <w:t xml:space="preserve">pašlaik </w:t>
            </w:r>
            <w:r>
              <w:t>no Iekšlietu ministrijai piešķirtajiem valsts budžeta līdzekļiem gan Iekšlietu ministrijas</w:t>
            </w:r>
            <w:r w:rsidR="00D975DD">
              <w:t xml:space="preserve"> sistēmas iestāžu padotībā esošajās</w:t>
            </w:r>
            <w:r>
              <w:t xml:space="preserve"> koledžās, gan augstskolās, ar kurām Valsts policija (RSU) un Valsts robežsardze (Rēzeknes Tehnoloģiju augstskola)</w:t>
            </w:r>
            <w:proofErr w:type="gramStart"/>
            <w:r>
              <w:t xml:space="preserve"> noslēgušas līgumus par tām nepieciešamo speciālistu sagatavošanu </w:t>
            </w:r>
            <w:r w:rsidR="00CB0818">
              <w:t xml:space="preserve">otrā </w:t>
            </w:r>
            <w:r>
              <w:t>līmeņa profesionālās augstākās izglītības studiju programmās</w:t>
            </w:r>
            <w:proofErr w:type="gramEnd"/>
            <w:r>
              <w:t xml:space="preserve">, izglītības ieguve notiek arī </w:t>
            </w:r>
            <w:r w:rsidRPr="00FB3CAC">
              <w:rPr>
                <w:b/>
                <w:i/>
              </w:rPr>
              <w:t>nepilna laika</w:t>
            </w:r>
            <w:r>
              <w:t xml:space="preserve"> (neklātienes) formā. Tas paredzēts </w:t>
            </w:r>
            <w:r w:rsidRPr="00CB0818">
              <w:t xml:space="preserve">Ministru kabineta </w:t>
            </w:r>
            <w:r w:rsidRPr="00C5330D">
              <w:t>2010.gada 16.mart</w:t>
            </w:r>
            <w:r w:rsidR="00CB0818">
              <w:t>a</w:t>
            </w:r>
            <w:r w:rsidRPr="00C5330D">
              <w:t xml:space="preserve"> </w:t>
            </w:r>
            <w:r w:rsidRPr="00CB0818">
              <w:t>noteikum</w:t>
            </w:r>
            <w:r w:rsidR="00CB0818" w:rsidRPr="00CB0818">
              <w:t>os</w:t>
            </w:r>
            <w:r w:rsidRPr="00CB0818">
              <w:t xml:space="preserve"> Nr.257</w:t>
            </w:r>
            <w:r w:rsidRPr="00C5330D">
              <w:t xml:space="preserve"> </w:t>
            </w:r>
            <w:r w:rsidR="00CB0818">
              <w:t>“Notei</w:t>
            </w:r>
            <w:r w:rsidRPr="00C5330D">
              <w:t>kumi par kārtību, kādā Iekšlietu ministrijas sistēmas iestāžu un Ieslodzījuma vietu pārvaldes amatpersonas ar speciālajām dienesta pakāpēm tiek nosūtītas izglītības iegūšanai, kā arī mācību izdevumu segšanas un atmaksāšanas kārtību</w:t>
            </w:r>
            <w:r w:rsidR="00CB0818">
              <w:t>” (turpmāk – noteikumi Nr.257), kas nosaka, ka  mācību izdevumus, kas saistīti ar izglītības iegūšanu, sedz no valsts budžeta līdzekļiem, ja amatpersona saskaņā ar šiem noteikumiem izglītību iegūst Iekšlietu ministrijas sistēmas iestāžu padotībā esošā koledžā vai citā šajos noteikumos noteiktajā izglītības iestādē  – augstskolā, valsts akreditētā izglītības iestādē vai ārvalsts izglītības iestādē</w:t>
            </w:r>
            <w:r w:rsidR="00280066">
              <w:t xml:space="preserve"> attiecīgi pilna vai nepilna laika studijās, klātienē vai neklātienē.</w:t>
            </w:r>
          </w:p>
          <w:p w:rsidR="00202D71" w:rsidRDefault="00983684" w:rsidP="00280066">
            <w:pPr>
              <w:pStyle w:val="liknoteik"/>
              <w:spacing w:before="0" w:beforeAutospacing="0" w:after="0" w:afterAutospacing="0"/>
              <w:jc w:val="both"/>
            </w:pPr>
            <w:r>
              <w:t xml:space="preserve">  Tomēr </w:t>
            </w:r>
            <w:r w:rsidRPr="00F56FDC">
              <w:rPr>
                <w:iCs/>
              </w:rPr>
              <w:t>konceptuāl</w:t>
            </w:r>
            <w:r>
              <w:rPr>
                <w:iCs/>
              </w:rPr>
              <w:t>ais</w:t>
            </w:r>
            <w:r w:rsidRPr="00F56FDC">
              <w:rPr>
                <w:iCs/>
              </w:rPr>
              <w:t xml:space="preserve"> ziņojum</w:t>
            </w:r>
            <w:r>
              <w:rPr>
                <w:iCs/>
              </w:rPr>
              <w:t>s</w:t>
            </w:r>
            <w:r w:rsidRPr="00F56FDC">
              <w:rPr>
                <w:iCs/>
              </w:rPr>
              <w:t xml:space="preserve"> “Par tiesībaizsardzības iestāžu amatpersonu izglītības sistēmas pilnveidi”</w:t>
            </w:r>
            <w:r>
              <w:rPr>
                <w:iCs/>
              </w:rPr>
              <w:t xml:space="preserve"> </w:t>
            </w:r>
            <w:r w:rsidR="00D66F18">
              <w:rPr>
                <w:iCs/>
              </w:rPr>
              <w:t xml:space="preserve">(turpmāk – konceptuālais ziņojums) </w:t>
            </w:r>
            <w:r>
              <w:rPr>
                <w:iCs/>
              </w:rPr>
              <w:t xml:space="preserve">un attiecīgi informatīvais ziņojums paplašina tiesībaizsardzības iestāžu loku, </w:t>
            </w:r>
            <w:r w:rsidR="00AC5657">
              <w:rPr>
                <w:iCs/>
              </w:rPr>
              <w:t xml:space="preserve">kuru nodarbinātie var </w:t>
            </w:r>
            <w:r w:rsidR="00AC5657">
              <w:rPr>
                <w:iCs/>
              </w:rPr>
              <w:lastRenderedPageBreak/>
              <w:t xml:space="preserve">iegūt izglītību (pamatā plānots nepilna laika studijās, nepārtraucot amata (dienesta) pienākumu izpildi) </w:t>
            </w:r>
            <w:proofErr w:type="spellStart"/>
            <w:r w:rsidR="00AC5657" w:rsidRPr="00204472">
              <w:t>bakaulaura</w:t>
            </w:r>
            <w:proofErr w:type="spellEnd"/>
            <w:r w:rsidR="00AC5657" w:rsidRPr="00204472">
              <w:t xml:space="preserve"> studiju programmā “Policijas darbs”</w:t>
            </w:r>
            <w:r w:rsidR="00AC5657">
              <w:t xml:space="preserve"> un</w:t>
            </w:r>
            <w:r w:rsidR="00AC5657" w:rsidRPr="00204472">
              <w:t xml:space="preserve"> ar speciālu modeli papildinātā maģistra programmā “Tiesību zinātne”</w:t>
            </w:r>
            <w:r w:rsidR="00AC5657">
              <w:t>,</w:t>
            </w:r>
            <w:r w:rsidR="00AC5657" w:rsidRPr="00204472">
              <w:t xml:space="preserve"> </w:t>
            </w:r>
            <w:r>
              <w:rPr>
                <w:iCs/>
              </w:rPr>
              <w:t xml:space="preserve">ietverot arī </w:t>
            </w:r>
            <w:r w:rsidR="00AC5657">
              <w:t>Korupcijas novēršanas un apkarošanas biroju, Valsts ieņēmumu dienesta Nodokļu un muitas policiju, Ieslodzījuma vietu pārvaldi.</w:t>
            </w:r>
          </w:p>
          <w:p w:rsidR="000E4988" w:rsidRDefault="00D66F18" w:rsidP="009E2D86">
            <w:pPr>
              <w:pStyle w:val="liknoteik"/>
              <w:spacing w:before="0" w:beforeAutospacing="0" w:after="0" w:afterAutospacing="0"/>
              <w:jc w:val="both"/>
            </w:pPr>
            <w:r>
              <w:t xml:space="preserve">  Kā </w:t>
            </w:r>
            <w:r w:rsidR="009E2D86">
              <w:t xml:space="preserve">norādīts </w:t>
            </w:r>
            <w:r>
              <w:t xml:space="preserve">konceptuālajā ziņojumā un </w:t>
            </w:r>
            <w:r w:rsidRPr="009E2D86">
              <w:t>informatīvajā ziņojumā</w:t>
            </w:r>
            <w:r w:rsidR="00C11716" w:rsidRPr="009E2D86">
              <w:t xml:space="preserve"> </w:t>
            </w:r>
            <w:r w:rsidR="00C11716" w:rsidRPr="00CB0721">
              <w:rPr>
                <w:i/>
              </w:rPr>
              <w:t>maksimāl</w:t>
            </w:r>
            <w:r w:rsidR="009E2D86" w:rsidRPr="00CB0721">
              <w:rPr>
                <w:i/>
              </w:rPr>
              <w:t>ais</w:t>
            </w:r>
            <w:r w:rsidR="00C11716" w:rsidRPr="00FF77F9">
              <w:t xml:space="preserve"> </w:t>
            </w:r>
            <w:r w:rsidR="00C11716" w:rsidRPr="00CB0721">
              <w:rPr>
                <w:i/>
              </w:rPr>
              <w:t>plānot</w:t>
            </w:r>
            <w:r w:rsidR="009E2D86" w:rsidRPr="00CB0721">
              <w:rPr>
                <w:i/>
              </w:rPr>
              <w:t>ais</w:t>
            </w:r>
            <w:r w:rsidR="00C11716" w:rsidRPr="00CB0721">
              <w:rPr>
                <w:i/>
              </w:rPr>
              <w:t xml:space="preserve"> ikgadēj</w:t>
            </w:r>
            <w:r w:rsidR="009E2D86" w:rsidRPr="00CB0721">
              <w:rPr>
                <w:i/>
              </w:rPr>
              <w:t>ais</w:t>
            </w:r>
            <w:r w:rsidR="00C11716" w:rsidRPr="00CB0721">
              <w:rPr>
                <w:i/>
              </w:rPr>
              <w:t xml:space="preserve"> vecāko speciālistu pasūtījum</w:t>
            </w:r>
            <w:r w:rsidR="009E2D86" w:rsidRPr="00CB0721">
              <w:rPr>
                <w:i/>
              </w:rPr>
              <w:t>s</w:t>
            </w:r>
            <w:r w:rsidR="00C11716" w:rsidRPr="009E2D86">
              <w:t xml:space="preserve"> izglītības programmās</w:t>
            </w:r>
            <w:r w:rsidR="000E4988">
              <w:t>:</w:t>
            </w:r>
          </w:p>
          <w:p w:rsidR="00F35B87" w:rsidRDefault="000E4988" w:rsidP="009E2D86">
            <w:pPr>
              <w:pStyle w:val="liknoteik"/>
              <w:spacing w:before="0" w:beforeAutospacing="0" w:after="0" w:afterAutospacing="0"/>
              <w:jc w:val="both"/>
            </w:pPr>
            <w:r>
              <w:t>-</w:t>
            </w:r>
            <w:r w:rsidR="00CB0721">
              <w:t xml:space="preserve"> </w:t>
            </w:r>
            <w:r w:rsidR="00C11716" w:rsidRPr="00CB0721">
              <w:t>Valsts policijas vecākā virsnieka profesijas standarta un studiju virziena “Iekšējā</w:t>
            </w:r>
            <w:r w:rsidR="00C11716" w:rsidRPr="00FF77F9">
              <w:t xml:space="preserve"> drošība un civilā aizsardzība” balstītā profesionālajā bakalaura studiju programmā</w:t>
            </w:r>
            <w:r w:rsidR="00CB0721">
              <w:t xml:space="preserve"> </w:t>
            </w:r>
            <w:r w:rsidR="00CB0721" w:rsidRPr="00204472">
              <w:t>“Policijas darbs”</w:t>
            </w:r>
            <w:r w:rsidR="00C11716" w:rsidRPr="00FF77F9">
              <w:t>:</w:t>
            </w:r>
          </w:p>
          <w:p w:rsidR="00C11716" w:rsidRPr="00CB0721" w:rsidRDefault="00F35B87" w:rsidP="009E2D86">
            <w:pPr>
              <w:pStyle w:val="liknoteik"/>
              <w:spacing w:before="0" w:beforeAutospacing="0" w:after="0" w:afterAutospacing="0"/>
              <w:jc w:val="both"/>
              <w:rPr>
                <w:i/>
              </w:rPr>
            </w:pPr>
            <w:r>
              <w:t>-</w:t>
            </w:r>
            <w:r w:rsidR="00C11716" w:rsidRPr="00FF77F9">
              <w:t xml:space="preserve"> </w:t>
            </w:r>
            <w:r w:rsidR="00C11716" w:rsidRPr="00CB0721">
              <w:rPr>
                <w:i/>
              </w:rPr>
              <w:t>nepilnā laikā – 105 personas</w:t>
            </w:r>
            <w:r w:rsidR="00C11716" w:rsidRPr="00FF77F9">
              <w:t xml:space="preserve"> (Valsts policija – 80, Ieslodzījuma vietu pārvalde – 1, Korupcijas novēršanas un apkarošanas birojs – 4, Valsts ieņēmuma dienesta Nodokļu un muitas policija – 15, Iekšējās drošības birojs – 5), </w:t>
            </w:r>
            <w:r w:rsidR="00C11716" w:rsidRPr="00CB0721">
              <w:rPr>
                <w:i/>
              </w:rPr>
              <w:t>pilnā laikā – 20 personas (Valsts policija)</w:t>
            </w:r>
            <w:r w:rsidRPr="009F6CFD">
              <w:t>;</w:t>
            </w:r>
          </w:p>
          <w:p w:rsidR="00983684" w:rsidRPr="00FF77F9" w:rsidRDefault="00F35B87" w:rsidP="00280066">
            <w:pPr>
              <w:pStyle w:val="liknoteik"/>
              <w:spacing w:before="0" w:beforeAutospacing="0" w:after="0" w:afterAutospacing="0"/>
              <w:jc w:val="both"/>
            </w:pPr>
            <w:r>
              <w:t xml:space="preserve">- </w:t>
            </w:r>
            <w:r w:rsidR="00C11716" w:rsidRPr="00FF77F9">
              <w:t>profesionālā maģistra studiju programmā “Tiesību zinātne”–</w:t>
            </w:r>
            <w:r w:rsidR="00C11716" w:rsidRPr="00F35B87">
              <w:rPr>
                <w:i/>
              </w:rPr>
              <w:t>25 personas</w:t>
            </w:r>
            <w:r w:rsidRPr="00F35B87">
              <w:rPr>
                <w:i/>
              </w:rPr>
              <w:t xml:space="preserve"> (nepilnā laikā).</w:t>
            </w:r>
            <w:r w:rsidR="00AC5657">
              <w:t xml:space="preserve"> </w:t>
            </w:r>
          </w:p>
          <w:p w:rsidR="00AC5657" w:rsidRPr="00CB53E4" w:rsidRDefault="00EF7430" w:rsidP="00CB53E4">
            <w:pPr>
              <w:pStyle w:val="liknoteik"/>
              <w:spacing w:before="0" w:beforeAutospacing="0" w:after="0" w:afterAutospacing="0"/>
              <w:jc w:val="both"/>
            </w:pPr>
            <w:r w:rsidRPr="00AC5657">
              <w:rPr>
                <w:iCs/>
              </w:rPr>
              <w:t xml:space="preserve"> </w:t>
            </w:r>
            <w:r w:rsidR="00AC5657" w:rsidRPr="00AC5657">
              <w:rPr>
                <w:iCs/>
              </w:rPr>
              <w:t xml:space="preserve">  </w:t>
            </w:r>
            <w:r w:rsidR="00AC5657" w:rsidRPr="00CB53E4">
              <w:t>Ievērojot minēto, noteikumus Nr.994 nepieciešams attiecīgi papildināt, nosakot, ka studiju finansējumu no valsts budžeta līdzekļiem piešķir ne tikai pilna laika studijām</w:t>
            </w:r>
            <w:r w:rsidR="00CB53E4" w:rsidRPr="00CB53E4">
              <w:t xml:space="preserve">, bet arī </w:t>
            </w:r>
            <w:r w:rsidR="00AC5657" w:rsidRPr="00CB53E4">
              <w:t>nepilna laika studijām</w:t>
            </w:r>
            <w:r w:rsidR="00E90974">
              <w:t xml:space="preserve"> RSU </w:t>
            </w:r>
            <w:r w:rsidR="00AC5657" w:rsidRPr="00CB53E4">
              <w:t xml:space="preserve">– speciālistu </w:t>
            </w:r>
            <w:r w:rsidR="00CB53E4" w:rsidRPr="00CB53E4">
              <w:t>sa</w:t>
            </w:r>
            <w:r w:rsidR="00AC5657" w:rsidRPr="00CB53E4">
              <w:t>gatavošanai tiesībaizsardzības iestāžu vajadzībām.</w:t>
            </w:r>
          </w:p>
          <w:p w:rsidR="00EF7430" w:rsidRDefault="00CB53E4" w:rsidP="00EF7430">
            <w:pPr>
              <w:pStyle w:val="liknoteik"/>
              <w:spacing w:before="0" w:beforeAutospacing="0" w:after="0" w:afterAutospacing="0"/>
              <w:jc w:val="both"/>
            </w:pPr>
            <w:r>
              <w:t>[2] N</w:t>
            </w:r>
            <w:r w:rsidR="00CB0818">
              <w:t>oteikumi Nr.257 paredz</w:t>
            </w:r>
            <w:r w:rsidR="00280066">
              <w:t xml:space="preserve">, ka, ja amatpersona izglītības iegūšanai nosūtīta uz augstskolu otrā līmeņa profesionālās augstākās izglītības ieguvei, </w:t>
            </w:r>
            <w:r w:rsidR="00280066" w:rsidRPr="00CB53E4">
              <w:rPr>
                <w:b/>
                <w:i/>
              </w:rPr>
              <w:t>izglītības iestādei piešķiramā finansējuma apmēru</w:t>
            </w:r>
            <w:r w:rsidR="00280066" w:rsidRPr="00EF7430">
              <w:t xml:space="preserve"> </w:t>
            </w:r>
            <w:r w:rsidR="00280066" w:rsidRPr="00CB53E4">
              <w:rPr>
                <w:i/>
              </w:rPr>
              <w:t>nosaka, ņemot vērā attiecīgās izglītības programmas īstenošanas faktiskās izmaksas, bet ne lielākā apmērā, kā</w:t>
            </w:r>
            <w:proofErr w:type="gramStart"/>
            <w:r w:rsidR="00280066" w:rsidRPr="00CB53E4">
              <w:rPr>
                <w:i/>
              </w:rPr>
              <w:t xml:space="preserve"> noteikts saskaņā ar normatīvajiem aktiem par kārtību</w:t>
            </w:r>
            <w:proofErr w:type="gramEnd"/>
            <w:r w:rsidR="00280066" w:rsidRPr="00CB53E4">
              <w:rPr>
                <w:i/>
              </w:rPr>
              <w:t>, kādā augstskolas un koledžas tiek finansētas no valsts budžeta līdzekļiem.</w:t>
            </w:r>
            <w:r w:rsidR="00EF7430">
              <w:t xml:space="preserve"> </w:t>
            </w:r>
            <w:r w:rsidR="00EF7430" w:rsidRPr="00EF7430">
              <w:t xml:space="preserve">Ministru kabineta 2019.gada 17.septembra sēdē </w:t>
            </w:r>
            <w:r w:rsidR="00EF7430" w:rsidRPr="00E90974">
              <w:t>(prot.Nr.</w:t>
            </w:r>
            <w:r w:rsidR="00E90974" w:rsidRPr="00E90974">
              <w:t>42, 28.</w:t>
            </w:r>
            <w:r w:rsidR="00EF7430" w:rsidRPr="00E90974">
              <w:t>§)</w:t>
            </w:r>
            <w:r w:rsidR="00EF7430" w:rsidRPr="00EF7430">
              <w:t xml:space="preserve"> dots uzdevums Iekšlietu ministrijai turpmāko gadu un vidēja termiņa valsts budžeta likumprojektu sagatavošanas procesā normatīvajos aktos noteiktajā kārtībā sagatavot un iesniegt attiecīgus starpnozaru prioritārā pasākuma pieteikumus, ņemot arī vērā faktisko vidējo studiju vietu skaitu </w:t>
            </w:r>
            <w:proofErr w:type="spellStart"/>
            <w:r w:rsidR="00EF7430" w:rsidRPr="00EF7430">
              <w:t>bakaulaura</w:t>
            </w:r>
            <w:proofErr w:type="spellEnd"/>
            <w:r w:rsidR="00EF7430" w:rsidRPr="00EF7430">
              <w:t xml:space="preserve"> studiju programmā “Policijas darbs” un ar speciālu modeli papildinātā maģistra programmā “Tiesību zinātne”, kā arī  izglītojamo skaitu kvalifikācijas paaugstināšanas kursos, un studiju vietas bāzes izmaksas attiecīgajam gadam.</w:t>
            </w:r>
          </w:p>
          <w:p w:rsidR="00CB53E4" w:rsidRDefault="00CB53E4" w:rsidP="00CB53E4">
            <w:pPr>
              <w:pStyle w:val="liknoteik"/>
              <w:spacing w:before="0" w:beforeAutospacing="0" w:after="0" w:afterAutospacing="0"/>
              <w:jc w:val="both"/>
            </w:pPr>
            <w:r>
              <w:t xml:space="preserve">   Pašreiz noteikumos Nr.994 noteikts, ka</w:t>
            </w:r>
            <w:r w:rsidRPr="00CB53E4">
              <w:t xml:space="preserve"> Izglītības un zinātnes ministrija katru gadu aprēķina studiju vietas bāzes izmaksas nākamajam budžeta gadam un līdz kārtējā gada 1. novembrim aprēķinus saskaņo ar Finanšu ministriju un tām ministrijām, kuru padotībā ir augstskolas un koledžas</w:t>
            </w:r>
            <w:r>
              <w:t>.</w:t>
            </w:r>
          </w:p>
          <w:p w:rsidR="00CB53E4" w:rsidRPr="00CB53E4" w:rsidRDefault="00CB53E4" w:rsidP="00CB53E4">
            <w:pPr>
              <w:pStyle w:val="liknoteik"/>
              <w:spacing w:before="0" w:beforeAutospacing="0" w:after="0" w:afterAutospacing="0"/>
              <w:jc w:val="both"/>
            </w:pPr>
            <w:r>
              <w:t xml:space="preserve">   </w:t>
            </w:r>
            <w:r w:rsidRPr="00CB53E4">
              <w:t xml:space="preserve">Ievērojot minēto, noteikumus Nr.994 nepieciešams attiecīgi papildināt, nosakot, ka Izglītības un zinātnes ministrija katru gadu aprēķina studiju vietas bāzes izmaksas nākamajam budžeta gadam un līdz kārtējā gada 1. novembrim aprēķinus saskaņo ar Finanšu </w:t>
            </w:r>
            <w:r w:rsidRPr="00CB53E4">
              <w:lastRenderedPageBreak/>
              <w:t>ministriju un tām ministrijām, kuru padotībā ir augstskolas un koledžas, kā arī Iekšlietu ministriju</w:t>
            </w:r>
            <w:r>
              <w:t xml:space="preserve">, ievērojot, ka </w:t>
            </w:r>
            <w:r w:rsidRPr="00EF7430">
              <w:t>Iekšlietu ministrijai</w:t>
            </w:r>
            <w:r>
              <w:t xml:space="preserve"> dots uzdevums </w:t>
            </w:r>
            <w:r w:rsidRPr="00EF7430">
              <w:t xml:space="preserve">turpmāko gadu un vidēja termiņa valsts budžeta likumprojektu sagatavošanas procesā normatīvajos aktos noteiktajā kārtībā sagatavot un iesniegt attiecīgus </w:t>
            </w:r>
            <w:r w:rsidRPr="00CB53E4">
              <w:t>starpnozaru prioritārā pasākuma pieteikumus, lai pieprasītu papi</w:t>
            </w:r>
            <w:r>
              <w:t>l</w:t>
            </w:r>
            <w:r w:rsidRPr="00CB53E4">
              <w:t xml:space="preserve">du nepieciešamo finansējumu ne tikai </w:t>
            </w:r>
            <w:r w:rsidR="00B95D10">
              <w:t xml:space="preserve">Iekšlietu ministrijas </w:t>
            </w:r>
            <w:r w:rsidR="00D35CA8">
              <w:t xml:space="preserve">sistēmas </w:t>
            </w:r>
            <w:r w:rsidR="00B95D10">
              <w:t xml:space="preserve"> iestādēm, kuru amatpersonas studēs RSU, bet arī citām tiesībaizsardzības iestādēm.</w:t>
            </w:r>
          </w:p>
          <w:p w:rsidR="00D46B54" w:rsidRDefault="00B95D10" w:rsidP="00B045B5">
            <w:pPr>
              <w:pStyle w:val="liknoteik"/>
              <w:spacing w:before="0" w:beforeAutospacing="0" w:after="0" w:afterAutospacing="0"/>
              <w:jc w:val="both"/>
            </w:pPr>
            <w:r>
              <w:t xml:space="preserve">[3] </w:t>
            </w:r>
            <w:r w:rsidR="00D46B54" w:rsidRPr="00FF77F9">
              <w:t xml:space="preserve">Turpmāk katra no tiesībaizsardzības iestādēm, kura speciālistu sagatavošanā īstenos sadarbību ar RSU, veiks samaksu un </w:t>
            </w:r>
            <w:r w:rsidR="00D46B54" w:rsidRPr="00F35B87">
              <w:rPr>
                <w:b/>
                <w:i/>
              </w:rPr>
              <w:t>slēgs līgumu</w:t>
            </w:r>
            <w:r w:rsidR="00D46B54" w:rsidRPr="00FF77F9">
              <w:t xml:space="preserve"> ar RSU par speciālistu sagatavošanu, kā arī vienošanos par sagatavojamo speciālistu skaitu konkrētajā studiju gadā. </w:t>
            </w:r>
          </w:p>
          <w:p w:rsidR="00B95D10" w:rsidRDefault="0017702E" w:rsidP="00B045B5">
            <w:pPr>
              <w:pStyle w:val="liknoteik"/>
              <w:spacing w:before="0" w:beforeAutospacing="0" w:after="0" w:afterAutospacing="0"/>
              <w:jc w:val="both"/>
            </w:pPr>
            <w:r>
              <w:t>Vienlaikus l</w:t>
            </w:r>
            <w:r w:rsidR="008F12E5">
              <w:t xml:space="preserve">īgumu slēgšana ar augstskolu (tai skaitā </w:t>
            </w:r>
            <w:r>
              <w:t xml:space="preserve">RSU) </w:t>
            </w:r>
            <w:r w:rsidR="008F12E5">
              <w:t xml:space="preserve">attiecībā uz amatpersonām paredzēta </w:t>
            </w:r>
            <w:r w:rsidR="00B95D10">
              <w:t>Noteikumos Nr.257</w:t>
            </w:r>
            <w:r w:rsidR="008F12E5">
              <w:t xml:space="preserve">, kur </w:t>
            </w:r>
            <w:r w:rsidR="00B95D10">
              <w:t>noteikti būtiski atšķirīgi nosacījumi amatpersonu nosūtīšanai uz izglītības iestādi, tai skaitā augstskolu, un līgumu slēgšanu:</w:t>
            </w:r>
          </w:p>
          <w:p w:rsidR="003B55AC" w:rsidRPr="003B55AC" w:rsidRDefault="003B55AC" w:rsidP="00B045B5">
            <w:pPr>
              <w:pStyle w:val="liknoteik"/>
              <w:spacing w:before="0" w:beforeAutospacing="0" w:after="0" w:afterAutospacing="0"/>
              <w:jc w:val="both"/>
              <w:rPr>
                <w:i/>
              </w:rPr>
            </w:pPr>
            <w:r w:rsidRPr="003B55AC">
              <w:rPr>
                <w:i/>
              </w:rPr>
              <w:t xml:space="preserve">Amatpersonas nosūtīšana </w:t>
            </w:r>
            <w:r>
              <w:rPr>
                <w:i/>
              </w:rPr>
              <w:t xml:space="preserve">uz augstskolu un </w:t>
            </w:r>
            <w:r w:rsidRPr="003B55AC">
              <w:rPr>
                <w:i/>
              </w:rPr>
              <w:t>līgumsaistības</w:t>
            </w:r>
            <w:r>
              <w:rPr>
                <w:i/>
              </w:rPr>
              <w:t xml:space="preserve"> ar iestādi (informatīvi)</w:t>
            </w:r>
            <w:r w:rsidRPr="003B55AC">
              <w:rPr>
                <w:i/>
              </w:rPr>
              <w:t>:</w:t>
            </w:r>
          </w:p>
          <w:p w:rsidR="00B95D10" w:rsidRDefault="00B95D10" w:rsidP="003B55AC">
            <w:pPr>
              <w:pStyle w:val="liknoteik"/>
              <w:spacing w:before="0" w:beforeAutospacing="0" w:after="0" w:afterAutospacing="0"/>
              <w:jc w:val="both"/>
            </w:pPr>
            <w:r>
              <w:t>- amatpersonu uz izglītības iestādi izglītības iegūšanai nosūta, pamatojoties uz attiecīgās Iekšlietu ministrijas sistēmas iestādes vai Ieslodzījuma vietu pārvaldes vadītāja vai viņa pilnvarotas amatpersonas izdotu rīkojumu (pavēli);</w:t>
            </w:r>
          </w:p>
          <w:p w:rsidR="003B55AC" w:rsidRPr="003B55AC" w:rsidRDefault="00B95D10" w:rsidP="003B55AC">
            <w:pPr>
              <w:pStyle w:val="tv213"/>
              <w:spacing w:before="0" w:beforeAutospacing="0" w:after="0" w:afterAutospacing="0"/>
              <w:jc w:val="both"/>
            </w:pPr>
            <w:r>
              <w:t>- ja amatpersonu izglītības iegūšanai nosūta uz</w:t>
            </w:r>
            <w:r w:rsidR="003B55AC">
              <w:t xml:space="preserve"> augstskolu</w:t>
            </w:r>
            <w:r>
              <w:t xml:space="preserve">, pirms mācību uzsākšanas </w:t>
            </w:r>
            <w:r w:rsidR="003B55AC">
              <w:t xml:space="preserve">attiecīgās Iekšlietu ministrijas sistēmas iestādes vai Ieslodzījuma vietu pārvaldes vadītājs vai viņa pilnvarota amatpersona slēdz ar amatpersonu </w:t>
            </w:r>
            <w:r>
              <w:t>divpusēju līgumu par izglītības ieguvi un dienestu</w:t>
            </w:r>
            <w:r w:rsidR="003B55AC">
              <w:t xml:space="preserve">, kurā paredz arī </w:t>
            </w:r>
            <w:r w:rsidR="003B55AC" w:rsidRPr="003B55AC">
              <w:t>mācību izdevumu apmēru katram saimnieciskajam gadam vai laikposmam, kurā amatpersona saimnieciskā gada laikā ir ieguvusi izglītību, pievienojot līgumam attiecīgu vienošanos</w:t>
            </w:r>
            <w:r w:rsidR="003B55AC">
              <w:t>,</w:t>
            </w:r>
            <w:r w:rsidR="003B55AC" w:rsidRPr="003B55AC">
              <w:t xml:space="preserve"> mācību izdevumu atmaksāšanas nosacījumus un kārtību, kā arī iestādi, kurai atmaksājami mācību izdevumi</w:t>
            </w:r>
            <w:r w:rsidR="003B55AC">
              <w:t xml:space="preserve">, </w:t>
            </w:r>
            <w:r w:rsidR="003B55AC" w:rsidRPr="003B55AC">
              <w:t>gadījumus, kad amatpersona neatmaksā mācību izdevumus;</w:t>
            </w:r>
          </w:p>
          <w:p w:rsidR="003B55AC" w:rsidRDefault="003B55AC" w:rsidP="00B045B5">
            <w:pPr>
              <w:pStyle w:val="liknoteik"/>
              <w:spacing w:before="0" w:beforeAutospacing="0" w:after="0" w:afterAutospacing="0"/>
              <w:jc w:val="both"/>
            </w:pPr>
            <w:r>
              <w:t>- ja amatpersona izglītības iegūšanai nosūtīta uz augstskolu, tā ar izglītības iestādi noslēgtā studiju (mācību) līguma kopiju 10 darbdienu laikā pēc tā noslēgšanas iesniedz iestādē, ar kuru noslēgts līgums par izglītības ieguvi un dienestu.</w:t>
            </w:r>
          </w:p>
          <w:p w:rsidR="003B55AC" w:rsidRDefault="003B55AC" w:rsidP="003B55AC">
            <w:pPr>
              <w:pStyle w:val="liknoteik"/>
              <w:spacing w:before="0" w:beforeAutospacing="0" w:after="0" w:afterAutospacing="0"/>
              <w:jc w:val="both"/>
              <w:rPr>
                <w:i/>
              </w:rPr>
            </w:pPr>
            <w:r>
              <w:rPr>
                <w:i/>
              </w:rPr>
              <w:t>Iestādes l</w:t>
            </w:r>
            <w:r w:rsidRPr="003B55AC">
              <w:rPr>
                <w:i/>
              </w:rPr>
              <w:t>īgumsaistības ar augstskolu</w:t>
            </w:r>
            <w:r>
              <w:rPr>
                <w:i/>
              </w:rPr>
              <w:t>:</w:t>
            </w:r>
          </w:p>
          <w:p w:rsidR="003B55AC" w:rsidRDefault="003B55AC" w:rsidP="003B55AC">
            <w:pPr>
              <w:pStyle w:val="tv213"/>
              <w:spacing w:before="0" w:beforeAutospacing="0" w:after="0" w:afterAutospacing="0"/>
              <w:jc w:val="both"/>
            </w:pPr>
            <w:r>
              <w:t>- ja amatpersona izglītības iegūšanai nosūtīta uz augstskolu, attiecīgā Iekšlietu ministrijas sistēmas iestāde vai Ieslodzījuma vietu pārvalde slēdz līgumu ar izglītības iestādi par speciālistu sagatavošanu. Līguma neatņemama sastāvdaļa ir vienošanās protokols, kurā iekļauta informācija par izglītojamo amatpersonu skaitu un sniegts apliecinājums par tam nepieciešamā finansējuma nodrošinājumu (turpmāk – vienošanās protokols);</w:t>
            </w:r>
          </w:p>
          <w:p w:rsidR="003B55AC" w:rsidRDefault="00346BBC" w:rsidP="003B55AC">
            <w:pPr>
              <w:pStyle w:val="tv213"/>
              <w:spacing w:before="0" w:beforeAutospacing="0" w:after="0" w:afterAutospacing="0"/>
              <w:jc w:val="both"/>
            </w:pPr>
            <w:r>
              <w:t>- l</w:t>
            </w:r>
            <w:r w:rsidR="003B55AC">
              <w:t>īgumu par speciālistu sagatavošanu slēdz uz laiku, kas atbilst konkrētas studiju programmas ilgumam, un tajā norāda konkrētu studiju programmu</w:t>
            </w:r>
            <w:r>
              <w:t>,</w:t>
            </w:r>
            <w:r w:rsidR="003B55AC">
              <w:t xml:space="preserve"> plānoto uzņemamo studējošo skaitu gadā</w:t>
            </w:r>
            <w:r>
              <w:t>,</w:t>
            </w:r>
            <w:r w:rsidR="003B55AC">
              <w:t xml:space="preserve"> augstskolas saistības studiju nodrošinājumā</w:t>
            </w:r>
            <w:r>
              <w:t>,</w:t>
            </w:r>
            <w:r w:rsidR="003B55AC">
              <w:t xml:space="preserve"> iestādes saistības </w:t>
            </w:r>
            <w:r w:rsidR="003B55AC">
              <w:lastRenderedPageBreak/>
              <w:t>augstskolas atbalstam</w:t>
            </w:r>
            <w:r>
              <w:t>,</w:t>
            </w:r>
            <w:r w:rsidR="003B55AC">
              <w:t xml:space="preserve"> vispārējo augstskolas finansēšanas kārtību studiju programmas īstenošanai</w:t>
            </w:r>
            <w:r>
              <w:t>,</w:t>
            </w:r>
            <w:r w:rsidR="003B55AC">
              <w:t xml:space="preserve"> informācijas apmaiņas kārtību</w:t>
            </w:r>
            <w:r>
              <w:t>,</w:t>
            </w:r>
            <w:r w:rsidR="003B55AC">
              <w:t xml:space="preserve"> strīdu un domstarpību risināšanas kārtību</w:t>
            </w:r>
            <w:r>
              <w:t>,</w:t>
            </w:r>
            <w:r w:rsidR="003B55AC">
              <w:t xml:space="preserve"> laiku, uz kuru līgums noslēgts</w:t>
            </w:r>
            <w:r>
              <w:t>;</w:t>
            </w:r>
          </w:p>
          <w:p w:rsidR="003B55AC" w:rsidRDefault="00346BBC" w:rsidP="003B55AC">
            <w:pPr>
              <w:pStyle w:val="tv213"/>
              <w:spacing w:before="0" w:beforeAutospacing="0" w:after="0" w:afterAutospacing="0"/>
              <w:jc w:val="both"/>
            </w:pPr>
            <w:bookmarkStart w:id="1" w:name="p17.2"/>
            <w:bookmarkStart w:id="2" w:name="p-374420"/>
            <w:bookmarkEnd w:id="1"/>
            <w:bookmarkEnd w:id="2"/>
            <w:r>
              <w:t>- v</w:t>
            </w:r>
            <w:r w:rsidR="003B55AC">
              <w:t>ienošanās protokolu slēdz uz konkrētu saimniecisko gadu ne vēlāk kā divas nedēļas pēc kārtējā gada likuma par valsts budžetu izsludināšanas un tajā norāda</w:t>
            </w:r>
            <w:r>
              <w:t xml:space="preserve"> </w:t>
            </w:r>
            <w:r w:rsidR="003B55AC">
              <w:t>no valsts budžeta finansēto studiju vietu skaitu sadalījumā pa studiju programmām</w:t>
            </w:r>
            <w:r>
              <w:t>,</w:t>
            </w:r>
            <w:r w:rsidR="003B55AC">
              <w:t xml:space="preserve"> augstskolai studiju programmu īstenošanai piešķiramā finansējuma apmēru.</w:t>
            </w:r>
          </w:p>
          <w:p w:rsidR="00FB3CAC" w:rsidRDefault="00FB3CAC" w:rsidP="003B55AC">
            <w:pPr>
              <w:pStyle w:val="tv213"/>
              <w:spacing w:before="0" w:beforeAutospacing="0" w:after="0" w:afterAutospacing="0"/>
              <w:jc w:val="both"/>
            </w:pPr>
            <w:r>
              <w:t xml:space="preserve">   Minētais regulējums </w:t>
            </w:r>
            <w:r w:rsidR="00F35B87">
              <w:t>ne</w:t>
            </w:r>
            <w:r>
              <w:t>tiks</w:t>
            </w:r>
            <w:r w:rsidR="00F35B87">
              <w:t xml:space="preserve"> grozīts</w:t>
            </w:r>
            <w:r>
              <w:t>.</w:t>
            </w:r>
          </w:p>
          <w:p w:rsidR="00B95D10" w:rsidRDefault="00FB3CAC" w:rsidP="00FB3CAC">
            <w:pPr>
              <w:pStyle w:val="tv213"/>
              <w:spacing w:before="0" w:beforeAutospacing="0" w:after="0" w:afterAutospacing="0"/>
              <w:jc w:val="both"/>
            </w:pPr>
            <w:r>
              <w:t xml:space="preserve">   </w:t>
            </w:r>
            <w:r w:rsidR="00B95D10">
              <w:t>Pašreiz noteikumos Nr.994 noteikts, ka</w:t>
            </w:r>
            <w:r w:rsidR="00B95D10" w:rsidRPr="00FB3CAC">
              <w:t xml:space="preserve"> Izglītības un zinātnes ministrija un citas ministrijas, kuru padotībā ir augstskolas un koledžas, slēdz ar valsts augstskolām un koledžām līgumus par noteikta skaita speciālistu sagatavošanu un zinātnisko darbību</w:t>
            </w:r>
            <w:r w:rsidR="00B95D10">
              <w:t>.</w:t>
            </w:r>
            <w:r>
              <w:t xml:space="preserve">                Ņemot vērā iepriekš minēto un lai paredzētu attiecīga līguma un vienošanās slēgšanu starp RSU un citām tiesībaizsardzības iestādēm, </w:t>
            </w:r>
            <w:r w:rsidRPr="00CB53E4">
              <w:t>noteikumus Nr.994 nepieciešams attiecīgi papildināt, nosakot, ka</w:t>
            </w:r>
            <w:r>
              <w:t xml:space="preserve"> Izglītības un zinātnes ministrija un citas ministrijas, kuru padotībā ir augstskolas un koledžas, kā arī </w:t>
            </w:r>
            <w:r w:rsidRPr="003E3A0D">
              <w:rPr>
                <w:iCs/>
              </w:rPr>
              <w:t>tiesībaizsardzības iestādes, izņemot Iekšlietu ministrijas sistēmas iestādes</w:t>
            </w:r>
            <w:r w:rsidR="00F35B87">
              <w:rPr>
                <w:iCs/>
              </w:rPr>
              <w:t xml:space="preserve"> un Ieslodzījuma vietu pārvaldi</w:t>
            </w:r>
            <w:r>
              <w:rPr>
                <w:iCs/>
              </w:rPr>
              <w:t>,</w:t>
            </w:r>
            <w:r>
              <w:t xml:space="preserve"> slēdz ar valsts augstskolām un koledžām līgumus par noteikta skaita speciālistu sagatavošanu.</w:t>
            </w:r>
          </w:p>
          <w:p w:rsidR="001B2FBB" w:rsidRDefault="00FB3CAC" w:rsidP="001B2FBB">
            <w:pPr>
              <w:pStyle w:val="liknoteik"/>
              <w:spacing w:before="0" w:beforeAutospacing="0" w:after="0" w:afterAutospacing="0"/>
              <w:jc w:val="both"/>
            </w:pPr>
            <w:r>
              <w:t>[4</w:t>
            </w:r>
            <w:r w:rsidRPr="00FB3CAC">
              <w:t xml:space="preserve">] Pašreiz noteikumos Nr.994 noteikts, ka studiju bāzes finansējumu veido studiju bāzes izmaksas un </w:t>
            </w:r>
            <w:r w:rsidRPr="00FB3CAC">
              <w:rPr>
                <w:b/>
                <w:i/>
              </w:rPr>
              <w:t>studiju sociālā nodrošinājuma izmaksas</w:t>
            </w:r>
            <w:r w:rsidR="001B2FBB">
              <w:rPr>
                <w:b/>
                <w:i/>
              </w:rPr>
              <w:t xml:space="preserve">.  </w:t>
            </w:r>
            <w:r w:rsidR="001B2FBB" w:rsidRPr="001B2FBB">
              <w:t>Studiju sociālā nodrošinājuma izmaksas</w:t>
            </w:r>
            <w:r w:rsidR="001B2FBB">
              <w:t xml:space="preserve"> veido stipendij</w:t>
            </w:r>
            <w:r w:rsidR="00A53FE7">
              <w:t>as,</w:t>
            </w:r>
            <w:r w:rsidR="001B2FBB">
              <w:t xml:space="preserve"> transporta kompensācijas izmaksas, sporta, kultūras un dienesta viesnīcas izmaksas. </w:t>
            </w:r>
          </w:p>
          <w:p w:rsidR="001B2FBB" w:rsidRDefault="001B2FBB" w:rsidP="001B2FBB">
            <w:pPr>
              <w:pStyle w:val="liknoteik"/>
              <w:spacing w:before="0" w:beforeAutospacing="0" w:after="0" w:afterAutospacing="0"/>
              <w:jc w:val="both"/>
            </w:pPr>
            <w:r>
              <w:t xml:space="preserve">  </w:t>
            </w:r>
            <w:r w:rsidR="00A53FE7">
              <w:t>Ievērojot, ka studijas pamatā notiks nepilna laika studiju formā,</w:t>
            </w:r>
            <w:r w:rsidR="008D5C8A">
              <w:t xml:space="preserve"> kā arī normatīvo aktu regulējumu attiecībā uz amatpersonām un valsts civildienesta (specializētā valsts civildienesta ierēdņiem) </w:t>
            </w:r>
            <w:proofErr w:type="gramStart"/>
            <w:r w:rsidR="008D5C8A">
              <w:t>(</w:t>
            </w:r>
            <w:proofErr w:type="gramEnd"/>
            <w:r w:rsidR="008D5C8A">
              <w:t>piemēram, stipendijas netiek noteiktas, jo tiek saņemta atlīdzība, tai skait</w:t>
            </w:r>
            <w:r w:rsidR="000E4988">
              <w:t>ā</w:t>
            </w:r>
            <w:r w:rsidR="008D5C8A">
              <w:t xml:space="preserve"> pilna laika studijās, tiek segtas ar komandējumu saistītās izmaksas, fizisko sagatavotību amatpersonām regulē normatīvie akti), </w:t>
            </w:r>
            <w:r w:rsidR="00FF4A5C">
              <w:t>a</w:t>
            </w:r>
            <w:r w:rsidR="00FF4A5C" w:rsidRPr="00FF4A5C">
              <w:t>prēķinot studiju bāzes finansējumu Rīgas Stradiņa universitātei speciālistu sagatavošanai tiesībaizsardzības iestāžu vajadzībām, studiju vietas sociālā nodrošinājuma izmaksas nav jāpiemēro</w:t>
            </w:r>
            <w:r w:rsidR="008D5C8A">
              <w:t xml:space="preserve">. </w:t>
            </w:r>
          </w:p>
          <w:p w:rsidR="007D2503" w:rsidRDefault="008D5C8A" w:rsidP="00324AC5">
            <w:pPr>
              <w:pStyle w:val="naiskr"/>
              <w:spacing w:before="0" w:beforeAutospacing="0" w:after="0" w:afterAutospacing="0"/>
              <w:jc w:val="both"/>
            </w:pPr>
            <w:r>
              <w:rPr>
                <w:b/>
                <w:bCs/>
                <w:iCs/>
                <w:color w:val="414142"/>
              </w:rPr>
              <w:t>[</w:t>
            </w:r>
            <w:r w:rsidRPr="008D5C8A">
              <w:t xml:space="preserve">5] </w:t>
            </w:r>
            <w:r w:rsidR="009F6CFD">
              <w:t>P</w:t>
            </w:r>
            <w:r w:rsidRPr="008D5C8A">
              <w:t>rojekt</w:t>
            </w:r>
            <w:r>
              <w:t>s</w:t>
            </w:r>
            <w:r w:rsidRPr="008D5C8A">
              <w:t xml:space="preserve"> </w:t>
            </w:r>
            <w:r>
              <w:t>paredz, ka:</w:t>
            </w:r>
          </w:p>
          <w:p w:rsidR="00D15A11" w:rsidRPr="00D15A11" w:rsidRDefault="008D5C8A" w:rsidP="00324A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D15A11" w:rsidRPr="00D15A1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w:t>
            </w:r>
            <w:r w:rsidR="00D15A11" w:rsidRPr="00D15A11">
              <w:rPr>
                <w:rFonts w:ascii="Times New Roman" w:eastAsia="Times New Roman" w:hAnsi="Times New Roman" w:cs="Times New Roman"/>
                <w:iCs/>
                <w:sz w:val="24"/>
                <w:szCs w:val="24"/>
                <w:lang w:eastAsia="lv-LV"/>
              </w:rPr>
              <w:t>tudiju finansējum</w:t>
            </w:r>
            <w:r>
              <w:rPr>
                <w:rFonts w:ascii="Times New Roman" w:eastAsia="Times New Roman" w:hAnsi="Times New Roman" w:cs="Times New Roman"/>
                <w:iCs/>
                <w:sz w:val="24"/>
                <w:szCs w:val="24"/>
                <w:lang w:eastAsia="lv-LV"/>
              </w:rPr>
              <w:t>s</w:t>
            </w:r>
            <w:r w:rsidR="00D15A11" w:rsidRPr="00D15A11">
              <w:rPr>
                <w:rFonts w:ascii="Times New Roman" w:eastAsia="Times New Roman" w:hAnsi="Times New Roman" w:cs="Times New Roman"/>
                <w:iCs/>
                <w:sz w:val="24"/>
                <w:szCs w:val="24"/>
                <w:lang w:eastAsia="lv-LV"/>
              </w:rPr>
              <w:t xml:space="preserve"> no valsts budžeta līdzekļiem</w:t>
            </w:r>
            <w:r>
              <w:rPr>
                <w:rFonts w:ascii="Times New Roman" w:eastAsia="Times New Roman" w:hAnsi="Times New Roman" w:cs="Times New Roman"/>
                <w:iCs/>
                <w:sz w:val="24"/>
                <w:szCs w:val="24"/>
                <w:lang w:eastAsia="lv-LV"/>
              </w:rPr>
              <w:t xml:space="preserve"> tiek </w:t>
            </w:r>
            <w:r w:rsidR="00D15A11" w:rsidRPr="00D15A11">
              <w:rPr>
                <w:rFonts w:ascii="Times New Roman" w:eastAsia="Times New Roman" w:hAnsi="Times New Roman" w:cs="Times New Roman"/>
                <w:iCs/>
                <w:sz w:val="24"/>
                <w:szCs w:val="24"/>
                <w:lang w:eastAsia="lv-LV"/>
              </w:rPr>
              <w:t>piešķir</w:t>
            </w:r>
            <w:r>
              <w:rPr>
                <w:rFonts w:ascii="Times New Roman" w:eastAsia="Times New Roman" w:hAnsi="Times New Roman" w:cs="Times New Roman"/>
                <w:iCs/>
                <w:sz w:val="24"/>
                <w:szCs w:val="24"/>
                <w:lang w:eastAsia="lv-LV"/>
              </w:rPr>
              <w:t xml:space="preserve">ts arī </w:t>
            </w:r>
          </w:p>
          <w:p w:rsidR="00D15A11" w:rsidRPr="00D15A11" w:rsidRDefault="00D15A11" w:rsidP="00324AC5">
            <w:pPr>
              <w:spacing w:after="0" w:line="240" w:lineRule="auto"/>
              <w:jc w:val="both"/>
              <w:rPr>
                <w:rFonts w:ascii="Times New Roman" w:eastAsia="Times New Roman" w:hAnsi="Times New Roman" w:cs="Times New Roman"/>
                <w:iCs/>
                <w:sz w:val="24"/>
                <w:szCs w:val="24"/>
                <w:lang w:eastAsia="lv-LV"/>
              </w:rPr>
            </w:pPr>
            <w:r w:rsidRPr="00D15A11">
              <w:rPr>
                <w:rFonts w:ascii="Times New Roman" w:eastAsia="Times New Roman" w:hAnsi="Times New Roman" w:cs="Times New Roman"/>
                <w:iCs/>
                <w:sz w:val="24"/>
                <w:szCs w:val="24"/>
                <w:lang w:eastAsia="lv-LV"/>
              </w:rPr>
              <w:t xml:space="preserve"> nepilna laika studijām</w:t>
            </w:r>
            <w:r w:rsidR="008D5C8A">
              <w:rPr>
                <w:rFonts w:ascii="Times New Roman" w:eastAsia="Times New Roman" w:hAnsi="Times New Roman" w:cs="Times New Roman"/>
                <w:iCs/>
                <w:sz w:val="24"/>
                <w:szCs w:val="24"/>
                <w:lang w:eastAsia="lv-LV"/>
              </w:rPr>
              <w:t xml:space="preserve"> RSU </w:t>
            </w:r>
            <w:r w:rsidRPr="00D15A11">
              <w:rPr>
                <w:rFonts w:ascii="Times New Roman" w:eastAsia="Times New Roman" w:hAnsi="Times New Roman" w:cs="Times New Roman"/>
                <w:iCs/>
                <w:sz w:val="24"/>
                <w:szCs w:val="24"/>
                <w:lang w:eastAsia="lv-LV"/>
              </w:rPr>
              <w:t>– speciālistu sagatavošanai tiesībaizsardzības iestāžu vajadzībām</w:t>
            </w:r>
            <w:r w:rsidR="008D5C8A">
              <w:rPr>
                <w:rFonts w:ascii="Times New Roman" w:eastAsia="Times New Roman" w:hAnsi="Times New Roman" w:cs="Times New Roman"/>
                <w:iCs/>
                <w:sz w:val="24"/>
                <w:szCs w:val="24"/>
                <w:lang w:eastAsia="lv-LV"/>
              </w:rPr>
              <w:t>;</w:t>
            </w:r>
          </w:p>
          <w:p w:rsidR="00E90974" w:rsidRPr="00E90974" w:rsidRDefault="008D5C8A" w:rsidP="00324A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D15A11">
              <w:rPr>
                <w:rFonts w:ascii="Times New Roman" w:eastAsia="Times New Roman" w:hAnsi="Times New Roman" w:cs="Times New Roman"/>
                <w:iCs/>
                <w:sz w:val="24"/>
                <w:szCs w:val="24"/>
                <w:lang w:eastAsia="lv-LV"/>
              </w:rPr>
              <w:t xml:space="preserve"> </w:t>
            </w:r>
            <w:r w:rsidR="00E90974" w:rsidRPr="00E90974">
              <w:rPr>
                <w:rFonts w:ascii="Times New Roman" w:eastAsia="Times New Roman" w:hAnsi="Times New Roman" w:cs="Times New Roman"/>
                <w:iCs/>
                <w:sz w:val="24"/>
                <w:szCs w:val="24"/>
                <w:lang w:eastAsia="lv-LV"/>
              </w:rPr>
              <w:t xml:space="preserve">aprēķinot studiju bāzes finansējumu RSU speciālistu sagatavošanai tiesībaizsardzības iestāžu vajadzībām, studiju vietas sociālā nodrošinājuma izmaksas nav jāpiemēro; </w:t>
            </w:r>
          </w:p>
          <w:p w:rsidR="00D15A11" w:rsidRPr="00D15A11" w:rsidRDefault="008D5C8A" w:rsidP="00324A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D15A11">
              <w:rPr>
                <w:rFonts w:ascii="Times New Roman" w:eastAsia="Times New Roman" w:hAnsi="Times New Roman" w:cs="Times New Roman"/>
                <w:iCs/>
                <w:sz w:val="24"/>
                <w:szCs w:val="24"/>
                <w:lang w:eastAsia="lv-LV"/>
              </w:rPr>
              <w:t xml:space="preserve"> </w:t>
            </w:r>
            <w:r w:rsidR="00D15A11" w:rsidRPr="00D15A11">
              <w:rPr>
                <w:rFonts w:ascii="Times New Roman" w:eastAsia="Times New Roman" w:hAnsi="Times New Roman" w:cs="Times New Roman"/>
                <w:iCs/>
                <w:sz w:val="24"/>
                <w:szCs w:val="24"/>
                <w:lang w:eastAsia="lv-LV"/>
              </w:rPr>
              <w:t xml:space="preserve">Izglītības un zinātnes ministrija katru gadu aprēķina studiju vietas bāzes izmaksas nākamajam budžeta gadam un līdz kārtējā gada 1. novembrim aprēķinus </w:t>
            </w:r>
            <w:r w:rsidR="000E4988">
              <w:rPr>
                <w:rFonts w:ascii="Times New Roman" w:eastAsia="Times New Roman" w:hAnsi="Times New Roman" w:cs="Times New Roman"/>
                <w:iCs/>
                <w:sz w:val="24"/>
                <w:szCs w:val="24"/>
                <w:lang w:eastAsia="lv-LV"/>
              </w:rPr>
              <w:t xml:space="preserve">saskaņo </w:t>
            </w:r>
            <w:r w:rsidR="00D15A11" w:rsidRPr="00D15A11">
              <w:rPr>
                <w:rFonts w:ascii="Times New Roman" w:eastAsia="Times New Roman" w:hAnsi="Times New Roman" w:cs="Times New Roman"/>
                <w:iCs/>
                <w:sz w:val="24"/>
                <w:szCs w:val="24"/>
                <w:lang w:eastAsia="lv-LV"/>
              </w:rPr>
              <w:t>arī</w:t>
            </w:r>
            <w:r>
              <w:rPr>
                <w:rFonts w:ascii="Times New Roman" w:eastAsia="Times New Roman" w:hAnsi="Times New Roman" w:cs="Times New Roman"/>
                <w:iCs/>
                <w:sz w:val="24"/>
                <w:szCs w:val="24"/>
                <w:lang w:eastAsia="lv-LV"/>
              </w:rPr>
              <w:t xml:space="preserve"> ar </w:t>
            </w:r>
            <w:r w:rsidR="00D15A11" w:rsidRPr="00D15A11">
              <w:rPr>
                <w:rFonts w:ascii="Times New Roman" w:eastAsia="Times New Roman" w:hAnsi="Times New Roman" w:cs="Times New Roman"/>
                <w:iCs/>
                <w:sz w:val="24"/>
                <w:szCs w:val="24"/>
                <w:lang w:eastAsia="lv-LV"/>
              </w:rPr>
              <w:t>Iekšlietu ministriju</w:t>
            </w:r>
            <w:r>
              <w:rPr>
                <w:rFonts w:ascii="Times New Roman" w:eastAsia="Times New Roman" w:hAnsi="Times New Roman" w:cs="Times New Roman"/>
                <w:iCs/>
                <w:sz w:val="24"/>
                <w:szCs w:val="24"/>
                <w:lang w:eastAsia="lv-LV"/>
              </w:rPr>
              <w:t>;</w:t>
            </w:r>
            <w:r w:rsidR="00D15A11" w:rsidRPr="00D15A11">
              <w:rPr>
                <w:rFonts w:ascii="Times New Roman" w:eastAsia="Times New Roman" w:hAnsi="Times New Roman" w:cs="Times New Roman"/>
                <w:iCs/>
                <w:sz w:val="24"/>
                <w:szCs w:val="24"/>
                <w:lang w:eastAsia="lv-LV"/>
              </w:rPr>
              <w:t xml:space="preserve"> </w:t>
            </w:r>
          </w:p>
          <w:p w:rsidR="003E3A0D" w:rsidRPr="003E3A0D" w:rsidRDefault="008D5C8A" w:rsidP="00324A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324AC5" w:rsidRPr="00324AC5">
              <w:rPr>
                <w:rFonts w:ascii="Times New Roman" w:eastAsia="Times New Roman" w:hAnsi="Times New Roman" w:cs="Times New Roman"/>
                <w:iCs/>
                <w:sz w:val="24"/>
                <w:szCs w:val="24"/>
                <w:lang w:eastAsia="lv-LV"/>
              </w:rPr>
              <w:t>ar valsts augstskolām</w:t>
            </w:r>
            <w:r w:rsidR="00324AC5">
              <w:rPr>
                <w:rFonts w:ascii="Times New Roman" w:eastAsia="Times New Roman" w:hAnsi="Times New Roman" w:cs="Times New Roman"/>
                <w:iCs/>
                <w:sz w:val="24"/>
                <w:szCs w:val="24"/>
                <w:lang w:eastAsia="lv-LV"/>
              </w:rPr>
              <w:t xml:space="preserve"> (RSU)</w:t>
            </w:r>
            <w:r w:rsidR="00324AC5" w:rsidRPr="00324AC5">
              <w:rPr>
                <w:rFonts w:ascii="Times New Roman" w:eastAsia="Times New Roman" w:hAnsi="Times New Roman" w:cs="Times New Roman"/>
                <w:iCs/>
                <w:sz w:val="24"/>
                <w:szCs w:val="24"/>
                <w:lang w:eastAsia="lv-LV"/>
              </w:rPr>
              <w:t xml:space="preserve"> līgumus par noteikta skaita speciālistu sagatavošanu</w:t>
            </w:r>
            <w:r w:rsidR="00324AC5">
              <w:rPr>
                <w:rFonts w:ascii="Times New Roman" w:eastAsia="Times New Roman" w:hAnsi="Times New Roman" w:cs="Times New Roman"/>
                <w:iCs/>
                <w:sz w:val="24"/>
                <w:szCs w:val="24"/>
                <w:lang w:eastAsia="lv-LV"/>
              </w:rPr>
              <w:t xml:space="preserve">, kas paredzēti noteikumos Nr.994, </w:t>
            </w:r>
            <w:r w:rsidR="00324AC5" w:rsidRPr="00324AC5">
              <w:rPr>
                <w:rFonts w:ascii="Times New Roman" w:eastAsia="Times New Roman" w:hAnsi="Times New Roman" w:cs="Times New Roman"/>
                <w:iCs/>
                <w:sz w:val="24"/>
                <w:szCs w:val="24"/>
                <w:lang w:eastAsia="lv-LV"/>
              </w:rPr>
              <w:t xml:space="preserve">slēdz </w:t>
            </w:r>
            <w:r w:rsidR="003E3A0D" w:rsidRPr="003E3A0D">
              <w:rPr>
                <w:rFonts w:ascii="Times New Roman" w:eastAsia="Times New Roman" w:hAnsi="Times New Roman" w:cs="Times New Roman"/>
                <w:iCs/>
                <w:sz w:val="24"/>
                <w:szCs w:val="24"/>
                <w:lang w:eastAsia="lv-LV"/>
              </w:rPr>
              <w:t xml:space="preserve">arī tiesībaizsardzības iestādes, izņemot Iekšlietu ministrijas </w:t>
            </w:r>
            <w:r w:rsidR="003E3A0D" w:rsidRPr="003E3A0D">
              <w:rPr>
                <w:rFonts w:ascii="Times New Roman" w:eastAsia="Times New Roman" w:hAnsi="Times New Roman" w:cs="Times New Roman"/>
                <w:iCs/>
                <w:sz w:val="24"/>
                <w:szCs w:val="24"/>
                <w:lang w:eastAsia="lv-LV"/>
              </w:rPr>
              <w:lastRenderedPageBreak/>
              <w:t>sistēmas iestādes</w:t>
            </w:r>
            <w:r w:rsidR="00F35B87">
              <w:rPr>
                <w:rFonts w:ascii="Times New Roman" w:eastAsia="Times New Roman" w:hAnsi="Times New Roman" w:cs="Times New Roman"/>
                <w:iCs/>
                <w:sz w:val="24"/>
                <w:szCs w:val="24"/>
                <w:lang w:eastAsia="lv-LV"/>
              </w:rPr>
              <w:t xml:space="preserve"> un Ieslodzījuma vietu pārvaldi</w:t>
            </w:r>
            <w:r w:rsidR="00E90974">
              <w:rPr>
                <w:rFonts w:ascii="Times New Roman" w:eastAsia="Times New Roman" w:hAnsi="Times New Roman" w:cs="Times New Roman"/>
                <w:iCs/>
                <w:sz w:val="24"/>
                <w:szCs w:val="24"/>
                <w:lang w:eastAsia="lv-LV"/>
              </w:rPr>
              <w:t>, jo tās šos līgumus slēgs atbilstoši noteikumu Nr.257 nosacījumiem.</w:t>
            </w:r>
          </w:p>
          <w:p w:rsidR="00CF1456" w:rsidRPr="003E3962" w:rsidRDefault="00C909D9" w:rsidP="00C909D9">
            <w:pPr>
              <w:spacing w:after="0" w:line="240" w:lineRule="auto"/>
              <w:jc w:val="both"/>
            </w:pPr>
            <w:r>
              <w:rPr>
                <w:rFonts w:ascii="Times New Roman" w:eastAsia="Times New Roman" w:hAnsi="Times New Roman" w:cs="Times New Roman"/>
                <w:iCs/>
                <w:sz w:val="24"/>
                <w:szCs w:val="24"/>
                <w:lang w:eastAsia="lv-LV"/>
              </w:rPr>
              <w:t xml:space="preserve">    </w:t>
            </w:r>
            <w:r w:rsidRPr="00C909D9">
              <w:rPr>
                <w:rFonts w:ascii="Times New Roman" w:eastAsia="Times New Roman" w:hAnsi="Times New Roman" w:cs="Times New Roman"/>
                <w:iCs/>
                <w:sz w:val="24"/>
                <w:szCs w:val="24"/>
                <w:lang w:eastAsia="lv-LV"/>
              </w:rPr>
              <w:t xml:space="preserve">Paredzēts, ka jaunais regulējums stājas spēkā </w:t>
            </w:r>
            <w:proofErr w:type="gramStart"/>
            <w:r w:rsidRPr="00C909D9">
              <w:rPr>
                <w:rFonts w:ascii="Times New Roman" w:eastAsia="Times New Roman" w:hAnsi="Times New Roman" w:cs="Times New Roman"/>
                <w:iCs/>
                <w:sz w:val="24"/>
                <w:szCs w:val="24"/>
                <w:lang w:eastAsia="lv-LV"/>
              </w:rPr>
              <w:t>2020.gada</w:t>
            </w:r>
            <w:proofErr w:type="gramEnd"/>
            <w:r w:rsidRPr="00C909D9">
              <w:rPr>
                <w:rFonts w:ascii="Times New Roman" w:eastAsia="Times New Roman" w:hAnsi="Times New Roman" w:cs="Times New Roman"/>
                <w:iCs/>
                <w:sz w:val="24"/>
                <w:szCs w:val="24"/>
                <w:lang w:eastAsia="lv-LV"/>
              </w:rPr>
              <w:t xml:space="preserve"> 1.septembrī, ievērojot izglītības ieguves uzsākšanas laiku RSU.</w:t>
            </w:r>
          </w:p>
        </w:tc>
      </w:tr>
      <w:tr w:rsidR="00911126" w:rsidRPr="00D73F4F" w:rsidTr="007C1EA2">
        <w:trPr>
          <w:gridAfter w:val="2"/>
          <w:wAfter w:w="311" w:type="pct"/>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194" w:type="pct"/>
            <w:gridSpan w:val="5"/>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79" w:type="pct"/>
            <w:gridSpan w:val="8"/>
            <w:tcBorders>
              <w:top w:val="outset" w:sz="6" w:space="0" w:color="auto"/>
              <w:left w:val="outset" w:sz="6" w:space="0" w:color="auto"/>
              <w:bottom w:val="outset" w:sz="6" w:space="0" w:color="auto"/>
              <w:right w:val="outset" w:sz="6" w:space="0" w:color="auto"/>
            </w:tcBorders>
          </w:tcPr>
          <w:p w:rsidR="00911126" w:rsidRPr="00D73F4F" w:rsidRDefault="00083E1C" w:rsidP="00083E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911126" w:rsidRPr="00D73F4F" w:rsidTr="007C1EA2">
        <w:trPr>
          <w:gridAfter w:val="2"/>
          <w:wAfter w:w="311" w:type="pct"/>
          <w:tblCellSpacing w:w="15" w:type="dxa"/>
        </w:trPr>
        <w:tc>
          <w:tcPr>
            <w:tcW w:w="140" w:type="pct"/>
            <w:tcBorders>
              <w:top w:val="outset" w:sz="6" w:space="0" w:color="auto"/>
              <w:left w:val="outset" w:sz="6" w:space="0" w:color="auto"/>
              <w:bottom w:val="outset" w:sz="6" w:space="0" w:color="auto"/>
              <w:right w:val="outset" w:sz="6" w:space="0" w:color="auto"/>
            </w:tcBorders>
            <w:hideMark/>
          </w:tcPr>
          <w:p w:rsidR="00911126" w:rsidRPr="00891B07" w:rsidRDefault="00911126" w:rsidP="0080700D">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194" w:type="pct"/>
            <w:gridSpan w:val="5"/>
            <w:tcBorders>
              <w:top w:val="outset" w:sz="6" w:space="0" w:color="auto"/>
              <w:left w:val="outset" w:sz="6" w:space="0" w:color="auto"/>
              <w:bottom w:val="outset" w:sz="6" w:space="0" w:color="auto"/>
              <w:right w:val="outset" w:sz="6" w:space="0" w:color="auto"/>
            </w:tcBorders>
            <w:hideMark/>
          </w:tcPr>
          <w:p w:rsidR="00911126" w:rsidRPr="00906C75" w:rsidRDefault="00911126" w:rsidP="0080700D">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279" w:type="pct"/>
            <w:gridSpan w:val="8"/>
            <w:tcBorders>
              <w:top w:val="outset" w:sz="6" w:space="0" w:color="auto"/>
              <w:left w:val="outset" w:sz="6" w:space="0" w:color="auto"/>
              <w:bottom w:val="outset" w:sz="6" w:space="0" w:color="auto"/>
              <w:right w:val="outset" w:sz="6" w:space="0" w:color="auto"/>
            </w:tcBorders>
          </w:tcPr>
          <w:p w:rsidR="00911126" w:rsidRPr="00D73F4F" w:rsidRDefault="00083E1C" w:rsidP="00C440B2">
            <w:pPr>
              <w:pStyle w:val="BodyTextIndent"/>
              <w:spacing w:after="0"/>
              <w:ind w:left="0"/>
              <w:jc w:val="both"/>
              <w:rPr>
                <w:iCs/>
                <w:lang w:eastAsia="lv-LV"/>
              </w:rPr>
            </w:pPr>
            <w:r>
              <w:rPr>
                <w:iCs/>
                <w:lang w:eastAsia="lv-LV"/>
              </w:rPr>
              <w:t>Nav.</w:t>
            </w:r>
          </w:p>
        </w:tc>
      </w:tr>
      <w:tr w:rsidR="00512222" w:rsidRPr="00512222" w:rsidTr="007C1EA2">
        <w:trPr>
          <w:gridAfter w:val="3"/>
          <w:wAfter w:w="399" w:type="pct"/>
          <w:tblCellSpacing w:w="15" w:type="dxa"/>
        </w:trPr>
        <w:tc>
          <w:tcPr>
            <w:tcW w:w="4555" w:type="pct"/>
            <w:gridSpan w:val="13"/>
            <w:tcBorders>
              <w:top w:val="outset" w:sz="6" w:space="0" w:color="auto"/>
              <w:left w:val="outset" w:sz="6" w:space="0" w:color="auto"/>
              <w:bottom w:val="outset" w:sz="6" w:space="0" w:color="auto"/>
              <w:right w:val="outset" w:sz="6" w:space="0" w:color="auto"/>
            </w:tcBorders>
            <w:vAlign w:val="center"/>
            <w:hideMark/>
          </w:tcPr>
          <w:p w:rsidR="002E0981" w:rsidRPr="00512222" w:rsidRDefault="002E0981" w:rsidP="00613FFB">
            <w:pPr>
              <w:spacing w:after="0" w:line="240" w:lineRule="auto"/>
              <w:rPr>
                <w:rFonts w:ascii="Times New Roman" w:eastAsia="Times New Roman" w:hAnsi="Times New Roman" w:cs="Times New Roman"/>
                <w:b/>
                <w:bCs/>
                <w:iCs/>
                <w:color w:val="000000" w:themeColor="text1"/>
                <w:sz w:val="24"/>
                <w:szCs w:val="24"/>
                <w:lang w:eastAsia="lv-LV"/>
              </w:rPr>
            </w:pPr>
            <w:r w:rsidRPr="00512222">
              <w:rPr>
                <w:rFonts w:ascii="Times New Roman" w:eastAsia="Times New Roman" w:hAnsi="Times New Roman" w:cs="Times New Roman"/>
                <w:b/>
                <w:bCs/>
                <w:iCs/>
                <w:color w:val="000000" w:themeColor="text1"/>
                <w:sz w:val="24"/>
                <w:szCs w:val="24"/>
                <w:lang w:eastAsia="lv-LV"/>
              </w:rPr>
              <w:t xml:space="preserve">II. Tiesību akta projekta ietekme uz sabiedrību, tautsaimniecības attīstību un administratīvo </w:t>
            </w:r>
          </w:p>
        </w:tc>
      </w:tr>
      <w:tr w:rsidR="002E0981" w:rsidRPr="00512222" w:rsidTr="007C1EA2">
        <w:trPr>
          <w:gridAfter w:val="3"/>
          <w:wAfter w:w="399" w:type="pct"/>
          <w:tblCellSpacing w:w="15" w:type="dxa"/>
        </w:trPr>
        <w:tc>
          <w:tcPr>
            <w:tcW w:w="4555" w:type="pct"/>
            <w:gridSpan w:val="13"/>
            <w:tcBorders>
              <w:top w:val="outset" w:sz="6" w:space="0" w:color="auto"/>
              <w:left w:val="outset" w:sz="6" w:space="0" w:color="auto"/>
              <w:bottom w:val="outset" w:sz="6" w:space="0" w:color="auto"/>
              <w:right w:val="outset" w:sz="6" w:space="0" w:color="auto"/>
            </w:tcBorders>
            <w:vAlign w:val="center"/>
          </w:tcPr>
          <w:p w:rsidR="002E0981" w:rsidRPr="00512222" w:rsidRDefault="002E0981" w:rsidP="00CF1456">
            <w:pPr>
              <w:spacing w:after="0" w:line="240" w:lineRule="auto"/>
              <w:jc w:val="center"/>
              <w:rPr>
                <w:rFonts w:ascii="Times New Roman" w:eastAsia="Times New Roman" w:hAnsi="Times New Roman" w:cs="Times New Roman"/>
                <w:bCs/>
                <w:iCs/>
                <w:color w:val="000000" w:themeColor="text1"/>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p>
        </w:tc>
      </w:tr>
      <w:tr w:rsidR="009B2414" w:rsidRPr="004965F7"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rPr>
                <w:rFonts w:ascii="Times New Roman" w:eastAsia="Times New Roman" w:hAnsi="Times New Roman" w:cs="Times New Roman"/>
                <w:b/>
                <w:bCs/>
                <w:iCs/>
                <w:lang w:eastAsia="lv-LV"/>
              </w:rPr>
            </w:pPr>
            <w:r w:rsidRPr="009B2414">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9B2414" w:rsidRPr="004965F7" w:rsidTr="007C1EA2">
        <w:trPr>
          <w:tblCellSpacing w:w="15" w:type="dxa"/>
        </w:trPr>
        <w:tc>
          <w:tcPr>
            <w:tcW w:w="775"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939"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 gads</w:t>
            </w:r>
          </w:p>
        </w:tc>
        <w:tc>
          <w:tcPr>
            <w:tcW w:w="3224" w:type="pct"/>
            <w:gridSpan w:val="8"/>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A55B77" w:rsidRPr="004965F7" w:rsidTr="007C1EA2">
        <w:trPr>
          <w:tblCellSpacing w:w="15" w:type="dxa"/>
        </w:trPr>
        <w:tc>
          <w:tcPr>
            <w:tcW w:w="775" w:type="pct"/>
            <w:gridSpan w:val="3"/>
            <w:vMerge/>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p>
        </w:tc>
        <w:tc>
          <w:tcPr>
            <w:tcW w:w="939" w:type="pct"/>
            <w:gridSpan w:val="5"/>
            <w:vMerge/>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p>
        </w:tc>
        <w:tc>
          <w:tcPr>
            <w:tcW w:w="896" w:type="pct"/>
            <w:gridSpan w:val="2"/>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 gads</w:t>
            </w:r>
          </w:p>
        </w:tc>
        <w:tc>
          <w:tcPr>
            <w:tcW w:w="896" w:type="pct"/>
            <w:gridSpan w:val="2"/>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 gads</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 gads</w:t>
            </w:r>
          </w:p>
        </w:tc>
      </w:tr>
      <w:tr w:rsidR="000E4988" w:rsidRPr="004965F7" w:rsidTr="007C1EA2">
        <w:trPr>
          <w:tblCellSpacing w:w="15" w:type="dxa"/>
        </w:trPr>
        <w:tc>
          <w:tcPr>
            <w:tcW w:w="775" w:type="pct"/>
            <w:gridSpan w:val="3"/>
            <w:vMerge/>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p>
        </w:tc>
        <w:tc>
          <w:tcPr>
            <w:tcW w:w="440" w:type="pct"/>
            <w:gridSpan w:val="2"/>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397"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484"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2020. gadam</w:t>
            </w:r>
          </w:p>
        </w:tc>
        <w:tc>
          <w:tcPr>
            <w:tcW w:w="397"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484" w:type="pct"/>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2021. gadam</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9B2414" w:rsidRPr="004965F7" w:rsidRDefault="009B2414" w:rsidP="00CC57C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vidēja termiņa budžeta ietvaru 2021. gadam</w:t>
            </w:r>
          </w:p>
        </w:tc>
      </w:tr>
      <w:tr w:rsidR="000E4988" w:rsidRPr="00C22BD2"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1</w:t>
            </w:r>
          </w:p>
        </w:tc>
        <w:tc>
          <w:tcPr>
            <w:tcW w:w="440" w:type="pct"/>
            <w:gridSpan w:val="2"/>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2</w:t>
            </w: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3</w:t>
            </w:r>
          </w:p>
        </w:tc>
        <w:tc>
          <w:tcPr>
            <w:tcW w:w="397"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4</w:t>
            </w:r>
          </w:p>
        </w:tc>
        <w:tc>
          <w:tcPr>
            <w:tcW w:w="484"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5</w:t>
            </w:r>
          </w:p>
        </w:tc>
        <w:tc>
          <w:tcPr>
            <w:tcW w:w="397"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6</w:t>
            </w:r>
          </w:p>
        </w:tc>
        <w:tc>
          <w:tcPr>
            <w:tcW w:w="484" w:type="pct"/>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7</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9B2414" w:rsidRPr="00C22BD2" w:rsidRDefault="009B2414" w:rsidP="00CC57C5">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8</w:t>
            </w:r>
          </w:p>
        </w:tc>
      </w:tr>
      <w:tr w:rsidR="003273C7" w:rsidRPr="00AC1A65" w:rsidTr="007C1EA2">
        <w:trPr>
          <w:trHeight w:val="379"/>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 Budžeta ieņēmumi</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201 408</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273C7"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201 408</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273C7"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Valsts policija (06.01.00 “Valsts policija”)</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201 408</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273C7"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Pārējās tiesībaizsardzības iestādes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273C7"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1.2. valsts speciālais budžets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3273C7"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1.3. pašvaldību budžets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3273C7" w:rsidRPr="00AC1A65" w:rsidRDefault="003273C7" w:rsidP="003273C7">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7C1EA2" w:rsidRPr="00AC1A65" w:rsidTr="007C1EA2">
        <w:trPr>
          <w:trHeight w:val="247"/>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 Budžeta izdevumi</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201 408</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618 431</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1 172 943</w:t>
            </w:r>
          </w:p>
        </w:tc>
      </w:tr>
      <w:tr w:rsidR="007C1EA2"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 valsts pamatbudžets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201 408</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618 431</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1 172 943</w:t>
            </w:r>
          </w:p>
        </w:tc>
      </w:tr>
      <w:tr w:rsidR="007C1EA2"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Valsts policija (06.01.00 “Valsts policija”)</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201 408</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178 400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583 128</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1 131 515</w:t>
            </w:r>
          </w:p>
        </w:tc>
      </w:tr>
      <w:tr w:rsidR="007C1EA2"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7C1EA2" w:rsidRPr="00D41C6F"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Pārējās tiesībaizsardzības iestādes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057B22">
              <w:rPr>
                <w:rFonts w:ascii="Times New Roman" w:eastAsia="Times New Roman" w:hAnsi="Times New Roman" w:cs="Times New Roman"/>
                <w:iCs/>
                <w:sz w:val="20"/>
                <w:szCs w:val="20"/>
                <w:lang w:eastAsia="lv-LV"/>
              </w:rPr>
              <w:t>35 303</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057B22">
              <w:rPr>
                <w:rFonts w:ascii="Times New Roman" w:eastAsia="Times New Roman" w:hAnsi="Times New Roman" w:cs="Times New Roman"/>
                <w:iCs/>
                <w:sz w:val="20"/>
                <w:szCs w:val="20"/>
                <w:lang w:eastAsia="lv-LV"/>
              </w:rPr>
              <w:t>41 428</w:t>
            </w:r>
          </w:p>
        </w:tc>
      </w:tr>
      <w:tr w:rsidR="007C1EA2"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2.2. valsts speciālais budžets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7C1EA2"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2.3. pašvaldību budžets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7C1EA2" w:rsidRPr="00AC1A65"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 Finansiālā ietekme</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-618 431</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-1 172 943</w:t>
            </w:r>
          </w:p>
        </w:tc>
      </w:tr>
      <w:tr w:rsidR="007C1EA2" w:rsidRPr="00FB34E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3.1. valsts pamatbudžets</w:t>
            </w:r>
          </w:p>
        </w:tc>
        <w:tc>
          <w:tcPr>
            <w:tcW w:w="440" w:type="pct"/>
            <w:gridSpan w:val="2"/>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-618 431</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-1 172 943</w:t>
            </w:r>
          </w:p>
        </w:tc>
      </w:tr>
      <w:tr w:rsidR="007C1EA2" w:rsidRPr="00FB34E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Valsts policija</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-583 128</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-1 131 515</w:t>
            </w:r>
          </w:p>
        </w:tc>
      </w:tr>
      <w:tr w:rsidR="007C1EA2" w:rsidRPr="00FB34E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Pārējās tiesībaizsardzības iestādes</w:t>
            </w:r>
          </w:p>
        </w:tc>
        <w:tc>
          <w:tcPr>
            <w:tcW w:w="440" w:type="pct"/>
            <w:gridSpan w:val="2"/>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057B22">
              <w:rPr>
                <w:rFonts w:ascii="Times New Roman" w:eastAsia="Times New Roman" w:hAnsi="Times New Roman" w:cs="Times New Roman"/>
                <w:iCs/>
                <w:sz w:val="20"/>
                <w:szCs w:val="20"/>
                <w:lang w:eastAsia="lv-LV"/>
              </w:rPr>
              <w:t>-35 303</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057B22">
              <w:rPr>
                <w:rFonts w:ascii="Times New Roman" w:eastAsia="Times New Roman" w:hAnsi="Times New Roman" w:cs="Times New Roman"/>
                <w:iCs/>
                <w:sz w:val="20"/>
                <w:szCs w:val="20"/>
                <w:lang w:eastAsia="lv-LV"/>
              </w:rPr>
              <w:t>-41 428</w:t>
            </w:r>
          </w:p>
        </w:tc>
      </w:tr>
      <w:tr w:rsidR="007C1EA2" w:rsidRPr="00FB34E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3.2. speciālais budžets</w:t>
            </w:r>
          </w:p>
        </w:tc>
        <w:tc>
          <w:tcPr>
            <w:tcW w:w="440" w:type="pct"/>
            <w:gridSpan w:val="2"/>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7C1EA2" w:rsidRPr="00FB34E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3.3. pašvaldību budžets</w:t>
            </w:r>
          </w:p>
        </w:tc>
        <w:tc>
          <w:tcPr>
            <w:tcW w:w="440" w:type="pct"/>
            <w:gridSpan w:val="2"/>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7C1EA2" w:rsidRPr="00FB34E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40" w:type="pct"/>
            <w:gridSpan w:val="2"/>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X</w:t>
            </w:r>
          </w:p>
        </w:tc>
        <w:tc>
          <w:tcPr>
            <w:tcW w:w="397" w:type="pc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spacing w:after="0" w:line="240" w:lineRule="auto"/>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7C1EA2" w:rsidRPr="00FB34EC" w:rsidRDefault="007C1EA2" w:rsidP="007C1EA2">
            <w:pPr>
              <w:spacing w:after="0" w:line="240" w:lineRule="auto"/>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7C1EA2" w:rsidRPr="00FE3871"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 Precizēta finansiālā ietekme</w:t>
            </w:r>
          </w:p>
        </w:tc>
        <w:tc>
          <w:tcPr>
            <w:tcW w:w="44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vMerge w:val="restart"/>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397" w:type="pct"/>
            <w:vMerge w:val="restart"/>
            <w:tcBorders>
              <w:top w:val="outset" w:sz="6" w:space="0" w:color="auto"/>
              <w:left w:val="outset" w:sz="6" w:space="0" w:color="auto"/>
              <w:bottom w:val="outset" w:sz="6" w:space="0" w:color="auto"/>
              <w:right w:val="outset" w:sz="6" w:space="0" w:color="auto"/>
            </w:tcBorders>
            <w:vAlign w:val="center"/>
            <w:hideMark/>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p w:rsidR="007C1EA2" w:rsidRPr="00FE3871" w:rsidRDefault="007C1EA2" w:rsidP="007C1EA2">
            <w:pPr>
              <w:spacing w:after="0" w:line="240" w:lineRule="auto"/>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X</w:t>
            </w: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-618 431</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-1 172 943</w:t>
            </w:r>
          </w:p>
        </w:tc>
      </w:tr>
      <w:tr w:rsidR="007C1EA2" w:rsidRPr="00FE3871"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5.1. valsts pamatbudžets</w:t>
            </w:r>
          </w:p>
        </w:tc>
        <w:tc>
          <w:tcPr>
            <w:tcW w:w="440" w:type="pct"/>
            <w:gridSpan w:val="2"/>
            <w:vMerge/>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-618 431</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-1 172 943</w:t>
            </w:r>
          </w:p>
        </w:tc>
      </w:tr>
      <w:tr w:rsidR="007C1EA2" w:rsidRPr="00FE3871"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Valsts policija</w:t>
            </w:r>
          </w:p>
        </w:tc>
        <w:tc>
          <w:tcPr>
            <w:tcW w:w="440" w:type="pct"/>
            <w:gridSpan w:val="2"/>
            <w:vMerge/>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-583 128</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-1 131 515</w:t>
            </w:r>
          </w:p>
        </w:tc>
      </w:tr>
      <w:tr w:rsidR="007C1EA2" w:rsidRPr="00FE3871"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tcPr>
          <w:p w:rsidR="007C1EA2" w:rsidRPr="00AC1A65" w:rsidRDefault="007C1EA2" w:rsidP="007C1EA2">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Pārējās tiesībaizsardzības iestādes</w:t>
            </w:r>
          </w:p>
        </w:tc>
        <w:tc>
          <w:tcPr>
            <w:tcW w:w="440" w:type="pct"/>
            <w:gridSpan w:val="2"/>
            <w:vMerge/>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gridSpan w:val="3"/>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tcPr>
          <w:p w:rsidR="007C1EA2" w:rsidRPr="00FE3871"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057B22">
              <w:rPr>
                <w:rFonts w:ascii="Times New Roman" w:eastAsia="Times New Roman" w:hAnsi="Times New Roman" w:cs="Times New Roman"/>
                <w:iCs/>
                <w:sz w:val="20"/>
                <w:szCs w:val="20"/>
                <w:lang w:eastAsia="lv-LV"/>
              </w:rPr>
              <w:t>-35 303</w:t>
            </w:r>
          </w:p>
        </w:tc>
        <w:tc>
          <w:tcPr>
            <w:tcW w:w="1401" w:type="pct"/>
            <w:gridSpan w:val="4"/>
            <w:tcBorders>
              <w:top w:val="outset" w:sz="6" w:space="0" w:color="auto"/>
              <w:left w:val="outset" w:sz="6" w:space="0" w:color="auto"/>
              <w:bottom w:val="outset" w:sz="6" w:space="0" w:color="auto"/>
              <w:right w:val="outset" w:sz="6" w:space="0" w:color="auto"/>
            </w:tcBorders>
            <w:vAlign w:val="center"/>
          </w:tcPr>
          <w:p w:rsidR="007C1EA2" w:rsidRPr="00AC1A65" w:rsidRDefault="007C1EA2" w:rsidP="007C1EA2">
            <w:pPr>
              <w:rPr>
                <w:rFonts w:ascii="Times New Roman" w:eastAsia="Times New Roman" w:hAnsi="Times New Roman" w:cs="Times New Roman"/>
                <w:iCs/>
                <w:sz w:val="20"/>
                <w:szCs w:val="20"/>
                <w:lang w:eastAsia="lv-LV"/>
              </w:rPr>
            </w:pPr>
            <w:r w:rsidRPr="00057B22">
              <w:rPr>
                <w:rFonts w:ascii="Times New Roman" w:eastAsia="Times New Roman" w:hAnsi="Times New Roman" w:cs="Times New Roman"/>
                <w:iCs/>
                <w:sz w:val="20"/>
                <w:szCs w:val="20"/>
                <w:lang w:eastAsia="lv-LV"/>
              </w:rPr>
              <w:t>-41 428</w:t>
            </w:r>
          </w:p>
        </w:tc>
      </w:tr>
      <w:tr w:rsidR="007C1EA2" w:rsidRPr="00E535A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5.2. speciālais budžets</w:t>
            </w:r>
          </w:p>
        </w:tc>
        <w:tc>
          <w:tcPr>
            <w:tcW w:w="440" w:type="pct"/>
            <w:gridSpan w:val="2"/>
            <w:vMerge/>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7C1EA2" w:rsidRPr="00057B22"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057B22"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7C1EA2" w:rsidRPr="00057B22"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7C1EA2" w:rsidRPr="00E535AC" w:rsidTr="007C1EA2">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5.3. pašvaldību budžets</w:t>
            </w:r>
          </w:p>
        </w:tc>
        <w:tc>
          <w:tcPr>
            <w:tcW w:w="440" w:type="pct"/>
            <w:gridSpan w:val="2"/>
            <w:vMerge/>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gridSpan w:val="3"/>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1401" w:type="pct"/>
            <w:gridSpan w:val="4"/>
            <w:tcBorders>
              <w:top w:val="outset" w:sz="6" w:space="0" w:color="auto"/>
              <w:left w:val="outset" w:sz="6" w:space="0" w:color="auto"/>
              <w:bottom w:val="outset" w:sz="6" w:space="0" w:color="auto"/>
              <w:right w:val="outset" w:sz="6" w:space="0" w:color="auto"/>
            </w:tcBorders>
            <w:vAlign w:val="center"/>
            <w:hideMark/>
          </w:tcPr>
          <w:p w:rsidR="007C1EA2" w:rsidRPr="00E535AC" w:rsidRDefault="007C1EA2" w:rsidP="007C1EA2">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7C1EA2" w:rsidRPr="009359B8" w:rsidTr="003273C7">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4965F7" w:rsidRDefault="007C1EA2" w:rsidP="007C1EA2">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6. Detalizēts ieņēmumu un izdevumu aprēķins (ja </w:t>
            </w:r>
            <w:r w:rsidRPr="004965F7">
              <w:rPr>
                <w:rFonts w:ascii="Times New Roman" w:eastAsia="Times New Roman" w:hAnsi="Times New Roman" w:cs="Times New Roman"/>
                <w:iCs/>
                <w:lang w:eastAsia="lv-LV"/>
              </w:rPr>
              <w:lastRenderedPageBreak/>
              <w:t>nepieciešams, detalizētu ieņēmumu un izdevumu aprēķinu var pievienot anotācijas pielikumā)</w:t>
            </w:r>
          </w:p>
        </w:tc>
        <w:tc>
          <w:tcPr>
            <w:tcW w:w="4179" w:type="pct"/>
            <w:gridSpan w:val="13"/>
            <w:vMerge w:val="restart"/>
            <w:tcBorders>
              <w:top w:val="outset" w:sz="6" w:space="0" w:color="auto"/>
              <w:left w:val="outset" w:sz="6" w:space="0" w:color="auto"/>
              <w:bottom w:val="outset" w:sz="6" w:space="0" w:color="auto"/>
              <w:right w:val="outset" w:sz="6" w:space="0" w:color="auto"/>
            </w:tcBorders>
            <w:hideMark/>
          </w:tcPr>
          <w:p w:rsidR="007C1EA2" w:rsidRPr="00CC57C5" w:rsidRDefault="007C1EA2" w:rsidP="007C1EA2">
            <w:pPr>
              <w:pStyle w:val="BodyTextIndent"/>
              <w:spacing w:after="0"/>
              <w:ind w:left="0"/>
              <w:jc w:val="both"/>
              <w:rPr>
                <w:iCs/>
                <w:sz w:val="22"/>
                <w:szCs w:val="22"/>
                <w:lang w:eastAsia="lv-LV"/>
              </w:rPr>
            </w:pPr>
            <w:r w:rsidRPr="00CC57C5">
              <w:rPr>
                <w:iCs/>
                <w:sz w:val="22"/>
                <w:szCs w:val="22"/>
                <w:lang w:eastAsia="lv-LV"/>
              </w:rPr>
              <w:lastRenderedPageBreak/>
              <w:t xml:space="preserve">Ar Ministru kabineta 2019. gada </w:t>
            </w:r>
            <w:proofErr w:type="gramStart"/>
            <w:r w:rsidRPr="00CC57C5">
              <w:rPr>
                <w:iCs/>
                <w:sz w:val="22"/>
                <w:szCs w:val="22"/>
                <w:lang w:eastAsia="lv-LV"/>
              </w:rPr>
              <w:t>7.maija</w:t>
            </w:r>
            <w:proofErr w:type="gramEnd"/>
            <w:r w:rsidRPr="00CC57C5">
              <w:rPr>
                <w:iCs/>
                <w:sz w:val="22"/>
                <w:szCs w:val="22"/>
                <w:lang w:eastAsia="lv-LV"/>
              </w:rPr>
              <w:t xml:space="preserve"> rīkojumu Nr.220 tika atbalstīts  konceptuālajā ziņojumā  ietvertais 3. risinājums, kas paredz jaunas struktūrvienības izveidi kādā no valsts universitātēm, bet, izskatot informatīvo ziņojumu, Ministru kabinets atbalstīja RSU kā tiesībaizsardzības iestāžu ilgtermiņa sadarbības partneri </w:t>
            </w:r>
            <w:proofErr w:type="spellStart"/>
            <w:r w:rsidRPr="00CC57C5">
              <w:rPr>
                <w:iCs/>
                <w:sz w:val="22"/>
                <w:szCs w:val="22"/>
                <w:lang w:eastAsia="lv-LV"/>
              </w:rPr>
              <w:t>bakaulaura</w:t>
            </w:r>
            <w:proofErr w:type="spellEnd"/>
            <w:r w:rsidRPr="00CC57C5">
              <w:rPr>
                <w:iCs/>
                <w:sz w:val="22"/>
                <w:szCs w:val="22"/>
                <w:lang w:eastAsia="lv-LV"/>
              </w:rPr>
              <w:t xml:space="preserve"> studiju programmas </w:t>
            </w:r>
            <w:r w:rsidRPr="00CC57C5">
              <w:rPr>
                <w:iCs/>
                <w:sz w:val="22"/>
                <w:szCs w:val="22"/>
                <w:lang w:eastAsia="lv-LV"/>
              </w:rPr>
              <w:lastRenderedPageBreak/>
              <w:t xml:space="preserve">“Policijas darbs” un ar speciālu modeli papildinātā maģistra programmā “Tiesību zinātne”, kā arī  kvalifikācijas paaugstināšanas kursu īstenošanā.  Konceptuālā ziņojuma 7.pielikumā atspoguļoti </w:t>
            </w:r>
            <w:r w:rsidR="00BC4DCF">
              <w:rPr>
                <w:iCs/>
                <w:sz w:val="22"/>
                <w:szCs w:val="22"/>
                <w:lang w:eastAsia="lv-LV"/>
              </w:rPr>
              <w:t xml:space="preserve">indikatīvi </w:t>
            </w:r>
            <w:r w:rsidRPr="00CC57C5">
              <w:rPr>
                <w:iCs/>
                <w:sz w:val="22"/>
                <w:szCs w:val="22"/>
                <w:lang w:eastAsia="lv-LV"/>
              </w:rPr>
              <w:t>detalizēti aprēķini un V.</w:t>
            </w:r>
            <w:r>
              <w:rPr>
                <w:iCs/>
                <w:sz w:val="22"/>
                <w:szCs w:val="22"/>
                <w:lang w:eastAsia="lv-LV"/>
              </w:rPr>
              <w:t xml:space="preserve"> </w:t>
            </w:r>
            <w:r w:rsidRPr="00CC57C5">
              <w:rPr>
                <w:iCs/>
                <w:sz w:val="22"/>
                <w:szCs w:val="22"/>
                <w:lang w:eastAsia="lv-LV"/>
              </w:rPr>
              <w:t>sadaļas “Ietekme uz valsts un pašvaldību budžetu” tabulā “Kopsavilkums par konceptuālajā ziņojumā iekļauto risinājumu (risinājumu variantu) realizācijai nepieciešamo valsts un pašvaldību budžeta finansējumu” atspoguļota 3. risinājuma ietekme uz valsts budžetu. Kopsavilkuma rādītāji atspoguļoti ar</w:t>
            </w:r>
            <w:r>
              <w:rPr>
                <w:iCs/>
                <w:sz w:val="22"/>
                <w:szCs w:val="22"/>
                <w:lang w:eastAsia="lv-LV"/>
              </w:rPr>
              <w:t>ī</w:t>
            </w:r>
            <w:r w:rsidRPr="00CC57C5">
              <w:rPr>
                <w:iCs/>
                <w:sz w:val="22"/>
                <w:szCs w:val="22"/>
                <w:lang w:eastAsia="lv-LV"/>
              </w:rPr>
              <w:t xml:space="preserve"> informatīvā ziņojuma V.</w:t>
            </w:r>
            <w:r>
              <w:rPr>
                <w:iCs/>
                <w:sz w:val="22"/>
                <w:szCs w:val="22"/>
                <w:lang w:eastAsia="lv-LV"/>
              </w:rPr>
              <w:t xml:space="preserve"> </w:t>
            </w:r>
            <w:r w:rsidRPr="00CC57C5">
              <w:rPr>
                <w:iCs/>
                <w:sz w:val="22"/>
                <w:szCs w:val="22"/>
                <w:lang w:eastAsia="lv-LV"/>
              </w:rPr>
              <w:t>sadaļā “Prognozētā ietekme uz valsts budžetu”.</w:t>
            </w:r>
          </w:p>
          <w:p w:rsidR="007C1EA2" w:rsidRDefault="007C1EA2" w:rsidP="007C1EA2">
            <w:pPr>
              <w:pStyle w:val="BodyTextIndent"/>
              <w:spacing w:after="0"/>
              <w:ind w:left="0"/>
              <w:jc w:val="both"/>
              <w:rPr>
                <w:iCs/>
                <w:sz w:val="22"/>
                <w:szCs w:val="22"/>
                <w:lang w:eastAsia="lv-LV"/>
              </w:rPr>
            </w:pPr>
            <w:r w:rsidRPr="003F6ED7">
              <w:rPr>
                <w:iCs/>
                <w:sz w:val="22"/>
                <w:szCs w:val="22"/>
                <w:lang w:eastAsia="lv-LV"/>
              </w:rPr>
              <w:t>Vidējais studiju vietu skaits</w:t>
            </w:r>
            <w:r>
              <w:rPr>
                <w:iCs/>
                <w:sz w:val="22"/>
                <w:szCs w:val="22"/>
                <w:lang w:eastAsia="lv-LV"/>
              </w:rPr>
              <w:t>:</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 xml:space="preserve">1. Valsts policijai II līmeņa profesionālās augstākās izglītības studiju programmā “Policijas darbs” tiek plānots jau no </w:t>
            </w:r>
            <w:proofErr w:type="gramStart"/>
            <w:r w:rsidRPr="003F6ED7">
              <w:rPr>
                <w:iCs/>
                <w:sz w:val="22"/>
                <w:szCs w:val="22"/>
                <w:lang w:eastAsia="lv-LV"/>
              </w:rPr>
              <w:t>2020.gada</w:t>
            </w:r>
            <w:proofErr w:type="gramEnd"/>
            <w:r w:rsidRPr="003F6ED7">
              <w:rPr>
                <w:iCs/>
                <w:sz w:val="22"/>
                <w:szCs w:val="22"/>
                <w:lang w:eastAsia="lv-LV"/>
              </w:rPr>
              <w:t xml:space="preserve"> (1.gads), bet pārējām tiesībaizsardzības iestādēm – no 2023.gada (4.gads), ievērojot, ka, lai iegūtu attiecīgu I līmeņa profesionālo augstāko izglītību, kas dod iespēju turpināt studijas II līmeņa izglītības programmā, var būt 2 varianti:</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 attiecīgās iestādes veic rekrutēšanu, piesaistot vidusskolu absolventus izglītības ieguvei Valsts policijas koledžā;</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 xml:space="preserve">- personas ir tiesīgas uzsākt studijas II līmeņa profesionālās augstākās izglītības studiju programmā, pamatojoties uz Augstskolu likumu 59.3 pantā noteikto.  </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Attiecīgi aprēķināts arī papildu nepieciešamā finansējuma apjoms pa gadiem, kas nozīmē, ka 2020.-</w:t>
            </w:r>
            <w:proofErr w:type="gramStart"/>
            <w:r w:rsidRPr="003F6ED7">
              <w:rPr>
                <w:iCs/>
                <w:sz w:val="22"/>
                <w:szCs w:val="22"/>
                <w:lang w:eastAsia="lv-LV"/>
              </w:rPr>
              <w:t>2022.gadam</w:t>
            </w:r>
            <w:proofErr w:type="gramEnd"/>
            <w:r w:rsidRPr="003F6ED7">
              <w:rPr>
                <w:iCs/>
                <w:sz w:val="22"/>
                <w:szCs w:val="22"/>
                <w:lang w:eastAsia="lv-LV"/>
              </w:rPr>
              <w:t xml:space="preserve"> papildu finansējums nepieciešams tikai Valsts policijai, bet no 2023.gada – arī pārējām tiesībaizsardzības iestādēm</w:t>
            </w:r>
            <w:r>
              <w:rPr>
                <w:iCs/>
                <w:sz w:val="22"/>
                <w:szCs w:val="22"/>
                <w:lang w:eastAsia="lv-LV"/>
              </w:rPr>
              <w:t>;</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 xml:space="preserve">2. profesionālā maģistrantūras studiju programmā “Tiesību zinātne” tiek plānots no </w:t>
            </w:r>
            <w:proofErr w:type="gramStart"/>
            <w:r w:rsidRPr="003F6ED7">
              <w:rPr>
                <w:iCs/>
                <w:sz w:val="22"/>
                <w:szCs w:val="22"/>
                <w:lang w:eastAsia="lv-LV"/>
              </w:rPr>
              <w:t>2020.gada</w:t>
            </w:r>
            <w:proofErr w:type="gramEnd"/>
            <w:r w:rsidRPr="003F6ED7">
              <w:rPr>
                <w:iCs/>
                <w:sz w:val="22"/>
                <w:szCs w:val="22"/>
                <w:lang w:eastAsia="lv-LV"/>
              </w:rPr>
              <w:t xml:space="preserve"> visām tiesībaizsardzības iestādēm kopā, vienlaikus pieņemot, ka 50% no plānotā skaita būs Valsts policijas amatpersonas, bet 50% - citu tiesībaizsardzības iestāžu nodarbinātie.</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 xml:space="preserve">Attiecīgi aprēķināts arī papildu nepieciešamā finansējuma apjoms pa gadiem. </w:t>
            </w:r>
          </w:p>
          <w:p w:rsidR="007C1EA2" w:rsidRPr="003F6ED7" w:rsidRDefault="007C1EA2" w:rsidP="007C1EA2">
            <w:pPr>
              <w:pStyle w:val="BodyTextIndent"/>
              <w:spacing w:after="0"/>
              <w:ind w:left="0"/>
              <w:jc w:val="both"/>
              <w:rPr>
                <w:iCs/>
                <w:sz w:val="22"/>
                <w:szCs w:val="22"/>
                <w:lang w:eastAsia="lv-LV"/>
              </w:rPr>
            </w:pPr>
            <w:r w:rsidRPr="003F6ED7">
              <w:rPr>
                <w:iCs/>
                <w:sz w:val="22"/>
                <w:szCs w:val="22"/>
                <w:lang w:eastAsia="lv-LV"/>
              </w:rPr>
              <w:t xml:space="preserve">     Būtiski norādīt, ka konceptuālajā ziņojumā minēts, ka aprēķinos piemērots “maksimālais kopējais pasūtījums, kurš realitātē var būt līdz 40% zemāks”. Līdz ar to faktiskais vidējais studiju vietu skaits var atšķirties no plānotā, un nepieciešamā finansējuma aprēķini attiecīgi būs jāprecizē, ja skaits būs mazāks. Vienlaikus plānojams finansējums kvalifikācijas paaugstināšanas kursiem, kas ir īpaši būtiski kvalificēta personāla nodrošināšanai un zināšanu pilnveidošanai.</w:t>
            </w:r>
          </w:p>
          <w:p w:rsidR="007C1EA2" w:rsidRPr="00CC57C5" w:rsidRDefault="007C1EA2" w:rsidP="00BC4DCF">
            <w:pPr>
              <w:pStyle w:val="BodyTextIndent"/>
              <w:spacing w:after="0"/>
              <w:ind w:left="0"/>
              <w:jc w:val="both"/>
              <w:rPr>
                <w:iCs/>
                <w:sz w:val="22"/>
                <w:szCs w:val="22"/>
                <w:lang w:eastAsia="lv-LV"/>
              </w:rPr>
            </w:pPr>
            <w:r>
              <w:rPr>
                <w:iCs/>
                <w:sz w:val="22"/>
                <w:szCs w:val="22"/>
                <w:lang w:eastAsia="lv-LV"/>
              </w:rPr>
              <w:t xml:space="preserve">   </w:t>
            </w:r>
            <w:r w:rsidRPr="00CC57C5">
              <w:rPr>
                <w:iCs/>
                <w:sz w:val="22"/>
                <w:szCs w:val="22"/>
                <w:lang w:eastAsia="lv-LV"/>
              </w:rPr>
              <w:t xml:space="preserve">Iekšlietu ministrijai budžeta apakšprogrammā 06.01.00 “Valsts policija” </w:t>
            </w:r>
            <w:r>
              <w:rPr>
                <w:iCs/>
                <w:sz w:val="22"/>
                <w:szCs w:val="22"/>
                <w:lang w:eastAsia="lv-LV"/>
              </w:rPr>
              <w:t xml:space="preserve">sākotnēji </w:t>
            </w:r>
            <w:r w:rsidRPr="00CC57C5">
              <w:rPr>
                <w:iCs/>
                <w:sz w:val="22"/>
                <w:szCs w:val="22"/>
                <w:lang w:eastAsia="lv-LV"/>
              </w:rPr>
              <w:t xml:space="preserve">plānoti bāzes izdevumi speciālistu sagatavošanai RSU </w:t>
            </w:r>
            <w:r w:rsidRPr="003F6ED7">
              <w:rPr>
                <w:iCs/>
                <w:sz w:val="22"/>
                <w:szCs w:val="22"/>
                <w:lang w:eastAsia="lv-LV"/>
              </w:rPr>
              <w:t xml:space="preserve">161 480 </w:t>
            </w:r>
            <w:r w:rsidRPr="003F6ED7">
              <w:rPr>
                <w:i/>
                <w:iCs/>
                <w:sz w:val="22"/>
                <w:szCs w:val="22"/>
                <w:lang w:eastAsia="lv-LV"/>
              </w:rPr>
              <w:t>euro</w:t>
            </w:r>
            <w:r>
              <w:rPr>
                <w:iCs/>
                <w:sz w:val="22"/>
                <w:szCs w:val="22"/>
                <w:lang w:eastAsia="lv-LV"/>
              </w:rPr>
              <w:t xml:space="preserve"> (publiskā iepirkuma rezultātā atbilstoši noteikumu Nr.257 nosacījumiem noslēgtā līguma izpildei). Vienlaikus atkarībā no vidējā studiju vietu skaita konkrētajā gadā (aprēķina, ievērojot</w:t>
            </w:r>
            <w:proofErr w:type="gramStart"/>
            <w:r>
              <w:rPr>
                <w:iCs/>
                <w:sz w:val="22"/>
                <w:szCs w:val="22"/>
                <w:lang w:eastAsia="lv-LV"/>
              </w:rPr>
              <w:t xml:space="preserve">  </w:t>
            </w:r>
            <w:proofErr w:type="gramEnd"/>
            <w:r>
              <w:rPr>
                <w:iCs/>
                <w:sz w:val="22"/>
                <w:szCs w:val="22"/>
                <w:lang w:eastAsia="lv-LV"/>
              </w:rPr>
              <w:t xml:space="preserve">studējošo skaitu uz katra gada 1.janvāri, absolventu skaitu un uzņemamo skaitu kalendāra gada laikā) mainās arī nepieciešamā finansējuma apjoms. Papildu finansējums tam netiek piešķirts, un Valsts policija to nodrošina ar izdevumu iekšēju pārdali. Saskaņā ar likumu “Par valsts budžetu </w:t>
            </w:r>
            <w:proofErr w:type="gramStart"/>
            <w:r>
              <w:rPr>
                <w:iCs/>
                <w:sz w:val="22"/>
                <w:szCs w:val="22"/>
                <w:lang w:eastAsia="lv-LV"/>
              </w:rPr>
              <w:t>2019.gadam</w:t>
            </w:r>
            <w:proofErr w:type="gramEnd"/>
            <w:r>
              <w:rPr>
                <w:iCs/>
                <w:sz w:val="22"/>
                <w:szCs w:val="22"/>
                <w:lang w:eastAsia="lv-LV"/>
              </w:rPr>
              <w:t>”</w:t>
            </w:r>
            <w:r w:rsidRPr="00CC57C5">
              <w:rPr>
                <w:iCs/>
                <w:sz w:val="22"/>
                <w:szCs w:val="22"/>
                <w:lang w:eastAsia="lv-LV"/>
              </w:rPr>
              <w:t xml:space="preserve"> budžeta apakšprogrammā 06.01.00 “Valsts policija”</w:t>
            </w:r>
            <w:r>
              <w:rPr>
                <w:iCs/>
                <w:sz w:val="22"/>
                <w:szCs w:val="22"/>
                <w:lang w:eastAsia="lv-LV"/>
              </w:rPr>
              <w:t xml:space="preserve"> plānoti izdevumi maksājumiem RSU saskaņā ar noslēgto iepirkuma līgumu  201 408 </w:t>
            </w:r>
            <w:r w:rsidRPr="003273C7">
              <w:rPr>
                <w:i/>
                <w:iCs/>
                <w:sz w:val="22"/>
                <w:szCs w:val="22"/>
                <w:lang w:eastAsia="lv-LV"/>
              </w:rPr>
              <w:t>euro</w:t>
            </w:r>
            <w:r>
              <w:rPr>
                <w:iCs/>
                <w:sz w:val="22"/>
                <w:szCs w:val="22"/>
                <w:lang w:eastAsia="lv-LV"/>
              </w:rPr>
              <w:t xml:space="preserve"> apmērā, bet Saeimā</w:t>
            </w:r>
            <w:r w:rsidR="00BC4DCF">
              <w:rPr>
                <w:iCs/>
                <w:sz w:val="22"/>
                <w:szCs w:val="22"/>
                <w:lang w:eastAsia="lv-LV"/>
              </w:rPr>
              <w:t xml:space="preserve"> 2019.gada 14.novembrī</w:t>
            </w:r>
            <w:r>
              <w:rPr>
                <w:iCs/>
                <w:sz w:val="22"/>
                <w:szCs w:val="22"/>
                <w:lang w:eastAsia="lv-LV"/>
              </w:rPr>
              <w:t xml:space="preserve"> </w:t>
            </w:r>
            <w:r w:rsidR="00BC4DCF">
              <w:rPr>
                <w:iCs/>
                <w:sz w:val="22"/>
                <w:szCs w:val="22"/>
                <w:lang w:eastAsia="lv-LV"/>
              </w:rPr>
              <w:t xml:space="preserve">pieņemtajā </w:t>
            </w:r>
            <w:r>
              <w:rPr>
                <w:iCs/>
                <w:sz w:val="22"/>
                <w:szCs w:val="22"/>
                <w:lang w:eastAsia="lv-LV"/>
              </w:rPr>
              <w:t>likum</w:t>
            </w:r>
            <w:r w:rsidR="00BC4DCF">
              <w:rPr>
                <w:iCs/>
                <w:sz w:val="22"/>
                <w:szCs w:val="22"/>
                <w:lang w:eastAsia="lv-LV"/>
              </w:rPr>
              <w:t>ā</w:t>
            </w:r>
            <w:r>
              <w:rPr>
                <w:iCs/>
                <w:sz w:val="22"/>
                <w:szCs w:val="22"/>
                <w:lang w:eastAsia="lv-LV"/>
              </w:rPr>
              <w:t xml:space="preserve"> “Par valsts budžetu 2020.gadam” un likumā “Par vidēja termiņa budžeta ietvaru 2020., 2021. un 2022.gadam” 2021.gadā un 2022.gadā (noslēdzas studijas šī līguma ietvaros) </w:t>
            </w:r>
            <w:r>
              <w:rPr>
                <w:iCs/>
                <w:sz w:val="22"/>
                <w:szCs w:val="22"/>
                <w:lang w:eastAsia="lv-LV"/>
              </w:rPr>
              <w:softHyphen/>
            </w:r>
            <w:r>
              <w:rPr>
                <w:iCs/>
                <w:sz w:val="22"/>
                <w:szCs w:val="22"/>
                <w:lang w:eastAsia="lv-LV"/>
              </w:rPr>
              <w:softHyphen/>
              <w:t xml:space="preserve">– 178 400 </w:t>
            </w:r>
            <w:r w:rsidRPr="003273C7">
              <w:rPr>
                <w:i/>
                <w:iCs/>
                <w:sz w:val="22"/>
                <w:szCs w:val="22"/>
                <w:lang w:eastAsia="lv-LV"/>
              </w:rPr>
              <w:t>euro</w:t>
            </w:r>
            <w:r>
              <w:rPr>
                <w:iCs/>
                <w:sz w:val="22"/>
                <w:szCs w:val="22"/>
                <w:lang w:eastAsia="lv-LV"/>
              </w:rPr>
              <w:t xml:space="preserve"> apmērā (katru gadu). </w:t>
            </w:r>
          </w:p>
        </w:tc>
      </w:tr>
      <w:tr w:rsidR="007C1EA2" w:rsidRPr="004965F7" w:rsidTr="003273C7">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4965F7" w:rsidRDefault="007C1EA2" w:rsidP="007C1EA2">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6.1. detalizēts ieņēmumu aprēķins</w:t>
            </w:r>
          </w:p>
        </w:tc>
        <w:tc>
          <w:tcPr>
            <w:tcW w:w="4179" w:type="pct"/>
            <w:gridSpan w:val="13"/>
            <w:vMerge/>
            <w:tcBorders>
              <w:top w:val="outset" w:sz="6" w:space="0" w:color="auto"/>
              <w:left w:val="outset" w:sz="6" w:space="0" w:color="auto"/>
              <w:bottom w:val="outset" w:sz="6" w:space="0" w:color="auto"/>
              <w:right w:val="outset" w:sz="6" w:space="0" w:color="auto"/>
            </w:tcBorders>
            <w:vAlign w:val="center"/>
            <w:hideMark/>
          </w:tcPr>
          <w:p w:rsidR="007C1EA2" w:rsidRPr="004965F7" w:rsidRDefault="007C1EA2" w:rsidP="007C1EA2">
            <w:pPr>
              <w:spacing w:after="0" w:line="240" w:lineRule="auto"/>
              <w:rPr>
                <w:rFonts w:ascii="Times New Roman" w:eastAsia="Times New Roman" w:hAnsi="Times New Roman" w:cs="Times New Roman"/>
                <w:iCs/>
                <w:lang w:eastAsia="lv-LV"/>
              </w:rPr>
            </w:pPr>
          </w:p>
        </w:tc>
      </w:tr>
      <w:tr w:rsidR="007C1EA2" w:rsidRPr="004965F7" w:rsidTr="003273C7">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4965F7" w:rsidRDefault="007C1EA2" w:rsidP="007C1EA2">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6.2. detalizēts izdevumu aprēķins</w:t>
            </w:r>
          </w:p>
        </w:tc>
        <w:tc>
          <w:tcPr>
            <w:tcW w:w="4179" w:type="pct"/>
            <w:gridSpan w:val="13"/>
            <w:vMerge/>
            <w:tcBorders>
              <w:top w:val="outset" w:sz="6" w:space="0" w:color="auto"/>
              <w:left w:val="outset" w:sz="6" w:space="0" w:color="auto"/>
              <w:bottom w:val="outset" w:sz="6" w:space="0" w:color="auto"/>
              <w:right w:val="outset" w:sz="6" w:space="0" w:color="auto"/>
            </w:tcBorders>
            <w:vAlign w:val="center"/>
            <w:hideMark/>
          </w:tcPr>
          <w:p w:rsidR="007C1EA2" w:rsidRPr="004965F7" w:rsidRDefault="007C1EA2" w:rsidP="007C1EA2">
            <w:pPr>
              <w:spacing w:after="0" w:line="240" w:lineRule="auto"/>
              <w:rPr>
                <w:rFonts w:ascii="Times New Roman" w:eastAsia="Times New Roman" w:hAnsi="Times New Roman" w:cs="Times New Roman"/>
                <w:iCs/>
                <w:lang w:eastAsia="lv-LV"/>
              </w:rPr>
            </w:pPr>
          </w:p>
        </w:tc>
      </w:tr>
      <w:tr w:rsidR="007C1EA2" w:rsidRPr="004965F7" w:rsidTr="003273C7">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4965F7" w:rsidRDefault="007C1EA2" w:rsidP="007C1EA2">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7. Amata vietu skaita izmaiņas</w:t>
            </w:r>
          </w:p>
        </w:tc>
        <w:tc>
          <w:tcPr>
            <w:tcW w:w="4179" w:type="pct"/>
            <w:gridSpan w:val="13"/>
            <w:tcBorders>
              <w:top w:val="outset" w:sz="6" w:space="0" w:color="auto"/>
              <w:left w:val="outset" w:sz="6" w:space="0" w:color="auto"/>
              <w:bottom w:val="outset" w:sz="6" w:space="0" w:color="auto"/>
              <w:right w:val="outset" w:sz="6" w:space="0" w:color="auto"/>
            </w:tcBorders>
            <w:hideMark/>
          </w:tcPr>
          <w:p w:rsidR="007C1EA2" w:rsidRPr="004965F7" w:rsidRDefault="007C1EA2" w:rsidP="007C1EA2">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7C1EA2" w:rsidRPr="004965F7" w:rsidTr="003273C7">
        <w:trPr>
          <w:tblCellSpacing w:w="15" w:type="dxa"/>
        </w:trPr>
        <w:tc>
          <w:tcPr>
            <w:tcW w:w="775" w:type="pct"/>
            <w:gridSpan w:val="3"/>
            <w:tcBorders>
              <w:top w:val="outset" w:sz="6" w:space="0" w:color="auto"/>
              <w:left w:val="outset" w:sz="6" w:space="0" w:color="auto"/>
              <w:bottom w:val="outset" w:sz="6" w:space="0" w:color="auto"/>
              <w:right w:val="outset" w:sz="6" w:space="0" w:color="auto"/>
            </w:tcBorders>
            <w:hideMark/>
          </w:tcPr>
          <w:p w:rsidR="007C1EA2" w:rsidRPr="004965F7" w:rsidRDefault="007C1EA2" w:rsidP="007C1EA2">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179" w:type="pct"/>
            <w:gridSpan w:val="13"/>
            <w:tcBorders>
              <w:top w:val="outset" w:sz="6" w:space="0" w:color="auto"/>
              <w:left w:val="outset" w:sz="6" w:space="0" w:color="auto"/>
              <w:bottom w:val="outset" w:sz="6" w:space="0" w:color="auto"/>
              <w:right w:val="outset" w:sz="6" w:space="0" w:color="auto"/>
            </w:tcBorders>
            <w:hideMark/>
          </w:tcPr>
          <w:p w:rsidR="007C1EA2" w:rsidRDefault="007C1EA2" w:rsidP="007C1EA2">
            <w:pPr>
              <w:pStyle w:val="BodyTextIndent"/>
              <w:spacing w:after="0"/>
              <w:ind w:left="0"/>
              <w:jc w:val="both"/>
              <w:rPr>
                <w:iCs/>
                <w:sz w:val="22"/>
                <w:szCs w:val="22"/>
                <w:lang w:eastAsia="lv-LV"/>
              </w:rPr>
            </w:pPr>
            <w:r w:rsidRPr="00A90973">
              <w:rPr>
                <w:iCs/>
                <w:sz w:val="22"/>
                <w:szCs w:val="22"/>
                <w:lang w:eastAsia="lv-LV"/>
              </w:rPr>
              <w:t xml:space="preserve">Ministru kabineta </w:t>
            </w:r>
            <w:proofErr w:type="gramStart"/>
            <w:r w:rsidRPr="00A90973">
              <w:rPr>
                <w:iCs/>
                <w:sz w:val="22"/>
                <w:szCs w:val="22"/>
                <w:lang w:eastAsia="lv-LV"/>
              </w:rPr>
              <w:t>2019.gada</w:t>
            </w:r>
            <w:proofErr w:type="gramEnd"/>
            <w:r w:rsidRPr="00A90973">
              <w:rPr>
                <w:iCs/>
                <w:sz w:val="22"/>
                <w:szCs w:val="22"/>
                <w:lang w:eastAsia="lv-LV"/>
              </w:rPr>
              <w:t xml:space="preserve"> 17.septembra sēdes protokollēmumā</w:t>
            </w:r>
            <w:r>
              <w:rPr>
                <w:iCs/>
                <w:sz w:val="22"/>
                <w:szCs w:val="22"/>
                <w:lang w:eastAsia="lv-LV"/>
              </w:rPr>
              <w:t xml:space="preserve"> </w:t>
            </w:r>
            <w:r w:rsidRPr="00221443">
              <w:rPr>
                <w:iCs/>
                <w:sz w:val="22"/>
                <w:szCs w:val="22"/>
                <w:lang w:eastAsia="lv-LV"/>
              </w:rPr>
              <w:t>(prot.Nr.42, 28. §)</w:t>
            </w:r>
            <w:r w:rsidRPr="00A90973">
              <w:rPr>
                <w:iCs/>
                <w:sz w:val="22"/>
                <w:szCs w:val="22"/>
                <w:lang w:eastAsia="lv-LV"/>
              </w:rPr>
              <w:t xml:space="preserve"> </w:t>
            </w:r>
            <w:r>
              <w:rPr>
                <w:iCs/>
                <w:sz w:val="22"/>
                <w:szCs w:val="22"/>
                <w:lang w:eastAsia="lv-LV"/>
              </w:rPr>
              <w:t xml:space="preserve"> </w:t>
            </w:r>
            <w:r w:rsidRPr="00A90973">
              <w:rPr>
                <w:iCs/>
                <w:sz w:val="22"/>
                <w:szCs w:val="22"/>
                <w:lang w:eastAsia="lv-LV"/>
              </w:rPr>
              <w:t xml:space="preserve"> noteikti šādi uzdevumi:</w:t>
            </w:r>
          </w:p>
          <w:p w:rsidR="007C1EA2" w:rsidRPr="00A90973" w:rsidRDefault="007C1EA2" w:rsidP="007C1EA2">
            <w:pPr>
              <w:pStyle w:val="BodyTextIndent"/>
              <w:spacing w:after="0"/>
              <w:ind w:left="0"/>
              <w:jc w:val="both"/>
              <w:rPr>
                <w:iCs/>
                <w:sz w:val="22"/>
                <w:szCs w:val="22"/>
                <w:lang w:eastAsia="lv-LV"/>
              </w:rPr>
            </w:pPr>
            <w:r>
              <w:rPr>
                <w:iCs/>
                <w:sz w:val="22"/>
                <w:szCs w:val="22"/>
                <w:lang w:eastAsia="lv-LV"/>
              </w:rPr>
              <w:t>- a</w:t>
            </w:r>
            <w:r w:rsidRPr="00A90973">
              <w:rPr>
                <w:iCs/>
                <w:sz w:val="22"/>
                <w:szCs w:val="22"/>
                <w:lang w:eastAsia="lv-LV"/>
              </w:rPr>
              <w:t xml:space="preserve">ttiecīgajām tiesībaizsardzības iestādēm </w:t>
            </w:r>
            <w:proofErr w:type="gramStart"/>
            <w:r w:rsidRPr="00A90973">
              <w:rPr>
                <w:iCs/>
                <w:sz w:val="22"/>
                <w:szCs w:val="22"/>
                <w:lang w:eastAsia="lv-LV"/>
              </w:rPr>
              <w:t>2020.gadā</w:t>
            </w:r>
            <w:proofErr w:type="gramEnd"/>
            <w:r w:rsidRPr="00A90973">
              <w:rPr>
                <w:iCs/>
                <w:sz w:val="22"/>
                <w:szCs w:val="22"/>
                <w:lang w:eastAsia="lv-LV"/>
              </w:rPr>
              <w:t xml:space="preserve"> noslēgt vienošanos ar </w:t>
            </w:r>
            <w:r>
              <w:rPr>
                <w:iCs/>
                <w:sz w:val="22"/>
                <w:szCs w:val="22"/>
                <w:lang w:eastAsia="lv-LV"/>
              </w:rPr>
              <w:t xml:space="preserve"> RSU </w:t>
            </w:r>
            <w:r w:rsidRPr="00A90973">
              <w:rPr>
                <w:iCs/>
                <w:sz w:val="22"/>
                <w:szCs w:val="22"/>
                <w:lang w:eastAsia="lv-LV"/>
              </w:rPr>
              <w:t>par sagatavojamo speciālistu skaitu pamatfunkciju izpildei piešķirto valsts budžeta līdzekļu ietvaros</w:t>
            </w:r>
            <w:r>
              <w:rPr>
                <w:iCs/>
                <w:sz w:val="22"/>
                <w:szCs w:val="22"/>
                <w:lang w:eastAsia="lv-LV"/>
              </w:rPr>
              <w:t>;</w:t>
            </w:r>
          </w:p>
          <w:p w:rsidR="007C1EA2" w:rsidRPr="00A90973" w:rsidRDefault="007C1EA2" w:rsidP="007C1EA2">
            <w:pPr>
              <w:pStyle w:val="BodyTextIndent"/>
              <w:spacing w:after="0"/>
              <w:ind w:left="0"/>
              <w:jc w:val="both"/>
              <w:rPr>
                <w:iCs/>
                <w:sz w:val="22"/>
                <w:szCs w:val="22"/>
                <w:lang w:eastAsia="lv-LV"/>
              </w:rPr>
            </w:pPr>
            <w:r>
              <w:rPr>
                <w:iCs/>
                <w:sz w:val="22"/>
                <w:szCs w:val="22"/>
                <w:lang w:eastAsia="lv-LV"/>
              </w:rPr>
              <w:t>-</w:t>
            </w:r>
            <w:r w:rsidRPr="00A90973">
              <w:rPr>
                <w:iCs/>
                <w:sz w:val="22"/>
                <w:szCs w:val="22"/>
                <w:lang w:eastAsia="lv-LV"/>
              </w:rPr>
              <w:t xml:space="preserve"> </w:t>
            </w:r>
            <w:r>
              <w:rPr>
                <w:iCs/>
                <w:sz w:val="22"/>
                <w:szCs w:val="22"/>
                <w:lang w:eastAsia="lv-LV"/>
              </w:rPr>
              <w:t>j</w:t>
            </w:r>
            <w:r w:rsidRPr="00A90973">
              <w:rPr>
                <w:iCs/>
                <w:sz w:val="22"/>
                <w:szCs w:val="22"/>
                <w:lang w:eastAsia="lv-LV"/>
              </w:rPr>
              <w:t xml:space="preserve">autājumu par papildu valsts budžeta līdzekļu piešķiršanu tiesībaizsardzības iestādēm </w:t>
            </w:r>
            <w:proofErr w:type="gramStart"/>
            <w:r w:rsidRPr="00A90973">
              <w:rPr>
                <w:iCs/>
                <w:sz w:val="22"/>
                <w:szCs w:val="22"/>
                <w:lang w:eastAsia="lv-LV"/>
              </w:rPr>
              <w:t>2021.gadam</w:t>
            </w:r>
            <w:proofErr w:type="gramEnd"/>
            <w:r w:rsidRPr="00A90973">
              <w:rPr>
                <w:iCs/>
                <w:sz w:val="22"/>
                <w:szCs w:val="22"/>
                <w:lang w:eastAsia="lv-LV"/>
              </w:rPr>
              <w:t xml:space="preserve"> ne vairāk kā 635 351 </w:t>
            </w:r>
            <w:r w:rsidRPr="00FE082A">
              <w:rPr>
                <w:i/>
                <w:iCs/>
                <w:sz w:val="22"/>
                <w:szCs w:val="22"/>
                <w:lang w:eastAsia="lv-LV"/>
              </w:rPr>
              <w:t>euro</w:t>
            </w:r>
            <w:r w:rsidRPr="00A90973">
              <w:rPr>
                <w:iCs/>
                <w:sz w:val="22"/>
                <w:szCs w:val="22"/>
                <w:lang w:eastAsia="lv-LV"/>
              </w:rPr>
              <w:t xml:space="preserve">, 2022.gadam ne vairāk kā 1 189 863 </w:t>
            </w:r>
            <w:r w:rsidRPr="00FE082A">
              <w:rPr>
                <w:i/>
                <w:iCs/>
                <w:sz w:val="22"/>
                <w:szCs w:val="22"/>
                <w:lang w:eastAsia="lv-LV"/>
              </w:rPr>
              <w:t>euro</w:t>
            </w:r>
            <w:r w:rsidRPr="00A90973">
              <w:rPr>
                <w:iCs/>
                <w:sz w:val="22"/>
                <w:szCs w:val="22"/>
                <w:lang w:eastAsia="lv-LV"/>
              </w:rPr>
              <w:t xml:space="preserve">, 2023.gadam ne vairāk kā 1 402 770 </w:t>
            </w:r>
            <w:r w:rsidRPr="00FE082A">
              <w:rPr>
                <w:i/>
                <w:iCs/>
                <w:sz w:val="22"/>
                <w:szCs w:val="22"/>
                <w:lang w:eastAsia="lv-LV"/>
              </w:rPr>
              <w:t>euro</w:t>
            </w:r>
            <w:r w:rsidRPr="00A90973">
              <w:rPr>
                <w:iCs/>
                <w:sz w:val="22"/>
                <w:szCs w:val="22"/>
                <w:lang w:eastAsia="lv-LV"/>
              </w:rPr>
              <w:t xml:space="preserve">, 2024.gadam ne vairāk kā 1 627 546 </w:t>
            </w:r>
            <w:r>
              <w:rPr>
                <w:i/>
                <w:iCs/>
                <w:sz w:val="22"/>
                <w:szCs w:val="22"/>
                <w:lang w:eastAsia="lv-LV"/>
              </w:rPr>
              <w:t>euro</w:t>
            </w:r>
            <w:r w:rsidRPr="00A90973">
              <w:rPr>
                <w:iCs/>
                <w:sz w:val="22"/>
                <w:szCs w:val="22"/>
                <w:lang w:eastAsia="lv-LV"/>
              </w:rPr>
              <w:t xml:space="preserve">, 2025.gadam un turpmāk katru gadu ne vairāk kā 1 870 885 </w:t>
            </w:r>
            <w:r w:rsidRPr="00FE082A">
              <w:rPr>
                <w:i/>
                <w:iCs/>
                <w:sz w:val="22"/>
                <w:szCs w:val="22"/>
                <w:lang w:eastAsia="lv-LV"/>
              </w:rPr>
              <w:t>euro</w:t>
            </w:r>
            <w:r w:rsidRPr="00A90973">
              <w:rPr>
                <w:iCs/>
                <w:sz w:val="22"/>
                <w:szCs w:val="22"/>
                <w:lang w:eastAsia="lv-LV"/>
              </w:rPr>
              <w:t xml:space="preserve"> apmērā speciālistu sagatavošanai tiesībaizsardzības iestāžu vajadzībām </w:t>
            </w:r>
            <w:r>
              <w:rPr>
                <w:iCs/>
                <w:sz w:val="22"/>
                <w:szCs w:val="22"/>
                <w:lang w:eastAsia="lv-LV"/>
              </w:rPr>
              <w:t xml:space="preserve">RSU </w:t>
            </w:r>
            <w:r w:rsidRPr="00A90973">
              <w:rPr>
                <w:iCs/>
                <w:sz w:val="22"/>
                <w:szCs w:val="22"/>
                <w:lang w:eastAsia="lv-LV"/>
              </w:rPr>
              <w:t xml:space="preserve">izskatīt Ministru kabinetā </w:t>
            </w:r>
            <w:r w:rsidRPr="00A90973">
              <w:rPr>
                <w:iCs/>
                <w:sz w:val="22"/>
                <w:szCs w:val="22"/>
                <w:lang w:eastAsia="lv-LV"/>
              </w:rPr>
              <w:lastRenderedPageBreak/>
              <w:t>turpmāko gadu un vidēja termiņa valsts budžeta likumprojektu sagatavošanas un izskatīšanas procesā kopā ar visu ministriju un centrālo valsts iestāžu iesniegtajiem prioritāro pasākumu pieteikumiem atbilstoši valsts budžeta finansiālajām iespējām</w:t>
            </w:r>
            <w:r>
              <w:rPr>
                <w:iCs/>
                <w:sz w:val="22"/>
                <w:szCs w:val="22"/>
                <w:lang w:eastAsia="lv-LV"/>
              </w:rPr>
              <w:t>;</w:t>
            </w:r>
          </w:p>
          <w:p w:rsidR="007C1EA2" w:rsidRPr="00A90973" w:rsidRDefault="007C1EA2" w:rsidP="007C1EA2">
            <w:pPr>
              <w:pStyle w:val="BodyTextIndent"/>
              <w:spacing w:after="0"/>
              <w:ind w:left="0"/>
              <w:jc w:val="both"/>
              <w:rPr>
                <w:iCs/>
                <w:sz w:val="22"/>
                <w:szCs w:val="22"/>
                <w:lang w:eastAsia="lv-LV"/>
              </w:rPr>
            </w:pPr>
            <w:r>
              <w:rPr>
                <w:iCs/>
                <w:sz w:val="22"/>
                <w:szCs w:val="22"/>
                <w:lang w:eastAsia="lv-LV"/>
              </w:rPr>
              <w:t xml:space="preserve">- </w:t>
            </w:r>
            <w:r w:rsidRPr="00A90973">
              <w:rPr>
                <w:iCs/>
                <w:sz w:val="22"/>
                <w:szCs w:val="22"/>
                <w:lang w:eastAsia="lv-LV"/>
              </w:rPr>
              <w:t xml:space="preserve">Iekšlietu ministrijai turpmāko gadu un vidēja termiņa valsts budžeta likumprojektu sagatavošanas procesā normatīvajos aktos noteiktajā kārtībā sagatavot un iesniegt attiecīgus starpnozaru prioritārā pasākuma pieteikumus, ņemot arī vērā faktisko vidējo studiju vietu skaitu </w:t>
            </w:r>
            <w:proofErr w:type="spellStart"/>
            <w:r w:rsidRPr="00A90973">
              <w:rPr>
                <w:iCs/>
                <w:sz w:val="22"/>
                <w:szCs w:val="22"/>
                <w:lang w:eastAsia="lv-LV"/>
              </w:rPr>
              <w:t>bakaulaura</w:t>
            </w:r>
            <w:proofErr w:type="spellEnd"/>
            <w:r w:rsidRPr="00A90973">
              <w:rPr>
                <w:iCs/>
                <w:sz w:val="22"/>
                <w:szCs w:val="22"/>
                <w:lang w:eastAsia="lv-LV"/>
              </w:rPr>
              <w:t xml:space="preserve"> studiju programmā “Policijas darbs” un ar speciālu modeli papildinātā maģistra programmā “Tiesību zinātne”, kā arī izglītojamo skaitu kvalifikācijas paaugstināšanas kursos, un studiju vietas bāzes izmaksas attiecīgajam gadam.</w:t>
            </w:r>
          </w:p>
        </w:tc>
      </w:tr>
      <w:tr w:rsidR="007C1EA2" w:rsidRPr="00343E97"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vAlign w:val="center"/>
            <w:hideMark/>
          </w:tcPr>
          <w:p w:rsidR="007C1EA2" w:rsidRPr="00343E97" w:rsidRDefault="007C1EA2" w:rsidP="007C1EA2">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lastRenderedPageBreak/>
              <w:t xml:space="preserve"> </w:t>
            </w:r>
            <w:r w:rsidRPr="00343E97">
              <w:rPr>
                <w:rFonts w:ascii="Times New Roman" w:eastAsia="Times New Roman" w:hAnsi="Times New Roman" w:cs="Times New Roman"/>
                <w:b/>
                <w:bCs/>
                <w:iCs/>
                <w:sz w:val="24"/>
                <w:szCs w:val="24"/>
                <w:lang w:eastAsia="lv-LV"/>
              </w:rPr>
              <w:t>IV. Tiesību akta projekta ietekme uz spēkā esošo tiesību normu sistēmu</w:t>
            </w:r>
          </w:p>
        </w:tc>
      </w:tr>
      <w:tr w:rsidR="007C1EA2" w:rsidRPr="00E5323B"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tcPr>
          <w:p w:rsidR="007C1EA2" w:rsidRPr="00343E97" w:rsidRDefault="007C1EA2" w:rsidP="007C1EA2">
            <w:pPr>
              <w:spacing w:after="0" w:line="240" w:lineRule="auto"/>
              <w:jc w:val="center"/>
              <w:rPr>
                <w:rFonts w:ascii="Times New Roman" w:eastAsia="Times New Roman" w:hAnsi="Times New Roman" w:cs="Times New Roman"/>
                <w:iCs/>
                <w:sz w:val="24"/>
                <w:szCs w:val="24"/>
                <w:lang w:eastAsia="lv-LV"/>
              </w:rPr>
            </w:pPr>
            <w:r w:rsidRPr="00512222">
              <w:rPr>
                <w:rFonts w:ascii="Times New Roman" w:eastAsia="Times New Roman" w:hAnsi="Times New Roman" w:cs="Times New Roman"/>
                <w:bCs/>
                <w:iCs/>
                <w:color w:val="000000" w:themeColor="text1"/>
                <w:sz w:val="24"/>
                <w:szCs w:val="24"/>
                <w:lang w:eastAsia="lv-LV"/>
              </w:rPr>
              <w:t>Projekts šo jomu neskar.</w:t>
            </w:r>
            <w:r>
              <w:rPr>
                <w:rFonts w:ascii="Times New Roman" w:eastAsia="Times New Roman" w:hAnsi="Times New Roman" w:cs="Times New Roman"/>
                <w:bCs/>
                <w:iCs/>
                <w:color w:val="000000" w:themeColor="text1"/>
                <w:sz w:val="24"/>
                <w:szCs w:val="24"/>
                <w:lang w:eastAsia="lv-LV"/>
              </w:rPr>
              <w:t xml:space="preserve"> </w:t>
            </w:r>
          </w:p>
        </w:tc>
      </w:tr>
      <w:tr w:rsidR="007C1EA2" w:rsidRPr="001977D8"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vAlign w:val="center"/>
            <w:hideMark/>
          </w:tcPr>
          <w:p w:rsidR="007C1EA2" w:rsidRPr="001977D8" w:rsidRDefault="007C1EA2" w:rsidP="007C1EA2">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C1EA2" w:rsidRPr="001977D8"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vAlign w:val="center"/>
          </w:tcPr>
          <w:p w:rsidR="007C1EA2" w:rsidRPr="001977D8" w:rsidRDefault="007C1EA2" w:rsidP="007C1EA2">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r w:rsidR="007C1EA2" w:rsidRPr="001977D8"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vAlign w:val="center"/>
            <w:hideMark/>
          </w:tcPr>
          <w:p w:rsidR="007C1EA2" w:rsidRPr="001977D8" w:rsidRDefault="007C1EA2" w:rsidP="007C1EA2">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w:t>
            </w:r>
            <w:r w:rsidRPr="001977D8">
              <w:rPr>
                <w:rFonts w:ascii="Times New Roman" w:eastAsia="Times New Roman" w:hAnsi="Times New Roman" w:cs="Times New Roman"/>
                <w:b/>
                <w:bCs/>
                <w:iCs/>
                <w:sz w:val="24"/>
                <w:szCs w:val="24"/>
                <w:lang w:eastAsia="lv-LV"/>
              </w:rPr>
              <w:t>VI. Sabiedrības līdzdalība un komunikācijas aktivitātes</w:t>
            </w:r>
          </w:p>
        </w:tc>
      </w:tr>
      <w:tr w:rsidR="007C1EA2" w:rsidRPr="001977D8" w:rsidTr="000E4988">
        <w:trPr>
          <w:tblCellSpacing w:w="15" w:type="dxa"/>
        </w:trPr>
        <w:tc>
          <w:tcPr>
            <w:tcW w:w="4969" w:type="pct"/>
            <w:gridSpan w:val="16"/>
            <w:tcBorders>
              <w:top w:val="outset" w:sz="6" w:space="0" w:color="auto"/>
              <w:left w:val="outset" w:sz="6" w:space="0" w:color="auto"/>
              <w:bottom w:val="outset" w:sz="6" w:space="0" w:color="auto"/>
              <w:right w:val="outset" w:sz="6" w:space="0" w:color="auto"/>
            </w:tcBorders>
            <w:vAlign w:val="center"/>
          </w:tcPr>
          <w:p w:rsidR="007C1EA2" w:rsidRPr="001977D8" w:rsidRDefault="007C1EA2" w:rsidP="007C1EA2">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 xml:space="preserve"> </w:t>
            </w:r>
          </w:p>
        </w:tc>
      </w:tr>
      <w:tr w:rsidR="007C1EA2" w:rsidRPr="001977D8" w:rsidTr="007C1EA2">
        <w:trPr>
          <w:gridAfter w:val="1"/>
          <w:wAfter w:w="123" w:type="pct"/>
          <w:tblCellSpacing w:w="15" w:type="dxa"/>
        </w:trPr>
        <w:tc>
          <w:tcPr>
            <w:tcW w:w="4831" w:type="pct"/>
            <w:gridSpan w:val="15"/>
            <w:tcBorders>
              <w:top w:val="outset" w:sz="6" w:space="0" w:color="auto"/>
              <w:left w:val="outset" w:sz="6" w:space="0" w:color="auto"/>
              <w:bottom w:val="outset" w:sz="6" w:space="0" w:color="auto"/>
              <w:right w:val="outset" w:sz="6" w:space="0" w:color="auto"/>
            </w:tcBorders>
            <w:vAlign w:val="center"/>
            <w:hideMark/>
          </w:tcPr>
          <w:p w:rsidR="007C1EA2" w:rsidRPr="001977D8" w:rsidRDefault="007C1EA2" w:rsidP="007C1EA2">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iCs/>
                <w:sz w:val="24"/>
                <w:szCs w:val="24"/>
                <w:lang w:eastAsia="lv-LV"/>
              </w:rPr>
              <w:t xml:space="preserve">  </w:t>
            </w: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C1EA2" w:rsidRPr="001977D8" w:rsidTr="007C1EA2">
        <w:trPr>
          <w:gridAfter w:val="1"/>
          <w:wAfter w:w="123"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276" w:type="pct"/>
            <w:gridSpan w:val="5"/>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194" w:type="pct"/>
            <w:gridSpan w:val="8"/>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jc w:val="both"/>
              <w:rPr>
                <w:rFonts w:ascii="Times New Roman" w:eastAsia="Times New Roman" w:hAnsi="Times New Roman" w:cs="Times New Roman"/>
                <w:iCs/>
                <w:sz w:val="24"/>
                <w:szCs w:val="24"/>
                <w:lang w:eastAsia="lv-LV"/>
              </w:rPr>
            </w:pPr>
            <w:r w:rsidRPr="00A35FCA">
              <w:rPr>
                <w:rFonts w:ascii="Times New Roman" w:eastAsia="Times New Roman" w:hAnsi="Times New Roman" w:cs="Times New Roman"/>
                <w:iCs/>
                <w:sz w:val="24"/>
                <w:szCs w:val="24"/>
                <w:lang w:eastAsia="lv-LV"/>
              </w:rPr>
              <w:t>Iekšlietu ministrija, Valsts policija, Iekšējās drošības birojs,</w:t>
            </w:r>
            <w:proofErr w:type="gramStart"/>
            <w:r w:rsidRPr="00A35FCA">
              <w:rPr>
                <w:rFonts w:ascii="Times New Roman" w:eastAsia="Times New Roman" w:hAnsi="Times New Roman" w:cs="Times New Roman"/>
                <w:iCs/>
                <w:sz w:val="24"/>
                <w:szCs w:val="24"/>
                <w:lang w:eastAsia="lv-LV"/>
              </w:rPr>
              <w:t xml:space="preserve">  </w:t>
            </w:r>
            <w:proofErr w:type="gramEnd"/>
            <w:r w:rsidRPr="00A35FCA">
              <w:rPr>
                <w:rFonts w:ascii="Times New Roman" w:eastAsia="Times New Roman" w:hAnsi="Times New Roman" w:cs="Times New Roman"/>
                <w:iCs/>
                <w:sz w:val="24"/>
                <w:szCs w:val="24"/>
                <w:lang w:eastAsia="lv-LV"/>
              </w:rPr>
              <w:t>Ieslodzījuma vietu pārvalde, Korupcijas novēršanas un apkarošanas birojs, Valsts ieņēmumu dienesta Nodokļu un muitas policija.</w:t>
            </w:r>
          </w:p>
        </w:tc>
      </w:tr>
      <w:tr w:rsidR="007C1EA2" w:rsidRPr="001977D8" w:rsidTr="007C1EA2">
        <w:trPr>
          <w:gridAfter w:val="1"/>
          <w:wAfter w:w="123"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276" w:type="pct"/>
            <w:gridSpan w:val="5"/>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gridSpan w:val="8"/>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7C1EA2" w:rsidRPr="001977D8" w:rsidTr="007C1EA2">
        <w:trPr>
          <w:gridAfter w:val="1"/>
          <w:wAfter w:w="123"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276" w:type="pct"/>
            <w:gridSpan w:val="5"/>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194" w:type="pct"/>
            <w:gridSpan w:val="8"/>
            <w:tcBorders>
              <w:top w:val="outset" w:sz="6" w:space="0" w:color="auto"/>
              <w:left w:val="outset" w:sz="6" w:space="0" w:color="auto"/>
              <w:bottom w:val="outset" w:sz="6" w:space="0" w:color="auto"/>
              <w:right w:val="outset" w:sz="6" w:space="0" w:color="auto"/>
            </w:tcBorders>
            <w:hideMark/>
          </w:tcPr>
          <w:p w:rsidR="007C1EA2" w:rsidRPr="001977D8" w:rsidRDefault="007C1EA2" w:rsidP="007C1EA2">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2E0981" w:rsidRDefault="002E0981" w:rsidP="002E0981">
      <w:pPr>
        <w:spacing w:after="0" w:line="240" w:lineRule="auto"/>
        <w:rPr>
          <w:rFonts w:ascii="Times New Roman" w:hAnsi="Times New Roman" w:cs="Times New Roman"/>
          <w:sz w:val="28"/>
          <w:szCs w:val="28"/>
        </w:rPr>
      </w:pPr>
    </w:p>
    <w:p w:rsidR="002E0981" w:rsidRDefault="002E0981" w:rsidP="002E0981">
      <w:pPr>
        <w:spacing w:after="0" w:line="240" w:lineRule="auto"/>
        <w:rPr>
          <w:rFonts w:ascii="Times New Roman" w:hAnsi="Times New Roman" w:cs="Times New Roman"/>
          <w:sz w:val="28"/>
          <w:szCs w:val="28"/>
        </w:rPr>
      </w:pPr>
    </w:p>
    <w:p w:rsidR="002E0981" w:rsidRPr="005128C9" w:rsidRDefault="002E0981" w:rsidP="002E0981">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t>Sandis Ģirģens</w:t>
      </w:r>
    </w:p>
    <w:p w:rsidR="002E0981" w:rsidRDefault="002E0981" w:rsidP="002E0981">
      <w:pPr>
        <w:spacing w:after="0" w:line="240" w:lineRule="auto"/>
        <w:rPr>
          <w:rFonts w:ascii="Times New Roman" w:hAnsi="Times New Roman" w:cs="Times New Roman"/>
          <w:sz w:val="28"/>
          <w:szCs w:val="28"/>
        </w:rPr>
      </w:pPr>
    </w:p>
    <w:p w:rsidR="002E0981" w:rsidRDefault="002E0981" w:rsidP="002E0981">
      <w:pPr>
        <w:spacing w:after="0" w:line="240" w:lineRule="auto"/>
        <w:rPr>
          <w:rFonts w:ascii="Times New Roman" w:hAnsi="Times New Roman" w:cs="Times New Roman"/>
          <w:sz w:val="28"/>
          <w:szCs w:val="28"/>
        </w:rPr>
      </w:pPr>
    </w:p>
    <w:p w:rsidR="002E0981" w:rsidRDefault="002E0981" w:rsidP="002E0981">
      <w:pPr>
        <w:pStyle w:val="naisf"/>
        <w:tabs>
          <w:tab w:val="left" w:pos="5954"/>
        </w:tabs>
        <w:spacing w:before="0" w:beforeAutospacing="0" w:after="0" w:afterAutospacing="0"/>
        <w:rPr>
          <w:sz w:val="28"/>
          <w:szCs w:val="28"/>
        </w:rPr>
      </w:pPr>
      <w:r>
        <w:rPr>
          <w:sz w:val="28"/>
          <w:szCs w:val="28"/>
        </w:rPr>
        <w:t xml:space="preserve">Vīza: </w:t>
      </w:r>
    </w:p>
    <w:p w:rsidR="002E0981" w:rsidRDefault="002E0981" w:rsidP="002E0981">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2E0981" w:rsidRDefault="002E0981" w:rsidP="002E0981">
      <w:pPr>
        <w:tabs>
          <w:tab w:val="left" w:pos="6237"/>
        </w:tabs>
        <w:spacing w:after="0" w:line="240" w:lineRule="auto"/>
        <w:ind w:firstLine="720"/>
        <w:rPr>
          <w:rFonts w:ascii="Times New Roman" w:hAnsi="Times New Roman" w:cs="Times New Roman"/>
          <w:sz w:val="28"/>
          <w:szCs w:val="28"/>
        </w:rPr>
      </w:pPr>
    </w:p>
    <w:p w:rsidR="002E0981" w:rsidRDefault="002E0981" w:rsidP="002E0981">
      <w:pPr>
        <w:tabs>
          <w:tab w:val="left" w:pos="6237"/>
        </w:tabs>
        <w:spacing w:after="0" w:line="240" w:lineRule="auto"/>
        <w:ind w:firstLine="720"/>
        <w:rPr>
          <w:rFonts w:ascii="Times New Roman" w:hAnsi="Times New Roman" w:cs="Times New Roman"/>
          <w:sz w:val="28"/>
          <w:szCs w:val="28"/>
        </w:rPr>
      </w:pPr>
    </w:p>
    <w:p w:rsidR="00C440B2" w:rsidRDefault="00C440B2" w:rsidP="002E0981">
      <w:pPr>
        <w:tabs>
          <w:tab w:val="left" w:pos="6237"/>
        </w:tabs>
        <w:spacing w:after="0" w:line="240" w:lineRule="auto"/>
        <w:rPr>
          <w:rFonts w:ascii="Times New Roman" w:hAnsi="Times New Roman" w:cs="Times New Roman"/>
          <w:sz w:val="28"/>
          <w:szCs w:val="28"/>
        </w:rPr>
      </w:pPr>
    </w:p>
    <w:p w:rsidR="002E0981" w:rsidRPr="00C440B2" w:rsidRDefault="002E0981" w:rsidP="002E0981">
      <w:pPr>
        <w:pStyle w:val="naisf"/>
        <w:spacing w:before="0" w:beforeAutospacing="0" w:after="0" w:afterAutospacing="0"/>
        <w:rPr>
          <w:sz w:val="18"/>
          <w:szCs w:val="18"/>
        </w:rPr>
      </w:pPr>
      <w:r w:rsidRPr="00C440B2">
        <w:rPr>
          <w:sz w:val="18"/>
          <w:szCs w:val="18"/>
          <w:lang w:val="ru-RU"/>
        </w:rPr>
        <w:fldChar w:fldCharType="begin"/>
      </w:r>
      <w:r w:rsidRPr="00C440B2">
        <w:rPr>
          <w:sz w:val="18"/>
          <w:szCs w:val="18"/>
          <w:lang w:val="ru-RU"/>
        </w:rPr>
        <w:instrText xml:space="preserve"> TIME \@ "dd.MM.yyyy H:mm" </w:instrText>
      </w:r>
      <w:r w:rsidRPr="00C440B2">
        <w:rPr>
          <w:sz w:val="18"/>
          <w:szCs w:val="18"/>
          <w:lang w:val="ru-RU"/>
        </w:rPr>
        <w:fldChar w:fldCharType="separate"/>
      </w:r>
      <w:r w:rsidR="00315307">
        <w:rPr>
          <w:noProof/>
          <w:sz w:val="18"/>
          <w:szCs w:val="18"/>
          <w:lang w:val="ru-RU"/>
        </w:rPr>
        <w:t>02.12.2019 12:54</w:t>
      </w:r>
      <w:r w:rsidRPr="00C440B2">
        <w:rPr>
          <w:sz w:val="18"/>
          <w:szCs w:val="18"/>
          <w:lang w:val="ru-RU"/>
        </w:rPr>
        <w:fldChar w:fldCharType="end"/>
      </w:r>
    </w:p>
    <w:p w:rsidR="002E0981" w:rsidRPr="00C440B2" w:rsidRDefault="002E0981" w:rsidP="002E0981">
      <w:pPr>
        <w:pStyle w:val="naisf"/>
        <w:tabs>
          <w:tab w:val="left" w:pos="5747"/>
        </w:tabs>
        <w:spacing w:before="0" w:beforeAutospacing="0" w:after="0" w:afterAutospacing="0"/>
        <w:rPr>
          <w:sz w:val="18"/>
          <w:szCs w:val="18"/>
        </w:rPr>
      </w:pPr>
      <w:r w:rsidRPr="00C440B2">
        <w:rPr>
          <w:sz w:val="18"/>
          <w:szCs w:val="18"/>
        </w:rPr>
        <w:fldChar w:fldCharType="begin"/>
      </w:r>
      <w:r w:rsidRPr="00C440B2">
        <w:rPr>
          <w:sz w:val="18"/>
          <w:szCs w:val="18"/>
        </w:rPr>
        <w:instrText xml:space="preserve"> NUMWORDS   \* MERGEFORMAT </w:instrText>
      </w:r>
      <w:r w:rsidRPr="00C440B2">
        <w:rPr>
          <w:sz w:val="18"/>
          <w:szCs w:val="18"/>
        </w:rPr>
        <w:fldChar w:fldCharType="separate"/>
      </w:r>
      <w:r w:rsidR="00C82B40">
        <w:rPr>
          <w:noProof/>
          <w:sz w:val="18"/>
          <w:szCs w:val="18"/>
        </w:rPr>
        <w:t>2990</w:t>
      </w:r>
      <w:r w:rsidRPr="00C440B2">
        <w:rPr>
          <w:sz w:val="18"/>
          <w:szCs w:val="18"/>
        </w:rPr>
        <w:fldChar w:fldCharType="end"/>
      </w:r>
      <w:r w:rsidRPr="00C440B2">
        <w:rPr>
          <w:sz w:val="18"/>
          <w:szCs w:val="18"/>
        </w:rPr>
        <w:tab/>
      </w:r>
    </w:p>
    <w:p w:rsidR="00C440B2" w:rsidRPr="00C440B2" w:rsidRDefault="00C440B2" w:rsidP="002E0981">
      <w:pPr>
        <w:pStyle w:val="naisf"/>
        <w:spacing w:before="0" w:beforeAutospacing="0" w:after="0" w:afterAutospacing="0"/>
        <w:rPr>
          <w:noProof/>
          <w:sz w:val="18"/>
          <w:szCs w:val="18"/>
        </w:rPr>
      </w:pPr>
      <w:r w:rsidRPr="00C440B2">
        <w:rPr>
          <w:noProof/>
          <w:sz w:val="18"/>
          <w:szCs w:val="18"/>
        </w:rPr>
        <w:t xml:space="preserve">A.Strode, </w:t>
      </w:r>
      <w:r w:rsidR="002E0981" w:rsidRPr="00C440B2">
        <w:rPr>
          <w:noProof/>
          <w:sz w:val="18"/>
          <w:szCs w:val="18"/>
        </w:rPr>
        <w:t>6721960</w:t>
      </w:r>
      <w:r w:rsidRPr="00C440B2">
        <w:rPr>
          <w:noProof/>
          <w:sz w:val="18"/>
          <w:szCs w:val="18"/>
        </w:rPr>
        <w:t>2</w:t>
      </w:r>
    </w:p>
    <w:p w:rsidR="002E0981" w:rsidRDefault="00903474" w:rsidP="00BF739B">
      <w:pPr>
        <w:pStyle w:val="naisf"/>
        <w:spacing w:before="0" w:beforeAutospacing="0" w:after="0" w:afterAutospacing="0"/>
        <w:rPr>
          <w:sz w:val="28"/>
          <w:szCs w:val="28"/>
        </w:rPr>
      </w:pPr>
      <w:hyperlink r:id="rId9" w:history="1">
        <w:r w:rsidR="00C440B2" w:rsidRPr="00C440B2">
          <w:rPr>
            <w:rStyle w:val="Hyperlink"/>
            <w:noProof/>
            <w:sz w:val="18"/>
            <w:szCs w:val="18"/>
          </w:rPr>
          <w:t>alda.strode@iem.gov.lv</w:t>
        </w:r>
      </w:hyperlink>
      <w:r w:rsidR="00C440B2" w:rsidRPr="00C440B2">
        <w:rPr>
          <w:noProof/>
          <w:sz w:val="18"/>
          <w:szCs w:val="18"/>
        </w:rPr>
        <w:t xml:space="preserve"> </w:t>
      </w:r>
    </w:p>
    <w:sectPr w:rsidR="002E0981" w:rsidSect="009A31A8">
      <w:headerReference w:type="default" r:id="rId10"/>
      <w:footerReference w:type="default" r:id="rId11"/>
      <w:footerReference w:type="first" r:id="rId12"/>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474" w:rsidRDefault="00903474" w:rsidP="00A61504">
      <w:pPr>
        <w:spacing w:after="0" w:line="240" w:lineRule="auto"/>
      </w:pPr>
      <w:r>
        <w:separator/>
      </w:r>
    </w:p>
  </w:endnote>
  <w:endnote w:type="continuationSeparator" w:id="0">
    <w:p w:rsidR="00903474" w:rsidRDefault="00903474"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43" w:rsidRPr="00AA26E2" w:rsidRDefault="00221443" w:rsidP="00AA26E2">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C82B40">
      <w:rPr>
        <w:noProof/>
        <w:sz w:val="18"/>
        <w:szCs w:val="18"/>
      </w:rPr>
      <w:t>IEMAnot_021219_groz994</w:t>
    </w:r>
    <w:r w:rsidRPr="008B5BA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43" w:rsidRPr="00AA26E2" w:rsidRDefault="00221443" w:rsidP="00D74ECE">
    <w:pPr>
      <w:pStyle w:val="NormalWeb"/>
      <w:spacing w:before="0" w:beforeAutospacing="0" w:after="0" w:afterAutospacing="0"/>
      <w:jc w:val="both"/>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C82B40">
      <w:rPr>
        <w:noProof/>
        <w:sz w:val="18"/>
        <w:szCs w:val="18"/>
      </w:rPr>
      <w:t>IEMAnot_021219_groz994</w:t>
    </w:r>
    <w:r w:rsidRPr="008B5BA6">
      <w:rPr>
        <w:sz w:val="18"/>
        <w:szCs w:val="18"/>
      </w:rPr>
      <w:fldChar w:fldCharType="end"/>
    </w:r>
  </w:p>
  <w:p w:rsidR="00221443" w:rsidRPr="00D74ECE" w:rsidRDefault="00221443" w:rsidP="00D7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474" w:rsidRDefault="00903474" w:rsidP="00A61504">
      <w:pPr>
        <w:spacing w:after="0" w:line="240" w:lineRule="auto"/>
      </w:pPr>
      <w:r>
        <w:separator/>
      </w:r>
    </w:p>
  </w:footnote>
  <w:footnote w:type="continuationSeparator" w:id="0">
    <w:p w:rsidR="00903474" w:rsidRDefault="00903474"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221443" w:rsidRPr="00855CB7" w:rsidRDefault="00221443">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315307">
          <w:rPr>
            <w:rFonts w:ascii="Times New Roman" w:hAnsi="Times New Roman" w:cs="Times New Roman"/>
            <w:noProof/>
            <w:sz w:val="20"/>
            <w:szCs w:val="20"/>
          </w:rPr>
          <w:t>9</w:t>
        </w:r>
        <w:r w:rsidRPr="00855CB7">
          <w:rPr>
            <w:rFonts w:ascii="Times New Roman" w:hAnsi="Times New Roman" w:cs="Times New Roman"/>
            <w:noProof/>
            <w:sz w:val="20"/>
            <w:szCs w:val="20"/>
          </w:rPr>
          <w:fldChar w:fldCharType="end"/>
        </w:r>
      </w:p>
    </w:sdtContent>
  </w:sdt>
  <w:p w:rsidR="00221443" w:rsidRDefault="00221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57E"/>
    <w:multiLevelType w:val="hybridMultilevel"/>
    <w:tmpl w:val="32EAA3EA"/>
    <w:lvl w:ilvl="0" w:tplc="0BA418BC">
      <w:start w:val="5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 w15:restartNumberingAfterBreak="0">
    <w:nsid w:val="0F0A1FB6"/>
    <w:multiLevelType w:val="hybridMultilevel"/>
    <w:tmpl w:val="10C8387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4" w15:restartNumberingAfterBreak="0">
    <w:nsid w:val="10110C7B"/>
    <w:multiLevelType w:val="hybridMultilevel"/>
    <w:tmpl w:val="F9E2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94FA7"/>
    <w:multiLevelType w:val="multilevel"/>
    <w:tmpl w:val="E44E03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A630F6"/>
    <w:multiLevelType w:val="hybridMultilevel"/>
    <w:tmpl w:val="61F8035C"/>
    <w:lvl w:ilvl="0" w:tplc="C4440EB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B368D5"/>
    <w:multiLevelType w:val="hybridMultilevel"/>
    <w:tmpl w:val="F29E286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FB1CAB"/>
    <w:multiLevelType w:val="hybridMultilevel"/>
    <w:tmpl w:val="07D4B7F8"/>
    <w:lvl w:ilvl="0" w:tplc="E9EA7C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C73F85"/>
    <w:multiLevelType w:val="hybridMultilevel"/>
    <w:tmpl w:val="D360C694"/>
    <w:lvl w:ilvl="0" w:tplc="992CD158">
      <w:start w:val="2"/>
      <w:numFmt w:val="bullet"/>
      <w:lvlText w:val="–"/>
      <w:lvlJc w:val="left"/>
      <w:pPr>
        <w:ind w:left="434" w:hanging="360"/>
      </w:pPr>
      <w:rPr>
        <w:rFonts w:ascii="Times New Roman" w:eastAsiaTheme="minorHAnsi" w:hAnsi="Times New Roman" w:cs="Times New Roman" w:hint="default"/>
      </w:rPr>
    </w:lvl>
    <w:lvl w:ilvl="1" w:tplc="04260003" w:tentative="1">
      <w:start w:val="1"/>
      <w:numFmt w:val="bullet"/>
      <w:lvlText w:val="o"/>
      <w:lvlJc w:val="left"/>
      <w:pPr>
        <w:ind w:left="1154" w:hanging="360"/>
      </w:pPr>
      <w:rPr>
        <w:rFonts w:ascii="Courier New" w:hAnsi="Courier New" w:cs="Courier New" w:hint="default"/>
      </w:rPr>
    </w:lvl>
    <w:lvl w:ilvl="2" w:tplc="04260005" w:tentative="1">
      <w:start w:val="1"/>
      <w:numFmt w:val="bullet"/>
      <w:lvlText w:val=""/>
      <w:lvlJc w:val="left"/>
      <w:pPr>
        <w:ind w:left="1874" w:hanging="360"/>
      </w:pPr>
      <w:rPr>
        <w:rFonts w:ascii="Wingdings" w:hAnsi="Wingdings" w:hint="default"/>
      </w:rPr>
    </w:lvl>
    <w:lvl w:ilvl="3" w:tplc="04260001" w:tentative="1">
      <w:start w:val="1"/>
      <w:numFmt w:val="bullet"/>
      <w:lvlText w:val=""/>
      <w:lvlJc w:val="left"/>
      <w:pPr>
        <w:ind w:left="2594" w:hanging="360"/>
      </w:pPr>
      <w:rPr>
        <w:rFonts w:ascii="Symbol" w:hAnsi="Symbol" w:hint="default"/>
      </w:rPr>
    </w:lvl>
    <w:lvl w:ilvl="4" w:tplc="04260003" w:tentative="1">
      <w:start w:val="1"/>
      <w:numFmt w:val="bullet"/>
      <w:lvlText w:val="o"/>
      <w:lvlJc w:val="left"/>
      <w:pPr>
        <w:ind w:left="3314" w:hanging="360"/>
      </w:pPr>
      <w:rPr>
        <w:rFonts w:ascii="Courier New" w:hAnsi="Courier New" w:cs="Courier New" w:hint="default"/>
      </w:rPr>
    </w:lvl>
    <w:lvl w:ilvl="5" w:tplc="04260005" w:tentative="1">
      <w:start w:val="1"/>
      <w:numFmt w:val="bullet"/>
      <w:lvlText w:val=""/>
      <w:lvlJc w:val="left"/>
      <w:pPr>
        <w:ind w:left="4034" w:hanging="360"/>
      </w:pPr>
      <w:rPr>
        <w:rFonts w:ascii="Wingdings" w:hAnsi="Wingdings" w:hint="default"/>
      </w:rPr>
    </w:lvl>
    <w:lvl w:ilvl="6" w:tplc="04260001" w:tentative="1">
      <w:start w:val="1"/>
      <w:numFmt w:val="bullet"/>
      <w:lvlText w:val=""/>
      <w:lvlJc w:val="left"/>
      <w:pPr>
        <w:ind w:left="4754" w:hanging="360"/>
      </w:pPr>
      <w:rPr>
        <w:rFonts w:ascii="Symbol" w:hAnsi="Symbol" w:hint="default"/>
      </w:rPr>
    </w:lvl>
    <w:lvl w:ilvl="7" w:tplc="04260003" w:tentative="1">
      <w:start w:val="1"/>
      <w:numFmt w:val="bullet"/>
      <w:lvlText w:val="o"/>
      <w:lvlJc w:val="left"/>
      <w:pPr>
        <w:ind w:left="5474" w:hanging="360"/>
      </w:pPr>
      <w:rPr>
        <w:rFonts w:ascii="Courier New" w:hAnsi="Courier New" w:cs="Courier New" w:hint="default"/>
      </w:rPr>
    </w:lvl>
    <w:lvl w:ilvl="8" w:tplc="04260005" w:tentative="1">
      <w:start w:val="1"/>
      <w:numFmt w:val="bullet"/>
      <w:lvlText w:val=""/>
      <w:lvlJc w:val="left"/>
      <w:pPr>
        <w:ind w:left="6194" w:hanging="360"/>
      </w:pPr>
      <w:rPr>
        <w:rFonts w:ascii="Wingdings" w:hAnsi="Wingdings" w:hint="default"/>
      </w:rPr>
    </w:lvl>
  </w:abstractNum>
  <w:abstractNum w:abstractNumId="11" w15:restartNumberingAfterBreak="0">
    <w:nsid w:val="2C84021A"/>
    <w:multiLevelType w:val="hybridMultilevel"/>
    <w:tmpl w:val="9F32AE8A"/>
    <w:lvl w:ilvl="0" w:tplc="2FF2A8D8">
      <w:start w:val="1"/>
      <w:numFmt w:val="bullet"/>
      <w:lvlText w:val=""/>
      <w:lvlJc w:val="left"/>
      <w:pPr>
        <w:ind w:left="1084" w:hanging="360"/>
      </w:pPr>
      <w:rPr>
        <w:rFonts w:ascii="Symbol" w:hAnsi="Symbol" w:hint="default"/>
      </w:rPr>
    </w:lvl>
    <w:lvl w:ilvl="1" w:tplc="04260003" w:tentative="1">
      <w:start w:val="1"/>
      <w:numFmt w:val="bullet"/>
      <w:lvlText w:val="o"/>
      <w:lvlJc w:val="left"/>
      <w:pPr>
        <w:ind w:left="1804" w:hanging="360"/>
      </w:pPr>
      <w:rPr>
        <w:rFonts w:ascii="Courier New" w:hAnsi="Courier New" w:cs="Courier New" w:hint="default"/>
      </w:rPr>
    </w:lvl>
    <w:lvl w:ilvl="2" w:tplc="04260005" w:tentative="1">
      <w:start w:val="1"/>
      <w:numFmt w:val="bullet"/>
      <w:lvlText w:val=""/>
      <w:lvlJc w:val="left"/>
      <w:pPr>
        <w:ind w:left="2524" w:hanging="360"/>
      </w:pPr>
      <w:rPr>
        <w:rFonts w:ascii="Wingdings" w:hAnsi="Wingdings" w:hint="default"/>
      </w:rPr>
    </w:lvl>
    <w:lvl w:ilvl="3" w:tplc="04260001" w:tentative="1">
      <w:start w:val="1"/>
      <w:numFmt w:val="bullet"/>
      <w:lvlText w:val=""/>
      <w:lvlJc w:val="left"/>
      <w:pPr>
        <w:ind w:left="3244" w:hanging="360"/>
      </w:pPr>
      <w:rPr>
        <w:rFonts w:ascii="Symbol" w:hAnsi="Symbol" w:hint="default"/>
      </w:rPr>
    </w:lvl>
    <w:lvl w:ilvl="4" w:tplc="04260003" w:tentative="1">
      <w:start w:val="1"/>
      <w:numFmt w:val="bullet"/>
      <w:lvlText w:val="o"/>
      <w:lvlJc w:val="left"/>
      <w:pPr>
        <w:ind w:left="3964" w:hanging="360"/>
      </w:pPr>
      <w:rPr>
        <w:rFonts w:ascii="Courier New" w:hAnsi="Courier New" w:cs="Courier New" w:hint="default"/>
      </w:rPr>
    </w:lvl>
    <w:lvl w:ilvl="5" w:tplc="04260005" w:tentative="1">
      <w:start w:val="1"/>
      <w:numFmt w:val="bullet"/>
      <w:lvlText w:val=""/>
      <w:lvlJc w:val="left"/>
      <w:pPr>
        <w:ind w:left="4684" w:hanging="360"/>
      </w:pPr>
      <w:rPr>
        <w:rFonts w:ascii="Wingdings" w:hAnsi="Wingdings" w:hint="default"/>
      </w:rPr>
    </w:lvl>
    <w:lvl w:ilvl="6" w:tplc="04260001" w:tentative="1">
      <w:start w:val="1"/>
      <w:numFmt w:val="bullet"/>
      <w:lvlText w:val=""/>
      <w:lvlJc w:val="left"/>
      <w:pPr>
        <w:ind w:left="5404" w:hanging="360"/>
      </w:pPr>
      <w:rPr>
        <w:rFonts w:ascii="Symbol" w:hAnsi="Symbol" w:hint="default"/>
      </w:rPr>
    </w:lvl>
    <w:lvl w:ilvl="7" w:tplc="04260003" w:tentative="1">
      <w:start w:val="1"/>
      <w:numFmt w:val="bullet"/>
      <w:lvlText w:val="o"/>
      <w:lvlJc w:val="left"/>
      <w:pPr>
        <w:ind w:left="6124" w:hanging="360"/>
      </w:pPr>
      <w:rPr>
        <w:rFonts w:ascii="Courier New" w:hAnsi="Courier New" w:cs="Courier New" w:hint="default"/>
      </w:rPr>
    </w:lvl>
    <w:lvl w:ilvl="8" w:tplc="04260005" w:tentative="1">
      <w:start w:val="1"/>
      <w:numFmt w:val="bullet"/>
      <w:lvlText w:val=""/>
      <w:lvlJc w:val="left"/>
      <w:pPr>
        <w:ind w:left="6844" w:hanging="360"/>
      </w:pPr>
      <w:rPr>
        <w:rFonts w:ascii="Wingdings" w:hAnsi="Wingdings" w:hint="default"/>
      </w:rPr>
    </w:lvl>
  </w:abstractNum>
  <w:abstractNum w:abstractNumId="12" w15:restartNumberingAfterBreak="0">
    <w:nsid w:val="2F311915"/>
    <w:multiLevelType w:val="hybridMultilevel"/>
    <w:tmpl w:val="52CA8FA0"/>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B7E51"/>
    <w:multiLevelType w:val="hybridMultilevel"/>
    <w:tmpl w:val="EB5A7924"/>
    <w:lvl w:ilvl="0" w:tplc="2D242F4C">
      <w:start w:val="6"/>
      <w:numFmt w:val="bullet"/>
      <w:lvlText w:val="–"/>
      <w:lvlJc w:val="left"/>
      <w:pPr>
        <w:ind w:left="630" w:hanging="360"/>
      </w:pPr>
      <w:rPr>
        <w:rFonts w:ascii="Times New Roman" w:eastAsia="Times New Roman" w:hAnsi="Times New Roman" w:cs="Times New Roman" w:hint="default"/>
      </w:rPr>
    </w:lvl>
    <w:lvl w:ilvl="1" w:tplc="04260003" w:tentative="1">
      <w:start w:val="1"/>
      <w:numFmt w:val="bullet"/>
      <w:lvlText w:val="o"/>
      <w:lvlJc w:val="left"/>
      <w:pPr>
        <w:ind w:left="1350" w:hanging="360"/>
      </w:pPr>
      <w:rPr>
        <w:rFonts w:ascii="Courier New" w:hAnsi="Courier New" w:cs="Courier New" w:hint="default"/>
      </w:rPr>
    </w:lvl>
    <w:lvl w:ilvl="2" w:tplc="04260005" w:tentative="1">
      <w:start w:val="1"/>
      <w:numFmt w:val="bullet"/>
      <w:lvlText w:val=""/>
      <w:lvlJc w:val="left"/>
      <w:pPr>
        <w:ind w:left="2070" w:hanging="360"/>
      </w:pPr>
      <w:rPr>
        <w:rFonts w:ascii="Wingdings" w:hAnsi="Wingdings" w:hint="default"/>
      </w:rPr>
    </w:lvl>
    <w:lvl w:ilvl="3" w:tplc="04260001" w:tentative="1">
      <w:start w:val="1"/>
      <w:numFmt w:val="bullet"/>
      <w:lvlText w:val=""/>
      <w:lvlJc w:val="left"/>
      <w:pPr>
        <w:ind w:left="2790" w:hanging="360"/>
      </w:pPr>
      <w:rPr>
        <w:rFonts w:ascii="Symbol" w:hAnsi="Symbol" w:hint="default"/>
      </w:rPr>
    </w:lvl>
    <w:lvl w:ilvl="4" w:tplc="04260003" w:tentative="1">
      <w:start w:val="1"/>
      <w:numFmt w:val="bullet"/>
      <w:lvlText w:val="o"/>
      <w:lvlJc w:val="left"/>
      <w:pPr>
        <w:ind w:left="3510" w:hanging="360"/>
      </w:pPr>
      <w:rPr>
        <w:rFonts w:ascii="Courier New" w:hAnsi="Courier New" w:cs="Courier New" w:hint="default"/>
      </w:rPr>
    </w:lvl>
    <w:lvl w:ilvl="5" w:tplc="04260005" w:tentative="1">
      <w:start w:val="1"/>
      <w:numFmt w:val="bullet"/>
      <w:lvlText w:val=""/>
      <w:lvlJc w:val="left"/>
      <w:pPr>
        <w:ind w:left="4230" w:hanging="360"/>
      </w:pPr>
      <w:rPr>
        <w:rFonts w:ascii="Wingdings" w:hAnsi="Wingdings" w:hint="default"/>
      </w:rPr>
    </w:lvl>
    <w:lvl w:ilvl="6" w:tplc="04260001" w:tentative="1">
      <w:start w:val="1"/>
      <w:numFmt w:val="bullet"/>
      <w:lvlText w:val=""/>
      <w:lvlJc w:val="left"/>
      <w:pPr>
        <w:ind w:left="4950" w:hanging="360"/>
      </w:pPr>
      <w:rPr>
        <w:rFonts w:ascii="Symbol" w:hAnsi="Symbol" w:hint="default"/>
      </w:rPr>
    </w:lvl>
    <w:lvl w:ilvl="7" w:tplc="04260003" w:tentative="1">
      <w:start w:val="1"/>
      <w:numFmt w:val="bullet"/>
      <w:lvlText w:val="o"/>
      <w:lvlJc w:val="left"/>
      <w:pPr>
        <w:ind w:left="5670" w:hanging="360"/>
      </w:pPr>
      <w:rPr>
        <w:rFonts w:ascii="Courier New" w:hAnsi="Courier New" w:cs="Courier New" w:hint="default"/>
      </w:rPr>
    </w:lvl>
    <w:lvl w:ilvl="8" w:tplc="04260005" w:tentative="1">
      <w:start w:val="1"/>
      <w:numFmt w:val="bullet"/>
      <w:lvlText w:val=""/>
      <w:lvlJc w:val="left"/>
      <w:pPr>
        <w:ind w:left="6390" w:hanging="360"/>
      </w:pPr>
      <w:rPr>
        <w:rFonts w:ascii="Wingdings" w:hAnsi="Wingdings" w:hint="default"/>
      </w:rPr>
    </w:lvl>
  </w:abstractNum>
  <w:abstractNum w:abstractNumId="14" w15:restartNumberingAfterBreak="0">
    <w:nsid w:val="34974053"/>
    <w:multiLevelType w:val="hybridMultilevel"/>
    <w:tmpl w:val="DC100EFC"/>
    <w:lvl w:ilvl="0" w:tplc="2FF2A8D8">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5" w15:restartNumberingAfterBreak="1">
    <w:nsid w:val="34FE2E51"/>
    <w:multiLevelType w:val="hybridMultilevel"/>
    <w:tmpl w:val="E0D606EE"/>
    <w:lvl w:ilvl="0" w:tplc="ED600E38">
      <w:start w:val="1"/>
      <w:numFmt w:val="decimal"/>
      <w:lvlText w:val="%1."/>
      <w:lvlJc w:val="left"/>
      <w:pPr>
        <w:ind w:left="1080" w:hanging="360"/>
      </w:pPr>
      <w:rPr>
        <w:rFonts w:ascii="Times New Roman" w:hAnsi="Times New Roman" w:hint="default"/>
        <w:sz w:val="28"/>
      </w:rPr>
    </w:lvl>
    <w:lvl w:ilvl="1" w:tplc="CB4233DA" w:tentative="1">
      <w:start w:val="1"/>
      <w:numFmt w:val="lowerLetter"/>
      <w:lvlText w:val="%2."/>
      <w:lvlJc w:val="left"/>
      <w:pPr>
        <w:ind w:left="1800" w:hanging="360"/>
      </w:pPr>
    </w:lvl>
    <w:lvl w:ilvl="2" w:tplc="8B32624E" w:tentative="1">
      <w:start w:val="1"/>
      <w:numFmt w:val="lowerRoman"/>
      <w:lvlText w:val="%3."/>
      <w:lvlJc w:val="right"/>
      <w:pPr>
        <w:ind w:left="2520" w:hanging="180"/>
      </w:pPr>
    </w:lvl>
    <w:lvl w:ilvl="3" w:tplc="BC8CC35E" w:tentative="1">
      <w:start w:val="1"/>
      <w:numFmt w:val="decimal"/>
      <w:lvlText w:val="%4."/>
      <w:lvlJc w:val="left"/>
      <w:pPr>
        <w:ind w:left="3240" w:hanging="360"/>
      </w:pPr>
    </w:lvl>
    <w:lvl w:ilvl="4" w:tplc="80EA3730" w:tentative="1">
      <w:start w:val="1"/>
      <w:numFmt w:val="lowerLetter"/>
      <w:lvlText w:val="%5."/>
      <w:lvlJc w:val="left"/>
      <w:pPr>
        <w:ind w:left="3960" w:hanging="360"/>
      </w:pPr>
    </w:lvl>
    <w:lvl w:ilvl="5" w:tplc="A65480F4" w:tentative="1">
      <w:start w:val="1"/>
      <w:numFmt w:val="lowerRoman"/>
      <w:lvlText w:val="%6."/>
      <w:lvlJc w:val="right"/>
      <w:pPr>
        <w:ind w:left="4680" w:hanging="180"/>
      </w:pPr>
    </w:lvl>
    <w:lvl w:ilvl="6" w:tplc="AE407DD6" w:tentative="1">
      <w:start w:val="1"/>
      <w:numFmt w:val="decimal"/>
      <w:lvlText w:val="%7."/>
      <w:lvlJc w:val="left"/>
      <w:pPr>
        <w:ind w:left="5400" w:hanging="360"/>
      </w:pPr>
    </w:lvl>
    <w:lvl w:ilvl="7" w:tplc="1BE6C39C" w:tentative="1">
      <w:start w:val="1"/>
      <w:numFmt w:val="lowerLetter"/>
      <w:lvlText w:val="%8."/>
      <w:lvlJc w:val="left"/>
      <w:pPr>
        <w:ind w:left="6120" w:hanging="360"/>
      </w:pPr>
    </w:lvl>
    <w:lvl w:ilvl="8" w:tplc="F0663A00" w:tentative="1">
      <w:start w:val="1"/>
      <w:numFmt w:val="lowerRoman"/>
      <w:lvlText w:val="%9."/>
      <w:lvlJc w:val="right"/>
      <w:pPr>
        <w:ind w:left="6840" w:hanging="180"/>
      </w:pPr>
    </w:lvl>
  </w:abstractNum>
  <w:abstractNum w:abstractNumId="16" w15:restartNumberingAfterBreak="0">
    <w:nsid w:val="354F63D5"/>
    <w:multiLevelType w:val="hybridMultilevel"/>
    <w:tmpl w:val="4320A3F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79177E"/>
    <w:multiLevelType w:val="hybridMultilevel"/>
    <w:tmpl w:val="01600192"/>
    <w:lvl w:ilvl="0" w:tplc="0426000D">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19"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49E87F1C"/>
    <w:multiLevelType w:val="hybridMultilevel"/>
    <w:tmpl w:val="8A14948A"/>
    <w:lvl w:ilvl="0" w:tplc="576EADF8">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9006B3"/>
    <w:multiLevelType w:val="hybridMultilevel"/>
    <w:tmpl w:val="7FBAA624"/>
    <w:lvl w:ilvl="0" w:tplc="2FF2A8D8">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22" w15:restartNumberingAfterBreak="0">
    <w:nsid w:val="4BA95BF9"/>
    <w:multiLevelType w:val="hybridMultilevel"/>
    <w:tmpl w:val="61AC737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24"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7519D2"/>
    <w:multiLevelType w:val="hybridMultilevel"/>
    <w:tmpl w:val="6BE6BDAC"/>
    <w:lvl w:ilvl="0" w:tplc="2FF2A8D8">
      <w:start w:val="1"/>
      <w:numFmt w:val="bullet"/>
      <w:lvlText w:val=""/>
      <w:lvlJc w:val="left"/>
      <w:pPr>
        <w:ind w:left="1204" w:hanging="360"/>
      </w:pPr>
      <w:rPr>
        <w:rFonts w:ascii="Symbol" w:hAnsi="Symbol" w:hint="default"/>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6"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7" w15:restartNumberingAfterBreak="0">
    <w:nsid w:val="5F7E2916"/>
    <w:multiLevelType w:val="hybridMultilevel"/>
    <w:tmpl w:val="F34C66C4"/>
    <w:lvl w:ilvl="0" w:tplc="0426000D">
      <w:start w:val="1"/>
      <w:numFmt w:val="bullet"/>
      <w:lvlText w:val=""/>
      <w:lvlJc w:val="left"/>
      <w:pPr>
        <w:ind w:left="990" w:hanging="360"/>
      </w:pPr>
      <w:rPr>
        <w:rFonts w:ascii="Wingdings" w:hAnsi="Wingdings"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28" w15:restartNumberingAfterBreak="0">
    <w:nsid w:val="609F0609"/>
    <w:multiLevelType w:val="hybridMultilevel"/>
    <w:tmpl w:val="8FA06320"/>
    <w:lvl w:ilvl="0" w:tplc="15D4CB52">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527ED1"/>
    <w:multiLevelType w:val="hybridMultilevel"/>
    <w:tmpl w:val="D2360078"/>
    <w:lvl w:ilvl="0" w:tplc="04260009">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0"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643AAC"/>
    <w:multiLevelType w:val="hybridMultilevel"/>
    <w:tmpl w:val="159696B6"/>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B287D51"/>
    <w:multiLevelType w:val="hybridMultilevel"/>
    <w:tmpl w:val="D4568AB8"/>
    <w:lvl w:ilvl="0" w:tplc="2FF2A8D8">
      <w:start w:val="1"/>
      <w:numFmt w:val="bullet"/>
      <w:lvlText w:val=""/>
      <w:lvlJc w:val="left"/>
      <w:pPr>
        <w:ind w:left="1236" w:hanging="360"/>
      </w:pPr>
      <w:rPr>
        <w:rFonts w:ascii="Symbol" w:hAnsi="Symbol" w:hint="default"/>
      </w:rPr>
    </w:lvl>
    <w:lvl w:ilvl="1" w:tplc="04260003">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num w:numId="1">
    <w:abstractNumId w:val="1"/>
  </w:num>
  <w:num w:numId="2">
    <w:abstractNumId w:val="21"/>
  </w:num>
  <w:num w:numId="3">
    <w:abstractNumId w:val="4"/>
  </w:num>
  <w:num w:numId="4">
    <w:abstractNumId w:val="31"/>
  </w:num>
  <w:num w:numId="5">
    <w:abstractNumId w:val="11"/>
  </w:num>
  <w:num w:numId="6">
    <w:abstractNumId w:val="25"/>
  </w:num>
  <w:num w:numId="7">
    <w:abstractNumId w:val="8"/>
  </w:num>
  <w:num w:numId="8">
    <w:abstractNumId w:val="12"/>
  </w:num>
  <w:num w:numId="9">
    <w:abstractNumId w:val="22"/>
  </w:num>
  <w:num w:numId="10">
    <w:abstractNumId w:val="32"/>
  </w:num>
  <w:num w:numId="11">
    <w:abstractNumId w:val="5"/>
  </w:num>
  <w:num w:numId="12">
    <w:abstractNumId w:val="14"/>
  </w:num>
  <w:num w:numId="13">
    <w:abstractNumId w:val="16"/>
  </w:num>
  <w:num w:numId="14">
    <w:abstractNumId w:val="30"/>
  </w:num>
  <w:num w:numId="15">
    <w:abstractNumId w:val="26"/>
  </w:num>
  <w:num w:numId="16">
    <w:abstractNumId w:val="24"/>
  </w:num>
  <w:num w:numId="17">
    <w:abstractNumId w:val="19"/>
  </w:num>
  <w:num w:numId="18">
    <w:abstractNumId w:val="7"/>
  </w:num>
  <w:num w:numId="19">
    <w:abstractNumId w:val="3"/>
  </w:num>
  <w:num w:numId="20">
    <w:abstractNumId w:val="13"/>
  </w:num>
  <w:num w:numId="21">
    <w:abstractNumId w:val="27"/>
  </w:num>
  <w:num w:numId="22">
    <w:abstractNumId w:val="17"/>
  </w:num>
  <w:num w:numId="23">
    <w:abstractNumId w:val="18"/>
  </w:num>
  <w:num w:numId="24">
    <w:abstractNumId w:val="6"/>
  </w:num>
  <w:num w:numId="25">
    <w:abstractNumId w:val="20"/>
  </w:num>
  <w:num w:numId="26">
    <w:abstractNumId w:val="10"/>
  </w:num>
  <w:num w:numId="27">
    <w:abstractNumId w:val="0"/>
  </w:num>
  <w:num w:numId="28">
    <w:abstractNumId w:val="28"/>
  </w:num>
  <w:num w:numId="29">
    <w:abstractNumId w:val="29"/>
  </w:num>
  <w:num w:numId="30">
    <w:abstractNumId w:val="2"/>
  </w:num>
  <w:num w:numId="31">
    <w:abstractNumId w:val="23"/>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0986"/>
    <w:rsid w:val="00012896"/>
    <w:rsid w:val="000151E2"/>
    <w:rsid w:val="00016770"/>
    <w:rsid w:val="00024B05"/>
    <w:rsid w:val="00031DB9"/>
    <w:rsid w:val="00043787"/>
    <w:rsid w:val="0004394C"/>
    <w:rsid w:val="000511F8"/>
    <w:rsid w:val="00054DF4"/>
    <w:rsid w:val="00057B22"/>
    <w:rsid w:val="00061364"/>
    <w:rsid w:val="000633DD"/>
    <w:rsid w:val="000671F3"/>
    <w:rsid w:val="0007000B"/>
    <w:rsid w:val="00071425"/>
    <w:rsid w:val="00075F29"/>
    <w:rsid w:val="0008286B"/>
    <w:rsid w:val="00083E1C"/>
    <w:rsid w:val="00090363"/>
    <w:rsid w:val="000A0997"/>
    <w:rsid w:val="000A25FF"/>
    <w:rsid w:val="000A2CE4"/>
    <w:rsid w:val="000A7E4D"/>
    <w:rsid w:val="000B353E"/>
    <w:rsid w:val="000B35FB"/>
    <w:rsid w:val="000B4131"/>
    <w:rsid w:val="000B42F6"/>
    <w:rsid w:val="000B67CD"/>
    <w:rsid w:val="000C16DB"/>
    <w:rsid w:val="000C1C8B"/>
    <w:rsid w:val="000C68C9"/>
    <w:rsid w:val="000D48BF"/>
    <w:rsid w:val="000E1939"/>
    <w:rsid w:val="000E1FA9"/>
    <w:rsid w:val="000E3747"/>
    <w:rsid w:val="000E3988"/>
    <w:rsid w:val="000E4988"/>
    <w:rsid w:val="000E5D44"/>
    <w:rsid w:val="000F11B4"/>
    <w:rsid w:val="000F7FE0"/>
    <w:rsid w:val="00106C2F"/>
    <w:rsid w:val="001114E7"/>
    <w:rsid w:val="0011356C"/>
    <w:rsid w:val="00113A21"/>
    <w:rsid w:val="00115224"/>
    <w:rsid w:val="001204D1"/>
    <w:rsid w:val="00120855"/>
    <w:rsid w:val="00122345"/>
    <w:rsid w:val="00152754"/>
    <w:rsid w:val="001536C4"/>
    <w:rsid w:val="0015426A"/>
    <w:rsid w:val="0016241F"/>
    <w:rsid w:val="001630B8"/>
    <w:rsid w:val="00163123"/>
    <w:rsid w:val="001640D2"/>
    <w:rsid w:val="0017309A"/>
    <w:rsid w:val="00174187"/>
    <w:rsid w:val="001752CF"/>
    <w:rsid w:val="00175F96"/>
    <w:rsid w:val="0017702E"/>
    <w:rsid w:val="0018161D"/>
    <w:rsid w:val="00195B97"/>
    <w:rsid w:val="001B2FBB"/>
    <w:rsid w:val="001B4CED"/>
    <w:rsid w:val="001C3784"/>
    <w:rsid w:val="001F119D"/>
    <w:rsid w:val="001F5815"/>
    <w:rsid w:val="001F63DB"/>
    <w:rsid w:val="001F6ADB"/>
    <w:rsid w:val="001F796F"/>
    <w:rsid w:val="00202D71"/>
    <w:rsid w:val="00204472"/>
    <w:rsid w:val="00206EB2"/>
    <w:rsid w:val="002137D1"/>
    <w:rsid w:val="002160EE"/>
    <w:rsid w:val="00216FF9"/>
    <w:rsid w:val="00221047"/>
    <w:rsid w:val="00221443"/>
    <w:rsid w:val="00232342"/>
    <w:rsid w:val="0023282D"/>
    <w:rsid w:val="00235E53"/>
    <w:rsid w:val="00237953"/>
    <w:rsid w:val="002402B9"/>
    <w:rsid w:val="00244611"/>
    <w:rsid w:val="00252931"/>
    <w:rsid w:val="00254FBE"/>
    <w:rsid w:val="00261284"/>
    <w:rsid w:val="00263BA4"/>
    <w:rsid w:val="00270810"/>
    <w:rsid w:val="00272D32"/>
    <w:rsid w:val="002745F3"/>
    <w:rsid w:val="00274E33"/>
    <w:rsid w:val="002768A0"/>
    <w:rsid w:val="00276D0F"/>
    <w:rsid w:val="0027754D"/>
    <w:rsid w:val="00277AD5"/>
    <w:rsid w:val="00280066"/>
    <w:rsid w:val="00280A3C"/>
    <w:rsid w:val="00294D01"/>
    <w:rsid w:val="00295B51"/>
    <w:rsid w:val="00296342"/>
    <w:rsid w:val="00296B15"/>
    <w:rsid w:val="002A0F0B"/>
    <w:rsid w:val="002A5FB4"/>
    <w:rsid w:val="002B07EB"/>
    <w:rsid w:val="002B33D4"/>
    <w:rsid w:val="002B5FEF"/>
    <w:rsid w:val="002B6B78"/>
    <w:rsid w:val="002C57AF"/>
    <w:rsid w:val="002C584B"/>
    <w:rsid w:val="002E0981"/>
    <w:rsid w:val="002E41A1"/>
    <w:rsid w:val="002F0CF9"/>
    <w:rsid w:val="002F3B27"/>
    <w:rsid w:val="002F5386"/>
    <w:rsid w:val="002F6749"/>
    <w:rsid w:val="0030189C"/>
    <w:rsid w:val="003030FA"/>
    <w:rsid w:val="00315307"/>
    <w:rsid w:val="003179BD"/>
    <w:rsid w:val="00320091"/>
    <w:rsid w:val="0032260A"/>
    <w:rsid w:val="0032329A"/>
    <w:rsid w:val="00324AC5"/>
    <w:rsid w:val="00324DA9"/>
    <w:rsid w:val="003252B2"/>
    <w:rsid w:val="003273C7"/>
    <w:rsid w:val="0033525A"/>
    <w:rsid w:val="0034191A"/>
    <w:rsid w:val="00343E97"/>
    <w:rsid w:val="00346BBC"/>
    <w:rsid w:val="00355839"/>
    <w:rsid w:val="00363705"/>
    <w:rsid w:val="00366C28"/>
    <w:rsid w:val="00373006"/>
    <w:rsid w:val="00374A06"/>
    <w:rsid w:val="00381240"/>
    <w:rsid w:val="00381BBA"/>
    <w:rsid w:val="00383B9A"/>
    <w:rsid w:val="00387B98"/>
    <w:rsid w:val="003A4971"/>
    <w:rsid w:val="003B079D"/>
    <w:rsid w:val="003B0B3A"/>
    <w:rsid w:val="003B0EF5"/>
    <w:rsid w:val="003B1F3C"/>
    <w:rsid w:val="003B2312"/>
    <w:rsid w:val="003B27F0"/>
    <w:rsid w:val="003B4E8D"/>
    <w:rsid w:val="003B55AC"/>
    <w:rsid w:val="003C30ED"/>
    <w:rsid w:val="003C39A4"/>
    <w:rsid w:val="003C5AA8"/>
    <w:rsid w:val="003C73C4"/>
    <w:rsid w:val="003D54C1"/>
    <w:rsid w:val="003E04C7"/>
    <w:rsid w:val="003E3962"/>
    <w:rsid w:val="003E3A0D"/>
    <w:rsid w:val="003E4A60"/>
    <w:rsid w:val="003E708D"/>
    <w:rsid w:val="003F0AA4"/>
    <w:rsid w:val="003F0BAB"/>
    <w:rsid w:val="003F2490"/>
    <w:rsid w:val="003F6ED7"/>
    <w:rsid w:val="0040076B"/>
    <w:rsid w:val="00400CD0"/>
    <w:rsid w:val="00402A75"/>
    <w:rsid w:val="004106EE"/>
    <w:rsid w:val="004119EE"/>
    <w:rsid w:val="0042053F"/>
    <w:rsid w:val="0042164A"/>
    <w:rsid w:val="00442772"/>
    <w:rsid w:val="00442ECB"/>
    <w:rsid w:val="00451FB1"/>
    <w:rsid w:val="00452E4C"/>
    <w:rsid w:val="00453B99"/>
    <w:rsid w:val="00456DD6"/>
    <w:rsid w:val="004572F3"/>
    <w:rsid w:val="00462ACB"/>
    <w:rsid w:val="004642BE"/>
    <w:rsid w:val="00465061"/>
    <w:rsid w:val="00473355"/>
    <w:rsid w:val="00477122"/>
    <w:rsid w:val="00480764"/>
    <w:rsid w:val="00486655"/>
    <w:rsid w:val="00494BDF"/>
    <w:rsid w:val="00495A4D"/>
    <w:rsid w:val="00496C12"/>
    <w:rsid w:val="004A078E"/>
    <w:rsid w:val="004A1CD7"/>
    <w:rsid w:val="004A544B"/>
    <w:rsid w:val="004B2F4B"/>
    <w:rsid w:val="004B4383"/>
    <w:rsid w:val="004C010F"/>
    <w:rsid w:val="004C1170"/>
    <w:rsid w:val="004C40CA"/>
    <w:rsid w:val="004C596A"/>
    <w:rsid w:val="004D2F40"/>
    <w:rsid w:val="004D670C"/>
    <w:rsid w:val="004D73A8"/>
    <w:rsid w:val="004E456A"/>
    <w:rsid w:val="004E69F3"/>
    <w:rsid w:val="004E7960"/>
    <w:rsid w:val="004F53A5"/>
    <w:rsid w:val="00501EB3"/>
    <w:rsid w:val="005039D7"/>
    <w:rsid w:val="00503F4B"/>
    <w:rsid w:val="00507B59"/>
    <w:rsid w:val="00511269"/>
    <w:rsid w:val="00512222"/>
    <w:rsid w:val="005128C9"/>
    <w:rsid w:val="00512B41"/>
    <w:rsid w:val="00516201"/>
    <w:rsid w:val="00517FBB"/>
    <w:rsid w:val="00523629"/>
    <w:rsid w:val="0052442F"/>
    <w:rsid w:val="0052773D"/>
    <w:rsid w:val="00530FCE"/>
    <w:rsid w:val="00532841"/>
    <w:rsid w:val="005466A2"/>
    <w:rsid w:val="00547057"/>
    <w:rsid w:val="00547F68"/>
    <w:rsid w:val="0056058E"/>
    <w:rsid w:val="00566910"/>
    <w:rsid w:val="005703A9"/>
    <w:rsid w:val="00577B1B"/>
    <w:rsid w:val="00592A8A"/>
    <w:rsid w:val="005B2F8E"/>
    <w:rsid w:val="005B37BB"/>
    <w:rsid w:val="005B664B"/>
    <w:rsid w:val="005B6BA2"/>
    <w:rsid w:val="005B7A8F"/>
    <w:rsid w:val="005C346C"/>
    <w:rsid w:val="005C4687"/>
    <w:rsid w:val="005D04AA"/>
    <w:rsid w:val="005D3FF0"/>
    <w:rsid w:val="005D4098"/>
    <w:rsid w:val="005D4BBC"/>
    <w:rsid w:val="005E051F"/>
    <w:rsid w:val="005E45A3"/>
    <w:rsid w:val="005E62FF"/>
    <w:rsid w:val="005E6C75"/>
    <w:rsid w:val="005F06D6"/>
    <w:rsid w:val="005F726E"/>
    <w:rsid w:val="006017AF"/>
    <w:rsid w:val="00613FFB"/>
    <w:rsid w:val="0061711F"/>
    <w:rsid w:val="00620445"/>
    <w:rsid w:val="006214EC"/>
    <w:rsid w:val="00622743"/>
    <w:rsid w:val="00626F16"/>
    <w:rsid w:val="00627215"/>
    <w:rsid w:val="006310F7"/>
    <w:rsid w:val="00633D38"/>
    <w:rsid w:val="006411A2"/>
    <w:rsid w:val="0064782D"/>
    <w:rsid w:val="00654056"/>
    <w:rsid w:val="00654250"/>
    <w:rsid w:val="00654F29"/>
    <w:rsid w:val="00655E2E"/>
    <w:rsid w:val="00656051"/>
    <w:rsid w:val="00660E8D"/>
    <w:rsid w:val="00661D5A"/>
    <w:rsid w:val="00666400"/>
    <w:rsid w:val="00666F26"/>
    <w:rsid w:val="006726AF"/>
    <w:rsid w:val="00674A10"/>
    <w:rsid w:val="00676A2D"/>
    <w:rsid w:val="00681EE2"/>
    <w:rsid w:val="00685C2D"/>
    <w:rsid w:val="006873B9"/>
    <w:rsid w:val="00687885"/>
    <w:rsid w:val="006900D7"/>
    <w:rsid w:val="00690177"/>
    <w:rsid w:val="00692E5E"/>
    <w:rsid w:val="00697D42"/>
    <w:rsid w:val="006A2C83"/>
    <w:rsid w:val="006A32EF"/>
    <w:rsid w:val="006A37D2"/>
    <w:rsid w:val="006A58DD"/>
    <w:rsid w:val="006B0FC0"/>
    <w:rsid w:val="006B4385"/>
    <w:rsid w:val="006B68A0"/>
    <w:rsid w:val="006B72B9"/>
    <w:rsid w:val="006C2FAB"/>
    <w:rsid w:val="006C3D6A"/>
    <w:rsid w:val="006C4BD5"/>
    <w:rsid w:val="006C7964"/>
    <w:rsid w:val="006D09F9"/>
    <w:rsid w:val="006D1851"/>
    <w:rsid w:val="006D1C8F"/>
    <w:rsid w:val="006E1317"/>
    <w:rsid w:val="006E1B95"/>
    <w:rsid w:val="006E334B"/>
    <w:rsid w:val="006E6D54"/>
    <w:rsid w:val="006F2295"/>
    <w:rsid w:val="006F2976"/>
    <w:rsid w:val="00700F25"/>
    <w:rsid w:val="0071149A"/>
    <w:rsid w:val="007208E0"/>
    <w:rsid w:val="0072190D"/>
    <w:rsid w:val="00722578"/>
    <w:rsid w:val="007304E2"/>
    <w:rsid w:val="00733F08"/>
    <w:rsid w:val="00735614"/>
    <w:rsid w:val="00750974"/>
    <w:rsid w:val="0076151F"/>
    <w:rsid w:val="00772B7E"/>
    <w:rsid w:val="00776DDD"/>
    <w:rsid w:val="007777B9"/>
    <w:rsid w:val="00783623"/>
    <w:rsid w:val="0078619B"/>
    <w:rsid w:val="00793F29"/>
    <w:rsid w:val="00793F93"/>
    <w:rsid w:val="007955EC"/>
    <w:rsid w:val="007959DF"/>
    <w:rsid w:val="007B0075"/>
    <w:rsid w:val="007B440A"/>
    <w:rsid w:val="007C1EA2"/>
    <w:rsid w:val="007C242C"/>
    <w:rsid w:val="007D23D0"/>
    <w:rsid w:val="007D2503"/>
    <w:rsid w:val="007D723E"/>
    <w:rsid w:val="007E2213"/>
    <w:rsid w:val="007E31E0"/>
    <w:rsid w:val="007E34F4"/>
    <w:rsid w:val="007E4021"/>
    <w:rsid w:val="007F443B"/>
    <w:rsid w:val="007F4FE0"/>
    <w:rsid w:val="007F55A5"/>
    <w:rsid w:val="007F601A"/>
    <w:rsid w:val="007F6B1C"/>
    <w:rsid w:val="0080700D"/>
    <w:rsid w:val="00811544"/>
    <w:rsid w:val="0081399B"/>
    <w:rsid w:val="008151FC"/>
    <w:rsid w:val="008156E0"/>
    <w:rsid w:val="00817F29"/>
    <w:rsid w:val="00820F5B"/>
    <w:rsid w:val="0082505A"/>
    <w:rsid w:val="0082519E"/>
    <w:rsid w:val="008329C1"/>
    <w:rsid w:val="00832E82"/>
    <w:rsid w:val="00834103"/>
    <w:rsid w:val="00835927"/>
    <w:rsid w:val="0084195E"/>
    <w:rsid w:val="00842573"/>
    <w:rsid w:val="00843571"/>
    <w:rsid w:val="008501FE"/>
    <w:rsid w:val="00853A39"/>
    <w:rsid w:val="00855CB7"/>
    <w:rsid w:val="008713E9"/>
    <w:rsid w:val="00890339"/>
    <w:rsid w:val="00892A95"/>
    <w:rsid w:val="00893DF6"/>
    <w:rsid w:val="008964CB"/>
    <w:rsid w:val="008A10F2"/>
    <w:rsid w:val="008B36D5"/>
    <w:rsid w:val="008B5664"/>
    <w:rsid w:val="008B7AAE"/>
    <w:rsid w:val="008C0A92"/>
    <w:rsid w:val="008D15DE"/>
    <w:rsid w:val="008D2B3A"/>
    <w:rsid w:val="008D3681"/>
    <w:rsid w:val="008D5C8A"/>
    <w:rsid w:val="008E1D51"/>
    <w:rsid w:val="008E3AB6"/>
    <w:rsid w:val="008F1047"/>
    <w:rsid w:val="008F12E5"/>
    <w:rsid w:val="008F1747"/>
    <w:rsid w:val="008F2A65"/>
    <w:rsid w:val="008F3877"/>
    <w:rsid w:val="008F6A7B"/>
    <w:rsid w:val="00900E86"/>
    <w:rsid w:val="00902AF8"/>
    <w:rsid w:val="00903474"/>
    <w:rsid w:val="00904725"/>
    <w:rsid w:val="00911126"/>
    <w:rsid w:val="00913F20"/>
    <w:rsid w:val="00914FFF"/>
    <w:rsid w:val="00922983"/>
    <w:rsid w:val="00926E30"/>
    <w:rsid w:val="00930147"/>
    <w:rsid w:val="0093413E"/>
    <w:rsid w:val="0093560C"/>
    <w:rsid w:val="00937B6B"/>
    <w:rsid w:val="00942142"/>
    <w:rsid w:val="00942314"/>
    <w:rsid w:val="009426C4"/>
    <w:rsid w:val="009430FC"/>
    <w:rsid w:val="009512EC"/>
    <w:rsid w:val="00957343"/>
    <w:rsid w:val="009636BB"/>
    <w:rsid w:val="009664A9"/>
    <w:rsid w:val="00966D4C"/>
    <w:rsid w:val="00974374"/>
    <w:rsid w:val="00975153"/>
    <w:rsid w:val="0097777A"/>
    <w:rsid w:val="00983684"/>
    <w:rsid w:val="009839BD"/>
    <w:rsid w:val="00997D1C"/>
    <w:rsid w:val="009A2AF6"/>
    <w:rsid w:val="009A2D67"/>
    <w:rsid w:val="009A31A8"/>
    <w:rsid w:val="009A7419"/>
    <w:rsid w:val="009B2414"/>
    <w:rsid w:val="009B3E7A"/>
    <w:rsid w:val="009C310A"/>
    <w:rsid w:val="009C4288"/>
    <w:rsid w:val="009C5C80"/>
    <w:rsid w:val="009D2772"/>
    <w:rsid w:val="009D74E9"/>
    <w:rsid w:val="009E24C0"/>
    <w:rsid w:val="009E2D86"/>
    <w:rsid w:val="009E3138"/>
    <w:rsid w:val="009E660A"/>
    <w:rsid w:val="009E755D"/>
    <w:rsid w:val="009F07A2"/>
    <w:rsid w:val="009F1658"/>
    <w:rsid w:val="009F1D70"/>
    <w:rsid w:val="009F27AD"/>
    <w:rsid w:val="009F3679"/>
    <w:rsid w:val="009F3E7B"/>
    <w:rsid w:val="009F4B2B"/>
    <w:rsid w:val="009F6CFD"/>
    <w:rsid w:val="009F7952"/>
    <w:rsid w:val="00A01328"/>
    <w:rsid w:val="00A017FF"/>
    <w:rsid w:val="00A03D1A"/>
    <w:rsid w:val="00A063E5"/>
    <w:rsid w:val="00A12148"/>
    <w:rsid w:val="00A230B5"/>
    <w:rsid w:val="00A27AA8"/>
    <w:rsid w:val="00A3211C"/>
    <w:rsid w:val="00A3364E"/>
    <w:rsid w:val="00A33D25"/>
    <w:rsid w:val="00A34CED"/>
    <w:rsid w:val="00A35FCA"/>
    <w:rsid w:val="00A42E45"/>
    <w:rsid w:val="00A42F55"/>
    <w:rsid w:val="00A5227C"/>
    <w:rsid w:val="00A523F9"/>
    <w:rsid w:val="00A53FE7"/>
    <w:rsid w:val="00A55B77"/>
    <w:rsid w:val="00A61504"/>
    <w:rsid w:val="00A626B2"/>
    <w:rsid w:val="00A62DA8"/>
    <w:rsid w:val="00A64D8F"/>
    <w:rsid w:val="00A65839"/>
    <w:rsid w:val="00A67BBC"/>
    <w:rsid w:val="00A73FBC"/>
    <w:rsid w:val="00A7505D"/>
    <w:rsid w:val="00A75633"/>
    <w:rsid w:val="00A76152"/>
    <w:rsid w:val="00A76A16"/>
    <w:rsid w:val="00A84269"/>
    <w:rsid w:val="00A8578D"/>
    <w:rsid w:val="00A85A6B"/>
    <w:rsid w:val="00A85D64"/>
    <w:rsid w:val="00A85ED2"/>
    <w:rsid w:val="00A85F0F"/>
    <w:rsid w:val="00A90973"/>
    <w:rsid w:val="00A95743"/>
    <w:rsid w:val="00AA26E2"/>
    <w:rsid w:val="00AA3B38"/>
    <w:rsid w:val="00AA3CF7"/>
    <w:rsid w:val="00AA5D90"/>
    <w:rsid w:val="00AB22FE"/>
    <w:rsid w:val="00AB6808"/>
    <w:rsid w:val="00AB774E"/>
    <w:rsid w:val="00AC5657"/>
    <w:rsid w:val="00AD0530"/>
    <w:rsid w:val="00AD1D95"/>
    <w:rsid w:val="00AE571C"/>
    <w:rsid w:val="00AE7985"/>
    <w:rsid w:val="00AF1646"/>
    <w:rsid w:val="00AF34EE"/>
    <w:rsid w:val="00AF4354"/>
    <w:rsid w:val="00AF74C3"/>
    <w:rsid w:val="00AF798C"/>
    <w:rsid w:val="00B00291"/>
    <w:rsid w:val="00B0122C"/>
    <w:rsid w:val="00B017B7"/>
    <w:rsid w:val="00B01E2A"/>
    <w:rsid w:val="00B045B5"/>
    <w:rsid w:val="00B077A5"/>
    <w:rsid w:val="00B10DE5"/>
    <w:rsid w:val="00B14C19"/>
    <w:rsid w:val="00B177E3"/>
    <w:rsid w:val="00B20337"/>
    <w:rsid w:val="00B20B82"/>
    <w:rsid w:val="00B26813"/>
    <w:rsid w:val="00B31433"/>
    <w:rsid w:val="00B317E3"/>
    <w:rsid w:val="00B342E5"/>
    <w:rsid w:val="00B40F2A"/>
    <w:rsid w:val="00B41719"/>
    <w:rsid w:val="00B41AA2"/>
    <w:rsid w:val="00B45526"/>
    <w:rsid w:val="00B568ED"/>
    <w:rsid w:val="00B57317"/>
    <w:rsid w:val="00B650FC"/>
    <w:rsid w:val="00B65C58"/>
    <w:rsid w:val="00B67680"/>
    <w:rsid w:val="00B7256C"/>
    <w:rsid w:val="00B72D92"/>
    <w:rsid w:val="00B826DA"/>
    <w:rsid w:val="00B873F5"/>
    <w:rsid w:val="00B92944"/>
    <w:rsid w:val="00B93575"/>
    <w:rsid w:val="00B95D10"/>
    <w:rsid w:val="00BA3715"/>
    <w:rsid w:val="00BA6E1C"/>
    <w:rsid w:val="00BB0F81"/>
    <w:rsid w:val="00BB3668"/>
    <w:rsid w:val="00BC2AAC"/>
    <w:rsid w:val="00BC4DCF"/>
    <w:rsid w:val="00BD471C"/>
    <w:rsid w:val="00BE201E"/>
    <w:rsid w:val="00BE4B16"/>
    <w:rsid w:val="00BE55F8"/>
    <w:rsid w:val="00BE7D63"/>
    <w:rsid w:val="00BF0B2B"/>
    <w:rsid w:val="00BF6307"/>
    <w:rsid w:val="00BF739B"/>
    <w:rsid w:val="00C018CF"/>
    <w:rsid w:val="00C01DB3"/>
    <w:rsid w:val="00C10961"/>
    <w:rsid w:val="00C11716"/>
    <w:rsid w:val="00C12078"/>
    <w:rsid w:val="00C146F5"/>
    <w:rsid w:val="00C154E9"/>
    <w:rsid w:val="00C15D00"/>
    <w:rsid w:val="00C17F99"/>
    <w:rsid w:val="00C20425"/>
    <w:rsid w:val="00C22E47"/>
    <w:rsid w:val="00C23A90"/>
    <w:rsid w:val="00C23DE8"/>
    <w:rsid w:val="00C24FFD"/>
    <w:rsid w:val="00C25D24"/>
    <w:rsid w:val="00C303A5"/>
    <w:rsid w:val="00C31CD0"/>
    <w:rsid w:val="00C35B2C"/>
    <w:rsid w:val="00C440B2"/>
    <w:rsid w:val="00C50716"/>
    <w:rsid w:val="00C5330D"/>
    <w:rsid w:val="00C600D1"/>
    <w:rsid w:val="00C61C43"/>
    <w:rsid w:val="00C651A7"/>
    <w:rsid w:val="00C7383C"/>
    <w:rsid w:val="00C76ED3"/>
    <w:rsid w:val="00C82B40"/>
    <w:rsid w:val="00C85537"/>
    <w:rsid w:val="00C909D9"/>
    <w:rsid w:val="00C95CF0"/>
    <w:rsid w:val="00CA133C"/>
    <w:rsid w:val="00CA13DD"/>
    <w:rsid w:val="00CA15AB"/>
    <w:rsid w:val="00CA68BE"/>
    <w:rsid w:val="00CA68F3"/>
    <w:rsid w:val="00CA6FB7"/>
    <w:rsid w:val="00CB0721"/>
    <w:rsid w:val="00CB0818"/>
    <w:rsid w:val="00CB4301"/>
    <w:rsid w:val="00CB53E4"/>
    <w:rsid w:val="00CC1A00"/>
    <w:rsid w:val="00CC4390"/>
    <w:rsid w:val="00CC57C5"/>
    <w:rsid w:val="00CC6ACA"/>
    <w:rsid w:val="00CC6D6A"/>
    <w:rsid w:val="00CC7EAF"/>
    <w:rsid w:val="00CD04EF"/>
    <w:rsid w:val="00CD17CD"/>
    <w:rsid w:val="00CD63CC"/>
    <w:rsid w:val="00CD6B8D"/>
    <w:rsid w:val="00CE136D"/>
    <w:rsid w:val="00CE22F1"/>
    <w:rsid w:val="00CE37A3"/>
    <w:rsid w:val="00CF0DF5"/>
    <w:rsid w:val="00CF1456"/>
    <w:rsid w:val="00CF67C3"/>
    <w:rsid w:val="00CF7E15"/>
    <w:rsid w:val="00D058F0"/>
    <w:rsid w:val="00D06492"/>
    <w:rsid w:val="00D13282"/>
    <w:rsid w:val="00D15A11"/>
    <w:rsid w:val="00D17191"/>
    <w:rsid w:val="00D26E84"/>
    <w:rsid w:val="00D30253"/>
    <w:rsid w:val="00D30AB4"/>
    <w:rsid w:val="00D32114"/>
    <w:rsid w:val="00D32E0D"/>
    <w:rsid w:val="00D34D63"/>
    <w:rsid w:val="00D35CA8"/>
    <w:rsid w:val="00D36494"/>
    <w:rsid w:val="00D4036D"/>
    <w:rsid w:val="00D46B54"/>
    <w:rsid w:val="00D47F91"/>
    <w:rsid w:val="00D538E7"/>
    <w:rsid w:val="00D6090E"/>
    <w:rsid w:val="00D61C5B"/>
    <w:rsid w:val="00D62150"/>
    <w:rsid w:val="00D66F18"/>
    <w:rsid w:val="00D709AF"/>
    <w:rsid w:val="00D72CE8"/>
    <w:rsid w:val="00D74204"/>
    <w:rsid w:val="00D74273"/>
    <w:rsid w:val="00D74ECE"/>
    <w:rsid w:val="00D80B81"/>
    <w:rsid w:val="00D84A8E"/>
    <w:rsid w:val="00D9311F"/>
    <w:rsid w:val="00D96D63"/>
    <w:rsid w:val="00D975DD"/>
    <w:rsid w:val="00DA0C9C"/>
    <w:rsid w:val="00DA72B7"/>
    <w:rsid w:val="00DB4163"/>
    <w:rsid w:val="00DB4FDC"/>
    <w:rsid w:val="00DC045E"/>
    <w:rsid w:val="00DC2B05"/>
    <w:rsid w:val="00DD17BF"/>
    <w:rsid w:val="00DD2AF7"/>
    <w:rsid w:val="00DE4DBA"/>
    <w:rsid w:val="00DE7370"/>
    <w:rsid w:val="00DF0AE8"/>
    <w:rsid w:val="00E01FC7"/>
    <w:rsid w:val="00E0665A"/>
    <w:rsid w:val="00E10B91"/>
    <w:rsid w:val="00E125D7"/>
    <w:rsid w:val="00E2177D"/>
    <w:rsid w:val="00E24423"/>
    <w:rsid w:val="00E245C6"/>
    <w:rsid w:val="00E24D34"/>
    <w:rsid w:val="00E35508"/>
    <w:rsid w:val="00E371A3"/>
    <w:rsid w:val="00E4251F"/>
    <w:rsid w:val="00E42CF5"/>
    <w:rsid w:val="00E47A7C"/>
    <w:rsid w:val="00E51480"/>
    <w:rsid w:val="00E57FA2"/>
    <w:rsid w:val="00E678FC"/>
    <w:rsid w:val="00E74E03"/>
    <w:rsid w:val="00E74EC3"/>
    <w:rsid w:val="00E770FB"/>
    <w:rsid w:val="00E7737A"/>
    <w:rsid w:val="00E81016"/>
    <w:rsid w:val="00E81E2E"/>
    <w:rsid w:val="00E82C06"/>
    <w:rsid w:val="00E8344C"/>
    <w:rsid w:val="00E8460E"/>
    <w:rsid w:val="00E90974"/>
    <w:rsid w:val="00E91C83"/>
    <w:rsid w:val="00EA16B0"/>
    <w:rsid w:val="00EA6CAD"/>
    <w:rsid w:val="00EB1DCF"/>
    <w:rsid w:val="00EB29B2"/>
    <w:rsid w:val="00EC5AA7"/>
    <w:rsid w:val="00ED329B"/>
    <w:rsid w:val="00ED6686"/>
    <w:rsid w:val="00ED7E01"/>
    <w:rsid w:val="00EE0B55"/>
    <w:rsid w:val="00EE2703"/>
    <w:rsid w:val="00EE4E65"/>
    <w:rsid w:val="00EE5BA9"/>
    <w:rsid w:val="00EE7811"/>
    <w:rsid w:val="00EF19E9"/>
    <w:rsid w:val="00EF2D9A"/>
    <w:rsid w:val="00EF7430"/>
    <w:rsid w:val="00F05486"/>
    <w:rsid w:val="00F21548"/>
    <w:rsid w:val="00F2425D"/>
    <w:rsid w:val="00F278BC"/>
    <w:rsid w:val="00F303BD"/>
    <w:rsid w:val="00F308E5"/>
    <w:rsid w:val="00F32B8A"/>
    <w:rsid w:val="00F35B87"/>
    <w:rsid w:val="00F35F3D"/>
    <w:rsid w:val="00F4121E"/>
    <w:rsid w:val="00F442F0"/>
    <w:rsid w:val="00F46DCD"/>
    <w:rsid w:val="00F56FDC"/>
    <w:rsid w:val="00F60579"/>
    <w:rsid w:val="00F65AB8"/>
    <w:rsid w:val="00F6781E"/>
    <w:rsid w:val="00F71A90"/>
    <w:rsid w:val="00F72BA7"/>
    <w:rsid w:val="00F76BAA"/>
    <w:rsid w:val="00F77FB1"/>
    <w:rsid w:val="00F91913"/>
    <w:rsid w:val="00F94283"/>
    <w:rsid w:val="00F96D10"/>
    <w:rsid w:val="00FA14E1"/>
    <w:rsid w:val="00FA35E3"/>
    <w:rsid w:val="00FA36B2"/>
    <w:rsid w:val="00FA4F4D"/>
    <w:rsid w:val="00FB3CAC"/>
    <w:rsid w:val="00FB5862"/>
    <w:rsid w:val="00FC2E21"/>
    <w:rsid w:val="00FC31A8"/>
    <w:rsid w:val="00FC59C8"/>
    <w:rsid w:val="00FE082A"/>
    <w:rsid w:val="00FE4C22"/>
    <w:rsid w:val="00FE68F8"/>
    <w:rsid w:val="00FF0E53"/>
    <w:rsid w:val="00FF4A5C"/>
    <w:rsid w:val="00FF5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846AD-F4AF-4E76-8407-B8B9EB5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aliases w:val="2,Akapit z listą BS,H&amp;P List Paragraph,Strip"/>
    <w:basedOn w:val="Normal"/>
    <w:link w:val="ListParagraphChar"/>
    <w:uiPriority w:val="34"/>
    <w:qFormat/>
    <w:rsid w:val="006E334B"/>
    <w:pPr>
      <w:ind w:left="720"/>
      <w:contextualSpacing/>
    </w:pPr>
  </w:style>
  <w:style w:type="character" w:customStyle="1" w:styleId="apple-converted-space">
    <w:name w:val="apple-converted-space"/>
    <w:basedOn w:val="DefaultParagraphFont"/>
    <w:rsid w:val="00C154E9"/>
  </w:style>
  <w:style w:type="paragraph" w:styleId="BalloonText">
    <w:name w:val="Balloon Text"/>
    <w:basedOn w:val="Normal"/>
    <w:link w:val="BalloonTextChar"/>
    <w:uiPriority w:val="99"/>
    <w:semiHidden/>
    <w:unhideWhenUsed/>
    <w:rsid w:val="0066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8D"/>
    <w:rPr>
      <w:rFonts w:ascii="Segoe UI" w:hAnsi="Segoe UI" w:cs="Segoe UI"/>
      <w:sz w:val="18"/>
      <w:szCs w:val="18"/>
    </w:rPr>
  </w:style>
  <w:style w:type="paragraph" w:styleId="NoSpacing">
    <w:name w:val="No Spacing"/>
    <w:uiPriority w:val="1"/>
    <w:qFormat/>
    <w:rsid w:val="00DB4FDC"/>
    <w:pPr>
      <w:widowControl w:val="0"/>
      <w:spacing w:after="0" w:line="240" w:lineRule="auto"/>
    </w:pPr>
    <w:rPr>
      <w:rFonts w:ascii="Calibri" w:eastAsia="Calibri" w:hAnsi="Calibri" w:cs="Times New Roman"/>
      <w:lang w:val="en-US"/>
    </w:rPr>
  </w:style>
  <w:style w:type="paragraph" w:customStyle="1" w:styleId="tv213">
    <w:name w:val="tv213"/>
    <w:basedOn w:val="Normal"/>
    <w:rsid w:val="0078362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911126"/>
  </w:style>
  <w:style w:type="paragraph" w:styleId="BodyTextIndent">
    <w:name w:val="Body Text Indent"/>
    <w:basedOn w:val="Normal"/>
    <w:link w:val="BodyTextIndentChar"/>
    <w:uiPriority w:val="99"/>
    <w:unhideWhenUsed/>
    <w:rsid w:val="0091112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11126"/>
    <w:rPr>
      <w:rFonts w:ascii="Times New Roman" w:eastAsia="Times New Roman" w:hAnsi="Times New Roman" w:cs="Times New Roman"/>
      <w:sz w:val="24"/>
      <w:szCs w:val="24"/>
    </w:rPr>
  </w:style>
  <w:style w:type="character" w:customStyle="1" w:styleId="f">
    <w:name w:val="f"/>
    <w:basedOn w:val="DefaultParagraphFont"/>
    <w:rsid w:val="00911126"/>
  </w:style>
  <w:style w:type="character" w:customStyle="1" w:styleId="spelle">
    <w:name w:val="spelle"/>
    <w:basedOn w:val="DefaultParagraphFont"/>
    <w:rsid w:val="00E81E2E"/>
  </w:style>
  <w:style w:type="paragraph" w:customStyle="1" w:styleId="liknoteik">
    <w:name w:val="lik_noteik"/>
    <w:basedOn w:val="Normal"/>
    <w:rsid w:val="00F56F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045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B2F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3F6ED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3F6ED7"/>
    <w:rPr>
      <w:rFonts w:ascii="Times New Roman" w:eastAsia="Times New Roman" w:hAnsi="Times New Roman" w:cs="Times New Roman"/>
      <w:sz w:val="20"/>
      <w:szCs w:val="20"/>
      <w:lang w:eastAsia="lv-LV"/>
    </w:rPr>
  </w:style>
  <w:style w:type="character" w:styleId="FootnoteReference">
    <w:name w:val="footnote reference"/>
    <w:aliases w:val="Footnote Reference Number"/>
    <w:basedOn w:val="DefaultParagraphFont"/>
    <w:uiPriority w:val="99"/>
    <w:unhideWhenUsed/>
    <w:rsid w:val="003F6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4709">
      <w:bodyDiv w:val="1"/>
      <w:marLeft w:val="0"/>
      <w:marRight w:val="0"/>
      <w:marTop w:val="0"/>
      <w:marBottom w:val="0"/>
      <w:divBdr>
        <w:top w:val="none" w:sz="0" w:space="0" w:color="auto"/>
        <w:left w:val="none" w:sz="0" w:space="0" w:color="auto"/>
        <w:bottom w:val="none" w:sz="0" w:space="0" w:color="auto"/>
        <w:right w:val="none" w:sz="0" w:space="0" w:color="auto"/>
      </w:divBdr>
    </w:div>
    <w:div w:id="294257559">
      <w:bodyDiv w:val="1"/>
      <w:marLeft w:val="0"/>
      <w:marRight w:val="0"/>
      <w:marTop w:val="0"/>
      <w:marBottom w:val="0"/>
      <w:divBdr>
        <w:top w:val="none" w:sz="0" w:space="0" w:color="auto"/>
        <w:left w:val="none" w:sz="0" w:space="0" w:color="auto"/>
        <w:bottom w:val="none" w:sz="0" w:space="0" w:color="auto"/>
        <w:right w:val="none" w:sz="0" w:space="0" w:color="auto"/>
      </w:divBdr>
    </w:div>
    <w:div w:id="372734196">
      <w:bodyDiv w:val="1"/>
      <w:marLeft w:val="0"/>
      <w:marRight w:val="0"/>
      <w:marTop w:val="0"/>
      <w:marBottom w:val="0"/>
      <w:divBdr>
        <w:top w:val="none" w:sz="0" w:space="0" w:color="auto"/>
        <w:left w:val="none" w:sz="0" w:space="0" w:color="auto"/>
        <w:bottom w:val="none" w:sz="0" w:space="0" w:color="auto"/>
        <w:right w:val="none" w:sz="0" w:space="0" w:color="auto"/>
      </w:divBdr>
      <w:divsChild>
        <w:div w:id="886725041">
          <w:marLeft w:val="0"/>
          <w:marRight w:val="0"/>
          <w:marTop w:val="0"/>
          <w:marBottom w:val="0"/>
          <w:divBdr>
            <w:top w:val="none" w:sz="0" w:space="0" w:color="auto"/>
            <w:left w:val="none" w:sz="0" w:space="0" w:color="auto"/>
            <w:bottom w:val="none" w:sz="0" w:space="0" w:color="auto"/>
            <w:right w:val="none" w:sz="0" w:space="0" w:color="auto"/>
          </w:divBdr>
        </w:div>
        <w:div w:id="153419860">
          <w:marLeft w:val="0"/>
          <w:marRight w:val="0"/>
          <w:marTop w:val="0"/>
          <w:marBottom w:val="0"/>
          <w:divBdr>
            <w:top w:val="none" w:sz="0" w:space="0" w:color="auto"/>
            <w:left w:val="none" w:sz="0" w:space="0" w:color="auto"/>
            <w:bottom w:val="none" w:sz="0" w:space="0" w:color="auto"/>
            <w:right w:val="none" w:sz="0" w:space="0" w:color="auto"/>
          </w:divBdr>
        </w:div>
      </w:divsChild>
    </w:div>
    <w:div w:id="383065840">
      <w:bodyDiv w:val="1"/>
      <w:marLeft w:val="0"/>
      <w:marRight w:val="0"/>
      <w:marTop w:val="0"/>
      <w:marBottom w:val="0"/>
      <w:divBdr>
        <w:top w:val="none" w:sz="0" w:space="0" w:color="auto"/>
        <w:left w:val="none" w:sz="0" w:space="0" w:color="auto"/>
        <w:bottom w:val="none" w:sz="0" w:space="0" w:color="auto"/>
        <w:right w:val="none" w:sz="0" w:space="0" w:color="auto"/>
      </w:divBdr>
      <w:divsChild>
        <w:div w:id="1684627326">
          <w:marLeft w:val="0"/>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sChild>
    </w:div>
    <w:div w:id="428355712">
      <w:bodyDiv w:val="1"/>
      <w:marLeft w:val="0"/>
      <w:marRight w:val="0"/>
      <w:marTop w:val="0"/>
      <w:marBottom w:val="0"/>
      <w:divBdr>
        <w:top w:val="none" w:sz="0" w:space="0" w:color="auto"/>
        <w:left w:val="none" w:sz="0" w:space="0" w:color="auto"/>
        <w:bottom w:val="none" w:sz="0" w:space="0" w:color="auto"/>
        <w:right w:val="none" w:sz="0" w:space="0" w:color="auto"/>
      </w:divBdr>
    </w:div>
    <w:div w:id="691297369">
      <w:bodyDiv w:val="1"/>
      <w:marLeft w:val="0"/>
      <w:marRight w:val="0"/>
      <w:marTop w:val="0"/>
      <w:marBottom w:val="0"/>
      <w:divBdr>
        <w:top w:val="none" w:sz="0" w:space="0" w:color="auto"/>
        <w:left w:val="none" w:sz="0" w:space="0" w:color="auto"/>
        <w:bottom w:val="none" w:sz="0" w:space="0" w:color="auto"/>
        <w:right w:val="none" w:sz="0" w:space="0" w:color="auto"/>
      </w:divBdr>
    </w:div>
    <w:div w:id="775564789">
      <w:bodyDiv w:val="1"/>
      <w:marLeft w:val="0"/>
      <w:marRight w:val="0"/>
      <w:marTop w:val="0"/>
      <w:marBottom w:val="0"/>
      <w:divBdr>
        <w:top w:val="none" w:sz="0" w:space="0" w:color="auto"/>
        <w:left w:val="none" w:sz="0" w:space="0" w:color="auto"/>
        <w:bottom w:val="none" w:sz="0" w:space="0" w:color="auto"/>
        <w:right w:val="none" w:sz="0" w:space="0" w:color="auto"/>
      </w:divBdr>
    </w:div>
    <w:div w:id="1125387387">
      <w:bodyDiv w:val="1"/>
      <w:marLeft w:val="0"/>
      <w:marRight w:val="0"/>
      <w:marTop w:val="0"/>
      <w:marBottom w:val="0"/>
      <w:divBdr>
        <w:top w:val="none" w:sz="0" w:space="0" w:color="auto"/>
        <w:left w:val="none" w:sz="0" w:space="0" w:color="auto"/>
        <w:bottom w:val="none" w:sz="0" w:space="0" w:color="auto"/>
        <w:right w:val="none" w:sz="0" w:space="0" w:color="auto"/>
      </w:divBdr>
    </w:div>
    <w:div w:id="1200164300">
      <w:bodyDiv w:val="1"/>
      <w:marLeft w:val="0"/>
      <w:marRight w:val="0"/>
      <w:marTop w:val="0"/>
      <w:marBottom w:val="0"/>
      <w:divBdr>
        <w:top w:val="none" w:sz="0" w:space="0" w:color="auto"/>
        <w:left w:val="none" w:sz="0" w:space="0" w:color="auto"/>
        <w:bottom w:val="none" w:sz="0" w:space="0" w:color="auto"/>
        <w:right w:val="none" w:sz="0" w:space="0" w:color="auto"/>
      </w:divBdr>
      <w:divsChild>
        <w:div w:id="743793455">
          <w:marLeft w:val="0"/>
          <w:marRight w:val="0"/>
          <w:marTop w:val="0"/>
          <w:marBottom w:val="0"/>
          <w:divBdr>
            <w:top w:val="none" w:sz="0" w:space="0" w:color="auto"/>
            <w:left w:val="none" w:sz="0" w:space="0" w:color="auto"/>
            <w:bottom w:val="none" w:sz="0" w:space="0" w:color="auto"/>
            <w:right w:val="none" w:sz="0" w:space="0" w:color="auto"/>
          </w:divBdr>
        </w:div>
        <w:div w:id="904221463">
          <w:marLeft w:val="0"/>
          <w:marRight w:val="0"/>
          <w:marTop w:val="0"/>
          <w:marBottom w:val="0"/>
          <w:divBdr>
            <w:top w:val="none" w:sz="0" w:space="0" w:color="auto"/>
            <w:left w:val="none" w:sz="0" w:space="0" w:color="auto"/>
            <w:bottom w:val="none" w:sz="0" w:space="0" w:color="auto"/>
            <w:right w:val="none" w:sz="0" w:space="0" w:color="auto"/>
          </w:divBdr>
        </w:div>
      </w:divsChild>
    </w:div>
    <w:div w:id="1668094351">
      <w:bodyDiv w:val="1"/>
      <w:marLeft w:val="0"/>
      <w:marRight w:val="0"/>
      <w:marTop w:val="0"/>
      <w:marBottom w:val="0"/>
      <w:divBdr>
        <w:top w:val="none" w:sz="0" w:space="0" w:color="auto"/>
        <w:left w:val="none" w:sz="0" w:space="0" w:color="auto"/>
        <w:bottom w:val="none" w:sz="0" w:space="0" w:color="auto"/>
        <w:right w:val="none" w:sz="0" w:space="0" w:color="auto"/>
      </w:divBdr>
    </w:div>
    <w:div w:id="1866552783">
      <w:bodyDiv w:val="1"/>
      <w:marLeft w:val="0"/>
      <w:marRight w:val="0"/>
      <w:marTop w:val="0"/>
      <w:marBottom w:val="0"/>
      <w:divBdr>
        <w:top w:val="none" w:sz="0" w:space="0" w:color="auto"/>
        <w:left w:val="none" w:sz="0" w:space="0" w:color="auto"/>
        <w:bottom w:val="none" w:sz="0" w:space="0" w:color="auto"/>
        <w:right w:val="none" w:sz="0" w:space="0" w:color="auto"/>
      </w:divBdr>
    </w:div>
    <w:div w:id="1887452985">
      <w:bodyDiv w:val="1"/>
      <w:marLeft w:val="0"/>
      <w:marRight w:val="0"/>
      <w:marTop w:val="0"/>
      <w:marBottom w:val="0"/>
      <w:divBdr>
        <w:top w:val="none" w:sz="0" w:space="0" w:color="auto"/>
        <w:left w:val="none" w:sz="0" w:space="0" w:color="auto"/>
        <w:bottom w:val="none" w:sz="0" w:space="0" w:color="auto"/>
        <w:right w:val="none" w:sz="0" w:space="0" w:color="auto"/>
      </w:divBdr>
    </w:div>
    <w:div w:id="1912813656">
      <w:bodyDiv w:val="1"/>
      <w:marLeft w:val="0"/>
      <w:marRight w:val="0"/>
      <w:marTop w:val="0"/>
      <w:marBottom w:val="0"/>
      <w:divBdr>
        <w:top w:val="none" w:sz="0" w:space="0" w:color="auto"/>
        <w:left w:val="none" w:sz="0" w:space="0" w:color="auto"/>
        <w:bottom w:val="none" w:sz="0" w:space="0" w:color="auto"/>
        <w:right w:val="none" w:sz="0" w:space="0" w:color="auto"/>
      </w:divBdr>
      <w:divsChild>
        <w:div w:id="233979059">
          <w:marLeft w:val="0"/>
          <w:marRight w:val="0"/>
          <w:marTop w:val="0"/>
          <w:marBottom w:val="0"/>
          <w:divBdr>
            <w:top w:val="none" w:sz="0" w:space="0" w:color="auto"/>
            <w:left w:val="none" w:sz="0" w:space="0" w:color="auto"/>
            <w:bottom w:val="none" w:sz="0" w:space="0" w:color="auto"/>
            <w:right w:val="none" w:sz="0" w:space="0" w:color="auto"/>
          </w:divBdr>
        </w:div>
        <w:div w:id="12328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9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strod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4B4F-E311-4954-8E4E-7BA85403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15292</Words>
  <Characters>8718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23963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Alda Strode</dc:creator>
  <dc:description>67219602, alda.strode@iem.gov.lv</dc:description>
  <cp:lastModifiedBy>Ieva Potjomkina</cp:lastModifiedBy>
  <cp:revision>4</cp:revision>
  <cp:lastPrinted>2019-08-07T12:05:00Z</cp:lastPrinted>
  <dcterms:created xsi:type="dcterms:W3CDTF">2019-12-02T10:52:00Z</dcterms:created>
  <dcterms:modified xsi:type="dcterms:W3CDTF">2019-12-02T10:55:00Z</dcterms:modified>
</cp:coreProperties>
</file>