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C3" w:rsidRPr="00215EA9" w:rsidRDefault="003530C3" w:rsidP="003530C3">
      <w:pPr>
        <w:shd w:val="clear" w:color="auto" w:fill="FFFFFF"/>
        <w:spacing w:before="130" w:line="260" w:lineRule="exact"/>
        <w:jc w:val="center"/>
        <w:rPr>
          <w:b/>
          <w:bCs/>
          <w:sz w:val="28"/>
          <w:szCs w:val="28"/>
        </w:rPr>
      </w:pPr>
      <w:r w:rsidRPr="00215EA9">
        <w:rPr>
          <w:b/>
          <w:sz w:val="28"/>
          <w:szCs w:val="28"/>
        </w:rPr>
        <w:t xml:space="preserve">Ministru kabineta noteikumu projekta </w:t>
      </w:r>
      <w:r w:rsidR="00576B88" w:rsidRPr="00215EA9">
        <w:rPr>
          <w:b/>
          <w:sz w:val="28"/>
          <w:szCs w:val="28"/>
        </w:rPr>
        <w:t>“</w:t>
      </w:r>
      <w:r w:rsidR="006E0166" w:rsidRPr="00215EA9">
        <w:rPr>
          <w:b/>
          <w:sz w:val="28"/>
          <w:szCs w:val="28"/>
        </w:rPr>
        <w:t xml:space="preserve">Šautuvju izveidošanas un darbības, kā arī </w:t>
      </w:r>
      <w:proofErr w:type="spellStart"/>
      <w:r w:rsidR="006E0166" w:rsidRPr="00215EA9">
        <w:rPr>
          <w:b/>
          <w:sz w:val="28"/>
          <w:szCs w:val="28"/>
        </w:rPr>
        <w:t>treniņšaušanas</w:t>
      </w:r>
      <w:proofErr w:type="spellEnd"/>
      <w:r w:rsidR="006E0166" w:rsidRPr="00215EA9">
        <w:rPr>
          <w:b/>
          <w:sz w:val="28"/>
          <w:szCs w:val="28"/>
        </w:rPr>
        <w:t xml:space="preserve"> un šaušanas sporta sacensību norises un drošības noteikumi</w:t>
      </w:r>
      <w:r w:rsidR="0026658A" w:rsidRPr="00215EA9">
        <w:rPr>
          <w:b/>
          <w:sz w:val="28"/>
          <w:szCs w:val="28"/>
        </w:rPr>
        <w:t>”</w:t>
      </w:r>
      <w:r w:rsidRPr="00215EA9">
        <w:rPr>
          <w:b/>
          <w:bCs/>
          <w:sz w:val="28"/>
          <w:szCs w:val="28"/>
        </w:rPr>
        <w:t xml:space="preserve"> sākotnējās ietekmes novērtējuma ziņojums (anotācija)</w:t>
      </w:r>
    </w:p>
    <w:p w:rsidR="003530C3" w:rsidRPr="00215EA9" w:rsidRDefault="003530C3"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8"/>
        <w:gridCol w:w="5803"/>
      </w:tblGrid>
      <w:tr w:rsidR="003530C3" w:rsidRPr="00215EA9" w:rsidTr="00F77A6F">
        <w:trPr>
          <w:cantSplit/>
        </w:trPr>
        <w:tc>
          <w:tcPr>
            <w:tcW w:w="9581" w:type="dxa"/>
            <w:gridSpan w:val="2"/>
            <w:shd w:val="clear" w:color="auto" w:fill="FFFFFF"/>
            <w:vAlign w:val="center"/>
            <w:hideMark/>
          </w:tcPr>
          <w:p w:rsidR="003530C3" w:rsidRPr="00215EA9" w:rsidRDefault="003530C3" w:rsidP="00F77A6F">
            <w:pPr>
              <w:jc w:val="center"/>
              <w:rPr>
                <w:b/>
                <w:iCs/>
                <w:sz w:val="28"/>
                <w:szCs w:val="28"/>
                <w:lang w:eastAsia="en-US"/>
              </w:rPr>
            </w:pPr>
            <w:r w:rsidRPr="00215EA9">
              <w:rPr>
                <w:b/>
                <w:iCs/>
                <w:sz w:val="28"/>
                <w:szCs w:val="28"/>
                <w:lang w:eastAsia="en-US"/>
              </w:rPr>
              <w:t>Tiesību akta projekta anotācijas kopsavilkums</w:t>
            </w:r>
          </w:p>
        </w:tc>
      </w:tr>
      <w:tr w:rsidR="00943FC6" w:rsidRPr="00215EA9" w:rsidTr="00F77A6F">
        <w:trPr>
          <w:cantSplit/>
        </w:trPr>
        <w:tc>
          <w:tcPr>
            <w:tcW w:w="3430" w:type="dxa"/>
            <w:shd w:val="clear" w:color="auto" w:fill="FFFFFF"/>
            <w:hideMark/>
          </w:tcPr>
          <w:p w:rsidR="003530C3" w:rsidRPr="00215EA9" w:rsidRDefault="003530C3" w:rsidP="006B57F4">
            <w:pPr>
              <w:rPr>
                <w:iCs/>
                <w:sz w:val="28"/>
                <w:szCs w:val="28"/>
                <w:lang w:eastAsia="en-US"/>
              </w:rPr>
            </w:pPr>
            <w:r w:rsidRPr="00215EA9">
              <w:rPr>
                <w:iCs/>
                <w:sz w:val="28"/>
                <w:szCs w:val="28"/>
                <w:lang w:eastAsia="en-US"/>
              </w:rPr>
              <w:t xml:space="preserve">Mērķis, risinājums un projekta spēkā stāšanās laiks </w:t>
            </w:r>
          </w:p>
        </w:tc>
        <w:tc>
          <w:tcPr>
            <w:tcW w:w="6151" w:type="dxa"/>
            <w:shd w:val="clear" w:color="auto" w:fill="FFFFFF"/>
            <w:hideMark/>
          </w:tcPr>
          <w:p w:rsidR="00866081" w:rsidRPr="000415B0" w:rsidRDefault="000415B0" w:rsidP="006B57F4">
            <w:pPr>
              <w:jc w:val="both"/>
              <w:rPr>
                <w:sz w:val="28"/>
                <w:szCs w:val="28"/>
              </w:rPr>
            </w:pPr>
            <w:r>
              <w:rPr>
                <w:sz w:val="28"/>
                <w:szCs w:val="28"/>
              </w:rPr>
              <w:t>Kopsavilkums nav aizpildāms saskaņā ar Ministru kabineta 2009.gada 15.decembra instrukcijas Nr.19 “Tiesību akta projekta sākotnējās ietekmes izvērtēšanas kārtība” 5.</w:t>
            </w:r>
            <w:r>
              <w:rPr>
                <w:sz w:val="28"/>
                <w:szCs w:val="28"/>
                <w:vertAlign w:val="superscript"/>
              </w:rPr>
              <w:t xml:space="preserve">1 </w:t>
            </w:r>
            <w:r>
              <w:rPr>
                <w:sz w:val="28"/>
                <w:szCs w:val="28"/>
              </w:rPr>
              <w:t>punktu.</w:t>
            </w:r>
          </w:p>
        </w:tc>
      </w:tr>
    </w:tbl>
    <w:p w:rsidR="003530C3" w:rsidRPr="00215EA9" w:rsidRDefault="003530C3" w:rsidP="00E35440">
      <w:pPr>
        <w:pStyle w:val="Title"/>
        <w:spacing w:before="130" w:line="260" w:lineRule="exact"/>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215EA9" w:rsidTr="00F77A6F">
        <w:tc>
          <w:tcPr>
            <w:tcW w:w="5000" w:type="pct"/>
            <w:gridSpan w:val="3"/>
            <w:vAlign w:val="center"/>
            <w:hideMark/>
          </w:tcPr>
          <w:p w:rsidR="003530C3" w:rsidRPr="00215EA9" w:rsidRDefault="003530C3" w:rsidP="00F77A6F">
            <w:pPr>
              <w:jc w:val="center"/>
              <w:rPr>
                <w:b/>
                <w:bCs/>
                <w:sz w:val="28"/>
                <w:szCs w:val="28"/>
              </w:rPr>
            </w:pPr>
            <w:r w:rsidRPr="00215EA9">
              <w:rPr>
                <w:b/>
                <w:bCs/>
                <w:sz w:val="28"/>
                <w:szCs w:val="28"/>
              </w:rPr>
              <w:t>I. Tiesību akta projekta izstrādes nepieciešamība</w:t>
            </w:r>
          </w:p>
        </w:tc>
      </w:tr>
      <w:tr w:rsidR="003530C3" w:rsidRPr="00215EA9" w:rsidTr="00F77A6F">
        <w:tc>
          <w:tcPr>
            <w:tcW w:w="311" w:type="pct"/>
            <w:hideMark/>
          </w:tcPr>
          <w:p w:rsidR="003530C3" w:rsidRPr="00215EA9" w:rsidRDefault="003530C3" w:rsidP="00F77A6F">
            <w:pPr>
              <w:jc w:val="center"/>
              <w:rPr>
                <w:sz w:val="28"/>
                <w:szCs w:val="28"/>
              </w:rPr>
            </w:pPr>
            <w:r w:rsidRPr="00215EA9">
              <w:rPr>
                <w:sz w:val="28"/>
                <w:szCs w:val="28"/>
              </w:rPr>
              <w:t>1.</w:t>
            </w:r>
          </w:p>
        </w:tc>
        <w:tc>
          <w:tcPr>
            <w:tcW w:w="1479" w:type="pct"/>
            <w:hideMark/>
          </w:tcPr>
          <w:p w:rsidR="003530C3" w:rsidRPr="00215EA9" w:rsidRDefault="003530C3" w:rsidP="00F77A6F">
            <w:pPr>
              <w:rPr>
                <w:sz w:val="28"/>
                <w:szCs w:val="28"/>
              </w:rPr>
            </w:pPr>
            <w:r w:rsidRPr="00215EA9">
              <w:rPr>
                <w:sz w:val="28"/>
                <w:szCs w:val="28"/>
              </w:rPr>
              <w:t>Pamatojums</w:t>
            </w:r>
          </w:p>
        </w:tc>
        <w:tc>
          <w:tcPr>
            <w:tcW w:w="3210" w:type="pct"/>
            <w:hideMark/>
          </w:tcPr>
          <w:p w:rsidR="00DD1ECC" w:rsidRPr="00215EA9" w:rsidRDefault="00E0679B" w:rsidP="000D1F33">
            <w:pPr>
              <w:jc w:val="both"/>
              <w:rPr>
                <w:sz w:val="28"/>
                <w:szCs w:val="28"/>
              </w:rPr>
            </w:pPr>
            <w:r w:rsidRPr="00215EA9">
              <w:rPr>
                <w:sz w:val="28"/>
                <w:szCs w:val="28"/>
              </w:rPr>
              <w:t>Ieroč</w:t>
            </w:r>
            <w:r w:rsidR="00FB6504">
              <w:rPr>
                <w:sz w:val="28"/>
                <w:szCs w:val="28"/>
              </w:rPr>
              <w:t>u aprites likuma</w:t>
            </w:r>
            <w:r w:rsidR="000D1F33">
              <w:rPr>
                <w:sz w:val="28"/>
                <w:szCs w:val="28"/>
              </w:rPr>
              <w:t xml:space="preserve"> </w:t>
            </w:r>
            <w:r w:rsidR="000D1F33" w:rsidRPr="00215EA9">
              <w:rPr>
                <w:sz w:val="28"/>
                <w:szCs w:val="28"/>
              </w:rPr>
              <w:t xml:space="preserve">70. panta trešā daļa </w:t>
            </w:r>
            <w:r w:rsidR="000D1F33">
              <w:rPr>
                <w:sz w:val="28"/>
                <w:szCs w:val="28"/>
              </w:rPr>
              <w:t xml:space="preserve">un </w:t>
            </w:r>
            <w:r w:rsidR="000D1F33" w:rsidRPr="00215EA9">
              <w:rPr>
                <w:sz w:val="28"/>
                <w:szCs w:val="28"/>
              </w:rPr>
              <w:t>71.panta desmitā daļa</w:t>
            </w:r>
            <w:r w:rsidR="000D1F33">
              <w:rPr>
                <w:sz w:val="28"/>
                <w:szCs w:val="28"/>
              </w:rPr>
              <w:t>.</w:t>
            </w:r>
            <w:r w:rsidR="000D1F33" w:rsidRPr="00215EA9">
              <w:rPr>
                <w:sz w:val="28"/>
                <w:szCs w:val="28"/>
              </w:rPr>
              <w:t xml:space="preserve"> </w:t>
            </w:r>
          </w:p>
        </w:tc>
      </w:tr>
      <w:tr w:rsidR="003530C3" w:rsidRPr="00215EA9" w:rsidTr="00F77A6F">
        <w:tc>
          <w:tcPr>
            <w:tcW w:w="311" w:type="pct"/>
            <w:hideMark/>
          </w:tcPr>
          <w:p w:rsidR="003530C3" w:rsidRPr="00215EA9" w:rsidRDefault="003530C3" w:rsidP="00F77A6F">
            <w:pPr>
              <w:jc w:val="center"/>
              <w:rPr>
                <w:sz w:val="28"/>
                <w:szCs w:val="28"/>
              </w:rPr>
            </w:pPr>
            <w:r w:rsidRPr="00215EA9">
              <w:rPr>
                <w:sz w:val="28"/>
                <w:szCs w:val="28"/>
              </w:rPr>
              <w:t>2.</w:t>
            </w:r>
          </w:p>
        </w:tc>
        <w:tc>
          <w:tcPr>
            <w:tcW w:w="1479" w:type="pct"/>
            <w:hideMark/>
          </w:tcPr>
          <w:p w:rsidR="005A2A6D" w:rsidRDefault="003530C3" w:rsidP="00F77A6F">
            <w:pPr>
              <w:rPr>
                <w:sz w:val="28"/>
                <w:szCs w:val="28"/>
              </w:rPr>
            </w:pPr>
            <w:r w:rsidRPr="00215EA9">
              <w:rPr>
                <w:sz w:val="28"/>
                <w:szCs w:val="28"/>
              </w:rPr>
              <w:t>Pašreizējā situācija un problēmas, kuru risināšanai tiesību akta projekts izstrādāts, tiesiskā regulējuma mērķis un būtība</w:t>
            </w:r>
          </w:p>
          <w:p w:rsidR="005A2A6D" w:rsidRPr="005A2A6D" w:rsidRDefault="005A2A6D" w:rsidP="005A2A6D">
            <w:pPr>
              <w:rPr>
                <w:sz w:val="28"/>
                <w:szCs w:val="28"/>
              </w:rPr>
            </w:pPr>
          </w:p>
          <w:p w:rsidR="005A2A6D" w:rsidRPr="005A2A6D" w:rsidRDefault="005A2A6D" w:rsidP="005A2A6D">
            <w:pPr>
              <w:rPr>
                <w:sz w:val="28"/>
                <w:szCs w:val="28"/>
              </w:rPr>
            </w:pPr>
          </w:p>
          <w:p w:rsidR="005A2A6D" w:rsidRPr="005A2A6D" w:rsidRDefault="005A2A6D" w:rsidP="005A2A6D">
            <w:pPr>
              <w:rPr>
                <w:sz w:val="28"/>
                <w:szCs w:val="28"/>
              </w:rPr>
            </w:pPr>
          </w:p>
          <w:p w:rsidR="005A2A6D" w:rsidRDefault="005A2A6D" w:rsidP="005A2A6D">
            <w:pPr>
              <w:rPr>
                <w:sz w:val="28"/>
                <w:szCs w:val="28"/>
              </w:rPr>
            </w:pPr>
          </w:p>
          <w:p w:rsidR="005A2A6D" w:rsidRDefault="005A2A6D" w:rsidP="005A2A6D">
            <w:pPr>
              <w:jc w:val="center"/>
              <w:rPr>
                <w:sz w:val="28"/>
                <w:szCs w:val="28"/>
              </w:rPr>
            </w:pPr>
          </w:p>
          <w:p w:rsidR="005A2A6D" w:rsidRPr="005A2A6D" w:rsidRDefault="005A2A6D" w:rsidP="005A2A6D">
            <w:pPr>
              <w:rPr>
                <w:sz w:val="28"/>
                <w:szCs w:val="28"/>
              </w:rPr>
            </w:pPr>
          </w:p>
          <w:p w:rsidR="005A2A6D" w:rsidRPr="005A2A6D" w:rsidRDefault="005A2A6D" w:rsidP="005A2A6D">
            <w:pPr>
              <w:rPr>
                <w:sz w:val="28"/>
                <w:szCs w:val="28"/>
              </w:rPr>
            </w:pPr>
          </w:p>
          <w:p w:rsidR="005A2A6D" w:rsidRPr="005A2A6D" w:rsidRDefault="005A2A6D" w:rsidP="005A2A6D">
            <w:pPr>
              <w:rPr>
                <w:sz w:val="28"/>
                <w:szCs w:val="28"/>
              </w:rPr>
            </w:pPr>
          </w:p>
          <w:p w:rsidR="005A2A6D" w:rsidRPr="005A2A6D" w:rsidRDefault="005A2A6D" w:rsidP="005A2A6D">
            <w:pPr>
              <w:rPr>
                <w:sz w:val="28"/>
                <w:szCs w:val="28"/>
              </w:rPr>
            </w:pPr>
          </w:p>
          <w:p w:rsidR="005A2A6D" w:rsidRDefault="005A2A6D" w:rsidP="005A2A6D">
            <w:pPr>
              <w:rPr>
                <w:sz w:val="28"/>
                <w:szCs w:val="28"/>
              </w:rPr>
            </w:pPr>
          </w:p>
          <w:p w:rsidR="003530C3" w:rsidRPr="005A2A6D" w:rsidRDefault="003530C3" w:rsidP="005A2A6D">
            <w:pPr>
              <w:rPr>
                <w:sz w:val="28"/>
                <w:szCs w:val="28"/>
              </w:rPr>
            </w:pPr>
          </w:p>
        </w:tc>
        <w:tc>
          <w:tcPr>
            <w:tcW w:w="3210" w:type="pct"/>
            <w:hideMark/>
          </w:tcPr>
          <w:p w:rsidR="006F7E00" w:rsidRDefault="006F7E00" w:rsidP="006F7E00">
            <w:pPr>
              <w:jc w:val="both"/>
              <w:rPr>
                <w:sz w:val="28"/>
                <w:szCs w:val="28"/>
              </w:rPr>
            </w:pPr>
            <w:r w:rsidRPr="00215EA9">
              <w:rPr>
                <w:sz w:val="28"/>
                <w:szCs w:val="28"/>
              </w:rPr>
              <w:t xml:space="preserve">Pašreiz prasības šautuvju (šaušanas stendu) izveidošanai un darbībai, kā arī kārtību, kādā izsniedzama un anulējama atļauja šautuves (šaušanas stenda) izveidošanai un darbībai un kārtību, kādā Latvijā notiek </w:t>
            </w:r>
            <w:proofErr w:type="spellStart"/>
            <w:r w:rsidRPr="00215EA9">
              <w:rPr>
                <w:sz w:val="28"/>
                <w:szCs w:val="28"/>
              </w:rPr>
              <w:t>treniņšaušana</w:t>
            </w:r>
            <w:proofErr w:type="spellEnd"/>
            <w:r w:rsidRPr="00215EA9">
              <w:rPr>
                <w:sz w:val="28"/>
                <w:szCs w:val="28"/>
              </w:rPr>
              <w:t xml:space="preserve"> un šaušana sporta sacensībās, kā arī šautuvēs (šaušanas stendos) ievērojamos drošības noteikumus noteic Ministru kabineta 2011.gada 1.novembra noteikumi Nr.840 “Šautuvju (šaušanas stendu) izveidošanas un darbības, kā arī </w:t>
            </w:r>
            <w:proofErr w:type="spellStart"/>
            <w:r w:rsidRPr="00215EA9">
              <w:rPr>
                <w:sz w:val="28"/>
                <w:szCs w:val="28"/>
              </w:rPr>
              <w:t>treniņšaušanas</w:t>
            </w:r>
            <w:proofErr w:type="spellEnd"/>
            <w:r w:rsidRPr="00215EA9">
              <w:rPr>
                <w:sz w:val="28"/>
                <w:szCs w:val="28"/>
              </w:rPr>
              <w:t xml:space="preserve"> un šaušanas sporta sacensību norises un drošības noteikumi”</w:t>
            </w:r>
            <w:r w:rsidR="00B62ADF" w:rsidRPr="00215EA9">
              <w:rPr>
                <w:sz w:val="28"/>
                <w:szCs w:val="28"/>
              </w:rPr>
              <w:t xml:space="preserve"> (turpmāk – MK noteikumi Nr.840),</w:t>
            </w:r>
            <w:r w:rsidRPr="00215EA9">
              <w:rPr>
                <w:sz w:val="28"/>
                <w:szCs w:val="28"/>
              </w:rPr>
              <w:t xml:space="preserve"> kas izdoti saskaņā ar Ieroču un speciālo līdzekļu aprites likuma 33.panta ceturto daļu un 34.panta desmito daļu.</w:t>
            </w:r>
          </w:p>
          <w:p w:rsidR="00506B7D" w:rsidRDefault="00FB6504" w:rsidP="00506B7D">
            <w:pPr>
              <w:jc w:val="both"/>
              <w:rPr>
                <w:sz w:val="28"/>
                <w:szCs w:val="28"/>
              </w:rPr>
            </w:pPr>
            <w:r>
              <w:rPr>
                <w:sz w:val="28"/>
                <w:szCs w:val="28"/>
              </w:rPr>
              <w:t>2019. gada 14.martā Latvijas Republikas Saeima pieņēma Ieroču aprites likumu (stājās spēkā 2019.gada 10.aprīlī)</w:t>
            </w:r>
            <w:r w:rsidR="00506B7D">
              <w:rPr>
                <w:sz w:val="28"/>
                <w:szCs w:val="28"/>
              </w:rPr>
              <w:t xml:space="preserve">. </w:t>
            </w:r>
          </w:p>
          <w:p w:rsidR="00427EDE" w:rsidRDefault="00506B7D" w:rsidP="00CB722D">
            <w:pPr>
              <w:jc w:val="both"/>
              <w:rPr>
                <w:sz w:val="28"/>
                <w:szCs w:val="28"/>
              </w:rPr>
            </w:pPr>
            <w:r>
              <w:rPr>
                <w:sz w:val="28"/>
                <w:szCs w:val="28"/>
              </w:rPr>
              <w:t>Ievēro</w:t>
            </w:r>
            <w:r w:rsidR="006C438E">
              <w:rPr>
                <w:sz w:val="28"/>
                <w:szCs w:val="28"/>
              </w:rPr>
              <w:t>jot to, ka Ieroču aprites likuma</w:t>
            </w:r>
            <w:r w:rsidR="0021400A">
              <w:rPr>
                <w:sz w:val="28"/>
                <w:szCs w:val="28"/>
              </w:rPr>
              <w:t xml:space="preserve"> </w:t>
            </w:r>
            <w:r w:rsidR="006F7E00" w:rsidRPr="00215EA9">
              <w:rPr>
                <w:sz w:val="28"/>
                <w:szCs w:val="28"/>
              </w:rPr>
              <w:t xml:space="preserve">70. panta trešā daļa paredz deleģējumu Ministru kabinetam noteikt prasības šautuvju izveidošanai un darbībai, kā arī kārtību, kādā izsniedzama un anulējama atļauja šautuves izveidošanai un darbībai, savukārt 71.panta desmitā daļa paredz Ministru kabinetam noteikt kārtību, kādā Latvijā notiek </w:t>
            </w:r>
            <w:proofErr w:type="spellStart"/>
            <w:r w:rsidR="006F7E00" w:rsidRPr="00215EA9">
              <w:rPr>
                <w:sz w:val="28"/>
                <w:szCs w:val="28"/>
              </w:rPr>
              <w:t>treniņšaušana</w:t>
            </w:r>
            <w:proofErr w:type="spellEnd"/>
            <w:r w:rsidR="006F7E00" w:rsidRPr="00215EA9">
              <w:rPr>
                <w:sz w:val="28"/>
                <w:szCs w:val="28"/>
              </w:rPr>
              <w:t xml:space="preserve"> un šaušana sporta sacensībās, kā arī šautuvēs ievērojamos drošības noteikumus, nepieciešams izdot jaunus Ministru kabineta noteikumus, atbilstoši dot</w:t>
            </w:r>
            <w:r>
              <w:rPr>
                <w:sz w:val="28"/>
                <w:szCs w:val="28"/>
              </w:rPr>
              <w:t>ajam deleģējumam Ieroču aprites likumā</w:t>
            </w:r>
            <w:r w:rsidR="007D5AEE">
              <w:rPr>
                <w:sz w:val="28"/>
                <w:szCs w:val="28"/>
              </w:rPr>
              <w:t>.</w:t>
            </w:r>
            <w:r w:rsidR="006F7E00" w:rsidRPr="00215EA9">
              <w:rPr>
                <w:sz w:val="28"/>
                <w:szCs w:val="28"/>
              </w:rPr>
              <w:t xml:space="preserve"> </w:t>
            </w:r>
          </w:p>
          <w:p w:rsidR="008B40C9" w:rsidRPr="008B40C9" w:rsidRDefault="008B40C9" w:rsidP="00CB722D">
            <w:pPr>
              <w:jc w:val="both"/>
              <w:rPr>
                <w:sz w:val="28"/>
                <w:szCs w:val="28"/>
              </w:rPr>
            </w:pPr>
            <w:r w:rsidRPr="008B40C9">
              <w:rPr>
                <w:sz w:val="28"/>
                <w:szCs w:val="28"/>
              </w:rPr>
              <w:lastRenderedPageBreak/>
              <w:t xml:space="preserve"> </w:t>
            </w:r>
            <w:r w:rsidR="00CB722D" w:rsidRPr="008B40C9">
              <w:rPr>
                <w:sz w:val="28"/>
                <w:szCs w:val="28"/>
              </w:rPr>
              <w:t>Ieroču aprites li</w:t>
            </w:r>
            <w:r w:rsidR="00427EDE">
              <w:rPr>
                <w:sz w:val="28"/>
                <w:szCs w:val="28"/>
              </w:rPr>
              <w:t xml:space="preserve">kuma Pārejas noteikumu 2.punkta 1.apakšpunkts </w:t>
            </w:r>
            <w:r w:rsidR="00CB722D" w:rsidRPr="008B40C9">
              <w:rPr>
                <w:sz w:val="28"/>
                <w:szCs w:val="28"/>
              </w:rPr>
              <w:t xml:space="preserve">noteic, ka </w:t>
            </w:r>
            <w:r w:rsidRPr="008B40C9">
              <w:rPr>
                <w:sz w:val="28"/>
                <w:szCs w:val="28"/>
              </w:rPr>
              <w:t>Ministru kabinets līdz 2019.gada 31.decembrim izdod šā likuma 70. panta trešajā daļā un 71.panta desmitajā daļā minētos noteikumus. L</w:t>
            </w:r>
            <w:r w:rsidR="00CB722D" w:rsidRPr="008B40C9">
              <w:rPr>
                <w:sz w:val="28"/>
                <w:szCs w:val="28"/>
              </w:rPr>
              <w:t xml:space="preserve">īdz attiecīgo </w:t>
            </w:r>
            <w:r w:rsidRPr="008B40C9">
              <w:rPr>
                <w:sz w:val="28"/>
                <w:szCs w:val="28"/>
              </w:rPr>
              <w:t xml:space="preserve">Ministru kabineta </w:t>
            </w:r>
            <w:r>
              <w:rPr>
                <w:sz w:val="28"/>
                <w:szCs w:val="28"/>
              </w:rPr>
              <w:t xml:space="preserve">noteikumu spēkā </w:t>
            </w:r>
            <w:r w:rsidR="00CB722D" w:rsidRPr="008B40C9">
              <w:rPr>
                <w:sz w:val="28"/>
                <w:szCs w:val="28"/>
              </w:rPr>
              <w:t xml:space="preserve">stāšanās  dienai,  bet  ne  ilgāk  kā  līdz 2019.gada    31.decembrim  ir  </w:t>
            </w:r>
            <w:r w:rsidRPr="008B40C9">
              <w:rPr>
                <w:sz w:val="28"/>
                <w:szCs w:val="28"/>
              </w:rPr>
              <w:t>spēkā MK noteikumi Nr.840, ciktāl tie nav pretrunā ar šo likumu.</w:t>
            </w:r>
          </w:p>
          <w:p w:rsidR="007E5B9B" w:rsidRPr="00215EA9" w:rsidRDefault="007736B4" w:rsidP="007E5B9B">
            <w:pPr>
              <w:ind w:right="111"/>
              <w:jc w:val="both"/>
              <w:rPr>
                <w:sz w:val="28"/>
                <w:szCs w:val="28"/>
              </w:rPr>
            </w:pPr>
            <w:r>
              <w:rPr>
                <w:sz w:val="28"/>
                <w:szCs w:val="28"/>
              </w:rPr>
              <w:t>Saglabājot līdzšinējās</w:t>
            </w:r>
            <w:r w:rsidR="00B62ADF" w:rsidRPr="00215EA9">
              <w:rPr>
                <w:sz w:val="28"/>
                <w:szCs w:val="28"/>
              </w:rPr>
              <w:t xml:space="preserve"> MK noteikumos Nr.840 noteiktās prasības šautuvju izveidošanai un darbībai, kā arī kārtību, kādā izsniedzama un anulējama atļauja šautuves izveidošanai un darbībai un kārtību, kādā Latvijā notiek </w:t>
            </w:r>
            <w:proofErr w:type="spellStart"/>
            <w:r w:rsidR="00B62ADF" w:rsidRPr="00215EA9">
              <w:rPr>
                <w:sz w:val="28"/>
                <w:szCs w:val="28"/>
              </w:rPr>
              <w:t>treniņšaušana</w:t>
            </w:r>
            <w:proofErr w:type="spellEnd"/>
            <w:r w:rsidR="00B62ADF" w:rsidRPr="00215EA9">
              <w:rPr>
                <w:sz w:val="28"/>
                <w:szCs w:val="28"/>
              </w:rPr>
              <w:t xml:space="preserve"> un šaušana sporta sacensībās, kā arī šautuvēs ievērojamos drošības noteikumus, projektā</w:t>
            </w:r>
            <w:r w:rsidR="007E5B9B" w:rsidRPr="00215EA9">
              <w:rPr>
                <w:sz w:val="28"/>
                <w:szCs w:val="28"/>
              </w:rPr>
              <w:t xml:space="preserve"> tika precizēta lietotā terminoloģija, </w:t>
            </w:r>
            <w:r w:rsidR="000C67C1">
              <w:rPr>
                <w:sz w:val="28"/>
                <w:szCs w:val="28"/>
              </w:rPr>
              <w:t>saskaņojot to ar Ieroču aprites likumā</w:t>
            </w:r>
            <w:r w:rsidR="007E5B9B" w:rsidRPr="00215EA9">
              <w:rPr>
                <w:sz w:val="28"/>
                <w:szCs w:val="28"/>
              </w:rPr>
              <w:t xml:space="preserve"> lietoto</w:t>
            </w:r>
            <w:r w:rsidR="001D5F6A">
              <w:rPr>
                <w:sz w:val="28"/>
                <w:szCs w:val="28"/>
              </w:rPr>
              <w:t xml:space="preserve"> terminoloģiju</w:t>
            </w:r>
            <w:r w:rsidR="000415B0">
              <w:rPr>
                <w:sz w:val="28"/>
                <w:szCs w:val="28"/>
              </w:rPr>
              <w:t>.</w:t>
            </w:r>
          </w:p>
          <w:p w:rsidR="006F5A80" w:rsidRDefault="00100D3E" w:rsidP="007E5B9B">
            <w:pPr>
              <w:ind w:right="111"/>
              <w:jc w:val="both"/>
              <w:rPr>
                <w:sz w:val="28"/>
                <w:szCs w:val="28"/>
              </w:rPr>
            </w:pPr>
            <w:r>
              <w:rPr>
                <w:sz w:val="28"/>
                <w:szCs w:val="28"/>
              </w:rPr>
              <w:t>Projekts paredz</w:t>
            </w:r>
            <w:r w:rsidR="007E5B9B" w:rsidRPr="00215EA9">
              <w:rPr>
                <w:sz w:val="28"/>
                <w:szCs w:val="28"/>
              </w:rPr>
              <w:t xml:space="preserve"> izmaiņas attiecībā uz šaušanas instruktora vai trenera datu apstrādi. Pārskatot informāciju, kas ir iesniedzama pašvaldībā par šaušanas instruktoru vai treneri, tiek paredzēts, ka tiek iesniegts apliecinājums par atbilstošas kvalifikācijas personas nodarbināšanu šautuvē, nenorādot konkrētas personas datus. </w:t>
            </w:r>
            <w:r w:rsidR="00A515D2">
              <w:rPr>
                <w:sz w:val="28"/>
                <w:szCs w:val="28"/>
              </w:rPr>
              <w:t>Atbilstošas izmaiņas ir paredzētas arī projekta pielikumā</w:t>
            </w:r>
            <w:r w:rsidR="007E5B9B" w:rsidRPr="00A515D2">
              <w:rPr>
                <w:sz w:val="28"/>
                <w:szCs w:val="28"/>
              </w:rPr>
              <w:t>.</w:t>
            </w:r>
            <w:r w:rsidR="007E5B9B" w:rsidRPr="00215EA9">
              <w:rPr>
                <w:sz w:val="28"/>
                <w:szCs w:val="28"/>
              </w:rPr>
              <w:t xml:space="preserve"> Izmaiņas ieviestas, lai novērstu iepriekš realizētās pieejas nepilnību, kad tika norādīts tikai pirmais no nodarbinātajiem šaušanas instruktoriem. Ņemot vērā, ka laika gaitā norādītais šaušanas instruktors var pārtraukt darbu konkrētajā šautuvē un nav pienākums informēt par šaušanas instruktora maiņu, tad ilgstoši tiek uzkrāti neaktualizēti personas dati. Vienlaikus iepriekš realizētā pieeja liecināja par pārmērīgu personas datu apstrādi attiecībā uz šaušanas instruktoru.</w:t>
            </w:r>
          </w:p>
          <w:p w:rsidR="0014609C" w:rsidRPr="006F5A80" w:rsidRDefault="006F5A80" w:rsidP="007E5B9B">
            <w:pPr>
              <w:ind w:right="111"/>
              <w:jc w:val="both"/>
              <w:rPr>
                <w:sz w:val="28"/>
                <w:szCs w:val="28"/>
              </w:rPr>
            </w:pPr>
            <w:r w:rsidRPr="006F5A80">
              <w:rPr>
                <w:sz w:val="28"/>
                <w:szCs w:val="28"/>
              </w:rPr>
              <w:t xml:space="preserve">Ar Ieroču aprites likuma spēkā stāšanos tiek mainīta ieroču tehniskā klasifikācija. Otrās un trešās kategorijas šautuvju (šaušanas stendu) īpašniekiem, kas atļaujas šautuvju (šaušanas stendu) darbībai saņēmuši līdz šo noteikumu spēkā stāšanās brīdim, </w:t>
            </w:r>
            <w:r>
              <w:rPr>
                <w:sz w:val="28"/>
                <w:szCs w:val="28"/>
              </w:rPr>
              <w:t xml:space="preserve">projekta noslēguma jautājumos </w:t>
            </w:r>
            <w:r w:rsidRPr="006F5A80">
              <w:rPr>
                <w:sz w:val="28"/>
                <w:szCs w:val="28"/>
              </w:rPr>
              <w:t xml:space="preserve">tiek paredzēts pārejas periods, kurā jāpārskata </w:t>
            </w:r>
            <w:r w:rsidRPr="006F5A80">
              <w:rPr>
                <w:sz w:val="28"/>
                <w:szCs w:val="28"/>
              </w:rPr>
              <w:lastRenderedPageBreak/>
              <w:t>šautuvēs izmantoto ieroču klāsts, lai nodrošinātu šautuves darbības atbilstību Ieroču aprites likuma un šo noteikumu prasībām.</w:t>
            </w:r>
            <w:r w:rsidR="007E5B9B" w:rsidRPr="006F5A80">
              <w:rPr>
                <w:sz w:val="28"/>
                <w:szCs w:val="28"/>
              </w:rPr>
              <w:t>   </w:t>
            </w:r>
          </w:p>
        </w:tc>
      </w:tr>
      <w:tr w:rsidR="003530C3" w:rsidRPr="00215EA9" w:rsidTr="00F77A6F">
        <w:tc>
          <w:tcPr>
            <w:tcW w:w="311" w:type="pct"/>
            <w:hideMark/>
          </w:tcPr>
          <w:p w:rsidR="003530C3" w:rsidRPr="00215EA9" w:rsidRDefault="003530C3" w:rsidP="00F77A6F">
            <w:pPr>
              <w:jc w:val="center"/>
              <w:rPr>
                <w:sz w:val="28"/>
                <w:szCs w:val="28"/>
              </w:rPr>
            </w:pPr>
            <w:r w:rsidRPr="00215EA9">
              <w:rPr>
                <w:sz w:val="28"/>
                <w:szCs w:val="28"/>
              </w:rPr>
              <w:lastRenderedPageBreak/>
              <w:t>3.</w:t>
            </w:r>
          </w:p>
        </w:tc>
        <w:tc>
          <w:tcPr>
            <w:tcW w:w="1479" w:type="pct"/>
            <w:hideMark/>
          </w:tcPr>
          <w:p w:rsidR="003530C3" w:rsidRPr="00215EA9" w:rsidRDefault="003530C3" w:rsidP="00F77A6F">
            <w:pPr>
              <w:rPr>
                <w:sz w:val="28"/>
                <w:szCs w:val="28"/>
              </w:rPr>
            </w:pPr>
            <w:r w:rsidRPr="00215EA9">
              <w:rPr>
                <w:sz w:val="28"/>
                <w:szCs w:val="28"/>
              </w:rPr>
              <w:t>Projekta izstrādē iesaistītās institūcijas un publiskas personas kapitālsabiedrības</w:t>
            </w:r>
          </w:p>
        </w:tc>
        <w:tc>
          <w:tcPr>
            <w:tcW w:w="3210" w:type="pct"/>
            <w:hideMark/>
          </w:tcPr>
          <w:p w:rsidR="003530C3" w:rsidRPr="00215EA9" w:rsidRDefault="00C70874" w:rsidP="00F77A6F">
            <w:pPr>
              <w:rPr>
                <w:sz w:val="28"/>
                <w:szCs w:val="28"/>
              </w:rPr>
            </w:pPr>
            <w:r w:rsidRPr="00215EA9">
              <w:rPr>
                <w:sz w:val="28"/>
                <w:szCs w:val="28"/>
              </w:rPr>
              <w:t>Valsts policija</w:t>
            </w:r>
            <w:r w:rsidR="003530C3" w:rsidRPr="00215EA9">
              <w:rPr>
                <w:sz w:val="28"/>
                <w:szCs w:val="28"/>
              </w:rPr>
              <w:t>.</w:t>
            </w:r>
          </w:p>
        </w:tc>
      </w:tr>
      <w:tr w:rsidR="003530C3" w:rsidRPr="00215EA9" w:rsidTr="00F77A6F">
        <w:tc>
          <w:tcPr>
            <w:tcW w:w="311" w:type="pct"/>
            <w:hideMark/>
          </w:tcPr>
          <w:p w:rsidR="003530C3" w:rsidRPr="00215EA9" w:rsidRDefault="003530C3" w:rsidP="00F77A6F">
            <w:pPr>
              <w:jc w:val="center"/>
              <w:rPr>
                <w:sz w:val="28"/>
                <w:szCs w:val="28"/>
              </w:rPr>
            </w:pPr>
            <w:r w:rsidRPr="00215EA9">
              <w:rPr>
                <w:sz w:val="28"/>
                <w:szCs w:val="28"/>
              </w:rPr>
              <w:t>4.</w:t>
            </w:r>
          </w:p>
        </w:tc>
        <w:tc>
          <w:tcPr>
            <w:tcW w:w="1479" w:type="pct"/>
            <w:hideMark/>
          </w:tcPr>
          <w:p w:rsidR="003530C3" w:rsidRPr="00215EA9" w:rsidRDefault="003530C3" w:rsidP="00F77A6F">
            <w:pPr>
              <w:rPr>
                <w:sz w:val="28"/>
                <w:szCs w:val="28"/>
              </w:rPr>
            </w:pPr>
            <w:r w:rsidRPr="00215EA9">
              <w:rPr>
                <w:sz w:val="28"/>
                <w:szCs w:val="28"/>
              </w:rPr>
              <w:t>Cita informācija</w:t>
            </w:r>
          </w:p>
        </w:tc>
        <w:tc>
          <w:tcPr>
            <w:tcW w:w="3210" w:type="pct"/>
            <w:hideMark/>
          </w:tcPr>
          <w:p w:rsidR="003530C3" w:rsidRPr="00215EA9" w:rsidRDefault="003530C3" w:rsidP="00F77A6F">
            <w:pPr>
              <w:rPr>
                <w:sz w:val="28"/>
                <w:szCs w:val="28"/>
              </w:rPr>
            </w:pPr>
            <w:r w:rsidRPr="00215EA9">
              <w:rPr>
                <w:sz w:val="28"/>
                <w:szCs w:val="28"/>
              </w:rPr>
              <w:t>Nav.</w:t>
            </w:r>
          </w:p>
        </w:tc>
      </w:tr>
    </w:tbl>
    <w:p w:rsidR="003530C3" w:rsidRPr="00215EA9" w:rsidRDefault="003530C3"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215EA9" w:rsidTr="00F77A6F">
        <w:trPr>
          <w:cantSplit/>
        </w:trPr>
        <w:tc>
          <w:tcPr>
            <w:tcW w:w="5000" w:type="pct"/>
            <w:gridSpan w:val="3"/>
            <w:vAlign w:val="center"/>
            <w:hideMark/>
          </w:tcPr>
          <w:p w:rsidR="003530C3" w:rsidRPr="00215EA9" w:rsidRDefault="003530C3" w:rsidP="00F77A6F">
            <w:pPr>
              <w:jc w:val="center"/>
              <w:rPr>
                <w:b/>
                <w:bCs/>
                <w:sz w:val="28"/>
                <w:szCs w:val="28"/>
              </w:rPr>
            </w:pPr>
            <w:r w:rsidRPr="00215EA9">
              <w:rPr>
                <w:b/>
                <w:bCs/>
                <w:sz w:val="28"/>
                <w:szCs w:val="28"/>
              </w:rPr>
              <w:t>II. Tiesību akta projekta ietekme uz sabiedrību, tautsaimniecības attīstību un administratīvo slogu</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1.</w:t>
            </w:r>
          </w:p>
        </w:tc>
        <w:tc>
          <w:tcPr>
            <w:tcW w:w="1479" w:type="pct"/>
            <w:hideMark/>
          </w:tcPr>
          <w:p w:rsidR="003530C3" w:rsidRPr="00215EA9" w:rsidRDefault="003530C3" w:rsidP="00F77A6F">
            <w:pPr>
              <w:rPr>
                <w:sz w:val="28"/>
                <w:szCs w:val="28"/>
              </w:rPr>
            </w:pPr>
            <w:r w:rsidRPr="00215EA9">
              <w:rPr>
                <w:sz w:val="28"/>
                <w:szCs w:val="28"/>
              </w:rPr>
              <w:t>Sabiedrības mērķgrupas, kuras tiesiskais regulējums ietekmē vai varētu ietekmēt</w:t>
            </w:r>
          </w:p>
        </w:tc>
        <w:tc>
          <w:tcPr>
            <w:tcW w:w="3210" w:type="pct"/>
            <w:hideMark/>
          </w:tcPr>
          <w:p w:rsidR="00943FC6" w:rsidRPr="00215EA9" w:rsidRDefault="00943FC6" w:rsidP="00FE4B6F">
            <w:pPr>
              <w:jc w:val="both"/>
              <w:rPr>
                <w:sz w:val="28"/>
                <w:szCs w:val="28"/>
              </w:rPr>
            </w:pPr>
            <w:r w:rsidRPr="00215EA9">
              <w:rPr>
                <w:sz w:val="28"/>
                <w:szCs w:val="28"/>
              </w:rPr>
              <w:t xml:space="preserve">Sabiedrības mērķgrupa ir fiziskās un juridiskās personas, kuras izveidojušas šautuves, kā arī personas, kuras nodarbojas ar šaušanas sporta veidiem un personas, kuras izmanto šautuves </w:t>
            </w:r>
            <w:proofErr w:type="spellStart"/>
            <w:r w:rsidRPr="00215EA9">
              <w:rPr>
                <w:sz w:val="28"/>
                <w:szCs w:val="28"/>
              </w:rPr>
              <w:t>treniņšaušanai</w:t>
            </w:r>
            <w:proofErr w:type="spellEnd"/>
            <w:r w:rsidRPr="00215EA9">
              <w:rPr>
                <w:sz w:val="28"/>
                <w:szCs w:val="28"/>
              </w:rPr>
              <w:t>, kā arī fizi</w:t>
            </w:r>
            <w:r w:rsidR="0021400A">
              <w:rPr>
                <w:sz w:val="28"/>
                <w:szCs w:val="28"/>
              </w:rPr>
              <w:t>skās un juridiskās personas, kuras</w:t>
            </w:r>
            <w:r w:rsidRPr="00215EA9">
              <w:rPr>
                <w:sz w:val="28"/>
                <w:szCs w:val="28"/>
              </w:rPr>
              <w:t xml:space="preserve"> nākotnē vēlēsies izveidot šautuves, kā arī nodarboties ar </w:t>
            </w:r>
            <w:proofErr w:type="spellStart"/>
            <w:r w:rsidRPr="00215EA9">
              <w:rPr>
                <w:sz w:val="28"/>
                <w:szCs w:val="28"/>
              </w:rPr>
              <w:t>treniņšaušanu</w:t>
            </w:r>
            <w:proofErr w:type="spellEnd"/>
            <w:r w:rsidRPr="00215EA9">
              <w:rPr>
                <w:sz w:val="28"/>
                <w:szCs w:val="28"/>
              </w:rPr>
              <w:t xml:space="preserve"> un sporta veidiem, kas saistīti ar šaušanu.</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2.</w:t>
            </w:r>
          </w:p>
        </w:tc>
        <w:tc>
          <w:tcPr>
            <w:tcW w:w="1479" w:type="pct"/>
            <w:hideMark/>
          </w:tcPr>
          <w:p w:rsidR="003530C3" w:rsidRPr="00215EA9" w:rsidRDefault="003530C3" w:rsidP="00F77A6F">
            <w:pPr>
              <w:rPr>
                <w:sz w:val="28"/>
                <w:szCs w:val="28"/>
              </w:rPr>
            </w:pPr>
            <w:r w:rsidRPr="00215EA9">
              <w:rPr>
                <w:sz w:val="28"/>
                <w:szCs w:val="28"/>
              </w:rPr>
              <w:t>Tiesiskā regulējuma ietekme uz tautsaimniecību un administratīvo slogu</w:t>
            </w:r>
          </w:p>
        </w:tc>
        <w:tc>
          <w:tcPr>
            <w:tcW w:w="3210" w:type="pct"/>
            <w:hideMark/>
          </w:tcPr>
          <w:p w:rsidR="003530C3" w:rsidRPr="00215EA9" w:rsidRDefault="00943FC6" w:rsidP="008C3BE4">
            <w:pPr>
              <w:jc w:val="both"/>
              <w:rPr>
                <w:sz w:val="28"/>
                <w:szCs w:val="28"/>
              </w:rPr>
            </w:pPr>
            <w:r w:rsidRPr="00215EA9">
              <w:rPr>
                <w:sz w:val="28"/>
                <w:szCs w:val="28"/>
              </w:rPr>
              <w:t>Lai saņemtu atļ</w:t>
            </w:r>
            <w:r w:rsidR="00B966A3" w:rsidRPr="00215EA9">
              <w:rPr>
                <w:sz w:val="28"/>
                <w:szCs w:val="28"/>
              </w:rPr>
              <w:t xml:space="preserve">auju šautuves izveidošanai un </w:t>
            </w:r>
            <w:r w:rsidRPr="00215EA9">
              <w:rPr>
                <w:sz w:val="28"/>
                <w:szCs w:val="28"/>
              </w:rPr>
              <w:t>darbībai, nepieciešams to iekārtot atbilstoši noteiktajām prasībām un iesniegt iesniegumu vietējā pašvaldībā atļaujas saņemšanai. Iesniegumam jāpie</w:t>
            </w:r>
            <w:r w:rsidR="00B966A3" w:rsidRPr="00215EA9">
              <w:rPr>
                <w:sz w:val="28"/>
                <w:szCs w:val="28"/>
              </w:rPr>
              <w:t xml:space="preserve">vieno šautuves plāns un šautuves </w:t>
            </w:r>
            <w:r w:rsidRPr="00215EA9">
              <w:rPr>
                <w:sz w:val="28"/>
                <w:szCs w:val="28"/>
              </w:rPr>
              <w:t xml:space="preserve"> nolikums.</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3.</w:t>
            </w:r>
          </w:p>
        </w:tc>
        <w:tc>
          <w:tcPr>
            <w:tcW w:w="1479" w:type="pct"/>
            <w:hideMark/>
          </w:tcPr>
          <w:p w:rsidR="003530C3" w:rsidRPr="00215EA9" w:rsidRDefault="003530C3" w:rsidP="00F77A6F">
            <w:pPr>
              <w:rPr>
                <w:sz w:val="28"/>
                <w:szCs w:val="28"/>
              </w:rPr>
            </w:pPr>
            <w:r w:rsidRPr="00215EA9">
              <w:rPr>
                <w:sz w:val="28"/>
                <w:szCs w:val="28"/>
              </w:rPr>
              <w:t>Administratīvo izmaksu monetārs novērtējums</w:t>
            </w:r>
          </w:p>
        </w:tc>
        <w:tc>
          <w:tcPr>
            <w:tcW w:w="3210" w:type="pct"/>
            <w:hideMark/>
          </w:tcPr>
          <w:p w:rsidR="003530C3" w:rsidRPr="00215EA9" w:rsidRDefault="0026102B" w:rsidP="00F77A6F">
            <w:pPr>
              <w:rPr>
                <w:sz w:val="28"/>
                <w:szCs w:val="28"/>
              </w:rPr>
            </w:pPr>
            <w:r w:rsidRPr="00215EA9">
              <w:rPr>
                <w:sz w:val="28"/>
                <w:szCs w:val="28"/>
              </w:rPr>
              <w:t>Projekts nemaina šobrīd esošo administratīvo procedūru.</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4.</w:t>
            </w:r>
          </w:p>
        </w:tc>
        <w:tc>
          <w:tcPr>
            <w:tcW w:w="1479" w:type="pct"/>
            <w:hideMark/>
          </w:tcPr>
          <w:p w:rsidR="003530C3" w:rsidRPr="00215EA9" w:rsidRDefault="003530C3" w:rsidP="00F77A6F">
            <w:pPr>
              <w:rPr>
                <w:sz w:val="28"/>
                <w:szCs w:val="28"/>
              </w:rPr>
            </w:pPr>
            <w:r w:rsidRPr="00215EA9">
              <w:rPr>
                <w:sz w:val="28"/>
                <w:szCs w:val="28"/>
              </w:rPr>
              <w:t>Atbilstības izmaksu monetārs novērtējums</w:t>
            </w:r>
          </w:p>
        </w:tc>
        <w:tc>
          <w:tcPr>
            <w:tcW w:w="3210" w:type="pct"/>
            <w:hideMark/>
          </w:tcPr>
          <w:p w:rsidR="003530C3" w:rsidRPr="00215EA9" w:rsidRDefault="0026102B" w:rsidP="00F77A6F">
            <w:pPr>
              <w:rPr>
                <w:sz w:val="28"/>
                <w:szCs w:val="28"/>
              </w:rPr>
            </w:pPr>
            <w:r w:rsidRPr="00215EA9">
              <w:rPr>
                <w:sz w:val="28"/>
                <w:szCs w:val="28"/>
              </w:rPr>
              <w:t>Projekts neparedz papildu izmaksas, lai nodrošinātu projektā ietverto atbilstības prasību izpildi.</w:t>
            </w:r>
          </w:p>
          <w:p w:rsidR="0026102B" w:rsidRPr="00215EA9" w:rsidRDefault="0026102B" w:rsidP="00F77A6F">
            <w:pPr>
              <w:rPr>
                <w:sz w:val="28"/>
                <w:szCs w:val="28"/>
              </w:rPr>
            </w:pP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5.</w:t>
            </w:r>
          </w:p>
        </w:tc>
        <w:tc>
          <w:tcPr>
            <w:tcW w:w="1479" w:type="pct"/>
            <w:hideMark/>
          </w:tcPr>
          <w:p w:rsidR="003530C3" w:rsidRPr="00215EA9" w:rsidRDefault="003530C3" w:rsidP="00F77A6F">
            <w:pPr>
              <w:rPr>
                <w:sz w:val="28"/>
                <w:szCs w:val="28"/>
              </w:rPr>
            </w:pPr>
            <w:r w:rsidRPr="00215EA9">
              <w:rPr>
                <w:sz w:val="28"/>
                <w:szCs w:val="28"/>
              </w:rPr>
              <w:t>Cita informācija</w:t>
            </w:r>
          </w:p>
        </w:tc>
        <w:tc>
          <w:tcPr>
            <w:tcW w:w="3210" w:type="pct"/>
            <w:hideMark/>
          </w:tcPr>
          <w:p w:rsidR="003530C3" w:rsidRPr="00215EA9" w:rsidRDefault="003530C3" w:rsidP="00F77A6F">
            <w:pPr>
              <w:rPr>
                <w:sz w:val="28"/>
                <w:szCs w:val="28"/>
              </w:rPr>
            </w:pPr>
            <w:r w:rsidRPr="00215EA9">
              <w:rPr>
                <w:sz w:val="28"/>
                <w:szCs w:val="28"/>
              </w:rPr>
              <w:t>Nav.</w:t>
            </w:r>
          </w:p>
        </w:tc>
      </w:tr>
    </w:tbl>
    <w:p w:rsidR="003530C3" w:rsidRPr="00215EA9" w:rsidRDefault="003530C3" w:rsidP="003530C3">
      <w:pPr>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3530C3" w:rsidRPr="00215EA9" w:rsidTr="00F77A6F">
        <w:trPr>
          <w:cantSplit/>
        </w:trPr>
        <w:tc>
          <w:tcPr>
            <w:tcW w:w="9065" w:type="dxa"/>
            <w:shd w:val="clear" w:color="auto" w:fill="auto"/>
            <w:vAlign w:val="center"/>
            <w:hideMark/>
          </w:tcPr>
          <w:p w:rsidR="003530C3" w:rsidRPr="00215EA9" w:rsidRDefault="003530C3" w:rsidP="00F77A6F">
            <w:pPr>
              <w:jc w:val="center"/>
              <w:rPr>
                <w:b/>
                <w:bCs/>
                <w:sz w:val="28"/>
                <w:szCs w:val="28"/>
                <w:lang w:eastAsia="en-US"/>
              </w:rPr>
            </w:pPr>
            <w:r w:rsidRPr="00215EA9">
              <w:rPr>
                <w:b/>
                <w:bCs/>
                <w:sz w:val="28"/>
                <w:szCs w:val="28"/>
                <w:lang w:eastAsia="en-US"/>
              </w:rPr>
              <w:t>III. Tiesību akta projekta ietekme uz valsts budžetu un pašvaldību budžetiem</w:t>
            </w:r>
          </w:p>
        </w:tc>
      </w:tr>
      <w:tr w:rsidR="006606C1" w:rsidRPr="00215EA9" w:rsidTr="00503258">
        <w:trPr>
          <w:cantSplit/>
        </w:trPr>
        <w:tc>
          <w:tcPr>
            <w:tcW w:w="9065" w:type="dxa"/>
            <w:shd w:val="clear" w:color="auto" w:fill="auto"/>
          </w:tcPr>
          <w:p w:rsidR="006606C1" w:rsidRPr="00215EA9" w:rsidRDefault="006606C1" w:rsidP="006606C1">
            <w:pPr>
              <w:jc w:val="center"/>
              <w:rPr>
                <w:sz w:val="28"/>
                <w:szCs w:val="28"/>
                <w:lang w:eastAsia="en-US"/>
              </w:rPr>
            </w:pPr>
            <w:r w:rsidRPr="00215EA9">
              <w:rPr>
                <w:sz w:val="28"/>
                <w:szCs w:val="28"/>
              </w:rPr>
              <w:t>Projekts šo jomu neskar.</w:t>
            </w:r>
          </w:p>
        </w:tc>
      </w:tr>
    </w:tbl>
    <w:p w:rsidR="003530C3" w:rsidRPr="00215EA9" w:rsidRDefault="003530C3" w:rsidP="003530C3">
      <w:pPr>
        <w:rPr>
          <w:sz w:val="28"/>
          <w:szCs w:val="28"/>
        </w:rPr>
      </w:pPr>
    </w:p>
    <w:tbl>
      <w:tblPr>
        <w:tblW w:w="9064"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14"/>
        <w:gridCol w:w="2425"/>
        <w:gridCol w:w="5825"/>
      </w:tblGrid>
      <w:tr w:rsidR="007E5B9B" w:rsidRPr="00215EA9" w:rsidTr="007E5B9B">
        <w:trPr>
          <w:trHeight w:val="180"/>
          <w:jc w:val="center"/>
        </w:trPr>
        <w:tc>
          <w:tcPr>
            <w:tcW w:w="9064" w:type="dxa"/>
            <w:gridSpan w:val="3"/>
            <w:tcBorders>
              <w:top w:val="single" w:sz="6" w:space="0" w:color="414142"/>
              <w:left w:val="single" w:sz="6" w:space="0" w:color="414142"/>
              <w:bottom w:val="single" w:sz="6" w:space="0" w:color="414142"/>
              <w:right w:val="single" w:sz="6" w:space="0" w:color="414142"/>
            </w:tcBorders>
            <w:vAlign w:val="center"/>
          </w:tcPr>
          <w:p w:rsidR="007E5B9B" w:rsidRPr="00215EA9" w:rsidRDefault="007E5B9B" w:rsidP="004D003B">
            <w:pPr>
              <w:jc w:val="center"/>
              <w:rPr>
                <w:b/>
                <w:sz w:val="28"/>
                <w:szCs w:val="28"/>
              </w:rPr>
            </w:pPr>
            <w:r w:rsidRPr="00215EA9">
              <w:rPr>
                <w:b/>
                <w:sz w:val="28"/>
                <w:szCs w:val="28"/>
              </w:rPr>
              <w:t>IV. Tiesību akta projekta ietekme uz spēkā esošo tiesību normu sistēmu</w:t>
            </w:r>
          </w:p>
        </w:tc>
      </w:tr>
      <w:tr w:rsidR="007E5B9B" w:rsidRPr="00215EA9" w:rsidTr="007E5B9B">
        <w:trPr>
          <w:jc w:val="center"/>
        </w:trPr>
        <w:tc>
          <w:tcPr>
            <w:tcW w:w="814"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t>1.</w:t>
            </w:r>
          </w:p>
        </w:tc>
        <w:tc>
          <w:tcPr>
            <w:tcW w:w="2425"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t>Saistītie tiesību aktu projekti</w:t>
            </w:r>
          </w:p>
        </w:tc>
        <w:tc>
          <w:tcPr>
            <w:tcW w:w="5825" w:type="dxa"/>
            <w:tcBorders>
              <w:top w:val="single" w:sz="6" w:space="0" w:color="414142"/>
              <w:left w:val="single" w:sz="6" w:space="0" w:color="414142"/>
              <w:bottom w:val="single" w:sz="6" w:space="0" w:color="414142"/>
              <w:right w:val="single" w:sz="6" w:space="0" w:color="414142"/>
            </w:tcBorders>
          </w:tcPr>
          <w:p w:rsidR="007E5B9B" w:rsidRPr="00215EA9" w:rsidRDefault="00506B7D" w:rsidP="007E5B9B">
            <w:pPr>
              <w:spacing w:line="259" w:lineRule="auto"/>
              <w:jc w:val="both"/>
              <w:rPr>
                <w:sz w:val="28"/>
                <w:szCs w:val="28"/>
              </w:rPr>
            </w:pPr>
            <w:r>
              <w:rPr>
                <w:sz w:val="28"/>
                <w:szCs w:val="28"/>
              </w:rPr>
              <w:t>Nav.</w:t>
            </w:r>
          </w:p>
        </w:tc>
      </w:tr>
      <w:tr w:rsidR="007E5B9B" w:rsidRPr="00215EA9" w:rsidTr="007E5B9B">
        <w:trPr>
          <w:jc w:val="center"/>
        </w:trPr>
        <w:tc>
          <w:tcPr>
            <w:tcW w:w="814"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lastRenderedPageBreak/>
              <w:t>2.</w:t>
            </w:r>
          </w:p>
        </w:tc>
        <w:tc>
          <w:tcPr>
            <w:tcW w:w="2425"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t>Atbildīgā institūcija</w:t>
            </w:r>
          </w:p>
        </w:tc>
        <w:tc>
          <w:tcPr>
            <w:tcW w:w="5825"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spacing w:after="120"/>
              <w:rPr>
                <w:sz w:val="28"/>
                <w:szCs w:val="28"/>
              </w:rPr>
            </w:pPr>
            <w:r w:rsidRPr="00215EA9">
              <w:rPr>
                <w:sz w:val="28"/>
                <w:szCs w:val="28"/>
              </w:rPr>
              <w:t>Valsts policija</w:t>
            </w:r>
          </w:p>
        </w:tc>
      </w:tr>
      <w:tr w:rsidR="007E5B9B" w:rsidRPr="00215EA9" w:rsidTr="007E5B9B">
        <w:trPr>
          <w:jc w:val="center"/>
        </w:trPr>
        <w:tc>
          <w:tcPr>
            <w:tcW w:w="814"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t>3.</w:t>
            </w:r>
          </w:p>
        </w:tc>
        <w:tc>
          <w:tcPr>
            <w:tcW w:w="2425" w:type="dxa"/>
            <w:tcBorders>
              <w:top w:val="single" w:sz="6" w:space="0" w:color="414142"/>
              <w:left w:val="single" w:sz="6" w:space="0" w:color="414142"/>
              <w:bottom w:val="single" w:sz="6" w:space="0" w:color="414142"/>
              <w:right w:val="single" w:sz="6" w:space="0" w:color="414142"/>
            </w:tcBorders>
          </w:tcPr>
          <w:p w:rsidR="007E5B9B" w:rsidRPr="00215EA9" w:rsidRDefault="007E5B9B" w:rsidP="004D003B">
            <w:pPr>
              <w:rPr>
                <w:sz w:val="28"/>
                <w:szCs w:val="28"/>
              </w:rPr>
            </w:pPr>
            <w:r w:rsidRPr="00215EA9">
              <w:rPr>
                <w:sz w:val="28"/>
                <w:szCs w:val="28"/>
              </w:rPr>
              <w:t>Cita informācija</w:t>
            </w:r>
          </w:p>
        </w:tc>
        <w:tc>
          <w:tcPr>
            <w:tcW w:w="5825" w:type="dxa"/>
            <w:tcBorders>
              <w:top w:val="single" w:sz="6" w:space="0" w:color="414142"/>
              <w:left w:val="single" w:sz="6" w:space="0" w:color="414142"/>
              <w:bottom w:val="single" w:sz="6" w:space="0" w:color="414142"/>
              <w:right w:val="single" w:sz="6" w:space="0" w:color="414142"/>
            </w:tcBorders>
          </w:tcPr>
          <w:p w:rsidR="007E5B9B" w:rsidRPr="00215EA9" w:rsidRDefault="007D5AEE" w:rsidP="007D5AEE">
            <w:pPr>
              <w:ind w:right="111"/>
              <w:jc w:val="both"/>
              <w:rPr>
                <w:sz w:val="28"/>
                <w:szCs w:val="28"/>
              </w:rPr>
            </w:pPr>
            <w:r>
              <w:rPr>
                <w:sz w:val="28"/>
                <w:szCs w:val="28"/>
              </w:rPr>
              <w:t>Nav.</w:t>
            </w:r>
          </w:p>
        </w:tc>
      </w:tr>
    </w:tbl>
    <w:p w:rsidR="003530C3" w:rsidRPr="00215EA9" w:rsidRDefault="003530C3" w:rsidP="007E5B9B">
      <w:pPr>
        <w:pStyle w:val="Title"/>
        <w:spacing w:before="130" w:line="260" w:lineRule="exact"/>
        <w:jc w:val="both"/>
        <w:rPr>
          <w:szCs w:val="28"/>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0"/>
      </w:tblGrid>
      <w:tr w:rsidR="005B59F4" w:rsidRPr="00215EA9" w:rsidTr="007E5B9B">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B59F4" w:rsidRPr="00215EA9" w:rsidRDefault="005B59F4" w:rsidP="0015589C">
            <w:pPr>
              <w:spacing w:before="100" w:beforeAutospacing="1" w:after="100" w:afterAutospacing="1" w:line="293" w:lineRule="atLeast"/>
              <w:jc w:val="center"/>
              <w:rPr>
                <w:b/>
                <w:bCs/>
                <w:sz w:val="28"/>
                <w:szCs w:val="28"/>
              </w:rPr>
            </w:pPr>
            <w:r w:rsidRPr="00215EA9">
              <w:rPr>
                <w:b/>
                <w:bCs/>
                <w:sz w:val="28"/>
                <w:szCs w:val="28"/>
              </w:rPr>
              <w:t>V. Tiesību akta projekta atbilstība Latvijas Republikas starptautiskajām saistībām</w:t>
            </w:r>
          </w:p>
        </w:tc>
      </w:tr>
      <w:tr w:rsidR="007E5B9B" w:rsidRPr="00215EA9" w:rsidTr="007E5B9B">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E5B9B" w:rsidRPr="00215EA9" w:rsidRDefault="007E5B9B" w:rsidP="0015589C">
            <w:pPr>
              <w:spacing w:before="100" w:beforeAutospacing="1" w:after="100" w:afterAutospacing="1" w:line="293" w:lineRule="atLeast"/>
              <w:jc w:val="center"/>
              <w:rPr>
                <w:b/>
                <w:bCs/>
                <w:sz w:val="28"/>
                <w:szCs w:val="28"/>
              </w:rPr>
            </w:pPr>
            <w:r w:rsidRPr="00215EA9">
              <w:rPr>
                <w:sz w:val="28"/>
                <w:szCs w:val="28"/>
              </w:rPr>
              <w:t>Projekts šo jomu neskar.</w:t>
            </w:r>
          </w:p>
        </w:tc>
      </w:tr>
    </w:tbl>
    <w:p w:rsidR="007E5B9B" w:rsidRPr="00215EA9" w:rsidRDefault="007E5B9B" w:rsidP="005B59F4">
      <w:pPr>
        <w:pStyle w:val="Title"/>
        <w:spacing w:before="130" w:line="260" w:lineRule="exact"/>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702"/>
        <w:gridCol w:w="7080"/>
      </w:tblGrid>
      <w:tr w:rsidR="003530C3" w:rsidRPr="00215EA9" w:rsidTr="00DC6A62">
        <w:trPr>
          <w:cantSplit/>
        </w:trPr>
        <w:tc>
          <w:tcPr>
            <w:tcW w:w="5000" w:type="pct"/>
            <w:gridSpan w:val="3"/>
            <w:vAlign w:val="center"/>
            <w:hideMark/>
          </w:tcPr>
          <w:p w:rsidR="003530C3" w:rsidRPr="00215EA9" w:rsidRDefault="003530C3" w:rsidP="00F77A6F">
            <w:pPr>
              <w:jc w:val="center"/>
              <w:rPr>
                <w:b/>
                <w:bCs/>
                <w:sz w:val="28"/>
                <w:szCs w:val="28"/>
              </w:rPr>
            </w:pPr>
            <w:r w:rsidRPr="00215EA9">
              <w:rPr>
                <w:b/>
                <w:bCs/>
                <w:sz w:val="28"/>
                <w:szCs w:val="28"/>
              </w:rPr>
              <w:t>VI. Sabiedrības līdzdalība un komunikācijas aktivitātes</w:t>
            </w:r>
          </w:p>
        </w:tc>
      </w:tr>
      <w:tr w:rsidR="003530C3" w:rsidRPr="00215EA9" w:rsidTr="00DC6A62">
        <w:trPr>
          <w:cantSplit/>
        </w:trPr>
        <w:tc>
          <w:tcPr>
            <w:tcW w:w="154" w:type="pct"/>
            <w:hideMark/>
          </w:tcPr>
          <w:p w:rsidR="003530C3" w:rsidRPr="00215EA9" w:rsidRDefault="003530C3" w:rsidP="00F77A6F">
            <w:pPr>
              <w:jc w:val="center"/>
              <w:rPr>
                <w:sz w:val="28"/>
                <w:szCs w:val="28"/>
              </w:rPr>
            </w:pPr>
            <w:r w:rsidRPr="00215EA9">
              <w:rPr>
                <w:sz w:val="28"/>
                <w:szCs w:val="28"/>
              </w:rPr>
              <w:t>1.</w:t>
            </w:r>
          </w:p>
        </w:tc>
        <w:tc>
          <w:tcPr>
            <w:tcW w:w="939" w:type="pct"/>
            <w:hideMark/>
          </w:tcPr>
          <w:p w:rsidR="003530C3" w:rsidRPr="00215EA9" w:rsidRDefault="003530C3" w:rsidP="00F77A6F">
            <w:pPr>
              <w:rPr>
                <w:sz w:val="28"/>
                <w:szCs w:val="28"/>
              </w:rPr>
            </w:pPr>
            <w:r w:rsidRPr="00215EA9">
              <w:rPr>
                <w:sz w:val="28"/>
                <w:szCs w:val="28"/>
              </w:rPr>
              <w:t>Plānotās sabiedrības līdzdalības un komunikācijas aktivitātes saistībā ar projektu</w:t>
            </w:r>
          </w:p>
        </w:tc>
        <w:tc>
          <w:tcPr>
            <w:tcW w:w="3907" w:type="pct"/>
            <w:hideMark/>
          </w:tcPr>
          <w:p w:rsidR="003530C3" w:rsidRPr="00215EA9" w:rsidRDefault="006E0166" w:rsidP="00F77A6F">
            <w:pPr>
              <w:jc w:val="both"/>
              <w:rPr>
                <w:sz w:val="28"/>
                <w:szCs w:val="28"/>
              </w:rPr>
            </w:pPr>
            <w:r w:rsidRPr="00215EA9">
              <w:rPr>
                <w:sz w:val="28"/>
                <w:szCs w:val="28"/>
              </w:rPr>
              <w:t>Sabiedrības līdzdalība tika nodrošināta saskaņā ar Ministru kabineta 2009. gada 25. augusta noteikumiem Nr. 970 “Sabiedrības līdzdalības kārtība attīstības plānošanas procesā”, sagatavojot un publicējot paziņojumu par līdzdalības procesu.</w:t>
            </w:r>
          </w:p>
        </w:tc>
      </w:tr>
      <w:tr w:rsidR="003530C3" w:rsidRPr="00215EA9" w:rsidTr="00DC6A62">
        <w:trPr>
          <w:cantSplit/>
        </w:trPr>
        <w:tc>
          <w:tcPr>
            <w:tcW w:w="154" w:type="pct"/>
            <w:hideMark/>
          </w:tcPr>
          <w:p w:rsidR="003530C3" w:rsidRPr="00215EA9" w:rsidRDefault="003530C3" w:rsidP="00F77A6F">
            <w:pPr>
              <w:jc w:val="center"/>
              <w:rPr>
                <w:sz w:val="28"/>
                <w:szCs w:val="28"/>
              </w:rPr>
            </w:pPr>
            <w:r w:rsidRPr="00215EA9">
              <w:rPr>
                <w:sz w:val="28"/>
                <w:szCs w:val="28"/>
              </w:rPr>
              <w:t>2.</w:t>
            </w:r>
          </w:p>
        </w:tc>
        <w:tc>
          <w:tcPr>
            <w:tcW w:w="939" w:type="pct"/>
            <w:hideMark/>
          </w:tcPr>
          <w:p w:rsidR="003530C3" w:rsidRPr="00215EA9" w:rsidRDefault="003530C3" w:rsidP="00F77A6F">
            <w:pPr>
              <w:rPr>
                <w:sz w:val="28"/>
                <w:szCs w:val="28"/>
              </w:rPr>
            </w:pPr>
            <w:r w:rsidRPr="00215EA9">
              <w:rPr>
                <w:sz w:val="28"/>
                <w:szCs w:val="28"/>
              </w:rPr>
              <w:t>Sabiedrības līdzdalība projekta izstrādē</w:t>
            </w:r>
          </w:p>
        </w:tc>
        <w:tc>
          <w:tcPr>
            <w:tcW w:w="3907" w:type="pct"/>
            <w:hideMark/>
          </w:tcPr>
          <w:p w:rsidR="00DC6A62" w:rsidRPr="006644B6" w:rsidRDefault="00DC6A62" w:rsidP="00DC6A62">
            <w:pPr>
              <w:jc w:val="both"/>
              <w:rPr>
                <w:sz w:val="28"/>
                <w:szCs w:val="28"/>
              </w:rPr>
            </w:pPr>
            <w:r w:rsidRPr="006644B6">
              <w:rPr>
                <w:sz w:val="28"/>
                <w:szCs w:val="28"/>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2019.gada </w:t>
            </w:r>
            <w:r w:rsidR="006644B6" w:rsidRPr="006644B6">
              <w:rPr>
                <w:sz w:val="28"/>
                <w:szCs w:val="28"/>
              </w:rPr>
              <w:t>18</w:t>
            </w:r>
            <w:r w:rsidRPr="006644B6">
              <w:rPr>
                <w:sz w:val="28"/>
                <w:szCs w:val="28"/>
              </w:rPr>
              <w:t>.</w:t>
            </w:r>
            <w:r w:rsidR="006644B6" w:rsidRPr="006644B6">
              <w:rPr>
                <w:sz w:val="28"/>
                <w:szCs w:val="28"/>
              </w:rPr>
              <w:t>decembrī</w:t>
            </w:r>
            <w:r w:rsidRPr="006644B6">
              <w:rPr>
                <w:sz w:val="28"/>
                <w:szCs w:val="28"/>
              </w:rPr>
              <w:t xml:space="preserve"> ievietots </w:t>
            </w:r>
            <w:proofErr w:type="spellStart"/>
            <w:r w:rsidRPr="006644B6">
              <w:rPr>
                <w:sz w:val="28"/>
                <w:szCs w:val="28"/>
              </w:rPr>
              <w:t>Iekšlietu</w:t>
            </w:r>
            <w:proofErr w:type="spellEnd"/>
            <w:r w:rsidRPr="006644B6">
              <w:rPr>
                <w:sz w:val="28"/>
                <w:szCs w:val="28"/>
              </w:rPr>
              <w:t xml:space="preserve"> ministrijas mājas lapā sadaļā „Sabiedrības līdzdalība” </w:t>
            </w:r>
            <w:proofErr w:type="spellStart"/>
            <w:r w:rsidRPr="006644B6">
              <w:rPr>
                <w:sz w:val="28"/>
                <w:szCs w:val="28"/>
              </w:rPr>
              <w:t>apakšsadaļā</w:t>
            </w:r>
            <w:proofErr w:type="spellEnd"/>
            <w:r w:rsidRPr="006644B6">
              <w:rPr>
                <w:sz w:val="28"/>
                <w:szCs w:val="28"/>
              </w:rPr>
              <w:t xml:space="preserve"> ”Diskusiju dokumenti”, tīmekļvietnes adrese: </w:t>
            </w:r>
          </w:p>
          <w:p w:rsidR="006644B6" w:rsidRPr="006644B6" w:rsidRDefault="006644B6" w:rsidP="00DC6A62">
            <w:pPr>
              <w:jc w:val="both"/>
              <w:rPr>
                <w:sz w:val="28"/>
                <w:szCs w:val="28"/>
              </w:rPr>
            </w:pPr>
            <w:hyperlink r:id="rId6" w:history="1">
              <w:r w:rsidRPr="006644B6">
                <w:rPr>
                  <w:rStyle w:val="Hyperlink"/>
                  <w:sz w:val="28"/>
                  <w:szCs w:val="28"/>
                </w:rPr>
                <w:t>http://www.iem.gov.lv/lat/sadarbiba_ar_nvo/diskusiju_dokumenti/?doc=42357</w:t>
              </w:r>
            </w:hyperlink>
          </w:p>
          <w:p w:rsidR="003530C3" w:rsidRPr="006644B6" w:rsidRDefault="00DC6A62" w:rsidP="006644B6">
            <w:pPr>
              <w:pStyle w:val="NormalWeb"/>
              <w:spacing w:after="0"/>
              <w:jc w:val="both"/>
              <w:rPr>
                <w:sz w:val="28"/>
                <w:szCs w:val="28"/>
              </w:rPr>
            </w:pPr>
            <w:proofErr w:type="spellStart"/>
            <w:r w:rsidRPr="006644B6">
              <w:rPr>
                <w:sz w:val="28"/>
                <w:szCs w:val="28"/>
              </w:rPr>
              <w:t>Iekšlietu</w:t>
            </w:r>
            <w:proofErr w:type="spellEnd"/>
            <w:r w:rsidRPr="006644B6">
              <w:rPr>
                <w:sz w:val="28"/>
                <w:szCs w:val="28"/>
              </w:rPr>
              <w:t xml:space="preserve"> ministrija, izpildot Ministru kabineta 2009.gada 25.augusta noteikumu Nr.970 ”Sabiedrības līdzdalības kārtība attīstības plānoša</w:t>
            </w:r>
            <w:bookmarkStart w:id="0" w:name="_GoBack"/>
            <w:bookmarkEnd w:id="0"/>
            <w:r w:rsidRPr="006644B6">
              <w:rPr>
                <w:sz w:val="28"/>
                <w:szCs w:val="28"/>
              </w:rPr>
              <w:t xml:space="preserve">nas procesā” 14.punktu, projektu 2019.gada </w:t>
            </w:r>
            <w:r w:rsidR="006644B6" w:rsidRPr="006644B6">
              <w:rPr>
                <w:sz w:val="28"/>
                <w:szCs w:val="28"/>
              </w:rPr>
              <w:t>18</w:t>
            </w:r>
            <w:r w:rsidRPr="006644B6">
              <w:rPr>
                <w:sz w:val="28"/>
                <w:szCs w:val="28"/>
              </w:rPr>
              <w:t>.</w:t>
            </w:r>
            <w:r w:rsidR="006644B6" w:rsidRPr="006644B6">
              <w:rPr>
                <w:sz w:val="28"/>
                <w:szCs w:val="28"/>
              </w:rPr>
              <w:t>decembrī</w:t>
            </w:r>
            <w:r w:rsidRPr="006644B6">
              <w:rPr>
                <w:sz w:val="28"/>
                <w:szCs w:val="28"/>
              </w:rPr>
              <w:t xml:space="preserve"> nosūtīja Valsts kancelejai </w:t>
            </w:r>
            <w:hyperlink r:id="rId7" w:history="1">
              <w:r w:rsidR="006644B6" w:rsidRPr="006644B6">
                <w:rPr>
                  <w:rStyle w:val="Hyperlink"/>
                  <w:sz w:val="28"/>
                  <w:szCs w:val="28"/>
                </w:rPr>
                <w:t>https://www.mk.gov.lv/content/ministru-kabineta-diskusiju-dokumenti</w:t>
              </w:r>
            </w:hyperlink>
            <w:r w:rsidRPr="006644B6">
              <w:rPr>
                <w:sz w:val="28"/>
                <w:szCs w:val="28"/>
              </w:rPr>
              <w:t>.</w:t>
            </w:r>
          </w:p>
        </w:tc>
      </w:tr>
      <w:tr w:rsidR="003530C3" w:rsidRPr="00215EA9" w:rsidTr="00DC6A62">
        <w:trPr>
          <w:cantSplit/>
        </w:trPr>
        <w:tc>
          <w:tcPr>
            <w:tcW w:w="154" w:type="pct"/>
            <w:hideMark/>
          </w:tcPr>
          <w:p w:rsidR="003530C3" w:rsidRPr="00215EA9" w:rsidRDefault="003530C3" w:rsidP="00F77A6F">
            <w:pPr>
              <w:jc w:val="center"/>
              <w:rPr>
                <w:sz w:val="28"/>
                <w:szCs w:val="28"/>
              </w:rPr>
            </w:pPr>
            <w:r w:rsidRPr="00215EA9">
              <w:rPr>
                <w:sz w:val="28"/>
                <w:szCs w:val="28"/>
              </w:rPr>
              <w:t>3.</w:t>
            </w:r>
          </w:p>
        </w:tc>
        <w:tc>
          <w:tcPr>
            <w:tcW w:w="939" w:type="pct"/>
            <w:hideMark/>
          </w:tcPr>
          <w:p w:rsidR="003530C3" w:rsidRPr="00215EA9" w:rsidRDefault="003530C3" w:rsidP="00F77A6F">
            <w:pPr>
              <w:rPr>
                <w:sz w:val="28"/>
                <w:szCs w:val="28"/>
              </w:rPr>
            </w:pPr>
            <w:r w:rsidRPr="00215EA9">
              <w:rPr>
                <w:sz w:val="28"/>
                <w:szCs w:val="28"/>
              </w:rPr>
              <w:t>Sabiedrības līdzdalības rezultāti</w:t>
            </w:r>
          </w:p>
        </w:tc>
        <w:tc>
          <w:tcPr>
            <w:tcW w:w="3907" w:type="pct"/>
          </w:tcPr>
          <w:p w:rsidR="003530C3" w:rsidRPr="006644B6" w:rsidRDefault="00DC6A62" w:rsidP="009F738C">
            <w:pPr>
              <w:pStyle w:val="NormalWeb"/>
              <w:spacing w:after="0"/>
              <w:jc w:val="both"/>
              <w:rPr>
                <w:sz w:val="28"/>
                <w:szCs w:val="28"/>
              </w:rPr>
            </w:pPr>
            <w:r w:rsidRPr="006644B6">
              <w:rPr>
                <w:iCs/>
                <w:sz w:val="28"/>
                <w:szCs w:val="28"/>
              </w:rPr>
              <w:t>Projekta izstrādes laikā priekšlikumi netika saņemti.</w:t>
            </w:r>
          </w:p>
        </w:tc>
      </w:tr>
      <w:tr w:rsidR="003530C3" w:rsidRPr="00215EA9" w:rsidTr="00DC6A62">
        <w:trPr>
          <w:cantSplit/>
        </w:trPr>
        <w:tc>
          <w:tcPr>
            <w:tcW w:w="154" w:type="pct"/>
            <w:hideMark/>
          </w:tcPr>
          <w:p w:rsidR="003530C3" w:rsidRPr="00215EA9" w:rsidRDefault="003530C3" w:rsidP="00F77A6F">
            <w:pPr>
              <w:jc w:val="center"/>
              <w:rPr>
                <w:sz w:val="28"/>
                <w:szCs w:val="28"/>
              </w:rPr>
            </w:pPr>
            <w:r w:rsidRPr="00215EA9">
              <w:rPr>
                <w:sz w:val="28"/>
                <w:szCs w:val="28"/>
              </w:rPr>
              <w:t>4.</w:t>
            </w:r>
          </w:p>
        </w:tc>
        <w:tc>
          <w:tcPr>
            <w:tcW w:w="939" w:type="pct"/>
            <w:hideMark/>
          </w:tcPr>
          <w:p w:rsidR="003530C3" w:rsidRPr="00215EA9" w:rsidRDefault="003530C3" w:rsidP="00F77A6F">
            <w:pPr>
              <w:rPr>
                <w:sz w:val="28"/>
                <w:szCs w:val="28"/>
              </w:rPr>
            </w:pPr>
            <w:r w:rsidRPr="00215EA9">
              <w:rPr>
                <w:sz w:val="28"/>
                <w:szCs w:val="28"/>
              </w:rPr>
              <w:t>Cita informācija</w:t>
            </w:r>
          </w:p>
        </w:tc>
        <w:tc>
          <w:tcPr>
            <w:tcW w:w="3907" w:type="pct"/>
            <w:hideMark/>
          </w:tcPr>
          <w:p w:rsidR="003530C3" w:rsidRPr="00215EA9" w:rsidRDefault="003530C3" w:rsidP="00F77A6F">
            <w:pPr>
              <w:rPr>
                <w:sz w:val="28"/>
                <w:szCs w:val="28"/>
              </w:rPr>
            </w:pPr>
            <w:r w:rsidRPr="00215EA9">
              <w:rPr>
                <w:sz w:val="28"/>
                <w:szCs w:val="28"/>
              </w:rPr>
              <w:t>Nav.</w:t>
            </w:r>
          </w:p>
        </w:tc>
      </w:tr>
    </w:tbl>
    <w:p w:rsidR="00E15674" w:rsidRPr="00215EA9" w:rsidRDefault="00E15674" w:rsidP="003530C3">
      <w:pPr>
        <w:pStyle w:val="Title"/>
        <w:spacing w:before="130"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215EA9" w:rsidTr="00F77A6F">
        <w:trPr>
          <w:cantSplit/>
        </w:trPr>
        <w:tc>
          <w:tcPr>
            <w:tcW w:w="5000" w:type="pct"/>
            <w:gridSpan w:val="3"/>
            <w:vAlign w:val="center"/>
            <w:hideMark/>
          </w:tcPr>
          <w:p w:rsidR="003530C3" w:rsidRPr="00215EA9" w:rsidRDefault="003530C3" w:rsidP="00F77A6F">
            <w:pPr>
              <w:jc w:val="center"/>
              <w:rPr>
                <w:b/>
                <w:bCs/>
                <w:sz w:val="28"/>
                <w:szCs w:val="28"/>
              </w:rPr>
            </w:pPr>
            <w:r w:rsidRPr="00215EA9">
              <w:rPr>
                <w:b/>
                <w:bCs/>
                <w:sz w:val="28"/>
                <w:szCs w:val="28"/>
              </w:rPr>
              <w:t>VII. Tiesību akta projekta izpildes nodrošināšana un tās ietekme uz institūcijām</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lastRenderedPageBreak/>
              <w:t>1.</w:t>
            </w:r>
          </w:p>
        </w:tc>
        <w:tc>
          <w:tcPr>
            <w:tcW w:w="1479" w:type="pct"/>
            <w:hideMark/>
          </w:tcPr>
          <w:p w:rsidR="003530C3" w:rsidRPr="00215EA9" w:rsidRDefault="003530C3" w:rsidP="00F77A6F">
            <w:pPr>
              <w:rPr>
                <w:sz w:val="28"/>
                <w:szCs w:val="28"/>
              </w:rPr>
            </w:pPr>
            <w:r w:rsidRPr="00215EA9">
              <w:rPr>
                <w:sz w:val="28"/>
                <w:szCs w:val="28"/>
              </w:rPr>
              <w:t>Projekta izpildē iesaistītās institūcijas</w:t>
            </w:r>
          </w:p>
        </w:tc>
        <w:tc>
          <w:tcPr>
            <w:tcW w:w="3210" w:type="pct"/>
            <w:hideMark/>
          </w:tcPr>
          <w:p w:rsidR="004B1D1D" w:rsidRPr="00215EA9" w:rsidRDefault="00CC1E1E" w:rsidP="00F77A6F">
            <w:pPr>
              <w:rPr>
                <w:sz w:val="28"/>
                <w:szCs w:val="28"/>
              </w:rPr>
            </w:pPr>
            <w:r w:rsidRPr="00215EA9">
              <w:rPr>
                <w:sz w:val="28"/>
                <w:szCs w:val="28"/>
              </w:rPr>
              <w:t>Valsts policija</w:t>
            </w:r>
            <w:r w:rsidR="004B1D1D" w:rsidRPr="00215EA9">
              <w:rPr>
                <w:sz w:val="28"/>
                <w:szCs w:val="28"/>
              </w:rPr>
              <w:t>, vietējā pašvaldība, kā arī citas institūcijas savas kompetences ietvaros.</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2.</w:t>
            </w:r>
          </w:p>
        </w:tc>
        <w:tc>
          <w:tcPr>
            <w:tcW w:w="1479" w:type="pct"/>
            <w:hideMark/>
          </w:tcPr>
          <w:p w:rsidR="003530C3" w:rsidRPr="00215EA9" w:rsidRDefault="003530C3" w:rsidP="00F77A6F">
            <w:pPr>
              <w:rPr>
                <w:sz w:val="28"/>
                <w:szCs w:val="28"/>
              </w:rPr>
            </w:pPr>
            <w:r w:rsidRPr="00215EA9">
              <w:rPr>
                <w:sz w:val="28"/>
                <w:szCs w:val="28"/>
              </w:rPr>
              <w:t>Projekta izpildes ietekme uz pārvaldes funkcijām un institucionālo struktūru.</w:t>
            </w:r>
            <w:r w:rsidRPr="00215EA9">
              <w:rPr>
                <w:sz w:val="28"/>
                <w:szCs w:val="28"/>
              </w:rPr>
              <w:br/>
              <w:t>Jaunu institūciju izveide, esošu institūciju likvidācija vai reorganizācija, to ietekme uz institūcijas cilvēkresursiem</w:t>
            </w:r>
          </w:p>
        </w:tc>
        <w:tc>
          <w:tcPr>
            <w:tcW w:w="3210" w:type="pct"/>
            <w:hideMark/>
          </w:tcPr>
          <w:p w:rsidR="003530C3" w:rsidRPr="00215EA9" w:rsidRDefault="006F41F3" w:rsidP="00F77A6F">
            <w:pPr>
              <w:jc w:val="both"/>
              <w:rPr>
                <w:sz w:val="28"/>
                <w:szCs w:val="28"/>
              </w:rPr>
            </w:pPr>
            <w:r w:rsidRPr="00215EA9">
              <w:rPr>
                <w:sz w:val="28"/>
                <w:szCs w:val="28"/>
              </w:rPr>
              <w:t>Projekta izpildes rezultātā nav paredzēta esošu institūciju likvidācija vai reorganizācija. Iestāžu institucionālā struktūra netiek ietekmēta, papildus cilvēkresursi nav nepieciešami.</w:t>
            </w:r>
          </w:p>
        </w:tc>
      </w:tr>
      <w:tr w:rsidR="003530C3" w:rsidRPr="00215EA9" w:rsidTr="00F77A6F">
        <w:trPr>
          <w:cantSplit/>
        </w:trPr>
        <w:tc>
          <w:tcPr>
            <w:tcW w:w="311" w:type="pct"/>
            <w:hideMark/>
          </w:tcPr>
          <w:p w:rsidR="003530C3" w:rsidRPr="00215EA9" w:rsidRDefault="003530C3" w:rsidP="00F77A6F">
            <w:pPr>
              <w:jc w:val="center"/>
              <w:rPr>
                <w:sz w:val="28"/>
                <w:szCs w:val="28"/>
              </w:rPr>
            </w:pPr>
            <w:r w:rsidRPr="00215EA9">
              <w:rPr>
                <w:sz w:val="28"/>
                <w:szCs w:val="28"/>
              </w:rPr>
              <w:t>3.</w:t>
            </w:r>
          </w:p>
        </w:tc>
        <w:tc>
          <w:tcPr>
            <w:tcW w:w="1479" w:type="pct"/>
            <w:hideMark/>
          </w:tcPr>
          <w:p w:rsidR="003530C3" w:rsidRPr="00215EA9" w:rsidRDefault="003530C3" w:rsidP="00F77A6F">
            <w:pPr>
              <w:rPr>
                <w:sz w:val="28"/>
                <w:szCs w:val="28"/>
              </w:rPr>
            </w:pPr>
            <w:r w:rsidRPr="00215EA9">
              <w:rPr>
                <w:sz w:val="28"/>
                <w:szCs w:val="28"/>
              </w:rPr>
              <w:t>Cita informācija</w:t>
            </w:r>
          </w:p>
        </w:tc>
        <w:tc>
          <w:tcPr>
            <w:tcW w:w="3210" w:type="pct"/>
            <w:hideMark/>
          </w:tcPr>
          <w:p w:rsidR="003530C3" w:rsidRPr="00215EA9" w:rsidRDefault="003530C3" w:rsidP="00F77A6F">
            <w:pPr>
              <w:rPr>
                <w:sz w:val="28"/>
                <w:szCs w:val="28"/>
              </w:rPr>
            </w:pPr>
            <w:r w:rsidRPr="00215EA9">
              <w:rPr>
                <w:sz w:val="28"/>
                <w:szCs w:val="28"/>
              </w:rPr>
              <w:t>Nav.</w:t>
            </w:r>
          </w:p>
        </w:tc>
      </w:tr>
    </w:tbl>
    <w:p w:rsidR="003530C3" w:rsidRPr="00215EA9" w:rsidRDefault="003530C3" w:rsidP="003530C3">
      <w:pPr>
        <w:rPr>
          <w:sz w:val="28"/>
          <w:szCs w:val="28"/>
        </w:rPr>
      </w:pPr>
    </w:p>
    <w:p w:rsidR="003530C3" w:rsidRPr="00215EA9" w:rsidRDefault="003530C3" w:rsidP="003530C3">
      <w:pPr>
        <w:tabs>
          <w:tab w:val="left" w:pos="6521"/>
        </w:tabs>
        <w:jc w:val="both"/>
        <w:rPr>
          <w:sz w:val="28"/>
          <w:szCs w:val="28"/>
        </w:rPr>
      </w:pPr>
    </w:p>
    <w:p w:rsidR="003530C3" w:rsidRPr="00215EA9" w:rsidRDefault="006F41F3" w:rsidP="003530C3">
      <w:pPr>
        <w:tabs>
          <w:tab w:val="left" w:pos="6521"/>
        </w:tabs>
        <w:jc w:val="both"/>
        <w:rPr>
          <w:sz w:val="28"/>
          <w:szCs w:val="28"/>
        </w:rPr>
      </w:pPr>
      <w:r w:rsidRPr="00215EA9">
        <w:rPr>
          <w:sz w:val="28"/>
          <w:szCs w:val="28"/>
        </w:rPr>
        <w:t>Iekšlietu ministrs</w:t>
      </w:r>
      <w:r w:rsidRPr="00215EA9">
        <w:rPr>
          <w:sz w:val="28"/>
          <w:szCs w:val="28"/>
        </w:rPr>
        <w:tab/>
        <w:t>Sandis Ģirģens</w:t>
      </w:r>
    </w:p>
    <w:p w:rsidR="003530C3" w:rsidRPr="00215EA9" w:rsidRDefault="003530C3" w:rsidP="003530C3">
      <w:pPr>
        <w:pStyle w:val="naisf"/>
        <w:rPr>
          <w:sz w:val="28"/>
          <w:szCs w:val="28"/>
        </w:rPr>
      </w:pPr>
    </w:p>
    <w:p w:rsidR="006606C1" w:rsidRPr="00215EA9" w:rsidRDefault="006606C1" w:rsidP="003530C3">
      <w:pPr>
        <w:pStyle w:val="naisf"/>
        <w:rPr>
          <w:sz w:val="28"/>
          <w:szCs w:val="28"/>
        </w:rPr>
      </w:pPr>
    </w:p>
    <w:p w:rsidR="003530C3" w:rsidRPr="00215EA9" w:rsidRDefault="00315698" w:rsidP="003530C3">
      <w:pPr>
        <w:pStyle w:val="naisf"/>
        <w:rPr>
          <w:sz w:val="28"/>
          <w:szCs w:val="28"/>
        </w:rPr>
      </w:pPr>
      <w:r w:rsidRPr="00215EA9">
        <w:rPr>
          <w:sz w:val="28"/>
          <w:szCs w:val="28"/>
        </w:rPr>
        <w:t>Vīza: valsts sekretārs</w:t>
      </w:r>
      <w:r w:rsidRPr="00215EA9">
        <w:rPr>
          <w:sz w:val="28"/>
          <w:szCs w:val="28"/>
        </w:rPr>
        <w:tab/>
      </w:r>
      <w:r w:rsidRPr="00215EA9">
        <w:rPr>
          <w:sz w:val="28"/>
          <w:szCs w:val="28"/>
        </w:rPr>
        <w:tab/>
      </w:r>
      <w:r w:rsidRPr="00215EA9">
        <w:rPr>
          <w:sz w:val="28"/>
          <w:szCs w:val="28"/>
        </w:rPr>
        <w:tab/>
        <w:t xml:space="preserve">  </w:t>
      </w:r>
      <w:r w:rsidRPr="00215EA9">
        <w:rPr>
          <w:sz w:val="28"/>
          <w:szCs w:val="28"/>
        </w:rPr>
        <w:tab/>
      </w:r>
      <w:r w:rsidRPr="00215EA9">
        <w:rPr>
          <w:sz w:val="28"/>
          <w:szCs w:val="28"/>
        </w:rPr>
        <w:tab/>
      </w:r>
      <w:r w:rsidRPr="00215EA9">
        <w:rPr>
          <w:sz w:val="28"/>
          <w:szCs w:val="28"/>
        </w:rPr>
        <w:tab/>
      </w:r>
      <w:r w:rsidR="001502EF" w:rsidRPr="00215EA9">
        <w:rPr>
          <w:sz w:val="28"/>
          <w:szCs w:val="28"/>
        </w:rPr>
        <w:t xml:space="preserve">Dimitrijs </w:t>
      </w:r>
      <w:r w:rsidR="003530C3" w:rsidRPr="00215EA9">
        <w:rPr>
          <w:sz w:val="28"/>
          <w:szCs w:val="28"/>
        </w:rPr>
        <w:t>Trofimovs</w:t>
      </w:r>
    </w:p>
    <w:p w:rsidR="003530C3" w:rsidRPr="00215EA9" w:rsidRDefault="003530C3" w:rsidP="003530C3">
      <w:pPr>
        <w:pStyle w:val="naisf"/>
        <w:spacing w:before="0" w:after="0"/>
        <w:rPr>
          <w:sz w:val="28"/>
          <w:szCs w:val="28"/>
        </w:rPr>
      </w:pPr>
    </w:p>
    <w:p w:rsidR="00215EA9" w:rsidRPr="007736B4" w:rsidRDefault="00215EA9"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5933F0" w:rsidRDefault="005933F0" w:rsidP="003530C3">
      <w:pPr>
        <w:rPr>
          <w:sz w:val="20"/>
          <w:szCs w:val="20"/>
        </w:rPr>
      </w:pPr>
    </w:p>
    <w:p w:rsidR="006F41F3" w:rsidRPr="007736B4" w:rsidRDefault="006F41F3" w:rsidP="003530C3">
      <w:pPr>
        <w:rPr>
          <w:sz w:val="20"/>
          <w:szCs w:val="20"/>
        </w:rPr>
      </w:pPr>
    </w:p>
    <w:p w:rsidR="003530C3" w:rsidRPr="007736B4" w:rsidRDefault="00B402F6" w:rsidP="003530C3">
      <w:pPr>
        <w:rPr>
          <w:sz w:val="20"/>
          <w:szCs w:val="20"/>
        </w:rPr>
      </w:pPr>
      <w:r>
        <w:rPr>
          <w:sz w:val="20"/>
          <w:szCs w:val="20"/>
        </w:rPr>
        <w:t>Lejniece-Riekstiņa</w:t>
      </w:r>
      <w:r w:rsidR="00A26071" w:rsidRPr="007736B4">
        <w:rPr>
          <w:sz w:val="20"/>
          <w:szCs w:val="20"/>
        </w:rPr>
        <w:t>, 67208</w:t>
      </w:r>
      <w:r>
        <w:rPr>
          <w:sz w:val="20"/>
          <w:szCs w:val="20"/>
        </w:rPr>
        <w:t>100</w:t>
      </w:r>
    </w:p>
    <w:p w:rsidR="00E04BDC" w:rsidRPr="007736B4" w:rsidRDefault="006644B6" w:rsidP="003530C3">
      <w:pPr>
        <w:rPr>
          <w:sz w:val="20"/>
          <w:szCs w:val="20"/>
        </w:rPr>
      </w:pPr>
      <w:hyperlink r:id="rId8" w:history="1">
        <w:r w:rsidR="00B402F6">
          <w:rPr>
            <w:rStyle w:val="Hyperlink"/>
            <w:sz w:val="20"/>
            <w:szCs w:val="20"/>
          </w:rPr>
          <w:t>dina.lejniece-riekstina@vp.gov.lv</w:t>
        </w:r>
      </w:hyperlink>
    </w:p>
    <w:p w:rsidR="00E04BDC" w:rsidRPr="007736B4" w:rsidRDefault="00094774" w:rsidP="00094774">
      <w:pPr>
        <w:tabs>
          <w:tab w:val="left" w:pos="7410"/>
        </w:tabs>
        <w:rPr>
          <w:sz w:val="20"/>
          <w:szCs w:val="20"/>
        </w:rPr>
      </w:pPr>
      <w:r>
        <w:rPr>
          <w:sz w:val="20"/>
          <w:szCs w:val="20"/>
        </w:rPr>
        <w:tab/>
      </w:r>
    </w:p>
    <w:sectPr w:rsidR="00E04BDC" w:rsidRPr="007736B4" w:rsidSect="00AD37B6">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7F" w:rsidRDefault="00C40F7F" w:rsidP="00576B88">
      <w:r>
        <w:separator/>
      </w:r>
    </w:p>
  </w:endnote>
  <w:endnote w:type="continuationSeparator" w:id="0">
    <w:p w:rsidR="00C40F7F" w:rsidRDefault="00C40F7F"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B5" w:rsidRDefault="00266E6B" w:rsidP="00B364B5">
    <w:pPr>
      <w:pStyle w:val="Footer"/>
      <w:jc w:val="both"/>
    </w:pPr>
    <w:r>
      <w:rPr>
        <w:sz w:val="20"/>
        <w:szCs w:val="20"/>
      </w:rPr>
      <w:t>IEMa</w:t>
    </w:r>
    <w:r w:rsidR="00B364B5">
      <w:rPr>
        <w:sz w:val="20"/>
        <w:szCs w:val="20"/>
      </w:rPr>
      <w:t>n</w:t>
    </w:r>
    <w:r w:rsidR="00B364B5" w:rsidRPr="003E0172">
      <w:rPr>
        <w:sz w:val="20"/>
        <w:szCs w:val="20"/>
      </w:rPr>
      <w:t>ot_</w:t>
    </w:r>
    <w:r w:rsidR="00DC6A62">
      <w:rPr>
        <w:sz w:val="20"/>
        <w:szCs w:val="20"/>
      </w:rPr>
      <w:t>0212</w:t>
    </w:r>
    <w:r w:rsidR="00215EA9">
      <w:rPr>
        <w:sz w:val="20"/>
        <w:szCs w:val="20"/>
      </w:rPr>
      <w:t>19</w:t>
    </w:r>
    <w:r w:rsidR="00B364B5" w:rsidRPr="003E0172">
      <w:rPr>
        <w:sz w:val="20"/>
        <w:szCs w:val="20"/>
      </w:rPr>
      <w:t>_</w:t>
    </w:r>
    <w:r w:rsidR="00215EA9">
      <w:rPr>
        <w:sz w:val="20"/>
        <w:szCs w:val="20"/>
      </w:rPr>
      <w:t>Šautuves</w:t>
    </w:r>
  </w:p>
  <w:p w:rsidR="00576B88" w:rsidRPr="00B364B5" w:rsidRDefault="00576B88" w:rsidP="00B36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B6" w:rsidRDefault="00266E6B" w:rsidP="00AB27B1">
    <w:pPr>
      <w:pStyle w:val="Footer"/>
      <w:jc w:val="both"/>
    </w:pPr>
    <w:r>
      <w:rPr>
        <w:sz w:val="20"/>
        <w:szCs w:val="20"/>
      </w:rPr>
      <w:t>IEMa</w:t>
    </w:r>
    <w:r w:rsidR="00B364B5">
      <w:rPr>
        <w:sz w:val="20"/>
        <w:szCs w:val="20"/>
      </w:rPr>
      <w:t>n</w:t>
    </w:r>
    <w:r w:rsidR="00576B88" w:rsidRPr="003E0172">
      <w:rPr>
        <w:sz w:val="20"/>
        <w:szCs w:val="20"/>
      </w:rPr>
      <w:t>ot_</w:t>
    </w:r>
    <w:r w:rsidR="005A2A6D">
      <w:rPr>
        <w:sz w:val="20"/>
        <w:szCs w:val="20"/>
      </w:rPr>
      <w:t>021219</w:t>
    </w:r>
    <w:r w:rsidR="00576B88" w:rsidRPr="003E0172">
      <w:rPr>
        <w:sz w:val="20"/>
        <w:szCs w:val="20"/>
      </w:rPr>
      <w:t>_</w:t>
    </w:r>
    <w:r w:rsidR="00215EA9">
      <w:rPr>
        <w:sz w:val="20"/>
        <w:szCs w:val="20"/>
      </w:rPr>
      <w:t>Šautuves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7F" w:rsidRDefault="00C40F7F" w:rsidP="00576B88">
      <w:r>
        <w:separator/>
      </w:r>
    </w:p>
  </w:footnote>
  <w:footnote w:type="continuationSeparator" w:id="0">
    <w:p w:rsidR="00C40F7F" w:rsidRDefault="00C40F7F"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AD37B6" w:rsidRDefault="00060D2F">
        <w:pPr>
          <w:pStyle w:val="Header"/>
          <w:jc w:val="center"/>
        </w:pPr>
        <w:r>
          <w:fldChar w:fldCharType="begin"/>
        </w:r>
        <w:r>
          <w:instrText xml:space="preserve"> PAGE   \* MERGEFORMAT </w:instrText>
        </w:r>
        <w:r>
          <w:fldChar w:fldCharType="separate"/>
        </w:r>
        <w:r w:rsidR="006644B6">
          <w:rPr>
            <w:noProof/>
          </w:rPr>
          <w:t>5</w:t>
        </w:r>
        <w:r>
          <w:rPr>
            <w:noProof/>
          </w:rPr>
          <w:fldChar w:fldCharType="end"/>
        </w:r>
      </w:p>
    </w:sdtContent>
  </w:sdt>
  <w:p w:rsidR="00AD37B6" w:rsidRDefault="00664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4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3"/>
    <w:rsid w:val="00006A1F"/>
    <w:rsid w:val="00011D97"/>
    <w:rsid w:val="000153A7"/>
    <w:rsid w:val="000372E7"/>
    <w:rsid w:val="000415B0"/>
    <w:rsid w:val="00043A6B"/>
    <w:rsid w:val="00060D2F"/>
    <w:rsid w:val="0008796D"/>
    <w:rsid w:val="000912BB"/>
    <w:rsid w:val="00094774"/>
    <w:rsid w:val="000A0B42"/>
    <w:rsid w:val="000A733A"/>
    <w:rsid w:val="000B11B2"/>
    <w:rsid w:val="000B15DA"/>
    <w:rsid w:val="000C1335"/>
    <w:rsid w:val="000C67C1"/>
    <w:rsid w:val="000D1F33"/>
    <w:rsid w:val="000F6620"/>
    <w:rsid w:val="00100D3E"/>
    <w:rsid w:val="00107BC6"/>
    <w:rsid w:val="00117044"/>
    <w:rsid w:val="0014339B"/>
    <w:rsid w:val="0014609C"/>
    <w:rsid w:val="001502EF"/>
    <w:rsid w:val="001523ED"/>
    <w:rsid w:val="0015284C"/>
    <w:rsid w:val="00152ED1"/>
    <w:rsid w:val="00156E01"/>
    <w:rsid w:val="001836E9"/>
    <w:rsid w:val="00184889"/>
    <w:rsid w:val="001A5CB2"/>
    <w:rsid w:val="001B1B4C"/>
    <w:rsid w:val="001D19CC"/>
    <w:rsid w:val="001D5F6A"/>
    <w:rsid w:val="001E1778"/>
    <w:rsid w:val="001E7363"/>
    <w:rsid w:val="001E763F"/>
    <w:rsid w:val="001F21D3"/>
    <w:rsid w:val="0021400A"/>
    <w:rsid w:val="00215EA9"/>
    <w:rsid w:val="00217B17"/>
    <w:rsid w:val="00226917"/>
    <w:rsid w:val="002418FE"/>
    <w:rsid w:val="00244D40"/>
    <w:rsid w:val="00254913"/>
    <w:rsid w:val="0026102B"/>
    <w:rsid w:val="00264B3E"/>
    <w:rsid w:val="0026658A"/>
    <w:rsid w:val="00266E6B"/>
    <w:rsid w:val="00281088"/>
    <w:rsid w:val="0028174F"/>
    <w:rsid w:val="0029250C"/>
    <w:rsid w:val="002F17F7"/>
    <w:rsid w:val="002F38DE"/>
    <w:rsid w:val="00302D52"/>
    <w:rsid w:val="003068B1"/>
    <w:rsid w:val="003100E5"/>
    <w:rsid w:val="003120D8"/>
    <w:rsid w:val="00315698"/>
    <w:rsid w:val="0032195B"/>
    <w:rsid w:val="00332D38"/>
    <w:rsid w:val="00337F54"/>
    <w:rsid w:val="003530C3"/>
    <w:rsid w:val="003564CC"/>
    <w:rsid w:val="003608C6"/>
    <w:rsid w:val="00360D17"/>
    <w:rsid w:val="00371F57"/>
    <w:rsid w:val="003814F5"/>
    <w:rsid w:val="00394466"/>
    <w:rsid w:val="0039665A"/>
    <w:rsid w:val="003C403F"/>
    <w:rsid w:val="003D53A2"/>
    <w:rsid w:val="003D6F31"/>
    <w:rsid w:val="003F70FA"/>
    <w:rsid w:val="0041782F"/>
    <w:rsid w:val="00427EDE"/>
    <w:rsid w:val="00430376"/>
    <w:rsid w:val="00433BC7"/>
    <w:rsid w:val="00443C03"/>
    <w:rsid w:val="004474C3"/>
    <w:rsid w:val="00447B58"/>
    <w:rsid w:val="00466BE7"/>
    <w:rsid w:val="00486839"/>
    <w:rsid w:val="004A47E1"/>
    <w:rsid w:val="004B1D1D"/>
    <w:rsid w:val="004B67EA"/>
    <w:rsid w:val="004C31F8"/>
    <w:rsid w:val="0050628F"/>
    <w:rsid w:val="005069D3"/>
    <w:rsid w:val="00506B7D"/>
    <w:rsid w:val="005138A2"/>
    <w:rsid w:val="00513D24"/>
    <w:rsid w:val="005323A4"/>
    <w:rsid w:val="005328AE"/>
    <w:rsid w:val="0053559A"/>
    <w:rsid w:val="00551E8D"/>
    <w:rsid w:val="00560F3B"/>
    <w:rsid w:val="005654F9"/>
    <w:rsid w:val="00576B88"/>
    <w:rsid w:val="00590240"/>
    <w:rsid w:val="005933F0"/>
    <w:rsid w:val="00595FA2"/>
    <w:rsid w:val="005A2A6D"/>
    <w:rsid w:val="005B264C"/>
    <w:rsid w:val="005B5578"/>
    <w:rsid w:val="005B59F4"/>
    <w:rsid w:val="005C064D"/>
    <w:rsid w:val="005C722A"/>
    <w:rsid w:val="005C72DC"/>
    <w:rsid w:val="005F576A"/>
    <w:rsid w:val="00615FAB"/>
    <w:rsid w:val="006238E5"/>
    <w:rsid w:val="00623E07"/>
    <w:rsid w:val="00625BCC"/>
    <w:rsid w:val="00627960"/>
    <w:rsid w:val="0063369C"/>
    <w:rsid w:val="00645C90"/>
    <w:rsid w:val="00657815"/>
    <w:rsid w:val="006606C1"/>
    <w:rsid w:val="006644B6"/>
    <w:rsid w:val="00664737"/>
    <w:rsid w:val="00670B10"/>
    <w:rsid w:val="006B0E42"/>
    <w:rsid w:val="006B57F4"/>
    <w:rsid w:val="006B6EB2"/>
    <w:rsid w:val="006C12FD"/>
    <w:rsid w:val="006C2F54"/>
    <w:rsid w:val="006C438E"/>
    <w:rsid w:val="006C7661"/>
    <w:rsid w:val="006D0880"/>
    <w:rsid w:val="006E0166"/>
    <w:rsid w:val="006E41E7"/>
    <w:rsid w:val="006F41F3"/>
    <w:rsid w:val="006F5A80"/>
    <w:rsid w:val="006F7E00"/>
    <w:rsid w:val="00704736"/>
    <w:rsid w:val="00743DD9"/>
    <w:rsid w:val="00745C3D"/>
    <w:rsid w:val="007578A6"/>
    <w:rsid w:val="007736B4"/>
    <w:rsid w:val="00777C79"/>
    <w:rsid w:val="00783693"/>
    <w:rsid w:val="0079518E"/>
    <w:rsid w:val="007A7E6D"/>
    <w:rsid w:val="007B75FA"/>
    <w:rsid w:val="007B7991"/>
    <w:rsid w:val="007C3E8F"/>
    <w:rsid w:val="007C731F"/>
    <w:rsid w:val="007D5AEE"/>
    <w:rsid w:val="007E5B9B"/>
    <w:rsid w:val="007E7008"/>
    <w:rsid w:val="008059DA"/>
    <w:rsid w:val="00825BD7"/>
    <w:rsid w:val="00850F70"/>
    <w:rsid w:val="008539A0"/>
    <w:rsid w:val="008605BB"/>
    <w:rsid w:val="00866081"/>
    <w:rsid w:val="008707C6"/>
    <w:rsid w:val="00875C0F"/>
    <w:rsid w:val="00881D34"/>
    <w:rsid w:val="00896738"/>
    <w:rsid w:val="00897380"/>
    <w:rsid w:val="008A65C6"/>
    <w:rsid w:val="008B11B7"/>
    <w:rsid w:val="008B2B89"/>
    <w:rsid w:val="008B40C9"/>
    <w:rsid w:val="008C3BE4"/>
    <w:rsid w:val="008C6B6F"/>
    <w:rsid w:val="008D3EC2"/>
    <w:rsid w:val="008D528D"/>
    <w:rsid w:val="008E38F9"/>
    <w:rsid w:val="008E7E69"/>
    <w:rsid w:val="008F1AD8"/>
    <w:rsid w:val="00921006"/>
    <w:rsid w:val="00933470"/>
    <w:rsid w:val="00934F79"/>
    <w:rsid w:val="00943FC6"/>
    <w:rsid w:val="00945A15"/>
    <w:rsid w:val="00945A2D"/>
    <w:rsid w:val="00965A77"/>
    <w:rsid w:val="00975589"/>
    <w:rsid w:val="00975AA4"/>
    <w:rsid w:val="0097776B"/>
    <w:rsid w:val="00984B56"/>
    <w:rsid w:val="00994913"/>
    <w:rsid w:val="009A523E"/>
    <w:rsid w:val="009B1A4E"/>
    <w:rsid w:val="009C1923"/>
    <w:rsid w:val="009D126D"/>
    <w:rsid w:val="009E799C"/>
    <w:rsid w:val="009F43A6"/>
    <w:rsid w:val="009F5ACA"/>
    <w:rsid w:val="009F738C"/>
    <w:rsid w:val="00A02688"/>
    <w:rsid w:val="00A14244"/>
    <w:rsid w:val="00A26071"/>
    <w:rsid w:val="00A32E24"/>
    <w:rsid w:val="00A34D6B"/>
    <w:rsid w:val="00A40FB5"/>
    <w:rsid w:val="00A515D2"/>
    <w:rsid w:val="00A518AE"/>
    <w:rsid w:val="00A96ACF"/>
    <w:rsid w:val="00AA652F"/>
    <w:rsid w:val="00AD3E3F"/>
    <w:rsid w:val="00AF3168"/>
    <w:rsid w:val="00B0797A"/>
    <w:rsid w:val="00B167D2"/>
    <w:rsid w:val="00B364B5"/>
    <w:rsid w:val="00B3679B"/>
    <w:rsid w:val="00B402F6"/>
    <w:rsid w:val="00B5199E"/>
    <w:rsid w:val="00B55935"/>
    <w:rsid w:val="00B62ADF"/>
    <w:rsid w:val="00B82DFC"/>
    <w:rsid w:val="00B86FAB"/>
    <w:rsid w:val="00B95A9F"/>
    <w:rsid w:val="00B966A3"/>
    <w:rsid w:val="00BB39F6"/>
    <w:rsid w:val="00BC56C7"/>
    <w:rsid w:val="00BE1C82"/>
    <w:rsid w:val="00BF34AA"/>
    <w:rsid w:val="00BF6B13"/>
    <w:rsid w:val="00BF6E4C"/>
    <w:rsid w:val="00C3320C"/>
    <w:rsid w:val="00C40F7F"/>
    <w:rsid w:val="00C600EE"/>
    <w:rsid w:val="00C61C0E"/>
    <w:rsid w:val="00C70874"/>
    <w:rsid w:val="00C728E2"/>
    <w:rsid w:val="00C80DC6"/>
    <w:rsid w:val="00C86D78"/>
    <w:rsid w:val="00C94AD4"/>
    <w:rsid w:val="00C94E18"/>
    <w:rsid w:val="00CA374F"/>
    <w:rsid w:val="00CB49FC"/>
    <w:rsid w:val="00CB722D"/>
    <w:rsid w:val="00CC1E1E"/>
    <w:rsid w:val="00CC503B"/>
    <w:rsid w:val="00CE5539"/>
    <w:rsid w:val="00CF447D"/>
    <w:rsid w:val="00D00DD2"/>
    <w:rsid w:val="00D019EF"/>
    <w:rsid w:val="00D15690"/>
    <w:rsid w:val="00D230F7"/>
    <w:rsid w:val="00D546C4"/>
    <w:rsid w:val="00D975F8"/>
    <w:rsid w:val="00DA11B3"/>
    <w:rsid w:val="00DC10DD"/>
    <w:rsid w:val="00DC6A62"/>
    <w:rsid w:val="00DD1ECC"/>
    <w:rsid w:val="00DD6EFD"/>
    <w:rsid w:val="00DF583A"/>
    <w:rsid w:val="00DF6EC0"/>
    <w:rsid w:val="00E04BDC"/>
    <w:rsid w:val="00E0679B"/>
    <w:rsid w:val="00E06846"/>
    <w:rsid w:val="00E07561"/>
    <w:rsid w:val="00E13E72"/>
    <w:rsid w:val="00E15674"/>
    <w:rsid w:val="00E2001A"/>
    <w:rsid w:val="00E35440"/>
    <w:rsid w:val="00E50754"/>
    <w:rsid w:val="00E65669"/>
    <w:rsid w:val="00E65DE2"/>
    <w:rsid w:val="00E67441"/>
    <w:rsid w:val="00EA4D86"/>
    <w:rsid w:val="00EA6146"/>
    <w:rsid w:val="00ED097C"/>
    <w:rsid w:val="00ED1D23"/>
    <w:rsid w:val="00ED25B9"/>
    <w:rsid w:val="00EE160B"/>
    <w:rsid w:val="00EE2C39"/>
    <w:rsid w:val="00F04445"/>
    <w:rsid w:val="00F11E63"/>
    <w:rsid w:val="00F17C30"/>
    <w:rsid w:val="00F304D5"/>
    <w:rsid w:val="00F30B97"/>
    <w:rsid w:val="00F33D19"/>
    <w:rsid w:val="00F450BC"/>
    <w:rsid w:val="00F45986"/>
    <w:rsid w:val="00F50C2F"/>
    <w:rsid w:val="00F535DC"/>
    <w:rsid w:val="00F7433C"/>
    <w:rsid w:val="00F74FE0"/>
    <w:rsid w:val="00F8626E"/>
    <w:rsid w:val="00F94ACA"/>
    <w:rsid w:val="00F95F60"/>
    <w:rsid w:val="00FA40A1"/>
    <w:rsid w:val="00FA60CB"/>
    <w:rsid w:val="00FB6504"/>
    <w:rsid w:val="00FC4FB5"/>
    <w:rsid w:val="00FD3EFB"/>
    <w:rsid w:val="00FD4A9B"/>
    <w:rsid w:val="00FE267D"/>
    <w:rsid w:val="00FE4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D978ADA-E1C8-4EC5-BA9E-A30A20E9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3"/>
    <w:rPr>
      <w:rFonts w:eastAsia="Times New Roman" w:cs="Times New Roman"/>
      <w:sz w:val="24"/>
      <w:szCs w:val="24"/>
      <w:lang w:eastAsia="lv-LV"/>
    </w:rPr>
  </w:style>
  <w:style w:type="paragraph" w:styleId="Heading3">
    <w:name w:val="heading 3"/>
    <w:basedOn w:val="Normal"/>
    <w:link w:val="Heading3Char"/>
    <w:uiPriority w:val="9"/>
    <w:qFormat/>
    <w:rsid w:val="003530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C3"/>
    <w:rPr>
      <w:rFonts w:eastAsia="Times New Roman" w:cs="Times New Roman"/>
      <w:b/>
      <w:bCs/>
      <w:sz w:val="27"/>
      <w:szCs w:val="27"/>
      <w:lang w:eastAsia="lv-LV"/>
    </w:rPr>
  </w:style>
  <w:style w:type="paragraph" w:styleId="Title">
    <w:name w:val="Title"/>
    <w:basedOn w:val="Normal"/>
    <w:link w:val="TitleChar"/>
    <w:qFormat/>
    <w:rsid w:val="003530C3"/>
    <w:pPr>
      <w:jc w:val="center"/>
    </w:pPr>
    <w:rPr>
      <w:sz w:val="28"/>
      <w:szCs w:val="20"/>
      <w:lang w:eastAsia="en-US"/>
    </w:rPr>
  </w:style>
  <w:style w:type="character" w:customStyle="1" w:styleId="TitleChar">
    <w:name w:val="Title Char"/>
    <w:basedOn w:val="DefaultParagraphFont"/>
    <w:link w:val="Title"/>
    <w:rsid w:val="003530C3"/>
    <w:rPr>
      <w:rFonts w:eastAsia="Times New Roman" w:cs="Times New Roman"/>
      <w:szCs w:val="20"/>
    </w:rPr>
  </w:style>
  <w:style w:type="character" w:styleId="Hyperlink">
    <w:name w:val="Hyperlink"/>
    <w:basedOn w:val="DefaultParagraphFont"/>
    <w:uiPriority w:val="99"/>
    <w:unhideWhenUsed/>
    <w:rsid w:val="003530C3"/>
    <w:rPr>
      <w:color w:val="0000FF"/>
      <w:u w:val="single"/>
    </w:rPr>
  </w:style>
  <w:style w:type="paragraph" w:styleId="Header">
    <w:name w:val="header"/>
    <w:basedOn w:val="Normal"/>
    <w:link w:val="HeaderChar"/>
    <w:uiPriority w:val="99"/>
    <w:unhideWhenUsed/>
    <w:rsid w:val="003530C3"/>
    <w:pPr>
      <w:tabs>
        <w:tab w:val="center" w:pos="4153"/>
        <w:tab w:val="right" w:pos="8306"/>
      </w:tabs>
    </w:pPr>
  </w:style>
  <w:style w:type="character" w:customStyle="1" w:styleId="HeaderChar">
    <w:name w:val="Header Char"/>
    <w:basedOn w:val="DefaultParagraphFont"/>
    <w:link w:val="Header"/>
    <w:uiPriority w:val="99"/>
    <w:rsid w:val="003530C3"/>
    <w:rPr>
      <w:rFonts w:eastAsia="Times New Roman" w:cs="Times New Roman"/>
      <w:sz w:val="24"/>
      <w:szCs w:val="24"/>
      <w:lang w:eastAsia="lv-LV"/>
    </w:rPr>
  </w:style>
  <w:style w:type="paragraph" w:styleId="Footer">
    <w:name w:val="footer"/>
    <w:basedOn w:val="Normal"/>
    <w:link w:val="FooterChar"/>
    <w:uiPriority w:val="99"/>
    <w:unhideWhenUsed/>
    <w:rsid w:val="003530C3"/>
    <w:pPr>
      <w:tabs>
        <w:tab w:val="center" w:pos="4153"/>
        <w:tab w:val="right" w:pos="8306"/>
      </w:tabs>
    </w:pPr>
  </w:style>
  <w:style w:type="character" w:customStyle="1" w:styleId="FooterChar">
    <w:name w:val="Footer Char"/>
    <w:basedOn w:val="DefaultParagraphFont"/>
    <w:link w:val="Footer"/>
    <w:uiPriority w:val="99"/>
    <w:rsid w:val="003530C3"/>
    <w:rPr>
      <w:rFonts w:eastAsia="Times New Roman" w:cs="Times New Roman"/>
      <w:sz w:val="24"/>
      <w:szCs w:val="24"/>
      <w:lang w:eastAsia="lv-LV"/>
    </w:rPr>
  </w:style>
  <w:style w:type="paragraph" w:customStyle="1" w:styleId="naisf">
    <w:name w:val="naisf"/>
    <w:basedOn w:val="Normal"/>
    <w:rsid w:val="003530C3"/>
    <w:pPr>
      <w:spacing w:before="100" w:after="100"/>
    </w:pPr>
    <w:rPr>
      <w:szCs w:val="20"/>
    </w:rPr>
  </w:style>
  <w:style w:type="paragraph" w:customStyle="1" w:styleId="NormalWebCharChar">
    <w:name w:val="Normal (Web) Char Char"/>
    <w:basedOn w:val="Normal"/>
    <w:rsid w:val="003530C3"/>
    <w:pPr>
      <w:widowControl w:val="0"/>
      <w:suppressAutoHyphens/>
      <w:spacing w:before="280" w:after="280"/>
    </w:pPr>
    <w:rPr>
      <w:color w:val="000000"/>
      <w:sz w:val="20"/>
      <w:szCs w:val="20"/>
      <w:lang w:eastAsia="zh-CN"/>
    </w:rPr>
  </w:style>
  <w:style w:type="paragraph" w:styleId="ListParagraph">
    <w:name w:val="List Paragraph"/>
    <w:basedOn w:val="Normal"/>
    <w:uiPriority w:val="34"/>
    <w:qFormat/>
    <w:rsid w:val="006606C1"/>
    <w:pPr>
      <w:ind w:left="720"/>
      <w:contextualSpacing/>
    </w:pPr>
  </w:style>
  <w:style w:type="paragraph" w:styleId="BalloonText">
    <w:name w:val="Balloon Text"/>
    <w:basedOn w:val="Normal"/>
    <w:link w:val="BalloonTextChar"/>
    <w:uiPriority w:val="99"/>
    <w:semiHidden/>
    <w:unhideWhenUsed/>
    <w:rsid w:val="001D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CC"/>
    <w:rPr>
      <w:rFonts w:ascii="Segoe UI" w:eastAsia="Times New Roman" w:hAnsi="Segoe UI" w:cs="Segoe UI"/>
      <w:sz w:val="18"/>
      <w:szCs w:val="18"/>
      <w:lang w:eastAsia="lv-LV"/>
    </w:rPr>
  </w:style>
  <w:style w:type="paragraph" w:styleId="NormalWeb">
    <w:name w:val="Normal (Web)"/>
    <w:basedOn w:val="Normal"/>
    <w:uiPriority w:val="99"/>
    <w:unhideWhenUsed/>
    <w:rsid w:val="00866081"/>
    <w:pPr>
      <w:spacing w:before="100" w:beforeAutospacing="1" w:after="119"/>
    </w:pPr>
  </w:style>
  <w:style w:type="character" w:styleId="CommentReference">
    <w:name w:val="annotation reference"/>
    <w:rsid w:val="00C80DC6"/>
    <w:rPr>
      <w:sz w:val="16"/>
      <w:szCs w:val="16"/>
    </w:rPr>
  </w:style>
  <w:style w:type="paragraph" w:customStyle="1" w:styleId="tv213">
    <w:name w:val="tv213"/>
    <w:basedOn w:val="Normal"/>
    <w:rsid w:val="006F7E00"/>
    <w:pPr>
      <w:spacing w:before="100" w:beforeAutospacing="1" w:after="100" w:afterAutospacing="1"/>
    </w:pPr>
  </w:style>
  <w:style w:type="table" w:styleId="TableGrid">
    <w:name w:val="Table Grid"/>
    <w:basedOn w:val="TableNormal"/>
    <w:uiPriority w:val="39"/>
    <w:rsid w:val="00DC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806">
      <w:bodyDiv w:val="1"/>
      <w:marLeft w:val="0"/>
      <w:marRight w:val="0"/>
      <w:marTop w:val="0"/>
      <w:marBottom w:val="0"/>
      <w:divBdr>
        <w:top w:val="none" w:sz="0" w:space="0" w:color="auto"/>
        <w:left w:val="none" w:sz="0" w:space="0" w:color="auto"/>
        <w:bottom w:val="none" w:sz="0" w:space="0" w:color="auto"/>
        <w:right w:val="none" w:sz="0" w:space="0" w:color="auto"/>
      </w:divBdr>
    </w:div>
    <w:div w:id="102849806">
      <w:bodyDiv w:val="1"/>
      <w:marLeft w:val="0"/>
      <w:marRight w:val="0"/>
      <w:marTop w:val="0"/>
      <w:marBottom w:val="0"/>
      <w:divBdr>
        <w:top w:val="none" w:sz="0" w:space="0" w:color="auto"/>
        <w:left w:val="none" w:sz="0" w:space="0" w:color="auto"/>
        <w:bottom w:val="none" w:sz="0" w:space="0" w:color="auto"/>
        <w:right w:val="none" w:sz="0" w:space="0" w:color="auto"/>
      </w:divBdr>
    </w:div>
    <w:div w:id="109514084">
      <w:bodyDiv w:val="1"/>
      <w:marLeft w:val="0"/>
      <w:marRight w:val="0"/>
      <w:marTop w:val="0"/>
      <w:marBottom w:val="0"/>
      <w:divBdr>
        <w:top w:val="none" w:sz="0" w:space="0" w:color="auto"/>
        <w:left w:val="none" w:sz="0" w:space="0" w:color="auto"/>
        <w:bottom w:val="none" w:sz="0" w:space="0" w:color="auto"/>
        <w:right w:val="none" w:sz="0" w:space="0" w:color="auto"/>
      </w:divBdr>
    </w:div>
    <w:div w:id="343675696">
      <w:bodyDiv w:val="1"/>
      <w:marLeft w:val="0"/>
      <w:marRight w:val="0"/>
      <w:marTop w:val="0"/>
      <w:marBottom w:val="0"/>
      <w:divBdr>
        <w:top w:val="none" w:sz="0" w:space="0" w:color="auto"/>
        <w:left w:val="none" w:sz="0" w:space="0" w:color="auto"/>
        <w:bottom w:val="none" w:sz="0" w:space="0" w:color="auto"/>
        <w:right w:val="none" w:sz="0" w:space="0" w:color="auto"/>
      </w:divBdr>
    </w:div>
    <w:div w:id="476184703">
      <w:bodyDiv w:val="1"/>
      <w:marLeft w:val="0"/>
      <w:marRight w:val="0"/>
      <w:marTop w:val="0"/>
      <w:marBottom w:val="0"/>
      <w:divBdr>
        <w:top w:val="none" w:sz="0" w:space="0" w:color="auto"/>
        <w:left w:val="none" w:sz="0" w:space="0" w:color="auto"/>
        <w:bottom w:val="none" w:sz="0" w:space="0" w:color="auto"/>
        <w:right w:val="none" w:sz="0" w:space="0" w:color="auto"/>
      </w:divBdr>
    </w:div>
    <w:div w:id="866605427">
      <w:bodyDiv w:val="1"/>
      <w:marLeft w:val="0"/>
      <w:marRight w:val="0"/>
      <w:marTop w:val="0"/>
      <w:marBottom w:val="0"/>
      <w:divBdr>
        <w:top w:val="none" w:sz="0" w:space="0" w:color="auto"/>
        <w:left w:val="none" w:sz="0" w:space="0" w:color="auto"/>
        <w:bottom w:val="none" w:sz="0" w:space="0" w:color="auto"/>
        <w:right w:val="none" w:sz="0" w:space="0" w:color="auto"/>
      </w:divBdr>
    </w:div>
    <w:div w:id="936641835">
      <w:bodyDiv w:val="1"/>
      <w:marLeft w:val="0"/>
      <w:marRight w:val="0"/>
      <w:marTop w:val="0"/>
      <w:marBottom w:val="0"/>
      <w:divBdr>
        <w:top w:val="none" w:sz="0" w:space="0" w:color="auto"/>
        <w:left w:val="none" w:sz="0" w:space="0" w:color="auto"/>
        <w:bottom w:val="none" w:sz="0" w:space="0" w:color="auto"/>
        <w:right w:val="none" w:sz="0" w:space="0" w:color="auto"/>
      </w:divBdr>
    </w:div>
    <w:div w:id="996806256">
      <w:bodyDiv w:val="1"/>
      <w:marLeft w:val="0"/>
      <w:marRight w:val="0"/>
      <w:marTop w:val="0"/>
      <w:marBottom w:val="0"/>
      <w:divBdr>
        <w:top w:val="none" w:sz="0" w:space="0" w:color="auto"/>
        <w:left w:val="none" w:sz="0" w:space="0" w:color="auto"/>
        <w:bottom w:val="none" w:sz="0" w:space="0" w:color="auto"/>
        <w:right w:val="none" w:sz="0" w:space="0" w:color="auto"/>
      </w:divBdr>
    </w:div>
    <w:div w:id="1018043821">
      <w:bodyDiv w:val="1"/>
      <w:marLeft w:val="0"/>
      <w:marRight w:val="0"/>
      <w:marTop w:val="0"/>
      <w:marBottom w:val="0"/>
      <w:divBdr>
        <w:top w:val="none" w:sz="0" w:space="0" w:color="auto"/>
        <w:left w:val="none" w:sz="0" w:space="0" w:color="auto"/>
        <w:bottom w:val="none" w:sz="0" w:space="0" w:color="auto"/>
        <w:right w:val="none" w:sz="0" w:space="0" w:color="auto"/>
      </w:divBdr>
    </w:div>
    <w:div w:id="1044718861">
      <w:bodyDiv w:val="1"/>
      <w:marLeft w:val="0"/>
      <w:marRight w:val="0"/>
      <w:marTop w:val="0"/>
      <w:marBottom w:val="0"/>
      <w:divBdr>
        <w:top w:val="none" w:sz="0" w:space="0" w:color="auto"/>
        <w:left w:val="none" w:sz="0" w:space="0" w:color="auto"/>
        <w:bottom w:val="none" w:sz="0" w:space="0" w:color="auto"/>
        <w:right w:val="none" w:sz="0" w:space="0" w:color="auto"/>
      </w:divBdr>
    </w:div>
    <w:div w:id="1101560888">
      <w:bodyDiv w:val="1"/>
      <w:marLeft w:val="0"/>
      <w:marRight w:val="0"/>
      <w:marTop w:val="0"/>
      <w:marBottom w:val="0"/>
      <w:divBdr>
        <w:top w:val="none" w:sz="0" w:space="0" w:color="auto"/>
        <w:left w:val="none" w:sz="0" w:space="0" w:color="auto"/>
        <w:bottom w:val="none" w:sz="0" w:space="0" w:color="auto"/>
        <w:right w:val="none" w:sz="0" w:space="0" w:color="auto"/>
      </w:divBdr>
    </w:div>
    <w:div w:id="1159661211">
      <w:bodyDiv w:val="1"/>
      <w:marLeft w:val="0"/>
      <w:marRight w:val="0"/>
      <w:marTop w:val="0"/>
      <w:marBottom w:val="0"/>
      <w:divBdr>
        <w:top w:val="none" w:sz="0" w:space="0" w:color="auto"/>
        <w:left w:val="none" w:sz="0" w:space="0" w:color="auto"/>
        <w:bottom w:val="none" w:sz="0" w:space="0" w:color="auto"/>
        <w:right w:val="none" w:sz="0" w:space="0" w:color="auto"/>
      </w:divBdr>
    </w:div>
    <w:div w:id="1161652500">
      <w:bodyDiv w:val="1"/>
      <w:marLeft w:val="0"/>
      <w:marRight w:val="0"/>
      <w:marTop w:val="0"/>
      <w:marBottom w:val="0"/>
      <w:divBdr>
        <w:top w:val="none" w:sz="0" w:space="0" w:color="auto"/>
        <w:left w:val="none" w:sz="0" w:space="0" w:color="auto"/>
        <w:bottom w:val="none" w:sz="0" w:space="0" w:color="auto"/>
        <w:right w:val="none" w:sz="0" w:space="0" w:color="auto"/>
      </w:divBdr>
    </w:div>
    <w:div w:id="1395473900">
      <w:bodyDiv w:val="1"/>
      <w:marLeft w:val="0"/>
      <w:marRight w:val="0"/>
      <w:marTop w:val="0"/>
      <w:marBottom w:val="0"/>
      <w:divBdr>
        <w:top w:val="none" w:sz="0" w:space="0" w:color="auto"/>
        <w:left w:val="none" w:sz="0" w:space="0" w:color="auto"/>
        <w:bottom w:val="none" w:sz="0" w:space="0" w:color="auto"/>
        <w:right w:val="none" w:sz="0" w:space="0" w:color="auto"/>
      </w:divBdr>
    </w:div>
    <w:div w:id="1468283053">
      <w:bodyDiv w:val="1"/>
      <w:marLeft w:val="0"/>
      <w:marRight w:val="0"/>
      <w:marTop w:val="0"/>
      <w:marBottom w:val="0"/>
      <w:divBdr>
        <w:top w:val="none" w:sz="0" w:space="0" w:color="auto"/>
        <w:left w:val="none" w:sz="0" w:space="0" w:color="auto"/>
        <w:bottom w:val="none" w:sz="0" w:space="0" w:color="auto"/>
        <w:right w:val="none" w:sz="0" w:space="0" w:color="auto"/>
      </w:divBdr>
    </w:div>
    <w:div w:id="1471706958">
      <w:bodyDiv w:val="1"/>
      <w:marLeft w:val="0"/>
      <w:marRight w:val="0"/>
      <w:marTop w:val="0"/>
      <w:marBottom w:val="0"/>
      <w:divBdr>
        <w:top w:val="none" w:sz="0" w:space="0" w:color="auto"/>
        <w:left w:val="none" w:sz="0" w:space="0" w:color="auto"/>
        <w:bottom w:val="none" w:sz="0" w:space="0" w:color="auto"/>
        <w:right w:val="none" w:sz="0" w:space="0" w:color="auto"/>
      </w:divBdr>
    </w:div>
    <w:div w:id="1533105592">
      <w:bodyDiv w:val="1"/>
      <w:marLeft w:val="0"/>
      <w:marRight w:val="0"/>
      <w:marTop w:val="0"/>
      <w:marBottom w:val="0"/>
      <w:divBdr>
        <w:top w:val="none" w:sz="0" w:space="0" w:color="auto"/>
        <w:left w:val="none" w:sz="0" w:space="0" w:color="auto"/>
        <w:bottom w:val="none" w:sz="0" w:space="0" w:color="auto"/>
        <w:right w:val="none" w:sz="0" w:space="0" w:color="auto"/>
      </w:divBdr>
    </w:div>
    <w:div w:id="1715690539">
      <w:bodyDiv w:val="1"/>
      <w:marLeft w:val="0"/>
      <w:marRight w:val="0"/>
      <w:marTop w:val="0"/>
      <w:marBottom w:val="0"/>
      <w:divBdr>
        <w:top w:val="none" w:sz="0" w:space="0" w:color="auto"/>
        <w:left w:val="none" w:sz="0" w:space="0" w:color="auto"/>
        <w:bottom w:val="none" w:sz="0" w:space="0" w:color="auto"/>
        <w:right w:val="none" w:sz="0" w:space="0" w:color="auto"/>
      </w:divBdr>
    </w:div>
    <w:div w:id="1949505380">
      <w:bodyDiv w:val="1"/>
      <w:marLeft w:val="0"/>
      <w:marRight w:val="0"/>
      <w:marTop w:val="0"/>
      <w:marBottom w:val="0"/>
      <w:divBdr>
        <w:top w:val="none" w:sz="0" w:space="0" w:color="auto"/>
        <w:left w:val="none" w:sz="0" w:space="0" w:color="auto"/>
        <w:bottom w:val="none" w:sz="0" w:space="0" w:color="auto"/>
        <w:right w:val="none" w:sz="0" w:space="0" w:color="auto"/>
      </w:divBdr>
    </w:div>
    <w:div w:id="19841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matisans@vp.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k.gov.lv/content/ministru-kabineta-diskusiju-dokument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m.gov.lv/lat/sadarbiba_ar_nvo/diskusiju_dokumenti/?doc=42357"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5271</Words>
  <Characters>3006</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Lejniece-Riekstiņa, Dina</cp:lastModifiedBy>
  <cp:revision>18</cp:revision>
  <cp:lastPrinted>2018-02-16T08:13:00Z</cp:lastPrinted>
  <dcterms:created xsi:type="dcterms:W3CDTF">2019-03-07T08:13:00Z</dcterms:created>
  <dcterms:modified xsi:type="dcterms:W3CDTF">2020-01-13T12:08:00Z</dcterms:modified>
</cp:coreProperties>
</file>