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AEB5" w14:textId="77777777" w:rsidR="004A648D" w:rsidRDefault="004A648D" w:rsidP="00153ED4">
      <w:pPr>
        <w:jc w:val="center"/>
        <w:rPr>
          <w:rFonts w:eastAsia="Times New Roman"/>
          <w:b/>
          <w:bCs/>
          <w:lang w:val="lv-LV" w:eastAsia="lv-LV"/>
        </w:rPr>
      </w:pPr>
    </w:p>
    <w:p w14:paraId="48D183A4" w14:textId="50A29FB7" w:rsidR="00153ED4" w:rsidRPr="00202450" w:rsidRDefault="00153ED4" w:rsidP="00153ED4">
      <w:pPr>
        <w:jc w:val="center"/>
        <w:rPr>
          <w:b/>
          <w:lang w:val="lv-LV"/>
        </w:rPr>
      </w:pPr>
      <w:r w:rsidRPr="00202450">
        <w:rPr>
          <w:rFonts w:eastAsia="Times New Roman"/>
          <w:b/>
          <w:bCs/>
          <w:lang w:val="lv-LV" w:eastAsia="lv-LV"/>
        </w:rPr>
        <w:t>Ministru kabineta noteikumu projekta “</w:t>
      </w:r>
      <w:r w:rsidRPr="00202450">
        <w:rPr>
          <w:rFonts w:eastAsiaTheme="minorEastAsia"/>
          <w:b/>
          <w:lang w:val="lv-LV" w:eastAsia="lv-LV"/>
        </w:rPr>
        <w:t xml:space="preserve">Grozījumi Ministru kabineta 2013. gada 19. marta noteikumos Nr. 144 „Profesionālās izglītības kompetences centra statusa piešķiršanas un anulēšanas kārtība”” </w:t>
      </w:r>
      <w:r w:rsidRPr="00202450">
        <w:rPr>
          <w:b/>
          <w:lang w:val="lv-LV"/>
        </w:rPr>
        <w:t>sākotnējās ietekmes novērtējuma ziņojums (anotācija)</w:t>
      </w:r>
    </w:p>
    <w:p w14:paraId="28B4065E" w14:textId="77777777" w:rsidR="00153ED4" w:rsidRPr="00202450" w:rsidRDefault="00153ED4" w:rsidP="00153ED4">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153ED4" w:rsidRPr="00202450" w14:paraId="486AC50B" w14:textId="77777777" w:rsidTr="0064113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650B2F" w14:textId="77777777" w:rsidR="00153ED4" w:rsidRPr="00202450" w:rsidRDefault="00153ED4" w:rsidP="00641134">
            <w:pPr>
              <w:jc w:val="center"/>
              <w:rPr>
                <w:rFonts w:eastAsia="Times New Roman"/>
                <w:b/>
                <w:bCs/>
                <w:iCs/>
                <w:lang w:val="lv-LV" w:eastAsia="lv-LV"/>
              </w:rPr>
            </w:pPr>
            <w:r w:rsidRPr="00202450">
              <w:rPr>
                <w:rFonts w:eastAsia="Times New Roman"/>
                <w:b/>
                <w:bCs/>
                <w:iCs/>
                <w:lang w:val="lv-LV" w:eastAsia="lv-LV"/>
              </w:rPr>
              <w:t>Tiesību akta projekta anotācijas kopsavilkums</w:t>
            </w:r>
          </w:p>
        </w:tc>
      </w:tr>
      <w:tr w:rsidR="00153ED4" w:rsidRPr="00A40146" w14:paraId="455F6BA1" w14:textId="77777777" w:rsidTr="00641134">
        <w:trPr>
          <w:trHeight w:val="1427"/>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160EF6" w14:textId="77777777" w:rsidR="00153ED4" w:rsidRPr="00202450" w:rsidRDefault="00153ED4" w:rsidP="00641134">
            <w:pPr>
              <w:rPr>
                <w:rFonts w:eastAsia="Times New Roman"/>
                <w:iCs/>
                <w:lang w:val="lv-LV" w:eastAsia="lv-LV"/>
              </w:rPr>
            </w:pPr>
            <w:r w:rsidRPr="00202450">
              <w:rPr>
                <w:rFonts w:eastAsia="Times New Roman"/>
                <w:iCs/>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3D222DA" w14:textId="6DAD07A3" w:rsidR="001D0065" w:rsidRDefault="00204C3A" w:rsidP="001D0065">
            <w:pPr>
              <w:jc w:val="both"/>
              <w:rPr>
                <w:rFonts w:eastAsia="Times New Roman"/>
                <w:iCs/>
                <w:lang w:val="lv-LV" w:eastAsia="lv-LV"/>
              </w:rPr>
            </w:pPr>
            <w:r>
              <w:rPr>
                <w:rFonts w:eastAsia="Times New Roman"/>
                <w:iCs/>
                <w:lang w:val="lv-LV" w:eastAsia="lv-LV"/>
              </w:rPr>
              <w:t xml:space="preserve"> </w:t>
            </w:r>
            <w:r w:rsidR="001D0065" w:rsidRPr="001D0065">
              <w:rPr>
                <w:rFonts w:eastAsia="Times New Roman"/>
                <w:iCs/>
                <w:lang w:val="lv-LV" w:eastAsia="lv-LV"/>
              </w:rPr>
              <w:t>Ministru kabineta noteikumu projekts “Grozījumi Ministru kabineta 2013.gada 19.marta noteikumos Nr.144 “Profesionālās izglītības kompetences centra statusa piešķiršanas un anulēšanas kārtība” (turpmāk – noteikumu projekts)</w:t>
            </w:r>
            <w:r w:rsidR="001D0065" w:rsidRPr="002136A0">
              <w:rPr>
                <w:lang w:val="lv-LV"/>
              </w:rPr>
              <w:t xml:space="preserve"> </w:t>
            </w:r>
            <w:r w:rsidR="001D0065" w:rsidRPr="001D0065">
              <w:rPr>
                <w:rFonts w:eastAsia="Times New Roman"/>
                <w:iCs/>
                <w:lang w:val="lv-LV" w:eastAsia="lv-LV"/>
              </w:rPr>
              <w:t>paredz no</w:t>
            </w:r>
            <w:r w:rsidR="001D0065">
              <w:rPr>
                <w:rFonts w:eastAsia="Times New Roman"/>
                <w:iCs/>
                <w:lang w:val="lv-LV" w:eastAsia="lv-LV"/>
              </w:rPr>
              <w:t>teikt</w:t>
            </w:r>
            <w:r w:rsidR="001D0065" w:rsidRPr="001D0065">
              <w:rPr>
                <w:rFonts w:eastAsia="Times New Roman"/>
                <w:iCs/>
                <w:lang w:val="lv-LV" w:eastAsia="lv-LV"/>
              </w:rPr>
              <w:t>, ka izglītojamo skaitā, lai</w:t>
            </w:r>
            <w:r w:rsidR="001D0065">
              <w:rPr>
                <w:rFonts w:eastAsia="Times New Roman"/>
                <w:iCs/>
                <w:lang w:val="lv-LV" w:eastAsia="lv-LV"/>
              </w:rPr>
              <w:t xml:space="preserve"> profesionālās izglītības iestāde </w:t>
            </w:r>
            <w:r w:rsidR="001D0065" w:rsidRPr="001D0065">
              <w:rPr>
                <w:rFonts w:eastAsia="Times New Roman"/>
                <w:iCs/>
                <w:lang w:val="lv-LV" w:eastAsia="lv-LV"/>
              </w:rPr>
              <w:t>iegūtu vai saglabātu profesionālās izglītības kompetences centra (turpmāk – kompetences centrs)</w:t>
            </w:r>
            <w:r w:rsidR="001D0065">
              <w:rPr>
                <w:rFonts w:eastAsia="Times New Roman"/>
                <w:iCs/>
                <w:lang w:val="lv-LV" w:eastAsia="lv-LV"/>
              </w:rPr>
              <w:t xml:space="preserve"> </w:t>
            </w:r>
            <w:r w:rsidR="001D0065" w:rsidRPr="001D0065">
              <w:rPr>
                <w:rFonts w:eastAsia="Times New Roman"/>
                <w:iCs/>
                <w:lang w:val="lv-LV" w:eastAsia="lv-LV"/>
              </w:rPr>
              <w:t>statusu, iekļauja</w:t>
            </w:r>
            <w:r w:rsidR="001D0065">
              <w:rPr>
                <w:rFonts w:eastAsia="Times New Roman"/>
                <w:iCs/>
                <w:lang w:val="lv-LV" w:eastAsia="lv-LV"/>
              </w:rPr>
              <w:t xml:space="preserve">mi gan izglītojamie, kas mācās </w:t>
            </w:r>
            <w:r w:rsidR="001D0065" w:rsidRPr="001D0065">
              <w:rPr>
                <w:rFonts w:eastAsia="Times New Roman"/>
                <w:iCs/>
                <w:lang w:val="lv-LV" w:eastAsia="lv-LV"/>
              </w:rPr>
              <w:t>profesionālajā vidējā izglītībā, gan arodizglītībā. Tas veicinās to, ka</w:t>
            </w:r>
            <w:r w:rsidR="001D0065" w:rsidRPr="002136A0">
              <w:rPr>
                <w:lang w:val="lv-LV"/>
              </w:rPr>
              <w:t xml:space="preserve"> </w:t>
            </w:r>
            <w:r w:rsidR="001D0065" w:rsidRPr="001D0065">
              <w:rPr>
                <w:rFonts w:eastAsia="Times New Roman"/>
                <w:iCs/>
                <w:lang w:val="lv-LV" w:eastAsia="lv-LV"/>
              </w:rPr>
              <w:t>profesionālās izglītības iestādes, kas plāno iegūt kompetences centra stat</w:t>
            </w:r>
            <w:r w:rsidR="001D0065">
              <w:rPr>
                <w:rFonts w:eastAsia="Times New Roman"/>
                <w:iCs/>
                <w:lang w:val="lv-LV" w:eastAsia="lv-LV"/>
              </w:rPr>
              <w:t xml:space="preserve">usu, un tās, kam jau piešķirts </w:t>
            </w:r>
            <w:r w:rsidR="001D0065" w:rsidRPr="001D0065">
              <w:rPr>
                <w:rFonts w:eastAsia="Times New Roman"/>
                <w:iCs/>
                <w:lang w:val="lv-LV" w:eastAsia="lv-LV"/>
              </w:rPr>
              <w:t>kompetences centra statuss, papildus profesionālās vidēj</w:t>
            </w:r>
            <w:r w:rsidR="001D0065">
              <w:rPr>
                <w:rFonts w:eastAsia="Times New Roman"/>
                <w:iCs/>
                <w:lang w:val="lv-LV" w:eastAsia="lv-LV"/>
              </w:rPr>
              <w:t>ās izglītības programmām īstenos arodizglītības programmas</w:t>
            </w:r>
            <w:r w:rsidR="001D0065" w:rsidRPr="001D0065">
              <w:rPr>
                <w:rFonts w:eastAsia="Times New Roman"/>
                <w:iCs/>
                <w:lang w:val="lv-LV" w:eastAsia="lv-LV"/>
              </w:rPr>
              <w:t>, tādējādi izpildot  nozares pārstāvju pieprasījumu darba tirgum nepieciešam</w:t>
            </w:r>
            <w:r w:rsidR="001D0065">
              <w:rPr>
                <w:rFonts w:eastAsia="Times New Roman"/>
                <w:iCs/>
                <w:lang w:val="lv-LV" w:eastAsia="lv-LV"/>
              </w:rPr>
              <w:t xml:space="preserve">o speciālistu sagatavošanai un veicinot </w:t>
            </w:r>
            <w:r w:rsidR="001D0065" w:rsidRPr="001D0065">
              <w:rPr>
                <w:rFonts w:eastAsia="Times New Roman"/>
                <w:iCs/>
                <w:lang w:val="lv-LV" w:eastAsia="lv-LV"/>
              </w:rPr>
              <w:t>elastīg</w:t>
            </w:r>
            <w:r w:rsidR="001D0065">
              <w:rPr>
                <w:rFonts w:eastAsia="Times New Roman"/>
                <w:iCs/>
                <w:lang w:val="lv-LV" w:eastAsia="lv-LV"/>
              </w:rPr>
              <w:t>u</w:t>
            </w:r>
            <w:r w:rsidR="001D0065" w:rsidRPr="001D0065">
              <w:rPr>
                <w:rFonts w:eastAsia="Times New Roman"/>
                <w:iCs/>
                <w:lang w:val="lv-LV" w:eastAsia="lv-LV"/>
              </w:rPr>
              <w:t>, uz indivīda vajadzībām un spējām orientēt</w:t>
            </w:r>
            <w:r w:rsidR="001D0065">
              <w:rPr>
                <w:rFonts w:eastAsia="Times New Roman"/>
                <w:iCs/>
                <w:lang w:val="lv-LV" w:eastAsia="lv-LV"/>
              </w:rPr>
              <w:t>u</w:t>
            </w:r>
            <w:r w:rsidR="001D0065" w:rsidRPr="001D0065">
              <w:rPr>
                <w:rFonts w:eastAsia="Times New Roman"/>
                <w:iCs/>
                <w:lang w:val="lv-LV" w:eastAsia="lv-LV"/>
              </w:rPr>
              <w:t xml:space="preserve"> profesionālās izglītības sistēm</w:t>
            </w:r>
            <w:r w:rsidR="001D0065">
              <w:rPr>
                <w:rFonts w:eastAsia="Times New Roman"/>
                <w:iCs/>
                <w:lang w:val="lv-LV" w:eastAsia="lv-LV"/>
              </w:rPr>
              <w:t>u.</w:t>
            </w:r>
          </w:p>
          <w:p w14:paraId="4048D6A6" w14:textId="3120A72B" w:rsidR="00153ED4" w:rsidRPr="00202450" w:rsidRDefault="001D0065" w:rsidP="001D0065">
            <w:pPr>
              <w:jc w:val="both"/>
              <w:rPr>
                <w:rFonts w:eastAsia="Times New Roman"/>
                <w:iCs/>
                <w:lang w:val="lv-LV" w:eastAsia="lv-LV"/>
              </w:rPr>
            </w:pPr>
            <w:r>
              <w:rPr>
                <w:rFonts w:eastAsia="Times New Roman"/>
                <w:iCs/>
                <w:lang w:val="lv-LV" w:eastAsia="lv-LV"/>
              </w:rPr>
              <w:t>Noteikumu projekts stāsies spēkā nākamajā dienā pēc tā izsludināšanas.</w:t>
            </w:r>
            <w:r w:rsidRPr="001D0065">
              <w:rPr>
                <w:rFonts w:eastAsia="Times New Roman"/>
                <w:iCs/>
                <w:lang w:val="lv-LV" w:eastAsia="lv-LV"/>
              </w:rPr>
              <w:t xml:space="preserve"> </w:t>
            </w:r>
          </w:p>
        </w:tc>
      </w:tr>
    </w:tbl>
    <w:p w14:paraId="78B0EAB5" w14:textId="7F8FC987" w:rsidR="00153ED4" w:rsidRPr="00FC7D50" w:rsidRDefault="00153ED4" w:rsidP="00153ED4">
      <w:pPr>
        <w:outlineLvl w:val="3"/>
        <w:rPr>
          <w:rFonts w:eastAsia="Times New Roman"/>
          <w:b/>
          <w:bCs/>
          <w:lang w:val="lv-LV" w:eastAsia="lv-LV"/>
        </w:rPr>
      </w:pPr>
    </w:p>
    <w:tbl>
      <w:tblPr>
        <w:tblStyle w:val="TableGrid"/>
        <w:tblpPr w:leftFromText="180" w:rightFromText="180" w:vertAnchor="text" w:tblpY="1"/>
        <w:tblOverlap w:val="never"/>
        <w:tblW w:w="5000" w:type="pct"/>
        <w:tblLayout w:type="fixed"/>
        <w:tblLook w:val="04A0" w:firstRow="1" w:lastRow="0" w:firstColumn="1" w:lastColumn="0" w:noHBand="0" w:noVBand="1"/>
      </w:tblPr>
      <w:tblGrid>
        <w:gridCol w:w="421"/>
        <w:gridCol w:w="2409"/>
        <w:gridCol w:w="6516"/>
      </w:tblGrid>
      <w:tr w:rsidR="00153ED4" w:rsidRPr="00202450" w14:paraId="629E2A9C" w14:textId="77777777" w:rsidTr="003135C4">
        <w:tc>
          <w:tcPr>
            <w:tcW w:w="5000" w:type="pct"/>
            <w:gridSpan w:val="3"/>
            <w:hideMark/>
          </w:tcPr>
          <w:p w14:paraId="36291F2F" w14:textId="77777777" w:rsidR="00153ED4" w:rsidRPr="00EC7910" w:rsidRDefault="00153ED4" w:rsidP="00641134">
            <w:pPr>
              <w:jc w:val="center"/>
              <w:rPr>
                <w:rFonts w:eastAsia="Times New Roman"/>
                <w:b/>
                <w:bCs/>
                <w:sz w:val="24"/>
                <w:szCs w:val="24"/>
                <w:lang w:val="lv-LV" w:eastAsia="lv-LV"/>
              </w:rPr>
            </w:pPr>
            <w:r w:rsidRPr="00EC7910">
              <w:rPr>
                <w:rFonts w:eastAsia="Times New Roman"/>
                <w:b/>
                <w:bCs/>
                <w:sz w:val="24"/>
                <w:szCs w:val="24"/>
                <w:lang w:val="lv-LV" w:eastAsia="lv-LV"/>
              </w:rPr>
              <w:t>I. Tiesību akta projekta izstrādes nepieciešamība</w:t>
            </w:r>
          </w:p>
        </w:tc>
      </w:tr>
      <w:tr w:rsidR="00153ED4" w:rsidRPr="00A40146" w14:paraId="08842946" w14:textId="77777777" w:rsidTr="00EC7910">
        <w:tc>
          <w:tcPr>
            <w:tcW w:w="225" w:type="pct"/>
            <w:hideMark/>
          </w:tcPr>
          <w:p w14:paraId="68D58906" w14:textId="77777777" w:rsidR="00153ED4" w:rsidRPr="00EC7910" w:rsidRDefault="00153ED4" w:rsidP="00641134">
            <w:pPr>
              <w:rPr>
                <w:rFonts w:eastAsia="Times New Roman"/>
                <w:sz w:val="24"/>
                <w:szCs w:val="24"/>
                <w:lang w:val="lv-LV" w:eastAsia="lv-LV"/>
              </w:rPr>
            </w:pPr>
            <w:r w:rsidRPr="00EC7910">
              <w:rPr>
                <w:rFonts w:eastAsia="Times New Roman"/>
                <w:sz w:val="24"/>
                <w:szCs w:val="24"/>
                <w:lang w:val="lv-LV" w:eastAsia="lv-LV"/>
              </w:rPr>
              <w:t>1.</w:t>
            </w:r>
          </w:p>
        </w:tc>
        <w:tc>
          <w:tcPr>
            <w:tcW w:w="1289" w:type="pct"/>
            <w:hideMark/>
          </w:tcPr>
          <w:p w14:paraId="62F689AA" w14:textId="77777777" w:rsidR="00153ED4" w:rsidRPr="00EC7910" w:rsidRDefault="00153ED4" w:rsidP="00641134">
            <w:pPr>
              <w:rPr>
                <w:rFonts w:eastAsia="Times New Roman"/>
                <w:sz w:val="24"/>
                <w:szCs w:val="24"/>
                <w:lang w:val="lv-LV" w:eastAsia="lv-LV"/>
              </w:rPr>
            </w:pPr>
            <w:r w:rsidRPr="00EC7910">
              <w:rPr>
                <w:rFonts w:eastAsia="Times New Roman"/>
                <w:sz w:val="24"/>
                <w:szCs w:val="24"/>
                <w:lang w:val="lv-LV" w:eastAsia="lv-LV"/>
              </w:rPr>
              <w:t>Pamatojums</w:t>
            </w:r>
          </w:p>
        </w:tc>
        <w:tc>
          <w:tcPr>
            <w:tcW w:w="3486" w:type="pct"/>
          </w:tcPr>
          <w:p w14:paraId="16605406" w14:textId="212B552B" w:rsidR="00153ED4" w:rsidRPr="00EC7910" w:rsidRDefault="001D0065" w:rsidP="001D0065">
            <w:pPr>
              <w:jc w:val="both"/>
              <w:rPr>
                <w:rFonts w:eastAsia="Times New Roman"/>
                <w:sz w:val="24"/>
                <w:szCs w:val="24"/>
                <w:lang w:val="lv-LV" w:eastAsia="lv-LV"/>
              </w:rPr>
            </w:pPr>
            <w:r w:rsidRPr="00EC7910">
              <w:rPr>
                <w:rFonts w:eastAsia="Times New Roman"/>
                <w:sz w:val="24"/>
                <w:szCs w:val="24"/>
                <w:lang w:val="lv-LV" w:eastAsia="lv-LV"/>
              </w:rPr>
              <w:t>N</w:t>
            </w:r>
            <w:r w:rsidR="00153ED4" w:rsidRPr="00EC7910">
              <w:rPr>
                <w:rFonts w:eastAsia="Times New Roman"/>
                <w:sz w:val="24"/>
                <w:szCs w:val="24"/>
                <w:lang w:val="lv-LV" w:eastAsia="lv-LV"/>
              </w:rPr>
              <w:t>oteikumu projekts) izstrādāts pēc Izglītības un zinātnes ministrijas (turpmāk – ministrija) iniciatīvas</w:t>
            </w:r>
            <w:r w:rsidRPr="00EC7910">
              <w:rPr>
                <w:rFonts w:eastAsia="Times New Roman"/>
                <w:sz w:val="24"/>
                <w:szCs w:val="24"/>
                <w:lang w:val="lv-LV" w:eastAsia="lv-LV"/>
              </w:rPr>
              <w:t>, pamatojoties uz  Profesionālās izglītības likuma 7. panta 11. punktu un 15.</w:t>
            </w:r>
            <w:r w:rsidRPr="00EC7910">
              <w:rPr>
                <w:rFonts w:eastAsia="Times New Roman"/>
                <w:sz w:val="24"/>
                <w:szCs w:val="24"/>
                <w:vertAlign w:val="superscript"/>
                <w:lang w:val="lv-LV" w:eastAsia="lv-LV"/>
              </w:rPr>
              <w:t>1</w:t>
            </w:r>
            <w:r w:rsidRPr="00EC7910">
              <w:rPr>
                <w:rFonts w:eastAsia="Times New Roman"/>
                <w:sz w:val="24"/>
                <w:szCs w:val="24"/>
                <w:lang w:val="lv-LV" w:eastAsia="lv-LV"/>
              </w:rPr>
              <w:t xml:space="preserve"> panta pirmo daļu</w:t>
            </w:r>
          </w:p>
        </w:tc>
      </w:tr>
      <w:tr w:rsidR="00153ED4" w:rsidRPr="00A40146" w14:paraId="6A895D65" w14:textId="77777777" w:rsidTr="00EC7910">
        <w:tc>
          <w:tcPr>
            <w:tcW w:w="225" w:type="pct"/>
            <w:hideMark/>
          </w:tcPr>
          <w:p w14:paraId="513013A8" w14:textId="77777777" w:rsidR="00153ED4" w:rsidRPr="00EC7910" w:rsidRDefault="00153ED4" w:rsidP="00641134">
            <w:pPr>
              <w:rPr>
                <w:rFonts w:eastAsia="Times New Roman"/>
                <w:sz w:val="24"/>
                <w:szCs w:val="24"/>
                <w:lang w:val="lv-LV" w:eastAsia="lv-LV"/>
              </w:rPr>
            </w:pPr>
            <w:r w:rsidRPr="00EC7910">
              <w:rPr>
                <w:rFonts w:eastAsia="Times New Roman"/>
                <w:sz w:val="24"/>
                <w:szCs w:val="24"/>
                <w:lang w:val="lv-LV" w:eastAsia="lv-LV"/>
              </w:rPr>
              <w:t>2.</w:t>
            </w:r>
          </w:p>
        </w:tc>
        <w:tc>
          <w:tcPr>
            <w:tcW w:w="1289" w:type="pct"/>
            <w:hideMark/>
          </w:tcPr>
          <w:p w14:paraId="3C6EFAD5" w14:textId="77777777" w:rsidR="00153ED4" w:rsidRPr="00EC7910" w:rsidRDefault="00153ED4" w:rsidP="00641134">
            <w:pPr>
              <w:jc w:val="both"/>
              <w:rPr>
                <w:rFonts w:eastAsia="Times New Roman"/>
                <w:sz w:val="24"/>
                <w:szCs w:val="24"/>
                <w:lang w:val="lv-LV" w:eastAsia="lv-LV"/>
              </w:rPr>
            </w:pPr>
            <w:r w:rsidRPr="00EC7910">
              <w:rPr>
                <w:sz w:val="24"/>
                <w:szCs w:val="24"/>
                <w:lang w:val="lv-LV"/>
              </w:rPr>
              <w:t>Pašreizējā situācija un problēmas, kuru risināšanai tiesību akta projekts izstrādāts, tiesiskā regulējuma mērķis un būtība</w:t>
            </w:r>
          </w:p>
        </w:tc>
        <w:tc>
          <w:tcPr>
            <w:tcW w:w="3486" w:type="pct"/>
          </w:tcPr>
          <w:p w14:paraId="064E846D" w14:textId="166F19CE" w:rsidR="005508C3" w:rsidRPr="00EC7910" w:rsidRDefault="00153ED4" w:rsidP="00153ED4">
            <w:pPr>
              <w:jc w:val="both"/>
              <w:rPr>
                <w:iCs/>
                <w:color w:val="000000" w:themeColor="text1"/>
                <w:sz w:val="24"/>
                <w:szCs w:val="24"/>
                <w:lang w:val="lv-LV"/>
              </w:rPr>
            </w:pPr>
            <w:r w:rsidRPr="00EC7910">
              <w:rPr>
                <w:iCs/>
                <w:color w:val="000000" w:themeColor="text1"/>
                <w:sz w:val="24"/>
                <w:szCs w:val="24"/>
                <w:lang w:val="lv-LV"/>
              </w:rPr>
              <w:t xml:space="preserve"> </w:t>
            </w:r>
            <w:r w:rsidR="005508C3" w:rsidRPr="00EC7910">
              <w:rPr>
                <w:iCs/>
                <w:color w:val="000000" w:themeColor="text1"/>
                <w:sz w:val="24"/>
                <w:szCs w:val="24"/>
                <w:lang w:val="lv-LV"/>
              </w:rPr>
              <w:t xml:space="preserve">Ministru kabineta 2013.gada 19.marta noteikumos Nr.144 “Profesionālās izglītības kompetences centra statusa piešķiršanas un anulēšanas kārtība” (turpmāk – noteikumi) ir noteikti kritēriji, kuriem ir jāatbilst, lai profesionālajai izglītības iestādei (turpmāk – iestāde) piešķirtu vai saglabātu profesionālās izglītības kompetences centra (statusu. </w:t>
            </w:r>
          </w:p>
          <w:p w14:paraId="321BDE1E" w14:textId="1F555D5A" w:rsidR="0056528B" w:rsidRPr="00EC7910" w:rsidRDefault="0056528B" w:rsidP="00153ED4">
            <w:pPr>
              <w:jc w:val="both"/>
              <w:rPr>
                <w:iCs/>
                <w:color w:val="000000" w:themeColor="text1"/>
                <w:sz w:val="24"/>
                <w:szCs w:val="24"/>
                <w:lang w:val="lv-LV"/>
              </w:rPr>
            </w:pPr>
            <w:r w:rsidRPr="00EC7910">
              <w:rPr>
                <w:iCs/>
                <w:color w:val="000000" w:themeColor="text1"/>
                <w:sz w:val="24"/>
                <w:szCs w:val="24"/>
                <w:lang w:val="lv-LV"/>
              </w:rPr>
              <w:t>Pašlaik ministrijas padotībā ir 18 kompetences centri.</w:t>
            </w:r>
          </w:p>
          <w:p w14:paraId="675D01D7" w14:textId="12B30EBD" w:rsidR="00D63079" w:rsidRPr="00EC7910" w:rsidRDefault="00D63079" w:rsidP="00153ED4">
            <w:pPr>
              <w:jc w:val="both"/>
              <w:rPr>
                <w:iCs/>
                <w:sz w:val="24"/>
                <w:szCs w:val="24"/>
                <w:lang w:val="lv-LV"/>
              </w:rPr>
            </w:pPr>
            <w:r w:rsidRPr="00EC7910">
              <w:rPr>
                <w:iCs/>
                <w:color w:val="000000" w:themeColor="text1"/>
                <w:sz w:val="24"/>
                <w:szCs w:val="24"/>
                <w:lang w:val="lv-LV"/>
              </w:rPr>
              <w:t>Kultūras ministrijas padotībā ir 4 kompetences centri. Kompetences centra statusa piešķiršanu Kultūras jomas iestādēm un kompetences centru statusa saglabāšanu reglamentē speciāls normatīvais akts – Ministru kabineta noteikumi Nr.495 “Kārtība, kādā piešķir un anulē profesionālās izglītības kompetences centra statusu mākslas, mūzikas vai dejas jomā”, kas izdots saskaņā ar Profesionālās izglītības likuma</w:t>
            </w:r>
            <w:r w:rsidR="00A93EB2" w:rsidRPr="00EC7910">
              <w:rPr>
                <w:iCs/>
                <w:color w:val="000000" w:themeColor="text1"/>
                <w:sz w:val="24"/>
                <w:szCs w:val="24"/>
                <w:lang w:val="lv-LV"/>
              </w:rPr>
              <w:t xml:space="preserve"> (turpmāk – PIL)</w:t>
            </w:r>
            <w:r w:rsidRPr="00EC7910">
              <w:rPr>
                <w:iCs/>
                <w:color w:val="000000" w:themeColor="text1"/>
                <w:sz w:val="24"/>
                <w:szCs w:val="24"/>
                <w:lang w:val="lv-LV"/>
              </w:rPr>
              <w:t xml:space="preserve"> 7.panta 11.punktu un 15.¹ panta 1.¹ daļu</w:t>
            </w:r>
            <w:r w:rsidR="00C60998" w:rsidRPr="00EC7910">
              <w:rPr>
                <w:iCs/>
                <w:color w:val="000000" w:themeColor="text1"/>
                <w:sz w:val="24"/>
                <w:szCs w:val="24"/>
                <w:lang w:val="lv-LV"/>
              </w:rPr>
              <w:t>.</w:t>
            </w:r>
            <w:r w:rsidR="00F91D90" w:rsidRPr="00EC7910">
              <w:rPr>
                <w:iCs/>
                <w:color w:val="000000" w:themeColor="text1"/>
                <w:sz w:val="24"/>
                <w:szCs w:val="24"/>
                <w:lang w:val="lv-LV"/>
              </w:rPr>
              <w:t xml:space="preserve"> </w:t>
            </w:r>
            <w:r w:rsidR="00F91D90" w:rsidRPr="00EC7910">
              <w:rPr>
                <w:iCs/>
                <w:sz w:val="24"/>
                <w:szCs w:val="24"/>
                <w:lang w:val="lv-LV"/>
              </w:rPr>
              <w:t>Kultūras ministrijas padotībā esošās profesionālās izglītības iestādes, t.sk. iestādes ar kompetences centra statusu, īsteno profesionālās vidējās izglītības programmas un profesionālās ievirzes izglītības programmas. Minētās izglītības iestādes neīsteno arodizglītības programmas (skatīt pielikumu).</w:t>
            </w:r>
            <w:r w:rsidR="008A04D8" w:rsidRPr="00EC7910">
              <w:rPr>
                <w:iCs/>
                <w:sz w:val="24"/>
                <w:szCs w:val="24"/>
                <w:lang w:val="lv-LV"/>
              </w:rPr>
              <w:t xml:space="preserve"> Līdz ar to </w:t>
            </w:r>
            <w:r w:rsidR="008A04D8" w:rsidRPr="00EC7910">
              <w:rPr>
                <w:sz w:val="24"/>
                <w:szCs w:val="24"/>
                <w:lang w:val="lv-LV"/>
              </w:rPr>
              <w:t xml:space="preserve"> </w:t>
            </w:r>
            <w:r w:rsidR="008A04D8" w:rsidRPr="00EC7910">
              <w:rPr>
                <w:iCs/>
                <w:sz w:val="24"/>
                <w:szCs w:val="24"/>
                <w:lang w:val="lv-LV"/>
              </w:rPr>
              <w:t xml:space="preserve">noteikumu projekta norma, kas paredz </w:t>
            </w:r>
            <w:r w:rsidR="008A04D8" w:rsidRPr="00EC7910">
              <w:rPr>
                <w:iCs/>
                <w:sz w:val="24"/>
                <w:szCs w:val="24"/>
                <w:lang w:val="lv-LV"/>
              </w:rPr>
              <w:lastRenderedPageBreak/>
              <w:t>papildināt 2.1.apakšpunktu ar arodizglītību neskars iepriekš minēto speciālo normatīvo aktu.</w:t>
            </w:r>
          </w:p>
          <w:p w14:paraId="6C17D1A5" w14:textId="77777777" w:rsidR="00004F47" w:rsidRPr="00EC7910" w:rsidRDefault="005508C3" w:rsidP="00153ED4">
            <w:pPr>
              <w:jc w:val="both"/>
              <w:rPr>
                <w:iCs/>
                <w:color w:val="000000" w:themeColor="text1"/>
                <w:sz w:val="24"/>
                <w:szCs w:val="24"/>
                <w:lang w:val="lv-LV"/>
              </w:rPr>
            </w:pPr>
            <w:r w:rsidRPr="00EC7910">
              <w:rPr>
                <w:iCs/>
                <w:color w:val="000000" w:themeColor="text1"/>
                <w:sz w:val="24"/>
                <w:szCs w:val="24"/>
                <w:lang w:val="lv-LV"/>
              </w:rPr>
              <w:t>Noteikumu 2.1.apakšpunkts nosaka, kādam ir jābūt izglītojamo skaitam, kuri iegūst profesionālo vidējo izglītību, lai iestāde iegūtu vai saglab</w:t>
            </w:r>
            <w:r w:rsidR="0056528B" w:rsidRPr="00EC7910">
              <w:rPr>
                <w:iCs/>
                <w:color w:val="000000" w:themeColor="text1"/>
                <w:sz w:val="24"/>
                <w:szCs w:val="24"/>
                <w:lang w:val="lv-LV"/>
              </w:rPr>
              <w:t xml:space="preserve">ātu </w:t>
            </w:r>
            <w:r w:rsidRPr="00EC7910">
              <w:rPr>
                <w:iCs/>
                <w:color w:val="000000" w:themeColor="text1"/>
                <w:sz w:val="24"/>
                <w:szCs w:val="24"/>
                <w:lang w:val="lv-LV"/>
              </w:rPr>
              <w:t xml:space="preserve">kompetences centra statusu. </w:t>
            </w:r>
            <w:r w:rsidR="0056528B" w:rsidRPr="00EC7910">
              <w:rPr>
                <w:iCs/>
                <w:color w:val="000000" w:themeColor="text1"/>
                <w:sz w:val="24"/>
                <w:szCs w:val="24"/>
                <w:lang w:val="lv-LV"/>
              </w:rPr>
              <w:t>Līdz ar to kompetences centri, lai izpildītu noteikumu 2.1.apakšpuntā minēto prasību,  attīsta pamatā tikai profesionālo vidējo izglītību</w:t>
            </w:r>
            <w:r w:rsidR="00004F47" w:rsidRPr="00EC7910">
              <w:rPr>
                <w:iCs/>
                <w:color w:val="000000" w:themeColor="text1"/>
                <w:sz w:val="24"/>
                <w:szCs w:val="24"/>
                <w:lang w:val="lv-LV"/>
              </w:rPr>
              <w:t>.</w:t>
            </w:r>
          </w:p>
          <w:p w14:paraId="048EB103" w14:textId="77777777" w:rsidR="004B2882" w:rsidRPr="00EC7910" w:rsidRDefault="004B2882" w:rsidP="004B2882">
            <w:pPr>
              <w:jc w:val="both"/>
              <w:rPr>
                <w:iCs/>
                <w:color w:val="000000" w:themeColor="text1"/>
                <w:sz w:val="24"/>
                <w:szCs w:val="24"/>
                <w:lang w:val="lv-LV"/>
              </w:rPr>
            </w:pPr>
            <w:r w:rsidRPr="00EC7910">
              <w:rPr>
                <w:iCs/>
                <w:color w:val="000000" w:themeColor="text1"/>
                <w:sz w:val="24"/>
                <w:szCs w:val="24"/>
                <w:lang w:val="lv-LV"/>
              </w:rPr>
              <w:t>Saskaņā ar Ekonomikas ministrijas izstrādātajām darba tirgus vidēja un ilgtermiņa prognozēm (“Informatīvai ziņojums par darba tirgus vidēja un ilgtermiņa prognozēm”, 2018.gads) ir liels jauniešu īpatsvars, kuri nonāk darba tirgū bez konkrētas specialitātes un prasmēm. Joprojām vairāk nekā 2/5 no jauniešiem darba tirgū nonāk ar vidējo vispārējo un pamatizglītību, savukārt pieprasījums pēc šāda darbaspēka nākamajos gados strauji samazināsies. Pašlaik vairāk nekā 85 tūkst. jeb aptuveni 9% no ekonomiski aktīvajiem iedzīvotājiem ir pamatizglītība vai nepabeigta pamatizglītība, turklāt nav sagaidāms, ka tuvākā nākotnē to īpatsvars varētu samazināties.</w:t>
            </w:r>
          </w:p>
          <w:p w14:paraId="712968B3" w14:textId="09750353" w:rsidR="004B2882" w:rsidRPr="00EC7910" w:rsidRDefault="004B2882" w:rsidP="004B2882">
            <w:pPr>
              <w:jc w:val="both"/>
              <w:rPr>
                <w:iCs/>
                <w:color w:val="000000" w:themeColor="text1"/>
                <w:sz w:val="24"/>
                <w:szCs w:val="24"/>
                <w:lang w:val="lv-LV"/>
              </w:rPr>
            </w:pPr>
            <w:r w:rsidRPr="00EC7910">
              <w:rPr>
                <w:iCs/>
                <w:color w:val="000000" w:themeColor="text1"/>
                <w:sz w:val="24"/>
                <w:szCs w:val="24"/>
                <w:lang w:val="lv-LV"/>
              </w:rPr>
              <w:t>Savukārt izteiktāka nepietiekamība būs vērojama pēc speciālistiem ar profe</w:t>
            </w:r>
            <w:r w:rsidR="002B3568" w:rsidRPr="00EC7910">
              <w:rPr>
                <w:iCs/>
                <w:color w:val="000000" w:themeColor="text1"/>
                <w:sz w:val="24"/>
                <w:szCs w:val="24"/>
                <w:lang w:val="lv-LV"/>
              </w:rPr>
              <w:t>sionālo izglītību, t.sk. arodizglītību.</w:t>
            </w:r>
            <w:r w:rsidRPr="00EC7910">
              <w:rPr>
                <w:iCs/>
                <w:color w:val="000000" w:themeColor="text1"/>
                <w:sz w:val="24"/>
                <w:szCs w:val="24"/>
                <w:lang w:val="lv-LV"/>
              </w:rPr>
              <w:t xml:space="preserve"> Līdz 2025. gadam plaisa starp darbaspēka pieprasījum</w:t>
            </w:r>
            <w:r w:rsidR="002B3568" w:rsidRPr="00EC7910">
              <w:rPr>
                <w:iCs/>
                <w:color w:val="000000" w:themeColor="text1"/>
                <w:sz w:val="24"/>
                <w:szCs w:val="24"/>
                <w:lang w:val="lv-LV"/>
              </w:rPr>
              <w:t>u un piedāvājumu ar profesionālās izglītības speciālistiem</w:t>
            </w:r>
            <w:r w:rsidRPr="00EC7910">
              <w:rPr>
                <w:iCs/>
                <w:color w:val="000000" w:themeColor="text1"/>
                <w:sz w:val="24"/>
                <w:szCs w:val="24"/>
                <w:lang w:val="lv-LV"/>
              </w:rPr>
              <w:t xml:space="preserve"> varētu palielināti</w:t>
            </w:r>
            <w:r w:rsidR="002B3568" w:rsidRPr="00EC7910">
              <w:rPr>
                <w:iCs/>
                <w:color w:val="000000" w:themeColor="text1"/>
                <w:sz w:val="24"/>
                <w:szCs w:val="24"/>
                <w:lang w:val="lv-LV"/>
              </w:rPr>
              <w:t>es līdz 31 tūkstotim</w:t>
            </w:r>
            <w:r w:rsidRPr="00EC7910">
              <w:rPr>
                <w:iCs/>
                <w:color w:val="000000" w:themeColor="text1"/>
                <w:sz w:val="24"/>
                <w:szCs w:val="24"/>
                <w:lang w:val="lv-LV"/>
              </w:rPr>
              <w:t>. Līdz ar to daļā no vidējās kvalifikācijas darbavietu var nākties piesaistīt darbaspēku bez profesionālās kvalifikācijas – ar vidējo vispārējo izglītību vai pamatizglītību, kas kopumā var samazināt katras individuālās darbavietas summāro pienesumu pievienoto vērtību ķēdē.</w:t>
            </w:r>
          </w:p>
          <w:p w14:paraId="0DC07087" w14:textId="6470F809" w:rsidR="004B2882" w:rsidRPr="00EC7910" w:rsidRDefault="004B2882" w:rsidP="004B2882">
            <w:pPr>
              <w:jc w:val="both"/>
              <w:rPr>
                <w:iCs/>
                <w:color w:val="000000" w:themeColor="text1"/>
                <w:sz w:val="24"/>
                <w:szCs w:val="24"/>
                <w:lang w:val="lv-LV"/>
              </w:rPr>
            </w:pPr>
            <w:r w:rsidRPr="00EC7910">
              <w:rPr>
                <w:iCs/>
                <w:color w:val="000000" w:themeColor="text1"/>
                <w:sz w:val="24"/>
                <w:szCs w:val="24"/>
                <w:lang w:val="lv-LV"/>
              </w:rPr>
              <w:t>(https://www.em.gov.lv/files/tautsaimniecibas_attistiba/dsp/EMZino_06072018_full.pdf).</w:t>
            </w:r>
          </w:p>
          <w:p w14:paraId="26666479" w14:textId="08A56F06" w:rsidR="0012493F" w:rsidRPr="00EC7910" w:rsidRDefault="00004F47" w:rsidP="0012493F">
            <w:pPr>
              <w:jc w:val="both"/>
              <w:rPr>
                <w:i/>
                <w:iCs/>
                <w:color w:val="000000" w:themeColor="text1"/>
                <w:sz w:val="24"/>
                <w:szCs w:val="24"/>
                <w:lang w:val="lv-LV"/>
              </w:rPr>
            </w:pPr>
            <w:r w:rsidRPr="00EC7910">
              <w:rPr>
                <w:iCs/>
                <w:color w:val="000000" w:themeColor="text1"/>
                <w:sz w:val="24"/>
                <w:szCs w:val="24"/>
                <w:lang w:val="lv-LV"/>
              </w:rPr>
              <w:t xml:space="preserve"> </w:t>
            </w:r>
          </w:p>
          <w:p w14:paraId="0E50546D" w14:textId="7A085155" w:rsidR="00004F47" w:rsidRPr="00EC7910" w:rsidRDefault="0012493F" w:rsidP="0012493F">
            <w:pPr>
              <w:jc w:val="both"/>
              <w:rPr>
                <w:iCs/>
                <w:color w:val="000000" w:themeColor="text1"/>
                <w:sz w:val="24"/>
                <w:szCs w:val="24"/>
                <w:lang w:val="lv-LV"/>
              </w:rPr>
            </w:pPr>
            <w:r w:rsidRPr="00EC7910">
              <w:rPr>
                <w:iCs/>
                <w:color w:val="000000" w:themeColor="text1"/>
                <w:sz w:val="24"/>
                <w:szCs w:val="24"/>
                <w:lang w:val="lv-LV"/>
              </w:rPr>
              <w:t>Lai nodrošinātu jauniešu un ekonomiski aktīvo iedzīvotāju profesijas ieguvi atbilstoši tautsaimniecības vajadzībām, nepieciešams ātri reaģēt uz darba tirgus pieprasījumu un sagatavot tautsaimniecībai nepieciešamos speciālistus īsā laikā. Nozaru ekspertu padomju pārstāvji norāda, ka, lai iegūtu profesionālo kvalifikāciju nav nepieciešams mācīties četrus gadus, apgūstot profesionālās vidējās izglītības programmu. Ņemot vērā iepriekš minēto un darba tirgus pieprasījumu, kompetences centru statusa kritēriju izvērtēšanā jāiekļauj arī arodizglītības programmas, kur profesiju var iegūt viena, divu vai trīs gadu laikā atkarībā no profesionālās izglītības programmas satura.</w:t>
            </w:r>
          </w:p>
          <w:p w14:paraId="7F9489C5" w14:textId="77777777" w:rsidR="003571D5" w:rsidRPr="00EC7910" w:rsidRDefault="003571D5" w:rsidP="0012493F">
            <w:pPr>
              <w:jc w:val="both"/>
              <w:rPr>
                <w:iCs/>
                <w:color w:val="000000" w:themeColor="text1"/>
                <w:sz w:val="24"/>
                <w:szCs w:val="24"/>
                <w:lang w:val="lv-LV"/>
              </w:rPr>
            </w:pPr>
          </w:p>
          <w:p w14:paraId="4039CE9C" w14:textId="3F3DBCBE" w:rsidR="00A93EB2" w:rsidRPr="00EC7910" w:rsidRDefault="00A93EB2" w:rsidP="00A93EB2">
            <w:pPr>
              <w:jc w:val="both"/>
              <w:rPr>
                <w:iCs/>
                <w:color w:val="000000" w:themeColor="text1"/>
                <w:sz w:val="24"/>
                <w:szCs w:val="24"/>
                <w:lang w:val="lv-LV"/>
              </w:rPr>
            </w:pPr>
            <w:r w:rsidRPr="00EC7910">
              <w:rPr>
                <w:iCs/>
                <w:color w:val="000000" w:themeColor="text1"/>
                <w:sz w:val="24"/>
                <w:szCs w:val="24"/>
                <w:lang w:val="lv-LV"/>
              </w:rPr>
              <w:t xml:space="preserve">Saskaņā ar PIL 15.¹ panta pirmo daļu profesionālās izglītības iestāde, kura īsteno profesionālās vidējās izglītības programmas, kas dod iespēju iegūt trešo profesionālās kvalifikācijas līmeni, un papildus veic reģionālā vai nozares metodiskā centra, pedagogu tālākizglītības centra un ārpus formālās izglītības sistēmas iegūtās profesionālās kompetences novērtēšanas funkcijas, atbilstoši Ministru kabineta noteiktajiem kritērijiem ir tiesīga iegūt kompetences centra statusu. Tādējādi profesionālās vidējās </w:t>
            </w:r>
            <w:r w:rsidRPr="00EC7910">
              <w:rPr>
                <w:iCs/>
                <w:color w:val="000000" w:themeColor="text1"/>
                <w:sz w:val="24"/>
                <w:szCs w:val="24"/>
                <w:lang w:val="lv-LV"/>
              </w:rPr>
              <w:lastRenderedPageBreak/>
              <w:t>izglītības programmas īstenošana ir obligāts priekšnoteikums kompetences centra statusa sasniegšanai.</w:t>
            </w:r>
          </w:p>
          <w:p w14:paraId="64A16B24" w14:textId="4F4C3425" w:rsidR="00A93EB2" w:rsidRPr="00EC7910" w:rsidRDefault="00A93EB2" w:rsidP="00A93EB2">
            <w:pPr>
              <w:jc w:val="both"/>
              <w:rPr>
                <w:iCs/>
                <w:color w:val="000000" w:themeColor="text1"/>
                <w:sz w:val="24"/>
                <w:szCs w:val="24"/>
                <w:lang w:val="lv-LV"/>
              </w:rPr>
            </w:pPr>
            <w:r w:rsidRPr="00EC7910">
              <w:rPr>
                <w:iCs/>
                <w:color w:val="000000" w:themeColor="text1"/>
                <w:sz w:val="24"/>
                <w:szCs w:val="24"/>
                <w:lang w:val="lv-LV"/>
              </w:rPr>
              <w:t>Tajā pat laikā atbilstoši PIL 16.panta trešajai daļai Profesionālās izglītības iestāde ir tiesīga īstenot dažādu izglītības pakāpju profesionālās i</w:t>
            </w:r>
            <w:r w:rsidR="00986A87" w:rsidRPr="00EC7910">
              <w:rPr>
                <w:iCs/>
                <w:color w:val="000000" w:themeColor="text1"/>
                <w:sz w:val="24"/>
                <w:szCs w:val="24"/>
                <w:lang w:val="lv-LV"/>
              </w:rPr>
              <w:t>zglītības programmas, tai skaitā arī arodizglītības programmas</w:t>
            </w:r>
            <w:r w:rsidR="001706FA" w:rsidRPr="00EC7910">
              <w:rPr>
                <w:iCs/>
                <w:color w:val="000000" w:themeColor="text1"/>
                <w:sz w:val="24"/>
                <w:szCs w:val="24"/>
                <w:lang w:val="lv-LV"/>
              </w:rPr>
              <w:t>.</w:t>
            </w:r>
            <w:r w:rsidR="00986A87" w:rsidRPr="00EC7910">
              <w:rPr>
                <w:iCs/>
                <w:color w:val="000000" w:themeColor="text1"/>
                <w:sz w:val="24"/>
                <w:szCs w:val="24"/>
                <w:lang w:val="lv-LV"/>
              </w:rPr>
              <w:t xml:space="preserve"> </w:t>
            </w:r>
          </w:p>
          <w:p w14:paraId="2D5868A9" w14:textId="191D476B" w:rsidR="00A93EB2" w:rsidRPr="00EC7910" w:rsidRDefault="00A93EB2" w:rsidP="00A93EB2">
            <w:pPr>
              <w:jc w:val="both"/>
              <w:rPr>
                <w:iCs/>
                <w:color w:val="000000" w:themeColor="text1"/>
                <w:sz w:val="24"/>
                <w:szCs w:val="24"/>
                <w:lang w:val="lv-LV"/>
              </w:rPr>
            </w:pPr>
            <w:r w:rsidRPr="00EC7910">
              <w:rPr>
                <w:iCs/>
                <w:color w:val="000000" w:themeColor="text1"/>
                <w:sz w:val="24"/>
                <w:szCs w:val="24"/>
                <w:lang w:val="lv-LV"/>
              </w:rPr>
              <w:t>Ņemot vērā minēto noteikumu proj</w:t>
            </w:r>
            <w:r w:rsidR="003571D5" w:rsidRPr="00EC7910">
              <w:rPr>
                <w:iCs/>
                <w:color w:val="000000" w:themeColor="text1"/>
                <w:sz w:val="24"/>
                <w:szCs w:val="24"/>
                <w:lang w:val="lv-LV"/>
              </w:rPr>
              <w:t>ekts paredz papildināt</w:t>
            </w:r>
            <w:r w:rsidRPr="00EC7910">
              <w:rPr>
                <w:iCs/>
                <w:color w:val="000000" w:themeColor="text1"/>
                <w:sz w:val="24"/>
                <w:szCs w:val="24"/>
                <w:lang w:val="lv-LV"/>
              </w:rPr>
              <w:t xml:space="preserve"> 2.1.apakšpunktu, nosakot, ka izglītojam</w:t>
            </w:r>
            <w:r w:rsidR="00986A87" w:rsidRPr="00EC7910">
              <w:rPr>
                <w:iCs/>
                <w:color w:val="000000" w:themeColor="text1"/>
                <w:sz w:val="24"/>
                <w:szCs w:val="24"/>
                <w:lang w:val="lv-LV"/>
              </w:rPr>
              <w:t>o</w:t>
            </w:r>
            <w:r w:rsidRPr="00EC7910">
              <w:rPr>
                <w:iCs/>
                <w:color w:val="000000" w:themeColor="text1"/>
                <w:sz w:val="24"/>
                <w:szCs w:val="24"/>
                <w:lang w:val="lv-LV"/>
              </w:rPr>
              <w:t xml:space="preserve"> skait</w:t>
            </w:r>
            <w:r w:rsidR="00986A87" w:rsidRPr="00EC7910">
              <w:rPr>
                <w:iCs/>
                <w:color w:val="000000" w:themeColor="text1"/>
                <w:sz w:val="24"/>
                <w:szCs w:val="24"/>
                <w:lang w:val="lv-LV"/>
              </w:rPr>
              <w:t xml:space="preserve">ā, </w:t>
            </w:r>
            <w:r w:rsidRPr="00EC7910">
              <w:rPr>
                <w:iCs/>
                <w:color w:val="000000" w:themeColor="text1"/>
                <w:sz w:val="24"/>
                <w:szCs w:val="24"/>
                <w:lang w:val="lv-LV"/>
              </w:rPr>
              <w:t xml:space="preserve">lai iegūtu vai saglabātu kompetences centra statusu, </w:t>
            </w:r>
            <w:r w:rsidR="00986A87" w:rsidRPr="00EC7910">
              <w:rPr>
                <w:iCs/>
                <w:color w:val="000000" w:themeColor="text1"/>
                <w:sz w:val="24"/>
                <w:szCs w:val="24"/>
                <w:lang w:val="lv-LV"/>
              </w:rPr>
              <w:t xml:space="preserve">iekļaujami gan izglītojamie, kas mācās  gan </w:t>
            </w:r>
            <w:r w:rsidRPr="00EC7910">
              <w:rPr>
                <w:iCs/>
                <w:color w:val="000000" w:themeColor="text1"/>
                <w:sz w:val="24"/>
                <w:szCs w:val="24"/>
                <w:lang w:val="lv-LV"/>
              </w:rPr>
              <w:t>profesionālajā vidējā izglītībā</w:t>
            </w:r>
            <w:r w:rsidR="00986A87" w:rsidRPr="00EC7910">
              <w:rPr>
                <w:iCs/>
                <w:color w:val="000000" w:themeColor="text1"/>
                <w:sz w:val="24"/>
                <w:szCs w:val="24"/>
                <w:lang w:val="lv-LV"/>
              </w:rPr>
              <w:t xml:space="preserve">, gan </w:t>
            </w:r>
            <w:r w:rsidRPr="00EC7910">
              <w:rPr>
                <w:iCs/>
                <w:color w:val="000000" w:themeColor="text1"/>
                <w:sz w:val="24"/>
                <w:szCs w:val="24"/>
                <w:lang w:val="lv-LV"/>
              </w:rPr>
              <w:t xml:space="preserve">arodizglītībā. Tas veicinās </w:t>
            </w:r>
            <w:r w:rsidR="00593CEB" w:rsidRPr="00EC7910">
              <w:rPr>
                <w:iCs/>
                <w:color w:val="000000" w:themeColor="text1"/>
                <w:sz w:val="24"/>
                <w:szCs w:val="24"/>
                <w:lang w:val="lv-LV"/>
              </w:rPr>
              <w:t xml:space="preserve">to, ka </w:t>
            </w:r>
            <w:r w:rsidRPr="00EC7910">
              <w:rPr>
                <w:iCs/>
                <w:color w:val="000000" w:themeColor="text1"/>
                <w:sz w:val="24"/>
                <w:szCs w:val="24"/>
                <w:lang w:val="lv-LV"/>
              </w:rPr>
              <w:t>iestād</w:t>
            </w:r>
            <w:r w:rsidR="00593CEB" w:rsidRPr="00EC7910">
              <w:rPr>
                <w:iCs/>
                <w:color w:val="000000" w:themeColor="text1"/>
                <w:sz w:val="24"/>
                <w:szCs w:val="24"/>
                <w:lang w:val="lv-LV"/>
              </w:rPr>
              <w:t>es</w:t>
            </w:r>
            <w:r w:rsidRPr="00EC7910">
              <w:rPr>
                <w:iCs/>
                <w:color w:val="000000" w:themeColor="text1"/>
                <w:sz w:val="24"/>
                <w:szCs w:val="24"/>
                <w:lang w:val="lv-LV"/>
              </w:rPr>
              <w:t>, kas plāno iegūt kompetences centra statusu, un</w:t>
            </w:r>
            <w:r w:rsidR="00986A87" w:rsidRPr="00EC7910">
              <w:rPr>
                <w:iCs/>
                <w:color w:val="000000" w:themeColor="text1"/>
                <w:sz w:val="24"/>
                <w:szCs w:val="24"/>
                <w:lang w:val="lv-LV"/>
              </w:rPr>
              <w:t xml:space="preserve"> tā</w:t>
            </w:r>
            <w:r w:rsidR="00593CEB" w:rsidRPr="00EC7910">
              <w:rPr>
                <w:iCs/>
                <w:color w:val="000000" w:themeColor="text1"/>
                <w:sz w:val="24"/>
                <w:szCs w:val="24"/>
                <w:lang w:val="lv-LV"/>
              </w:rPr>
              <w:t>s</w:t>
            </w:r>
            <w:r w:rsidR="00986A87" w:rsidRPr="00EC7910">
              <w:rPr>
                <w:iCs/>
                <w:color w:val="000000" w:themeColor="text1"/>
                <w:sz w:val="24"/>
                <w:szCs w:val="24"/>
                <w:lang w:val="lv-LV"/>
              </w:rPr>
              <w:t xml:space="preserve">, kam jau piešķirts </w:t>
            </w:r>
            <w:r w:rsidR="00986A87" w:rsidRPr="00EC7910">
              <w:rPr>
                <w:sz w:val="24"/>
                <w:szCs w:val="24"/>
                <w:lang w:val="lv-LV"/>
              </w:rPr>
              <w:t xml:space="preserve"> </w:t>
            </w:r>
            <w:r w:rsidR="00986A87" w:rsidRPr="00EC7910">
              <w:rPr>
                <w:iCs/>
                <w:color w:val="000000" w:themeColor="text1"/>
                <w:sz w:val="24"/>
                <w:szCs w:val="24"/>
                <w:lang w:val="lv-LV"/>
              </w:rPr>
              <w:t>profesionālās izglītības kompetences centra status</w:t>
            </w:r>
            <w:r w:rsidR="00593CEB" w:rsidRPr="00EC7910">
              <w:rPr>
                <w:iCs/>
                <w:color w:val="000000" w:themeColor="text1"/>
                <w:sz w:val="24"/>
                <w:szCs w:val="24"/>
                <w:lang w:val="lv-LV"/>
              </w:rPr>
              <w:t xml:space="preserve">s, </w:t>
            </w:r>
            <w:r w:rsidRPr="00EC7910">
              <w:rPr>
                <w:iCs/>
                <w:color w:val="000000" w:themeColor="text1"/>
                <w:sz w:val="24"/>
                <w:szCs w:val="24"/>
                <w:lang w:val="lv-LV"/>
              </w:rPr>
              <w:t xml:space="preserve">papildus profesionālās vidējās izglītības programmām </w:t>
            </w:r>
            <w:r w:rsidR="003571D5" w:rsidRPr="00EC7910">
              <w:rPr>
                <w:iCs/>
                <w:color w:val="000000" w:themeColor="text1"/>
                <w:sz w:val="24"/>
                <w:szCs w:val="24"/>
                <w:lang w:val="lv-LV"/>
              </w:rPr>
              <w:t>īstenot</w:t>
            </w:r>
            <w:r w:rsidRPr="00EC7910">
              <w:rPr>
                <w:iCs/>
                <w:color w:val="000000" w:themeColor="text1"/>
                <w:sz w:val="24"/>
                <w:szCs w:val="24"/>
                <w:lang w:val="lv-LV"/>
              </w:rPr>
              <w:t xml:space="preserve"> arodizglītību, </w:t>
            </w:r>
            <w:r w:rsidR="003571D5" w:rsidRPr="00EC7910">
              <w:rPr>
                <w:iCs/>
                <w:color w:val="000000" w:themeColor="text1"/>
                <w:sz w:val="24"/>
                <w:szCs w:val="24"/>
                <w:lang w:val="lv-LV"/>
              </w:rPr>
              <w:t xml:space="preserve">tādējādi izpildot </w:t>
            </w:r>
            <w:r w:rsidR="003571D5" w:rsidRPr="00EC7910">
              <w:rPr>
                <w:sz w:val="24"/>
                <w:szCs w:val="24"/>
                <w:lang w:val="lv-LV"/>
              </w:rPr>
              <w:t xml:space="preserve"> </w:t>
            </w:r>
            <w:r w:rsidR="003571D5" w:rsidRPr="00EC7910">
              <w:rPr>
                <w:iCs/>
                <w:color w:val="000000" w:themeColor="text1"/>
                <w:sz w:val="24"/>
                <w:szCs w:val="24"/>
                <w:lang w:val="lv-LV"/>
              </w:rPr>
              <w:t xml:space="preserve">nozares pārstāvju pieprasījumu darba tirgum nepieciešamo speciālistu sagatavošanai. </w:t>
            </w:r>
            <w:r w:rsidR="00986A87" w:rsidRPr="00EC7910">
              <w:rPr>
                <w:iCs/>
                <w:color w:val="000000" w:themeColor="text1"/>
                <w:sz w:val="24"/>
                <w:szCs w:val="24"/>
                <w:lang w:val="lv-LV"/>
              </w:rPr>
              <w:t xml:space="preserve"> Tajā pat laikā tiks arī nodrošināta PIL likuma 15.</w:t>
            </w:r>
            <w:r w:rsidR="00986A87" w:rsidRPr="00EC7910">
              <w:rPr>
                <w:iCs/>
                <w:color w:val="000000" w:themeColor="text1"/>
                <w:sz w:val="24"/>
                <w:szCs w:val="24"/>
                <w:vertAlign w:val="superscript"/>
                <w:lang w:val="lv-LV"/>
              </w:rPr>
              <w:t>1</w:t>
            </w:r>
            <w:r w:rsidR="00986A87" w:rsidRPr="00EC7910">
              <w:rPr>
                <w:iCs/>
                <w:color w:val="000000" w:themeColor="text1"/>
                <w:sz w:val="24"/>
                <w:szCs w:val="24"/>
                <w:lang w:val="lv-LV"/>
              </w:rPr>
              <w:t xml:space="preserve">panta pirmās daļas prasība, ka </w:t>
            </w:r>
            <w:r w:rsidR="00593CEB" w:rsidRPr="00EC7910">
              <w:rPr>
                <w:sz w:val="24"/>
                <w:szCs w:val="24"/>
                <w:lang w:val="lv-LV"/>
              </w:rPr>
              <w:t xml:space="preserve"> </w:t>
            </w:r>
            <w:r w:rsidR="00593CEB" w:rsidRPr="00EC7910">
              <w:rPr>
                <w:iCs/>
                <w:color w:val="000000" w:themeColor="text1"/>
                <w:sz w:val="24"/>
                <w:szCs w:val="24"/>
                <w:lang w:val="lv-LV"/>
              </w:rPr>
              <w:t xml:space="preserve">profesionālās izglītības kompetences centra statuss tiek piešķirts  un saglabāts tām profesionālās izglītības iestādēm, kas īsteno  </w:t>
            </w:r>
            <w:r w:rsidR="00593CEB" w:rsidRPr="00EC7910">
              <w:rPr>
                <w:sz w:val="24"/>
                <w:szCs w:val="24"/>
                <w:lang w:val="lv-LV"/>
              </w:rPr>
              <w:t xml:space="preserve"> </w:t>
            </w:r>
            <w:r w:rsidR="00593CEB" w:rsidRPr="00EC7910">
              <w:rPr>
                <w:iCs/>
                <w:color w:val="000000" w:themeColor="text1"/>
                <w:sz w:val="24"/>
                <w:szCs w:val="24"/>
                <w:lang w:val="lv-LV"/>
              </w:rPr>
              <w:t>profesionālās vidējās izglītības programmas, kas dod iespēju iegūt trešo profesionālās kvalifikācijas līmeni.</w:t>
            </w:r>
          </w:p>
          <w:p w14:paraId="4EE4EFB7" w14:textId="2F7704E4" w:rsidR="00CA6F25" w:rsidRPr="00EC7910" w:rsidRDefault="00CA6F25" w:rsidP="00A93EB2">
            <w:pPr>
              <w:jc w:val="both"/>
              <w:rPr>
                <w:iCs/>
                <w:color w:val="000000" w:themeColor="text1"/>
                <w:sz w:val="24"/>
                <w:szCs w:val="24"/>
                <w:lang w:val="lv-LV"/>
              </w:rPr>
            </w:pPr>
            <w:r w:rsidRPr="00EC7910">
              <w:rPr>
                <w:iCs/>
                <w:color w:val="000000" w:themeColor="text1"/>
                <w:sz w:val="24"/>
                <w:szCs w:val="24"/>
                <w:lang w:val="lv-LV"/>
              </w:rPr>
              <w:t xml:space="preserve">Profesionālās izglītība iestādes tiek īstenotas arī modulārās profesionālās izglītības programmas  un pāreja  uz modulāro profesionālās izglītības programmu īstenošanu pilnībā  paredzēta no 2021.gada. Modulārās profesionālās izglītības programmās  moduļi noteiktai nozares profesiju grupai, gan profesionālās vidējās izglītības programmā, gan  arodizglītības programmā ir kopīgi- tie paši, un to apguve ir jānodrošina pēctecīgi. Tādējādi tiek veidota elastīga, uz indivīda vajadzībām un spējām orientēta profesionālās izglītības sistēma, kas vienlaikus pilnībā atbilst nozaru vajadzībām. Šīs izmaiņas ir būtiskas nodrošinot elastīgu izglītības iespēju īstenošanu, ko paredz arī Eiropas Parlamentu un Eiropas Komisiju 2009. gadā izstrādātie ECVET (Eiropas kredītsistēmu profesionālajai izglītībai / </w:t>
            </w:r>
            <w:proofErr w:type="spellStart"/>
            <w:r w:rsidRPr="00EC7910">
              <w:rPr>
                <w:i/>
                <w:iCs/>
                <w:color w:val="000000" w:themeColor="text1"/>
                <w:sz w:val="24"/>
                <w:szCs w:val="24"/>
                <w:lang w:val="lv-LV"/>
              </w:rPr>
              <w:t>The</w:t>
            </w:r>
            <w:proofErr w:type="spellEnd"/>
            <w:r w:rsidRPr="00EC7910">
              <w:rPr>
                <w:i/>
                <w:iCs/>
                <w:color w:val="000000" w:themeColor="text1"/>
                <w:sz w:val="24"/>
                <w:szCs w:val="24"/>
                <w:lang w:val="lv-LV"/>
              </w:rPr>
              <w:t xml:space="preserve"> </w:t>
            </w:r>
            <w:proofErr w:type="spellStart"/>
            <w:r w:rsidRPr="00EC7910">
              <w:rPr>
                <w:i/>
                <w:iCs/>
                <w:color w:val="000000" w:themeColor="text1"/>
                <w:sz w:val="24"/>
                <w:szCs w:val="24"/>
                <w:lang w:val="lv-LV"/>
              </w:rPr>
              <w:t>European</w:t>
            </w:r>
            <w:proofErr w:type="spellEnd"/>
            <w:r w:rsidRPr="00EC7910">
              <w:rPr>
                <w:i/>
                <w:iCs/>
                <w:color w:val="000000" w:themeColor="text1"/>
                <w:sz w:val="24"/>
                <w:szCs w:val="24"/>
                <w:lang w:val="lv-LV"/>
              </w:rPr>
              <w:t xml:space="preserve"> Credit </w:t>
            </w:r>
            <w:proofErr w:type="spellStart"/>
            <w:r w:rsidRPr="00EC7910">
              <w:rPr>
                <w:i/>
                <w:iCs/>
                <w:color w:val="000000" w:themeColor="text1"/>
                <w:sz w:val="24"/>
                <w:szCs w:val="24"/>
                <w:lang w:val="lv-LV"/>
              </w:rPr>
              <w:t>system</w:t>
            </w:r>
            <w:proofErr w:type="spellEnd"/>
            <w:r w:rsidRPr="00EC7910">
              <w:rPr>
                <w:i/>
                <w:iCs/>
                <w:color w:val="000000" w:themeColor="text1"/>
                <w:sz w:val="24"/>
                <w:szCs w:val="24"/>
                <w:lang w:val="lv-LV"/>
              </w:rPr>
              <w:t xml:space="preserve"> </w:t>
            </w:r>
            <w:proofErr w:type="spellStart"/>
            <w:r w:rsidRPr="00EC7910">
              <w:rPr>
                <w:i/>
                <w:iCs/>
                <w:color w:val="000000" w:themeColor="text1"/>
                <w:sz w:val="24"/>
                <w:szCs w:val="24"/>
                <w:lang w:val="lv-LV"/>
              </w:rPr>
              <w:t>for</w:t>
            </w:r>
            <w:proofErr w:type="spellEnd"/>
            <w:r w:rsidRPr="00EC7910">
              <w:rPr>
                <w:i/>
                <w:iCs/>
                <w:color w:val="000000" w:themeColor="text1"/>
                <w:sz w:val="24"/>
                <w:szCs w:val="24"/>
                <w:lang w:val="lv-LV"/>
              </w:rPr>
              <w:t xml:space="preserve"> </w:t>
            </w:r>
            <w:proofErr w:type="spellStart"/>
            <w:r w:rsidRPr="00EC7910">
              <w:rPr>
                <w:i/>
                <w:iCs/>
                <w:color w:val="000000" w:themeColor="text1"/>
                <w:sz w:val="24"/>
                <w:szCs w:val="24"/>
                <w:lang w:val="lv-LV"/>
              </w:rPr>
              <w:t>Vocational</w:t>
            </w:r>
            <w:proofErr w:type="spellEnd"/>
            <w:r w:rsidRPr="00EC7910">
              <w:rPr>
                <w:i/>
                <w:iCs/>
                <w:color w:val="000000" w:themeColor="text1"/>
                <w:sz w:val="24"/>
                <w:szCs w:val="24"/>
                <w:lang w:val="lv-LV"/>
              </w:rPr>
              <w:t xml:space="preserve"> </w:t>
            </w:r>
            <w:proofErr w:type="spellStart"/>
            <w:r w:rsidRPr="00EC7910">
              <w:rPr>
                <w:i/>
                <w:iCs/>
                <w:color w:val="000000" w:themeColor="text1"/>
                <w:sz w:val="24"/>
                <w:szCs w:val="24"/>
                <w:lang w:val="lv-LV"/>
              </w:rPr>
              <w:t>Education</w:t>
            </w:r>
            <w:proofErr w:type="spellEnd"/>
            <w:r w:rsidRPr="00EC7910">
              <w:rPr>
                <w:i/>
                <w:iCs/>
                <w:color w:val="000000" w:themeColor="text1"/>
                <w:sz w:val="24"/>
                <w:szCs w:val="24"/>
                <w:lang w:val="lv-LV"/>
              </w:rPr>
              <w:t xml:space="preserve"> </w:t>
            </w:r>
            <w:proofErr w:type="spellStart"/>
            <w:r w:rsidRPr="00EC7910">
              <w:rPr>
                <w:i/>
                <w:iCs/>
                <w:color w:val="000000" w:themeColor="text1"/>
                <w:sz w:val="24"/>
                <w:szCs w:val="24"/>
                <w:lang w:val="lv-LV"/>
              </w:rPr>
              <w:t>and</w:t>
            </w:r>
            <w:proofErr w:type="spellEnd"/>
            <w:r w:rsidRPr="00EC7910">
              <w:rPr>
                <w:i/>
                <w:iCs/>
                <w:color w:val="000000" w:themeColor="text1"/>
                <w:sz w:val="24"/>
                <w:szCs w:val="24"/>
                <w:lang w:val="lv-LV"/>
              </w:rPr>
              <w:t xml:space="preserve"> </w:t>
            </w:r>
            <w:proofErr w:type="spellStart"/>
            <w:r w:rsidRPr="00EC7910">
              <w:rPr>
                <w:i/>
                <w:iCs/>
                <w:color w:val="000000" w:themeColor="text1"/>
                <w:sz w:val="24"/>
                <w:szCs w:val="24"/>
                <w:lang w:val="lv-LV"/>
              </w:rPr>
              <w:t>Training</w:t>
            </w:r>
            <w:proofErr w:type="spellEnd"/>
            <w:r w:rsidRPr="00EC7910">
              <w:rPr>
                <w:iCs/>
                <w:color w:val="000000" w:themeColor="text1"/>
                <w:sz w:val="24"/>
                <w:szCs w:val="24"/>
                <w:lang w:val="lv-LV"/>
              </w:rPr>
              <w:t>) principi.</w:t>
            </w:r>
          </w:p>
          <w:p w14:paraId="25351960" w14:textId="77777777" w:rsidR="00B7579B" w:rsidRPr="00EC7910" w:rsidRDefault="00B7579B" w:rsidP="000E11B9">
            <w:pPr>
              <w:jc w:val="both"/>
              <w:rPr>
                <w:rFonts w:eastAsia="Times New Roman"/>
                <w:color w:val="000000" w:themeColor="text1"/>
                <w:sz w:val="24"/>
                <w:szCs w:val="24"/>
                <w:shd w:val="clear" w:color="auto" w:fill="FFFFFF"/>
                <w:lang w:val="lv-LV"/>
              </w:rPr>
            </w:pPr>
          </w:p>
          <w:p w14:paraId="71B0FCEF" w14:textId="31A6B1B4" w:rsidR="008E7F68" w:rsidRPr="00EC7910" w:rsidRDefault="008E7F68" w:rsidP="000E11B9">
            <w:pPr>
              <w:jc w:val="both"/>
              <w:rPr>
                <w:rFonts w:eastAsia="Times New Roman"/>
                <w:color w:val="000000" w:themeColor="text1"/>
                <w:sz w:val="24"/>
                <w:szCs w:val="24"/>
                <w:shd w:val="clear" w:color="auto" w:fill="FFFFFF"/>
                <w:lang w:val="lv-LV"/>
              </w:rPr>
            </w:pPr>
            <w:r w:rsidRPr="00EC7910">
              <w:rPr>
                <w:rFonts w:eastAsia="Times New Roman"/>
                <w:color w:val="000000" w:themeColor="text1"/>
                <w:sz w:val="24"/>
                <w:szCs w:val="24"/>
                <w:shd w:val="clear" w:color="auto" w:fill="FFFFFF"/>
                <w:lang w:val="lv-LV"/>
              </w:rPr>
              <w:t xml:space="preserve">Izstrādājot noteikumu projektu, tika izvērtēta izglītības iestāžu pašreizējā situācija profesionālās vidējās un arodizglītības īstenošanā, lai prognozētu </w:t>
            </w:r>
            <w:r w:rsidR="005664DC" w:rsidRPr="00EC7910">
              <w:rPr>
                <w:rFonts w:eastAsia="Times New Roman"/>
                <w:color w:val="000000" w:themeColor="text1"/>
                <w:sz w:val="24"/>
                <w:szCs w:val="24"/>
                <w:shd w:val="clear" w:color="auto" w:fill="FFFFFF"/>
                <w:lang w:val="lv-LV"/>
              </w:rPr>
              <w:t>noteikumu projekta ietekmi</w:t>
            </w:r>
            <w:r w:rsidRPr="00EC7910">
              <w:rPr>
                <w:rFonts w:eastAsia="Times New Roman"/>
                <w:color w:val="000000" w:themeColor="text1"/>
                <w:sz w:val="24"/>
                <w:szCs w:val="24"/>
                <w:shd w:val="clear" w:color="auto" w:fill="FFFFFF"/>
                <w:lang w:val="lv-LV"/>
              </w:rPr>
              <w:t xml:space="preserve"> uz jaunu kompetences centru izveides iespēju nākotnē.</w:t>
            </w:r>
          </w:p>
          <w:p w14:paraId="1543600A" w14:textId="0DC5F8A9" w:rsidR="008E7F68" w:rsidRPr="00EC7910" w:rsidRDefault="008E7F68" w:rsidP="008E7F68">
            <w:pPr>
              <w:jc w:val="both"/>
              <w:rPr>
                <w:rFonts w:eastAsia="Times New Roman"/>
                <w:color w:val="000000" w:themeColor="text1"/>
                <w:sz w:val="24"/>
                <w:szCs w:val="24"/>
                <w:shd w:val="clear" w:color="auto" w:fill="FFFFFF"/>
                <w:lang w:val="lv-LV"/>
              </w:rPr>
            </w:pPr>
            <w:r w:rsidRPr="00EC7910">
              <w:rPr>
                <w:rFonts w:eastAsia="Times New Roman"/>
                <w:color w:val="000000" w:themeColor="text1"/>
                <w:sz w:val="24"/>
                <w:szCs w:val="24"/>
                <w:shd w:val="clear" w:color="auto" w:fill="FFFFFF"/>
                <w:lang w:val="lv-LV"/>
              </w:rPr>
              <w:t xml:space="preserve">Lai pretendētu uz kompetences centra statusu, profesionālo vidējo izglītību attiecīgajā izglītības iestādē iegūst ne mazāk par 800 izglītojamajiem Rīgā un ne mazāk par 500 izglītojamajiem – citā administratīvajā teritorijā. Saskaņā ar noteikumu projektu minētais izglītojamo skaits ir jāsasniedz attiecīgajā izglītības iestādē profesionālajā vidējā un arodizglītībā. </w:t>
            </w:r>
          </w:p>
          <w:p w14:paraId="54C828E9" w14:textId="77777777" w:rsidR="008E7F68" w:rsidRPr="00EC7910" w:rsidRDefault="008E7F68" w:rsidP="008E7F68">
            <w:pPr>
              <w:jc w:val="both"/>
              <w:rPr>
                <w:rFonts w:eastAsia="Times New Roman"/>
                <w:color w:val="000000" w:themeColor="text1"/>
                <w:sz w:val="24"/>
                <w:szCs w:val="24"/>
                <w:shd w:val="clear" w:color="auto" w:fill="FFFFFF"/>
                <w:lang w:val="lv-LV"/>
              </w:rPr>
            </w:pPr>
            <w:r w:rsidRPr="00EC7910">
              <w:rPr>
                <w:rFonts w:eastAsia="Times New Roman"/>
                <w:color w:val="000000" w:themeColor="text1"/>
                <w:sz w:val="24"/>
                <w:szCs w:val="24"/>
                <w:shd w:val="clear" w:color="auto" w:fill="FFFFFF"/>
                <w:lang w:val="lv-LV"/>
              </w:rPr>
              <w:t xml:space="preserve">Analizējot datus no Valsts izglītības informācijas sistēmas (turpmāk – VIIS) uz 01.10.2019., var secināt, ka neviena jauna izglītības iestāde nepretendēs uz kompetences centra statusu, jo arodizglītības programmās ir neliels izglītojamo skaits. Saskaņā ar VIIS datiem tika izvērtēts visu institūciju padotībā esošās, t.sk. </w:t>
            </w:r>
            <w:r w:rsidRPr="00EC7910">
              <w:rPr>
                <w:rFonts w:eastAsia="Times New Roman"/>
                <w:color w:val="000000" w:themeColor="text1"/>
                <w:sz w:val="24"/>
                <w:szCs w:val="24"/>
                <w:shd w:val="clear" w:color="auto" w:fill="FFFFFF"/>
                <w:lang w:val="lv-LV"/>
              </w:rPr>
              <w:lastRenderedPageBreak/>
              <w:t>juridisku un fizisku personu dibināto profesionālās izglītības iestāžu izglītojamo skaita palielinājums Rīgā un citā administratīvajā teritorijā, ņemot vērā noteikumu projekta normu, kas rādītājos iekļauj arī arodizglītību. Ministrijas padotībā ir 4 iestādes, kurām nav piešķirts kompetences centra statuss un kuras nevarēs pretendēt uz to. Tās ir:  Aizkraukles Profesionālā vidusskola ar 326 izglītojamajiem, t.sk. 42 – arodizglītībā; Daugavpils Tirdzniecības profesionālā vidusskola – ar 373 izglītojamajiem, t.sk. 68 – arodizglītībā; Rīgas 3.arodvidusskola – ar 279 izglītojamajiem, t.sk. 248 arodizglītībā, bet Rīgas Tirdzniecības profesionālajā vidusskolā – 465 izglītojamie, neviens nemācās arodizglītībā.</w:t>
            </w:r>
          </w:p>
          <w:p w14:paraId="1DD66536" w14:textId="77777777" w:rsidR="008E7F68" w:rsidRPr="00EC7910" w:rsidRDefault="008E7F68" w:rsidP="008E7F68">
            <w:pPr>
              <w:jc w:val="both"/>
              <w:rPr>
                <w:rFonts w:eastAsia="Times New Roman"/>
                <w:color w:val="000000" w:themeColor="text1"/>
                <w:sz w:val="24"/>
                <w:szCs w:val="24"/>
                <w:shd w:val="clear" w:color="auto" w:fill="FFFFFF"/>
                <w:lang w:val="lv-LV"/>
              </w:rPr>
            </w:pPr>
            <w:r w:rsidRPr="00EC7910">
              <w:rPr>
                <w:rFonts w:eastAsia="Times New Roman"/>
                <w:color w:val="000000" w:themeColor="text1"/>
                <w:sz w:val="24"/>
                <w:szCs w:val="24"/>
                <w:shd w:val="clear" w:color="auto" w:fill="FFFFFF"/>
                <w:lang w:val="lv-LV"/>
              </w:rPr>
              <w:t xml:space="preserve">Līdzīgi izvērtētas </w:t>
            </w:r>
            <w:proofErr w:type="spellStart"/>
            <w:r w:rsidRPr="00EC7910">
              <w:rPr>
                <w:rFonts w:eastAsia="Times New Roman"/>
                <w:color w:val="000000" w:themeColor="text1"/>
                <w:sz w:val="24"/>
                <w:szCs w:val="24"/>
                <w:shd w:val="clear" w:color="auto" w:fill="FFFFFF"/>
                <w:lang w:val="lv-LV"/>
              </w:rPr>
              <w:t>Iekšlietu</w:t>
            </w:r>
            <w:proofErr w:type="spellEnd"/>
            <w:r w:rsidRPr="00EC7910">
              <w:rPr>
                <w:rFonts w:eastAsia="Times New Roman"/>
                <w:color w:val="000000" w:themeColor="text1"/>
                <w:sz w:val="24"/>
                <w:szCs w:val="24"/>
                <w:shd w:val="clear" w:color="auto" w:fill="FFFFFF"/>
                <w:lang w:val="lv-LV"/>
              </w:rPr>
              <w:t xml:space="preserve"> ministrijas, Veselības ministrijas, Kultūras ministrijas, Labklājības ministrijas, pašvaldību un privātās profesionālās izglītības iestādes, t.sk. koledžas </w:t>
            </w:r>
            <w:r w:rsidRPr="00EC7910">
              <w:rPr>
                <w:rFonts w:eastAsia="Times New Roman"/>
                <w:sz w:val="24"/>
                <w:szCs w:val="24"/>
                <w:shd w:val="clear" w:color="auto" w:fill="FFFFFF"/>
                <w:lang w:val="lv-LV"/>
              </w:rPr>
              <w:t>(skatīt pielikumu).</w:t>
            </w:r>
          </w:p>
          <w:p w14:paraId="44F5980B" w14:textId="7C7D3C3B" w:rsidR="008E7F68" w:rsidRPr="00EC7910" w:rsidRDefault="008E7F68" w:rsidP="008E7F68">
            <w:pPr>
              <w:jc w:val="both"/>
              <w:rPr>
                <w:rFonts w:eastAsia="Times New Roman"/>
                <w:color w:val="000000" w:themeColor="text1"/>
                <w:sz w:val="24"/>
                <w:szCs w:val="24"/>
                <w:shd w:val="clear" w:color="auto" w:fill="FFFFFF"/>
                <w:lang w:val="lv-LV"/>
              </w:rPr>
            </w:pPr>
            <w:r w:rsidRPr="00EC7910">
              <w:rPr>
                <w:rFonts w:eastAsia="Times New Roman"/>
                <w:color w:val="000000" w:themeColor="text1"/>
                <w:sz w:val="24"/>
                <w:szCs w:val="24"/>
                <w:shd w:val="clear" w:color="auto" w:fill="FFFFFF"/>
                <w:lang w:val="lv-LV"/>
              </w:rPr>
              <w:t>Ņemot vērā minēto ne viena no izvērtētajām izglītības iestādēm pašlaik un tuvākajos 3 gados nevarēs sasniegt normatīvajos aktos noteikto izglītojamo skaitu, arī tad, ja 2.1.apakšpunktā minēto kritērija normu papildina ar arodizglītību.</w:t>
            </w:r>
            <w:r w:rsidR="00DA6DFB" w:rsidRPr="00EC7910">
              <w:rPr>
                <w:rFonts w:eastAsia="Times New Roman"/>
                <w:color w:val="000000" w:themeColor="text1"/>
                <w:sz w:val="24"/>
                <w:szCs w:val="24"/>
                <w:shd w:val="clear" w:color="auto" w:fill="FFFFFF"/>
                <w:lang w:val="lv-LV"/>
              </w:rPr>
              <w:t xml:space="preserve"> Līdz ar to nepaplašināsies arī to pedagogu skaits, kuriem atbilstoši Ministri kabineta 2016.gada 5.jūlija noteikumu Nr.445 “Pedagogu darba samaksas noteikumi” 22.punktam tiek noteikta piemaksa 10 procentu apmērā no mēneša darba algas un nebūs nepieciešams finansējums piemaksu nodrošināšanai, ņemot vērā, ka jauni  profesionālās izglītības kompetences centri noteikumu projekta minēto grozījumu dēļ neveidosies.</w:t>
            </w:r>
          </w:p>
          <w:p w14:paraId="6426102C" w14:textId="03375EAC" w:rsidR="008E7F68" w:rsidRPr="00EC7910" w:rsidRDefault="008E7F68" w:rsidP="008E7F68">
            <w:pPr>
              <w:jc w:val="both"/>
              <w:rPr>
                <w:rFonts w:eastAsia="Times New Roman"/>
                <w:color w:val="000000" w:themeColor="text1"/>
                <w:sz w:val="24"/>
                <w:szCs w:val="24"/>
                <w:shd w:val="clear" w:color="auto" w:fill="FFFFFF"/>
                <w:lang w:val="lv-LV"/>
              </w:rPr>
            </w:pPr>
            <w:r w:rsidRPr="00EC7910">
              <w:rPr>
                <w:rFonts w:eastAsia="Times New Roman"/>
                <w:color w:val="000000" w:themeColor="text1"/>
                <w:sz w:val="24"/>
                <w:szCs w:val="24"/>
                <w:shd w:val="clear" w:color="auto" w:fill="FFFFFF"/>
                <w:lang w:val="lv-LV"/>
              </w:rPr>
              <w:t>Ir jāņem arī vērā, ka minētais kritēr</w:t>
            </w:r>
            <w:r w:rsidR="00DD76CE" w:rsidRPr="00EC7910">
              <w:rPr>
                <w:rFonts w:eastAsia="Times New Roman"/>
                <w:color w:val="000000" w:themeColor="text1"/>
                <w:sz w:val="24"/>
                <w:szCs w:val="24"/>
                <w:shd w:val="clear" w:color="auto" w:fill="FFFFFF"/>
                <w:lang w:val="lv-LV"/>
              </w:rPr>
              <w:t>ijs ir tikai viens no daudziem</w:t>
            </w:r>
            <w:r w:rsidRPr="00EC7910">
              <w:rPr>
                <w:rFonts w:eastAsia="Times New Roman"/>
                <w:color w:val="000000" w:themeColor="text1"/>
                <w:sz w:val="24"/>
                <w:szCs w:val="24"/>
                <w:shd w:val="clear" w:color="auto" w:fill="FFFFFF"/>
                <w:lang w:val="lv-LV"/>
              </w:rPr>
              <w:t xml:space="preserve"> noteikumos noteiktajiem kritērijiem, kuriem vienlaikus ir jāatbilst izglītības iestādei kompetences centra statusa iegūšanai. Līdz ar to kompetences centra statusa iegūšanai izglītības iestādei ir jāveic mērķtiecīgs, milzīgs un laika ziņā ietilpīgs darbs visu normatīvos aktos minēto kritēriju izpildei.</w:t>
            </w:r>
          </w:p>
          <w:p w14:paraId="3F21F80B" w14:textId="77777777" w:rsidR="00A469C4" w:rsidRPr="00EC7910" w:rsidRDefault="00A469C4" w:rsidP="000E11B9">
            <w:pPr>
              <w:jc w:val="both"/>
              <w:rPr>
                <w:rFonts w:eastAsia="Times New Roman"/>
                <w:color w:val="000000" w:themeColor="text1"/>
                <w:sz w:val="24"/>
                <w:szCs w:val="24"/>
                <w:u w:val="single"/>
                <w:shd w:val="clear" w:color="auto" w:fill="FFFFFF"/>
                <w:lang w:val="lv-LV"/>
              </w:rPr>
            </w:pPr>
          </w:p>
          <w:p w14:paraId="23476292" w14:textId="5FF35EB4" w:rsidR="008E7F68" w:rsidRPr="00EC7910" w:rsidRDefault="00A469C4" w:rsidP="000E11B9">
            <w:pPr>
              <w:jc w:val="both"/>
              <w:rPr>
                <w:rFonts w:eastAsia="Times New Roman"/>
                <w:color w:val="000000" w:themeColor="text1"/>
                <w:sz w:val="24"/>
                <w:szCs w:val="24"/>
                <w:shd w:val="clear" w:color="auto" w:fill="FFFFFF"/>
                <w:lang w:val="lv-LV"/>
              </w:rPr>
            </w:pPr>
            <w:r w:rsidRPr="00EC7910">
              <w:rPr>
                <w:rFonts w:eastAsia="Times New Roman"/>
                <w:color w:val="000000" w:themeColor="text1"/>
                <w:sz w:val="24"/>
                <w:szCs w:val="24"/>
                <w:shd w:val="clear" w:color="auto" w:fill="FFFFFF"/>
                <w:lang w:val="lv-LV"/>
              </w:rPr>
              <w:t>Noteikumu projektā ir redakcionāli precizēts noteikumu</w:t>
            </w:r>
            <w:r w:rsidR="00DC23AB" w:rsidRPr="00EC7910">
              <w:rPr>
                <w:rFonts w:eastAsia="Times New Roman"/>
                <w:color w:val="000000" w:themeColor="text1"/>
                <w:sz w:val="24"/>
                <w:szCs w:val="24"/>
                <w:shd w:val="clear" w:color="auto" w:fill="FFFFFF"/>
                <w:lang w:val="lv-LV"/>
              </w:rPr>
              <w:t xml:space="preserve"> 2.4.apakšpunkts, norādot</w:t>
            </w:r>
            <w:r w:rsidRPr="00EC7910">
              <w:rPr>
                <w:rFonts w:eastAsia="Times New Roman"/>
                <w:color w:val="000000" w:themeColor="text1"/>
                <w:sz w:val="24"/>
                <w:szCs w:val="24"/>
                <w:shd w:val="clear" w:color="auto" w:fill="FFFFFF"/>
                <w:lang w:val="lv-LV"/>
              </w:rPr>
              <w:t>, ka darba devēju vai to apvienību un nozares komersantu rakstiskais vērtējums ir par sadarbību, prakses un darba vidē balstītu mācību īstenošanu.</w:t>
            </w:r>
          </w:p>
          <w:p w14:paraId="29CE4DBF" w14:textId="08313E0C" w:rsidR="00153ED4" w:rsidRPr="00EC7910" w:rsidRDefault="00B23117" w:rsidP="000E11B9">
            <w:pPr>
              <w:jc w:val="both"/>
              <w:rPr>
                <w:color w:val="000000" w:themeColor="text1"/>
                <w:sz w:val="24"/>
                <w:szCs w:val="24"/>
                <w:lang w:val="lv-LV"/>
              </w:rPr>
            </w:pPr>
            <w:r w:rsidRPr="00EC7910">
              <w:rPr>
                <w:rFonts w:eastAsia="Times New Roman"/>
                <w:color w:val="000000" w:themeColor="text1"/>
                <w:sz w:val="24"/>
                <w:szCs w:val="24"/>
                <w:shd w:val="clear" w:color="auto" w:fill="FFFFFF"/>
                <w:lang w:val="lv-LV"/>
              </w:rPr>
              <w:t xml:space="preserve"> </w:t>
            </w:r>
          </w:p>
        </w:tc>
      </w:tr>
      <w:tr w:rsidR="00153ED4" w:rsidRPr="00202450" w14:paraId="0C34E7A7" w14:textId="77777777" w:rsidTr="00EC7910">
        <w:tc>
          <w:tcPr>
            <w:tcW w:w="225" w:type="pct"/>
          </w:tcPr>
          <w:p w14:paraId="32D0DC33" w14:textId="67472FD6" w:rsidR="00153ED4" w:rsidRPr="00EC7910" w:rsidRDefault="00153ED4" w:rsidP="00641134">
            <w:pPr>
              <w:rPr>
                <w:rFonts w:eastAsia="Times New Roman"/>
                <w:sz w:val="24"/>
                <w:szCs w:val="24"/>
                <w:lang w:val="lv-LV" w:eastAsia="lv-LV"/>
              </w:rPr>
            </w:pPr>
            <w:r w:rsidRPr="00EC7910">
              <w:rPr>
                <w:rFonts w:eastAsia="Times New Roman"/>
                <w:sz w:val="24"/>
                <w:szCs w:val="24"/>
                <w:lang w:val="lv-LV" w:eastAsia="lv-LV"/>
              </w:rPr>
              <w:lastRenderedPageBreak/>
              <w:t>3.</w:t>
            </w:r>
          </w:p>
        </w:tc>
        <w:tc>
          <w:tcPr>
            <w:tcW w:w="1289" w:type="pct"/>
          </w:tcPr>
          <w:p w14:paraId="119C4CEC" w14:textId="77777777" w:rsidR="00153ED4" w:rsidRPr="00EC7910" w:rsidRDefault="00153ED4" w:rsidP="00641134">
            <w:pPr>
              <w:rPr>
                <w:rFonts w:eastAsia="Times New Roman"/>
                <w:sz w:val="24"/>
                <w:szCs w:val="24"/>
                <w:lang w:val="lv-LV" w:eastAsia="lv-LV"/>
              </w:rPr>
            </w:pPr>
            <w:r w:rsidRPr="00EC7910">
              <w:rPr>
                <w:rFonts w:eastAsia="Times New Roman"/>
                <w:sz w:val="24"/>
                <w:szCs w:val="24"/>
                <w:lang w:val="lv-LV" w:eastAsia="lv-LV"/>
              </w:rPr>
              <w:t>Projekta izstrādē iesaistītās institūcijas un publiskas personas kapitālsabiedrības</w:t>
            </w:r>
          </w:p>
        </w:tc>
        <w:tc>
          <w:tcPr>
            <w:tcW w:w="3486" w:type="pct"/>
          </w:tcPr>
          <w:p w14:paraId="343FBCA5" w14:textId="3B7A4B93" w:rsidR="00153ED4" w:rsidRPr="00EC7910" w:rsidRDefault="00F17169" w:rsidP="00F17169">
            <w:pPr>
              <w:rPr>
                <w:rFonts w:eastAsia="Times New Roman"/>
                <w:sz w:val="24"/>
                <w:szCs w:val="24"/>
                <w:lang w:val="lv-LV" w:eastAsia="lv-LV"/>
              </w:rPr>
            </w:pPr>
            <w:r w:rsidRPr="00EC7910">
              <w:rPr>
                <w:rFonts w:eastAsia="Times New Roman"/>
                <w:bCs/>
                <w:sz w:val="24"/>
                <w:szCs w:val="24"/>
                <w:lang w:val="lv-LV" w:eastAsia="lv-LV"/>
              </w:rPr>
              <w:t xml:space="preserve">Ministrija </w:t>
            </w:r>
            <w:r w:rsidR="002D7EF5" w:rsidRPr="00EC7910">
              <w:rPr>
                <w:rFonts w:eastAsia="Times New Roman"/>
                <w:bCs/>
                <w:sz w:val="24"/>
                <w:szCs w:val="24"/>
                <w:lang w:val="lv-LV" w:eastAsia="lv-LV"/>
              </w:rPr>
              <w:t>un Profesionālās izglītības biedrība</w:t>
            </w:r>
            <w:r w:rsidR="00153ED4" w:rsidRPr="00EC7910">
              <w:rPr>
                <w:rFonts w:eastAsia="Times New Roman"/>
                <w:bCs/>
                <w:sz w:val="24"/>
                <w:szCs w:val="24"/>
                <w:lang w:val="lv-LV" w:eastAsia="lv-LV"/>
              </w:rPr>
              <w:t>.</w:t>
            </w:r>
          </w:p>
        </w:tc>
      </w:tr>
      <w:tr w:rsidR="00153ED4" w:rsidRPr="00202450" w14:paraId="3280CEBA" w14:textId="77777777" w:rsidTr="00EC7910">
        <w:tc>
          <w:tcPr>
            <w:tcW w:w="225" w:type="pct"/>
          </w:tcPr>
          <w:p w14:paraId="64A79FBF" w14:textId="77777777" w:rsidR="00153ED4" w:rsidRPr="00EC7910" w:rsidRDefault="00153ED4" w:rsidP="00641134">
            <w:pPr>
              <w:rPr>
                <w:rFonts w:eastAsia="Times New Roman"/>
                <w:sz w:val="24"/>
                <w:szCs w:val="24"/>
                <w:lang w:val="lv-LV" w:eastAsia="lv-LV"/>
              </w:rPr>
            </w:pPr>
            <w:r w:rsidRPr="00EC7910">
              <w:rPr>
                <w:rFonts w:eastAsia="Times New Roman"/>
                <w:sz w:val="24"/>
                <w:szCs w:val="24"/>
                <w:lang w:val="lv-LV" w:eastAsia="lv-LV"/>
              </w:rPr>
              <w:t>4.</w:t>
            </w:r>
          </w:p>
        </w:tc>
        <w:tc>
          <w:tcPr>
            <w:tcW w:w="1289" w:type="pct"/>
          </w:tcPr>
          <w:p w14:paraId="0DA8576E" w14:textId="77777777" w:rsidR="00153ED4" w:rsidRPr="00EC7910" w:rsidRDefault="00153ED4" w:rsidP="00641134">
            <w:pPr>
              <w:rPr>
                <w:rFonts w:eastAsia="Times New Roman"/>
                <w:sz w:val="24"/>
                <w:szCs w:val="24"/>
                <w:lang w:val="lv-LV" w:eastAsia="lv-LV"/>
              </w:rPr>
            </w:pPr>
            <w:r w:rsidRPr="00EC7910">
              <w:rPr>
                <w:rFonts w:eastAsia="Times New Roman"/>
                <w:sz w:val="24"/>
                <w:szCs w:val="24"/>
                <w:lang w:val="lv-LV" w:eastAsia="lv-LV"/>
              </w:rPr>
              <w:t>Cita informācija</w:t>
            </w:r>
          </w:p>
        </w:tc>
        <w:tc>
          <w:tcPr>
            <w:tcW w:w="3486" w:type="pct"/>
          </w:tcPr>
          <w:p w14:paraId="0E2EBFCD" w14:textId="77777777" w:rsidR="00153ED4" w:rsidRPr="00EC7910" w:rsidRDefault="00153ED4" w:rsidP="00641134">
            <w:pPr>
              <w:jc w:val="both"/>
              <w:rPr>
                <w:rFonts w:eastAsia="Times New Roman"/>
                <w:sz w:val="24"/>
                <w:szCs w:val="24"/>
                <w:lang w:val="lv-LV" w:eastAsia="lv-LV"/>
              </w:rPr>
            </w:pPr>
            <w:r w:rsidRPr="00EC7910">
              <w:rPr>
                <w:rFonts w:eastAsia="Times New Roman"/>
                <w:sz w:val="24"/>
                <w:szCs w:val="24"/>
                <w:lang w:val="lv-LV" w:eastAsia="lv-LV"/>
              </w:rPr>
              <w:t>Nav.</w:t>
            </w:r>
          </w:p>
        </w:tc>
      </w:tr>
    </w:tbl>
    <w:p w14:paraId="12877257" w14:textId="77777777" w:rsidR="00153ED4" w:rsidRPr="00202450" w:rsidRDefault="00153ED4" w:rsidP="00153ED4">
      <w:pPr>
        <w:spacing w:line="360" w:lineRule="auto"/>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53ED4" w:rsidRPr="00202450" w14:paraId="60C32DBC" w14:textId="77777777" w:rsidTr="00641134">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3A32FE" w14:textId="77777777" w:rsidR="00153ED4" w:rsidRPr="00202450" w:rsidRDefault="00153ED4" w:rsidP="00641134">
            <w:pPr>
              <w:spacing w:before="100" w:beforeAutospacing="1" w:after="100" w:afterAutospacing="1" w:line="293" w:lineRule="atLeast"/>
              <w:jc w:val="center"/>
              <w:rPr>
                <w:b/>
                <w:bCs/>
                <w:lang w:val="lv-LV"/>
              </w:rPr>
            </w:pPr>
            <w:r w:rsidRPr="00202450">
              <w:rPr>
                <w:lang w:val="lv-LV"/>
              </w:rPr>
              <w:t> </w:t>
            </w:r>
            <w:r w:rsidRPr="00202450">
              <w:rPr>
                <w:b/>
                <w:bCs/>
                <w:lang w:val="lv-LV"/>
              </w:rPr>
              <w:t>II. Tiesību akta projekta ietekme uz sabiedrību, tautsaimniecības attīstību un administratīvo slogu</w:t>
            </w:r>
          </w:p>
        </w:tc>
      </w:tr>
      <w:tr w:rsidR="00153ED4" w:rsidRPr="00A40146" w14:paraId="44FB6DC6" w14:textId="77777777" w:rsidTr="00641134">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ABE820E" w14:textId="77777777" w:rsidR="00153ED4" w:rsidRPr="00202450" w:rsidRDefault="00153ED4" w:rsidP="00641134">
            <w:pPr>
              <w:rPr>
                <w:lang w:val="lv-LV"/>
              </w:rPr>
            </w:pPr>
            <w:r w:rsidRPr="00202450">
              <w:rPr>
                <w:lang w:val="lv-LV"/>
              </w:rPr>
              <w:lastRenderedPageBreak/>
              <w:t>1.</w:t>
            </w:r>
          </w:p>
        </w:tc>
        <w:tc>
          <w:tcPr>
            <w:tcW w:w="2024" w:type="pct"/>
            <w:tcBorders>
              <w:top w:val="outset" w:sz="6" w:space="0" w:color="414142"/>
              <w:left w:val="outset" w:sz="6" w:space="0" w:color="414142"/>
              <w:bottom w:val="outset" w:sz="6" w:space="0" w:color="414142"/>
              <w:right w:val="outset" w:sz="6" w:space="0" w:color="414142"/>
            </w:tcBorders>
            <w:hideMark/>
          </w:tcPr>
          <w:p w14:paraId="3990171F" w14:textId="77777777" w:rsidR="00153ED4" w:rsidRPr="00202450" w:rsidRDefault="00153ED4" w:rsidP="00641134">
            <w:pPr>
              <w:rPr>
                <w:lang w:val="lv-LV"/>
              </w:rPr>
            </w:pPr>
            <w:r w:rsidRPr="00202450">
              <w:rPr>
                <w:lang w:val="lv-LV"/>
              </w:rPr>
              <w:t xml:space="preserve">Sabiedrības </w:t>
            </w:r>
            <w:proofErr w:type="spellStart"/>
            <w:r w:rsidRPr="00202450">
              <w:rPr>
                <w:lang w:val="lv-LV"/>
              </w:rPr>
              <w:t>mērķgrupas</w:t>
            </w:r>
            <w:proofErr w:type="spellEnd"/>
            <w:r w:rsidRPr="00202450">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67D3D767" w14:textId="5B159FDC" w:rsidR="00153ED4" w:rsidRPr="00202450" w:rsidRDefault="00204C3A" w:rsidP="00153ED4">
            <w:pPr>
              <w:jc w:val="both"/>
              <w:rPr>
                <w:lang w:val="lv-LV"/>
              </w:rPr>
            </w:pPr>
            <w:r>
              <w:rPr>
                <w:lang w:val="lv-LV"/>
              </w:rPr>
              <w:t xml:space="preserve"> </w:t>
            </w:r>
            <w:r w:rsidR="00153ED4" w:rsidRPr="00202450">
              <w:rPr>
                <w:lang w:val="lv-LV"/>
              </w:rPr>
              <w:t xml:space="preserve">Noteikumu projekts attiecas uz profesionālās izglītības iestādēm, to personālu un izglītojamajiem. </w:t>
            </w:r>
          </w:p>
        </w:tc>
      </w:tr>
      <w:tr w:rsidR="00153ED4" w:rsidRPr="002E5C7C" w14:paraId="39F28E72" w14:textId="77777777" w:rsidTr="0064113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AF1938" w14:textId="77777777" w:rsidR="00153ED4" w:rsidRPr="00202450" w:rsidRDefault="00153ED4" w:rsidP="00641134">
            <w:pPr>
              <w:rPr>
                <w:lang w:val="lv-LV"/>
              </w:rPr>
            </w:pPr>
            <w:r w:rsidRPr="00202450">
              <w:rPr>
                <w:lang w:val="lv-LV"/>
              </w:rPr>
              <w:t>2.</w:t>
            </w:r>
          </w:p>
        </w:tc>
        <w:tc>
          <w:tcPr>
            <w:tcW w:w="2024" w:type="pct"/>
            <w:tcBorders>
              <w:top w:val="outset" w:sz="6" w:space="0" w:color="414142"/>
              <w:left w:val="outset" w:sz="6" w:space="0" w:color="414142"/>
              <w:bottom w:val="outset" w:sz="6" w:space="0" w:color="414142"/>
              <w:right w:val="outset" w:sz="6" w:space="0" w:color="414142"/>
            </w:tcBorders>
            <w:hideMark/>
          </w:tcPr>
          <w:p w14:paraId="646786CE" w14:textId="77777777" w:rsidR="00153ED4" w:rsidRPr="00202450" w:rsidRDefault="00153ED4" w:rsidP="00641134">
            <w:pPr>
              <w:rPr>
                <w:lang w:val="lv-LV"/>
              </w:rPr>
            </w:pPr>
            <w:r w:rsidRPr="00202450">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7404B8E2" w14:textId="77777777" w:rsidR="00153ED4" w:rsidRPr="00E21843" w:rsidRDefault="0075639C" w:rsidP="00A459FD">
            <w:pPr>
              <w:jc w:val="both"/>
              <w:rPr>
                <w:lang w:val="lv-LV"/>
              </w:rPr>
            </w:pPr>
            <w:r w:rsidRPr="00E21843">
              <w:rPr>
                <w:lang w:val="lv-LV"/>
              </w:rPr>
              <w:t>Tiesiskais regulējums pozitīvi ietekmēs tautsaimniecības attīstību,</w:t>
            </w:r>
            <w:r w:rsidR="00F61BB2" w:rsidRPr="00E21843">
              <w:rPr>
                <w:lang w:val="lv-LV"/>
              </w:rPr>
              <w:t xml:space="preserve"> ņemot vērā, ka kompetences centros, kas </w:t>
            </w:r>
            <w:r w:rsidR="00A459FD" w:rsidRPr="00E21843">
              <w:rPr>
                <w:lang w:val="lv-LV"/>
              </w:rPr>
              <w:t xml:space="preserve">būs ieinteresēti arodizglītības attīstībā, </w:t>
            </w:r>
            <w:r w:rsidR="00F61BB2" w:rsidRPr="00E21843">
              <w:rPr>
                <w:lang w:val="lv-LV"/>
              </w:rPr>
              <w:t xml:space="preserve">īsākā </w:t>
            </w:r>
            <w:r w:rsidR="00A459FD" w:rsidRPr="00E21843">
              <w:rPr>
                <w:lang w:val="lv-LV"/>
              </w:rPr>
              <w:t xml:space="preserve">mācību </w:t>
            </w:r>
            <w:r w:rsidR="00F61BB2" w:rsidRPr="00E21843">
              <w:rPr>
                <w:lang w:val="lv-LV"/>
              </w:rPr>
              <w:t>laik</w:t>
            </w:r>
            <w:r w:rsidR="00A459FD" w:rsidRPr="00E21843">
              <w:rPr>
                <w:lang w:val="lv-LV"/>
              </w:rPr>
              <w:t xml:space="preserve">ā </w:t>
            </w:r>
            <w:r w:rsidR="00F61BB2" w:rsidRPr="00E21843">
              <w:rPr>
                <w:lang w:val="lv-LV"/>
              </w:rPr>
              <w:t xml:space="preserve">tiks sagatavoti speciālisti </w:t>
            </w:r>
            <w:r w:rsidRPr="00E21843">
              <w:rPr>
                <w:lang w:val="lv-LV"/>
              </w:rPr>
              <w:t xml:space="preserve"> </w:t>
            </w:r>
            <w:r w:rsidR="002E5C7C" w:rsidRPr="00E21843">
              <w:rPr>
                <w:lang w:val="lv-LV"/>
              </w:rPr>
              <w:t>tautsaimniecības vajadzībām. Arodizglītība spēj ātrāk</w:t>
            </w:r>
            <w:r w:rsidR="00A459FD" w:rsidRPr="00E21843">
              <w:rPr>
                <w:lang w:val="lv-LV"/>
              </w:rPr>
              <w:t xml:space="preserve"> un elastīgāk</w:t>
            </w:r>
            <w:r w:rsidR="002E5C7C" w:rsidRPr="00E21843">
              <w:rPr>
                <w:lang w:val="lv-LV"/>
              </w:rPr>
              <w:t xml:space="preserve"> reaģ</w:t>
            </w:r>
            <w:r w:rsidR="00A459FD" w:rsidRPr="00E21843">
              <w:rPr>
                <w:lang w:val="lv-LV"/>
              </w:rPr>
              <w:t>ēt uz darba tirgus pieprasījumu. T</w:t>
            </w:r>
            <w:r w:rsidR="002E5C7C" w:rsidRPr="00E21843">
              <w:rPr>
                <w:lang w:val="lv-LV"/>
              </w:rPr>
              <w:t>ādējādi jaunie arodizglītības speciālisti ātrāk nonāks darba tirgū un nodrošinās materiālo vērtību radīšanu, ekonomikas attīstību un sabiedrības labklājību</w:t>
            </w:r>
            <w:r w:rsidR="00A459FD" w:rsidRPr="00E21843">
              <w:rPr>
                <w:lang w:val="lv-LV"/>
              </w:rPr>
              <w:t>.</w:t>
            </w:r>
          </w:p>
          <w:p w14:paraId="72AB8AA3" w14:textId="6AEAC316" w:rsidR="00A459FD" w:rsidRPr="00202450" w:rsidRDefault="00A459FD" w:rsidP="00A459FD">
            <w:pPr>
              <w:jc w:val="both"/>
              <w:rPr>
                <w:lang w:val="lv-LV"/>
              </w:rPr>
            </w:pPr>
            <w:r w:rsidRPr="00E21843">
              <w:rPr>
                <w:lang w:val="lv-LV"/>
              </w:rPr>
              <w:t>Noteikumu projekts nerada administratīvo slogu</w:t>
            </w:r>
            <w:r w:rsidRPr="00A459FD">
              <w:rPr>
                <w:b/>
                <w:lang w:val="lv-LV"/>
              </w:rPr>
              <w:t>.</w:t>
            </w:r>
          </w:p>
        </w:tc>
      </w:tr>
      <w:tr w:rsidR="00153ED4" w:rsidRPr="00202450" w14:paraId="625D22A9" w14:textId="77777777" w:rsidTr="00641134">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94F6F60" w14:textId="7435993B" w:rsidR="00153ED4" w:rsidRPr="00202450" w:rsidRDefault="00153ED4" w:rsidP="00641134">
            <w:pPr>
              <w:rPr>
                <w:lang w:val="lv-LV"/>
              </w:rPr>
            </w:pPr>
            <w:r w:rsidRPr="00202450">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6770860C" w14:textId="77777777" w:rsidR="00153ED4" w:rsidRPr="00202450" w:rsidRDefault="00153ED4" w:rsidP="00641134">
            <w:pPr>
              <w:rPr>
                <w:lang w:val="lv-LV"/>
              </w:rPr>
            </w:pPr>
            <w:r w:rsidRPr="00202450">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2D361D5" w14:textId="77777777" w:rsidR="00153ED4" w:rsidRPr="00202450" w:rsidRDefault="00153ED4" w:rsidP="00641134">
            <w:pPr>
              <w:jc w:val="both"/>
              <w:rPr>
                <w:lang w:val="lv-LV"/>
              </w:rPr>
            </w:pPr>
            <w:r w:rsidRPr="00202450">
              <w:rPr>
                <w:lang w:val="lv-LV"/>
              </w:rPr>
              <w:t>Noteikumu projekts šo jomu neskar.</w:t>
            </w:r>
          </w:p>
        </w:tc>
      </w:tr>
      <w:tr w:rsidR="006774A3" w:rsidRPr="00202450" w14:paraId="058F496F" w14:textId="77777777" w:rsidTr="00641134">
        <w:trPr>
          <w:trHeight w:val="510"/>
        </w:trPr>
        <w:tc>
          <w:tcPr>
            <w:tcW w:w="249" w:type="pct"/>
            <w:tcBorders>
              <w:top w:val="outset" w:sz="6" w:space="0" w:color="414142"/>
              <w:left w:val="outset" w:sz="6" w:space="0" w:color="414142"/>
              <w:bottom w:val="outset" w:sz="6" w:space="0" w:color="414142"/>
              <w:right w:val="outset" w:sz="6" w:space="0" w:color="414142"/>
            </w:tcBorders>
          </w:tcPr>
          <w:p w14:paraId="7CA6F25B" w14:textId="6500D374" w:rsidR="006774A3" w:rsidRPr="00202450" w:rsidRDefault="006774A3" w:rsidP="00641134">
            <w:pPr>
              <w:rPr>
                <w:lang w:val="lv-LV"/>
              </w:rPr>
            </w:pPr>
            <w:r>
              <w:rPr>
                <w:lang w:val="lv-LV"/>
              </w:rPr>
              <w:t xml:space="preserve">4. </w:t>
            </w:r>
          </w:p>
        </w:tc>
        <w:tc>
          <w:tcPr>
            <w:tcW w:w="2024" w:type="pct"/>
            <w:tcBorders>
              <w:top w:val="outset" w:sz="6" w:space="0" w:color="414142"/>
              <w:left w:val="outset" w:sz="6" w:space="0" w:color="414142"/>
              <w:bottom w:val="outset" w:sz="6" w:space="0" w:color="414142"/>
              <w:right w:val="outset" w:sz="6" w:space="0" w:color="414142"/>
            </w:tcBorders>
          </w:tcPr>
          <w:p w14:paraId="2BAC8672" w14:textId="58404362" w:rsidR="006774A3" w:rsidRPr="00202450" w:rsidRDefault="006774A3" w:rsidP="00641134">
            <w:pPr>
              <w:rPr>
                <w:lang w:val="lv-LV"/>
              </w:rPr>
            </w:pPr>
            <w:r w:rsidRPr="006774A3">
              <w:rPr>
                <w:lang w:val="lv-LV"/>
              </w:rPr>
              <w:t>Atbilstības izmaksu monetārs novērtējums</w:t>
            </w:r>
          </w:p>
        </w:tc>
        <w:tc>
          <w:tcPr>
            <w:tcW w:w="2728" w:type="pct"/>
            <w:tcBorders>
              <w:top w:val="outset" w:sz="6" w:space="0" w:color="414142"/>
              <w:left w:val="outset" w:sz="6" w:space="0" w:color="414142"/>
              <w:bottom w:val="outset" w:sz="6" w:space="0" w:color="414142"/>
              <w:right w:val="outset" w:sz="6" w:space="0" w:color="414142"/>
            </w:tcBorders>
          </w:tcPr>
          <w:p w14:paraId="14AE80C9" w14:textId="01C27486" w:rsidR="006774A3" w:rsidRPr="00202450" w:rsidRDefault="006774A3" w:rsidP="00641134">
            <w:pPr>
              <w:jc w:val="both"/>
              <w:rPr>
                <w:lang w:val="lv-LV"/>
              </w:rPr>
            </w:pPr>
            <w:r w:rsidRPr="006774A3">
              <w:rPr>
                <w:lang w:val="lv-LV"/>
              </w:rPr>
              <w:t>Noteikumu projekts šo jomu neskar.</w:t>
            </w:r>
          </w:p>
        </w:tc>
      </w:tr>
      <w:tr w:rsidR="00153ED4" w:rsidRPr="00202450" w14:paraId="3333ED32" w14:textId="77777777" w:rsidTr="00641134">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A079805" w14:textId="4E08278C" w:rsidR="00153ED4" w:rsidRPr="00202450" w:rsidRDefault="006774A3" w:rsidP="00641134">
            <w:pPr>
              <w:rPr>
                <w:lang w:val="lv-LV"/>
              </w:rPr>
            </w:pPr>
            <w:r>
              <w:rPr>
                <w:lang w:val="lv-LV"/>
              </w:rPr>
              <w:t>5</w:t>
            </w:r>
            <w:r w:rsidR="00153ED4" w:rsidRPr="00202450">
              <w:rPr>
                <w:lang w:val="lv-LV"/>
              </w:rPr>
              <w:t>.</w:t>
            </w:r>
          </w:p>
        </w:tc>
        <w:tc>
          <w:tcPr>
            <w:tcW w:w="2024" w:type="pct"/>
            <w:tcBorders>
              <w:top w:val="outset" w:sz="6" w:space="0" w:color="414142"/>
              <w:left w:val="outset" w:sz="6" w:space="0" w:color="414142"/>
              <w:bottom w:val="outset" w:sz="6" w:space="0" w:color="414142"/>
              <w:right w:val="outset" w:sz="6" w:space="0" w:color="414142"/>
            </w:tcBorders>
            <w:hideMark/>
          </w:tcPr>
          <w:p w14:paraId="005FBD81" w14:textId="77777777" w:rsidR="00153ED4" w:rsidRPr="00202450" w:rsidRDefault="00153ED4" w:rsidP="00641134">
            <w:pPr>
              <w:rPr>
                <w:lang w:val="lv-LV"/>
              </w:rPr>
            </w:pPr>
            <w:r w:rsidRPr="00202450">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73F5AE7D" w14:textId="77777777" w:rsidR="00153ED4" w:rsidRPr="00202450" w:rsidRDefault="00153ED4" w:rsidP="00641134">
            <w:pPr>
              <w:spacing w:before="100" w:beforeAutospacing="1" w:after="100" w:afterAutospacing="1" w:line="293" w:lineRule="atLeast"/>
              <w:rPr>
                <w:lang w:val="lv-LV"/>
              </w:rPr>
            </w:pPr>
            <w:r w:rsidRPr="00202450">
              <w:rPr>
                <w:lang w:val="lv-LV"/>
              </w:rPr>
              <w:t>Nav</w:t>
            </w:r>
          </w:p>
        </w:tc>
      </w:tr>
    </w:tbl>
    <w:p w14:paraId="6A1F5BB9" w14:textId="77777777" w:rsidR="00153ED4" w:rsidRPr="00202450" w:rsidRDefault="00153ED4" w:rsidP="00153ED4">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A40146" w14:paraId="5D938AB6" w14:textId="77777777" w:rsidTr="0064113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0EA9C3" w14:textId="77777777" w:rsidR="00153ED4" w:rsidRPr="00202450" w:rsidRDefault="00153ED4" w:rsidP="00641134">
            <w:pPr>
              <w:spacing w:before="100" w:beforeAutospacing="1" w:after="100" w:afterAutospacing="1" w:line="293" w:lineRule="atLeast"/>
              <w:jc w:val="center"/>
              <w:rPr>
                <w:b/>
                <w:bCs/>
                <w:lang w:val="lv-LV"/>
              </w:rPr>
            </w:pPr>
            <w:r w:rsidRPr="00202450">
              <w:rPr>
                <w:lang w:val="lv-LV"/>
              </w:rPr>
              <w:t> </w:t>
            </w:r>
            <w:r w:rsidRPr="00202450">
              <w:rPr>
                <w:b/>
                <w:bCs/>
                <w:lang w:val="lv-LV"/>
              </w:rPr>
              <w:t>III. Tiesību akta projekta ietekme uz valsts budžetu un pašvaldību budžetiem</w:t>
            </w:r>
          </w:p>
        </w:tc>
      </w:tr>
      <w:tr w:rsidR="00153ED4" w:rsidRPr="00202450" w14:paraId="48A80AB8" w14:textId="77777777" w:rsidTr="0064113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03D3F0A" w14:textId="6CFD1D01"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71B01580"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A40146" w14:paraId="28A7D293" w14:textId="77777777" w:rsidTr="0064113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B35C3DE" w14:textId="77777777" w:rsidR="00153ED4" w:rsidRPr="00202450" w:rsidRDefault="00153ED4" w:rsidP="00641134">
            <w:pPr>
              <w:spacing w:before="100" w:beforeAutospacing="1" w:after="100" w:afterAutospacing="1" w:line="293" w:lineRule="atLeast"/>
              <w:jc w:val="center"/>
              <w:rPr>
                <w:b/>
                <w:bCs/>
                <w:lang w:val="lv-LV"/>
              </w:rPr>
            </w:pPr>
            <w:r w:rsidRPr="00202450">
              <w:rPr>
                <w:lang w:val="lv-LV"/>
              </w:rPr>
              <w:t> </w:t>
            </w:r>
            <w:r w:rsidRPr="00202450">
              <w:rPr>
                <w:b/>
                <w:bCs/>
                <w:lang w:val="lv-LV"/>
              </w:rPr>
              <w:t>IV. Tiesību akta projekta ietekme uz spēkā esošo tiesību normu sistēmu</w:t>
            </w:r>
          </w:p>
        </w:tc>
      </w:tr>
      <w:tr w:rsidR="00153ED4" w:rsidRPr="00202450" w14:paraId="1F07D3F9" w14:textId="77777777" w:rsidTr="0064113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9460A59" w14:textId="2180E1E1"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0A5BB08E"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202450" w14:paraId="26F23B54" w14:textId="77777777" w:rsidTr="00641134">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90FACB" w14:textId="77777777" w:rsidR="00153ED4" w:rsidRPr="00202450" w:rsidRDefault="00153ED4" w:rsidP="00641134">
            <w:pPr>
              <w:spacing w:before="100" w:beforeAutospacing="1" w:after="100" w:afterAutospacing="1" w:line="293" w:lineRule="atLeast"/>
              <w:jc w:val="center"/>
              <w:rPr>
                <w:b/>
                <w:bCs/>
                <w:lang w:val="lv-LV"/>
              </w:rPr>
            </w:pPr>
            <w:r w:rsidRPr="00202450">
              <w:rPr>
                <w:lang w:val="lv-LV"/>
              </w:rPr>
              <w:t> </w:t>
            </w:r>
            <w:r w:rsidRPr="00202450">
              <w:rPr>
                <w:b/>
                <w:bCs/>
                <w:lang w:val="lv-LV"/>
              </w:rPr>
              <w:t>V. Tiesību akta projekta atbilstība Latvijas Republikas starptautiskajām saistībām</w:t>
            </w:r>
          </w:p>
        </w:tc>
      </w:tr>
      <w:tr w:rsidR="00153ED4" w:rsidRPr="00202450" w14:paraId="25701D7F" w14:textId="77777777" w:rsidTr="00641134">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5DAC97A" w14:textId="10EA16A7"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59285240" w14:textId="77777777" w:rsidR="00153ED4" w:rsidRDefault="00153ED4" w:rsidP="00153ED4">
      <w:pPr>
        <w:rPr>
          <w:rFonts w:eastAsia="Times New Roman"/>
          <w:lang w:val="lv-LV"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77"/>
        <w:gridCol w:w="6105"/>
      </w:tblGrid>
      <w:tr w:rsidR="006774A3" w:rsidRPr="00A40146" w14:paraId="01B4514F" w14:textId="77777777" w:rsidTr="00916614">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FBF1C7B" w14:textId="77777777" w:rsidR="006774A3" w:rsidRPr="0054653C" w:rsidRDefault="006774A3" w:rsidP="00641134">
            <w:pPr>
              <w:jc w:val="center"/>
              <w:rPr>
                <w:rFonts w:eastAsia="Times New Roman"/>
                <w:b/>
                <w:bCs/>
                <w:lang w:val="lv-LV"/>
              </w:rPr>
            </w:pPr>
            <w:r w:rsidRPr="0054653C">
              <w:rPr>
                <w:rFonts w:eastAsia="Times New Roman"/>
                <w:b/>
                <w:bCs/>
                <w:lang w:val="lv-LV"/>
              </w:rPr>
              <w:t>VI. Sabiedrības līdzdalība un komunikācijas aktivitātes</w:t>
            </w:r>
          </w:p>
        </w:tc>
      </w:tr>
      <w:tr w:rsidR="006774A3" w:rsidRPr="00A40146" w14:paraId="5B706B0A" w14:textId="77777777" w:rsidTr="00916614">
        <w:tc>
          <w:tcPr>
            <w:tcW w:w="302" w:type="pct"/>
            <w:tcBorders>
              <w:top w:val="single" w:sz="4" w:space="0" w:color="auto"/>
              <w:left w:val="single" w:sz="4" w:space="0" w:color="auto"/>
              <w:bottom w:val="single" w:sz="4" w:space="0" w:color="auto"/>
              <w:right w:val="single" w:sz="4" w:space="0" w:color="auto"/>
            </w:tcBorders>
            <w:hideMark/>
          </w:tcPr>
          <w:p w14:paraId="7DA00722" w14:textId="77777777" w:rsidR="006774A3" w:rsidRPr="0054653C" w:rsidRDefault="006774A3" w:rsidP="00641134">
            <w:pPr>
              <w:jc w:val="center"/>
              <w:rPr>
                <w:rFonts w:eastAsia="Times New Roman"/>
              </w:rPr>
            </w:pPr>
            <w:r w:rsidRPr="0054653C">
              <w:rPr>
                <w:rFonts w:eastAsia="Times New Roman"/>
              </w:rPr>
              <w:t>1.</w:t>
            </w:r>
          </w:p>
        </w:tc>
        <w:tc>
          <w:tcPr>
            <w:tcW w:w="1432" w:type="pct"/>
            <w:tcBorders>
              <w:top w:val="single" w:sz="4" w:space="0" w:color="auto"/>
              <w:left w:val="single" w:sz="4" w:space="0" w:color="auto"/>
              <w:bottom w:val="single" w:sz="4" w:space="0" w:color="auto"/>
              <w:right w:val="single" w:sz="4" w:space="0" w:color="auto"/>
            </w:tcBorders>
            <w:hideMark/>
          </w:tcPr>
          <w:p w14:paraId="7F3E8F79" w14:textId="77777777" w:rsidR="006774A3" w:rsidRPr="0054653C" w:rsidRDefault="006774A3" w:rsidP="00641134">
            <w:pPr>
              <w:rPr>
                <w:rFonts w:eastAsia="Times New Roman"/>
                <w:lang w:val="lv-LV"/>
              </w:rPr>
            </w:pPr>
            <w:r w:rsidRPr="0054653C">
              <w:rPr>
                <w:rFonts w:eastAsia="Times New Roman"/>
                <w:lang w:val="lv-LV"/>
              </w:rPr>
              <w:t>Plānotās sabiedrības līdzdalības un komunikācijas aktivitātes saistībā ar projektu</w:t>
            </w:r>
          </w:p>
        </w:tc>
        <w:tc>
          <w:tcPr>
            <w:tcW w:w="3266" w:type="pct"/>
            <w:tcBorders>
              <w:top w:val="single" w:sz="4" w:space="0" w:color="auto"/>
              <w:left w:val="single" w:sz="4" w:space="0" w:color="auto"/>
              <w:bottom w:val="single" w:sz="4" w:space="0" w:color="auto"/>
              <w:right w:val="single" w:sz="4" w:space="0" w:color="auto"/>
            </w:tcBorders>
            <w:hideMark/>
          </w:tcPr>
          <w:p w14:paraId="1E1309EC" w14:textId="1842EB12" w:rsidR="006774A3" w:rsidRPr="0054653C" w:rsidRDefault="006774A3" w:rsidP="00986A87">
            <w:pPr>
              <w:ind w:firstLine="260"/>
              <w:jc w:val="both"/>
              <w:rPr>
                <w:rFonts w:eastAsia="Times New Roman"/>
                <w:lang w:val="lv-LV"/>
              </w:rPr>
            </w:pPr>
            <w:r w:rsidRPr="0054653C">
              <w:rPr>
                <w:rFonts w:eastAsia="Times New Roman"/>
                <w:lang w:val="lv-LV"/>
              </w:rPr>
              <w:t>Atbilstoši Ministru kabineta 2009. gada 25. augusta noteikumu Nr. 970 “Sabiedrības līdzdalības kārtība attīstības plānošanas procesā” 7.4.</w:t>
            </w:r>
            <w:r w:rsidRPr="0054653C">
              <w:rPr>
                <w:rFonts w:eastAsia="Times New Roman"/>
                <w:vertAlign w:val="superscript"/>
                <w:lang w:val="lv-LV"/>
              </w:rPr>
              <w:t>1</w:t>
            </w:r>
            <w:r w:rsidRPr="0054653C">
              <w:rPr>
                <w:rFonts w:eastAsia="Times New Roman"/>
                <w:lang w:val="lv-LV"/>
              </w:rPr>
              <w:t xml:space="preserve">. apakšpunktam sabiedrībai tiek dota iespēja sniegt viedokli par likumprojektu tā </w:t>
            </w:r>
            <w:r w:rsidR="00986A87" w:rsidRPr="0054653C">
              <w:rPr>
                <w:rFonts w:eastAsia="Times New Roman"/>
                <w:lang w:val="lv-LV"/>
              </w:rPr>
              <w:t xml:space="preserve">izstrādes stadijā un </w:t>
            </w:r>
            <w:r w:rsidRPr="0054653C">
              <w:rPr>
                <w:rFonts w:eastAsia="Times New Roman"/>
                <w:lang w:val="lv-LV"/>
              </w:rPr>
              <w:t>saskaņošanas stadijā.</w:t>
            </w:r>
          </w:p>
        </w:tc>
      </w:tr>
      <w:tr w:rsidR="006774A3" w:rsidRPr="0054653C" w14:paraId="1E24625F" w14:textId="77777777" w:rsidTr="00916614">
        <w:tc>
          <w:tcPr>
            <w:tcW w:w="302" w:type="pct"/>
            <w:tcBorders>
              <w:top w:val="single" w:sz="4" w:space="0" w:color="auto"/>
              <w:left w:val="single" w:sz="4" w:space="0" w:color="auto"/>
              <w:bottom w:val="single" w:sz="4" w:space="0" w:color="auto"/>
              <w:right w:val="single" w:sz="4" w:space="0" w:color="auto"/>
            </w:tcBorders>
            <w:hideMark/>
          </w:tcPr>
          <w:p w14:paraId="02C74357" w14:textId="77777777" w:rsidR="006774A3" w:rsidRPr="0054653C" w:rsidRDefault="006774A3" w:rsidP="00641134">
            <w:pPr>
              <w:jc w:val="center"/>
              <w:rPr>
                <w:rFonts w:eastAsia="Times New Roman"/>
              </w:rPr>
            </w:pPr>
            <w:r w:rsidRPr="0054653C">
              <w:rPr>
                <w:rFonts w:eastAsia="Times New Roman"/>
              </w:rPr>
              <w:t>2.</w:t>
            </w:r>
          </w:p>
        </w:tc>
        <w:tc>
          <w:tcPr>
            <w:tcW w:w="1432" w:type="pct"/>
            <w:tcBorders>
              <w:top w:val="single" w:sz="4" w:space="0" w:color="auto"/>
              <w:left w:val="single" w:sz="4" w:space="0" w:color="auto"/>
              <w:bottom w:val="single" w:sz="4" w:space="0" w:color="auto"/>
              <w:right w:val="single" w:sz="4" w:space="0" w:color="auto"/>
            </w:tcBorders>
            <w:hideMark/>
          </w:tcPr>
          <w:p w14:paraId="316F18E1" w14:textId="77777777" w:rsidR="006774A3" w:rsidRPr="0054653C" w:rsidRDefault="006774A3" w:rsidP="00641134">
            <w:pPr>
              <w:rPr>
                <w:rFonts w:eastAsia="Times New Roman"/>
                <w:lang w:val="lv-LV"/>
              </w:rPr>
            </w:pPr>
            <w:r w:rsidRPr="0054653C">
              <w:rPr>
                <w:rFonts w:eastAsia="Times New Roman"/>
                <w:lang w:val="lv-LV"/>
              </w:rPr>
              <w:t>Sabiedrības līdzdalība projekta izstrādē</w:t>
            </w:r>
          </w:p>
        </w:tc>
        <w:tc>
          <w:tcPr>
            <w:tcW w:w="3266" w:type="pct"/>
            <w:tcBorders>
              <w:top w:val="single" w:sz="4" w:space="0" w:color="auto"/>
              <w:left w:val="single" w:sz="4" w:space="0" w:color="auto"/>
              <w:bottom w:val="single" w:sz="4" w:space="0" w:color="auto"/>
              <w:right w:val="single" w:sz="4" w:space="0" w:color="auto"/>
            </w:tcBorders>
            <w:hideMark/>
          </w:tcPr>
          <w:p w14:paraId="28907188" w14:textId="1D88CC44" w:rsidR="00986A87" w:rsidRPr="0054653C" w:rsidRDefault="00986A87" w:rsidP="00986A87">
            <w:pPr>
              <w:ind w:firstLine="260"/>
              <w:jc w:val="both"/>
              <w:rPr>
                <w:rFonts w:eastAsia="Times New Roman"/>
                <w:lang w:val="lv-LV"/>
              </w:rPr>
            </w:pPr>
            <w:r w:rsidRPr="0054653C">
              <w:rPr>
                <w:rFonts w:eastAsia="Times New Roman"/>
                <w:lang w:val="lv-LV"/>
              </w:rPr>
              <w:t xml:space="preserve">2019.gada 14.augustā profesionālās izglītības iestāžu direktoru seminārā tika pārrunāta noteikumu grozījumu nepieciešamība, to būtība un iespējamā redakcija. Turpmāk projekta izstrādes gaitā tika iesaistīta Profesionālās izglītības biedrība, kas pārstāv profesionālās izglītības iestādes. </w:t>
            </w:r>
            <w:r w:rsidRPr="0054653C">
              <w:rPr>
                <w:rFonts w:eastAsia="Times New Roman"/>
                <w:lang w:val="lv-LV"/>
              </w:rPr>
              <w:lastRenderedPageBreak/>
              <w:t xml:space="preserve">Noteikumu projekts tika sūtīts Profesionālās izglītības biedrībai izvērtēšanai. </w:t>
            </w:r>
          </w:p>
          <w:p w14:paraId="486028A0" w14:textId="08221AC9" w:rsidR="00986A87" w:rsidRPr="0054653C" w:rsidRDefault="00986A87" w:rsidP="00986A87">
            <w:pPr>
              <w:ind w:firstLine="260"/>
              <w:jc w:val="both"/>
              <w:rPr>
                <w:rFonts w:eastAsia="Times New Roman"/>
                <w:lang w:val="lv-LV"/>
              </w:rPr>
            </w:pPr>
            <w:r w:rsidRPr="0054653C">
              <w:rPr>
                <w:rFonts w:eastAsia="Times New Roman"/>
                <w:lang w:val="lv-LV"/>
              </w:rPr>
              <w:t xml:space="preserve">   Pirms projekta ievietošanas ministrijas tīmekļa vietnē sabiedriskai apspriešana Profesionālās izglītības biedrības pārstāvji 2019.gada 25.augustā tika aicināti uz ministriju galīgās redakcijas saskaņošanai. </w:t>
            </w:r>
          </w:p>
          <w:p w14:paraId="2C036123" w14:textId="77777777" w:rsidR="00986A87" w:rsidRPr="0054653C" w:rsidRDefault="00986A87" w:rsidP="00986A87">
            <w:pPr>
              <w:ind w:firstLine="260"/>
              <w:jc w:val="both"/>
              <w:rPr>
                <w:rFonts w:eastAsia="Times New Roman"/>
                <w:lang w:val="lv-LV"/>
              </w:rPr>
            </w:pPr>
            <w:r w:rsidRPr="0054653C">
              <w:rPr>
                <w:rFonts w:eastAsia="Times New Roman"/>
                <w:lang w:val="lv-LV"/>
              </w:rPr>
              <w:t xml:space="preserve">  Noteikumu projekts 2019.gada 30.septembrī tika ievietots ministrijas tīmekļa vietnē https://izm.gov.lv/lv/sabiedribas-lidzdaliba/sabiedriskajai-apspriesanai-nodotie-normativo-aktu-projekti/3676-grozijumi-ministru-kabineta-2013-gada-19-marta-noteikumos-nr-144</w:t>
            </w:r>
          </w:p>
          <w:p w14:paraId="0E1A3308" w14:textId="61388977" w:rsidR="006774A3" w:rsidRPr="0054653C" w:rsidRDefault="00986A87" w:rsidP="00986A87">
            <w:pPr>
              <w:ind w:firstLine="260"/>
              <w:jc w:val="both"/>
              <w:rPr>
                <w:rFonts w:eastAsia="Times New Roman"/>
                <w:lang w:val="lv-LV"/>
              </w:rPr>
            </w:pPr>
            <w:r w:rsidRPr="0054653C">
              <w:rPr>
                <w:rFonts w:eastAsia="Times New Roman"/>
                <w:lang w:val="lv-LV"/>
              </w:rPr>
              <w:t xml:space="preserve"> Priekšlikumi vai iebildumi netika saņemti.</w:t>
            </w:r>
          </w:p>
        </w:tc>
      </w:tr>
      <w:tr w:rsidR="006774A3" w:rsidRPr="00A40146" w14:paraId="22FE1E35" w14:textId="77777777" w:rsidTr="00916614">
        <w:tc>
          <w:tcPr>
            <w:tcW w:w="302" w:type="pct"/>
            <w:tcBorders>
              <w:top w:val="single" w:sz="4" w:space="0" w:color="auto"/>
              <w:left w:val="single" w:sz="4" w:space="0" w:color="auto"/>
              <w:bottom w:val="single" w:sz="4" w:space="0" w:color="auto"/>
              <w:right w:val="single" w:sz="4" w:space="0" w:color="auto"/>
            </w:tcBorders>
            <w:hideMark/>
          </w:tcPr>
          <w:p w14:paraId="74DE8D48" w14:textId="77777777" w:rsidR="006774A3" w:rsidRPr="0054653C" w:rsidRDefault="006774A3" w:rsidP="00641134">
            <w:pPr>
              <w:jc w:val="center"/>
              <w:rPr>
                <w:rFonts w:eastAsia="Times New Roman"/>
              </w:rPr>
            </w:pPr>
            <w:r w:rsidRPr="0054653C">
              <w:rPr>
                <w:rFonts w:eastAsia="Times New Roman"/>
              </w:rPr>
              <w:lastRenderedPageBreak/>
              <w:t>3.</w:t>
            </w:r>
          </w:p>
        </w:tc>
        <w:tc>
          <w:tcPr>
            <w:tcW w:w="1432" w:type="pct"/>
            <w:tcBorders>
              <w:top w:val="single" w:sz="4" w:space="0" w:color="auto"/>
              <w:left w:val="single" w:sz="4" w:space="0" w:color="auto"/>
              <w:bottom w:val="single" w:sz="4" w:space="0" w:color="auto"/>
              <w:right w:val="single" w:sz="4" w:space="0" w:color="auto"/>
            </w:tcBorders>
            <w:hideMark/>
          </w:tcPr>
          <w:p w14:paraId="18DEFAE5" w14:textId="77777777" w:rsidR="006774A3" w:rsidRPr="0054653C" w:rsidRDefault="006774A3" w:rsidP="00641134">
            <w:pPr>
              <w:rPr>
                <w:rFonts w:eastAsia="Times New Roman"/>
                <w:lang w:val="lv-LV"/>
              </w:rPr>
            </w:pPr>
            <w:r w:rsidRPr="0054653C">
              <w:rPr>
                <w:rFonts w:eastAsia="Times New Roman"/>
                <w:lang w:val="lv-LV"/>
              </w:rPr>
              <w:t>Sabiedrības līdzdalības rezultāti</w:t>
            </w:r>
          </w:p>
        </w:tc>
        <w:tc>
          <w:tcPr>
            <w:tcW w:w="3266" w:type="pct"/>
            <w:tcBorders>
              <w:top w:val="single" w:sz="4" w:space="0" w:color="auto"/>
              <w:left w:val="single" w:sz="4" w:space="0" w:color="auto"/>
              <w:bottom w:val="single" w:sz="4" w:space="0" w:color="auto"/>
              <w:right w:val="single" w:sz="4" w:space="0" w:color="auto"/>
            </w:tcBorders>
            <w:hideMark/>
          </w:tcPr>
          <w:p w14:paraId="0198836E" w14:textId="5EF2A3F5" w:rsidR="00986A87" w:rsidRPr="0054653C" w:rsidRDefault="00986A87" w:rsidP="00986A87">
            <w:pPr>
              <w:ind w:firstLine="260"/>
              <w:jc w:val="both"/>
              <w:rPr>
                <w:rFonts w:eastAsia="Times New Roman"/>
                <w:lang w:val="lv-LV" w:eastAsia="lv-LV"/>
              </w:rPr>
            </w:pPr>
            <w:r w:rsidRPr="0054653C">
              <w:rPr>
                <w:rFonts w:eastAsia="Times New Roman"/>
                <w:lang w:val="lv-LV" w:eastAsia="lv-LV"/>
              </w:rPr>
              <w:t>Profesionālās izglītības biedrības pārstāvji 2019.gada 25.augusta noteikumu projekta galīgās redakcijas saskaņošanas san</w:t>
            </w:r>
            <w:r w:rsidR="0054653C">
              <w:rPr>
                <w:rFonts w:eastAsia="Times New Roman"/>
                <w:lang w:val="lv-LV" w:eastAsia="lv-LV"/>
              </w:rPr>
              <w:t>ā</w:t>
            </w:r>
            <w:r w:rsidRPr="0054653C">
              <w:rPr>
                <w:rFonts w:eastAsia="Times New Roman"/>
                <w:lang w:val="lv-LV" w:eastAsia="lv-LV"/>
              </w:rPr>
              <w:t>ksmē atbalstīja noteikumu projektu.</w:t>
            </w:r>
          </w:p>
          <w:p w14:paraId="3D4BE0DC" w14:textId="4835F1F8" w:rsidR="006774A3" w:rsidRPr="0054653C" w:rsidRDefault="00986A87" w:rsidP="00986A87">
            <w:pPr>
              <w:ind w:firstLine="260"/>
              <w:jc w:val="both"/>
              <w:rPr>
                <w:rFonts w:eastAsia="Times New Roman"/>
                <w:lang w:val="lv-LV"/>
              </w:rPr>
            </w:pPr>
            <w:r w:rsidRPr="0054653C">
              <w:rPr>
                <w:rFonts w:eastAsia="Times New Roman"/>
                <w:lang w:val="lv-LV" w:eastAsia="lv-LV"/>
              </w:rPr>
              <w:t>Pēc noteikumu projekta ievietošanas apspriešanai ministrijas tīmekļa vietnē</w:t>
            </w:r>
            <w:r w:rsidRPr="0054653C">
              <w:rPr>
                <w:lang w:val="lv-LV"/>
              </w:rPr>
              <w:t xml:space="preserve"> p</w:t>
            </w:r>
            <w:r w:rsidRPr="0054653C">
              <w:rPr>
                <w:rFonts w:eastAsia="Times New Roman"/>
                <w:lang w:val="lv-LV" w:eastAsia="lv-LV"/>
              </w:rPr>
              <w:t>riekšlikumi vai iebildumi netika saņemti.</w:t>
            </w:r>
          </w:p>
        </w:tc>
      </w:tr>
      <w:tr w:rsidR="006774A3" w:rsidRPr="00A40146" w14:paraId="17C4D0AB" w14:textId="77777777" w:rsidTr="00916614">
        <w:tc>
          <w:tcPr>
            <w:tcW w:w="302" w:type="pct"/>
            <w:tcBorders>
              <w:top w:val="single" w:sz="4" w:space="0" w:color="auto"/>
              <w:left w:val="single" w:sz="4" w:space="0" w:color="auto"/>
              <w:bottom w:val="single" w:sz="4" w:space="0" w:color="auto"/>
              <w:right w:val="single" w:sz="4" w:space="0" w:color="auto"/>
            </w:tcBorders>
            <w:hideMark/>
          </w:tcPr>
          <w:p w14:paraId="09D99945" w14:textId="77777777" w:rsidR="006774A3" w:rsidRPr="0054653C" w:rsidRDefault="006774A3" w:rsidP="00641134">
            <w:pPr>
              <w:jc w:val="center"/>
              <w:rPr>
                <w:rFonts w:eastAsia="Times New Roman"/>
              </w:rPr>
            </w:pPr>
            <w:r w:rsidRPr="0054653C">
              <w:rPr>
                <w:rFonts w:eastAsia="Times New Roman"/>
              </w:rPr>
              <w:t>4.</w:t>
            </w:r>
          </w:p>
        </w:tc>
        <w:tc>
          <w:tcPr>
            <w:tcW w:w="1432" w:type="pct"/>
            <w:tcBorders>
              <w:top w:val="single" w:sz="4" w:space="0" w:color="auto"/>
              <w:left w:val="single" w:sz="4" w:space="0" w:color="auto"/>
              <w:bottom w:val="single" w:sz="4" w:space="0" w:color="auto"/>
              <w:right w:val="single" w:sz="4" w:space="0" w:color="auto"/>
            </w:tcBorders>
            <w:hideMark/>
          </w:tcPr>
          <w:p w14:paraId="7BD9A083" w14:textId="77777777" w:rsidR="006774A3" w:rsidRPr="0054653C" w:rsidRDefault="006774A3" w:rsidP="00641134">
            <w:pPr>
              <w:rPr>
                <w:rFonts w:eastAsia="Times New Roman"/>
                <w:lang w:val="lv-LV"/>
              </w:rPr>
            </w:pPr>
            <w:r w:rsidRPr="0054653C">
              <w:rPr>
                <w:rFonts w:eastAsia="Times New Roman"/>
                <w:lang w:val="lv-LV"/>
              </w:rPr>
              <w:t>Cita informācija</w:t>
            </w:r>
          </w:p>
        </w:tc>
        <w:tc>
          <w:tcPr>
            <w:tcW w:w="3266" w:type="pct"/>
            <w:tcBorders>
              <w:top w:val="single" w:sz="4" w:space="0" w:color="auto"/>
              <w:left w:val="single" w:sz="4" w:space="0" w:color="auto"/>
              <w:bottom w:val="single" w:sz="4" w:space="0" w:color="auto"/>
              <w:right w:val="single" w:sz="4" w:space="0" w:color="auto"/>
            </w:tcBorders>
            <w:hideMark/>
          </w:tcPr>
          <w:p w14:paraId="66EFC77C" w14:textId="026D27D6" w:rsidR="006774A3" w:rsidRPr="0054653C" w:rsidRDefault="00986A87" w:rsidP="00641134">
            <w:pPr>
              <w:ind w:firstLine="260"/>
              <w:jc w:val="both"/>
              <w:rPr>
                <w:rFonts w:eastAsia="Times New Roman"/>
                <w:lang w:val="lv-LV"/>
              </w:rPr>
            </w:pPr>
            <w:r w:rsidRPr="0054653C">
              <w:rPr>
                <w:rFonts w:eastAsia="Times New Roman"/>
                <w:lang w:val="lv-LV"/>
              </w:rPr>
              <w:t>Pēc noteikumu projekta spēkā stāšanās kompetences centri tiks informēti, nosūtot apstiprināto noteikumu projektu, bet pārējās profesionālās izglītības iestādes – ar informāciju ministrijas tīmekļa vietnē.</w:t>
            </w:r>
          </w:p>
        </w:tc>
      </w:tr>
    </w:tbl>
    <w:p w14:paraId="60B6C137" w14:textId="77777777" w:rsidR="00153ED4" w:rsidRPr="00202450" w:rsidRDefault="00153ED4" w:rsidP="00153ED4">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153ED4" w:rsidRPr="00A40146" w14:paraId="6EB2E887" w14:textId="77777777" w:rsidTr="00641134">
        <w:trPr>
          <w:trHeight w:val="375"/>
        </w:trPr>
        <w:tc>
          <w:tcPr>
            <w:tcW w:w="0" w:type="auto"/>
            <w:gridSpan w:val="3"/>
            <w:hideMark/>
          </w:tcPr>
          <w:p w14:paraId="5E1F37F7" w14:textId="77777777" w:rsidR="00153ED4" w:rsidRPr="00663E83" w:rsidRDefault="00153ED4" w:rsidP="00641134">
            <w:pPr>
              <w:spacing w:before="100" w:beforeAutospacing="1" w:after="100" w:afterAutospacing="1" w:line="360" w:lineRule="auto"/>
              <w:ind w:firstLine="300"/>
              <w:jc w:val="center"/>
              <w:rPr>
                <w:rFonts w:eastAsia="Times New Roman"/>
                <w:b/>
                <w:bCs/>
                <w:sz w:val="24"/>
                <w:szCs w:val="24"/>
                <w:lang w:val="lv-LV" w:eastAsia="lv-LV"/>
              </w:rPr>
            </w:pPr>
            <w:r w:rsidRPr="00663E83">
              <w:rPr>
                <w:rFonts w:eastAsia="Times New Roman"/>
                <w:b/>
                <w:bCs/>
                <w:sz w:val="24"/>
                <w:szCs w:val="24"/>
                <w:lang w:val="lv-LV" w:eastAsia="lv-LV"/>
              </w:rPr>
              <w:t>VII. Tiesību akta projekta izpildes nodrošināšana un tās ietekme uz institūcijām</w:t>
            </w:r>
          </w:p>
        </w:tc>
      </w:tr>
      <w:tr w:rsidR="00153ED4" w:rsidRPr="00202450" w14:paraId="359D6730" w14:textId="77777777" w:rsidTr="00641134">
        <w:trPr>
          <w:trHeight w:val="420"/>
        </w:trPr>
        <w:tc>
          <w:tcPr>
            <w:tcW w:w="250" w:type="pct"/>
            <w:hideMark/>
          </w:tcPr>
          <w:p w14:paraId="608F6F2A" w14:textId="77777777" w:rsidR="00153ED4" w:rsidRPr="00202450" w:rsidRDefault="00153ED4" w:rsidP="00641134">
            <w:pPr>
              <w:rPr>
                <w:rFonts w:eastAsia="Times New Roman"/>
                <w:lang w:val="lv-LV" w:eastAsia="lv-LV"/>
              </w:rPr>
            </w:pPr>
            <w:r w:rsidRPr="00202450">
              <w:rPr>
                <w:rFonts w:eastAsia="Times New Roman"/>
                <w:lang w:val="lv-LV" w:eastAsia="lv-LV"/>
              </w:rPr>
              <w:t>1.</w:t>
            </w:r>
          </w:p>
        </w:tc>
        <w:tc>
          <w:tcPr>
            <w:tcW w:w="2022" w:type="pct"/>
            <w:hideMark/>
          </w:tcPr>
          <w:p w14:paraId="79A87C4A" w14:textId="77777777" w:rsidR="00153ED4" w:rsidRPr="00663E83" w:rsidRDefault="00153ED4" w:rsidP="00641134">
            <w:pPr>
              <w:rPr>
                <w:rFonts w:eastAsia="Times New Roman"/>
                <w:sz w:val="24"/>
                <w:szCs w:val="24"/>
                <w:lang w:val="lv-LV" w:eastAsia="lv-LV"/>
              </w:rPr>
            </w:pPr>
            <w:r w:rsidRPr="00663E83">
              <w:rPr>
                <w:rFonts w:eastAsia="Times New Roman"/>
                <w:sz w:val="24"/>
                <w:szCs w:val="24"/>
                <w:lang w:val="lv-LV" w:eastAsia="lv-LV"/>
              </w:rPr>
              <w:t>Projekta izpildē iesaistītās institūcijas</w:t>
            </w:r>
          </w:p>
        </w:tc>
        <w:tc>
          <w:tcPr>
            <w:tcW w:w="2728" w:type="pct"/>
            <w:hideMark/>
          </w:tcPr>
          <w:p w14:paraId="72D37787" w14:textId="1CDA7C13" w:rsidR="00153ED4" w:rsidRPr="00663E83" w:rsidRDefault="00153ED4" w:rsidP="000E11B9">
            <w:pPr>
              <w:jc w:val="both"/>
              <w:rPr>
                <w:rFonts w:eastAsia="Times New Roman"/>
                <w:sz w:val="24"/>
                <w:szCs w:val="24"/>
                <w:lang w:val="lv-LV" w:eastAsia="lv-LV"/>
              </w:rPr>
            </w:pPr>
            <w:r w:rsidRPr="00663E83">
              <w:rPr>
                <w:rFonts w:eastAsia="Times New Roman"/>
                <w:sz w:val="24"/>
                <w:szCs w:val="24"/>
                <w:lang w:val="lv-LV" w:eastAsia="lv-LV"/>
              </w:rPr>
              <w:t xml:space="preserve">Projekta izpildē būs iesaistītas </w:t>
            </w:r>
            <w:r w:rsidRPr="00663E83">
              <w:rPr>
                <w:sz w:val="24"/>
                <w:szCs w:val="24"/>
                <w:lang w:val="lv-LV"/>
              </w:rPr>
              <w:t>profesionālās izglītības iestādes, to personāls un izglītojamie, ministrija.</w:t>
            </w:r>
            <w:r w:rsidRPr="00663E83">
              <w:rPr>
                <w:rFonts w:eastAsia="Times New Roman"/>
                <w:sz w:val="24"/>
                <w:szCs w:val="24"/>
                <w:lang w:val="lv-LV" w:eastAsia="lv-LV"/>
              </w:rPr>
              <w:t xml:space="preserve"> </w:t>
            </w:r>
          </w:p>
        </w:tc>
      </w:tr>
      <w:tr w:rsidR="00153ED4" w:rsidRPr="00202450" w14:paraId="6F1C0B91" w14:textId="77777777" w:rsidTr="00641134">
        <w:trPr>
          <w:trHeight w:val="450"/>
        </w:trPr>
        <w:tc>
          <w:tcPr>
            <w:tcW w:w="250" w:type="pct"/>
            <w:hideMark/>
          </w:tcPr>
          <w:p w14:paraId="728C5AB3" w14:textId="77777777" w:rsidR="00153ED4" w:rsidRPr="00202450" w:rsidRDefault="00153ED4" w:rsidP="00641134">
            <w:pPr>
              <w:rPr>
                <w:rFonts w:eastAsia="Times New Roman"/>
                <w:lang w:val="lv-LV" w:eastAsia="lv-LV"/>
              </w:rPr>
            </w:pPr>
            <w:r w:rsidRPr="00202450">
              <w:rPr>
                <w:rFonts w:eastAsia="Times New Roman"/>
                <w:lang w:val="lv-LV" w:eastAsia="lv-LV"/>
              </w:rPr>
              <w:t>2.</w:t>
            </w:r>
          </w:p>
        </w:tc>
        <w:tc>
          <w:tcPr>
            <w:tcW w:w="2022" w:type="pct"/>
            <w:hideMark/>
          </w:tcPr>
          <w:p w14:paraId="0D80830F" w14:textId="77777777" w:rsidR="00153ED4" w:rsidRPr="00663E83" w:rsidRDefault="00153ED4" w:rsidP="00641134">
            <w:pPr>
              <w:jc w:val="both"/>
              <w:rPr>
                <w:rFonts w:eastAsia="Times New Roman"/>
                <w:sz w:val="24"/>
                <w:szCs w:val="24"/>
                <w:lang w:val="lv-LV" w:eastAsia="lv-LV"/>
              </w:rPr>
            </w:pPr>
            <w:r w:rsidRPr="00663E83">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16309E02" w14:textId="39927916" w:rsidR="00153ED4" w:rsidRPr="00663E83" w:rsidRDefault="00204C3A" w:rsidP="00641134">
            <w:pPr>
              <w:jc w:val="both"/>
              <w:rPr>
                <w:rFonts w:eastAsia="Times New Roman"/>
                <w:sz w:val="24"/>
                <w:szCs w:val="24"/>
                <w:lang w:val="lv-LV" w:eastAsia="lv-LV"/>
              </w:rPr>
            </w:pPr>
            <w:r w:rsidRPr="00663E83">
              <w:rPr>
                <w:rFonts w:eastAsia="Times New Roman"/>
                <w:sz w:val="24"/>
                <w:szCs w:val="24"/>
                <w:lang w:val="lv-LV" w:eastAsia="lv-LV"/>
              </w:rPr>
              <w:t xml:space="preserve"> </w:t>
            </w:r>
            <w:r w:rsidR="00153ED4" w:rsidRPr="00663E83">
              <w:rPr>
                <w:rFonts w:eastAsia="Times New Roman"/>
                <w:sz w:val="24"/>
                <w:szCs w:val="24"/>
                <w:lang w:val="lv-LV" w:eastAsia="lv-LV"/>
              </w:rPr>
              <w:t>Projektam nav ietekmes uz valsts pārvaldes funkcijām un institucionālo struktūru.</w:t>
            </w:r>
          </w:p>
          <w:p w14:paraId="622A781C" w14:textId="77777777" w:rsidR="00153ED4" w:rsidRPr="00663E83" w:rsidRDefault="00153ED4" w:rsidP="00641134">
            <w:pPr>
              <w:jc w:val="both"/>
              <w:rPr>
                <w:rFonts w:eastAsia="Times New Roman"/>
                <w:sz w:val="24"/>
                <w:szCs w:val="24"/>
                <w:lang w:val="lv-LV" w:eastAsia="lv-LV"/>
              </w:rPr>
            </w:pPr>
            <w:r w:rsidRPr="00663E83">
              <w:rPr>
                <w:rFonts w:eastAsia="Times New Roman"/>
                <w:sz w:val="24"/>
                <w:szCs w:val="24"/>
                <w:lang w:val="lv-LV" w:eastAsia="lv-LV"/>
              </w:rPr>
              <w:t>Jaunas institūcijas netiek veidotas.</w:t>
            </w:r>
          </w:p>
          <w:p w14:paraId="124EABA8" w14:textId="433C209A" w:rsidR="00153ED4" w:rsidRPr="00663E83" w:rsidRDefault="00153ED4" w:rsidP="00641134">
            <w:pPr>
              <w:jc w:val="both"/>
              <w:rPr>
                <w:rFonts w:eastAsia="Times New Roman"/>
                <w:sz w:val="24"/>
                <w:szCs w:val="24"/>
                <w:lang w:val="lv-LV" w:eastAsia="lv-LV"/>
              </w:rPr>
            </w:pPr>
            <w:r w:rsidRPr="00663E83">
              <w:rPr>
                <w:rFonts w:eastAsia="Times New Roman"/>
                <w:sz w:val="24"/>
                <w:szCs w:val="24"/>
                <w:lang w:val="lv-LV" w:eastAsia="lv-LV"/>
              </w:rPr>
              <w:t>Esošās institūcijas netiek likvidētas vai reorganizētas.</w:t>
            </w:r>
          </w:p>
        </w:tc>
      </w:tr>
      <w:tr w:rsidR="00153ED4" w:rsidRPr="00202450" w14:paraId="14AB1222" w14:textId="77777777" w:rsidTr="00641134">
        <w:trPr>
          <w:trHeight w:val="390"/>
        </w:trPr>
        <w:tc>
          <w:tcPr>
            <w:tcW w:w="250" w:type="pct"/>
            <w:hideMark/>
          </w:tcPr>
          <w:p w14:paraId="21F4BB14" w14:textId="77777777" w:rsidR="00153ED4" w:rsidRPr="00202450" w:rsidRDefault="00153ED4" w:rsidP="00641134">
            <w:pPr>
              <w:rPr>
                <w:rFonts w:eastAsia="Times New Roman"/>
                <w:lang w:val="lv-LV" w:eastAsia="lv-LV"/>
              </w:rPr>
            </w:pPr>
            <w:r w:rsidRPr="00202450">
              <w:rPr>
                <w:rFonts w:eastAsia="Times New Roman"/>
                <w:lang w:val="lv-LV" w:eastAsia="lv-LV"/>
              </w:rPr>
              <w:t>3.</w:t>
            </w:r>
          </w:p>
        </w:tc>
        <w:tc>
          <w:tcPr>
            <w:tcW w:w="2022" w:type="pct"/>
            <w:hideMark/>
          </w:tcPr>
          <w:p w14:paraId="44B9BC6A" w14:textId="77777777" w:rsidR="00153ED4" w:rsidRPr="00663E83" w:rsidRDefault="00153ED4" w:rsidP="00641134">
            <w:pPr>
              <w:rPr>
                <w:rFonts w:eastAsia="Times New Roman"/>
                <w:sz w:val="24"/>
                <w:szCs w:val="24"/>
                <w:lang w:val="lv-LV" w:eastAsia="lv-LV"/>
              </w:rPr>
            </w:pPr>
            <w:r w:rsidRPr="00663E83">
              <w:rPr>
                <w:rFonts w:eastAsia="Times New Roman"/>
                <w:sz w:val="24"/>
                <w:szCs w:val="24"/>
                <w:lang w:val="lv-LV" w:eastAsia="lv-LV"/>
              </w:rPr>
              <w:t>Cita informācija</w:t>
            </w:r>
          </w:p>
        </w:tc>
        <w:tc>
          <w:tcPr>
            <w:tcW w:w="2728" w:type="pct"/>
            <w:hideMark/>
          </w:tcPr>
          <w:p w14:paraId="247E19A8" w14:textId="77777777" w:rsidR="00153ED4" w:rsidRPr="00663E83" w:rsidRDefault="00153ED4" w:rsidP="00641134">
            <w:pPr>
              <w:spacing w:before="100" w:beforeAutospacing="1" w:after="100" w:afterAutospacing="1" w:line="360" w:lineRule="auto"/>
              <w:rPr>
                <w:rFonts w:eastAsia="Times New Roman"/>
                <w:sz w:val="24"/>
                <w:szCs w:val="24"/>
                <w:lang w:val="lv-LV" w:eastAsia="lv-LV"/>
              </w:rPr>
            </w:pPr>
            <w:r w:rsidRPr="00663E83">
              <w:rPr>
                <w:rFonts w:eastAsia="Times New Roman"/>
                <w:sz w:val="24"/>
                <w:szCs w:val="24"/>
                <w:lang w:val="lv-LV" w:eastAsia="lv-LV"/>
              </w:rPr>
              <w:t>Nav.</w:t>
            </w:r>
          </w:p>
        </w:tc>
      </w:tr>
    </w:tbl>
    <w:p w14:paraId="01E35C80" w14:textId="77777777" w:rsidR="00153ED4" w:rsidRPr="00202450" w:rsidRDefault="00153ED4" w:rsidP="00153ED4">
      <w:pPr>
        <w:autoSpaceDE w:val="0"/>
        <w:autoSpaceDN w:val="0"/>
        <w:adjustRightInd w:val="0"/>
        <w:rPr>
          <w:lang w:val="lv-LV"/>
        </w:rPr>
      </w:pPr>
    </w:p>
    <w:p w14:paraId="2B57449A" w14:textId="77777777" w:rsidR="00153ED4" w:rsidRPr="00202450" w:rsidRDefault="00153ED4" w:rsidP="00153ED4">
      <w:pPr>
        <w:autoSpaceDE w:val="0"/>
        <w:autoSpaceDN w:val="0"/>
        <w:adjustRightInd w:val="0"/>
        <w:rPr>
          <w:lang w:val="lv-LV"/>
        </w:rPr>
      </w:pPr>
    </w:p>
    <w:p w14:paraId="4DEF81C8" w14:textId="59B3FC9D" w:rsidR="00153ED4" w:rsidRPr="00202450" w:rsidRDefault="00153ED4" w:rsidP="00153ED4">
      <w:pPr>
        <w:jc w:val="both"/>
        <w:rPr>
          <w:rFonts w:eastAsia="Times New Roman"/>
          <w:lang w:val="lv-LV" w:eastAsia="lv-LV"/>
        </w:rPr>
      </w:pPr>
      <w:r w:rsidRPr="00202450">
        <w:rPr>
          <w:rFonts w:eastAsia="Times New Roman"/>
          <w:lang w:val="lv-LV" w:eastAsia="lv-LV"/>
        </w:rPr>
        <w:t>Izglītības un zinātnes ministre</w:t>
      </w:r>
      <w:r w:rsidRPr="00202450">
        <w:rPr>
          <w:rFonts w:eastAsia="Times New Roman"/>
          <w:lang w:val="lv-LV" w:eastAsia="lv-LV"/>
        </w:rPr>
        <w:tab/>
        <w:t xml:space="preserve"> </w:t>
      </w:r>
      <w:r w:rsidRPr="00202450">
        <w:rPr>
          <w:rFonts w:eastAsia="Times New Roman"/>
          <w:lang w:val="lv-LV" w:eastAsia="lv-LV"/>
        </w:rPr>
        <w:tab/>
      </w:r>
      <w:r w:rsidRPr="00202450">
        <w:rPr>
          <w:rFonts w:eastAsia="Times New Roman"/>
          <w:lang w:val="lv-LV" w:eastAsia="lv-LV"/>
        </w:rPr>
        <w:tab/>
      </w:r>
      <w:r w:rsidRPr="00202450">
        <w:rPr>
          <w:rFonts w:eastAsia="Times New Roman"/>
          <w:lang w:val="lv-LV" w:eastAsia="lv-LV"/>
        </w:rPr>
        <w:tab/>
        <w:t xml:space="preserve">    </w:t>
      </w:r>
      <w:r w:rsidRPr="00202450">
        <w:rPr>
          <w:rFonts w:eastAsia="Times New Roman"/>
          <w:lang w:val="lv-LV" w:eastAsia="lv-LV"/>
        </w:rPr>
        <w:tab/>
      </w:r>
      <w:r w:rsidR="004F56C7">
        <w:rPr>
          <w:rFonts w:eastAsia="Times New Roman"/>
          <w:lang w:val="lv-LV" w:eastAsia="lv-LV"/>
        </w:rPr>
        <w:t xml:space="preserve">                       </w:t>
      </w:r>
      <w:r w:rsidRPr="00202450">
        <w:rPr>
          <w:rFonts w:eastAsia="Times New Roman"/>
          <w:lang w:val="lv-LV" w:eastAsia="lv-LV"/>
        </w:rPr>
        <w:t xml:space="preserve">Ilga </w:t>
      </w:r>
      <w:proofErr w:type="spellStart"/>
      <w:r w:rsidRPr="00202450">
        <w:rPr>
          <w:rFonts w:eastAsia="Times New Roman"/>
          <w:lang w:val="lv-LV" w:eastAsia="lv-LV"/>
        </w:rPr>
        <w:t>Šuplinska</w:t>
      </w:r>
      <w:proofErr w:type="spellEnd"/>
    </w:p>
    <w:p w14:paraId="1627E817" w14:textId="77777777" w:rsidR="00153ED4" w:rsidRPr="00202450" w:rsidRDefault="00153ED4" w:rsidP="00153ED4">
      <w:pPr>
        <w:jc w:val="both"/>
        <w:rPr>
          <w:rFonts w:eastAsia="Times New Roman"/>
          <w:lang w:val="lv-LV" w:eastAsia="lv-LV"/>
        </w:rPr>
      </w:pPr>
    </w:p>
    <w:p w14:paraId="13FF7939" w14:textId="77777777" w:rsidR="00153ED4" w:rsidRPr="00202450" w:rsidRDefault="00153ED4" w:rsidP="00153ED4">
      <w:pPr>
        <w:jc w:val="both"/>
        <w:rPr>
          <w:rFonts w:eastAsia="Times New Roman"/>
          <w:lang w:val="lv-LV" w:eastAsia="lv-LV"/>
        </w:rPr>
      </w:pPr>
      <w:r w:rsidRPr="00202450">
        <w:rPr>
          <w:rFonts w:eastAsia="Times New Roman"/>
          <w:lang w:val="lv-LV" w:eastAsia="lv-LV"/>
        </w:rPr>
        <w:t>Vizē:</w:t>
      </w:r>
    </w:p>
    <w:p w14:paraId="3D68E2D4" w14:textId="77777777" w:rsidR="006C2E38" w:rsidRPr="006C2E38" w:rsidRDefault="006C2E38" w:rsidP="006C2E38">
      <w:bookmarkStart w:id="0" w:name="_GoBack"/>
      <w:proofErr w:type="spellStart"/>
      <w:r w:rsidRPr="006C2E38">
        <w:t>Valsts</w:t>
      </w:r>
      <w:proofErr w:type="spellEnd"/>
      <w:r w:rsidRPr="006C2E38">
        <w:t xml:space="preserve"> </w:t>
      </w:r>
      <w:proofErr w:type="spellStart"/>
      <w:r w:rsidRPr="006C2E38">
        <w:t>sekretāra</w:t>
      </w:r>
      <w:proofErr w:type="spellEnd"/>
      <w:r w:rsidRPr="006C2E38">
        <w:t xml:space="preserve"> </w:t>
      </w:r>
      <w:proofErr w:type="spellStart"/>
      <w:r w:rsidRPr="006C2E38">
        <w:t>vietnieks</w:t>
      </w:r>
      <w:proofErr w:type="spellEnd"/>
      <w:r w:rsidRPr="006C2E38">
        <w:t xml:space="preserve"> – </w:t>
      </w:r>
    </w:p>
    <w:p w14:paraId="7BD2B3AE" w14:textId="77777777" w:rsidR="006C2E38" w:rsidRPr="006C2E38" w:rsidRDefault="006C2E38" w:rsidP="006C2E38">
      <w:proofErr w:type="spellStart"/>
      <w:r w:rsidRPr="006C2E38">
        <w:t>Sporta</w:t>
      </w:r>
      <w:proofErr w:type="spellEnd"/>
      <w:r w:rsidRPr="006C2E38">
        <w:t xml:space="preserve"> </w:t>
      </w:r>
      <w:proofErr w:type="spellStart"/>
      <w:r w:rsidRPr="006C2E38">
        <w:t>departamenta</w:t>
      </w:r>
      <w:proofErr w:type="spellEnd"/>
      <w:r w:rsidRPr="006C2E38">
        <w:t xml:space="preserve"> </w:t>
      </w:r>
      <w:proofErr w:type="spellStart"/>
      <w:r w:rsidRPr="006C2E38">
        <w:t>direktors</w:t>
      </w:r>
      <w:proofErr w:type="spellEnd"/>
      <w:r w:rsidRPr="006C2E38">
        <w:t>,</w:t>
      </w:r>
    </w:p>
    <w:p w14:paraId="4A682D6C" w14:textId="16F193A9" w:rsidR="001F36D6" w:rsidRPr="006C2E38" w:rsidRDefault="006C2E38" w:rsidP="006C2E38">
      <w:pPr>
        <w:rPr>
          <w:lang w:val="lv-LV"/>
        </w:rPr>
      </w:pPr>
      <w:proofErr w:type="spellStart"/>
      <w:proofErr w:type="gramStart"/>
      <w:r w:rsidRPr="006C2E38">
        <w:t>valsts</w:t>
      </w:r>
      <w:proofErr w:type="spellEnd"/>
      <w:proofErr w:type="gramEnd"/>
      <w:r w:rsidRPr="006C2E38">
        <w:t xml:space="preserve"> </w:t>
      </w:r>
      <w:proofErr w:type="spellStart"/>
      <w:r w:rsidRPr="006C2E38">
        <w:t>sekretāra</w:t>
      </w:r>
      <w:proofErr w:type="spellEnd"/>
      <w:r w:rsidRPr="006C2E38">
        <w:t xml:space="preserve"> </w:t>
      </w:r>
      <w:proofErr w:type="spellStart"/>
      <w:r w:rsidRPr="006C2E38">
        <w:t>pienākumu</w:t>
      </w:r>
      <w:proofErr w:type="spellEnd"/>
      <w:r w:rsidRPr="006C2E38">
        <w:t xml:space="preserve"> </w:t>
      </w:r>
      <w:proofErr w:type="spellStart"/>
      <w:r w:rsidRPr="006C2E38">
        <w:t>izpildītājs</w:t>
      </w:r>
      <w:proofErr w:type="spellEnd"/>
      <w:r w:rsidRPr="006C2E38">
        <w:tab/>
      </w:r>
      <w:r w:rsidRPr="006C2E38">
        <w:tab/>
      </w:r>
      <w:r w:rsidRPr="006C2E38">
        <w:tab/>
      </w:r>
      <w:r w:rsidRPr="006C2E38">
        <w:tab/>
      </w:r>
      <w:r w:rsidR="00897EC7">
        <w:tab/>
      </w:r>
      <w:r w:rsidR="00897EC7">
        <w:tab/>
      </w:r>
      <w:proofErr w:type="spellStart"/>
      <w:r w:rsidRPr="006C2E38">
        <w:t>E.Severs</w:t>
      </w:r>
      <w:proofErr w:type="spellEnd"/>
    </w:p>
    <w:bookmarkEnd w:id="0"/>
    <w:p w14:paraId="476A3F0F" w14:textId="77777777" w:rsidR="00A40146" w:rsidRDefault="00A40146" w:rsidP="001F36D6">
      <w:pPr>
        <w:rPr>
          <w:sz w:val="20"/>
          <w:szCs w:val="20"/>
          <w:lang w:val="lv-LV"/>
        </w:rPr>
      </w:pPr>
    </w:p>
    <w:p w14:paraId="52020128" w14:textId="77777777" w:rsidR="00A40146" w:rsidRDefault="00A40146" w:rsidP="001F36D6">
      <w:pPr>
        <w:rPr>
          <w:sz w:val="20"/>
          <w:szCs w:val="20"/>
          <w:lang w:val="lv-LV"/>
        </w:rPr>
      </w:pPr>
    </w:p>
    <w:p w14:paraId="31F34C26" w14:textId="77777777" w:rsidR="00A40146" w:rsidRDefault="00A40146" w:rsidP="001F36D6">
      <w:pPr>
        <w:rPr>
          <w:sz w:val="20"/>
          <w:szCs w:val="20"/>
          <w:lang w:val="lv-LV"/>
        </w:rPr>
      </w:pPr>
    </w:p>
    <w:p w14:paraId="4FF4DFF2" w14:textId="77777777" w:rsidR="001F36D6" w:rsidRPr="00D63079" w:rsidRDefault="001F36D6" w:rsidP="001F36D6">
      <w:pPr>
        <w:rPr>
          <w:sz w:val="20"/>
          <w:szCs w:val="20"/>
          <w:lang w:val="lv-LV"/>
        </w:rPr>
      </w:pPr>
      <w:proofErr w:type="spellStart"/>
      <w:r w:rsidRPr="00D63079">
        <w:rPr>
          <w:sz w:val="20"/>
          <w:szCs w:val="20"/>
          <w:lang w:val="lv-LV"/>
        </w:rPr>
        <w:t>Dz.Gorbunova</w:t>
      </w:r>
      <w:proofErr w:type="spellEnd"/>
    </w:p>
    <w:p w14:paraId="1F809485" w14:textId="4DB05A52" w:rsidR="00A24C3D" w:rsidRPr="00D63079" w:rsidRDefault="001F36D6" w:rsidP="001F36D6">
      <w:pPr>
        <w:rPr>
          <w:sz w:val="20"/>
          <w:szCs w:val="20"/>
          <w:lang w:val="lv-LV"/>
        </w:rPr>
      </w:pPr>
      <w:r w:rsidRPr="00D63079">
        <w:rPr>
          <w:sz w:val="20"/>
          <w:szCs w:val="20"/>
          <w:lang w:val="lv-LV"/>
        </w:rPr>
        <w:t xml:space="preserve">67047855, </w:t>
      </w:r>
      <w:hyperlink r:id="rId7" w:history="1">
        <w:r w:rsidR="004F56C7" w:rsidRPr="001F1919">
          <w:rPr>
            <w:rStyle w:val="Hyperlink"/>
            <w:sz w:val="20"/>
            <w:szCs w:val="20"/>
            <w:lang w:val="lv-LV"/>
          </w:rPr>
          <w:t>Dzintra.Gorbunova@izm.gov.lv</w:t>
        </w:r>
      </w:hyperlink>
    </w:p>
    <w:p w14:paraId="19A358B6" w14:textId="2EA1D493" w:rsidR="001F36D6" w:rsidRPr="00D63079" w:rsidRDefault="001F36D6" w:rsidP="001F36D6">
      <w:pPr>
        <w:rPr>
          <w:sz w:val="20"/>
          <w:szCs w:val="20"/>
          <w:lang w:val="lv-LV"/>
        </w:rPr>
      </w:pPr>
      <w:proofErr w:type="spellStart"/>
      <w:r w:rsidRPr="00D63079">
        <w:rPr>
          <w:sz w:val="20"/>
          <w:szCs w:val="20"/>
          <w:lang w:val="lv-LV"/>
        </w:rPr>
        <w:t>I.Terinka</w:t>
      </w:r>
      <w:proofErr w:type="spellEnd"/>
    </w:p>
    <w:p w14:paraId="687A15C3" w14:textId="5D671633" w:rsidR="001F36D6" w:rsidRPr="004F56C7" w:rsidRDefault="001F36D6" w:rsidP="001F36D6">
      <w:pPr>
        <w:rPr>
          <w:sz w:val="20"/>
          <w:szCs w:val="20"/>
          <w:lang w:val="lv-LV"/>
        </w:rPr>
      </w:pPr>
      <w:r w:rsidRPr="004F56C7">
        <w:rPr>
          <w:sz w:val="20"/>
          <w:szCs w:val="20"/>
          <w:lang w:val="lv-LV"/>
        </w:rPr>
        <w:t xml:space="preserve">67047975, </w:t>
      </w:r>
      <w:hyperlink r:id="rId8" w:history="1">
        <w:r w:rsidR="004F56C7" w:rsidRPr="001F1919">
          <w:rPr>
            <w:rStyle w:val="Hyperlink"/>
            <w:sz w:val="20"/>
            <w:szCs w:val="20"/>
            <w:lang w:val="lv-LV"/>
          </w:rPr>
          <w:t>Inese.Terinka@izm.gov.lv</w:t>
        </w:r>
      </w:hyperlink>
    </w:p>
    <w:p w14:paraId="2FF9AAF2" w14:textId="4B75238D" w:rsidR="004F56C7" w:rsidRPr="004F56C7" w:rsidRDefault="004F56C7" w:rsidP="001F36D6">
      <w:pPr>
        <w:rPr>
          <w:sz w:val="20"/>
          <w:szCs w:val="20"/>
          <w:lang w:val="lv-LV"/>
        </w:rPr>
      </w:pPr>
      <w:proofErr w:type="spellStart"/>
      <w:r w:rsidRPr="004F56C7">
        <w:rPr>
          <w:sz w:val="20"/>
          <w:szCs w:val="20"/>
          <w:lang w:val="lv-LV"/>
        </w:rPr>
        <w:t>A.Imanta</w:t>
      </w:r>
      <w:proofErr w:type="spellEnd"/>
    </w:p>
    <w:p w14:paraId="4C2C175E" w14:textId="5A8F5634" w:rsidR="004F56C7" w:rsidRDefault="004F56C7" w:rsidP="001F36D6">
      <w:pPr>
        <w:rPr>
          <w:rStyle w:val="Hyperlink"/>
          <w:sz w:val="20"/>
          <w:szCs w:val="20"/>
          <w:lang w:val="lv-LV"/>
        </w:rPr>
      </w:pPr>
      <w:r>
        <w:rPr>
          <w:sz w:val="20"/>
          <w:szCs w:val="20"/>
          <w:lang w:val="lv-LV"/>
        </w:rPr>
        <w:lastRenderedPageBreak/>
        <w:t xml:space="preserve">67047955, </w:t>
      </w:r>
      <w:hyperlink r:id="rId9" w:history="1">
        <w:r w:rsidRPr="001F1919">
          <w:rPr>
            <w:rStyle w:val="Hyperlink"/>
            <w:sz w:val="20"/>
            <w:szCs w:val="20"/>
            <w:lang w:val="lv-LV"/>
          </w:rPr>
          <w:t>Alla.Imanta@izm.gov.lv</w:t>
        </w:r>
      </w:hyperlink>
    </w:p>
    <w:p w14:paraId="153325FA" w14:textId="77777777" w:rsidR="00543823" w:rsidRPr="00543823" w:rsidRDefault="00543823" w:rsidP="001F36D6">
      <w:pPr>
        <w:rPr>
          <w:sz w:val="20"/>
          <w:szCs w:val="20"/>
          <w:lang w:val="lv-LV"/>
        </w:rPr>
      </w:pPr>
    </w:p>
    <w:sectPr w:rsidR="00543823" w:rsidRPr="00543823" w:rsidSect="00641134">
      <w:headerReference w:type="default" r:id="rId10"/>
      <w:footerReference w:type="default" r:id="rId11"/>
      <w:footerReference w:type="first" r:id="rId12"/>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8CBD84" w14:textId="77777777" w:rsidR="00C37951" w:rsidRDefault="00C37951" w:rsidP="00AE2EB4">
      <w:r>
        <w:separator/>
      </w:r>
    </w:p>
  </w:endnote>
  <w:endnote w:type="continuationSeparator" w:id="0">
    <w:p w14:paraId="78650EDC" w14:textId="77777777" w:rsidR="00C37951" w:rsidRDefault="00C37951" w:rsidP="00AE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E2E6" w14:textId="055EF92A" w:rsidR="0012493F" w:rsidRPr="00F96729" w:rsidRDefault="0045403C">
    <w:pPr>
      <w:pStyle w:val="Footer"/>
      <w:rPr>
        <w:rFonts w:ascii="Times New Roman" w:hAnsi="Times New Roman"/>
        <w:sz w:val="20"/>
        <w:szCs w:val="20"/>
      </w:rPr>
    </w:pPr>
    <w:r>
      <w:rPr>
        <w:rFonts w:ascii="Times New Roman" w:hAnsi="Times New Roman"/>
        <w:sz w:val="20"/>
        <w:szCs w:val="20"/>
      </w:rPr>
      <w:t>IZMa</w:t>
    </w:r>
    <w:r w:rsidR="0043027F">
      <w:rPr>
        <w:rFonts w:ascii="Times New Roman" w:hAnsi="Times New Roman"/>
        <w:sz w:val="20"/>
        <w:szCs w:val="20"/>
      </w:rPr>
      <w:t>not_29</w:t>
    </w:r>
    <w:r w:rsidR="00DD0593">
      <w:rPr>
        <w:rFonts w:ascii="Times New Roman" w:hAnsi="Times New Roman"/>
        <w:sz w:val="20"/>
        <w:szCs w:val="20"/>
      </w:rPr>
      <w:t>11</w:t>
    </w:r>
    <w:r w:rsidR="0012493F" w:rsidRPr="00F96729">
      <w:rPr>
        <w:rFonts w:ascii="Times New Roman" w:hAnsi="Times New Roman"/>
        <w:sz w:val="20"/>
        <w:szCs w:val="20"/>
      </w:rPr>
      <w:t>19_PIKC</w:t>
    </w:r>
    <w:r w:rsidR="00567552" w:rsidRPr="00F96729">
      <w:rPr>
        <w:rFonts w:ascii="Times New Roman" w:hAnsi="Times New Roman"/>
        <w:sz w:val="20"/>
        <w:szCs w:val="20"/>
      </w:rPr>
      <w:t>_144</w:t>
    </w:r>
  </w:p>
  <w:p w14:paraId="415D3A1A" w14:textId="43EC3332" w:rsidR="00641134" w:rsidRPr="00045D0E" w:rsidRDefault="00641134" w:rsidP="00641134">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44F9" w14:textId="5F26E519" w:rsidR="00641134" w:rsidRPr="00045D0E" w:rsidRDefault="0045403C" w:rsidP="00641134">
    <w:pPr>
      <w:pStyle w:val="Footer"/>
      <w:jc w:val="both"/>
    </w:pPr>
    <w:r>
      <w:rPr>
        <w:rFonts w:ascii="Times New Roman" w:eastAsia="Times New Roman" w:hAnsi="Times New Roman"/>
        <w:bCs/>
        <w:sz w:val="20"/>
        <w:szCs w:val="20"/>
        <w:lang w:eastAsia="lv-LV"/>
      </w:rPr>
      <w:t>IZMa</w:t>
    </w:r>
    <w:r w:rsidR="0043027F">
      <w:rPr>
        <w:rFonts w:ascii="Times New Roman" w:eastAsia="Times New Roman" w:hAnsi="Times New Roman"/>
        <w:bCs/>
        <w:sz w:val="20"/>
        <w:szCs w:val="20"/>
        <w:lang w:eastAsia="lv-LV"/>
      </w:rPr>
      <w:t>not_29</w:t>
    </w:r>
    <w:r w:rsidR="00170D44">
      <w:rPr>
        <w:rFonts w:ascii="Times New Roman" w:eastAsia="Times New Roman" w:hAnsi="Times New Roman"/>
        <w:bCs/>
        <w:sz w:val="20"/>
        <w:szCs w:val="20"/>
        <w:lang w:eastAsia="lv-LV"/>
      </w:rPr>
      <w:t>11</w:t>
    </w:r>
    <w:r w:rsidR="00567552" w:rsidRPr="00567552">
      <w:rPr>
        <w:rFonts w:ascii="Times New Roman" w:eastAsia="Times New Roman" w:hAnsi="Times New Roman"/>
        <w:bCs/>
        <w:sz w:val="20"/>
        <w:szCs w:val="20"/>
        <w:lang w:eastAsia="lv-LV"/>
      </w:rPr>
      <w:t>19_PIKC</w:t>
    </w:r>
    <w:r w:rsidR="00567552">
      <w:rPr>
        <w:rFonts w:ascii="Times New Roman" w:eastAsia="Times New Roman" w:hAnsi="Times New Roman"/>
        <w:bCs/>
        <w:sz w:val="20"/>
        <w:szCs w:val="20"/>
        <w:lang w:eastAsia="lv-LV"/>
      </w:rPr>
      <w:t>_144</w:t>
    </w:r>
  </w:p>
  <w:p w14:paraId="276AF839" w14:textId="77777777" w:rsidR="00641134" w:rsidRPr="003E5801" w:rsidRDefault="00641134" w:rsidP="00641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EDE23" w14:textId="77777777" w:rsidR="00C37951" w:rsidRDefault="00C37951" w:rsidP="00AE2EB4">
      <w:r>
        <w:separator/>
      </w:r>
    </w:p>
  </w:footnote>
  <w:footnote w:type="continuationSeparator" w:id="0">
    <w:p w14:paraId="309B8F39" w14:textId="77777777" w:rsidR="00C37951" w:rsidRDefault="00C37951" w:rsidP="00AE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E987" w14:textId="77777777" w:rsidR="00641134" w:rsidRDefault="00050378" w:rsidP="00641134">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897EC7">
      <w:rPr>
        <w:rFonts w:ascii="Times New Roman" w:hAnsi="Times New Roman"/>
        <w:noProof/>
        <w:sz w:val="24"/>
        <w:szCs w:val="24"/>
      </w:rPr>
      <w:t>7</w:t>
    </w:r>
    <w:r w:rsidRPr="00F4546D">
      <w:rPr>
        <w:rFonts w:ascii="Times New Roman" w:hAnsi="Times New Roman"/>
        <w:sz w:val="24"/>
        <w:szCs w:val="24"/>
      </w:rPr>
      <w:fldChar w:fldCharType="end"/>
    </w:r>
  </w:p>
  <w:p w14:paraId="69979730" w14:textId="77777777" w:rsidR="00641134" w:rsidRPr="00F4546D" w:rsidRDefault="00641134" w:rsidP="00641134">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5D"/>
    <w:rsid w:val="000017E6"/>
    <w:rsid w:val="00004F47"/>
    <w:rsid w:val="00016C57"/>
    <w:rsid w:val="00020241"/>
    <w:rsid w:val="00050378"/>
    <w:rsid w:val="00067C67"/>
    <w:rsid w:val="00080197"/>
    <w:rsid w:val="00082DFF"/>
    <w:rsid w:val="000E11B9"/>
    <w:rsid w:val="0012140D"/>
    <w:rsid w:val="0012493F"/>
    <w:rsid w:val="00134863"/>
    <w:rsid w:val="00153ED4"/>
    <w:rsid w:val="00161851"/>
    <w:rsid w:val="001706FA"/>
    <w:rsid w:val="00170D44"/>
    <w:rsid w:val="001B04D1"/>
    <w:rsid w:val="001B72AB"/>
    <w:rsid w:val="001C5A69"/>
    <w:rsid w:val="001D0065"/>
    <w:rsid w:val="001E16C1"/>
    <w:rsid w:val="001E418A"/>
    <w:rsid w:val="001F1C90"/>
    <w:rsid w:val="001F36D6"/>
    <w:rsid w:val="00202450"/>
    <w:rsid w:val="00204C3A"/>
    <w:rsid w:val="002136A0"/>
    <w:rsid w:val="00253529"/>
    <w:rsid w:val="00294DA8"/>
    <w:rsid w:val="002B3568"/>
    <w:rsid w:val="002D7EF5"/>
    <w:rsid w:val="002E5C7C"/>
    <w:rsid w:val="0030497B"/>
    <w:rsid w:val="003135C4"/>
    <w:rsid w:val="003571D5"/>
    <w:rsid w:val="003602FD"/>
    <w:rsid w:val="00385A23"/>
    <w:rsid w:val="003C0C68"/>
    <w:rsid w:val="003D7F4F"/>
    <w:rsid w:val="003E6653"/>
    <w:rsid w:val="0043027F"/>
    <w:rsid w:val="00442989"/>
    <w:rsid w:val="0045403C"/>
    <w:rsid w:val="00476E82"/>
    <w:rsid w:val="00484F50"/>
    <w:rsid w:val="004A648D"/>
    <w:rsid w:val="004B265F"/>
    <w:rsid w:val="004B2882"/>
    <w:rsid w:val="004C5BB3"/>
    <w:rsid w:val="004D10F9"/>
    <w:rsid w:val="004F56C7"/>
    <w:rsid w:val="00543823"/>
    <w:rsid w:val="0054653C"/>
    <w:rsid w:val="005508C3"/>
    <w:rsid w:val="0056528B"/>
    <w:rsid w:val="005664DC"/>
    <w:rsid w:val="00567552"/>
    <w:rsid w:val="00593CEB"/>
    <w:rsid w:val="005A1FC0"/>
    <w:rsid w:val="005E0385"/>
    <w:rsid w:val="00625028"/>
    <w:rsid w:val="00632B5E"/>
    <w:rsid w:val="00641134"/>
    <w:rsid w:val="00663E83"/>
    <w:rsid w:val="00666773"/>
    <w:rsid w:val="006774A3"/>
    <w:rsid w:val="006C2E38"/>
    <w:rsid w:val="00721E55"/>
    <w:rsid w:val="007559BC"/>
    <w:rsid w:val="0075639C"/>
    <w:rsid w:val="007C1B32"/>
    <w:rsid w:val="0083781C"/>
    <w:rsid w:val="00885131"/>
    <w:rsid w:val="00897EC7"/>
    <w:rsid w:val="008A04D8"/>
    <w:rsid w:val="008E7F68"/>
    <w:rsid w:val="00902C5D"/>
    <w:rsid w:val="00902FF3"/>
    <w:rsid w:val="00906232"/>
    <w:rsid w:val="00916614"/>
    <w:rsid w:val="009272DA"/>
    <w:rsid w:val="00965D25"/>
    <w:rsid w:val="00986A87"/>
    <w:rsid w:val="00A16554"/>
    <w:rsid w:val="00A24C3D"/>
    <w:rsid w:val="00A40146"/>
    <w:rsid w:val="00A459FD"/>
    <w:rsid w:val="00A469C4"/>
    <w:rsid w:val="00A47775"/>
    <w:rsid w:val="00A51BA3"/>
    <w:rsid w:val="00A74BD5"/>
    <w:rsid w:val="00A766FB"/>
    <w:rsid w:val="00A85266"/>
    <w:rsid w:val="00A86973"/>
    <w:rsid w:val="00A93EB2"/>
    <w:rsid w:val="00AE2EB4"/>
    <w:rsid w:val="00AF22E3"/>
    <w:rsid w:val="00B04011"/>
    <w:rsid w:val="00B23117"/>
    <w:rsid w:val="00B24A47"/>
    <w:rsid w:val="00B35910"/>
    <w:rsid w:val="00B73EEF"/>
    <w:rsid w:val="00B7579B"/>
    <w:rsid w:val="00B8547C"/>
    <w:rsid w:val="00BB10C7"/>
    <w:rsid w:val="00C1365A"/>
    <w:rsid w:val="00C37951"/>
    <w:rsid w:val="00C4492A"/>
    <w:rsid w:val="00C60998"/>
    <w:rsid w:val="00C7553E"/>
    <w:rsid w:val="00CA6F25"/>
    <w:rsid w:val="00D07643"/>
    <w:rsid w:val="00D10ADC"/>
    <w:rsid w:val="00D256FE"/>
    <w:rsid w:val="00D63079"/>
    <w:rsid w:val="00D918CD"/>
    <w:rsid w:val="00DA6DFB"/>
    <w:rsid w:val="00DC0B5A"/>
    <w:rsid w:val="00DC23AB"/>
    <w:rsid w:val="00DD0593"/>
    <w:rsid w:val="00DD76CE"/>
    <w:rsid w:val="00E21843"/>
    <w:rsid w:val="00E418F7"/>
    <w:rsid w:val="00E561A6"/>
    <w:rsid w:val="00E83575"/>
    <w:rsid w:val="00E9474E"/>
    <w:rsid w:val="00EC67D3"/>
    <w:rsid w:val="00EC7910"/>
    <w:rsid w:val="00F03DF9"/>
    <w:rsid w:val="00F17169"/>
    <w:rsid w:val="00F269C5"/>
    <w:rsid w:val="00F43AA7"/>
    <w:rsid w:val="00F5725D"/>
    <w:rsid w:val="00F61BB2"/>
    <w:rsid w:val="00F63D1C"/>
    <w:rsid w:val="00F75B98"/>
    <w:rsid w:val="00F762B2"/>
    <w:rsid w:val="00F91D90"/>
    <w:rsid w:val="00F96729"/>
    <w:rsid w:val="00FC2A51"/>
    <w:rsid w:val="00FC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415B"/>
  <w14:defaultImageDpi w14:val="32767"/>
  <w15:chartTrackingRefBased/>
  <w15:docId w15:val="{842C5259-2571-4E61-97EB-BC0FE132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D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D4"/>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153ED4"/>
    <w:rPr>
      <w:rFonts w:ascii="Calibri" w:eastAsia="Calibri" w:hAnsi="Calibri" w:cs="Times New Roman"/>
      <w:sz w:val="22"/>
      <w:szCs w:val="22"/>
      <w:lang w:val="lv-LV"/>
    </w:rPr>
  </w:style>
  <w:style w:type="paragraph" w:styleId="Footer">
    <w:name w:val="footer"/>
    <w:basedOn w:val="Normal"/>
    <w:link w:val="FooterChar"/>
    <w:uiPriority w:val="99"/>
    <w:unhideWhenUsed/>
    <w:rsid w:val="00153ED4"/>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153ED4"/>
    <w:rPr>
      <w:rFonts w:ascii="Calibri" w:eastAsia="Calibri" w:hAnsi="Calibri" w:cs="Times New Roman"/>
      <w:sz w:val="22"/>
      <w:szCs w:val="22"/>
      <w:lang w:val="lv-LV"/>
    </w:rPr>
  </w:style>
  <w:style w:type="table" w:styleId="TableGrid">
    <w:name w:val="Table Grid"/>
    <w:basedOn w:val="TableNormal"/>
    <w:uiPriority w:val="59"/>
    <w:rsid w:val="00153ED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6D6"/>
    <w:rPr>
      <w:color w:val="0563C1" w:themeColor="hyperlink"/>
      <w:u w:val="single"/>
    </w:rPr>
  </w:style>
  <w:style w:type="paragraph" w:styleId="BalloonText">
    <w:name w:val="Balloon Text"/>
    <w:basedOn w:val="Normal"/>
    <w:link w:val="BalloonTextChar"/>
    <w:uiPriority w:val="99"/>
    <w:semiHidden/>
    <w:unhideWhenUsed/>
    <w:rsid w:val="001D00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65"/>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1D0065"/>
    <w:rPr>
      <w:sz w:val="16"/>
      <w:szCs w:val="16"/>
    </w:rPr>
  </w:style>
  <w:style w:type="paragraph" w:styleId="CommentText">
    <w:name w:val="annotation text"/>
    <w:basedOn w:val="Normal"/>
    <w:link w:val="CommentTextChar"/>
    <w:uiPriority w:val="99"/>
    <w:semiHidden/>
    <w:unhideWhenUsed/>
    <w:rsid w:val="001D0065"/>
    <w:rPr>
      <w:sz w:val="20"/>
      <w:szCs w:val="20"/>
    </w:rPr>
  </w:style>
  <w:style w:type="character" w:customStyle="1" w:styleId="CommentTextChar">
    <w:name w:val="Comment Text Char"/>
    <w:basedOn w:val="DefaultParagraphFont"/>
    <w:link w:val="CommentText"/>
    <w:uiPriority w:val="99"/>
    <w:semiHidden/>
    <w:rsid w:val="001D0065"/>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0065"/>
    <w:rPr>
      <w:b/>
      <w:bCs/>
    </w:rPr>
  </w:style>
  <w:style w:type="character" w:customStyle="1" w:styleId="CommentSubjectChar">
    <w:name w:val="Comment Subject Char"/>
    <w:basedOn w:val="CommentTextChar"/>
    <w:link w:val="CommentSubject"/>
    <w:uiPriority w:val="99"/>
    <w:semiHidden/>
    <w:rsid w:val="001D0065"/>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8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Terinka@iz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intra.Gorbunova@i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lla.Imant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0EAB3-580E-47D0-ACD2-4E7652E3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9970</Words>
  <Characters>5684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Ginta Grīnvalde</cp:lastModifiedBy>
  <cp:revision>11</cp:revision>
  <dcterms:created xsi:type="dcterms:W3CDTF">2019-12-10T12:16:00Z</dcterms:created>
  <dcterms:modified xsi:type="dcterms:W3CDTF">2019-12-12T13:12:00Z</dcterms:modified>
</cp:coreProperties>
</file>