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E4" w:rsidRPr="002C4019" w:rsidRDefault="00196278" w:rsidP="00416868">
      <w:pPr>
        <w:pStyle w:val="naisnod"/>
        <w:spacing w:before="0" w:after="0"/>
        <w:rPr>
          <w:sz w:val="22"/>
          <w:szCs w:val="22"/>
        </w:rPr>
      </w:pPr>
      <w:bookmarkStart w:id="0" w:name="OLE_LINK5"/>
      <w:bookmarkStart w:id="1" w:name="OLE_LINK6"/>
      <w:r w:rsidRPr="002C4019">
        <w:rPr>
          <w:sz w:val="22"/>
          <w:szCs w:val="22"/>
        </w:rPr>
        <w:t>Izziņa par atzinumos sniegtajiem iebildumiem</w:t>
      </w:r>
      <w:r w:rsidR="008C673C" w:rsidRPr="002C4019">
        <w:rPr>
          <w:sz w:val="22"/>
          <w:szCs w:val="22"/>
        </w:rPr>
        <w:t xml:space="preserve"> par Ministru kabineta noteikumu projektu</w:t>
      </w:r>
    </w:p>
    <w:p w:rsidR="00991C1B" w:rsidRPr="002C4019" w:rsidRDefault="000E66EA" w:rsidP="00416868">
      <w:pPr>
        <w:pStyle w:val="Pamatteksts"/>
        <w:jc w:val="center"/>
        <w:rPr>
          <w:sz w:val="22"/>
          <w:szCs w:val="22"/>
        </w:rPr>
      </w:pPr>
      <w:r w:rsidRPr="002C4019">
        <w:rPr>
          <w:b/>
          <w:bCs/>
          <w:sz w:val="22"/>
          <w:szCs w:val="22"/>
        </w:rPr>
        <w:t>„</w:t>
      </w:r>
      <w:r w:rsidR="00416868" w:rsidRPr="002C4019">
        <w:rPr>
          <w:b/>
          <w:bCs/>
          <w:sz w:val="22"/>
          <w:szCs w:val="22"/>
        </w:rPr>
        <w:t>Grozījumi Ministru kabineta 2016.gada 29.marta noteikumos Nr.188 „Darbības programmas „Izaugsme un nodarbinātība” 5.6.1.specifiskā atbalsta mērķa „Veicināt Rīgas pilsētas revitalizāciju, nodrošinot teritorijas efektīvu sociālekonomisko izmantošanu” īstenošanas noteikumi</w:t>
      </w:r>
      <w:r w:rsidRPr="002C4019">
        <w:rPr>
          <w:b/>
          <w:bCs/>
          <w:sz w:val="22"/>
          <w:szCs w:val="22"/>
        </w:rPr>
        <w:t>””</w:t>
      </w:r>
      <w:r w:rsidR="00032061" w:rsidRPr="002C4019">
        <w:rPr>
          <w:b/>
          <w:bCs/>
          <w:sz w:val="22"/>
          <w:szCs w:val="22"/>
        </w:rPr>
        <w:t xml:space="preserve"> un </w:t>
      </w:r>
      <w:r w:rsidR="00940DEB" w:rsidRPr="002C4019">
        <w:rPr>
          <w:b/>
          <w:bCs/>
          <w:sz w:val="22"/>
          <w:szCs w:val="22"/>
        </w:rPr>
        <w:t>sākotnējās ietekmes novērtējuma ziņojumu (</w:t>
      </w:r>
      <w:r w:rsidR="00032061" w:rsidRPr="002C4019">
        <w:rPr>
          <w:b/>
          <w:bCs/>
          <w:sz w:val="22"/>
          <w:szCs w:val="22"/>
        </w:rPr>
        <w:t>anotāciju</w:t>
      </w:r>
      <w:r w:rsidR="00940DEB" w:rsidRPr="002C4019">
        <w:rPr>
          <w:b/>
          <w:bCs/>
          <w:sz w:val="22"/>
          <w:szCs w:val="22"/>
        </w:rPr>
        <w:t>)</w:t>
      </w:r>
    </w:p>
    <w:bookmarkEnd w:id="0"/>
    <w:bookmarkEnd w:id="1"/>
    <w:p w:rsidR="00032061" w:rsidRPr="002C4019" w:rsidRDefault="00032061" w:rsidP="00522905">
      <w:pPr>
        <w:jc w:val="center"/>
        <w:rPr>
          <w:b/>
          <w:bCs/>
          <w:sz w:val="22"/>
          <w:szCs w:val="22"/>
        </w:rPr>
      </w:pPr>
    </w:p>
    <w:p w:rsidR="001229CC" w:rsidRPr="002C4019" w:rsidRDefault="00F47CEC" w:rsidP="00522905">
      <w:pPr>
        <w:numPr>
          <w:ilvl w:val="0"/>
          <w:numId w:val="1"/>
        </w:numPr>
        <w:ind w:left="567" w:hanging="207"/>
        <w:jc w:val="center"/>
        <w:rPr>
          <w:b/>
          <w:bCs/>
          <w:sz w:val="22"/>
          <w:szCs w:val="22"/>
        </w:rPr>
      </w:pPr>
      <w:r w:rsidRPr="002C4019">
        <w:rPr>
          <w:b/>
          <w:bCs/>
          <w:sz w:val="22"/>
          <w:szCs w:val="22"/>
        </w:rPr>
        <w:t>Jautājumi, par kuriem saskaņošanā vienošanās nav panākta</w:t>
      </w:r>
    </w:p>
    <w:tbl>
      <w:tblPr>
        <w:tblW w:w="5023" w:type="pct"/>
        <w:tblBorders>
          <w:top w:val="single" w:sz="4" w:space="0" w:color="auto"/>
          <w:left w:val="single" w:sz="4" w:space="0" w:color="auto"/>
          <w:bottom w:val="single" w:sz="4" w:space="0" w:color="auto"/>
          <w:right w:val="single" w:sz="4" w:space="0" w:color="auto"/>
        </w:tblBorders>
        <w:tblLook w:val="00A0"/>
      </w:tblPr>
      <w:tblGrid>
        <w:gridCol w:w="720"/>
        <w:gridCol w:w="2414"/>
        <w:gridCol w:w="3171"/>
        <w:gridCol w:w="3020"/>
        <w:gridCol w:w="2451"/>
        <w:gridCol w:w="2508"/>
      </w:tblGrid>
      <w:tr w:rsidR="00F64DE4" w:rsidRPr="002C4019" w:rsidTr="00032061">
        <w:tc>
          <w:tcPr>
            <w:tcW w:w="252" w:type="pct"/>
            <w:tcBorders>
              <w:top w:val="single" w:sz="6" w:space="0" w:color="000000"/>
              <w:left w:val="single" w:sz="6" w:space="0" w:color="000000"/>
              <w:bottom w:val="single" w:sz="6" w:space="0" w:color="000000"/>
              <w:right w:val="single" w:sz="6" w:space="0" w:color="000000"/>
            </w:tcBorders>
            <w:vAlign w:val="center"/>
            <w:hideMark/>
          </w:tcPr>
          <w:p w:rsidR="00C01E51" w:rsidRPr="002C4019" w:rsidRDefault="00F47CEC" w:rsidP="00522905">
            <w:pPr>
              <w:pStyle w:val="naisc"/>
              <w:spacing w:before="0" w:after="0"/>
              <w:rPr>
                <w:lang w:eastAsia="en-US"/>
              </w:rPr>
            </w:pPr>
            <w:r w:rsidRPr="002C4019">
              <w:rPr>
                <w:sz w:val="22"/>
                <w:szCs w:val="22"/>
                <w:lang w:eastAsia="en-US"/>
              </w:rPr>
              <w:t xml:space="preserve">Nr. </w:t>
            </w:r>
            <w:r w:rsidR="00F64DE4" w:rsidRPr="002C4019">
              <w:rPr>
                <w:sz w:val="22"/>
                <w:szCs w:val="22"/>
                <w:lang w:eastAsia="en-US"/>
              </w:rPr>
              <w:t>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rsidR="00C01E51" w:rsidRPr="002C4019" w:rsidRDefault="00F64DE4" w:rsidP="00522905">
            <w:pPr>
              <w:pStyle w:val="naisc"/>
              <w:spacing w:before="0" w:after="0"/>
              <w:ind w:firstLine="12"/>
              <w:rPr>
                <w:lang w:eastAsia="en-US"/>
              </w:rPr>
            </w:pPr>
            <w:r w:rsidRPr="002C4019">
              <w:rPr>
                <w:sz w:val="22"/>
                <w:szCs w:val="22"/>
                <w:lang w:eastAsia="en-US"/>
              </w:rPr>
              <w:t>Saskaņošanai 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rsidR="00C01E51" w:rsidRPr="002C4019" w:rsidRDefault="00F64DE4" w:rsidP="00522905">
            <w:pPr>
              <w:pStyle w:val="naisc"/>
              <w:spacing w:before="0" w:after="0"/>
              <w:ind w:right="3"/>
              <w:rPr>
                <w:lang w:eastAsia="en-US"/>
              </w:rPr>
            </w:pPr>
            <w:r w:rsidRPr="002C4019">
              <w:rPr>
                <w:sz w:val="22"/>
                <w:szCs w:val="22"/>
                <w:lang w:eastAsia="en-US"/>
              </w:rPr>
              <w:t xml:space="preserve">Atzinumā norādītais ministrijas (citas </w:t>
            </w:r>
            <w:r w:rsidR="00F47CEC" w:rsidRPr="002C4019">
              <w:rPr>
                <w:sz w:val="22"/>
                <w:szCs w:val="22"/>
                <w:lang w:eastAsia="en-US"/>
              </w:rPr>
              <w:t>institūcijas) iebildums, kā arī saskaņošanā papildus izteiktais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rsidR="00C01E51" w:rsidRPr="002C4019" w:rsidRDefault="00F64DE4" w:rsidP="00522905">
            <w:pPr>
              <w:pStyle w:val="naisc"/>
              <w:spacing w:before="0" w:after="0"/>
              <w:ind w:firstLine="21"/>
              <w:rPr>
                <w:lang w:eastAsia="en-US"/>
              </w:rPr>
            </w:pPr>
            <w:r w:rsidRPr="002C4019">
              <w:rPr>
                <w:sz w:val="22"/>
                <w:szCs w:val="22"/>
                <w:lang w:eastAsia="en-US"/>
              </w:rPr>
              <w:t>Atbildīgās ministrijas pamatojums iebilduma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rsidR="00C01E51" w:rsidRPr="002C4019" w:rsidRDefault="00F64DE4" w:rsidP="00522905">
            <w:pPr>
              <w:jc w:val="center"/>
              <w:rPr>
                <w:lang w:eastAsia="en-US"/>
              </w:rPr>
            </w:pPr>
            <w:r w:rsidRPr="002C4019">
              <w:rPr>
                <w:sz w:val="22"/>
                <w:szCs w:val="22"/>
                <w:lang w:eastAsia="en-US"/>
              </w:rPr>
              <w:t>Atzinuma sniedzēja uzturētais iebildums, ja tas atšķiras no 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rsidR="00C01E51" w:rsidRPr="002C4019" w:rsidRDefault="00F64DE4" w:rsidP="00522905">
            <w:pPr>
              <w:jc w:val="center"/>
              <w:rPr>
                <w:lang w:eastAsia="en-US"/>
              </w:rPr>
            </w:pPr>
            <w:r w:rsidRPr="002C4019">
              <w:rPr>
                <w:sz w:val="22"/>
                <w:szCs w:val="22"/>
                <w:lang w:eastAsia="en-US"/>
              </w:rPr>
              <w:t>Projekta attiecīgā punkta (panta) galīgā redakcija</w:t>
            </w:r>
          </w:p>
        </w:tc>
      </w:tr>
      <w:tr w:rsidR="00F64DE4" w:rsidRPr="002C4019" w:rsidTr="00032061">
        <w:tc>
          <w:tcPr>
            <w:tcW w:w="252" w:type="pct"/>
            <w:tcBorders>
              <w:top w:val="single" w:sz="6" w:space="0" w:color="000000"/>
              <w:left w:val="single" w:sz="6" w:space="0" w:color="000000"/>
              <w:bottom w:val="single" w:sz="6" w:space="0" w:color="000000"/>
              <w:right w:val="single" w:sz="6" w:space="0" w:color="000000"/>
            </w:tcBorders>
            <w:hideMark/>
          </w:tcPr>
          <w:p w:rsidR="00C01E51" w:rsidRPr="002C4019" w:rsidRDefault="00F64DE4" w:rsidP="00522905">
            <w:pPr>
              <w:pStyle w:val="naisc"/>
              <w:spacing w:before="0" w:after="0"/>
              <w:rPr>
                <w:lang w:eastAsia="en-US"/>
              </w:rPr>
            </w:pPr>
            <w:r w:rsidRPr="002C4019">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rsidR="00C01E51" w:rsidRPr="002C4019" w:rsidRDefault="00F64DE4" w:rsidP="00522905">
            <w:pPr>
              <w:pStyle w:val="naisc"/>
              <w:spacing w:before="0" w:after="0"/>
              <w:ind w:hanging="11"/>
              <w:rPr>
                <w:lang w:eastAsia="en-US"/>
              </w:rPr>
            </w:pPr>
            <w:r w:rsidRPr="002C4019">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rsidR="00C01E51" w:rsidRPr="002C4019" w:rsidRDefault="00F64DE4" w:rsidP="00522905">
            <w:pPr>
              <w:pStyle w:val="naisc"/>
              <w:spacing w:before="0" w:after="0"/>
              <w:rPr>
                <w:lang w:eastAsia="en-US"/>
              </w:rPr>
            </w:pPr>
            <w:r w:rsidRPr="002C4019">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rsidR="00C01E51" w:rsidRPr="002C4019" w:rsidRDefault="00F64DE4" w:rsidP="00522905">
            <w:pPr>
              <w:pStyle w:val="naisc"/>
              <w:spacing w:before="0" w:after="0"/>
              <w:rPr>
                <w:lang w:eastAsia="en-US"/>
              </w:rPr>
            </w:pPr>
            <w:r w:rsidRPr="002C4019">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rsidR="00C01E51" w:rsidRPr="002C4019" w:rsidRDefault="00F64DE4" w:rsidP="00522905">
            <w:pPr>
              <w:jc w:val="center"/>
              <w:rPr>
                <w:lang w:eastAsia="en-US"/>
              </w:rPr>
            </w:pPr>
            <w:r w:rsidRPr="002C4019">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C01E51" w:rsidRPr="002C4019" w:rsidRDefault="00F64DE4" w:rsidP="00522905">
            <w:pPr>
              <w:jc w:val="center"/>
              <w:rPr>
                <w:lang w:eastAsia="en-US"/>
              </w:rPr>
            </w:pPr>
            <w:r w:rsidRPr="002C4019">
              <w:rPr>
                <w:sz w:val="22"/>
                <w:szCs w:val="22"/>
                <w:lang w:eastAsia="en-US"/>
              </w:rPr>
              <w:t>6</w:t>
            </w:r>
          </w:p>
        </w:tc>
      </w:tr>
      <w:tr w:rsidR="00222E72" w:rsidRPr="002C4019" w:rsidTr="00032061">
        <w:tc>
          <w:tcPr>
            <w:tcW w:w="252" w:type="pct"/>
            <w:tcBorders>
              <w:top w:val="single" w:sz="6" w:space="0" w:color="000000"/>
              <w:left w:val="single" w:sz="6" w:space="0" w:color="000000"/>
              <w:bottom w:val="single" w:sz="6" w:space="0" w:color="000000"/>
              <w:right w:val="single" w:sz="6" w:space="0" w:color="000000"/>
            </w:tcBorders>
          </w:tcPr>
          <w:p w:rsidR="00222E72" w:rsidRPr="002C4019" w:rsidRDefault="00222E72" w:rsidP="00522905">
            <w:pPr>
              <w:pStyle w:val="naisc"/>
              <w:spacing w:before="0" w:after="0"/>
              <w:rPr>
                <w:lang w:eastAsia="en-US"/>
              </w:rPr>
            </w:pPr>
          </w:p>
        </w:tc>
        <w:tc>
          <w:tcPr>
            <w:tcW w:w="845" w:type="pct"/>
            <w:tcBorders>
              <w:top w:val="single" w:sz="6" w:space="0" w:color="000000"/>
              <w:left w:val="single" w:sz="6" w:space="0" w:color="000000"/>
              <w:bottom w:val="single" w:sz="6" w:space="0" w:color="000000"/>
              <w:right w:val="single" w:sz="6" w:space="0" w:color="000000"/>
            </w:tcBorders>
          </w:tcPr>
          <w:p w:rsidR="00222E72" w:rsidRPr="002C4019" w:rsidRDefault="00222E72" w:rsidP="00522905">
            <w:pPr>
              <w:pStyle w:val="naisc"/>
              <w:spacing w:before="0" w:after="0"/>
              <w:ind w:hanging="11"/>
              <w:rPr>
                <w:lang w:eastAsia="en-US"/>
              </w:rPr>
            </w:pPr>
          </w:p>
        </w:tc>
        <w:tc>
          <w:tcPr>
            <w:tcW w:w="1110" w:type="pct"/>
            <w:tcBorders>
              <w:top w:val="single" w:sz="6" w:space="0" w:color="000000"/>
              <w:left w:val="single" w:sz="6" w:space="0" w:color="000000"/>
              <w:bottom w:val="single" w:sz="6" w:space="0" w:color="000000"/>
              <w:right w:val="single" w:sz="6" w:space="0" w:color="000000"/>
            </w:tcBorders>
          </w:tcPr>
          <w:p w:rsidR="00222E72" w:rsidRPr="002C4019" w:rsidRDefault="00222E72" w:rsidP="00522905">
            <w:pPr>
              <w:pStyle w:val="naisc"/>
              <w:spacing w:before="0" w:after="0"/>
              <w:rPr>
                <w:lang w:eastAsia="en-US"/>
              </w:rPr>
            </w:pPr>
          </w:p>
        </w:tc>
        <w:tc>
          <w:tcPr>
            <w:tcW w:w="1057" w:type="pct"/>
            <w:tcBorders>
              <w:top w:val="single" w:sz="6" w:space="0" w:color="000000"/>
              <w:left w:val="single" w:sz="6" w:space="0" w:color="000000"/>
              <w:bottom w:val="single" w:sz="6" w:space="0" w:color="000000"/>
              <w:right w:val="single" w:sz="6" w:space="0" w:color="000000"/>
            </w:tcBorders>
          </w:tcPr>
          <w:p w:rsidR="00222E72" w:rsidRPr="002C4019" w:rsidRDefault="00222E72" w:rsidP="00522905">
            <w:pPr>
              <w:pStyle w:val="naisc"/>
              <w:spacing w:before="0" w:after="0"/>
              <w:rPr>
                <w:lang w:eastAsia="en-US"/>
              </w:rPr>
            </w:pPr>
          </w:p>
        </w:tc>
        <w:tc>
          <w:tcPr>
            <w:tcW w:w="858" w:type="pct"/>
            <w:tcBorders>
              <w:top w:val="single" w:sz="4" w:space="0" w:color="auto"/>
              <w:left w:val="single" w:sz="4" w:space="0" w:color="auto"/>
              <w:bottom w:val="single" w:sz="4" w:space="0" w:color="auto"/>
              <w:right w:val="single" w:sz="4" w:space="0" w:color="auto"/>
            </w:tcBorders>
          </w:tcPr>
          <w:p w:rsidR="00222E72" w:rsidRPr="002C4019" w:rsidRDefault="00222E72" w:rsidP="00522905">
            <w:pPr>
              <w:jc w:val="center"/>
              <w:rPr>
                <w:lang w:eastAsia="en-US"/>
              </w:rPr>
            </w:pPr>
          </w:p>
        </w:tc>
        <w:tc>
          <w:tcPr>
            <w:tcW w:w="878" w:type="pct"/>
            <w:tcBorders>
              <w:top w:val="single" w:sz="4" w:space="0" w:color="auto"/>
              <w:left w:val="single" w:sz="4" w:space="0" w:color="auto"/>
              <w:bottom w:val="single" w:sz="4" w:space="0" w:color="auto"/>
              <w:right w:val="single" w:sz="4" w:space="0" w:color="auto"/>
            </w:tcBorders>
          </w:tcPr>
          <w:p w:rsidR="00222E72" w:rsidRPr="002C4019" w:rsidRDefault="00222E72" w:rsidP="00522905">
            <w:pPr>
              <w:jc w:val="center"/>
              <w:rPr>
                <w:lang w:eastAsia="en-US"/>
              </w:rPr>
            </w:pPr>
          </w:p>
        </w:tc>
      </w:tr>
    </w:tbl>
    <w:p w:rsidR="00C01E51" w:rsidRPr="002C4019" w:rsidRDefault="00C01E51" w:rsidP="00522905">
      <w:pPr>
        <w:ind w:left="57" w:right="57" w:firstLine="375"/>
        <w:contextualSpacing/>
        <w:mirrorIndents/>
        <w:jc w:val="both"/>
        <w:rPr>
          <w:sz w:val="22"/>
          <w:szCs w:val="22"/>
        </w:rPr>
      </w:pPr>
    </w:p>
    <w:p w:rsidR="00C01E51" w:rsidRPr="002C4019" w:rsidRDefault="00F47CEC" w:rsidP="00522905">
      <w:pPr>
        <w:ind w:left="57" w:right="57"/>
        <w:contextualSpacing/>
        <w:mirrorIndents/>
        <w:rPr>
          <w:sz w:val="22"/>
          <w:szCs w:val="22"/>
        </w:rPr>
      </w:pPr>
      <w:r w:rsidRPr="002C4019">
        <w:rPr>
          <w:b/>
          <w:bCs/>
          <w:sz w:val="22"/>
          <w:szCs w:val="22"/>
        </w:rPr>
        <w:t>Informācija par starpministriju (starpinstitūciju) sanāksmi vai elektronisko saskaņošanu</w:t>
      </w:r>
      <w:r w:rsidRPr="002C4019">
        <w:rPr>
          <w:sz w:val="22"/>
          <w:szCs w:val="22"/>
        </w:rPr>
        <w:t> </w:t>
      </w:r>
    </w:p>
    <w:p w:rsidR="00D724E9" w:rsidRPr="002C4019" w:rsidRDefault="00D724E9" w:rsidP="00522905">
      <w:pPr>
        <w:ind w:left="57" w:right="57"/>
        <w:contextualSpacing/>
        <w:mirrorIndents/>
        <w:rPr>
          <w:sz w:val="22"/>
          <w:szCs w:val="22"/>
        </w:rPr>
      </w:pPr>
    </w:p>
    <w:tbl>
      <w:tblPr>
        <w:tblW w:w="14207" w:type="dxa"/>
        <w:tblLook w:val="00A0"/>
      </w:tblPr>
      <w:tblGrid>
        <w:gridCol w:w="14219"/>
      </w:tblGrid>
      <w:tr w:rsidR="00F64DE4" w:rsidRPr="002C4019" w:rsidTr="00F64DE4">
        <w:tc>
          <w:tcPr>
            <w:tcW w:w="14207" w:type="dxa"/>
            <w:hideMark/>
          </w:tcPr>
          <w:tbl>
            <w:tblPr>
              <w:tblW w:w="14175" w:type="dxa"/>
              <w:tblLook w:val="00A0"/>
            </w:tblPr>
            <w:tblGrid>
              <w:gridCol w:w="6487"/>
              <w:gridCol w:w="1651"/>
              <w:gridCol w:w="5569"/>
              <w:gridCol w:w="468"/>
            </w:tblGrid>
            <w:tr w:rsidR="00F64DE4" w:rsidRPr="002C4019" w:rsidTr="00B838FA">
              <w:trPr>
                <w:gridAfter w:val="1"/>
                <w:wAfter w:w="468" w:type="dxa"/>
              </w:trPr>
              <w:tc>
                <w:tcPr>
                  <w:tcW w:w="6487" w:type="dxa"/>
                  <w:hideMark/>
                </w:tcPr>
                <w:p w:rsidR="00C01E51" w:rsidRPr="002C4019" w:rsidRDefault="00F47CEC" w:rsidP="00522905">
                  <w:pPr>
                    <w:pStyle w:val="naisf"/>
                    <w:spacing w:before="0" w:after="0"/>
                    <w:ind w:firstLine="0"/>
                    <w:rPr>
                      <w:lang w:eastAsia="en-US"/>
                    </w:rPr>
                  </w:pPr>
                  <w:r w:rsidRPr="002C4019">
                    <w:rPr>
                      <w:sz w:val="22"/>
                      <w:szCs w:val="22"/>
                      <w:lang w:eastAsia="en-US"/>
                    </w:rPr>
                    <w:t>Datums</w:t>
                  </w:r>
                </w:p>
              </w:tc>
              <w:tc>
                <w:tcPr>
                  <w:tcW w:w="7220" w:type="dxa"/>
                  <w:gridSpan w:val="2"/>
                  <w:tcBorders>
                    <w:top w:val="nil"/>
                    <w:left w:val="nil"/>
                    <w:bottom w:val="single" w:sz="4" w:space="0" w:color="auto"/>
                    <w:right w:val="nil"/>
                  </w:tcBorders>
                  <w:hideMark/>
                </w:tcPr>
                <w:p w:rsidR="00C01E51" w:rsidRPr="002C4019" w:rsidRDefault="00704197" w:rsidP="00ED69C0">
                  <w:pPr>
                    <w:pStyle w:val="ParastaisWeb"/>
                    <w:spacing w:before="0" w:beforeAutospacing="0" w:after="0" w:afterAutospacing="0"/>
                    <w:rPr>
                      <w:lang w:eastAsia="en-US"/>
                    </w:rPr>
                  </w:pPr>
                  <w:r w:rsidRPr="002C4019">
                    <w:rPr>
                      <w:sz w:val="22"/>
                      <w:szCs w:val="22"/>
                      <w:lang w:eastAsia="en-US"/>
                    </w:rPr>
                    <w:t>2019</w:t>
                  </w:r>
                  <w:r w:rsidR="00395D63" w:rsidRPr="002C4019">
                    <w:rPr>
                      <w:sz w:val="22"/>
                      <w:szCs w:val="22"/>
                      <w:lang w:eastAsia="en-US"/>
                    </w:rPr>
                    <w:t xml:space="preserve">.gada </w:t>
                  </w:r>
                  <w:r w:rsidRPr="002C4019">
                    <w:rPr>
                      <w:sz w:val="22"/>
                      <w:szCs w:val="22"/>
                      <w:lang w:eastAsia="en-US"/>
                    </w:rPr>
                    <w:t>12</w:t>
                  </w:r>
                  <w:r w:rsidR="00277C8F" w:rsidRPr="002C4019">
                    <w:rPr>
                      <w:sz w:val="22"/>
                      <w:szCs w:val="22"/>
                      <w:lang w:eastAsia="en-US"/>
                    </w:rPr>
                    <w:t>.novembris</w:t>
                  </w:r>
                  <w:r w:rsidRPr="002C4019">
                    <w:rPr>
                      <w:sz w:val="22"/>
                      <w:szCs w:val="22"/>
                      <w:lang w:eastAsia="en-US"/>
                    </w:rPr>
                    <w:t xml:space="preserve"> un 2019</w:t>
                  </w:r>
                  <w:r w:rsidR="00C444D7" w:rsidRPr="002C4019">
                    <w:rPr>
                      <w:sz w:val="22"/>
                      <w:szCs w:val="22"/>
                      <w:lang w:eastAsia="en-US"/>
                    </w:rPr>
                    <w:t>.gada</w:t>
                  </w:r>
                  <w:r w:rsidR="00105C81" w:rsidRPr="002C4019">
                    <w:rPr>
                      <w:sz w:val="22"/>
                      <w:szCs w:val="22"/>
                      <w:lang w:eastAsia="en-US"/>
                    </w:rPr>
                    <w:t xml:space="preserve"> </w:t>
                  </w:r>
                  <w:r w:rsidR="00D559E2" w:rsidRPr="002C4019">
                    <w:rPr>
                      <w:sz w:val="22"/>
                      <w:szCs w:val="22"/>
                      <w:lang w:eastAsia="en-US"/>
                    </w:rPr>
                    <w:t>5</w:t>
                  </w:r>
                  <w:r w:rsidR="00ED69C0" w:rsidRPr="002C4019">
                    <w:rPr>
                      <w:sz w:val="22"/>
                      <w:szCs w:val="22"/>
                      <w:lang w:eastAsia="en-US"/>
                    </w:rPr>
                    <w:t>.decembr</w:t>
                  </w:r>
                  <w:r w:rsidR="00B872FC" w:rsidRPr="002C4019">
                    <w:rPr>
                      <w:sz w:val="22"/>
                      <w:szCs w:val="22"/>
                      <w:lang w:eastAsia="en-US"/>
                    </w:rPr>
                    <w:t>is</w:t>
                  </w:r>
                </w:p>
              </w:tc>
            </w:tr>
            <w:tr w:rsidR="00F64DE4" w:rsidRPr="002C4019" w:rsidTr="00B838FA">
              <w:trPr>
                <w:gridAfter w:val="1"/>
                <w:wAfter w:w="468" w:type="dxa"/>
              </w:trPr>
              <w:tc>
                <w:tcPr>
                  <w:tcW w:w="6487" w:type="dxa"/>
                </w:tcPr>
                <w:p w:rsidR="00C01E51" w:rsidRPr="002C4019" w:rsidRDefault="00C01E51" w:rsidP="00522905">
                  <w:pPr>
                    <w:pStyle w:val="naisf"/>
                    <w:spacing w:before="0" w:after="0"/>
                    <w:rPr>
                      <w:lang w:eastAsia="en-US"/>
                    </w:rPr>
                  </w:pPr>
                </w:p>
              </w:tc>
              <w:tc>
                <w:tcPr>
                  <w:tcW w:w="7220" w:type="dxa"/>
                  <w:gridSpan w:val="2"/>
                  <w:tcBorders>
                    <w:top w:val="single" w:sz="4" w:space="0" w:color="auto"/>
                    <w:left w:val="nil"/>
                    <w:bottom w:val="nil"/>
                    <w:right w:val="nil"/>
                  </w:tcBorders>
                </w:tcPr>
                <w:p w:rsidR="00C01E51" w:rsidRPr="002C4019" w:rsidRDefault="00C01E51" w:rsidP="00522905">
                  <w:pPr>
                    <w:pStyle w:val="ParastaisWeb"/>
                    <w:spacing w:before="0" w:beforeAutospacing="0" w:after="0" w:afterAutospacing="0"/>
                    <w:ind w:firstLine="720"/>
                    <w:rPr>
                      <w:lang w:eastAsia="en-US"/>
                    </w:rPr>
                  </w:pPr>
                </w:p>
              </w:tc>
            </w:tr>
            <w:tr w:rsidR="00F64DE4" w:rsidRPr="002C4019" w:rsidTr="00B838FA">
              <w:tc>
                <w:tcPr>
                  <w:tcW w:w="6487" w:type="dxa"/>
                  <w:hideMark/>
                </w:tcPr>
                <w:p w:rsidR="00C01E51" w:rsidRPr="002C4019" w:rsidRDefault="00102ED6" w:rsidP="00522905">
                  <w:pPr>
                    <w:pStyle w:val="naiskr"/>
                    <w:spacing w:before="0" w:after="0"/>
                    <w:rPr>
                      <w:lang w:eastAsia="en-US"/>
                    </w:rPr>
                  </w:pPr>
                  <w:r w:rsidRPr="002C4019">
                    <w:rPr>
                      <w:sz w:val="22"/>
                      <w:szCs w:val="22"/>
                      <w:lang w:eastAsia="en-US"/>
                    </w:rPr>
                    <w:t>Saskaņošanas dalībnieki</w:t>
                  </w:r>
                </w:p>
              </w:tc>
              <w:tc>
                <w:tcPr>
                  <w:tcW w:w="7688" w:type="dxa"/>
                  <w:gridSpan w:val="3"/>
                  <w:tcBorders>
                    <w:top w:val="nil"/>
                    <w:left w:val="nil"/>
                    <w:bottom w:val="single" w:sz="4" w:space="0" w:color="auto"/>
                    <w:right w:val="nil"/>
                  </w:tcBorders>
                  <w:hideMark/>
                </w:tcPr>
                <w:p w:rsidR="00C01E51" w:rsidRPr="002C4019" w:rsidRDefault="00416868" w:rsidP="00B838FA">
                  <w:pPr>
                    <w:pStyle w:val="ParastaisWeb"/>
                    <w:spacing w:before="0" w:beforeAutospacing="0" w:after="0" w:afterAutospacing="0"/>
                    <w:rPr>
                      <w:lang w:eastAsia="en-US"/>
                    </w:rPr>
                  </w:pPr>
                  <w:r w:rsidRPr="002C4019">
                    <w:rPr>
                      <w:sz w:val="22"/>
                      <w:szCs w:val="22"/>
                      <w:lang w:eastAsia="en-US"/>
                    </w:rPr>
                    <w:t>Finanšu ministrija un</w:t>
                  </w:r>
                  <w:r w:rsidR="00102ED6" w:rsidRPr="002C4019">
                    <w:rPr>
                      <w:sz w:val="22"/>
                      <w:szCs w:val="22"/>
                      <w:lang w:eastAsia="en-US"/>
                    </w:rPr>
                    <w:t xml:space="preserve"> Tieslietu ministrija </w:t>
                  </w:r>
                </w:p>
              </w:tc>
            </w:tr>
            <w:tr w:rsidR="00F64DE4" w:rsidRPr="002C4019" w:rsidTr="00B838FA">
              <w:trPr>
                <w:trHeight w:val="208"/>
              </w:trPr>
              <w:tc>
                <w:tcPr>
                  <w:tcW w:w="6487" w:type="dxa"/>
                </w:tcPr>
                <w:p w:rsidR="00C01E51" w:rsidRPr="002C4019" w:rsidRDefault="00C01E51" w:rsidP="00522905">
                  <w:pPr>
                    <w:pStyle w:val="naiskr"/>
                    <w:spacing w:before="0" w:after="0"/>
                    <w:rPr>
                      <w:lang w:eastAsia="en-US"/>
                    </w:rPr>
                  </w:pPr>
                </w:p>
              </w:tc>
              <w:tc>
                <w:tcPr>
                  <w:tcW w:w="1651" w:type="dxa"/>
                </w:tcPr>
                <w:p w:rsidR="00C01E51" w:rsidRPr="002C4019" w:rsidRDefault="00C01E51" w:rsidP="00522905">
                  <w:pPr>
                    <w:pStyle w:val="naiskr"/>
                    <w:spacing w:before="0" w:after="0"/>
                    <w:ind w:firstLine="720"/>
                    <w:rPr>
                      <w:lang w:eastAsia="en-US"/>
                    </w:rPr>
                  </w:pPr>
                </w:p>
              </w:tc>
              <w:tc>
                <w:tcPr>
                  <w:tcW w:w="6037" w:type="dxa"/>
                  <w:gridSpan w:val="2"/>
                </w:tcPr>
                <w:p w:rsidR="00C01E51" w:rsidRPr="002C4019" w:rsidRDefault="00C01E51" w:rsidP="00522905">
                  <w:pPr>
                    <w:pStyle w:val="naiskr"/>
                    <w:spacing w:before="0" w:after="0"/>
                    <w:ind w:firstLine="12"/>
                    <w:rPr>
                      <w:lang w:eastAsia="en-US"/>
                    </w:rPr>
                  </w:pPr>
                </w:p>
              </w:tc>
            </w:tr>
            <w:tr w:rsidR="00F64DE4" w:rsidRPr="002C4019" w:rsidTr="00B838FA">
              <w:trPr>
                <w:trHeight w:val="296"/>
              </w:trPr>
              <w:tc>
                <w:tcPr>
                  <w:tcW w:w="6487" w:type="dxa"/>
                  <w:hideMark/>
                </w:tcPr>
                <w:p w:rsidR="00C01E51" w:rsidRPr="002C4019" w:rsidRDefault="00102ED6" w:rsidP="00522905">
                  <w:pPr>
                    <w:pStyle w:val="naiskr"/>
                    <w:spacing w:before="0" w:after="0"/>
                    <w:ind w:right="500"/>
                    <w:rPr>
                      <w:lang w:eastAsia="en-US"/>
                    </w:rPr>
                  </w:pPr>
                  <w:r w:rsidRPr="002C4019">
                    <w:rPr>
                      <w:sz w:val="22"/>
                      <w:szCs w:val="22"/>
                      <w:lang w:eastAsia="en-US"/>
                    </w:rPr>
                    <w:t>Saskaņošanas dalībnieki izskatīja šādu ministriju (citu institūciju) iebildumus</w:t>
                  </w:r>
                </w:p>
              </w:tc>
              <w:tc>
                <w:tcPr>
                  <w:tcW w:w="7688" w:type="dxa"/>
                  <w:gridSpan w:val="3"/>
                  <w:tcBorders>
                    <w:top w:val="nil"/>
                    <w:left w:val="nil"/>
                    <w:bottom w:val="single" w:sz="4" w:space="0" w:color="auto"/>
                    <w:right w:val="nil"/>
                  </w:tcBorders>
                  <w:hideMark/>
                </w:tcPr>
                <w:p w:rsidR="00B838FA" w:rsidRDefault="00B838FA" w:rsidP="000E66EA">
                  <w:pPr>
                    <w:pStyle w:val="naiskr"/>
                    <w:spacing w:before="0" w:after="0"/>
                    <w:ind w:right="500"/>
                    <w:rPr>
                      <w:lang w:eastAsia="en-US"/>
                    </w:rPr>
                  </w:pPr>
                </w:p>
                <w:p w:rsidR="00C01E51" w:rsidRPr="002C4019" w:rsidRDefault="00F525DE" w:rsidP="000E66EA">
                  <w:pPr>
                    <w:pStyle w:val="naiskr"/>
                    <w:spacing w:before="0" w:after="0"/>
                    <w:ind w:right="500"/>
                    <w:rPr>
                      <w:lang w:eastAsia="en-US"/>
                    </w:rPr>
                  </w:pPr>
                  <w:r w:rsidRPr="002C4019">
                    <w:rPr>
                      <w:sz w:val="22"/>
                      <w:szCs w:val="22"/>
                      <w:lang w:eastAsia="en-US"/>
                    </w:rPr>
                    <w:t>Finanšu ministrijas un</w:t>
                  </w:r>
                  <w:r w:rsidR="000E66EA" w:rsidRPr="002C4019">
                    <w:rPr>
                      <w:sz w:val="22"/>
                      <w:szCs w:val="22"/>
                      <w:lang w:eastAsia="en-US"/>
                    </w:rPr>
                    <w:t xml:space="preserve"> </w:t>
                  </w:r>
                  <w:r w:rsidR="00704197" w:rsidRPr="002C4019">
                    <w:rPr>
                      <w:sz w:val="22"/>
                      <w:szCs w:val="22"/>
                      <w:lang w:eastAsia="en-US"/>
                    </w:rPr>
                    <w:t>Tieslietu ministrijas</w:t>
                  </w:r>
                  <w:r w:rsidR="000E66EA" w:rsidRPr="002C4019">
                    <w:rPr>
                      <w:sz w:val="22"/>
                      <w:szCs w:val="22"/>
                      <w:lang w:eastAsia="en-US"/>
                    </w:rPr>
                    <w:t xml:space="preserve"> </w:t>
                  </w:r>
                </w:p>
              </w:tc>
            </w:tr>
            <w:tr w:rsidR="00F64DE4" w:rsidRPr="002C4019" w:rsidTr="00B872FC">
              <w:trPr>
                <w:trHeight w:val="224"/>
              </w:trPr>
              <w:tc>
                <w:tcPr>
                  <w:tcW w:w="14175" w:type="dxa"/>
                  <w:gridSpan w:val="4"/>
                </w:tcPr>
                <w:p w:rsidR="00C01E51" w:rsidRPr="002C4019" w:rsidRDefault="00C01E51" w:rsidP="00522905">
                  <w:pPr>
                    <w:pStyle w:val="naisc"/>
                    <w:spacing w:before="0" w:after="0"/>
                    <w:ind w:right="500"/>
                    <w:rPr>
                      <w:lang w:eastAsia="en-US"/>
                    </w:rPr>
                  </w:pPr>
                </w:p>
              </w:tc>
            </w:tr>
            <w:tr w:rsidR="00F64DE4" w:rsidRPr="002C4019" w:rsidTr="00B872FC">
              <w:tc>
                <w:tcPr>
                  <w:tcW w:w="6487" w:type="dxa"/>
                  <w:hideMark/>
                </w:tcPr>
                <w:p w:rsidR="00C01E51" w:rsidRPr="002C4019" w:rsidRDefault="00102ED6" w:rsidP="00522905">
                  <w:pPr>
                    <w:pStyle w:val="naiskr"/>
                    <w:spacing w:before="0" w:after="0"/>
                    <w:ind w:right="500"/>
                    <w:rPr>
                      <w:lang w:eastAsia="en-US"/>
                    </w:rPr>
                  </w:pPr>
                  <w:r w:rsidRPr="002C4019">
                    <w:rPr>
                      <w:sz w:val="22"/>
                      <w:szCs w:val="22"/>
                      <w:lang w:eastAsia="en-US"/>
                    </w:rPr>
                    <w:t xml:space="preserve">Ministrijas (citas institūcijas), kuras nav ieradušās uz sanāksmi </w:t>
                  </w:r>
                  <w:r w:rsidR="00F47CEC" w:rsidRPr="002C4019">
                    <w:rPr>
                      <w:sz w:val="22"/>
                      <w:szCs w:val="22"/>
                      <w:lang w:eastAsia="en-US"/>
                    </w:rPr>
                    <w:t>vai kuras nav atbildējušas uz uzaicinājumu piedalīties elektroniskajā saskaņošanā</w:t>
                  </w:r>
                </w:p>
              </w:tc>
              <w:tc>
                <w:tcPr>
                  <w:tcW w:w="7688" w:type="dxa"/>
                  <w:gridSpan w:val="3"/>
                  <w:tcBorders>
                    <w:top w:val="nil"/>
                    <w:left w:val="nil"/>
                    <w:bottom w:val="single" w:sz="4" w:space="0" w:color="auto"/>
                    <w:right w:val="nil"/>
                  </w:tcBorders>
                </w:tcPr>
                <w:p w:rsidR="00C01E51" w:rsidRPr="002C4019" w:rsidRDefault="00C01E51" w:rsidP="00522905">
                  <w:pPr>
                    <w:pStyle w:val="naiskr"/>
                    <w:spacing w:before="0" w:after="0"/>
                    <w:ind w:right="500" w:firstLine="720"/>
                    <w:rPr>
                      <w:lang w:eastAsia="en-US"/>
                    </w:rPr>
                  </w:pPr>
                </w:p>
              </w:tc>
            </w:tr>
          </w:tbl>
          <w:p w:rsidR="00C01E51" w:rsidRPr="002C4019" w:rsidRDefault="00102ED6" w:rsidP="00522905">
            <w:pPr>
              <w:pStyle w:val="naiskr"/>
              <w:spacing w:before="0" w:after="0"/>
              <w:ind w:right="500" w:firstLine="720"/>
              <w:rPr>
                <w:lang w:eastAsia="en-US"/>
              </w:rPr>
            </w:pPr>
            <w:r w:rsidRPr="002C4019">
              <w:rPr>
                <w:sz w:val="22"/>
                <w:szCs w:val="22"/>
                <w:lang w:eastAsia="en-US"/>
              </w:rPr>
              <w:t>  </w:t>
            </w:r>
          </w:p>
        </w:tc>
      </w:tr>
    </w:tbl>
    <w:p w:rsidR="00F64DE4" w:rsidRPr="002C4019" w:rsidRDefault="00102ED6" w:rsidP="00522905">
      <w:pPr>
        <w:pStyle w:val="naisnod"/>
        <w:spacing w:before="0" w:after="0"/>
        <w:ind w:left="57" w:right="57"/>
        <w:contextualSpacing/>
        <w:mirrorIndents/>
        <w:rPr>
          <w:sz w:val="22"/>
          <w:szCs w:val="22"/>
        </w:rPr>
      </w:pPr>
      <w:r w:rsidRPr="002C4019">
        <w:rPr>
          <w:sz w:val="22"/>
          <w:szCs w:val="22"/>
        </w:rPr>
        <w:t>II. Jautājumi, par kuriem saskaņošanā vienošanās ir panākta</w:t>
      </w:r>
    </w:p>
    <w:p w:rsidR="00F64DE4" w:rsidRPr="002C4019" w:rsidRDefault="00F64DE4" w:rsidP="00522905">
      <w:pPr>
        <w:pStyle w:val="naisnod"/>
        <w:spacing w:before="0" w:after="0"/>
        <w:ind w:left="57" w:right="57"/>
        <w:contextualSpacing/>
        <w:mirrorIndents/>
        <w:rPr>
          <w:sz w:val="22"/>
          <w:szCs w:val="22"/>
        </w:rPr>
      </w:pPr>
    </w:p>
    <w:tbl>
      <w:tblPr>
        <w:tblW w:w="5084" w:type="pct"/>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07"/>
        <w:gridCol w:w="3464"/>
        <w:gridCol w:w="3545"/>
        <w:gridCol w:w="3539"/>
        <w:gridCol w:w="3403"/>
      </w:tblGrid>
      <w:tr w:rsidR="00F64DE4" w:rsidRPr="002C4019" w:rsidTr="002C4019">
        <w:tc>
          <w:tcPr>
            <w:tcW w:w="175" w:type="pct"/>
            <w:tcBorders>
              <w:top w:val="single" w:sz="6" w:space="0" w:color="000000"/>
              <w:left w:val="single" w:sz="6" w:space="0" w:color="000000"/>
              <w:bottom w:val="single" w:sz="6" w:space="0" w:color="000000"/>
              <w:right w:val="single" w:sz="6" w:space="0" w:color="000000"/>
            </w:tcBorders>
            <w:vAlign w:val="center"/>
          </w:tcPr>
          <w:p w:rsidR="00C01E51" w:rsidRPr="002C4019" w:rsidRDefault="00C01E51" w:rsidP="00522905">
            <w:pPr>
              <w:pStyle w:val="naisc"/>
              <w:spacing w:before="0" w:after="0"/>
              <w:rPr>
                <w:lang w:eastAsia="en-US"/>
              </w:rPr>
            </w:pPr>
          </w:p>
        </w:tc>
        <w:tc>
          <w:tcPr>
            <w:tcW w:w="1198" w:type="pct"/>
            <w:tcBorders>
              <w:top w:val="single" w:sz="6" w:space="0" w:color="000000"/>
              <w:left w:val="single" w:sz="6" w:space="0" w:color="000000"/>
              <w:bottom w:val="single" w:sz="6" w:space="0" w:color="000000"/>
              <w:right w:val="single" w:sz="6" w:space="0" w:color="000000"/>
            </w:tcBorders>
            <w:vAlign w:val="center"/>
            <w:hideMark/>
          </w:tcPr>
          <w:p w:rsidR="00C01E51" w:rsidRPr="002C4019" w:rsidRDefault="00F64DE4" w:rsidP="00522905">
            <w:pPr>
              <w:pStyle w:val="naisc"/>
              <w:spacing w:before="0" w:after="0"/>
              <w:ind w:firstLine="12"/>
              <w:rPr>
                <w:lang w:eastAsia="en-US"/>
              </w:rPr>
            </w:pPr>
            <w:r w:rsidRPr="002C4019">
              <w:rPr>
                <w:sz w:val="22"/>
                <w:szCs w:val="22"/>
                <w:lang w:eastAsia="en-US"/>
              </w:rPr>
              <w:t>Saskaņošanai nosūtītā projekta redakcija</w:t>
            </w:r>
            <w:r w:rsidR="00F47CEC" w:rsidRPr="002C4019">
              <w:rPr>
                <w:sz w:val="22"/>
                <w:szCs w:val="22"/>
                <w:lang w:eastAsia="en-US"/>
              </w:rPr>
              <w:t xml:space="preserve"> (konkrēta punkta (panta) redakcija)</w:t>
            </w:r>
          </w:p>
        </w:tc>
        <w:tc>
          <w:tcPr>
            <w:tcW w:w="1226" w:type="pct"/>
            <w:tcBorders>
              <w:top w:val="single" w:sz="6" w:space="0" w:color="000000"/>
              <w:left w:val="single" w:sz="6" w:space="0" w:color="000000"/>
              <w:bottom w:val="single" w:sz="6" w:space="0" w:color="000000"/>
              <w:right w:val="single" w:sz="6" w:space="0" w:color="000000"/>
            </w:tcBorders>
            <w:vAlign w:val="center"/>
            <w:hideMark/>
          </w:tcPr>
          <w:p w:rsidR="00C01E51" w:rsidRPr="002C4019" w:rsidRDefault="00F64DE4" w:rsidP="00522905">
            <w:pPr>
              <w:pStyle w:val="naisc"/>
              <w:spacing w:before="0" w:after="0"/>
              <w:ind w:right="31"/>
              <w:rPr>
                <w:lang w:eastAsia="en-US"/>
              </w:rPr>
            </w:pPr>
            <w:r w:rsidRPr="002C4019">
              <w:rPr>
                <w:sz w:val="22"/>
                <w:szCs w:val="22"/>
                <w:lang w:eastAsia="en-US"/>
              </w:rPr>
              <w:t xml:space="preserve">Atzinumā norādītais ministrijas (citas institūcijas) </w:t>
            </w:r>
            <w:r w:rsidR="00F47CEC" w:rsidRPr="002C4019">
              <w:rPr>
                <w:sz w:val="22"/>
                <w:szCs w:val="22"/>
                <w:lang w:eastAsia="en-US"/>
              </w:rPr>
              <w:t>iebildums, kā arī saskaņošanā papildus izteiktais iebildums par projekta konkrēto punktu (pantu)</w:t>
            </w:r>
          </w:p>
        </w:tc>
        <w:tc>
          <w:tcPr>
            <w:tcW w:w="1224" w:type="pct"/>
            <w:tcBorders>
              <w:top w:val="single" w:sz="6" w:space="0" w:color="000000"/>
              <w:left w:val="single" w:sz="6" w:space="0" w:color="000000"/>
              <w:bottom w:val="single" w:sz="6" w:space="0" w:color="000000"/>
              <w:right w:val="single" w:sz="6" w:space="0" w:color="000000"/>
            </w:tcBorders>
            <w:vAlign w:val="center"/>
            <w:hideMark/>
          </w:tcPr>
          <w:p w:rsidR="00C01E51" w:rsidRPr="002C4019" w:rsidRDefault="00102ED6" w:rsidP="00522905">
            <w:pPr>
              <w:pStyle w:val="naisc"/>
              <w:spacing w:before="0" w:after="0"/>
              <w:rPr>
                <w:lang w:eastAsia="en-US"/>
              </w:rPr>
            </w:pPr>
            <w:r w:rsidRPr="002C4019">
              <w:rPr>
                <w:sz w:val="22"/>
                <w:szCs w:val="22"/>
                <w:lang w:eastAsia="en-US"/>
              </w:rPr>
              <w:t>Atbildīgās ministrijas norāde par to, ka iebildums ir ņemts vērā, vai informācija par saskaņošanā panākto alternatīvo risinājumu</w:t>
            </w:r>
          </w:p>
        </w:tc>
        <w:tc>
          <w:tcPr>
            <w:tcW w:w="1177" w:type="pct"/>
            <w:tcBorders>
              <w:top w:val="single" w:sz="4" w:space="0" w:color="auto"/>
              <w:left w:val="single" w:sz="4" w:space="0" w:color="auto"/>
              <w:bottom w:val="single" w:sz="4" w:space="0" w:color="auto"/>
              <w:right w:val="single" w:sz="4" w:space="0" w:color="auto"/>
            </w:tcBorders>
            <w:vAlign w:val="center"/>
            <w:hideMark/>
          </w:tcPr>
          <w:p w:rsidR="00C01E51" w:rsidRPr="002C4019" w:rsidRDefault="00102ED6" w:rsidP="00522905">
            <w:pPr>
              <w:pStyle w:val="naisc"/>
              <w:spacing w:before="0" w:after="0"/>
              <w:rPr>
                <w:lang w:eastAsia="en-US"/>
              </w:rPr>
            </w:pPr>
            <w:r w:rsidRPr="002C4019">
              <w:rPr>
                <w:sz w:val="22"/>
                <w:szCs w:val="22"/>
                <w:lang w:eastAsia="en-US"/>
              </w:rPr>
              <w:t>Projekta attiecīgā punkta (panta) galīgā redakcija</w:t>
            </w:r>
          </w:p>
        </w:tc>
      </w:tr>
      <w:tr w:rsidR="00F64DE4" w:rsidRPr="002C4019" w:rsidTr="002C4019">
        <w:tc>
          <w:tcPr>
            <w:tcW w:w="175" w:type="pct"/>
            <w:tcBorders>
              <w:top w:val="single" w:sz="6" w:space="0" w:color="000000"/>
              <w:left w:val="single" w:sz="6" w:space="0" w:color="000000"/>
              <w:bottom w:val="single" w:sz="4" w:space="0" w:color="auto"/>
              <w:right w:val="single" w:sz="6" w:space="0" w:color="000000"/>
            </w:tcBorders>
            <w:hideMark/>
          </w:tcPr>
          <w:p w:rsidR="00C01E51" w:rsidRPr="002C4019" w:rsidRDefault="00102ED6" w:rsidP="00522905">
            <w:pPr>
              <w:pStyle w:val="naisc"/>
              <w:spacing w:before="0" w:after="0"/>
              <w:rPr>
                <w:lang w:eastAsia="en-US"/>
              </w:rPr>
            </w:pPr>
            <w:r w:rsidRPr="002C4019">
              <w:rPr>
                <w:sz w:val="22"/>
                <w:szCs w:val="22"/>
                <w:lang w:eastAsia="en-US"/>
              </w:rPr>
              <w:t>1</w:t>
            </w:r>
          </w:p>
        </w:tc>
        <w:tc>
          <w:tcPr>
            <w:tcW w:w="1198" w:type="pct"/>
            <w:tcBorders>
              <w:top w:val="single" w:sz="6" w:space="0" w:color="000000"/>
              <w:left w:val="single" w:sz="6" w:space="0" w:color="000000"/>
              <w:bottom w:val="single" w:sz="4" w:space="0" w:color="auto"/>
              <w:right w:val="single" w:sz="6" w:space="0" w:color="000000"/>
            </w:tcBorders>
            <w:hideMark/>
          </w:tcPr>
          <w:p w:rsidR="00C01E51" w:rsidRPr="002C4019" w:rsidRDefault="00102ED6" w:rsidP="00522905">
            <w:pPr>
              <w:pStyle w:val="naisc"/>
              <w:spacing w:before="0" w:after="0"/>
              <w:ind w:firstLine="12"/>
              <w:rPr>
                <w:lang w:eastAsia="en-US"/>
              </w:rPr>
            </w:pPr>
            <w:r w:rsidRPr="002C4019">
              <w:rPr>
                <w:sz w:val="22"/>
                <w:szCs w:val="22"/>
                <w:lang w:eastAsia="en-US"/>
              </w:rPr>
              <w:t>2</w:t>
            </w:r>
          </w:p>
        </w:tc>
        <w:tc>
          <w:tcPr>
            <w:tcW w:w="1226" w:type="pct"/>
            <w:tcBorders>
              <w:top w:val="single" w:sz="6" w:space="0" w:color="000000"/>
              <w:left w:val="single" w:sz="6" w:space="0" w:color="000000"/>
              <w:bottom w:val="single" w:sz="4" w:space="0" w:color="auto"/>
              <w:right w:val="single" w:sz="6" w:space="0" w:color="000000"/>
            </w:tcBorders>
            <w:hideMark/>
          </w:tcPr>
          <w:p w:rsidR="00C01E51" w:rsidRPr="002C4019" w:rsidRDefault="00102ED6" w:rsidP="00522905">
            <w:pPr>
              <w:pStyle w:val="naisc"/>
              <w:spacing w:before="0" w:after="0"/>
              <w:ind w:right="31"/>
              <w:rPr>
                <w:lang w:eastAsia="en-US"/>
              </w:rPr>
            </w:pPr>
            <w:r w:rsidRPr="002C4019">
              <w:rPr>
                <w:sz w:val="22"/>
                <w:szCs w:val="22"/>
                <w:lang w:eastAsia="en-US"/>
              </w:rPr>
              <w:t>3</w:t>
            </w:r>
          </w:p>
        </w:tc>
        <w:tc>
          <w:tcPr>
            <w:tcW w:w="1224" w:type="pct"/>
            <w:tcBorders>
              <w:top w:val="single" w:sz="6" w:space="0" w:color="000000"/>
              <w:left w:val="single" w:sz="6" w:space="0" w:color="000000"/>
              <w:bottom w:val="single" w:sz="4" w:space="0" w:color="auto"/>
              <w:right w:val="single" w:sz="6" w:space="0" w:color="000000"/>
            </w:tcBorders>
            <w:hideMark/>
          </w:tcPr>
          <w:p w:rsidR="00C01E51" w:rsidRPr="002C4019" w:rsidRDefault="00102ED6" w:rsidP="00522905">
            <w:pPr>
              <w:pStyle w:val="naisc"/>
              <w:spacing w:before="0" w:after="0"/>
              <w:rPr>
                <w:lang w:eastAsia="en-US"/>
              </w:rPr>
            </w:pPr>
            <w:r w:rsidRPr="002C4019">
              <w:rPr>
                <w:sz w:val="22"/>
                <w:szCs w:val="22"/>
                <w:lang w:eastAsia="en-US"/>
              </w:rPr>
              <w:t>4</w:t>
            </w:r>
          </w:p>
        </w:tc>
        <w:tc>
          <w:tcPr>
            <w:tcW w:w="1177" w:type="pct"/>
            <w:tcBorders>
              <w:top w:val="single" w:sz="4" w:space="0" w:color="auto"/>
              <w:left w:val="single" w:sz="4" w:space="0" w:color="auto"/>
              <w:bottom w:val="single" w:sz="4" w:space="0" w:color="auto"/>
              <w:right w:val="single" w:sz="4" w:space="0" w:color="auto"/>
            </w:tcBorders>
            <w:hideMark/>
          </w:tcPr>
          <w:p w:rsidR="00C01E51" w:rsidRPr="002C4019" w:rsidRDefault="00102ED6" w:rsidP="00522905">
            <w:pPr>
              <w:jc w:val="center"/>
              <w:rPr>
                <w:lang w:eastAsia="en-US"/>
              </w:rPr>
            </w:pPr>
            <w:r w:rsidRPr="002C4019">
              <w:rPr>
                <w:sz w:val="22"/>
                <w:szCs w:val="22"/>
                <w:lang w:eastAsia="en-US"/>
              </w:rPr>
              <w:t>5</w:t>
            </w:r>
          </w:p>
        </w:tc>
      </w:tr>
      <w:tr w:rsidR="00997920" w:rsidRPr="002C4019" w:rsidTr="002C4019">
        <w:tc>
          <w:tcPr>
            <w:tcW w:w="175" w:type="pct"/>
            <w:tcBorders>
              <w:top w:val="single" w:sz="4" w:space="0" w:color="auto"/>
              <w:left w:val="single" w:sz="6" w:space="0" w:color="000000"/>
              <w:bottom w:val="single" w:sz="4" w:space="0" w:color="auto"/>
              <w:right w:val="single" w:sz="6" w:space="0" w:color="000000"/>
            </w:tcBorders>
            <w:shd w:val="clear" w:color="auto" w:fill="auto"/>
          </w:tcPr>
          <w:p w:rsidR="00997920" w:rsidRPr="002C4019" w:rsidRDefault="00102ED6" w:rsidP="00522905">
            <w:pPr>
              <w:pStyle w:val="naisc"/>
              <w:spacing w:before="0" w:after="0"/>
              <w:rPr>
                <w:lang w:eastAsia="en-US"/>
              </w:rPr>
            </w:pPr>
            <w:r w:rsidRPr="002C4019">
              <w:rPr>
                <w:sz w:val="22"/>
                <w:szCs w:val="22"/>
                <w:lang w:eastAsia="en-US"/>
              </w:rPr>
              <w:lastRenderedPageBreak/>
              <w:t>1.</w:t>
            </w:r>
          </w:p>
        </w:tc>
        <w:tc>
          <w:tcPr>
            <w:tcW w:w="1198" w:type="pct"/>
            <w:tcBorders>
              <w:top w:val="single" w:sz="4" w:space="0" w:color="auto"/>
              <w:left w:val="single" w:sz="6" w:space="0" w:color="000000"/>
              <w:right w:val="single" w:sz="6" w:space="0" w:color="000000"/>
            </w:tcBorders>
            <w:shd w:val="clear" w:color="auto" w:fill="auto"/>
            <w:hideMark/>
          </w:tcPr>
          <w:p w:rsidR="008B7400" w:rsidRPr="002C4019" w:rsidRDefault="008C010C" w:rsidP="00416868">
            <w:pPr>
              <w:pStyle w:val="Pamatteksts"/>
              <w:jc w:val="both"/>
            </w:pPr>
            <w:r w:rsidRPr="002C4019">
              <w:rPr>
                <w:sz w:val="22"/>
                <w:szCs w:val="22"/>
              </w:rPr>
              <w:t xml:space="preserve">Ministru kabineta noteikumu </w:t>
            </w:r>
            <w:r w:rsidR="00645BF4" w:rsidRPr="002C4019">
              <w:rPr>
                <w:sz w:val="22"/>
                <w:szCs w:val="22"/>
              </w:rPr>
              <w:t xml:space="preserve">projekts </w:t>
            </w:r>
            <w:r w:rsidR="00C0025C" w:rsidRPr="002C4019">
              <w:rPr>
                <w:sz w:val="22"/>
                <w:szCs w:val="22"/>
              </w:rPr>
              <w:t>„</w:t>
            </w:r>
            <w:r w:rsidR="00F47CEC" w:rsidRPr="002C4019">
              <w:rPr>
                <w:sz w:val="22"/>
                <w:szCs w:val="22"/>
              </w:rPr>
              <w:t>Grozījumi Ministru kabineta 2016.gada 29.marta noteikumos Nr.188 „Darbības programmas „Izaugsme un nodarbinātība” 5.6.1.specifiskā atbalsta mērķa „Veicināt Rīgas pilsētas revitalizāciju, nodrošinot teritorijas efektīvu sociālekonomisko izmantošanu” īstenošanas noteikumi</w:t>
            </w:r>
            <w:r w:rsidR="00C0025C" w:rsidRPr="002C4019">
              <w:rPr>
                <w:sz w:val="22"/>
                <w:szCs w:val="22"/>
              </w:rPr>
              <w:t>””</w:t>
            </w:r>
            <w:r w:rsidR="003F3AC3">
              <w:rPr>
                <w:sz w:val="22"/>
                <w:szCs w:val="22"/>
              </w:rPr>
              <w:t xml:space="preserve"> (turpmāk – Noteikumu projekts).</w:t>
            </w:r>
          </w:p>
          <w:p w:rsidR="00573FB7" w:rsidRPr="002C4019" w:rsidRDefault="00573FB7" w:rsidP="008B7400">
            <w:pPr>
              <w:pStyle w:val="Default"/>
              <w:jc w:val="both"/>
              <w:rPr>
                <w:color w:val="auto"/>
                <w:sz w:val="22"/>
                <w:szCs w:val="22"/>
              </w:rPr>
            </w:pPr>
          </w:p>
          <w:p w:rsidR="0091622B" w:rsidRPr="002C4019" w:rsidRDefault="0091622B" w:rsidP="008B7400">
            <w:pPr>
              <w:tabs>
                <w:tab w:val="left" w:pos="1134"/>
              </w:tabs>
              <w:jc w:val="both"/>
            </w:pPr>
          </w:p>
          <w:p w:rsidR="00102ED6" w:rsidRPr="002C4019" w:rsidRDefault="00102ED6" w:rsidP="00102ED6">
            <w:pPr>
              <w:pStyle w:val="Sarakstarindkopa"/>
              <w:tabs>
                <w:tab w:val="left" w:pos="95"/>
              </w:tabs>
              <w:ind w:left="0"/>
              <w:jc w:val="both"/>
              <w:rPr>
                <w:rFonts w:ascii="Times New Roman" w:eastAsia="Times New Roman" w:hAnsi="Times New Roman"/>
                <w:lang w:eastAsia="lv-LV"/>
              </w:rPr>
            </w:pPr>
          </w:p>
        </w:tc>
        <w:tc>
          <w:tcPr>
            <w:tcW w:w="1226" w:type="pct"/>
            <w:tcBorders>
              <w:top w:val="single" w:sz="4" w:space="0" w:color="auto"/>
              <w:left w:val="single" w:sz="6" w:space="0" w:color="000000"/>
              <w:bottom w:val="single" w:sz="4" w:space="0" w:color="auto"/>
              <w:right w:val="single" w:sz="6" w:space="0" w:color="000000"/>
            </w:tcBorders>
            <w:shd w:val="clear" w:color="auto" w:fill="auto"/>
            <w:hideMark/>
          </w:tcPr>
          <w:p w:rsidR="007E2DE0" w:rsidRPr="002C4019" w:rsidRDefault="00F47CEC">
            <w:pPr>
              <w:pStyle w:val="Komentrateksts"/>
              <w:widowControl w:val="0"/>
              <w:jc w:val="both"/>
              <w:rPr>
                <w:b/>
                <w:sz w:val="22"/>
                <w:szCs w:val="22"/>
              </w:rPr>
            </w:pPr>
            <w:r w:rsidRPr="002C4019">
              <w:rPr>
                <w:b/>
                <w:sz w:val="22"/>
                <w:szCs w:val="22"/>
              </w:rPr>
              <w:t>Finanšu ministrija</w:t>
            </w:r>
            <w:r w:rsidR="002C4019">
              <w:rPr>
                <w:b/>
                <w:sz w:val="22"/>
                <w:szCs w:val="22"/>
              </w:rPr>
              <w:t>:</w:t>
            </w:r>
          </w:p>
          <w:p w:rsidR="007E2DE0" w:rsidRPr="002C4019" w:rsidRDefault="00F47CEC" w:rsidP="00704197">
            <w:pPr>
              <w:jc w:val="both"/>
            </w:pPr>
            <w:r w:rsidRPr="002C4019">
              <w:rPr>
                <w:sz w:val="22"/>
                <w:szCs w:val="22"/>
              </w:rPr>
              <w:t xml:space="preserve">Ņemot vērā, ka noteikumu projekts paredz Eiropas Reģionālās attīstības fonda finansējuma 210 792 </w:t>
            </w:r>
            <w:r w:rsidRPr="002C4019">
              <w:rPr>
                <w:i/>
                <w:sz w:val="22"/>
                <w:szCs w:val="22"/>
              </w:rPr>
              <w:t>euro</w:t>
            </w:r>
            <w:r w:rsidRPr="002C4019">
              <w:rPr>
                <w:sz w:val="22"/>
                <w:szCs w:val="22"/>
              </w:rPr>
              <w:t xml:space="preserve"> apmērā pārdali no </w:t>
            </w:r>
            <w:r w:rsidRPr="002C4019">
              <w:rPr>
                <w:color w:val="000000"/>
                <w:sz w:val="22"/>
                <w:szCs w:val="22"/>
              </w:rPr>
              <w:t xml:space="preserve">5.5.1.specifiskā atbalsta mērķa </w:t>
            </w:r>
            <w:r w:rsidR="00645BF4" w:rsidRPr="002C4019">
              <w:rPr>
                <w:color w:val="000000"/>
                <w:sz w:val="22"/>
                <w:szCs w:val="22"/>
              </w:rPr>
              <w:t>„</w:t>
            </w:r>
            <w:r w:rsidRPr="002C4019">
              <w:rPr>
                <w:color w:val="000000"/>
                <w:sz w:val="22"/>
                <w:szCs w:val="22"/>
              </w:rPr>
              <w:t xml:space="preserve">Saglabāt, aizsargāt un attīstīt nozīmīgu kultūras un dabas mantojumu, kā arī attīstīt ar to saistītos pakalpojumus” (turpmāk – 5.5.1.SAM) 1. un 2.atlases kārtas atlikumiem (t.sk. no finansējuma, kas radies neatbilstoši veikto izdevumu rezultātā) uz </w:t>
            </w:r>
            <w:r w:rsidRPr="002C4019">
              <w:rPr>
                <w:sz w:val="22"/>
                <w:szCs w:val="22"/>
              </w:rPr>
              <w:t xml:space="preserve">5.6.1.specifisko atbalsta mērķi </w:t>
            </w:r>
            <w:r w:rsidR="00645BF4" w:rsidRPr="002C4019">
              <w:rPr>
                <w:sz w:val="22"/>
                <w:szCs w:val="22"/>
              </w:rPr>
              <w:t>„</w:t>
            </w:r>
            <w:r w:rsidRPr="002C4019">
              <w:rPr>
                <w:sz w:val="22"/>
                <w:szCs w:val="22"/>
              </w:rPr>
              <w:t xml:space="preserve">Veicināt Rīgas pilsētas revitalizāciju, nodrošinot teritorijas efektīvu sociālekonomisko izmantošanu” (turpmāk – 5.6.1.SAM), vēršam uzmanību, ka uz 2019.gada 19.novembri vēl nav veikti grozījumi 5.5.1.SAM 2.atlases kārtas projekta Nr.5.5.1.0/17/I/010 </w:t>
            </w:r>
            <w:r w:rsidR="00645BF4" w:rsidRPr="002C4019">
              <w:rPr>
                <w:sz w:val="22"/>
                <w:szCs w:val="22"/>
              </w:rPr>
              <w:t>„</w:t>
            </w:r>
            <w:r w:rsidRPr="002C4019">
              <w:rPr>
                <w:sz w:val="22"/>
                <w:szCs w:val="22"/>
              </w:rPr>
              <w:t xml:space="preserve">Jaunu dabas un kultūras tūrisma pakalpojumu radīšana Rīgas jūras līča rietumu piekrastē” izmaksās. Līdz ar to faktiski atbrīvotais finansējums, kuru iespējams pārdalīt no 5.5.1.SAM 2.atlases kārtas atlikumiem uz 5.6.1.SAM, ir 63 805 </w:t>
            </w:r>
            <w:r w:rsidRPr="002C4019">
              <w:rPr>
                <w:i/>
                <w:sz w:val="22"/>
                <w:szCs w:val="22"/>
              </w:rPr>
              <w:t>euro</w:t>
            </w:r>
            <w:r w:rsidRPr="002C4019">
              <w:rPr>
                <w:sz w:val="22"/>
                <w:szCs w:val="22"/>
              </w:rPr>
              <w:t xml:space="preserve">. Ņemot vērā minēto, lūdzam papildināt noteikumu projekta pavadošo dokumentāciju ar MK sēdes protokollēmuma projektu, kas paredz uzdevumu CFLA veikt attiecīgus grozījumus līgumos/vienošanās par projekta īstenošanu, lai nodrošinātu </w:t>
            </w:r>
            <w:r w:rsidRPr="002C4019">
              <w:rPr>
                <w:sz w:val="22"/>
                <w:szCs w:val="22"/>
              </w:rPr>
              <w:lastRenderedPageBreak/>
              <w:t>finansējuma atbrīvošanu.</w:t>
            </w:r>
            <w:r w:rsidRPr="002C4019">
              <w:rPr>
                <w:i/>
                <w:sz w:val="22"/>
                <w:szCs w:val="22"/>
              </w:rPr>
              <w:t xml:space="preserve"> </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7E2DE0" w:rsidRPr="002C4019" w:rsidRDefault="00102ED6">
            <w:pPr>
              <w:pStyle w:val="naisc"/>
              <w:spacing w:before="0" w:after="0"/>
              <w:ind w:firstLine="32"/>
              <w:rPr>
                <w:b/>
              </w:rPr>
            </w:pPr>
            <w:r w:rsidRPr="002C4019">
              <w:rPr>
                <w:b/>
                <w:sz w:val="22"/>
                <w:szCs w:val="22"/>
              </w:rPr>
              <w:lastRenderedPageBreak/>
              <w:t>Ņemts vērā</w:t>
            </w:r>
          </w:p>
          <w:p w:rsidR="007E2DE0" w:rsidRPr="002C4019" w:rsidRDefault="007E2DE0" w:rsidP="00C22D38">
            <w:pPr>
              <w:pStyle w:val="Default"/>
              <w:jc w:val="both"/>
              <w:rPr>
                <w:sz w:val="22"/>
                <w:szCs w:val="22"/>
              </w:rPr>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C22D38" w:rsidRPr="002C4019" w:rsidRDefault="00C22D38" w:rsidP="00C22D38">
            <w:pPr>
              <w:pStyle w:val="Default"/>
              <w:jc w:val="both"/>
              <w:rPr>
                <w:sz w:val="22"/>
                <w:szCs w:val="22"/>
              </w:rPr>
            </w:pPr>
            <w:r w:rsidRPr="002C4019">
              <w:rPr>
                <w:sz w:val="22"/>
                <w:szCs w:val="22"/>
              </w:rPr>
              <w:t xml:space="preserve">Noteikumu projekta pavadošā dokumentācija papildināta ar </w:t>
            </w:r>
            <w:r w:rsidR="00F47CEC" w:rsidRPr="002C4019">
              <w:rPr>
                <w:sz w:val="22"/>
                <w:szCs w:val="22"/>
              </w:rPr>
              <w:t>Ministru kabineta sēdes protokollēmuma projektu</w:t>
            </w:r>
            <w:r w:rsidR="00F47CEC" w:rsidRPr="002C4019">
              <w:rPr>
                <w:b/>
                <w:color w:val="000000" w:themeColor="text1"/>
                <w:sz w:val="22"/>
                <w:szCs w:val="22"/>
              </w:rPr>
              <w:t xml:space="preserve"> </w:t>
            </w:r>
            <w:r w:rsidR="00F47CEC" w:rsidRPr="002C4019">
              <w:rPr>
                <w:sz w:val="22"/>
                <w:szCs w:val="22"/>
              </w:rPr>
              <w:t>„Noteikumu</w:t>
            </w:r>
            <w:r w:rsidR="00F47CEC" w:rsidRPr="002C4019">
              <w:rPr>
                <w:b/>
                <w:color w:val="000000" w:themeColor="text1"/>
                <w:sz w:val="22"/>
                <w:szCs w:val="22"/>
              </w:rPr>
              <w:t xml:space="preserve"> </w:t>
            </w:r>
            <w:r w:rsidR="00F47CEC" w:rsidRPr="002C4019">
              <w:rPr>
                <w:sz w:val="22"/>
                <w:szCs w:val="22"/>
              </w:rPr>
              <w:t xml:space="preserve">projekts „Grozījumi Ministru kabineta 2016.gada 29.marta noteikumos Nr.188 „Darbības programmas „Izaugsme un nodarbinātība” 5.6.1.specifiskā atbalsta mērķa „Veicināt Rīgas pilsētas revitalizāciju, nodrošinot teritorijas efektīvu sociālekonomisko izmantošanu” īstenošanas noteikumi”” projektu (turpmāk – Protokollēmuma projekts). </w:t>
            </w:r>
          </w:p>
          <w:p w:rsidR="00C22D38" w:rsidRPr="002C4019" w:rsidRDefault="00F47CEC" w:rsidP="00C22D38">
            <w:pPr>
              <w:pStyle w:val="Default"/>
              <w:jc w:val="both"/>
              <w:rPr>
                <w:b/>
                <w:color w:val="000000" w:themeColor="text1"/>
                <w:sz w:val="22"/>
                <w:szCs w:val="22"/>
              </w:rPr>
            </w:pPr>
            <w:r w:rsidRPr="002C4019">
              <w:rPr>
                <w:sz w:val="22"/>
                <w:szCs w:val="22"/>
              </w:rPr>
              <w:t>Protokollēmuma projekta 2.punkts izteikts šādā redakcijā:</w:t>
            </w:r>
          </w:p>
          <w:p w:rsidR="00ED74FB" w:rsidRPr="002C4019" w:rsidRDefault="00F47CEC" w:rsidP="00C22D38">
            <w:pPr>
              <w:tabs>
                <w:tab w:val="left" w:pos="426"/>
              </w:tabs>
              <w:jc w:val="both"/>
            </w:pPr>
            <w:r w:rsidRPr="002C4019">
              <w:rPr>
                <w:sz w:val="22"/>
                <w:szCs w:val="22"/>
              </w:rPr>
              <w:t>„2. Centrālajai finanšu un līgumu aģentūrai kā Eiropas Savienības fondu sadarbības iestādei veikt grozījumus vienošanās par projekta Nr.5.5.1.0/17/I/010 „Jaunu dabas un kultūras tūrisma pakalpojumu radīšana Rīgas jūras līča rietumu piekrastē” īstenošanu, lai nodrošinātu finansējuma atbrīvošanu projekta izmaksās.”</w:t>
            </w:r>
            <w:r w:rsidR="00645BF4" w:rsidRPr="002C4019">
              <w:rPr>
                <w:sz w:val="22"/>
                <w:szCs w:val="22"/>
              </w:rPr>
              <w:t>.</w:t>
            </w:r>
          </w:p>
        </w:tc>
      </w:tr>
      <w:tr w:rsidR="009A7AEA" w:rsidRPr="002C4019" w:rsidTr="002C4019">
        <w:trPr>
          <w:trHeight w:val="1664"/>
        </w:trPr>
        <w:tc>
          <w:tcPr>
            <w:tcW w:w="175" w:type="pct"/>
            <w:tcBorders>
              <w:top w:val="single" w:sz="4" w:space="0" w:color="auto"/>
              <w:left w:val="single" w:sz="6" w:space="0" w:color="000000"/>
              <w:bottom w:val="single" w:sz="4" w:space="0" w:color="auto"/>
              <w:right w:val="single" w:sz="6" w:space="0" w:color="000000"/>
            </w:tcBorders>
            <w:shd w:val="clear" w:color="auto" w:fill="auto"/>
          </w:tcPr>
          <w:p w:rsidR="009A7AEA" w:rsidRPr="002C4019" w:rsidRDefault="00F47CEC" w:rsidP="00522905">
            <w:pPr>
              <w:pStyle w:val="naisc"/>
              <w:spacing w:before="0" w:after="0"/>
              <w:rPr>
                <w:lang w:eastAsia="en-US"/>
              </w:rPr>
            </w:pPr>
            <w:r w:rsidRPr="002C4019">
              <w:rPr>
                <w:sz w:val="22"/>
                <w:szCs w:val="22"/>
                <w:lang w:eastAsia="en-US"/>
              </w:rPr>
              <w:lastRenderedPageBreak/>
              <w:t>2.</w:t>
            </w:r>
          </w:p>
        </w:tc>
        <w:tc>
          <w:tcPr>
            <w:tcW w:w="1198" w:type="pct"/>
            <w:tcBorders>
              <w:top w:val="single" w:sz="4" w:space="0" w:color="auto"/>
              <w:left w:val="single" w:sz="6" w:space="0" w:color="000000"/>
              <w:bottom w:val="single" w:sz="4" w:space="0" w:color="auto"/>
              <w:right w:val="single" w:sz="6" w:space="0" w:color="000000"/>
            </w:tcBorders>
            <w:shd w:val="clear" w:color="auto" w:fill="auto"/>
            <w:hideMark/>
          </w:tcPr>
          <w:p w:rsidR="00245570" w:rsidRPr="002C4019" w:rsidRDefault="00F47CEC" w:rsidP="00245570">
            <w:pPr>
              <w:jc w:val="both"/>
              <w:rPr>
                <w:bCs/>
                <w:color w:val="000000"/>
              </w:rPr>
            </w:pPr>
            <w:r w:rsidRPr="002C4019">
              <w:rPr>
                <w:bCs/>
                <w:color w:val="000000"/>
                <w:sz w:val="22"/>
                <w:szCs w:val="22"/>
              </w:rPr>
              <w:t>Noteikumu projekts</w:t>
            </w:r>
            <w:r w:rsidR="003F3AC3">
              <w:rPr>
                <w:bCs/>
                <w:color w:val="000000"/>
                <w:sz w:val="22"/>
                <w:szCs w:val="22"/>
              </w:rPr>
              <w:t>.</w:t>
            </w:r>
          </w:p>
        </w:tc>
        <w:tc>
          <w:tcPr>
            <w:tcW w:w="1226" w:type="pct"/>
            <w:tcBorders>
              <w:top w:val="single" w:sz="4" w:space="0" w:color="auto"/>
              <w:left w:val="single" w:sz="6" w:space="0" w:color="000000"/>
              <w:bottom w:val="single" w:sz="4" w:space="0" w:color="auto"/>
              <w:right w:val="single" w:sz="6" w:space="0" w:color="000000"/>
            </w:tcBorders>
            <w:shd w:val="clear" w:color="auto" w:fill="auto"/>
            <w:hideMark/>
          </w:tcPr>
          <w:p w:rsidR="00BE72C1" w:rsidRPr="002C4019" w:rsidRDefault="00BE72C1" w:rsidP="00BE72C1">
            <w:pPr>
              <w:pStyle w:val="Komentrateksts"/>
              <w:widowControl w:val="0"/>
              <w:jc w:val="both"/>
              <w:rPr>
                <w:b/>
                <w:sz w:val="22"/>
                <w:szCs w:val="22"/>
              </w:rPr>
            </w:pPr>
            <w:r w:rsidRPr="002C4019">
              <w:rPr>
                <w:b/>
                <w:sz w:val="22"/>
                <w:szCs w:val="22"/>
              </w:rPr>
              <w:t>Finanšu ministrija</w:t>
            </w:r>
            <w:r w:rsidR="002C4019">
              <w:rPr>
                <w:b/>
                <w:sz w:val="22"/>
                <w:szCs w:val="22"/>
              </w:rPr>
              <w:t>:</w:t>
            </w:r>
          </w:p>
          <w:p w:rsidR="004D5C5B" w:rsidRPr="002C4019" w:rsidRDefault="00F47CEC" w:rsidP="00645BF4">
            <w:pPr>
              <w:jc w:val="both"/>
            </w:pPr>
            <w:r w:rsidRPr="002C4019">
              <w:rPr>
                <w:sz w:val="22"/>
                <w:szCs w:val="22"/>
              </w:rPr>
              <w:t>Ievērojot to, ka komercdarbības atbalsts MK noteikumu Nr.188</w:t>
            </w:r>
            <w:r w:rsidRPr="002C4019">
              <w:rPr>
                <w:rStyle w:val="Vresatsauce"/>
                <w:sz w:val="22"/>
                <w:szCs w:val="22"/>
              </w:rPr>
              <w:footnoteReference w:id="1"/>
            </w:r>
            <w:r w:rsidRPr="002C4019">
              <w:rPr>
                <w:sz w:val="22"/>
                <w:szCs w:val="22"/>
              </w:rPr>
              <w:t xml:space="preserve"> ietvaros tiek sniegts saskaņā ar Eiropas Komisijas 2014.gada 17.jūnija Regulu (ES) Nr.651/2014, ar ko noteiktas atbalsta kategorijas atzīst par saderīgām ar iekšējo tirgu, piemērojot Līguma 107. un 108.pantu (turpmāk – Komisijas regula Nr.651/2014) un, ņemot vērā aktuālāko Eiropas Savienības tiesas judikatūru (sk. Eiropas Savienības Tiesas 2019.gada 5.marta spriedumu lietā </w:t>
            </w:r>
            <w:proofErr w:type="spellStart"/>
            <w:r w:rsidRPr="002C4019">
              <w:rPr>
                <w:sz w:val="22"/>
                <w:szCs w:val="22"/>
              </w:rPr>
              <w:t>Nr.C-349</w:t>
            </w:r>
            <w:proofErr w:type="spellEnd"/>
            <w:r w:rsidRPr="002C4019">
              <w:rPr>
                <w:sz w:val="22"/>
                <w:szCs w:val="22"/>
              </w:rPr>
              <w:t xml:space="preserve">/17 (ECLI:EU:C:2019:172)), lūdzam papildināt noteikumu projektu ar jaunu punktu, kas paredz komercdarbības atbalsta atgūšanu kopā ar procentiem, ja komercdarbības atbalsta saņēmējs ir pārkāpis Komisijas regulas Nr.651/2014 prasības, piemēram, šādā redakcijā: </w:t>
            </w:r>
            <w:r w:rsidR="00645BF4" w:rsidRPr="002C4019">
              <w:rPr>
                <w:sz w:val="22"/>
                <w:szCs w:val="22"/>
              </w:rPr>
              <w:t>„</w:t>
            </w:r>
            <w:r w:rsidRPr="002C4019">
              <w:rPr>
                <w:i/>
                <w:iCs/>
                <w:sz w:val="22"/>
                <w:szCs w:val="22"/>
              </w:rPr>
              <w:t xml:space="preserve">Ja atbalsta saņēmējs ir pārkāpis Komisijas regulas Nr.651/2014 prasības, atbalsta saņēmējam ir pienākums atmaksāt atbalsta sniedzējam visu projekta ietvaros saņemto valsts atbalstu kopā ar procentiem, ko publicē Eiropas Komisija saskaņā ar Komisijas 2004.gada 21.aprīļa regulas (EK) </w:t>
            </w:r>
            <w:r w:rsidRPr="002C4019">
              <w:rPr>
                <w:i/>
                <w:iCs/>
                <w:sz w:val="22"/>
                <w:szCs w:val="22"/>
              </w:rPr>
              <w:lastRenderedPageBreak/>
              <w:t>Nr.794/2004, ar ko īsteno Padomes Regulu (ES) 2015/1589, ar ko nosaka sīki izstrādātus noteikumus Līguma par Eiropas Savienības darbību 108.panta piemērošanai, 10. 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 panta piemērošanai, 11. pantā noteikto procentu likmes piemērošanas metodi</w:t>
            </w:r>
            <w:r w:rsidRPr="002C4019">
              <w:rPr>
                <w:sz w:val="22"/>
                <w:szCs w:val="22"/>
              </w:rPr>
              <w:t xml:space="preserve">.”. </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4D5C5B" w:rsidRPr="002C4019" w:rsidRDefault="002D690C">
            <w:pPr>
              <w:pStyle w:val="naisc"/>
              <w:spacing w:before="0" w:after="0"/>
              <w:ind w:firstLine="32"/>
              <w:rPr>
                <w:b/>
              </w:rPr>
            </w:pPr>
            <w:r w:rsidRPr="002C4019">
              <w:rPr>
                <w:b/>
                <w:sz w:val="22"/>
                <w:szCs w:val="22"/>
              </w:rPr>
              <w:lastRenderedPageBreak/>
              <w:t>Ņemts vērā</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054DC1" w:rsidRPr="002C4019" w:rsidRDefault="00054DC1" w:rsidP="00054DC1">
            <w:pPr>
              <w:tabs>
                <w:tab w:val="left" w:pos="1134"/>
              </w:tabs>
              <w:jc w:val="both"/>
            </w:pPr>
            <w:r w:rsidRPr="002C4019">
              <w:rPr>
                <w:sz w:val="22"/>
                <w:szCs w:val="22"/>
              </w:rPr>
              <w:t>Noteikumu projekts papildināts ar 4.punktu šādā redakcijā:</w:t>
            </w:r>
          </w:p>
          <w:p w:rsidR="00054DC1" w:rsidRPr="002C4019" w:rsidRDefault="00054DC1" w:rsidP="00054DC1">
            <w:pPr>
              <w:tabs>
                <w:tab w:val="left" w:pos="426"/>
              </w:tabs>
              <w:jc w:val="both"/>
            </w:pPr>
            <w:r w:rsidRPr="002C4019">
              <w:rPr>
                <w:sz w:val="22"/>
                <w:szCs w:val="22"/>
              </w:rPr>
              <w:t xml:space="preserve">„4. Papildināt </w:t>
            </w:r>
            <w:r w:rsidR="00B838FA">
              <w:rPr>
                <w:sz w:val="22"/>
                <w:szCs w:val="22"/>
              </w:rPr>
              <w:t xml:space="preserve">noteikumus </w:t>
            </w:r>
            <w:r w:rsidRPr="002C4019">
              <w:rPr>
                <w:sz w:val="22"/>
                <w:szCs w:val="22"/>
              </w:rPr>
              <w:t>ar 53.punktu šādā redakcijā:</w:t>
            </w:r>
          </w:p>
          <w:p w:rsidR="00054DC1" w:rsidRPr="002C4019" w:rsidRDefault="00054DC1" w:rsidP="00054DC1">
            <w:pPr>
              <w:tabs>
                <w:tab w:val="left" w:pos="35"/>
              </w:tabs>
              <w:jc w:val="both"/>
            </w:pPr>
            <w:r w:rsidRPr="002C4019">
              <w:rPr>
                <w:sz w:val="22"/>
                <w:szCs w:val="22"/>
              </w:rPr>
              <w:t xml:space="preserve"> „53. </w:t>
            </w:r>
            <w:r w:rsidRPr="002C4019">
              <w:rPr>
                <w:sz w:val="22"/>
                <w:szCs w:val="22"/>
              </w:rPr>
              <w:tab/>
              <w:t xml:space="preserve">Ja atbalsta saņēmējs ir pārkāpis </w:t>
            </w:r>
            <w:r w:rsidR="00634FAB" w:rsidRPr="002C4019">
              <w:rPr>
                <w:sz w:val="22"/>
                <w:szCs w:val="22"/>
              </w:rPr>
              <w:t xml:space="preserve">Komisijas regulas Nr. </w:t>
            </w:r>
            <w:hyperlink r:id="rId8" w:tgtFrame="_blank" w:history="1">
              <w:r w:rsidR="00634FAB" w:rsidRPr="002C4019">
                <w:rPr>
                  <w:sz w:val="22"/>
                  <w:szCs w:val="22"/>
                </w:rPr>
                <w:t>1407/2013</w:t>
              </w:r>
            </w:hyperlink>
            <w:r w:rsidR="00634FAB" w:rsidRPr="002C4019">
              <w:rPr>
                <w:sz w:val="22"/>
                <w:szCs w:val="22"/>
              </w:rPr>
              <w:t xml:space="preserve"> vai </w:t>
            </w:r>
            <w:r w:rsidRPr="002C4019">
              <w:rPr>
                <w:sz w:val="22"/>
                <w:szCs w:val="22"/>
              </w:rPr>
              <w:t>Komisijas regulas Nr.651/2014 prasības, atbalsta saņēmējam ir pienākums atmaksāt atbalsta sniedzējam visu</w:t>
            </w:r>
            <w:r w:rsidR="00634FAB" w:rsidRPr="002C4019">
              <w:rPr>
                <w:sz w:val="22"/>
                <w:szCs w:val="22"/>
              </w:rPr>
              <w:t>, saskaņā ar konkrēto regulu,</w:t>
            </w:r>
            <w:r w:rsidRPr="002C4019">
              <w:rPr>
                <w:sz w:val="22"/>
                <w:szCs w:val="22"/>
              </w:rPr>
              <w:t xml:space="preserve"> projekta ietvaros saņemto valsts atbalstu kopā ar procentiem, ko publicē Eiropas Komisija saskaņā ar Komisijas 2004.g</w:t>
            </w:r>
            <w:r w:rsidR="00F47CEC" w:rsidRPr="002C4019">
              <w:rPr>
                <w:sz w:val="22"/>
                <w:szCs w:val="22"/>
              </w:rPr>
              <w:t xml:space="preserve">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w:t>
            </w:r>
            <w:r w:rsidR="00F47CEC" w:rsidRPr="002C4019">
              <w:rPr>
                <w:sz w:val="22"/>
                <w:szCs w:val="22"/>
              </w:rPr>
              <w:lastRenderedPageBreak/>
              <w:t>piemērošanas metodi.””.</w:t>
            </w:r>
          </w:p>
          <w:p w:rsidR="00245570" w:rsidRPr="002C4019" w:rsidRDefault="00245570" w:rsidP="00245570">
            <w:pPr>
              <w:tabs>
                <w:tab w:val="left" w:pos="426"/>
              </w:tabs>
              <w:jc w:val="both"/>
            </w:pPr>
            <w:r w:rsidRPr="002C4019">
              <w:rPr>
                <w:sz w:val="22"/>
                <w:szCs w:val="22"/>
              </w:rPr>
              <w:t xml:space="preserve"> </w:t>
            </w:r>
          </w:p>
          <w:p w:rsidR="007E2DE0" w:rsidRPr="002C4019" w:rsidRDefault="007E2DE0" w:rsidP="00245570">
            <w:pPr>
              <w:pStyle w:val="naisc"/>
              <w:spacing w:before="0" w:after="0"/>
              <w:jc w:val="both"/>
              <w:rPr>
                <w:color w:val="000000"/>
              </w:rPr>
            </w:pPr>
          </w:p>
        </w:tc>
      </w:tr>
      <w:tr w:rsidR="0091622B" w:rsidRPr="002C4019" w:rsidTr="002C4019">
        <w:tc>
          <w:tcPr>
            <w:tcW w:w="175" w:type="pct"/>
            <w:tcBorders>
              <w:top w:val="single" w:sz="4" w:space="0" w:color="auto"/>
              <w:left w:val="single" w:sz="6" w:space="0" w:color="000000"/>
              <w:bottom w:val="single" w:sz="4" w:space="0" w:color="auto"/>
              <w:right w:val="single" w:sz="6" w:space="0" w:color="000000"/>
            </w:tcBorders>
            <w:shd w:val="clear" w:color="auto" w:fill="auto"/>
          </w:tcPr>
          <w:p w:rsidR="0091622B" w:rsidRPr="002C4019" w:rsidRDefault="00F47CEC" w:rsidP="00522905">
            <w:pPr>
              <w:pStyle w:val="naisc"/>
              <w:spacing w:before="0" w:after="0"/>
              <w:rPr>
                <w:lang w:eastAsia="en-US"/>
              </w:rPr>
            </w:pPr>
            <w:r w:rsidRPr="002C4019">
              <w:rPr>
                <w:sz w:val="22"/>
                <w:szCs w:val="22"/>
                <w:lang w:eastAsia="en-US"/>
              </w:rPr>
              <w:lastRenderedPageBreak/>
              <w:t>3.</w:t>
            </w:r>
          </w:p>
        </w:tc>
        <w:tc>
          <w:tcPr>
            <w:tcW w:w="1198" w:type="pct"/>
            <w:tcBorders>
              <w:top w:val="single" w:sz="4" w:space="0" w:color="auto"/>
              <w:left w:val="single" w:sz="6" w:space="0" w:color="000000"/>
              <w:bottom w:val="single" w:sz="4" w:space="0" w:color="auto"/>
              <w:right w:val="single" w:sz="6" w:space="0" w:color="000000"/>
            </w:tcBorders>
            <w:shd w:val="clear" w:color="auto" w:fill="auto"/>
            <w:hideMark/>
          </w:tcPr>
          <w:p w:rsidR="00054DC1" w:rsidRPr="002C4019" w:rsidRDefault="00941DE1" w:rsidP="00054DC1">
            <w:pPr>
              <w:jc w:val="both"/>
              <w:rPr>
                <w:bCs/>
                <w:color w:val="000000"/>
              </w:rPr>
            </w:pPr>
            <w:r w:rsidRPr="002C4019">
              <w:rPr>
                <w:bCs/>
                <w:color w:val="000000"/>
                <w:sz w:val="22"/>
                <w:szCs w:val="22"/>
              </w:rPr>
              <w:t>Noteikumu projekta 2</w:t>
            </w:r>
            <w:r w:rsidR="00054DC1" w:rsidRPr="002C4019">
              <w:rPr>
                <w:bCs/>
                <w:color w:val="000000"/>
                <w:sz w:val="22"/>
                <w:szCs w:val="22"/>
              </w:rPr>
              <w:t>.punkts:</w:t>
            </w:r>
          </w:p>
          <w:p w:rsidR="00054DC1" w:rsidRPr="002C4019" w:rsidRDefault="00941DE1" w:rsidP="00054DC1">
            <w:pPr>
              <w:rPr>
                <w:bCs/>
                <w:color w:val="000000"/>
              </w:rPr>
            </w:pPr>
            <w:r w:rsidRPr="002C4019">
              <w:rPr>
                <w:sz w:val="22"/>
                <w:szCs w:val="22"/>
              </w:rPr>
              <w:t>„2</w:t>
            </w:r>
            <w:r w:rsidR="00054DC1" w:rsidRPr="002C4019">
              <w:rPr>
                <w:sz w:val="22"/>
                <w:szCs w:val="22"/>
              </w:rPr>
              <w:t xml:space="preserve">. </w:t>
            </w:r>
            <w:r w:rsidRPr="002C4019">
              <w:rPr>
                <w:sz w:val="22"/>
                <w:szCs w:val="22"/>
              </w:rPr>
              <w:t>Svītrot 12.</w:t>
            </w:r>
            <w:r w:rsidR="00054DC1" w:rsidRPr="002C4019">
              <w:rPr>
                <w:sz w:val="22"/>
                <w:szCs w:val="22"/>
              </w:rPr>
              <w:t>punktu.”</w:t>
            </w:r>
            <w:r w:rsidR="003F3AC3">
              <w:rPr>
                <w:sz w:val="22"/>
                <w:szCs w:val="22"/>
              </w:rPr>
              <w:t>.</w:t>
            </w:r>
          </w:p>
        </w:tc>
        <w:tc>
          <w:tcPr>
            <w:tcW w:w="1226" w:type="pct"/>
            <w:tcBorders>
              <w:top w:val="single" w:sz="4" w:space="0" w:color="auto"/>
              <w:left w:val="single" w:sz="6" w:space="0" w:color="000000"/>
              <w:bottom w:val="single" w:sz="4" w:space="0" w:color="auto"/>
              <w:right w:val="single" w:sz="6" w:space="0" w:color="000000"/>
            </w:tcBorders>
            <w:shd w:val="clear" w:color="auto" w:fill="auto"/>
            <w:hideMark/>
          </w:tcPr>
          <w:p w:rsidR="00BE72C1" w:rsidRPr="002C4019" w:rsidRDefault="00BE72C1" w:rsidP="00BE72C1">
            <w:pPr>
              <w:pStyle w:val="Komentrateksts"/>
              <w:widowControl w:val="0"/>
              <w:jc w:val="both"/>
              <w:rPr>
                <w:b/>
                <w:sz w:val="22"/>
                <w:szCs w:val="22"/>
              </w:rPr>
            </w:pPr>
            <w:r w:rsidRPr="002C4019">
              <w:rPr>
                <w:b/>
                <w:sz w:val="22"/>
                <w:szCs w:val="22"/>
              </w:rPr>
              <w:t>Finanšu ministrija</w:t>
            </w:r>
            <w:r w:rsidR="002C4019">
              <w:rPr>
                <w:b/>
                <w:sz w:val="22"/>
                <w:szCs w:val="22"/>
              </w:rPr>
              <w:t>:</w:t>
            </w:r>
          </w:p>
          <w:p w:rsidR="00ED74FB" w:rsidRPr="002C4019" w:rsidRDefault="00F47CEC" w:rsidP="00645BF4">
            <w:pPr>
              <w:jc w:val="both"/>
              <w:rPr>
                <w:rFonts w:eastAsiaTheme="minorHAnsi"/>
              </w:rPr>
            </w:pPr>
            <w:r w:rsidRPr="002C4019">
              <w:rPr>
                <w:sz w:val="22"/>
                <w:szCs w:val="22"/>
              </w:rPr>
              <w:t>Lūdzam papildināt noteikumu projektu ar jaunu punktu, kas paredz precizēt MK noteikumu Nr.188 13.punktu, ņemot vērā, ka ar noteikumu projekta 2.punktu tiek svītrots MK noteikumu Nr.188 12.punkts.</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0E66EA" w:rsidRPr="002C4019" w:rsidRDefault="000E66EA" w:rsidP="000E66EA">
            <w:pPr>
              <w:pStyle w:val="naisc"/>
              <w:spacing w:before="0" w:after="0"/>
              <w:ind w:firstLine="32"/>
              <w:rPr>
                <w:b/>
              </w:rPr>
            </w:pPr>
            <w:r w:rsidRPr="002C4019">
              <w:rPr>
                <w:b/>
                <w:sz w:val="22"/>
                <w:szCs w:val="22"/>
              </w:rPr>
              <w:t>Ņemts vērā</w:t>
            </w:r>
          </w:p>
          <w:p w:rsidR="00BA42E7" w:rsidRPr="002C4019" w:rsidRDefault="00BA42E7" w:rsidP="00BA42E7">
            <w:pPr>
              <w:pStyle w:val="naisc"/>
              <w:spacing w:before="0" w:after="0"/>
              <w:ind w:firstLine="32"/>
              <w:jc w:val="both"/>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054DC1" w:rsidRPr="002C4019" w:rsidRDefault="00941DE1" w:rsidP="00054DC1">
            <w:pPr>
              <w:pStyle w:val="naisc"/>
              <w:spacing w:before="0" w:after="0"/>
              <w:jc w:val="both"/>
            </w:pPr>
            <w:r w:rsidRPr="002C4019">
              <w:rPr>
                <w:sz w:val="22"/>
                <w:szCs w:val="22"/>
              </w:rPr>
              <w:t>Precizēts Noteikumu projekta 2</w:t>
            </w:r>
            <w:r w:rsidR="00054DC1" w:rsidRPr="002C4019">
              <w:rPr>
                <w:sz w:val="22"/>
                <w:szCs w:val="22"/>
              </w:rPr>
              <w:t>.punkts šādā redakcijā:</w:t>
            </w:r>
          </w:p>
          <w:p w:rsidR="00054DC1" w:rsidRPr="002C4019" w:rsidRDefault="00941DE1" w:rsidP="00054DC1">
            <w:pPr>
              <w:tabs>
                <w:tab w:val="left" w:pos="426"/>
              </w:tabs>
              <w:jc w:val="both"/>
            </w:pPr>
            <w:r w:rsidRPr="002C4019">
              <w:rPr>
                <w:sz w:val="22"/>
                <w:szCs w:val="22"/>
              </w:rPr>
              <w:t>„2</w:t>
            </w:r>
            <w:r w:rsidR="00054DC1" w:rsidRPr="002C4019">
              <w:rPr>
                <w:sz w:val="22"/>
                <w:szCs w:val="22"/>
              </w:rPr>
              <w:t xml:space="preserve">. </w:t>
            </w:r>
            <w:r w:rsidRPr="002C4019">
              <w:rPr>
                <w:sz w:val="22"/>
                <w:szCs w:val="22"/>
              </w:rPr>
              <w:t>Svītrot 12. un 13</w:t>
            </w:r>
            <w:r w:rsidR="00054DC1" w:rsidRPr="002C4019">
              <w:rPr>
                <w:sz w:val="22"/>
                <w:szCs w:val="22"/>
              </w:rPr>
              <w:t>.punktu.”</w:t>
            </w:r>
            <w:r w:rsidR="003F3AC3">
              <w:rPr>
                <w:sz w:val="22"/>
                <w:szCs w:val="22"/>
              </w:rPr>
              <w:t>.</w:t>
            </w:r>
          </w:p>
          <w:p w:rsidR="0091622B" w:rsidRPr="002C4019" w:rsidRDefault="0091622B" w:rsidP="00287F0B">
            <w:pPr>
              <w:tabs>
                <w:tab w:val="left" w:pos="1134"/>
              </w:tabs>
              <w:jc w:val="both"/>
            </w:pPr>
          </w:p>
        </w:tc>
      </w:tr>
      <w:tr w:rsidR="007E162B" w:rsidRPr="002C4019" w:rsidTr="002C4019">
        <w:tc>
          <w:tcPr>
            <w:tcW w:w="175" w:type="pct"/>
            <w:tcBorders>
              <w:top w:val="single" w:sz="4" w:space="0" w:color="auto"/>
              <w:left w:val="single" w:sz="6" w:space="0" w:color="000000"/>
              <w:bottom w:val="single" w:sz="4" w:space="0" w:color="auto"/>
              <w:right w:val="single" w:sz="6" w:space="0" w:color="000000"/>
            </w:tcBorders>
            <w:shd w:val="clear" w:color="auto" w:fill="auto"/>
          </w:tcPr>
          <w:p w:rsidR="007E162B" w:rsidRPr="002C4019" w:rsidRDefault="00F47CEC" w:rsidP="00522905">
            <w:pPr>
              <w:pStyle w:val="naisc"/>
              <w:spacing w:before="0" w:after="0"/>
              <w:rPr>
                <w:lang w:eastAsia="en-US"/>
              </w:rPr>
            </w:pPr>
            <w:r w:rsidRPr="002C4019">
              <w:rPr>
                <w:sz w:val="22"/>
                <w:szCs w:val="22"/>
                <w:lang w:eastAsia="en-US"/>
              </w:rPr>
              <w:t>4.</w:t>
            </w:r>
          </w:p>
        </w:tc>
        <w:tc>
          <w:tcPr>
            <w:tcW w:w="1198" w:type="pct"/>
            <w:tcBorders>
              <w:top w:val="single" w:sz="4" w:space="0" w:color="auto"/>
              <w:left w:val="single" w:sz="6" w:space="0" w:color="000000"/>
              <w:bottom w:val="single" w:sz="4" w:space="0" w:color="auto"/>
              <w:right w:val="single" w:sz="6" w:space="0" w:color="000000"/>
            </w:tcBorders>
            <w:shd w:val="clear" w:color="auto" w:fill="auto"/>
            <w:hideMark/>
          </w:tcPr>
          <w:p w:rsidR="00BE72C1" w:rsidRPr="002C4019" w:rsidRDefault="00BE72C1" w:rsidP="00BE72C1">
            <w:pPr>
              <w:pStyle w:val="Kjene"/>
              <w:jc w:val="both"/>
            </w:pPr>
            <w:r w:rsidRPr="002C4019">
              <w:rPr>
                <w:sz w:val="22"/>
                <w:szCs w:val="22"/>
              </w:rPr>
              <w:t xml:space="preserve">Noteikumu projekta sākotnējās ietekmes </w:t>
            </w:r>
            <w:r w:rsidR="00F47CEC" w:rsidRPr="002C4019">
              <w:rPr>
                <w:sz w:val="22"/>
                <w:szCs w:val="22"/>
              </w:rPr>
              <w:t>novērtējuma ziņojuma (anotācijas) (turpmāk – anotācija) I sadaļas „Tiesību akta projekta izstrādes nepieciešamība” 2.punkts „Pašreizējā situācija un problēmas, kuru risināšanai tiesību akta projekts izstrādāts, tiesiskā regulējuma mērķis un būtība”</w:t>
            </w:r>
            <w:r w:rsidR="003F3AC3">
              <w:rPr>
                <w:sz w:val="22"/>
                <w:szCs w:val="22"/>
              </w:rPr>
              <w:t>.</w:t>
            </w:r>
          </w:p>
          <w:p w:rsidR="007E162B" w:rsidRPr="002C4019" w:rsidRDefault="007E162B" w:rsidP="00CF3B59">
            <w:pPr>
              <w:jc w:val="both"/>
              <w:rPr>
                <w:bCs/>
                <w:color w:val="000000"/>
              </w:rPr>
            </w:pPr>
          </w:p>
        </w:tc>
        <w:tc>
          <w:tcPr>
            <w:tcW w:w="1226" w:type="pct"/>
            <w:tcBorders>
              <w:top w:val="single" w:sz="4" w:space="0" w:color="auto"/>
              <w:left w:val="single" w:sz="6" w:space="0" w:color="000000"/>
              <w:bottom w:val="single" w:sz="4" w:space="0" w:color="auto"/>
              <w:right w:val="single" w:sz="6" w:space="0" w:color="000000"/>
            </w:tcBorders>
            <w:shd w:val="clear" w:color="auto" w:fill="auto"/>
            <w:hideMark/>
          </w:tcPr>
          <w:p w:rsidR="00BE72C1" w:rsidRPr="002C4019" w:rsidRDefault="00BE72C1" w:rsidP="00BE72C1">
            <w:pPr>
              <w:pStyle w:val="Komentrateksts"/>
              <w:widowControl w:val="0"/>
              <w:jc w:val="both"/>
              <w:rPr>
                <w:b/>
                <w:sz w:val="22"/>
                <w:szCs w:val="22"/>
              </w:rPr>
            </w:pPr>
            <w:r w:rsidRPr="002C4019">
              <w:rPr>
                <w:b/>
                <w:sz w:val="22"/>
                <w:szCs w:val="22"/>
              </w:rPr>
              <w:t>Finanšu ministrija</w:t>
            </w:r>
            <w:r w:rsidR="002C4019">
              <w:rPr>
                <w:b/>
                <w:sz w:val="22"/>
                <w:szCs w:val="22"/>
              </w:rPr>
              <w:t>:</w:t>
            </w:r>
          </w:p>
          <w:p w:rsidR="00BE72C1" w:rsidRPr="002C4019" w:rsidRDefault="00F47CEC" w:rsidP="00BE72C1">
            <w:pPr>
              <w:jc w:val="both"/>
            </w:pPr>
            <w:r w:rsidRPr="002C4019">
              <w:rPr>
                <w:sz w:val="22"/>
                <w:szCs w:val="22"/>
              </w:rPr>
              <w:t xml:space="preserve">Lūdzam papildināt anotācijas I sadaļas “Tiesību akta projekta izstrādes nepieciešamība” (turpmāk – I sadaļa) 2.punktu “Pašreizējā situācija un problēmas, kuru risināšanai tiesību akta projekts izstrādāts, tiesiskā regulējuma mērķis un būtība” </w:t>
            </w:r>
            <w:r w:rsidRPr="002C4019">
              <w:rPr>
                <w:sz w:val="22"/>
                <w:szCs w:val="22"/>
              </w:rPr>
              <w:br/>
              <w:t xml:space="preserve">(turpmāk – 2.punkts) ar detalizētāku </w:t>
            </w:r>
            <w:r w:rsidRPr="002C4019">
              <w:rPr>
                <w:sz w:val="22"/>
                <w:szCs w:val="22"/>
              </w:rPr>
              <w:lastRenderedPageBreak/>
              <w:t>un izvērstāku pamatojumu projekta īstenošanas termiņa pagarināšanai līdz Regulā Nr.1303/2013</w:t>
            </w:r>
            <w:r w:rsidRPr="002C4019">
              <w:rPr>
                <w:rStyle w:val="Vresatsauce"/>
                <w:sz w:val="22"/>
                <w:szCs w:val="22"/>
              </w:rPr>
              <w:footnoteReference w:id="2"/>
            </w:r>
            <w:r w:rsidRPr="002C4019">
              <w:rPr>
                <w:sz w:val="22"/>
                <w:szCs w:val="22"/>
              </w:rPr>
              <w:t xml:space="preserve"> noteiktajam maksimālajam projektu īstenošanas termiņam, proti, 2023.gada 31.decembrim. Papildus lūdzam skaidrot, kā ierosinātie grozījumi noteikumu projekta 3.punktā ietekmēs MK noteikumu Nr.188 9.punktā noteikto uzraudzības rādītāju sasniegšanas termiņu un vai ierosinātie grozījumi neradīs risku savlaicīgai rādītāju sasniegšanai. </w:t>
            </w:r>
          </w:p>
          <w:p w:rsidR="00ED74FB" w:rsidRPr="002C4019" w:rsidRDefault="00ED74FB">
            <w:pPr>
              <w:jc w:val="both"/>
              <w:rPr>
                <w:highlight w:val="yellow"/>
              </w:rPr>
            </w:pP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7E162B" w:rsidRPr="002C4019" w:rsidRDefault="007E162B" w:rsidP="007E162B">
            <w:pPr>
              <w:pStyle w:val="naisc"/>
              <w:spacing w:before="0" w:after="0"/>
              <w:ind w:firstLine="32"/>
              <w:rPr>
                <w:b/>
              </w:rPr>
            </w:pPr>
            <w:r w:rsidRPr="002C4019">
              <w:rPr>
                <w:b/>
                <w:sz w:val="22"/>
                <w:szCs w:val="22"/>
              </w:rPr>
              <w:lastRenderedPageBreak/>
              <w:t>Ņemts vērā</w:t>
            </w:r>
          </w:p>
          <w:p w:rsidR="007E162B" w:rsidRPr="002C4019" w:rsidRDefault="007E162B" w:rsidP="000E66EA">
            <w:pPr>
              <w:pStyle w:val="naisc"/>
              <w:spacing w:before="0" w:after="0"/>
              <w:ind w:firstLine="32"/>
              <w:rPr>
                <w:b/>
              </w:rPr>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287F0B" w:rsidRPr="002C4019" w:rsidRDefault="00287F0B" w:rsidP="00287F0B">
            <w:pPr>
              <w:jc w:val="both"/>
            </w:pPr>
            <w:r w:rsidRPr="002C4019">
              <w:rPr>
                <w:sz w:val="22"/>
                <w:szCs w:val="22"/>
              </w:rPr>
              <w:t>Papildināts anotācijas I sadaļas „Tiesību akta projekta izstrādes nepieciešamība” 2.punkts „Pašreizējā situācija un problēmas, kuru risināšanai tiesību akta projekts izstrādāts, tiesiskā regulējuma mērķis un būtība”</w:t>
            </w:r>
            <w:r w:rsidR="00645BF4" w:rsidRPr="002C4019">
              <w:rPr>
                <w:sz w:val="22"/>
                <w:szCs w:val="22"/>
              </w:rPr>
              <w:t xml:space="preserve"> šādā redakcijā</w:t>
            </w:r>
            <w:r w:rsidRPr="002C4019">
              <w:rPr>
                <w:sz w:val="22"/>
                <w:szCs w:val="22"/>
              </w:rPr>
              <w:t xml:space="preserve">: </w:t>
            </w:r>
          </w:p>
          <w:p w:rsidR="00FD5F20" w:rsidRPr="00B838FA" w:rsidRDefault="00FD5F20" w:rsidP="00FD5F20">
            <w:pPr>
              <w:jc w:val="both"/>
              <w:rPr>
                <w:iCs/>
              </w:rPr>
            </w:pPr>
            <w:r w:rsidRPr="002C4019">
              <w:rPr>
                <w:iCs/>
                <w:sz w:val="22"/>
                <w:szCs w:val="22"/>
              </w:rPr>
              <w:t>„Ņemot vērā to, ka VAS „Valsts nekusta</w:t>
            </w:r>
            <w:r w:rsidR="00F47CEC" w:rsidRPr="002C4019">
              <w:rPr>
                <w:iCs/>
                <w:sz w:val="22"/>
                <w:szCs w:val="22"/>
              </w:rPr>
              <w:t xml:space="preserve">mie īpašumi” (turpmāk – </w:t>
            </w:r>
            <w:r w:rsidR="00F47CEC" w:rsidRPr="002C4019">
              <w:rPr>
                <w:iCs/>
                <w:sz w:val="22"/>
                <w:szCs w:val="22"/>
              </w:rPr>
              <w:lastRenderedPageBreak/>
              <w:t xml:space="preserve">VNĪ) ar 2019.gada 10.oktobra vēstuli Nr.7/2-3/10684 ir informējuši par riskiem projekta „Veicināt Rīgas pilsētas revitalizāciju, nodrošinot teritorijas efektīvu sociālekonomisko izmantošanu” ietvaros projekta </w:t>
            </w:r>
            <w:r w:rsidR="00A07859" w:rsidRPr="002C4019">
              <w:rPr>
                <w:iCs/>
                <w:sz w:val="22"/>
                <w:szCs w:val="22"/>
              </w:rPr>
              <w:t>„</w:t>
            </w:r>
            <w:r w:rsidRPr="002C4019">
              <w:rPr>
                <w:iCs/>
                <w:sz w:val="22"/>
                <w:szCs w:val="22"/>
              </w:rPr>
              <w:t xml:space="preserve">Starpdisciplinārā izglītības, kultūras un radošo industriju atbalsta centra </w:t>
            </w:r>
            <w:r w:rsidR="00645BF4" w:rsidRPr="002C4019">
              <w:rPr>
                <w:iCs/>
                <w:sz w:val="22"/>
                <w:szCs w:val="22"/>
              </w:rPr>
              <w:t>„</w:t>
            </w:r>
            <w:proofErr w:type="spellStart"/>
            <w:r w:rsidRPr="002C4019">
              <w:rPr>
                <w:iCs/>
                <w:sz w:val="22"/>
                <w:szCs w:val="22"/>
              </w:rPr>
              <w:t>TabFab</w:t>
            </w:r>
            <w:proofErr w:type="spellEnd"/>
            <w:r w:rsidRPr="002C4019">
              <w:rPr>
                <w:iCs/>
                <w:sz w:val="22"/>
                <w:szCs w:val="22"/>
              </w:rPr>
              <w:t xml:space="preserve">” izveide nekustamajā īpašumā Miera ielā 58a, Rīgā” (turpmāk – </w:t>
            </w:r>
            <w:proofErr w:type="spellStart"/>
            <w:r w:rsidRPr="002C4019">
              <w:rPr>
                <w:iCs/>
                <w:sz w:val="22"/>
                <w:szCs w:val="22"/>
              </w:rPr>
              <w:t>TabFab</w:t>
            </w:r>
            <w:proofErr w:type="spellEnd"/>
            <w:r w:rsidRPr="002C4019">
              <w:rPr>
                <w:iCs/>
                <w:sz w:val="22"/>
                <w:szCs w:val="22"/>
              </w:rPr>
              <w:t xml:space="preserve"> </w:t>
            </w:r>
            <w:r w:rsidRPr="00B838FA">
              <w:rPr>
                <w:iCs/>
                <w:sz w:val="22"/>
                <w:szCs w:val="22"/>
              </w:rPr>
              <w:t>projekts) īstenošanā, norādot, ka:</w:t>
            </w:r>
          </w:p>
          <w:p w:rsidR="00FD5F20" w:rsidRPr="00B838FA" w:rsidRDefault="00FD5F20" w:rsidP="00B838FA">
            <w:pPr>
              <w:pStyle w:val="Sarakstarindkopa"/>
              <w:numPr>
                <w:ilvl w:val="0"/>
                <w:numId w:val="32"/>
              </w:numPr>
              <w:ind w:left="318" w:hanging="284"/>
              <w:jc w:val="both"/>
              <w:rPr>
                <w:rFonts w:ascii="Times New Roman" w:hAnsi="Times New Roman"/>
                <w:iCs/>
              </w:rPr>
            </w:pPr>
            <w:r w:rsidRPr="00B838FA">
              <w:rPr>
                <w:rFonts w:ascii="Times New Roman" w:hAnsi="Times New Roman"/>
                <w:iCs/>
              </w:rPr>
              <w:t>šobrīd Miera ielā 58a, Rīgā</w:t>
            </w:r>
            <w:r w:rsidR="00A07859" w:rsidRPr="00B838FA">
              <w:rPr>
                <w:rFonts w:ascii="Times New Roman" w:hAnsi="Times New Roman"/>
                <w:iCs/>
              </w:rPr>
              <w:t>,</w:t>
            </w:r>
            <w:r w:rsidRPr="00B838FA">
              <w:rPr>
                <w:rFonts w:ascii="Times New Roman" w:hAnsi="Times New Roman"/>
                <w:iCs/>
              </w:rPr>
              <w:t xml:space="preserve"> ir izvietots Jaunais Rīgas teātris (turpmāk</w:t>
            </w:r>
            <w:r w:rsidR="00B838FA" w:rsidRPr="00B838FA">
              <w:rPr>
                <w:rFonts w:ascii="Times New Roman" w:hAnsi="Times New Roman"/>
                <w:iCs/>
              </w:rPr>
              <w:t xml:space="preserve"> </w:t>
            </w:r>
            <w:r w:rsidR="00A07859" w:rsidRPr="00B838FA">
              <w:rPr>
                <w:rFonts w:ascii="Times New Roman" w:hAnsi="Times New Roman"/>
                <w:iCs/>
              </w:rPr>
              <w:t xml:space="preserve">– </w:t>
            </w:r>
            <w:r w:rsidRPr="00B838FA">
              <w:rPr>
                <w:rFonts w:ascii="Times New Roman" w:hAnsi="Times New Roman"/>
                <w:iCs/>
              </w:rPr>
              <w:t>JRT) kamēr tiek veikti rekonstrukcijas darbi JRT ēkā Lāčplēša ielā 25, Rīgā</w:t>
            </w:r>
            <w:r w:rsidR="00A07859" w:rsidRPr="00B838FA">
              <w:rPr>
                <w:rFonts w:ascii="Times New Roman" w:hAnsi="Times New Roman"/>
                <w:iCs/>
              </w:rPr>
              <w:t>,</w:t>
            </w:r>
            <w:r w:rsidRPr="00B838FA">
              <w:rPr>
                <w:rFonts w:ascii="Times New Roman" w:hAnsi="Times New Roman"/>
                <w:iCs/>
              </w:rPr>
              <w:t xml:space="preserve"> un tā kā abu projektu īstenošana ir savstarpēji saistīta, jo </w:t>
            </w:r>
            <w:proofErr w:type="spellStart"/>
            <w:r w:rsidRPr="00B838FA">
              <w:rPr>
                <w:rFonts w:ascii="Times New Roman" w:hAnsi="Times New Roman"/>
                <w:iCs/>
              </w:rPr>
              <w:t>TabFab</w:t>
            </w:r>
            <w:proofErr w:type="spellEnd"/>
            <w:r w:rsidRPr="00B838FA">
              <w:rPr>
                <w:rFonts w:ascii="Times New Roman" w:hAnsi="Times New Roman"/>
                <w:iCs/>
              </w:rPr>
              <w:t xml:space="preserve"> projekta ietvaros būvniecības darbus Miera ielā 58a, Rīgā</w:t>
            </w:r>
            <w:r w:rsidR="00A07859" w:rsidRPr="00B838FA">
              <w:rPr>
                <w:rFonts w:ascii="Times New Roman" w:hAnsi="Times New Roman"/>
                <w:iCs/>
              </w:rPr>
              <w:t>,</w:t>
            </w:r>
            <w:r w:rsidRPr="00B838FA">
              <w:rPr>
                <w:rFonts w:ascii="Times New Roman" w:hAnsi="Times New Roman"/>
                <w:iCs/>
              </w:rPr>
              <w:t xml:space="preserve"> būs iespējams uzsākt tikai pēc JRT atgriešanās telpās Lāčplēša ielā 25, Rīgā;</w:t>
            </w:r>
          </w:p>
          <w:p w:rsidR="00B064A4" w:rsidRPr="002C4019" w:rsidRDefault="00FD5F20" w:rsidP="00B064A4">
            <w:pPr>
              <w:pStyle w:val="Sarakstarindkopa"/>
              <w:numPr>
                <w:ilvl w:val="0"/>
                <w:numId w:val="32"/>
              </w:numPr>
              <w:ind w:left="319" w:hanging="284"/>
              <w:jc w:val="both"/>
              <w:rPr>
                <w:rFonts w:ascii="Times New Roman" w:eastAsia="Times New Roman" w:hAnsi="Times New Roman"/>
                <w:bCs/>
                <w:lang w:eastAsia="lv-LV"/>
              </w:rPr>
            </w:pPr>
            <w:r w:rsidRPr="00B838FA">
              <w:rPr>
                <w:rFonts w:ascii="Times New Roman" w:eastAsia="Times New Roman" w:hAnsi="Times New Roman"/>
                <w:iCs/>
                <w:lang w:eastAsia="lv-LV"/>
              </w:rPr>
              <w:t>VNĪ ir lauzis</w:t>
            </w:r>
            <w:r w:rsidRPr="002C4019">
              <w:rPr>
                <w:rFonts w:ascii="Times New Roman" w:eastAsia="Times New Roman" w:hAnsi="Times New Roman"/>
                <w:iCs/>
                <w:lang w:eastAsia="lv-LV"/>
              </w:rPr>
              <w:t xml:space="preserve"> līgumu ar JRT ēkas Lāčplēša ielā 25, Rīgā rekonstrukcijas būvnieku – pilnsabiedrību </w:t>
            </w:r>
            <w:r w:rsidR="00A07859" w:rsidRPr="002C4019">
              <w:rPr>
                <w:rFonts w:ascii="Times New Roman" w:eastAsia="Times New Roman" w:hAnsi="Times New Roman"/>
                <w:iCs/>
                <w:lang w:eastAsia="lv-LV"/>
              </w:rPr>
              <w:t>„</w:t>
            </w:r>
            <w:r w:rsidRPr="002C4019">
              <w:rPr>
                <w:rFonts w:ascii="Times New Roman" w:eastAsia="Times New Roman" w:hAnsi="Times New Roman"/>
                <w:iCs/>
                <w:lang w:eastAsia="lv-LV"/>
              </w:rPr>
              <w:t xml:space="preserve">RERE Būve 1”, un ir izsludināts jauns konkurss būvdarbiem ēkā Lāčplēša ielā </w:t>
            </w:r>
            <w:r w:rsidRPr="002C4019">
              <w:rPr>
                <w:rFonts w:ascii="Times New Roman" w:eastAsia="Times New Roman" w:hAnsi="Times New Roman"/>
                <w:iCs/>
                <w:lang w:eastAsia="lv-LV"/>
              </w:rPr>
              <w:lastRenderedPageBreak/>
              <w:t>25, Rīgā;</w:t>
            </w:r>
          </w:p>
          <w:p w:rsidR="00FD5F20" w:rsidRPr="002C4019" w:rsidRDefault="00F47CEC" w:rsidP="00B064A4">
            <w:pPr>
              <w:pStyle w:val="Sarakstarindkopa"/>
              <w:numPr>
                <w:ilvl w:val="0"/>
                <w:numId w:val="32"/>
              </w:numPr>
              <w:ind w:left="319" w:hanging="284"/>
              <w:jc w:val="both"/>
              <w:rPr>
                <w:rFonts w:ascii="Times New Roman" w:eastAsia="Times New Roman" w:hAnsi="Times New Roman"/>
                <w:bCs/>
                <w:lang w:eastAsia="lv-LV"/>
              </w:rPr>
            </w:pPr>
            <w:r w:rsidRPr="002C4019">
              <w:rPr>
                <w:rFonts w:ascii="Times New Roman" w:eastAsia="Times New Roman" w:hAnsi="Times New Roman"/>
                <w:iCs/>
                <w:lang w:eastAsia="lv-LV"/>
              </w:rPr>
              <w:t xml:space="preserve">pārskatīta </w:t>
            </w:r>
            <w:proofErr w:type="spellStart"/>
            <w:r w:rsidRPr="002C4019">
              <w:rPr>
                <w:rFonts w:ascii="Times New Roman" w:eastAsia="Times New Roman" w:hAnsi="Times New Roman"/>
                <w:iCs/>
                <w:lang w:eastAsia="lv-LV"/>
              </w:rPr>
              <w:t>TabFab</w:t>
            </w:r>
            <w:proofErr w:type="spellEnd"/>
            <w:r w:rsidRPr="002C4019">
              <w:rPr>
                <w:rFonts w:ascii="Times New Roman" w:eastAsia="Times New Roman" w:hAnsi="Times New Roman"/>
                <w:iCs/>
                <w:lang w:eastAsia="lv-LV"/>
              </w:rPr>
              <w:t xml:space="preserve"> projekta īstenošana </w:t>
            </w:r>
            <w:r w:rsidR="00B064A4" w:rsidRPr="002C4019">
              <w:rPr>
                <w:rFonts w:ascii="Times New Roman" w:hAnsi="Times New Roman"/>
                <w:iCs/>
              </w:rPr>
              <w:t xml:space="preserve">un </w:t>
            </w:r>
            <w:r w:rsidRPr="002C4019">
              <w:rPr>
                <w:rFonts w:ascii="Times New Roman" w:eastAsia="Times New Roman" w:hAnsi="Times New Roman"/>
                <w:iCs/>
                <w:lang w:eastAsia="lv-LV"/>
              </w:rPr>
              <w:t>secināts, ka projekta īstenošanas termiņš jāpagarina līdz 2023.gada 31.decembrim</w:t>
            </w:r>
            <w:r w:rsidR="00F95767" w:rsidRPr="002C4019">
              <w:rPr>
                <w:rFonts w:ascii="Times New Roman" w:eastAsia="Times New Roman" w:hAnsi="Times New Roman"/>
                <w:iCs/>
                <w:lang w:eastAsia="lv-LV"/>
              </w:rPr>
              <w:t>.</w:t>
            </w:r>
          </w:p>
          <w:p w:rsidR="009F057A" w:rsidRPr="002C4019" w:rsidRDefault="00FD5F20">
            <w:pPr>
              <w:ind w:firstLine="556"/>
              <w:jc w:val="both"/>
              <w:rPr>
                <w:iCs/>
              </w:rPr>
            </w:pPr>
            <w:r w:rsidRPr="002C4019">
              <w:rPr>
                <w:iCs/>
                <w:sz w:val="22"/>
                <w:szCs w:val="22"/>
              </w:rPr>
              <w:t>Projekts paredz pagarināt Noteikumu Nr.18</w:t>
            </w:r>
            <w:r w:rsidRPr="002C4019">
              <w:rPr>
                <w:bCs/>
                <w:iCs/>
                <w:sz w:val="22"/>
                <w:szCs w:val="22"/>
              </w:rPr>
              <w:t>8</w:t>
            </w:r>
            <w:r w:rsidRPr="002C4019">
              <w:rPr>
                <w:iCs/>
                <w:sz w:val="22"/>
                <w:szCs w:val="22"/>
              </w:rPr>
              <w:t xml:space="preserve"> 2</w:t>
            </w:r>
            <w:r w:rsidR="00F47CEC" w:rsidRPr="002C4019">
              <w:rPr>
                <w:iCs/>
                <w:sz w:val="22"/>
                <w:szCs w:val="22"/>
              </w:rPr>
              <w:t>0.punktā noteikto projekta īstenošanas gala termiņu no 2022.gada 31.decembra līdz 2023.gada 31.decembrim. Projekta īstenošanas gala termiņš noteikts ņemot vērā Eiropas Parlamenta un Padomes Regulas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III  nodaļas, 65.panta 2.punktā noteiktajam izdevumu atbilstības termiņam.</w:t>
            </w:r>
          </w:p>
          <w:p w:rsidR="009F057A" w:rsidRPr="002C4019" w:rsidRDefault="00FD5F20">
            <w:pPr>
              <w:ind w:firstLine="553"/>
              <w:jc w:val="both"/>
            </w:pPr>
            <w:r w:rsidRPr="002C4019">
              <w:rPr>
                <w:bCs/>
                <w:sz w:val="22"/>
                <w:szCs w:val="22"/>
              </w:rPr>
              <w:t xml:space="preserve">Nodrošinot projekta īstenošanas termiņa pagarinājumu, tiks mazināti riski Noteikumu Nr.188 9.1.apakšpunktā noteikto iznākuma rādītāju sasniegšanā. Savukārt, lai nodrošinātu </w:t>
            </w:r>
            <w:r w:rsidRPr="002C4019">
              <w:rPr>
                <w:bCs/>
                <w:sz w:val="22"/>
                <w:szCs w:val="22"/>
              </w:rPr>
              <w:lastRenderedPageBreak/>
              <w:t xml:space="preserve">9.2.apakšpunktā noteiktā rezultāta rādītāja „piesaistītas privātās investīcijas atbalstāmajās teritorijās trīs gadus pēc projekta pabeigšanas ne mazāk kā 210 000 </w:t>
            </w:r>
            <w:proofErr w:type="spellStart"/>
            <w:r w:rsidRPr="002C4019">
              <w:rPr>
                <w:bCs/>
                <w:sz w:val="22"/>
                <w:szCs w:val="22"/>
              </w:rPr>
              <w:t>000</w:t>
            </w:r>
            <w:proofErr w:type="spellEnd"/>
            <w:r w:rsidRPr="002C4019">
              <w:rPr>
                <w:bCs/>
                <w:sz w:val="22"/>
                <w:szCs w:val="22"/>
              </w:rPr>
              <w:t xml:space="preserve"> </w:t>
            </w:r>
            <w:proofErr w:type="spellStart"/>
            <w:r w:rsidRPr="002C4019">
              <w:rPr>
                <w:bCs/>
                <w:i/>
                <w:sz w:val="22"/>
                <w:szCs w:val="22"/>
              </w:rPr>
              <w:t>euro</w:t>
            </w:r>
            <w:proofErr w:type="spellEnd"/>
            <w:r w:rsidRPr="002C4019">
              <w:rPr>
                <w:bCs/>
                <w:sz w:val="22"/>
                <w:szCs w:val="22"/>
              </w:rPr>
              <w:t xml:space="preserve"> apmērā”</w:t>
            </w:r>
            <w:r w:rsidRPr="002C4019">
              <w:rPr>
                <w:sz w:val="22"/>
                <w:szCs w:val="22"/>
              </w:rPr>
              <w:t xml:space="preserve"> sasniegšanu, Kultūras ministrijai katru gadu par izmaiņām rezultāta rādītāja vērtībā (sākot ar 2018.gadu) iegūst informāciju no Rīgas domes.”</w:t>
            </w:r>
          </w:p>
        </w:tc>
      </w:tr>
      <w:tr w:rsidR="00287F0B" w:rsidRPr="002C4019" w:rsidTr="002C4019">
        <w:tc>
          <w:tcPr>
            <w:tcW w:w="175" w:type="pct"/>
            <w:tcBorders>
              <w:top w:val="single" w:sz="4" w:space="0" w:color="auto"/>
              <w:left w:val="single" w:sz="6" w:space="0" w:color="000000"/>
              <w:bottom w:val="single" w:sz="4" w:space="0" w:color="auto"/>
              <w:right w:val="single" w:sz="6" w:space="0" w:color="000000"/>
            </w:tcBorders>
            <w:shd w:val="clear" w:color="auto" w:fill="auto"/>
          </w:tcPr>
          <w:p w:rsidR="00287F0B" w:rsidRPr="002C4019" w:rsidRDefault="00F47CEC" w:rsidP="00522905">
            <w:pPr>
              <w:pStyle w:val="naisc"/>
              <w:spacing w:before="0" w:after="0"/>
              <w:rPr>
                <w:lang w:eastAsia="en-US"/>
              </w:rPr>
            </w:pPr>
            <w:r w:rsidRPr="002C4019">
              <w:rPr>
                <w:sz w:val="22"/>
                <w:szCs w:val="22"/>
                <w:lang w:eastAsia="en-US"/>
              </w:rPr>
              <w:lastRenderedPageBreak/>
              <w:t>5.</w:t>
            </w:r>
          </w:p>
        </w:tc>
        <w:tc>
          <w:tcPr>
            <w:tcW w:w="1198" w:type="pct"/>
            <w:tcBorders>
              <w:top w:val="single" w:sz="4" w:space="0" w:color="auto"/>
              <w:left w:val="single" w:sz="6" w:space="0" w:color="000000"/>
              <w:bottom w:val="single" w:sz="4" w:space="0" w:color="auto"/>
              <w:right w:val="single" w:sz="6" w:space="0" w:color="000000"/>
            </w:tcBorders>
            <w:shd w:val="clear" w:color="auto" w:fill="auto"/>
            <w:hideMark/>
          </w:tcPr>
          <w:p w:rsidR="00287F0B" w:rsidRPr="002C4019" w:rsidRDefault="006617C9" w:rsidP="00287F0B">
            <w:pPr>
              <w:pStyle w:val="Kjene"/>
              <w:jc w:val="both"/>
            </w:pPr>
            <w:r w:rsidRPr="002C4019">
              <w:rPr>
                <w:sz w:val="22"/>
                <w:szCs w:val="22"/>
              </w:rPr>
              <w:t>Anotācijas</w:t>
            </w:r>
            <w:r w:rsidR="00287F0B" w:rsidRPr="002C4019">
              <w:rPr>
                <w:sz w:val="22"/>
                <w:szCs w:val="22"/>
              </w:rPr>
              <w:t xml:space="preserve"> I sadaļas „Tiesību akta projekta izstrādes nepieciešamība” 2.punkts „Pašreizējā situācija un problēmas, kuru risināšanai tiesību akta projekts izstrādāts, tiesiskā regulējuma mērķis un būtība”</w:t>
            </w:r>
            <w:r w:rsidR="003F3AC3">
              <w:rPr>
                <w:sz w:val="22"/>
                <w:szCs w:val="22"/>
              </w:rPr>
              <w:t>.</w:t>
            </w:r>
          </w:p>
          <w:p w:rsidR="00287F0B" w:rsidRPr="002C4019" w:rsidRDefault="00287F0B" w:rsidP="00BE72C1">
            <w:pPr>
              <w:pStyle w:val="Kjene"/>
              <w:jc w:val="both"/>
            </w:pPr>
          </w:p>
        </w:tc>
        <w:tc>
          <w:tcPr>
            <w:tcW w:w="1226" w:type="pct"/>
            <w:tcBorders>
              <w:top w:val="single" w:sz="4" w:space="0" w:color="auto"/>
              <w:left w:val="single" w:sz="6" w:space="0" w:color="000000"/>
              <w:bottom w:val="single" w:sz="4" w:space="0" w:color="auto"/>
              <w:right w:val="single" w:sz="6" w:space="0" w:color="000000"/>
            </w:tcBorders>
            <w:shd w:val="clear" w:color="auto" w:fill="auto"/>
            <w:hideMark/>
          </w:tcPr>
          <w:p w:rsidR="00287F0B" w:rsidRPr="002C4019" w:rsidRDefault="00287F0B" w:rsidP="00287F0B">
            <w:pPr>
              <w:pStyle w:val="Komentrateksts"/>
              <w:widowControl w:val="0"/>
              <w:jc w:val="both"/>
              <w:rPr>
                <w:b/>
                <w:sz w:val="22"/>
                <w:szCs w:val="22"/>
              </w:rPr>
            </w:pPr>
            <w:r w:rsidRPr="002C4019">
              <w:rPr>
                <w:b/>
                <w:sz w:val="22"/>
                <w:szCs w:val="22"/>
              </w:rPr>
              <w:t>Finanšu ministrija</w:t>
            </w:r>
            <w:r w:rsidR="002C4019">
              <w:rPr>
                <w:b/>
                <w:sz w:val="22"/>
                <w:szCs w:val="22"/>
              </w:rPr>
              <w:t>:</w:t>
            </w:r>
          </w:p>
          <w:p w:rsidR="00287F0B" w:rsidRPr="002C4019" w:rsidRDefault="00F47CEC" w:rsidP="00287F0B">
            <w:pPr>
              <w:jc w:val="both"/>
            </w:pPr>
            <w:r w:rsidRPr="002C4019">
              <w:rPr>
                <w:sz w:val="22"/>
                <w:szCs w:val="22"/>
              </w:rPr>
              <w:t xml:space="preserve">Lūdzam papildināt anotāciju ar informāciju par noteikumu projekta </w:t>
            </w:r>
            <w:r w:rsidR="002C4019">
              <w:rPr>
                <w:sz w:val="22"/>
                <w:szCs w:val="22"/>
              </w:rPr>
              <w:t>ietekmi uz darbības programmas „</w:t>
            </w:r>
            <w:r w:rsidRPr="002C4019">
              <w:rPr>
                <w:sz w:val="22"/>
                <w:szCs w:val="22"/>
              </w:rPr>
              <w:t>Izaugsme un nodarb</w:t>
            </w:r>
            <w:r w:rsidR="003F3AC3">
              <w:rPr>
                <w:sz w:val="22"/>
                <w:szCs w:val="22"/>
              </w:rPr>
              <w:t>inātība” 5.prioritārā virziena „</w:t>
            </w:r>
            <w:r w:rsidRPr="002C4019">
              <w:rPr>
                <w:sz w:val="22"/>
                <w:szCs w:val="22"/>
              </w:rPr>
              <w:t xml:space="preserve">Vides aizsardzības un resursu izmantošanas efektivitāte” intervences kodiem. </w:t>
            </w:r>
          </w:p>
          <w:p w:rsidR="00287F0B" w:rsidRPr="002C4019" w:rsidRDefault="00287F0B" w:rsidP="00BE72C1">
            <w:pPr>
              <w:pStyle w:val="Komentrateksts"/>
              <w:widowControl w:val="0"/>
              <w:jc w:val="both"/>
              <w:rPr>
                <w:b/>
                <w:sz w:val="22"/>
                <w:szCs w:val="22"/>
              </w:rPr>
            </w:pP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287F0B" w:rsidRPr="002C4019" w:rsidRDefault="00287F0B" w:rsidP="007E162B">
            <w:pPr>
              <w:pStyle w:val="naisc"/>
              <w:spacing w:before="0" w:after="0"/>
              <w:ind w:firstLine="32"/>
              <w:rPr>
                <w:b/>
              </w:rPr>
            </w:pPr>
            <w:r w:rsidRPr="002C4019">
              <w:rPr>
                <w:b/>
                <w:sz w:val="22"/>
                <w:szCs w:val="22"/>
              </w:rPr>
              <w:t>Ņemts vērā</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6617C9" w:rsidRPr="002C4019" w:rsidRDefault="006617C9" w:rsidP="006617C9">
            <w:pPr>
              <w:jc w:val="both"/>
            </w:pPr>
            <w:r w:rsidRPr="002C4019">
              <w:rPr>
                <w:sz w:val="22"/>
                <w:szCs w:val="22"/>
              </w:rPr>
              <w:t xml:space="preserve">Papildināts anotācijas I sadaļas „Tiesību akta projekta izstrādes nepieciešamība” 2.punkts „Pašreizējā situācija un problēmas, kuru risināšanai tiesību akta projekts izstrādāts, tiesiskā regulējuma mērķis un būtība”: </w:t>
            </w:r>
          </w:p>
          <w:p w:rsidR="00287F0B" w:rsidRPr="002C4019" w:rsidRDefault="006617C9" w:rsidP="006617C9">
            <w:pPr>
              <w:jc w:val="both"/>
            </w:pPr>
            <w:r w:rsidRPr="002C4019">
              <w:rPr>
                <w:sz w:val="22"/>
                <w:szCs w:val="22"/>
              </w:rPr>
              <w:t xml:space="preserve">„Projektam nav ietekme uz darbības programmas </w:t>
            </w:r>
            <w:r w:rsidR="00F47CEC" w:rsidRPr="002C4019">
              <w:rPr>
                <w:sz w:val="22"/>
                <w:szCs w:val="22"/>
              </w:rPr>
              <w:t>„Izaugsme un nodarbinātība” 5.prioritārā virziena „Vides aizsardzības un resursu izmantošanas efektivitāte” intervences kodiem.”</w:t>
            </w:r>
            <w:r w:rsidR="00A07859" w:rsidRPr="002C4019">
              <w:rPr>
                <w:sz w:val="22"/>
                <w:szCs w:val="22"/>
              </w:rPr>
              <w:t>.</w:t>
            </w:r>
          </w:p>
        </w:tc>
      </w:tr>
      <w:tr w:rsidR="00466F18" w:rsidRPr="002C4019" w:rsidTr="002C4019">
        <w:tc>
          <w:tcPr>
            <w:tcW w:w="175" w:type="pct"/>
            <w:tcBorders>
              <w:top w:val="single" w:sz="4" w:space="0" w:color="auto"/>
              <w:left w:val="single" w:sz="6" w:space="0" w:color="000000"/>
              <w:bottom w:val="single" w:sz="4" w:space="0" w:color="auto"/>
              <w:right w:val="single" w:sz="6" w:space="0" w:color="000000"/>
            </w:tcBorders>
            <w:shd w:val="clear" w:color="auto" w:fill="auto"/>
          </w:tcPr>
          <w:p w:rsidR="00466F18" w:rsidRPr="002C4019" w:rsidRDefault="00F47CEC" w:rsidP="00522905">
            <w:pPr>
              <w:pStyle w:val="naisc"/>
              <w:spacing w:before="0" w:after="0"/>
              <w:rPr>
                <w:lang w:eastAsia="en-US"/>
              </w:rPr>
            </w:pPr>
            <w:r w:rsidRPr="002C4019">
              <w:rPr>
                <w:sz w:val="22"/>
                <w:szCs w:val="22"/>
                <w:lang w:eastAsia="en-US"/>
              </w:rPr>
              <w:t>6.</w:t>
            </w:r>
          </w:p>
        </w:tc>
        <w:tc>
          <w:tcPr>
            <w:tcW w:w="1198" w:type="pct"/>
            <w:tcBorders>
              <w:top w:val="single" w:sz="4" w:space="0" w:color="auto"/>
              <w:left w:val="single" w:sz="6" w:space="0" w:color="000000"/>
              <w:bottom w:val="single" w:sz="4" w:space="0" w:color="auto"/>
              <w:right w:val="single" w:sz="6" w:space="0" w:color="000000"/>
            </w:tcBorders>
            <w:shd w:val="clear" w:color="auto" w:fill="auto"/>
            <w:hideMark/>
          </w:tcPr>
          <w:p w:rsidR="00287F0B" w:rsidRPr="002C4019" w:rsidRDefault="00287F0B" w:rsidP="00287F0B">
            <w:pPr>
              <w:pStyle w:val="Kjene"/>
              <w:jc w:val="both"/>
            </w:pPr>
            <w:r w:rsidRPr="002C4019">
              <w:rPr>
                <w:sz w:val="22"/>
                <w:szCs w:val="22"/>
              </w:rPr>
              <w:t>Anotācija I sadaļas „Tiesību akta projekta izstrādes nepieciešamība” 2.punkts „Pašreizējā situācija un problēmas, kuru risināšanai tiesību akta projekts izstrādāts, tiesiskā regulējuma mērķis un būtība”</w:t>
            </w:r>
            <w:r w:rsidR="003F3AC3">
              <w:rPr>
                <w:sz w:val="22"/>
                <w:szCs w:val="22"/>
              </w:rPr>
              <w:t>.</w:t>
            </w:r>
          </w:p>
          <w:p w:rsidR="00466F18" w:rsidRPr="002C4019" w:rsidRDefault="00466F18" w:rsidP="00BE72C1">
            <w:pPr>
              <w:pStyle w:val="Kjene"/>
              <w:jc w:val="both"/>
              <w:rPr>
                <w:bCs/>
                <w:color w:val="000000"/>
              </w:rPr>
            </w:pPr>
          </w:p>
        </w:tc>
        <w:tc>
          <w:tcPr>
            <w:tcW w:w="1226" w:type="pct"/>
            <w:tcBorders>
              <w:top w:val="single" w:sz="4" w:space="0" w:color="auto"/>
              <w:left w:val="single" w:sz="6" w:space="0" w:color="000000"/>
              <w:bottom w:val="single" w:sz="4" w:space="0" w:color="auto"/>
              <w:right w:val="single" w:sz="6" w:space="0" w:color="000000"/>
            </w:tcBorders>
            <w:shd w:val="clear" w:color="auto" w:fill="auto"/>
            <w:hideMark/>
          </w:tcPr>
          <w:p w:rsidR="00BE72C1" w:rsidRPr="002C4019" w:rsidRDefault="00BE72C1" w:rsidP="00BE72C1">
            <w:pPr>
              <w:pStyle w:val="Komentrateksts"/>
              <w:widowControl w:val="0"/>
              <w:jc w:val="both"/>
              <w:rPr>
                <w:b/>
                <w:sz w:val="22"/>
                <w:szCs w:val="22"/>
              </w:rPr>
            </w:pPr>
            <w:r w:rsidRPr="002C4019">
              <w:rPr>
                <w:b/>
                <w:sz w:val="22"/>
                <w:szCs w:val="22"/>
              </w:rPr>
              <w:t>Finanšu ministrija</w:t>
            </w:r>
            <w:r w:rsidR="002C4019">
              <w:rPr>
                <w:b/>
                <w:sz w:val="22"/>
                <w:szCs w:val="22"/>
              </w:rPr>
              <w:t>:</w:t>
            </w:r>
          </w:p>
          <w:p w:rsidR="00BE72C1" w:rsidRPr="002C4019" w:rsidRDefault="002C4019" w:rsidP="00BE72C1">
            <w:pPr>
              <w:jc w:val="both"/>
            </w:pPr>
            <w:r>
              <w:rPr>
                <w:sz w:val="22"/>
                <w:szCs w:val="22"/>
              </w:rPr>
              <w:t>Lūdzam papildināt anotācijas I </w:t>
            </w:r>
            <w:r w:rsidR="00F47CEC" w:rsidRPr="002C4019">
              <w:rPr>
                <w:sz w:val="22"/>
                <w:szCs w:val="22"/>
              </w:rPr>
              <w:t xml:space="preserve">sadaļas 2.punktu ar detalizētu un izvērstu informāciju par noteikumu projekta ietekmi uz projektu iesniegumu atlasi, projektu iesniedzējiem, kā arī noslēgtajiem līgumiem. </w:t>
            </w:r>
          </w:p>
          <w:p w:rsidR="00466F18" w:rsidRPr="002C4019" w:rsidRDefault="00466F18" w:rsidP="00416868">
            <w:pPr>
              <w:jc w:val="both"/>
              <w:rPr>
                <w:b/>
              </w:rPr>
            </w:pP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2C4019" w:rsidRDefault="00C0025C">
            <w:pPr>
              <w:pStyle w:val="naisc"/>
              <w:spacing w:before="0" w:after="0"/>
              <w:ind w:firstLine="32"/>
              <w:rPr>
                <w:b/>
              </w:rPr>
            </w:pPr>
            <w:r w:rsidRPr="002C4019">
              <w:rPr>
                <w:b/>
                <w:sz w:val="22"/>
                <w:szCs w:val="22"/>
              </w:rPr>
              <w:t>Ņemts vērā</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EF1BFF" w:rsidRPr="002C4019" w:rsidRDefault="00EF1BFF" w:rsidP="00EF1BFF">
            <w:pPr>
              <w:jc w:val="both"/>
            </w:pPr>
            <w:r w:rsidRPr="002C4019">
              <w:rPr>
                <w:sz w:val="22"/>
                <w:szCs w:val="22"/>
              </w:rPr>
              <w:t xml:space="preserve">Papildināts anotācijas </w:t>
            </w:r>
            <w:r w:rsidR="00ED69C0" w:rsidRPr="002C4019">
              <w:rPr>
                <w:sz w:val="22"/>
                <w:szCs w:val="22"/>
              </w:rPr>
              <w:t xml:space="preserve">I sadaļas „Tiesību akta projekta izstrādes nepieciešamība” </w:t>
            </w:r>
            <w:r w:rsidRPr="002C4019">
              <w:rPr>
                <w:sz w:val="22"/>
                <w:szCs w:val="22"/>
              </w:rPr>
              <w:t xml:space="preserve">2.punkts „Pašreizējā situācija un problēmas, kuru risināšanai tiesību akta projekts izstrādāts, tiesiskā regulējuma mērķis un būtība”: </w:t>
            </w:r>
          </w:p>
          <w:p w:rsidR="009F057A" w:rsidRPr="002C4019" w:rsidRDefault="00443AAE">
            <w:pPr>
              <w:autoSpaceDE w:val="0"/>
              <w:autoSpaceDN w:val="0"/>
              <w:jc w:val="both"/>
              <w:rPr>
                <w:iCs/>
              </w:rPr>
            </w:pPr>
            <w:r w:rsidRPr="002C4019">
              <w:rPr>
                <w:iCs/>
                <w:sz w:val="22"/>
                <w:szCs w:val="22"/>
              </w:rPr>
              <w:t>„</w:t>
            </w:r>
            <w:r w:rsidR="00B446E1" w:rsidRPr="002C4019">
              <w:rPr>
                <w:iCs/>
                <w:sz w:val="22"/>
                <w:szCs w:val="22"/>
              </w:rPr>
              <w:t xml:space="preserve">Ņemot vērā to, ka 5.6.1.SAM ietvaros ir noslēgusies projektu iesniegumu atlase un tiek nodrošināta projektu iesniegumu īstenošana, Projektam nav ietekme uz 5.6.1.SAM projektu iesniegumu </w:t>
            </w:r>
            <w:r w:rsidR="00B446E1" w:rsidRPr="002C4019">
              <w:rPr>
                <w:iCs/>
                <w:sz w:val="22"/>
                <w:szCs w:val="22"/>
              </w:rPr>
              <w:lastRenderedPageBreak/>
              <w:t>atlasi un projektu iesniedzējiem.</w:t>
            </w:r>
          </w:p>
          <w:p w:rsidR="00466F18" w:rsidRPr="002C4019" w:rsidRDefault="00B446E1" w:rsidP="00ED69C0">
            <w:pPr>
              <w:jc w:val="both"/>
            </w:pPr>
            <w:r w:rsidRPr="002C4019">
              <w:rPr>
                <w:sz w:val="22"/>
                <w:szCs w:val="22"/>
              </w:rPr>
              <w:t>Uz 2019.gada 3.decembri vēl nav veikti grozījumi 5.5.1.SAM otrās atlases kārtas projekta Nr.5.5.1.0/17/I/010 „Jaunu dabas un kultūras tūrisma pakalpojumu radīšana Rīgas jūras līča rietumu piekrastē” izmaksās. Līdz ar to faktiski atbrīvotais finansējums, kuru iespējams pārdalīt no 5.5.1.SAM otrās atlases kārtas atlikumiem uz 5.6.1.SAM, ir 63</w:t>
            </w:r>
            <w:r w:rsidR="00A07859" w:rsidRPr="002C4019">
              <w:rPr>
                <w:sz w:val="22"/>
                <w:szCs w:val="22"/>
              </w:rPr>
              <w:t> </w:t>
            </w:r>
            <w:r w:rsidRPr="002C4019">
              <w:rPr>
                <w:sz w:val="22"/>
                <w:szCs w:val="22"/>
              </w:rPr>
              <w:t>805</w:t>
            </w:r>
            <w:r w:rsidR="00A07859" w:rsidRPr="002C4019">
              <w:rPr>
                <w:sz w:val="22"/>
                <w:szCs w:val="22"/>
              </w:rPr>
              <w:t> </w:t>
            </w:r>
            <w:r w:rsidRPr="002C4019">
              <w:rPr>
                <w:i/>
                <w:sz w:val="22"/>
                <w:szCs w:val="22"/>
              </w:rPr>
              <w:t>euro</w:t>
            </w:r>
            <w:r w:rsidRPr="002C4019">
              <w:rPr>
                <w:sz w:val="22"/>
                <w:szCs w:val="22"/>
              </w:rPr>
              <w:t>. Ņemot vērā minēto, Projekta pavadošai dokumentācijai ir pievienots Ministru kabineta sēdes protokollēmuma projekts, kas paredz uzdevumu Centrālai finanšu un līgumu aģentūrai veikt attiecīgus grozījumus līgumos</w:t>
            </w:r>
            <w:r w:rsidR="00A07859" w:rsidRPr="002C4019">
              <w:rPr>
                <w:sz w:val="22"/>
                <w:szCs w:val="22"/>
              </w:rPr>
              <w:t xml:space="preserve"> un </w:t>
            </w:r>
            <w:r w:rsidRPr="002C4019">
              <w:rPr>
                <w:sz w:val="22"/>
                <w:szCs w:val="22"/>
              </w:rPr>
              <w:t>vienošanās par projekta īstenošanu, lai nodrošinātu finansējuma atbrīvošanu.</w:t>
            </w:r>
            <w:r w:rsidR="00443AAE" w:rsidRPr="002C4019">
              <w:rPr>
                <w:sz w:val="22"/>
                <w:szCs w:val="22"/>
              </w:rPr>
              <w:t>”</w:t>
            </w:r>
            <w:r w:rsidR="00A07859" w:rsidRPr="002C4019">
              <w:rPr>
                <w:sz w:val="22"/>
                <w:szCs w:val="22"/>
              </w:rPr>
              <w:t>.</w:t>
            </w:r>
          </w:p>
        </w:tc>
      </w:tr>
      <w:tr w:rsidR="00F525DE" w:rsidRPr="002C4019" w:rsidTr="002C4019">
        <w:tc>
          <w:tcPr>
            <w:tcW w:w="175" w:type="pct"/>
            <w:tcBorders>
              <w:top w:val="single" w:sz="4" w:space="0" w:color="auto"/>
              <w:left w:val="single" w:sz="6" w:space="0" w:color="000000"/>
              <w:bottom w:val="single" w:sz="4" w:space="0" w:color="auto"/>
              <w:right w:val="single" w:sz="6" w:space="0" w:color="000000"/>
            </w:tcBorders>
            <w:shd w:val="clear" w:color="auto" w:fill="auto"/>
          </w:tcPr>
          <w:p w:rsidR="00F525DE" w:rsidRPr="002C4019" w:rsidRDefault="00F47CEC" w:rsidP="00522905">
            <w:pPr>
              <w:pStyle w:val="naisc"/>
              <w:spacing w:before="0" w:after="0"/>
              <w:rPr>
                <w:lang w:eastAsia="en-US"/>
              </w:rPr>
            </w:pPr>
            <w:r w:rsidRPr="002C4019">
              <w:rPr>
                <w:sz w:val="22"/>
                <w:szCs w:val="22"/>
                <w:lang w:eastAsia="en-US"/>
              </w:rPr>
              <w:lastRenderedPageBreak/>
              <w:t>7.</w:t>
            </w:r>
          </w:p>
        </w:tc>
        <w:tc>
          <w:tcPr>
            <w:tcW w:w="1198" w:type="pct"/>
            <w:tcBorders>
              <w:top w:val="single" w:sz="4" w:space="0" w:color="auto"/>
              <w:left w:val="single" w:sz="6" w:space="0" w:color="000000"/>
              <w:bottom w:val="single" w:sz="4" w:space="0" w:color="auto"/>
              <w:right w:val="single" w:sz="6" w:space="0" w:color="000000"/>
            </w:tcBorders>
            <w:shd w:val="clear" w:color="auto" w:fill="auto"/>
            <w:hideMark/>
          </w:tcPr>
          <w:p w:rsidR="00287F0B" w:rsidRPr="002C4019" w:rsidRDefault="00287F0B" w:rsidP="00287F0B">
            <w:pPr>
              <w:pStyle w:val="Kjene"/>
              <w:jc w:val="both"/>
            </w:pPr>
            <w:r w:rsidRPr="002C4019">
              <w:rPr>
                <w:bCs/>
                <w:color w:val="000000"/>
                <w:sz w:val="22"/>
                <w:szCs w:val="22"/>
              </w:rPr>
              <w:t xml:space="preserve">Anotācijas </w:t>
            </w:r>
            <w:r w:rsidRPr="002C4019">
              <w:rPr>
                <w:sz w:val="22"/>
                <w:szCs w:val="22"/>
              </w:rPr>
              <w:t>V sadaļas „Tiesību akta projekta atbilstība Latvijas Republikas star</w:t>
            </w:r>
            <w:r w:rsidR="00F47CEC" w:rsidRPr="002C4019">
              <w:rPr>
                <w:sz w:val="22"/>
                <w:szCs w:val="22"/>
              </w:rPr>
              <w:t>ptautiskajām saistībām” 1.tabula „Tiesību akta projekta atbilstība ES tiesību aktiem”:</w:t>
            </w:r>
          </w:p>
          <w:p w:rsidR="006617C9" w:rsidRPr="002C4019" w:rsidRDefault="006617C9" w:rsidP="006617C9">
            <w:pPr>
              <w:jc w:val="both"/>
            </w:pPr>
            <w:r w:rsidRPr="002C4019">
              <w:rPr>
                <w:sz w:val="22"/>
                <w:szCs w:val="22"/>
              </w:rPr>
              <w:t>„Attiecīgā ES tiesību akta datums, numurs un nosaukums</w:t>
            </w:r>
            <w:r w:rsidR="00F47CEC" w:rsidRPr="002C4019">
              <w:rPr>
                <w:sz w:val="22"/>
                <w:szCs w:val="22"/>
              </w:rPr>
              <w:t>: Regula Nr.1303/2013”.</w:t>
            </w:r>
          </w:p>
          <w:p w:rsidR="00F525DE" w:rsidRPr="002C4019" w:rsidRDefault="00F525DE" w:rsidP="00287F0B">
            <w:pPr>
              <w:autoSpaceDE w:val="0"/>
              <w:autoSpaceDN w:val="0"/>
              <w:jc w:val="both"/>
              <w:rPr>
                <w:rFonts w:eastAsiaTheme="minorHAnsi"/>
              </w:rPr>
            </w:pPr>
          </w:p>
        </w:tc>
        <w:tc>
          <w:tcPr>
            <w:tcW w:w="1226" w:type="pct"/>
            <w:tcBorders>
              <w:top w:val="single" w:sz="4" w:space="0" w:color="auto"/>
              <w:left w:val="single" w:sz="6" w:space="0" w:color="000000"/>
              <w:bottom w:val="single" w:sz="4" w:space="0" w:color="auto"/>
              <w:right w:val="single" w:sz="6" w:space="0" w:color="000000"/>
            </w:tcBorders>
            <w:shd w:val="clear" w:color="auto" w:fill="auto"/>
            <w:hideMark/>
          </w:tcPr>
          <w:p w:rsidR="00F525DE" w:rsidRPr="002C4019" w:rsidRDefault="00F47CEC" w:rsidP="00BE72C1">
            <w:pPr>
              <w:jc w:val="both"/>
              <w:rPr>
                <w:b/>
              </w:rPr>
            </w:pPr>
            <w:r w:rsidRPr="002C4019">
              <w:rPr>
                <w:b/>
                <w:sz w:val="22"/>
                <w:szCs w:val="22"/>
              </w:rPr>
              <w:t>Tieslietu ministrija</w:t>
            </w:r>
            <w:r w:rsidR="002C4019">
              <w:rPr>
                <w:b/>
                <w:sz w:val="22"/>
                <w:szCs w:val="22"/>
              </w:rPr>
              <w:t>:</w:t>
            </w:r>
          </w:p>
          <w:p w:rsidR="00BE72C1" w:rsidRPr="002C4019" w:rsidRDefault="00F47CEC" w:rsidP="00BE72C1">
            <w:pPr>
              <w:jc w:val="both"/>
            </w:pPr>
            <w:r w:rsidRPr="002C4019">
              <w:rPr>
                <w:sz w:val="22"/>
                <w:szCs w:val="22"/>
              </w:rPr>
              <w:t xml:space="preserve">Norādām, ka noteikumu projekta anotācijas V sadaļas 1.tabulā (turpmāk – Tabula) ir norādīts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w:t>
            </w:r>
            <w:r w:rsidRPr="002C4019">
              <w:rPr>
                <w:sz w:val="22"/>
                <w:szCs w:val="22"/>
              </w:rPr>
              <w:lastRenderedPageBreak/>
              <w:t xml:space="preserve">attīstības fondu, Eiropas Sociālo fondu, Kohēzijas fondu un Eiropas Jūrlietu un zivsaimniecības fondu un atceļ Padomes Regulu (EK) Nr.1083/2006 (turpmāk – </w:t>
            </w:r>
            <w:bookmarkStart w:id="2" w:name="_Hlk24620990"/>
            <w:r w:rsidRPr="002C4019">
              <w:rPr>
                <w:sz w:val="22"/>
                <w:szCs w:val="22"/>
              </w:rPr>
              <w:t>Regula Nr.1303/2013) 65.</w:t>
            </w:r>
            <w:r w:rsidR="00A07859" w:rsidRPr="002C4019">
              <w:rPr>
                <w:sz w:val="22"/>
                <w:szCs w:val="22"/>
              </w:rPr>
              <w:t>p</w:t>
            </w:r>
            <w:r w:rsidRPr="002C4019">
              <w:rPr>
                <w:sz w:val="22"/>
                <w:szCs w:val="22"/>
              </w:rPr>
              <w:t>anta 2</w:t>
            </w:r>
            <w:r w:rsidR="00A07859" w:rsidRPr="002C4019">
              <w:rPr>
                <w:sz w:val="22"/>
                <w:szCs w:val="22"/>
              </w:rPr>
              <w:t>.</w:t>
            </w:r>
            <w:r w:rsidRPr="002C4019">
              <w:rPr>
                <w:sz w:val="22"/>
                <w:szCs w:val="22"/>
              </w:rPr>
              <w:t>punkts</w:t>
            </w:r>
            <w:bookmarkEnd w:id="2"/>
            <w:r w:rsidRPr="002C4019">
              <w:rPr>
                <w:sz w:val="22"/>
                <w:szCs w:val="22"/>
              </w:rPr>
              <w:t xml:space="preserve">, kas ieviests tabulas B ailē norādītajā noteikumu projekta vienībā. Savukārt noteikumu projekta 3. punktā nav norādīta atsauce uz Tabulas A ailē norādīto Eiropas Savienības regulas normu. Vēršam uzmanību, ka Regulas Nr.1303/2013 65.panta 2.punkts regulē </w:t>
            </w:r>
            <w:bookmarkStart w:id="3" w:name="_Hlk24621634"/>
            <w:r w:rsidRPr="002C4019">
              <w:rPr>
                <w:sz w:val="22"/>
                <w:szCs w:val="22"/>
              </w:rPr>
              <w:t>izdevumu atbilstību un ilgumu</w:t>
            </w:r>
            <w:bookmarkEnd w:id="3"/>
            <w:r w:rsidRPr="002C4019">
              <w:rPr>
                <w:sz w:val="22"/>
                <w:szCs w:val="22"/>
              </w:rPr>
              <w:t xml:space="preserve">, tajā pašā laikā noteikumu projekta 3. punktā izteiktais Ministru kabineta 2016.gada 29.marta noteikumu Nr.188 </w:t>
            </w:r>
            <w:r w:rsidR="00A07859" w:rsidRPr="002C4019">
              <w:rPr>
                <w:sz w:val="22"/>
                <w:szCs w:val="22"/>
              </w:rPr>
              <w:t>„</w:t>
            </w:r>
            <w:r w:rsidRPr="002C4019">
              <w:rPr>
                <w:sz w:val="22"/>
                <w:szCs w:val="22"/>
              </w:rPr>
              <w:t xml:space="preserve">Darbības programmas </w:t>
            </w:r>
            <w:r w:rsidR="00A07859" w:rsidRPr="002C4019">
              <w:rPr>
                <w:sz w:val="22"/>
                <w:szCs w:val="22"/>
              </w:rPr>
              <w:t>„</w:t>
            </w:r>
            <w:r w:rsidRPr="002C4019">
              <w:rPr>
                <w:sz w:val="22"/>
                <w:szCs w:val="22"/>
              </w:rPr>
              <w:t>Izaugsme un nodarbinātība</w:t>
            </w:r>
            <w:r w:rsidR="00A07859" w:rsidRPr="002C4019">
              <w:rPr>
                <w:sz w:val="22"/>
                <w:szCs w:val="22"/>
              </w:rPr>
              <w:t>”</w:t>
            </w:r>
            <w:r w:rsidRPr="002C4019">
              <w:rPr>
                <w:sz w:val="22"/>
                <w:szCs w:val="22"/>
              </w:rPr>
              <w:t xml:space="preserve"> 5.6.1. specifiskā atbalsta mērķa </w:t>
            </w:r>
            <w:r w:rsidR="00A07859" w:rsidRPr="002C4019">
              <w:rPr>
                <w:sz w:val="22"/>
                <w:szCs w:val="22"/>
              </w:rPr>
              <w:t>„</w:t>
            </w:r>
            <w:r w:rsidRPr="002C4019">
              <w:rPr>
                <w:sz w:val="22"/>
                <w:szCs w:val="22"/>
              </w:rPr>
              <w:t>Veicināt Rīgas pilsētas revitalizāciju, nodrošinot teritorijas efektīvu sociālekonomisko izmantošanu</w:t>
            </w:r>
            <w:r w:rsidR="00A07859" w:rsidRPr="002C4019">
              <w:rPr>
                <w:sz w:val="22"/>
                <w:szCs w:val="22"/>
              </w:rPr>
              <w:t>”</w:t>
            </w:r>
            <w:r w:rsidRPr="002C4019">
              <w:rPr>
                <w:sz w:val="22"/>
                <w:szCs w:val="22"/>
              </w:rPr>
              <w:t xml:space="preserve"> īstenošanas noteikumi</w:t>
            </w:r>
            <w:r w:rsidR="00A07859" w:rsidRPr="002C4019">
              <w:rPr>
                <w:sz w:val="22"/>
                <w:szCs w:val="22"/>
              </w:rPr>
              <w:t>””</w:t>
            </w:r>
            <w:r w:rsidRPr="002C4019">
              <w:rPr>
                <w:sz w:val="22"/>
                <w:szCs w:val="22"/>
              </w:rPr>
              <w:t xml:space="preserve"> (turpmāk – Noteikumi) 20.punkts regulē projekta īstenošanas termiņu. Vēršam uzmanību, ka iepriekš minētais regulas vienības tvērums neatbilst Noteikumu 20.punkta tvērumam. Minētā regulas vienība būtu jāievieš </w:t>
            </w:r>
            <w:bookmarkStart w:id="4" w:name="_Hlk24621822"/>
            <w:r w:rsidRPr="002C4019">
              <w:rPr>
                <w:sz w:val="22"/>
                <w:szCs w:val="22"/>
              </w:rPr>
              <w:t xml:space="preserve">Noteikumu V nodaļā </w:t>
            </w:r>
            <w:bookmarkEnd w:id="4"/>
            <w:r w:rsidR="00DF716B" w:rsidRPr="002C4019">
              <w:rPr>
                <w:sz w:val="22"/>
                <w:szCs w:val="22"/>
              </w:rPr>
              <w:t>„</w:t>
            </w:r>
            <w:r w:rsidRPr="002C4019">
              <w:rPr>
                <w:sz w:val="22"/>
                <w:szCs w:val="22"/>
              </w:rPr>
              <w:t xml:space="preserve">Atbalstāmo darbību un izmaksu </w:t>
            </w:r>
            <w:proofErr w:type="spellStart"/>
            <w:r w:rsidRPr="002C4019">
              <w:rPr>
                <w:sz w:val="22"/>
                <w:szCs w:val="22"/>
              </w:rPr>
              <w:t>attiecināmības</w:t>
            </w:r>
            <w:proofErr w:type="spellEnd"/>
            <w:r w:rsidRPr="002C4019">
              <w:rPr>
                <w:sz w:val="22"/>
                <w:szCs w:val="22"/>
              </w:rPr>
              <w:t xml:space="preserve"> nosacījumi", jo šajā nodaļā tiek regulēta izdevumu atbilstību un ilgums. Papildus norādām, ka vienīgais regulu </w:t>
            </w:r>
            <w:r w:rsidRPr="002C4019">
              <w:rPr>
                <w:sz w:val="22"/>
                <w:szCs w:val="22"/>
              </w:rPr>
              <w:lastRenderedPageBreak/>
              <w:t xml:space="preserve">ieviešanas veids nacionālajos normatīvajos aktos ir atsauču veidošana uz tām atbilstoši Ministru kabineta 2009.gada 3.februāra noteikumu Nr.108 </w:t>
            </w:r>
            <w:r w:rsidR="00DF716B" w:rsidRPr="002C4019">
              <w:rPr>
                <w:sz w:val="22"/>
                <w:szCs w:val="22"/>
              </w:rPr>
              <w:t>„</w:t>
            </w:r>
            <w:r w:rsidRPr="002C4019">
              <w:rPr>
                <w:sz w:val="22"/>
                <w:szCs w:val="22"/>
              </w:rPr>
              <w:t>Normatīvo aktu projektu sagatavošanas noteikumi” 170.-172.punktam.</w:t>
            </w:r>
          </w:p>
          <w:p w:rsidR="00BE72C1" w:rsidRPr="002C4019" w:rsidRDefault="00F47CEC" w:rsidP="00DF716B">
            <w:pPr>
              <w:ind w:firstLine="567"/>
              <w:jc w:val="both"/>
            </w:pPr>
            <w:r w:rsidRPr="002C4019">
              <w:rPr>
                <w:sz w:val="22"/>
                <w:szCs w:val="22"/>
              </w:rPr>
              <w:t xml:space="preserve">Pamatojoties uz iepriekš minēto, lūdzam precizēt noteikumu projektu, to papildinot ar grozījumu Noteikumu V nodaļā, ar mērķi ieviest </w:t>
            </w:r>
            <w:bookmarkStart w:id="5" w:name="_Hlk24622133"/>
            <w:r w:rsidRPr="002C4019">
              <w:rPr>
                <w:sz w:val="22"/>
                <w:szCs w:val="22"/>
              </w:rPr>
              <w:t xml:space="preserve">Regulas Nr.1303/2013 </w:t>
            </w:r>
            <w:bookmarkEnd w:id="5"/>
            <w:r w:rsidRPr="002C4019">
              <w:rPr>
                <w:sz w:val="22"/>
                <w:szCs w:val="22"/>
              </w:rPr>
              <w:t>65.panta 2.punktu, vai arī izvērtēt nepieciešamību ieviest attiecīgo Eiropas Savienības regulas normu noteikumu projektā. Attiecīgi lūdzam precēt arī noteikumu projekta anotāciju.</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BE72C1" w:rsidRPr="002C4019" w:rsidRDefault="00BE72C1" w:rsidP="00BE72C1">
            <w:pPr>
              <w:pStyle w:val="naisc"/>
              <w:spacing w:before="0" w:after="0"/>
              <w:ind w:firstLine="32"/>
              <w:rPr>
                <w:b/>
              </w:rPr>
            </w:pPr>
            <w:r w:rsidRPr="002C4019">
              <w:rPr>
                <w:b/>
                <w:sz w:val="22"/>
                <w:szCs w:val="22"/>
              </w:rPr>
              <w:lastRenderedPageBreak/>
              <w:t>Ņemts vērā</w:t>
            </w:r>
          </w:p>
          <w:p w:rsidR="00F525DE" w:rsidRPr="002C4019" w:rsidRDefault="00F525DE">
            <w:pPr>
              <w:pStyle w:val="naisc"/>
              <w:spacing w:before="0" w:after="0"/>
              <w:ind w:firstLine="32"/>
              <w:rPr>
                <w:b/>
              </w:rPr>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9367E8" w:rsidRPr="002C4019" w:rsidRDefault="00287F0B" w:rsidP="009367E8">
            <w:pPr>
              <w:jc w:val="both"/>
            </w:pPr>
            <w:r w:rsidRPr="002C4019">
              <w:rPr>
                <w:bCs/>
                <w:color w:val="000000"/>
                <w:sz w:val="22"/>
                <w:szCs w:val="22"/>
              </w:rPr>
              <w:t xml:space="preserve">Precizēta anotācijas </w:t>
            </w:r>
            <w:r w:rsidRPr="002C4019">
              <w:rPr>
                <w:sz w:val="22"/>
                <w:szCs w:val="22"/>
              </w:rPr>
              <w:t>V sadaļas „Tiesību akta projekta atbilstība Latvijas Republikas starptauti</w:t>
            </w:r>
            <w:r w:rsidR="00F47CEC" w:rsidRPr="002C4019">
              <w:rPr>
                <w:sz w:val="22"/>
                <w:szCs w:val="22"/>
              </w:rPr>
              <w:t>skajām saistībām” 1.tabulā „Tiesību akta projekta atbilstība ES tiesību aktiem”, svītrojot atsauci uz Regulu Nr.1303/2013”.</w:t>
            </w:r>
          </w:p>
          <w:p w:rsidR="00287F0B" w:rsidRPr="002C4019" w:rsidRDefault="00287F0B" w:rsidP="00287F0B">
            <w:pPr>
              <w:pStyle w:val="Kjene"/>
              <w:jc w:val="both"/>
            </w:pPr>
          </w:p>
          <w:p w:rsidR="00F525DE" w:rsidRPr="002C4019" w:rsidRDefault="00F525DE" w:rsidP="00286BD2">
            <w:pPr>
              <w:jc w:val="both"/>
            </w:pPr>
          </w:p>
        </w:tc>
      </w:tr>
    </w:tbl>
    <w:p w:rsidR="00FB2C3F" w:rsidRPr="002C4019" w:rsidRDefault="00FB2C3F" w:rsidP="00522905">
      <w:pPr>
        <w:outlineLvl w:val="0"/>
        <w:rPr>
          <w:sz w:val="22"/>
          <w:szCs w:val="22"/>
        </w:rPr>
      </w:pPr>
    </w:p>
    <w:p w:rsidR="00DF716B" w:rsidRPr="002C4019" w:rsidRDefault="00DF716B" w:rsidP="00522905">
      <w:pPr>
        <w:outlineLvl w:val="0"/>
        <w:rPr>
          <w:sz w:val="22"/>
          <w:szCs w:val="22"/>
        </w:rPr>
      </w:pPr>
    </w:p>
    <w:p w:rsidR="004D5C5B" w:rsidRPr="002C4019" w:rsidRDefault="00B838FA">
      <w:pPr>
        <w:outlineLvl w:val="0"/>
        <w:rPr>
          <w:sz w:val="20"/>
          <w:szCs w:val="20"/>
        </w:rPr>
      </w:pPr>
      <w:r>
        <w:rPr>
          <w:sz w:val="20"/>
          <w:szCs w:val="20"/>
        </w:rPr>
        <w:t xml:space="preserve">Linda </w:t>
      </w:r>
      <w:r w:rsidR="00102ED6" w:rsidRPr="002C4019">
        <w:rPr>
          <w:sz w:val="20"/>
          <w:szCs w:val="20"/>
        </w:rPr>
        <w:t>Krūmiņa</w:t>
      </w:r>
    </w:p>
    <w:p w:rsidR="004D5C5B" w:rsidRPr="002C4019" w:rsidRDefault="00F47CEC">
      <w:pPr>
        <w:rPr>
          <w:iCs/>
          <w:sz w:val="20"/>
          <w:szCs w:val="20"/>
        </w:rPr>
      </w:pPr>
      <w:r w:rsidRPr="002C4019">
        <w:rPr>
          <w:iCs/>
          <w:sz w:val="20"/>
          <w:szCs w:val="20"/>
        </w:rPr>
        <w:t xml:space="preserve">Kultūras ministrijas </w:t>
      </w:r>
    </w:p>
    <w:p w:rsidR="004D5C5B" w:rsidRPr="002C4019" w:rsidRDefault="00F47CEC">
      <w:pPr>
        <w:rPr>
          <w:iCs/>
          <w:sz w:val="20"/>
          <w:szCs w:val="20"/>
        </w:rPr>
      </w:pPr>
      <w:r w:rsidRPr="002C4019">
        <w:rPr>
          <w:iCs/>
          <w:sz w:val="20"/>
          <w:szCs w:val="20"/>
        </w:rPr>
        <w:t xml:space="preserve">Eiropas Savienības fondu departamenta </w:t>
      </w:r>
    </w:p>
    <w:p w:rsidR="004D5C5B" w:rsidRPr="002C4019" w:rsidRDefault="00F47CEC">
      <w:pPr>
        <w:rPr>
          <w:iCs/>
          <w:sz w:val="20"/>
          <w:szCs w:val="20"/>
        </w:rPr>
      </w:pPr>
      <w:r w:rsidRPr="002C4019">
        <w:rPr>
          <w:iCs/>
          <w:sz w:val="20"/>
          <w:szCs w:val="20"/>
        </w:rPr>
        <w:t>Finanšu instrumentu attīstības nodaļas vecākā referente</w:t>
      </w:r>
    </w:p>
    <w:p w:rsidR="007E2DE0" w:rsidRPr="002C4019" w:rsidRDefault="00F47CEC">
      <w:pPr>
        <w:tabs>
          <w:tab w:val="left" w:pos="6804"/>
        </w:tabs>
        <w:rPr>
          <w:color w:val="000000"/>
          <w:sz w:val="20"/>
          <w:szCs w:val="20"/>
        </w:rPr>
      </w:pPr>
      <w:bookmarkStart w:id="6" w:name="OLE_LINK7"/>
      <w:bookmarkStart w:id="7" w:name="OLE_LINK8"/>
      <w:r w:rsidRPr="002C4019">
        <w:rPr>
          <w:sz w:val="20"/>
          <w:szCs w:val="20"/>
        </w:rPr>
        <w:t>Tālr. 67330319; fakss 67330293</w:t>
      </w:r>
    </w:p>
    <w:p w:rsidR="007E2DE0" w:rsidRPr="002C4019" w:rsidRDefault="00144CE6">
      <w:pPr>
        <w:tabs>
          <w:tab w:val="left" w:pos="3836"/>
          <w:tab w:val="left" w:pos="6840"/>
        </w:tabs>
        <w:jc w:val="both"/>
        <w:rPr>
          <w:sz w:val="20"/>
          <w:szCs w:val="20"/>
        </w:rPr>
      </w:pPr>
      <w:hyperlink r:id="rId9" w:history="1">
        <w:r w:rsidR="00F47CEC" w:rsidRPr="002C4019">
          <w:rPr>
            <w:rStyle w:val="Hipersaite"/>
            <w:sz w:val="20"/>
            <w:szCs w:val="20"/>
          </w:rPr>
          <w:t>Linda.Krumina@km.gov.lv</w:t>
        </w:r>
      </w:hyperlink>
      <w:bookmarkEnd w:id="6"/>
      <w:bookmarkEnd w:id="7"/>
    </w:p>
    <w:sectPr w:rsidR="007E2DE0" w:rsidRPr="002C4019" w:rsidSect="009922AC">
      <w:headerReference w:type="default" r:id="rId10"/>
      <w:footerReference w:type="default" r:id="rId11"/>
      <w:footerReference w:type="first" r:id="rId12"/>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019" w:rsidRDefault="002C4019" w:rsidP="00F64DE4">
      <w:r>
        <w:separator/>
      </w:r>
    </w:p>
  </w:endnote>
  <w:endnote w:type="continuationSeparator" w:id="0">
    <w:p w:rsidR="002C4019" w:rsidRDefault="002C4019"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19" w:rsidRDefault="002C4019">
    <w:pPr>
      <w:pStyle w:val="Kjene"/>
    </w:pPr>
    <w:r>
      <w:rPr>
        <w:sz w:val="20"/>
        <w:szCs w:val="20"/>
      </w:rPr>
      <w:t>KMIzz_161219</w:t>
    </w:r>
    <w:r w:rsidRPr="00F077D7">
      <w:rPr>
        <w:sz w:val="20"/>
        <w:szCs w:val="20"/>
      </w:rPr>
      <w:t>_</w:t>
    </w:r>
    <w:r>
      <w:rPr>
        <w:sz w:val="20"/>
        <w:szCs w:val="20"/>
      </w:rPr>
      <w:t>551SAM_188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19" w:rsidRDefault="002C4019">
    <w:pPr>
      <w:pStyle w:val="Kjene"/>
    </w:pPr>
    <w:r>
      <w:rPr>
        <w:sz w:val="20"/>
        <w:szCs w:val="20"/>
      </w:rPr>
      <w:t>KMIzz_161219</w:t>
    </w:r>
    <w:r w:rsidRPr="00F077D7">
      <w:rPr>
        <w:sz w:val="20"/>
        <w:szCs w:val="20"/>
      </w:rPr>
      <w:t>_</w:t>
    </w:r>
    <w:r>
      <w:rPr>
        <w:sz w:val="20"/>
        <w:szCs w:val="20"/>
      </w:rPr>
      <w:t>551SAM_188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019" w:rsidRDefault="002C4019" w:rsidP="00F64DE4">
      <w:r>
        <w:separator/>
      </w:r>
    </w:p>
  </w:footnote>
  <w:footnote w:type="continuationSeparator" w:id="0">
    <w:p w:rsidR="002C4019" w:rsidRDefault="002C4019" w:rsidP="00F64DE4">
      <w:r>
        <w:continuationSeparator/>
      </w:r>
    </w:p>
  </w:footnote>
  <w:footnote w:id="1">
    <w:p w:rsidR="002C4019" w:rsidRDefault="002C4019" w:rsidP="00BE72C1">
      <w:pPr>
        <w:pStyle w:val="Vresteksts"/>
      </w:pPr>
      <w:r>
        <w:rPr>
          <w:rStyle w:val="Vresatsauce"/>
        </w:rPr>
        <w:footnoteRef/>
      </w:r>
      <w:r>
        <w:t xml:space="preserve"> </w:t>
      </w:r>
      <w:r w:rsidRPr="00443AAE">
        <w:rPr>
          <w:lang w:val="lv-LV"/>
        </w:rPr>
        <w:t>MK 2016.gada 29.marta noteikumi Nr.188 “Darbības programmas “Izaugsme un nodarbinātība” 5.6.1.specifiskā atbalsta mērķa “Veicināt Rīgas pilsētas revitalizāciju, nodrošinot teritorijas efektīvu sociālekonomisko izmantošanu” īstenošanas noteikumi”.</w:t>
      </w:r>
    </w:p>
  </w:footnote>
  <w:footnote w:id="2">
    <w:p w:rsidR="002C4019" w:rsidRDefault="002C4019">
      <w:pPr>
        <w:autoSpaceDE w:val="0"/>
        <w:autoSpaceDN w:val="0"/>
        <w:jc w:val="both"/>
        <w:rPr>
          <w:iCs/>
          <w:sz w:val="20"/>
        </w:rPr>
      </w:pPr>
      <w:r w:rsidRPr="00FF113C">
        <w:rPr>
          <w:rStyle w:val="Vresatsauce"/>
          <w:sz w:val="20"/>
        </w:rPr>
        <w:footnoteRef/>
      </w:r>
      <w:r w:rsidRPr="00FF113C">
        <w:rPr>
          <w:sz w:val="20"/>
        </w:rPr>
        <w:t xml:space="preserve"> </w:t>
      </w:r>
      <w:r w:rsidRPr="00FF113C">
        <w:rPr>
          <w:iCs/>
          <w:sz w:val="20"/>
        </w:rPr>
        <w:t xml:space="preserve">Eiropas Parlamenta un Padomes Regulas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Pr>
          <w:iCs/>
          <w:sz w:val="20"/>
        </w:rPr>
        <w:t>III  nodaļas, 65.panta 2.punkts.</w:t>
      </w:r>
    </w:p>
    <w:p w:rsidR="002C4019" w:rsidRDefault="002C4019">
      <w:pPr>
        <w:pStyle w:val="Vresteksts"/>
        <w:tabs>
          <w:tab w:val="left" w:pos="12165"/>
        </w:tabs>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2C4019" w:rsidRDefault="00144CE6">
        <w:pPr>
          <w:pStyle w:val="Galvene"/>
          <w:jc w:val="center"/>
        </w:pPr>
        <w:r w:rsidRPr="00196278">
          <w:rPr>
            <w:sz w:val="22"/>
            <w:szCs w:val="22"/>
          </w:rPr>
          <w:fldChar w:fldCharType="begin"/>
        </w:r>
        <w:r w:rsidR="002C4019" w:rsidRPr="00196278">
          <w:rPr>
            <w:sz w:val="22"/>
            <w:szCs w:val="22"/>
          </w:rPr>
          <w:instrText xml:space="preserve"> PAGE   \* MERGEFORMAT </w:instrText>
        </w:r>
        <w:r w:rsidRPr="00196278">
          <w:rPr>
            <w:sz w:val="22"/>
            <w:szCs w:val="22"/>
          </w:rPr>
          <w:fldChar w:fldCharType="separate"/>
        </w:r>
        <w:r w:rsidR="009E15A9">
          <w:rPr>
            <w:noProof/>
            <w:sz w:val="22"/>
            <w:szCs w:val="22"/>
          </w:rPr>
          <w:t>2</w:t>
        </w:r>
        <w:r w:rsidRPr="00196278">
          <w:rPr>
            <w:sz w:val="22"/>
            <w:szCs w:val="22"/>
          </w:rPr>
          <w:fldChar w:fldCharType="end"/>
        </w:r>
      </w:p>
    </w:sdtContent>
  </w:sdt>
  <w:p w:rsidR="002C4019" w:rsidRDefault="002C401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5E5"/>
    <w:multiLevelType w:val="hybridMultilevel"/>
    <w:tmpl w:val="28DE11A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4C07B47"/>
    <w:multiLevelType w:val="hybridMultilevel"/>
    <w:tmpl w:val="EEC83418"/>
    <w:lvl w:ilvl="0" w:tplc="0426000F">
      <w:start w:val="1"/>
      <w:numFmt w:val="decimal"/>
      <w:lvlText w:val="%1."/>
      <w:lvlJc w:val="left"/>
      <w:pPr>
        <w:ind w:left="5606"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71E3140"/>
    <w:multiLevelType w:val="hybridMultilevel"/>
    <w:tmpl w:val="ACF4B8DA"/>
    <w:lvl w:ilvl="0" w:tplc="2654BB82">
      <w:start w:val="1"/>
      <w:numFmt w:val="decimal"/>
      <w:lvlText w:val="%1."/>
      <w:lvlJc w:val="left"/>
      <w:pPr>
        <w:ind w:left="720" w:hanging="360"/>
      </w:pPr>
    </w:lvl>
    <w:lvl w:ilvl="1" w:tplc="FE7698AA">
      <w:start w:val="1"/>
      <w:numFmt w:val="lowerLetter"/>
      <w:lvlText w:val="%2."/>
      <w:lvlJc w:val="left"/>
      <w:pPr>
        <w:ind w:left="1440" w:hanging="360"/>
      </w:pPr>
    </w:lvl>
    <w:lvl w:ilvl="2" w:tplc="3E5CD950">
      <w:start w:val="1"/>
      <w:numFmt w:val="lowerRoman"/>
      <w:lvlText w:val="%3."/>
      <w:lvlJc w:val="right"/>
      <w:pPr>
        <w:ind w:left="2160" w:hanging="180"/>
      </w:pPr>
    </w:lvl>
    <w:lvl w:ilvl="3" w:tplc="7BD4109E">
      <w:start w:val="1"/>
      <w:numFmt w:val="decimal"/>
      <w:lvlText w:val="%4."/>
      <w:lvlJc w:val="left"/>
      <w:pPr>
        <w:ind w:left="2880" w:hanging="360"/>
      </w:pPr>
    </w:lvl>
    <w:lvl w:ilvl="4" w:tplc="E8F0F030">
      <w:start w:val="1"/>
      <w:numFmt w:val="lowerLetter"/>
      <w:lvlText w:val="%5."/>
      <w:lvlJc w:val="left"/>
      <w:pPr>
        <w:ind w:left="3600" w:hanging="360"/>
      </w:pPr>
    </w:lvl>
    <w:lvl w:ilvl="5" w:tplc="2A765ACE">
      <w:start w:val="1"/>
      <w:numFmt w:val="lowerRoman"/>
      <w:lvlText w:val="%6."/>
      <w:lvlJc w:val="right"/>
      <w:pPr>
        <w:ind w:left="4320" w:hanging="180"/>
      </w:pPr>
    </w:lvl>
    <w:lvl w:ilvl="6" w:tplc="0A6290A6">
      <w:start w:val="1"/>
      <w:numFmt w:val="decimal"/>
      <w:lvlText w:val="%7."/>
      <w:lvlJc w:val="left"/>
      <w:pPr>
        <w:ind w:left="5040" w:hanging="360"/>
      </w:pPr>
    </w:lvl>
    <w:lvl w:ilvl="7" w:tplc="DAEE83DC">
      <w:start w:val="1"/>
      <w:numFmt w:val="lowerLetter"/>
      <w:lvlText w:val="%8."/>
      <w:lvlJc w:val="left"/>
      <w:pPr>
        <w:ind w:left="5760" w:hanging="360"/>
      </w:pPr>
    </w:lvl>
    <w:lvl w:ilvl="8" w:tplc="228A6E34">
      <w:start w:val="1"/>
      <w:numFmt w:val="lowerRoman"/>
      <w:lvlText w:val="%9."/>
      <w:lvlJc w:val="right"/>
      <w:pPr>
        <w:ind w:left="6480" w:hanging="180"/>
      </w:pPr>
    </w:lvl>
  </w:abstractNum>
  <w:abstractNum w:abstractNumId="3">
    <w:nsid w:val="084334CC"/>
    <w:multiLevelType w:val="hybridMultilevel"/>
    <w:tmpl w:val="F29C03D2"/>
    <w:lvl w:ilvl="0" w:tplc="F808E130">
      <w:start w:val="1"/>
      <w:numFmt w:val="decimal"/>
      <w:lvlText w:val="%1)"/>
      <w:lvlJc w:val="left"/>
      <w:pPr>
        <w:ind w:left="780" w:hanging="360"/>
      </w:pPr>
      <w:rPr>
        <w:rFonts w:ascii="Times New Roman" w:eastAsia="Times New Roman"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6">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4C17021"/>
    <w:multiLevelType w:val="hybridMultilevel"/>
    <w:tmpl w:val="F8FC7E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8C39C1"/>
    <w:multiLevelType w:val="hybridMultilevel"/>
    <w:tmpl w:val="CB0637B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4">
    <w:nsid w:val="28410C68"/>
    <w:multiLevelType w:val="hybridMultilevel"/>
    <w:tmpl w:val="250C896A"/>
    <w:lvl w:ilvl="0" w:tplc="28C8FEE4">
      <w:start w:val="1"/>
      <w:numFmt w:val="decimal"/>
      <w:lvlText w:val="%1."/>
      <w:lvlJc w:val="left"/>
      <w:pPr>
        <w:ind w:left="720" w:hanging="360"/>
      </w:pPr>
    </w:lvl>
    <w:lvl w:ilvl="1" w:tplc="2F4CEA7E" w:tentative="1">
      <w:start w:val="1"/>
      <w:numFmt w:val="lowerLetter"/>
      <w:lvlText w:val="%2."/>
      <w:lvlJc w:val="left"/>
      <w:pPr>
        <w:ind w:left="1440" w:hanging="360"/>
      </w:pPr>
    </w:lvl>
    <w:lvl w:ilvl="2" w:tplc="8B082CC6" w:tentative="1">
      <w:start w:val="1"/>
      <w:numFmt w:val="lowerRoman"/>
      <w:lvlText w:val="%3."/>
      <w:lvlJc w:val="right"/>
      <w:pPr>
        <w:ind w:left="2160" w:hanging="180"/>
      </w:pPr>
    </w:lvl>
    <w:lvl w:ilvl="3" w:tplc="FAD2E09E" w:tentative="1">
      <w:start w:val="1"/>
      <w:numFmt w:val="decimal"/>
      <w:lvlText w:val="%4."/>
      <w:lvlJc w:val="left"/>
      <w:pPr>
        <w:ind w:left="2880" w:hanging="360"/>
      </w:pPr>
    </w:lvl>
    <w:lvl w:ilvl="4" w:tplc="A5B83256" w:tentative="1">
      <w:start w:val="1"/>
      <w:numFmt w:val="lowerLetter"/>
      <w:lvlText w:val="%5."/>
      <w:lvlJc w:val="left"/>
      <w:pPr>
        <w:ind w:left="3600" w:hanging="360"/>
      </w:pPr>
    </w:lvl>
    <w:lvl w:ilvl="5" w:tplc="653C0C3A" w:tentative="1">
      <w:start w:val="1"/>
      <w:numFmt w:val="lowerRoman"/>
      <w:lvlText w:val="%6."/>
      <w:lvlJc w:val="right"/>
      <w:pPr>
        <w:ind w:left="4320" w:hanging="180"/>
      </w:pPr>
    </w:lvl>
    <w:lvl w:ilvl="6" w:tplc="553C3ECA" w:tentative="1">
      <w:start w:val="1"/>
      <w:numFmt w:val="decimal"/>
      <w:lvlText w:val="%7."/>
      <w:lvlJc w:val="left"/>
      <w:pPr>
        <w:ind w:left="5040" w:hanging="360"/>
      </w:pPr>
    </w:lvl>
    <w:lvl w:ilvl="7" w:tplc="3E6AFB10" w:tentative="1">
      <w:start w:val="1"/>
      <w:numFmt w:val="lowerLetter"/>
      <w:lvlText w:val="%8."/>
      <w:lvlJc w:val="left"/>
      <w:pPr>
        <w:ind w:left="5760" w:hanging="360"/>
      </w:pPr>
    </w:lvl>
    <w:lvl w:ilvl="8" w:tplc="5A6AED98" w:tentative="1">
      <w:start w:val="1"/>
      <w:numFmt w:val="lowerRoman"/>
      <w:lvlText w:val="%9."/>
      <w:lvlJc w:val="right"/>
      <w:pPr>
        <w:ind w:left="6480" w:hanging="180"/>
      </w:pPr>
    </w:lvl>
  </w:abstractNum>
  <w:abstractNum w:abstractNumId="15">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3B5557F"/>
    <w:multiLevelType w:val="hybridMultilevel"/>
    <w:tmpl w:val="D89EADBE"/>
    <w:lvl w:ilvl="0" w:tplc="710EB3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D0A4D83"/>
    <w:multiLevelType w:val="hybridMultilevel"/>
    <w:tmpl w:val="478E7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29A1EA6"/>
    <w:multiLevelType w:val="hybridMultilevel"/>
    <w:tmpl w:val="DCC61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08C33B0"/>
    <w:multiLevelType w:val="hybridMultilevel"/>
    <w:tmpl w:val="705CF278"/>
    <w:lvl w:ilvl="0" w:tplc="C9DA6836">
      <w:start w:val="6"/>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24">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4B05590"/>
    <w:multiLevelType w:val="hybridMultilevel"/>
    <w:tmpl w:val="6B04D00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B54038"/>
    <w:multiLevelType w:val="hybridMultilevel"/>
    <w:tmpl w:val="0FCC8BD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EBF4948"/>
    <w:multiLevelType w:val="hybridMultilevel"/>
    <w:tmpl w:val="DA628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F773E92"/>
    <w:multiLevelType w:val="hybridMultilevel"/>
    <w:tmpl w:val="E60852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19"/>
  </w:num>
  <w:num w:numId="7">
    <w:abstractNumId w:val="5"/>
  </w:num>
  <w:num w:numId="8">
    <w:abstractNumId w:val="6"/>
  </w:num>
  <w:num w:numId="9">
    <w:abstractNumId w:val="25"/>
  </w:num>
  <w:num w:numId="10">
    <w:abstractNumId w:val="4"/>
  </w:num>
  <w:num w:numId="11">
    <w:abstractNumId w:val="28"/>
  </w:num>
  <w:num w:numId="12">
    <w:abstractNumId w:val="9"/>
  </w:num>
  <w:num w:numId="13">
    <w:abstractNumId w:val="1"/>
  </w:num>
  <w:num w:numId="14">
    <w:abstractNumId w:val="26"/>
  </w:num>
  <w:num w:numId="15">
    <w:abstractNumId w:val="17"/>
  </w:num>
  <w:num w:numId="16">
    <w:abstractNumId w:val="14"/>
  </w:num>
  <w:num w:numId="17">
    <w:abstractNumId w:val="30"/>
  </w:num>
  <w:num w:numId="18">
    <w:abstractNumId w:val="29"/>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8"/>
  </w:num>
  <w:num w:numId="24">
    <w:abstractNumId w:val="12"/>
  </w:num>
  <w:num w:numId="25">
    <w:abstractNumId w:val="13"/>
  </w:num>
  <w:num w:numId="26">
    <w:abstractNumId w:val="31"/>
  </w:num>
  <w:num w:numId="27">
    <w:abstractNumId w:val="22"/>
  </w:num>
  <w:num w:numId="28">
    <w:abstractNumId w:val="23"/>
  </w:num>
  <w:num w:numId="29">
    <w:abstractNumId w:val="0"/>
  </w:num>
  <w:num w:numId="30">
    <w:abstractNumId w:val="27"/>
  </w:num>
  <w:num w:numId="31">
    <w:abstractNumId w:val="18"/>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rsids>
    <w:rsidRoot w:val="00F64DE4"/>
    <w:rsid w:val="00005E79"/>
    <w:rsid w:val="000121C4"/>
    <w:rsid w:val="0001528C"/>
    <w:rsid w:val="00024C1D"/>
    <w:rsid w:val="00025346"/>
    <w:rsid w:val="00026D8A"/>
    <w:rsid w:val="00027058"/>
    <w:rsid w:val="00032061"/>
    <w:rsid w:val="00032E91"/>
    <w:rsid w:val="0005107F"/>
    <w:rsid w:val="00054DC1"/>
    <w:rsid w:val="00055EA4"/>
    <w:rsid w:val="000630D0"/>
    <w:rsid w:val="0007173E"/>
    <w:rsid w:val="00087937"/>
    <w:rsid w:val="000957ED"/>
    <w:rsid w:val="00097A72"/>
    <w:rsid w:val="000A1B66"/>
    <w:rsid w:val="000A4D2F"/>
    <w:rsid w:val="000B483A"/>
    <w:rsid w:val="000C7D3F"/>
    <w:rsid w:val="000D049A"/>
    <w:rsid w:val="000D095C"/>
    <w:rsid w:val="000D0BDC"/>
    <w:rsid w:val="000D2036"/>
    <w:rsid w:val="000E130E"/>
    <w:rsid w:val="000E66EA"/>
    <w:rsid w:val="00101637"/>
    <w:rsid w:val="00102ED6"/>
    <w:rsid w:val="001047CE"/>
    <w:rsid w:val="00105C81"/>
    <w:rsid w:val="00113883"/>
    <w:rsid w:val="001229CC"/>
    <w:rsid w:val="0012645F"/>
    <w:rsid w:val="001264B1"/>
    <w:rsid w:val="00134AA7"/>
    <w:rsid w:val="00136D3A"/>
    <w:rsid w:val="00144CE6"/>
    <w:rsid w:val="00153256"/>
    <w:rsid w:val="0015479C"/>
    <w:rsid w:val="00166C41"/>
    <w:rsid w:val="00170D37"/>
    <w:rsid w:val="00174AE2"/>
    <w:rsid w:val="00196278"/>
    <w:rsid w:val="00196F55"/>
    <w:rsid w:val="001C36D1"/>
    <w:rsid w:val="001D33E7"/>
    <w:rsid w:val="001F012B"/>
    <w:rsid w:val="001F7F8E"/>
    <w:rsid w:val="00202444"/>
    <w:rsid w:val="00207501"/>
    <w:rsid w:val="00222E72"/>
    <w:rsid w:val="00227488"/>
    <w:rsid w:val="0024507F"/>
    <w:rsid w:val="00245570"/>
    <w:rsid w:val="00247D55"/>
    <w:rsid w:val="002559F7"/>
    <w:rsid w:val="00256232"/>
    <w:rsid w:val="00262C7D"/>
    <w:rsid w:val="002768BD"/>
    <w:rsid w:val="00277C8F"/>
    <w:rsid w:val="0028497B"/>
    <w:rsid w:val="00286BD2"/>
    <w:rsid w:val="00287F0B"/>
    <w:rsid w:val="0029097E"/>
    <w:rsid w:val="002A1965"/>
    <w:rsid w:val="002A2A24"/>
    <w:rsid w:val="002B75C5"/>
    <w:rsid w:val="002C4019"/>
    <w:rsid w:val="002C6678"/>
    <w:rsid w:val="002C67E6"/>
    <w:rsid w:val="002D690C"/>
    <w:rsid w:val="002D6A77"/>
    <w:rsid w:val="002E176D"/>
    <w:rsid w:val="0030186E"/>
    <w:rsid w:val="00303B8A"/>
    <w:rsid w:val="0030686D"/>
    <w:rsid w:val="00314B1A"/>
    <w:rsid w:val="00335D4B"/>
    <w:rsid w:val="003578E5"/>
    <w:rsid w:val="00370D54"/>
    <w:rsid w:val="00371DF2"/>
    <w:rsid w:val="00382D4F"/>
    <w:rsid w:val="00395280"/>
    <w:rsid w:val="00395D63"/>
    <w:rsid w:val="003B293D"/>
    <w:rsid w:val="003D78CD"/>
    <w:rsid w:val="003D7B3A"/>
    <w:rsid w:val="003F3AC3"/>
    <w:rsid w:val="003F5387"/>
    <w:rsid w:val="004032CF"/>
    <w:rsid w:val="00405687"/>
    <w:rsid w:val="00416868"/>
    <w:rsid w:val="00421C8E"/>
    <w:rsid w:val="00424EE1"/>
    <w:rsid w:val="004416CB"/>
    <w:rsid w:val="004426C9"/>
    <w:rsid w:val="00443649"/>
    <w:rsid w:val="00443AAE"/>
    <w:rsid w:val="00453676"/>
    <w:rsid w:val="0046692F"/>
    <w:rsid w:val="00466F18"/>
    <w:rsid w:val="00486445"/>
    <w:rsid w:val="004950D9"/>
    <w:rsid w:val="004A058F"/>
    <w:rsid w:val="004A4877"/>
    <w:rsid w:val="004B0590"/>
    <w:rsid w:val="004B0948"/>
    <w:rsid w:val="004D2EB1"/>
    <w:rsid w:val="004D4B68"/>
    <w:rsid w:val="004D5C5B"/>
    <w:rsid w:val="004E5B69"/>
    <w:rsid w:val="004E7AF6"/>
    <w:rsid w:val="00504A89"/>
    <w:rsid w:val="00506C49"/>
    <w:rsid w:val="005134D4"/>
    <w:rsid w:val="00514089"/>
    <w:rsid w:val="00520435"/>
    <w:rsid w:val="00520FA9"/>
    <w:rsid w:val="00521BA5"/>
    <w:rsid w:val="00522905"/>
    <w:rsid w:val="00527403"/>
    <w:rsid w:val="00533C68"/>
    <w:rsid w:val="00542CEE"/>
    <w:rsid w:val="00550273"/>
    <w:rsid w:val="00550844"/>
    <w:rsid w:val="00553F03"/>
    <w:rsid w:val="00554148"/>
    <w:rsid w:val="00562E1F"/>
    <w:rsid w:val="00566D88"/>
    <w:rsid w:val="00573FB7"/>
    <w:rsid w:val="00575829"/>
    <w:rsid w:val="00581BF8"/>
    <w:rsid w:val="005828B4"/>
    <w:rsid w:val="005A6F9A"/>
    <w:rsid w:val="005A7ED1"/>
    <w:rsid w:val="005C3D87"/>
    <w:rsid w:val="005C5B44"/>
    <w:rsid w:val="005D7B08"/>
    <w:rsid w:val="005E3995"/>
    <w:rsid w:val="005E44DF"/>
    <w:rsid w:val="005F0A60"/>
    <w:rsid w:val="005F0AFE"/>
    <w:rsid w:val="006035C3"/>
    <w:rsid w:val="00605FBF"/>
    <w:rsid w:val="00634FAB"/>
    <w:rsid w:val="006359EB"/>
    <w:rsid w:val="00645BF4"/>
    <w:rsid w:val="00645C4C"/>
    <w:rsid w:val="0064617F"/>
    <w:rsid w:val="006617C9"/>
    <w:rsid w:val="0067664D"/>
    <w:rsid w:val="00687575"/>
    <w:rsid w:val="006909B2"/>
    <w:rsid w:val="006A2194"/>
    <w:rsid w:val="006A24C9"/>
    <w:rsid w:val="006B20D0"/>
    <w:rsid w:val="006B231C"/>
    <w:rsid w:val="006B6A02"/>
    <w:rsid w:val="006C7BD1"/>
    <w:rsid w:val="006E0376"/>
    <w:rsid w:val="006E535D"/>
    <w:rsid w:val="006E6AFD"/>
    <w:rsid w:val="006F39B6"/>
    <w:rsid w:val="006F4794"/>
    <w:rsid w:val="007004F9"/>
    <w:rsid w:val="007019F3"/>
    <w:rsid w:val="00704197"/>
    <w:rsid w:val="00704E63"/>
    <w:rsid w:val="0070677B"/>
    <w:rsid w:val="00711BEA"/>
    <w:rsid w:val="00711F5D"/>
    <w:rsid w:val="00716C85"/>
    <w:rsid w:val="00720BC3"/>
    <w:rsid w:val="00731175"/>
    <w:rsid w:val="00734AC4"/>
    <w:rsid w:val="00741795"/>
    <w:rsid w:val="00744402"/>
    <w:rsid w:val="007471ED"/>
    <w:rsid w:val="00761D00"/>
    <w:rsid w:val="0076590C"/>
    <w:rsid w:val="00771A85"/>
    <w:rsid w:val="0077311C"/>
    <w:rsid w:val="00780628"/>
    <w:rsid w:val="00792200"/>
    <w:rsid w:val="007A768E"/>
    <w:rsid w:val="007B26AA"/>
    <w:rsid w:val="007B2B89"/>
    <w:rsid w:val="007B77D8"/>
    <w:rsid w:val="007D33CD"/>
    <w:rsid w:val="007E162B"/>
    <w:rsid w:val="007E2DE0"/>
    <w:rsid w:val="007E3436"/>
    <w:rsid w:val="007E4CFF"/>
    <w:rsid w:val="008040F7"/>
    <w:rsid w:val="0081238B"/>
    <w:rsid w:val="0081557B"/>
    <w:rsid w:val="008320CF"/>
    <w:rsid w:val="00845019"/>
    <w:rsid w:val="00854E1E"/>
    <w:rsid w:val="00885BF3"/>
    <w:rsid w:val="008930FD"/>
    <w:rsid w:val="008A60D7"/>
    <w:rsid w:val="008B7400"/>
    <w:rsid w:val="008C010C"/>
    <w:rsid w:val="008C25A2"/>
    <w:rsid w:val="008C673C"/>
    <w:rsid w:val="008D100E"/>
    <w:rsid w:val="008D6FEA"/>
    <w:rsid w:val="0090071B"/>
    <w:rsid w:val="0091622B"/>
    <w:rsid w:val="00927810"/>
    <w:rsid w:val="009367E8"/>
    <w:rsid w:val="00940DEB"/>
    <w:rsid w:val="00941DE1"/>
    <w:rsid w:val="009453B4"/>
    <w:rsid w:val="0095096E"/>
    <w:rsid w:val="00961707"/>
    <w:rsid w:val="00975EF9"/>
    <w:rsid w:val="00991C1B"/>
    <w:rsid w:val="009922AC"/>
    <w:rsid w:val="00995B2C"/>
    <w:rsid w:val="009969DE"/>
    <w:rsid w:val="00997920"/>
    <w:rsid w:val="009A78B9"/>
    <w:rsid w:val="009A7AEA"/>
    <w:rsid w:val="009C51EE"/>
    <w:rsid w:val="009D07BD"/>
    <w:rsid w:val="009D7E1B"/>
    <w:rsid w:val="009E15A9"/>
    <w:rsid w:val="009E1C50"/>
    <w:rsid w:val="009E585E"/>
    <w:rsid w:val="009E6611"/>
    <w:rsid w:val="009F057A"/>
    <w:rsid w:val="00A006FA"/>
    <w:rsid w:val="00A01B2D"/>
    <w:rsid w:val="00A01FA3"/>
    <w:rsid w:val="00A03239"/>
    <w:rsid w:val="00A07859"/>
    <w:rsid w:val="00A11ED6"/>
    <w:rsid w:val="00A12900"/>
    <w:rsid w:val="00A12A80"/>
    <w:rsid w:val="00A23C13"/>
    <w:rsid w:val="00A258F4"/>
    <w:rsid w:val="00A44206"/>
    <w:rsid w:val="00A47B3E"/>
    <w:rsid w:val="00A555B0"/>
    <w:rsid w:val="00A60C84"/>
    <w:rsid w:val="00A616F9"/>
    <w:rsid w:val="00A64F39"/>
    <w:rsid w:val="00A6684B"/>
    <w:rsid w:val="00A902D2"/>
    <w:rsid w:val="00A91017"/>
    <w:rsid w:val="00A914A4"/>
    <w:rsid w:val="00A91CE9"/>
    <w:rsid w:val="00AA6B0B"/>
    <w:rsid w:val="00AB0473"/>
    <w:rsid w:val="00AB0573"/>
    <w:rsid w:val="00AC0EE3"/>
    <w:rsid w:val="00AC7D3C"/>
    <w:rsid w:val="00AD429A"/>
    <w:rsid w:val="00AD484B"/>
    <w:rsid w:val="00AE0DF8"/>
    <w:rsid w:val="00AE45BB"/>
    <w:rsid w:val="00B05D89"/>
    <w:rsid w:val="00B064A4"/>
    <w:rsid w:val="00B1626E"/>
    <w:rsid w:val="00B17B64"/>
    <w:rsid w:val="00B27E25"/>
    <w:rsid w:val="00B3601D"/>
    <w:rsid w:val="00B446E1"/>
    <w:rsid w:val="00B53181"/>
    <w:rsid w:val="00B56D48"/>
    <w:rsid w:val="00B641BB"/>
    <w:rsid w:val="00B668FA"/>
    <w:rsid w:val="00B6784A"/>
    <w:rsid w:val="00B82E9F"/>
    <w:rsid w:val="00B838FA"/>
    <w:rsid w:val="00B844E2"/>
    <w:rsid w:val="00B865A5"/>
    <w:rsid w:val="00B872FC"/>
    <w:rsid w:val="00BA42E7"/>
    <w:rsid w:val="00BA4B01"/>
    <w:rsid w:val="00BB6B17"/>
    <w:rsid w:val="00BB7BBA"/>
    <w:rsid w:val="00BC3144"/>
    <w:rsid w:val="00BD03DC"/>
    <w:rsid w:val="00BD2285"/>
    <w:rsid w:val="00BD2A4B"/>
    <w:rsid w:val="00BE72C1"/>
    <w:rsid w:val="00BF021B"/>
    <w:rsid w:val="00BF22C5"/>
    <w:rsid w:val="00BF43BC"/>
    <w:rsid w:val="00C0025C"/>
    <w:rsid w:val="00C01373"/>
    <w:rsid w:val="00C01E51"/>
    <w:rsid w:val="00C064CA"/>
    <w:rsid w:val="00C0656C"/>
    <w:rsid w:val="00C20508"/>
    <w:rsid w:val="00C22D38"/>
    <w:rsid w:val="00C2478A"/>
    <w:rsid w:val="00C34D0A"/>
    <w:rsid w:val="00C426BD"/>
    <w:rsid w:val="00C444D7"/>
    <w:rsid w:val="00C46689"/>
    <w:rsid w:val="00C47ABF"/>
    <w:rsid w:val="00C54359"/>
    <w:rsid w:val="00C74835"/>
    <w:rsid w:val="00C83B07"/>
    <w:rsid w:val="00C86A4B"/>
    <w:rsid w:val="00C97142"/>
    <w:rsid w:val="00CA2840"/>
    <w:rsid w:val="00CC779F"/>
    <w:rsid w:val="00CD1213"/>
    <w:rsid w:val="00CE074A"/>
    <w:rsid w:val="00CE745B"/>
    <w:rsid w:val="00CF1804"/>
    <w:rsid w:val="00CF3B59"/>
    <w:rsid w:val="00D000E6"/>
    <w:rsid w:val="00D02A09"/>
    <w:rsid w:val="00D02BC5"/>
    <w:rsid w:val="00D16F15"/>
    <w:rsid w:val="00D2025E"/>
    <w:rsid w:val="00D379B5"/>
    <w:rsid w:val="00D4157C"/>
    <w:rsid w:val="00D461A5"/>
    <w:rsid w:val="00D526EA"/>
    <w:rsid w:val="00D559E2"/>
    <w:rsid w:val="00D71C04"/>
    <w:rsid w:val="00D724E9"/>
    <w:rsid w:val="00D82880"/>
    <w:rsid w:val="00D90161"/>
    <w:rsid w:val="00DA49A2"/>
    <w:rsid w:val="00DB2FA0"/>
    <w:rsid w:val="00DB46A1"/>
    <w:rsid w:val="00DC4B72"/>
    <w:rsid w:val="00DC56BA"/>
    <w:rsid w:val="00DD7D97"/>
    <w:rsid w:val="00DF169A"/>
    <w:rsid w:val="00DF357C"/>
    <w:rsid w:val="00DF716B"/>
    <w:rsid w:val="00E06413"/>
    <w:rsid w:val="00E12BFD"/>
    <w:rsid w:val="00E14CA7"/>
    <w:rsid w:val="00E1542D"/>
    <w:rsid w:val="00E2101B"/>
    <w:rsid w:val="00E34C90"/>
    <w:rsid w:val="00E3720E"/>
    <w:rsid w:val="00E37CA1"/>
    <w:rsid w:val="00E716CB"/>
    <w:rsid w:val="00E72363"/>
    <w:rsid w:val="00E81D90"/>
    <w:rsid w:val="00E90D74"/>
    <w:rsid w:val="00E9321A"/>
    <w:rsid w:val="00E96173"/>
    <w:rsid w:val="00E97DCF"/>
    <w:rsid w:val="00EA6DC7"/>
    <w:rsid w:val="00EB6BFB"/>
    <w:rsid w:val="00ED69C0"/>
    <w:rsid w:val="00ED74FB"/>
    <w:rsid w:val="00EE5022"/>
    <w:rsid w:val="00EE5F83"/>
    <w:rsid w:val="00EF1BFF"/>
    <w:rsid w:val="00EF6829"/>
    <w:rsid w:val="00EF6FA8"/>
    <w:rsid w:val="00F01201"/>
    <w:rsid w:val="00F02ADE"/>
    <w:rsid w:val="00F07336"/>
    <w:rsid w:val="00F075C0"/>
    <w:rsid w:val="00F10AFD"/>
    <w:rsid w:val="00F2695B"/>
    <w:rsid w:val="00F26C63"/>
    <w:rsid w:val="00F332EC"/>
    <w:rsid w:val="00F344E1"/>
    <w:rsid w:val="00F4453B"/>
    <w:rsid w:val="00F47CEC"/>
    <w:rsid w:val="00F525DE"/>
    <w:rsid w:val="00F54C69"/>
    <w:rsid w:val="00F55E3E"/>
    <w:rsid w:val="00F64DE4"/>
    <w:rsid w:val="00F719CD"/>
    <w:rsid w:val="00F75368"/>
    <w:rsid w:val="00F81B8B"/>
    <w:rsid w:val="00F8216B"/>
    <w:rsid w:val="00F87AFF"/>
    <w:rsid w:val="00F95767"/>
    <w:rsid w:val="00FA44B6"/>
    <w:rsid w:val="00FB0374"/>
    <w:rsid w:val="00FB0855"/>
    <w:rsid w:val="00FB2C3F"/>
    <w:rsid w:val="00FC0B12"/>
    <w:rsid w:val="00FD2B01"/>
    <w:rsid w:val="00FD5F20"/>
    <w:rsid w:val="00FE2D1C"/>
    <w:rsid w:val="00FE3B53"/>
    <w:rsid w:val="00FE714D"/>
    <w:rsid w:val="00FF5A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nhideWhenUsed/>
    <w:rsid w:val="00F64DE4"/>
    <w:pPr>
      <w:tabs>
        <w:tab w:val="center" w:pos="4153"/>
        <w:tab w:val="right" w:pos="8306"/>
      </w:tabs>
    </w:pPr>
  </w:style>
  <w:style w:type="character" w:customStyle="1" w:styleId="KjeneRakstz">
    <w:name w:val="Kājene Rakstz."/>
    <w:basedOn w:val="Noklusjumarindkopasfonts"/>
    <w:link w:val="Kjene"/>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Numbered Para 1,Dot pt,No Spacing1,List Paragraph Char Char Char,Indicator Text,Bullet 1,Bullet Points,F5 List Paragraph,Colorful List - Accent 11,List Paragraph2,Normal numbered,List Paragraph11"/>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b/>
      <w:bCs/>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Numbered Para 1 Rakstz.,Dot pt Rakstz.,No Spacing1 Rakstz.,List Paragraph Char Char Char Rakstz.,Indicator Text Rakstz.,Bullet 1 Rakstz.,Bullet Points Rakstz.,F5 List Paragraph Rakstz."/>
    <w:link w:val="Sarakstarindkopa"/>
    <w:uiPriority w:val="34"/>
    <w:qFormat/>
    <w:rsid w:val="000D049A"/>
    <w:rPr>
      <w:rFonts w:ascii="Calibri" w:eastAsia="Calibri" w:hAnsi="Calibri" w:cs="Times New Roman"/>
    </w:rPr>
  </w:style>
  <w:style w:type="paragraph" w:customStyle="1" w:styleId="tv213">
    <w:name w:val="tv213"/>
    <w:basedOn w:val="Parastais"/>
    <w:rsid w:val="00E34C90"/>
    <w:pPr>
      <w:spacing w:before="100" w:beforeAutospacing="1" w:after="100" w:afterAutospacing="1"/>
    </w:pPr>
  </w:style>
  <w:style w:type="paragraph" w:customStyle="1" w:styleId="doc-ti">
    <w:name w:val="doc-ti"/>
    <w:basedOn w:val="Parastais"/>
    <w:uiPriority w:val="99"/>
    <w:rsid w:val="00704197"/>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3922936">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0E1B2-DCAA-4DC1-9319-C497B445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10</Pages>
  <Words>10416</Words>
  <Characters>5938</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projektu„Grozījumi Ministru kabineta 2016.gada 29.marta noteikumos Nr.188 „Darbības programmas „Izaugsme un nodarbinātība” 5.6.1.specifiskā atbalsta mērķa „Veicināt Rīgas pilsētas revitalizāciju, nodrošinot teritorijas efektīvu sociālekonomisko izmantošanu” īstenošanas noteikumi”” un sākotnējās ietekmes novērtējuma ziņojumu (anotāciju)</dc:title>
  <dc:subject>Izziņa</dc:subject>
  <dc:creator>Linda Krūmiņa</dc:creator>
  <cp:keywords>KMIzz_161219_561SAM_188</cp:keywords>
  <dc:description>Tālr. 67330319; fakss 67330293
Linda.Krumina@km.gov.lv</dc:description>
  <cp:lastModifiedBy>Dzintra Rozīte</cp:lastModifiedBy>
  <cp:revision>94</cp:revision>
  <cp:lastPrinted>2018-03-05T07:30:00Z</cp:lastPrinted>
  <dcterms:created xsi:type="dcterms:W3CDTF">2018-03-15T14:28:00Z</dcterms:created>
  <dcterms:modified xsi:type="dcterms:W3CDTF">2019-12-18T14:06:00Z</dcterms:modified>
</cp:coreProperties>
</file>