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E4" w:rsidRPr="008347EC" w:rsidRDefault="00196278" w:rsidP="00522905">
      <w:pPr>
        <w:pStyle w:val="naisnod"/>
        <w:spacing w:before="0" w:after="0"/>
        <w:rPr>
          <w:sz w:val="22"/>
          <w:szCs w:val="22"/>
        </w:rPr>
      </w:pPr>
      <w:bookmarkStart w:id="0" w:name="OLE_LINK1"/>
      <w:bookmarkStart w:id="1" w:name="OLE_LINK2"/>
      <w:r w:rsidRPr="008347EC">
        <w:rPr>
          <w:sz w:val="22"/>
          <w:szCs w:val="22"/>
        </w:rPr>
        <w:t>Izziņa par atzinumos sniegtajiem iebildumiem</w:t>
      </w:r>
      <w:r w:rsidR="008C673C" w:rsidRPr="008347EC">
        <w:rPr>
          <w:sz w:val="22"/>
          <w:szCs w:val="22"/>
        </w:rPr>
        <w:t xml:space="preserve"> par Ministru kabineta noteikumu projektu</w:t>
      </w:r>
    </w:p>
    <w:p w:rsidR="00991C1B" w:rsidRPr="008347EC" w:rsidRDefault="000E66EA" w:rsidP="00522905">
      <w:pPr>
        <w:pStyle w:val="Default"/>
        <w:jc w:val="center"/>
        <w:rPr>
          <w:b/>
          <w:bCs/>
          <w:sz w:val="22"/>
          <w:szCs w:val="22"/>
        </w:rPr>
      </w:pPr>
      <w:r w:rsidRPr="008347EC">
        <w:rPr>
          <w:b/>
          <w:bCs/>
          <w:color w:val="auto"/>
          <w:sz w:val="22"/>
          <w:szCs w:val="22"/>
        </w:rPr>
        <w:t>„Grozījumi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pirmās un otrās atlases kārtas īstenošanas noteikumi””</w:t>
      </w:r>
      <w:r w:rsidR="00032061" w:rsidRPr="008347EC">
        <w:rPr>
          <w:b/>
          <w:bCs/>
          <w:color w:val="auto"/>
          <w:sz w:val="22"/>
          <w:szCs w:val="22"/>
        </w:rPr>
        <w:t xml:space="preserve"> </w:t>
      </w:r>
    </w:p>
    <w:bookmarkEnd w:id="0"/>
    <w:bookmarkEnd w:id="1"/>
    <w:p w:rsidR="00032061" w:rsidRPr="008347EC" w:rsidRDefault="00032061" w:rsidP="00522905">
      <w:pPr>
        <w:jc w:val="center"/>
        <w:rPr>
          <w:b/>
          <w:bCs/>
          <w:sz w:val="22"/>
          <w:szCs w:val="22"/>
        </w:rPr>
      </w:pPr>
    </w:p>
    <w:p w:rsidR="001229CC" w:rsidRDefault="00F64DE4" w:rsidP="00522905">
      <w:pPr>
        <w:numPr>
          <w:ilvl w:val="0"/>
          <w:numId w:val="1"/>
        </w:numPr>
        <w:ind w:left="567" w:hanging="207"/>
        <w:jc w:val="center"/>
        <w:rPr>
          <w:b/>
          <w:bCs/>
          <w:sz w:val="22"/>
          <w:szCs w:val="22"/>
        </w:rPr>
      </w:pPr>
      <w:r w:rsidRPr="008347EC">
        <w:rPr>
          <w:b/>
          <w:bCs/>
          <w:sz w:val="22"/>
          <w:szCs w:val="22"/>
        </w:rPr>
        <w:t>Jautājumi, par kuriem saskaņošanā vienošanās nav panākta</w:t>
      </w:r>
    </w:p>
    <w:p w:rsidR="00340158" w:rsidRPr="008347EC" w:rsidRDefault="00340158" w:rsidP="00340158">
      <w:pPr>
        <w:ind w:left="567"/>
        <w:rPr>
          <w:b/>
          <w:bCs/>
          <w:sz w:val="22"/>
          <w:szCs w:val="22"/>
        </w:rPr>
      </w:pPr>
    </w:p>
    <w:tbl>
      <w:tblPr>
        <w:tblW w:w="5023" w:type="pct"/>
        <w:tblBorders>
          <w:top w:val="single" w:sz="4" w:space="0" w:color="auto"/>
          <w:left w:val="single" w:sz="4" w:space="0" w:color="auto"/>
          <w:bottom w:val="single" w:sz="4" w:space="0" w:color="auto"/>
          <w:right w:val="single" w:sz="4" w:space="0" w:color="auto"/>
        </w:tblBorders>
        <w:tblLook w:val="00A0"/>
      </w:tblPr>
      <w:tblGrid>
        <w:gridCol w:w="720"/>
        <w:gridCol w:w="2414"/>
        <w:gridCol w:w="3171"/>
        <w:gridCol w:w="3020"/>
        <w:gridCol w:w="2451"/>
        <w:gridCol w:w="2508"/>
      </w:tblGrid>
      <w:tr w:rsidR="00F64DE4" w:rsidRPr="008347EC" w:rsidTr="00032061">
        <w:tc>
          <w:tcPr>
            <w:tcW w:w="252" w:type="pct"/>
            <w:tcBorders>
              <w:top w:val="single" w:sz="6" w:space="0" w:color="000000"/>
              <w:left w:val="single" w:sz="6" w:space="0" w:color="000000"/>
              <w:bottom w:val="single" w:sz="6" w:space="0" w:color="000000"/>
              <w:right w:val="single" w:sz="6" w:space="0" w:color="000000"/>
            </w:tcBorders>
            <w:vAlign w:val="center"/>
            <w:hideMark/>
          </w:tcPr>
          <w:p w:rsidR="00C01E51" w:rsidRPr="008347EC" w:rsidRDefault="00F64DE4" w:rsidP="00522905">
            <w:pPr>
              <w:pStyle w:val="naisc"/>
              <w:spacing w:before="0" w:after="0"/>
              <w:rPr>
                <w:lang w:eastAsia="en-US"/>
              </w:rPr>
            </w:pPr>
            <w:r w:rsidRPr="008347EC">
              <w:rPr>
                <w:sz w:val="22"/>
                <w:szCs w:val="22"/>
                <w:lang w:eastAsia="en-US"/>
              </w:rPr>
              <w:t>Nr. p.k.</w:t>
            </w:r>
          </w:p>
        </w:tc>
        <w:tc>
          <w:tcPr>
            <w:tcW w:w="845" w:type="pct"/>
            <w:tcBorders>
              <w:top w:val="single" w:sz="6" w:space="0" w:color="000000"/>
              <w:left w:val="single" w:sz="6" w:space="0" w:color="000000"/>
              <w:bottom w:val="single" w:sz="6" w:space="0" w:color="000000"/>
              <w:right w:val="single" w:sz="6" w:space="0" w:color="000000"/>
            </w:tcBorders>
            <w:vAlign w:val="center"/>
            <w:hideMark/>
          </w:tcPr>
          <w:p w:rsidR="00C01E51" w:rsidRPr="008347EC" w:rsidRDefault="00F64DE4" w:rsidP="00522905">
            <w:pPr>
              <w:pStyle w:val="naisc"/>
              <w:spacing w:before="0" w:after="0"/>
              <w:ind w:firstLine="12"/>
              <w:rPr>
                <w:lang w:eastAsia="en-US"/>
              </w:rPr>
            </w:pPr>
            <w:r w:rsidRPr="008347EC">
              <w:rPr>
                <w:sz w:val="22"/>
                <w:szCs w:val="22"/>
                <w:lang w:eastAsia="en-US"/>
              </w:rPr>
              <w:t>Saskaņošanai nosūtītā projekta redakcija (konkrēta punkta (panta) redakcija)</w:t>
            </w:r>
          </w:p>
        </w:tc>
        <w:tc>
          <w:tcPr>
            <w:tcW w:w="1110" w:type="pct"/>
            <w:tcBorders>
              <w:top w:val="single" w:sz="6" w:space="0" w:color="000000"/>
              <w:left w:val="single" w:sz="6" w:space="0" w:color="000000"/>
              <w:bottom w:val="single" w:sz="6" w:space="0" w:color="000000"/>
              <w:right w:val="single" w:sz="6" w:space="0" w:color="000000"/>
            </w:tcBorders>
            <w:vAlign w:val="center"/>
            <w:hideMark/>
          </w:tcPr>
          <w:p w:rsidR="00C01E51" w:rsidRPr="008347EC" w:rsidRDefault="00F64DE4" w:rsidP="00522905">
            <w:pPr>
              <w:pStyle w:val="naisc"/>
              <w:spacing w:before="0" w:after="0"/>
              <w:ind w:right="3"/>
              <w:rPr>
                <w:lang w:eastAsia="en-US"/>
              </w:rPr>
            </w:pPr>
            <w:r w:rsidRPr="008347EC">
              <w:rPr>
                <w:sz w:val="22"/>
                <w:szCs w:val="22"/>
                <w:lang w:eastAsia="en-US"/>
              </w:rPr>
              <w:t>Atzinumā norādītais ministrijas (citas institūcijas) iebildums, kā arī saskaņošanā papildus izte</w:t>
            </w:r>
            <w:r w:rsidR="00B654CF">
              <w:rPr>
                <w:sz w:val="22"/>
                <w:szCs w:val="22"/>
                <w:lang w:eastAsia="en-US"/>
              </w:rPr>
              <w:t>iktais iebildums par projekta konkrēto punktu (pantu)</w:t>
            </w:r>
          </w:p>
        </w:tc>
        <w:tc>
          <w:tcPr>
            <w:tcW w:w="1057" w:type="pct"/>
            <w:tcBorders>
              <w:top w:val="single" w:sz="6" w:space="0" w:color="000000"/>
              <w:left w:val="single" w:sz="6" w:space="0" w:color="000000"/>
              <w:bottom w:val="single" w:sz="6" w:space="0" w:color="000000"/>
              <w:right w:val="single" w:sz="6" w:space="0" w:color="000000"/>
            </w:tcBorders>
            <w:vAlign w:val="center"/>
            <w:hideMark/>
          </w:tcPr>
          <w:p w:rsidR="00C01E51" w:rsidRPr="008347EC" w:rsidRDefault="00F64DE4" w:rsidP="00522905">
            <w:pPr>
              <w:pStyle w:val="naisc"/>
              <w:spacing w:before="0" w:after="0"/>
              <w:ind w:firstLine="21"/>
              <w:rPr>
                <w:lang w:eastAsia="en-US"/>
              </w:rPr>
            </w:pPr>
            <w:r w:rsidRPr="008347EC">
              <w:rPr>
                <w:sz w:val="22"/>
                <w:szCs w:val="22"/>
                <w:lang w:eastAsia="en-US"/>
              </w:rPr>
              <w:t>Atbildīgās ministrijas pamatojums iebilduma noraidījumam</w:t>
            </w:r>
          </w:p>
        </w:tc>
        <w:tc>
          <w:tcPr>
            <w:tcW w:w="858" w:type="pct"/>
            <w:tcBorders>
              <w:top w:val="single" w:sz="4" w:space="0" w:color="auto"/>
              <w:left w:val="single" w:sz="4" w:space="0" w:color="auto"/>
              <w:bottom w:val="single" w:sz="4" w:space="0" w:color="auto"/>
              <w:right w:val="single" w:sz="4" w:space="0" w:color="auto"/>
            </w:tcBorders>
            <w:vAlign w:val="center"/>
            <w:hideMark/>
          </w:tcPr>
          <w:p w:rsidR="00C01E51" w:rsidRPr="008347EC" w:rsidRDefault="00F64DE4" w:rsidP="00522905">
            <w:pPr>
              <w:jc w:val="center"/>
              <w:rPr>
                <w:lang w:eastAsia="en-US"/>
              </w:rPr>
            </w:pPr>
            <w:r w:rsidRPr="008347EC">
              <w:rPr>
                <w:sz w:val="22"/>
                <w:szCs w:val="22"/>
                <w:lang w:eastAsia="en-US"/>
              </w:rPr>
              <w:t xml:space="preserve">Atzinuma sniedzēja uzturētais iebildums, ja tas atšķiras no </w:t>
            </w:r>
            <w:r w:rsidR="00B654CF">
              <w:rPr>
                <w:sz w:val="22"/>
                <w:szCs w:val="22"/>
                <w:lang w:eastAsia="en-US"/>
              </w:rPr>
              <w:t>atzinumā norādītā iebilduma pamatojuma</w:t>
            </w:r>
          </w:p>
        </w:tc>
        <w:tc>
          <w:tcPr>
            <w:tcW w:w="878" w:type="pct"/>
            <w:tcBorders>
              <w:top w:val="single" w:sz="4" w:space="0" w:color="auto"/>
              <w:left w:val="single" w:sz="4" w:space="0" w:color="auto"/>
              <w:bottom w:val="single" w:sz="4" w:space="0" w:color="auto"/>
              <w:right w:val="single" w:sz="4" w:space="0" w:color="auto"/>
            </w:tcBorders>
            <w:vAlign w:val="center"/>
            <w:hideMark/>
          </w:tcPr>
          <w:p w:rsidR="00C01E51" w:rsidRPr="008347EC" w:rsidRDefault="00F64DE4" w:rsidP="00522905">
            <w:pPr>
              <w:jc w:val="center"/>
              <w:rPr>
                <w:lang w:eastAsia="en-US"/>
              </w:rPr>
            </w:pPr>
            <w:r w:rsidRPr="008347EC">
              <w:rPr>
                <w:sz w:val="22"/>
                <w:szCs w:val="22"/>
                <w:lang w:eastAsia="en-US"/>
              </w:rPr>
              <w:t>Projekta attiecīgā punkta (panta) galīgā redakcija</w:t>
            </w:r>
          </w:p>
        </w:tc>
      </w:tr>
      <w:tr w:rsidR="00F64DE4" w:rsidRPr="008347EC" w:rsidTr="00032061">
        <w:tc>
          <w:tcPr>
            <w:tcW w:w="252" w:type="pct"/>
            <w:tcBorders>
              <w:top w:val="single" w:sz="6" w:space="0" w:color="000000"/>
              <w:left w:val="single" w:sz="6" w:space="0" w:color="000000"/>
              <w:bottom w:val="single" w:sz="6" w:space="0" w:color="000000"/>
              <w:right w:val="single" w:sz="6" w:space="0" w:color="000000"/>
            </w:tcBorders>
            <w:hideMark/>
          </w:tcPr>
          <w:p w:rsidR="00C01E51" w:rsidRPr="008347EC" w:rsidRDefault="00F64DE4" w:rsidP="00522905">
            <w:pPr>
              <w:pStyle w:val="naisc"/>
              <w:spacing w:before="0" w:after="0"/>
              <w:rPr>
                <w:lang w:eastAsia="en-US"/>
              </w:rPr>
            </w:pPr>
            <w:r w:rsidRPr="008347EC">
              <w:rPr>
                <w:sz w:val="22"/>
                <w:szCs w:val="22"/>
                <w:lang w:eastAsia="en-US"/>
              </w:rPr>
              <w:t>1</w:t>
            </w:r>
          </w:p>
        </w:tc>
        <w:tc>
          <w:tcPr>
            <w:tcW w:w="845" w:type="pct"/>
            <w:tcBorders>
              <w:top w:val="single" w:sz="6" w:space="0" w:color="000000"/>
              <w:left w:val="single" w:sz="6" w:space="0" w:color="000000"/>
              <w:bottom w:val="single" w:sz="6" w:space="0" w:color="000000"/>
              <w:right w:val="single" w:sz="6" w:space="0" w:color="000000"/>
            </w:tcBorders>
            <w:hideMark/>
          </w:tcPr>
          <w:p w:rsidR="00C01E51" w:rsidRPr="008347EC" w:rsidRDefault="00F64DE4" w:rsidP="00522905">
            <w:pPr>
              <w:pStyle w:val="naisc"/>
              <w:spacing w:before="0" w:after="0"/>
              <w:ind w:hanging="11"/>
              <w:rPr>
                <w:lang w:eastAsia="en-US"/>
              </w:rPr>
            </w:pPr>
            <w:r w:rsidRPr="008347EC">
              <w:rPr>
                <w:sz w:val="22"/>
                <w:szCs w:val="22"/>
                <w:lang w:eastAsia="en-US"/>
              </w:rPr>
              <w:t>2</w:t>
            </w:r>
          </w:p>
        </w:tc>
        <w:tc>
          <w:tcPr>
            <w:tcW w:w="1110" w:type="pct"/>
            <w:tcBorders>
              <w:top w:val="single" w:sz="6" w:space="0" w:color="000000"/>
              <w:left w:val="single" w:sz="6" w:space="0" w:color="000000"/>
              <w:bottom w:val="single" w:sz="6" w:space="0" w:color="000000"/>
              <w:right w:val="single" w:sz="6" w:space="0" w:color="000000"/>
            </w:tcBorders>
            <w:hideMark/>
          </w:tcPr>
          <w:p w:rsidR="00C01E51" w:rsidRPr="008347EC" w:rsidRDefault="00F64DE4" w:rsidP="00522905">
            <w:pPr>
              <w:pStyle w:val="naisc"/>
              <w:spacing w:before="0" w:after="0"/>
              <w:rPr>
                <w:lang w:eastAsia="en-US"/>
              </w:rPr>
            </w:pPr>
            <w:r w:rsidRPr="008347EC">
              <w:rPr>
                <w:sz w:val="22"/>
                <w:szCs w:val="22"/>
                <w:lang w:eastAsia="en-US"/>
              </w:rPr>
              <w:t>3</w:t>
            </w:r>
          </w:p>
        </w:tc>
        <w:tc>
          <w:tcPr>
            <w:tcW w:w="1057" w:type="pct"/>
            <w:tcBorders>
              <w:top w:val="single" w:sz="6" w:space="0" w:color="000000"/>
              <w:left w:val="single" w:sz="6" w:space="0" w:color="000000"/>
              <w:bottom w:val="single" w:sz="6" w:space="0" w:color="000000"/>
              <w:right w:val="single" w:sz="6" w:space="0" w:color="000000"/>
            </w:tcBorders>
            <w:hideMark/>
          </w:tcPr>
          <w:p w:rsidR="00C01E51" w:rsidRPr="008347EC" w:rsidRDefault="00F64DE4" w:rsidP="00522905">
            <w:pPr>
              <w:pStyle w:val="naisc"/>
              <w:spacing w:before="0" w:after="0"/>
              <w:rPr>
                <w:lang w:eastAsia="en-US"/>
              </w:rPr>
            </w:pPr>
            <w:r w:rsidRPr="008347EC">
              <w:rPr>
                <w:sz w:val="22"/>
                <w:szCs w:val="22"/>
                <w:lang w:eastAsia="en-US"/>
              </w:rPr>
              <w:t>4</w:t>
            </w:r>
          </w:p>
        </w:tc>
        <w:tc>
          <w:tcPr>
            <w:tcW w:w="858" w:type="pct"/>
            <w:tcBorders>
              <w:top w:val="single" w:sz="4" w:space="0" w:color="auto"/>
              <w:left w:val="single" w:sz="4" w:space="0" w:color="auto"/>
              <w:bottom w:val="single" w:sz="4" w:space="0" w:color="auto"/>
              <w:right w:val="single" w:sz="4" w:space="0" w:color="auto"/>
            </w:tcBorders>
            <w:hideMark/>
          </w:tcPr>
          <w:p w:rsidR="00C01E51" w:rsidRPr="008347EC" w:rsidRDefault="00F64DE4" w:rsidP="00522905">
            <w:pPr>
              <w:jc w:val="center"/>
              <w:rPr>
                <w:lang w:eastAsia="en-US"/>
              </w:rPr>
            </w:pPr>
            <w:r w:rsidRPr="008347EC">
              <w:rPr>
                <w:sz w:val="22"/>
                <w:szCs w:val="22"/>
                <w:lang w:eastAsia="en-US"/>
              </w:rPr>
              <w:t>5</w:t>
            </w:r>
          </w:p>
        </w:tc>
        <w:tc>
          <w:tcPr>
            <w:tcW w:w="878" w:type="pct"/>
            <w:tcBorders>
              <w:top w:val="single" w:sz="4" w:space="0" w:color="auto"/>
              <w:left w:val="single" w:sz="4" w:space="0" w:color="auto"/>
              <w:bottom w:val="single" w:sz="4" w:space="0" w:color="auto"/>
              <w:right w:val="single" w:sz="4" w:space="0" w:color="auto"/>
            </w:tcBorders>
            <w:hideMark/>
          </w:tcPr>
          <w:p w:rsidR="00C01E51" w:rsidRPr="008347EC" w:rsidRDefault="00F64DE4" w:rsidP="00522905">
            <w:pPr>
              <w:jc w:val="center"/>
              <w:rPr>
                <w:lang w:eastAsia="en-US"/>
              </w:rPr>
            </w:pPr>
            <w:r w:rsidRPr="008347EC">
              <w:rPr>
                <w:sz w:val="22"/>
                <w:szCs w:val="22"/>
                <w:lang w:eastAsia="en-US"/>
              </w:rPr>
              <w:t>6</w:t>
            </w:r>
          </w:p>
        </w:tc>
      </w:tr>
      <w:tr w:rsidR="00222E72" w:rsidRPr="008347EC" w:rsidTr="00032061">
        <w:tc>
          <w:tcPr>
            <w:tcW w:w="252" w:type="pct"/>
            <w:tcBorders>
              <w:top w:val="single" w:sz="6" w:space="0" w:color="000000"/>
              <w:left w:val="single" w:sz="6" w:space="0" w:color="000000"/>
              <w:bottom w:val="single" w:sz="6" w:space="0" w:color="000000"/>
              <w:right w:val="single" w:sz="6" w:space="0" w:color="000000"/>
            </w:tcBorders>
          </w:tcPr>
          <w:p w:rsidR="00222E72" w:rsidRPr="008347EC" w:rsidRDefault="00222E72" w:rsidP="00522905">
            <w:pPr>
              <w:pStyle w:val="naisc"/>
              <w:spacing w:before="0" w:after="0"/>
              <w:rPr>
                <w:lang w:eastAsia="en-US"/>
              </w:rPr>
            </w:pPr>
          </w:p>
        </w:tc>
        <w:tc>
          <w:tcPr>
            <w:tcW w:w="845" w:type="pct"/>
            <w:tcBorders>
              <w:top w:val="single" w:sz="6" w:space="0" w:color="000000"/>
              <w:left w:val="single" w:sz="6" w:space="0" w:color="000000"/>
              <w:bottom w:val="single" w:sz="6" w:space="0" w:color="000000"/>
              <w:right w:val="single" w:sz="6" w:space="0" w:color="000000"/>
            </w:tcBorders>
          </w:tcPr>
          <w:p w:rsidR="00222E72" w:rsidRPr="008347EC" w:rsidRDefault="00222E72" w:rsidP="00522905">
            <w:pPr>
              <w:pStyle w:val="naisc"/>
              <w:spacing w:before="0" w:after="0"/>
              <w:ind w:hanging="11"/>
              <w:rPr>
                <w:lang w:eastAsia="en-US"/>
              </w:rPr>
            </w:pPr>
          </w:p>
        </w:tc>
        <w:tc>
          <w:tcPr>
            <w:tcW w:w="1110" w:type="pct"/>
            <w:tcBorders>
              <w:top w:val="single" w:sz="6" w:space="0" w:color="000000"/>
              <w:left w:val="single" w:sz="6" w:space="0" w:color="000000"/>
              <w:bottom w:val="single" w:sz="6" w:space="0" w:color="000000"/>
              <w:right w:val="single" w:sz="6" w:space="0" w:color="000000"/>
            </w:tcBorders>
          </w:tcPr>
          <w:p w:rsidR="00222E72" w:rsidRPr="008347EC" w:rsidRDefault="00222E72" w:rsidP="00522905">
            <w:pPr>
              <w:pStyle w:val="naisc"/>
              <w:spacing w:before="0" w:after="0"/>
              <w:rPr>
                <w:lang w:eastAsia="en-US"/>
              </w:rPr>
            </w:pPr>
          </w:p>
        </w:tc>
        <w:tc>
          <w:tcPr>
            <w:tcW w:w="1057" w:type="pct"/>
            <w:tcBorders>
              <w:top w:val="single" w:sz="6" w:space="0" w:color="000000"/>
              <w:left w:val="single" w:sz="6" w:space="0" w:color="000000"/>
              <w:bottom w:val="single" w:sz="6" w:space="0" w:color="000000"/>
              <w:right w:val="single" w:sz="6" w:space="0" w:color="000000"/>
            </w:tcBorders>
          </w:tcPr>
          <w:p w:rsidR="00222E72" w:rsidRPr="008347EC" w:rsidRDefault="00222E72" w:rsidP="00522905">
            <w:pPr>
              <w:pStyle w:val="naisc"/>
              <w:spacing w:before="0" w:after="0"/>
              <w:rPr>
                <w:lang w:eastAsia="en-US"/>
              </w:rPr>
            </w:pPr>
          </w:p>
        </w:tc>
        <w:tc>
          <w:tcPr>
            <w:tcW w:w="858" w:type="pct"/>
            <w:tcBorders>
              <w:top w:val="single" w:sz="4" w:space="0" w:color="auto"/>
              <w:left w:val="single" w:sz="4" w:space="0" w:color="auto"/>
              <w:bottom w:val="single" w:sz="4" w:space="0" w:color="auto"/>
              <w:right w:val="single" w:sz="4" w:space="0" w:color="auto"/>
            </w:tcBorders>
          </w:tcPr>
          <w:p w:rsidR="00222E72" w:rsidRPr="008347EC" w:rsidRDefault="00222E72" w:rsidP="00522905">
            <w:pPr>
              <w:jc w:val="center"/>
              <w:rPr>
                <w:lang w:eastAsia="en-US"/>
              </w:rPr>
            </w:pPr>
          </w:p>
        </w:tc>
        <w:tc>
          <w:tcPr>
            <w:tcW w:w="878" w:type="pct"/>
            <w:tcBorders>
              <w:top w:val="single" w:sz="4" w:space="0" w:color="auto"/>
              <w:left w:val="single" w:sz="4" w:space="0" w:color="auto"/>
              <w:bottom w:val="single" w:sz="4" w:space="0" w:color="auto"/>
              <w:right w:val="single" w:sz="4" w:space="0" w:color="auto"/>
            </w:tcBorders>
          </w:tcPr>
          <w:p w:rsidR="00222E72" w:rsidRPr="008347EC" w:rsidRDefault="00222E72" w:rsidP="00522905">
            <w:pPr>
              <w:jc w:val="center"/>
              <w:rPr>
                <w:lang w:eastAsia="en-US"/>
              </w:rPr>
            </w:pPr>
          </w:p>
        </w:tc>
      </w:tr>
    </w:tbl>
    <w:p w:rsidR="00C01E51" w:rsidRPr="008347EC" w:rsidRDefault="00C01E51" w:rsidP="00522905">
      <w:pPr>
        <w:ind w:left="57" w:right="57" w:firstLine="375"/>
        <w:contextualSpacing/>
        <w:mirrorIndents/>
        <w:jc w:val="both"/>
        <w:rPr>
          <w:sz w:val="22"/>
          <w:szCs w:val="22"/>
        </w:rPr>
      </w:pPr>
    </w:p>
    <w:p w:rsidR="00C01E51" w:rsidRPr="008347EC" w:rsidRDefault="00B654CF" w:rsidP="00522905">
      <w:pPr>
        <w:ind w:left="57" w:right="57"/>
        <w:contextualSpacing/>
        <w:mirrorIndents/>
        <w:rPr>
          <w:sz w:val="22"/>
          <w:szCs w:val="22"/>
        </w:rPr>
      </w:pPr>
      <w:r>
        <w:rPr>
          <w:b/>
          <w:bCs/>
          <w:sz w:val="22"/>
          <w:szCs w:val="22"/>
        </w:rPr>
        <w:t>Informācija par starpministriju (starpinstitūciju) sanāksmi vai elektronisko saskaņošanu</w:t>
      </w:r>
      <w:r>
        <w:rPr>
          <w:sz w:val="22"/>
          <w:szCs w:val="22"/>
        </w:rPr>
        <w:t> </w:t>
      </w:r>
    </w:p>
    <w:p w:rsidR="00D724E9" w:rsidRPr="008347EC" w:rsidRDefault="00D724E9" w:rsidP="00522905">
      <w:pPr>
        <w:ind w:left="57" w:right="57"/>
        <w:contextualSpacing/>
        <w:mirrorIndents/>
        <w:rPr>
          <w:sz w:val="22"/>
          <w:szCs w:val="22"/>
        </w:rPr>
      </w:pPr>
    </w:p>
    <w:tbl>
      <w:tblPr>
        <w:tblW w:w="14207" w:type="dxa"/>
        <w:tblLook w:val="00A0"/>
      </w:tblPr>
      <w:tblGrid>
        <w:gridCol w:w="14219"/>
      </w:tblGrid>
      <w:tr w:rsidR="00F64DE4" w:rsidRPr="008347EC" w:rsidTr="00F64DE4">
        <w:tc>
          <w:tcPr>
            <w:tcW w:w="14207" w:type="dxa"/>
            <w:hideMark/>
          </w:tcPr>
          <w:tbl>
            <w:tblPr>
              <w:tblW w:w="14175" w:type="dxa"/>
              <w:tblLook w:val="00A0"/>
            </w:tblPr>
            <w:tblGrid>
              <w:gridCol w:w="6487"/>
              <w:gridCol w:w="1651"/>
              <w:gridCol w:w="6037"/>
            </w:tblGrid>
            <w:tr w:rsidR="00F64DE4" w:rsidRPr="008347EC" w:rsidTr="008347EC">
              <w:tc>
                <w:tcPr>
                  <w:tcW w:w="6487" w:type="dxa"/>
                  <w:hideMark/>
                </w:tcPr>
                <w:p w:rsidR="00C01E51" w:rsidRPr="008347EC" w:rsidRDefault="00B654CF" w:rsidP="00522905">
                  <w:pPr>
                    <w:pStyle w:val="naisf"/>
                    <w:spacing w:before="0" w:after="0"/>
                    <w:ind w:firstLine="0"/>
                    <w:rPr>
                      <w:lang w:eastAsia="en-US"/>
                    </w:rPr>
                  </w:pPr>
                  <w:r>
                    <w:rPr>
                      <w:sz w:val="22"/>
                      <w:szCs w:val="22"/>
                      <w:lang w:eastAsia="en-US"/>
                    </w:rPr>
                    <w:t>Datums</w:t>
                  </w:r>
                </w:p>
              </w:tc>
              <w:tc>
                <w:tcPr>
                  <w:tcW w:w="7688" w:type="dxa"/>
                  <w:gridSpan w:val="2"/>
                  <w:tcBorders>
                    <w:top w:val="nil"/>
                    <w:left w:val="nil"/>
                    <w:bottom w:val="single" w:sz="4" w:space="0" w:color="auto"/>
                    <w:right w:val="nil"/>
                  </w:tcBorders>
                  <w:hideMark/>
                </w:tcPr>
                <w:p w:rsidR="00C01E51" w:rsidRPr="008347EC" w:rsidRDefault="00704197" w:rsidP="00ED69C0">
                  <w:pPr>
                    <w:pStyle w:val="ParastaisWeb"/>
                    <w:spacing w:before="0" w:beforeAutospacing="0" w:after="0" w:afterAutospacing="0"/>
                    <w:rPr>
                      <w:lang w:eastAsia="en-US"/>
                    </w:rPr>
                  </w:pPr>
                  <w:r w:rsidRPr="008347EC">
                    <w:rPr>
                      <w:sz w:val="22"/>
                      <w:szCs w:val="22"/>
                      <w:lang w:eastAsia="en-US"/>
                    </w:rPr>
                    <w:t>2019</w:t>
                  </w:r>
                  <w:r w:rsidR="00395D63" w:rsidRPr="008347EC">
                    <w:rPr>
                      <w:sz w:val="22"/>
                      <w:szCs w:val="22"/>
                      <w:lang w:eastAsia="en-US"/>
                    </w:rPr>
                    <w:t xml:space="preserve">.gada </w:t>
                  </w:r>
                  <w:r w:rsidRPr="008347EC">
                    <w:rPr>
                      <w:sz w:val="22"/>
                      <w:szCs w:val="22"/>
                      <w:lang w:eastAsia="en-US"/>
                    </w:rPr>
                    <w:t>12</w:t>
                  </w:r>
                  <w:r w:rsidR="00277C8F" w:rsidRPr="008347EC">
                    <w:rPr>
                      <w:sz w:val="22"/>
                      <w:szCs w:val="22"/>
                      <w:lang w:eastAsia="en-US"/>
                    </w:rPr>
                    <w:t>.novembris</w:t>
                  </w:r>
                  <w:r w:rsidRPr="008347EC">
                    <w:rPr>
                      <w:sz w:val="22"/>
                      <w:szCs w:val="22"/>
                      <w:lang w:eastAsia="en-US"/>
                    </w:rPr>
                    <w:t xml:space="preserve"> un 2019</w:t>
                  </w:r>
                  <w:r w:rsidR="00C444D7" w:rsidRPr="008347EC">
                    <w:rPr>
                      <w:sz w:val="22"/>
                      <w:szCs w:val="22"/>
                      <w:lang w:eastAsia="en-US"/>
                    </w:rPr>
                    <w:t>.gada</w:t>
                  </w:r>
                  <w:r w:rsidR="00B654CF">
                    <w:rPr>
                      <w:sz w:val="22"/>
                      <w:szCs w:val="22"/>
                      <w:lang w:eastAsia="en-US"/>
                    </w:rPr>
                    <w:t xml:space="preserve"> 9.decembris</w:t>
                  </w:r>
                </w:p>
              </w:tc>
            </w:tr>
            <w:tr w:rsidR="00F64DE4" w:rsidRPr="008347EC" w:rsidTr="008347EC">
              <w:tc>
                <w:tcPr>
                  <w:tcW w:w="6487" w:type="dxa"/>
                </w:tcPr>
                <w:p w:rsidR="00C01E51" w:rsidRPr="008347EC" w:rsidRDefault="00C01E51" w:rsidP="00522905">
                  <w:pPr>
                    <w:pStyle w:val="naisf"/>
                    <w:spacing w:before="0" w:after="0"/>
                    <w:rPr>
                      <w:lang w:eastAsia="en-US"/>
                    </w:rPr>
                  </w:pPr>
                </w:p>
              </w:tc>
              <w:tc>
                <w:tcPr>
                  <w:tcW w:w="7688" w:type="dxa"/>
                  <w:gridSpan w:val="2"/>
                  <w:tcBorders>
                    <w:top w:val="single" w:sz="4" w:space="0" w:color="auto"/>
                    <w:left w:val="nil"/>
                    <w:bottom w:val="nil"/>
                    <w:right w:val="nil"/>
                  </w:tcBorders>
                </w:tcPr>
                <w:p w:rsidR="00C01E51" w:rsidRPr="008347EC" w:rsidRDefault="00C01E51" w:rsidP="00522905">
                  <w:pPr>
                    <w:pStyle w:val="ParastaisWeb"/>
                    <w:spacing w:before="0" w:beforeAutospacing="0" w:after="0" w:afterAutospacing="0"/>
                    <w:ind w:firstLine="720"/>
                    <w:rPr>
                      <w:lang w:eastAsia="en-US"/>
                    </w:rPr>
                  </w:pPr>
                </w:p>
              </w:tc>
            </w:tr>
            <w:tr w:rsidR="00F64DE4" w:rsidRPr="008347EC" w:rsidTr="008347EC">
              <w:tc>
                <w:tcPr>
                  <w:tcW w:w="6487" w:type="dxa"/>
                  <w:hideMark/>
                </w:tcPr>
                <w:p w:rsidR="00C01E51" w:rsidRPr="008347EC" w:rsidRDefault="00102ED6" w:rsidP="00522905">
                  <w:pPr>
                    <w:pStyle w:val="naiskr"/>
                    <w:spacing w:before="0" w:after="0"/>
                    <w:rPr>
                      <w:lang w:eastAsia="en-US"/>
                    </w:rPr>
                  </w:pPr>
                  <w:r w:rsidRPr="008347EC">
                    <w:rPr>
                      <w:sz w:val="22"/>
                      <w:szCs w:val="22"/>
                      <w:lang w:eastAsia="en-US"/>
                    </w:rPr>
                    <w:t>Saskaņošanas dalībnieki</w:t>
                  </w:r>
                </w:p>
              </w:tc>
              <w:tc>
                <w:tcPr>
                  <w:tcW w:w="7688" w:type="dxa"/>
                  <w:gridSpan w:val="2"/>
                  <w:tcBorders>
                    <w:top w:val="nil"/>
                    <w:left w:val="nil"/>
                    <w:bottom w:val="single" w:sz="4" w:space="0" w:color="auto"/>
                    <w:right w:val="nil"/>
                  </w:tcBorders>
                  <w:hideMark/>
                </w:tcPr>
                <w:p w:rsidR="00D45402" w:rsidRDefault="00102ED6" w:rsidP="00340158">
                  <w:pPr>
                    <w:pStyle w:val="ParastaisWeb"/>
                    <w:spacing w:before="0" w:beforeAutospacing="0" w:after="0" w:afterAutospacing="0"/>
                    <w:jc w:val="both"/>
                    <w:rPr>
                      <w:lang w:eastAsia="en-US"/>
                    </w:rPr>
                  </w:pPr>
                  <w:r w:rsidRPr="008347EC">
                    <w:rPr>
                      <w:sz w:val="22"/>
                      <w:szCs w:val="22"/>
                      <w:lang w:eastAsia="en-US"/>
                    </w:rPr>
                    <w:t>Finanšu ministrija, Tieslietu ministrija un Vides aizsardzības un reģionālās attīstības ministrija</w:t>
                  </w:r>
                </w:p>
              </w:tc>
            </w:tr>
            <w:tr w:rsidR="00F64DE4" w:rsidRPr="008347EC" w:rsidTr="008347EC">
              <w:trPr>
                <w:trHeight w:val="208"/>
              </w:trPr>
              <w:tc>
                <w:tcPr>
                  <w:tcW w:w="6487" w:type="dxa"/>
                </w:tcPr>
                <w:p w:rsidR="00C01E51" w:rsidRPr="008347EC" w:rsidRDefault="00C01E51" w:rsidP="00522905">
                  <w:pPr>
                    <w:pStyle w:val="naiskr"/>
                    <w:spacing w:before="0" w:after="0"/>
                    <w:rPr>
                      <w:lang w:eastAsia="en-US"/>
                    </w:rPr>
                  </w:pPr>
                </w:p>
              </w:tc>
              <w:tc>
                <w:tcPr>
                  <w:tcW w:w="1651" w:type="dxa"/>
                </w:tcPr>
                <w:p w:rsidR="00C01E51" w:rsidRPr="008347EC" w:rsidRDefault="00C01E51" w:rsidP="00522905">
                  <w:pPr>
                    <w:pStyle w:val="naiskr"/>
                    <w:spacing w:before="0" w:after="0"/>
                    <w:ind w:firstLine="720"/>
                    <w:rPr>
                      <w:lang w:eastAsia="en-US"/>
                    </w:rPr>
                  </w:pPr>
                </w:p>
              </w:tc>
              <w:tc>
                <w:tcPr>
                  <w:tcW w:w="6037" w:type="dxa"/>
                </w:tcPr>
                <w:p w:rsidR="00C01E51" w:rsidRPr="008347EC" w:rsidRDefault="00C01E51" w:rsidP="00522905">
                  <w:pPr>
                    <w:pStyle w:val="naiskr"/>
                    <w:spacing w:before="0" w:after="0"/>
                    <w:ind w:firstLine="12"/>
                    <w:rPr>
                      <w:lang w:eastAsia="en-US"/>
                    </w:rPr>
                  </w:pPr>
                </w:p>
              </w:tc>
            </w:tr>
            <w:tr w:rsidR="00F64DE4" w:rsidRPr="008347EC" w:rsidTr="008347EC">
              <w:trPr>
                <w:trHeight w:val="296"/>
              </w:trPr>
              <w:tc>
                <w:tcPr>
                  <w:tcW w:w="6487" w:type="dxa"/>
                  <w:hideMark/>
                </w:tcPr>
                <w:p w:rsidR="00C01E51" w:rsidRPr="008347EC" w:rsidRDefault="00102ED6" w:rsidP="00522905">
                  <w:pPr>
                    <w:pStyle w:val="naiskr"/>
                    <w:spacing w:before="0" w:after="0"/>
                    <w:ind w:right="500"/>
                    <w:rPr>
                      <w:lang w:eastAsia="en-US"/>
                    </w:rPr>
                  </w:pPr>
                  <w:r w:rsidRPr="008347EC">
                    <w:rPr>
                      <w:sz w:val="22"/>
                      <w:szCs w:val="22"/>
                      <w:lang w:eastAsia="en-US"/>
                    </w:rPr>
                    <w:t>Saskaņošanas dalībnieki izskatīja šādu ministriju (citu institūciju) iebildumus</w:t>
                  </w:r>
                </w:p>
              </w:tc>
              <w:tc>
                <w:tcPr>
                  <w:tcW w:w="7688" w:type="dxa"/>
                  <w:gridSpan w:val="2"/>
                  <w:tcBorders>
                    <w:top w:val="nil"/>
                    <w:left w:val="nil"/>
                    <w:bottom w:val="single" w:sz="4" w:space="0" w:color="auto"/>
                    <w:right w:val="nil"/>
                  </w:tcBorders>
                  <w:hideMark/>
                </w:tcPr>
                <w:p w:rsidR="008347EC" w:rsidRDefault="008347EC" w:rsidP="000E66EA">
                  <w:pPr>
                    <w:pStyle w:val="naiskr"/>
                    <w:spacing w:before="0" w:after="0"/>
                    <w:ind w:right="500"/>
                    <w:rPr>
                      <w:lang w:eastAsia="en-US"/>
                    </w:rPr>
                  </w:pPr>
                </w:p>
                <w:p w:rsidR="00C01E51" w:rsidRPr="008347EC" w:rsidRDefault="00F525DE" w:rsidP="000E66EA">
                  <w:pPr>
                    <w:pStyle w:val="naiskr"/>
                    <w:spacing w:before="0" w:after="0"/>
                    <w:ind w:right="500"/>
                    <w:rPr>
                      <w:lang w:eastAsia="en-US"/>
                    </w:rPr>
                  </w:pPr>
                  <w:r w:rsidRPr="008347EC">
                    <w:rPr>
                      <w:sz w:val="22"/>
                      <w:szCs w:val="22"/>
                      <w:lang w:eastAsia="en-US"/>
                    </w:rPr>
                    <w:t>Finanšu ministrijas un</w:t>
                  </w:r>
                  <w:r w:rsidR="000E66EA" w:rsidRPr="008347EC">
                    <w:rPr>
                      <w:sz w:val="22"/>
                      <w:szCs w:val="22"/>
                      <w:lang w:eastAsia="en-US"/>
                    </w:rPr>
                    <w:t xml:space="preserve"> </w:t>
                  </w:r>
                  <w:r w:rsidR="00704197" w:rsidRPr="008347EC">
                    <w:rPr>
                      <w:sz w:val="22"/>
                      <w:szCs w:val="22"/>
                      <w:lang w:eastAsia="en-US"/>
                    </w:rPr>
                    <w:t>Tieslietu ministrijas</w:t>
                  </w:r>
                  <w:r w:rsidR="000E66EA" w:rsidRPr="008347EC">
                    <w:rPr>
                      <w:sz w:val="22"/>
                      <w:szCs w:val="22"/>
                      <w:lang w:eastAsia="en-US"/>
                    </w:rPr>
                    <w:t xml:space="preserve"> </w:t>
                  </w:r>
                </w:p>
              </w:tc>
            </w:tr>
            <w:tr w:rsidR="00F64DE4" w:rsidRPr="008347EC" w:rsidTr="00B872FC">
              <w:trPr>
                <w:trHeight w:val="224"/>
              </w:trPr>
              <w:tc>
                <w:tcPr>
                  <w:tcW w:w="14175" w:type="dxa"/>
                  <w:gridSpan w:val="3"/>
                </w:tcPr>
                <w:p w:rsidR="00C01E51" w:rsidRPr="008347EC" w:rsidRDefault="00C01E51" w:rsidP="00522905">
                  <w:pPr>
                    <w:pStyle w:val="naisc"/>
                    <w:spacing w:before="0" w:after="0"/>
                    <w:ind w:right="500"/>
                    <w:rPr>
                      <w:lang w:eastAsia="en-US"/>
                    </w:rPr>
                  </w:pPr>
                </w:p>
              </w:tc>
            </w:tr>
            <w:tr w:rsidR="00F64DE4" w:rsidRPr="008347EC" w:rsidTr="00B872FC">
              <w:tc>
                <w:tcPr>
                  <w:tcW w:w="6487" w:type="dxa"/>
                  <w:hideMark/>
                </w:tcPr>
                <w:p w:rsidR="00C01E51" w:rsidRPr="008347EC" w:rsidRDefault="00102ED6" w:rsidP="00522905">
                  <w:pPr>
                    <w:pStyle w:val="naiskr"/>
                    <w:spacing w:before="0" w:after="0"/>
                    <w:ind w:right="500"/>
                    <w:rPr>
                      <w:lang w:eastAsia="en-US"/>
                    </w:rPr>
                  </w:pPr>
                  <w:r w:rsidRPr="008347EC">
                    <w:rPr>
                      <w:sz w:val="22"/>
                      <w:szCs w:val="22"/>
                      <w:lang w:eastAsia="en-US"/>
                    </w:rPr>
                    <w:t>Ministrijas (citas institūcijas), kuras nav ieradušās uz sanāksmi vai kuras nav atbildējušas uz uzaicinājumu piedalīties elektroniskajā saskaņošanā</w:t>
                  </w:r>
                </w:p>
              </w:tc>
              <w:tc>
                <w:tcPr>
                  <w:tcW w:w="7688" w:type="dxa"/>
                  <w:gridSpan w:val="2"/>
                  <w:tcBorders>
                    <w:top w:val="nil"/>
                    <w:left w:val="nil"/>
                    <w:bottom w:val="single" w:sz="4" w:space="0" w:color="auto"/>
                    <w:right w:val="nil"/>
                  </w:tcBorders>
                </w:tcPr>
                <w:p w:rsidR="00C01E51" w:rsidRPr="008347EC" w:rsidRDefault="00C01E51" w:rsidP="00522905">
                  <w:pPr>
                    <w:pStyle w:val="naiskr"/>
                    <w:spacing w:before="0" w:after="0"/>
                    <w:ind w:right="500" w:firstLine="720"/>
                    <w:rPr>
                      <w:lang w:eastAsia="en-US"/>
                    </w:rPr>
                  </w:pPr>
                </w:p>
              </w:tc>
            </w:tr>
          </w:tbl>
          <w:p w:rsidR="00C01E51" w:rsidRPr="008347EC" w:rsidRDefault="00102ED6" w:rsidP="00522905">
            <w:pPr>
              <w:pStyle w:val="naiskr"/>
              <w:spacing w:before="0" w:after="0"/>
              <w:ind w:right="500" w:firstLine="720"/>
              <w:rPr>
                <w:lang w:eastAsia="en-US"/>
              </w:rPr>
            </w:pPr>
            <w:r w:rsidRPr="008347EC">
              <w:rPr>
                <w:sz w:val="22"/>
                <w:szCs w:val="22"/>
                <w:lang w:eastAsia="en-US"/>
              </w:rPr>
              <w:t>  </w:t>
            </w:r>
          </w:p>
        </w:tc>
      </w:tr>
    </w:tbl>
    <w:p w:rsidR="00F64DE4" w:rsidRPr="008347EC" w:rsidRDefault="00102ED6" w:rsidP="00522905">
      <w:pPr>
        <w:pStyle w:val="naisnod"/>
        <w:spacing w:before="0" w:after="0"/>
        <w:ind w:left="57" w:right="57"/>
        <w:contextualSpacing/>
        <w:mirrorIndents/>
        <w:rPr>
          <w:sz w:val="22"/>
          <w:szCs w:val="22"/>
        </w:rPr>
      </w:pPr>
      <w:r w:rsidRPr="008347EC">
        <w:rPr>
          <w:sz w:val="22"/>
          <w:szCs w:val="22"/>
        </w:rPr>
        <w:t>II. Jautājumi, par kuriem saskaņošanā vienošanās ir panākta</w:t>
      </w:r>
    </w:p>
    <w:p w:rsidR="00F64DE4" w:rsidRPr="008347EC" w:rsidRDefault="00F64DE4" w:rsidP="00522905">
      <w:pPr>
        <w:pStyle w:val="naisnod"/>
        <w:spacing w:before="0" w:after="0"/>
        <w:ind w:left="57" w:right="57"/>
        <w:contextualSpacing/>
        <w:mirrorIndents/>
        <w:rPr>
          <w:sz w:val="22"/>
          <w:szCs w:val="22"/>
        </w:rPr>
      </w:pPr>
    </w:p>
    <w:tbl>
      <w:tblPr>
        <w:tblW w:w="5184" w:type="pct"/>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07"/>
        <w:gridCol w:w="3464"/>
        <w:gridCol w:w="3544"/>
        <w:gridCol w:w="3541"/>
        <w:gridCol w:w="3686"/>
      </w:tblGrid>
      <w:tr w:rsidR="00F64DE4" w:rsidRPr="008347EC" w:rsidTr="00B872FC">
        <w:tc>
          <w:tcPr>
            <w:tcW w:w="172" w:type="pct"/>
            <w:tcBorders>
              <w:top w:val="single" w:sz="6" w:space="0" w:color="000000"/>
              <w:left w:val="single" w:sz="6" w:space="0" w:color="000000"/>
              <w:bottom w:val="single" w:sz="6" w:space="0" w:color="000000"/>
              <w:right w:val="single" w:sz="6" w:space="0" w:color="000000"/>
            </w:tcBorders>
            <w:vAlign w:val="center"/>
          </w:tcPr>
          <w:p w:rsidR="00C01E51" w:rsidRPr="008347EC" w:rsidRDefault="00C01E51" w:rsidP="00522905">
            <w:pPr>
              <w:pStyle w:val="naisc"/>
              <w:spacing w:before="0" w:after="0"/>
              <w:rPr>
                <w:lang w:eastAsia="en-US"/>
              </w:rPr>
            </w:pPr>
          </w:p>
        </w:tc>
        <w:tc>
          <w:tcPr>
            <w:tcW w:w="1175" w:type="pct"/>
            <w:tcBorders>
              <w:top w:val="single" w:sz="6" w:space="0" w:color="000000"/>
              <w:left w:val="single" w:sz="6" w:space="0" w:color="000000"/>
              <w:bottom w:val="single" w:sz="6" w:space="0" w:color="000000"/>
              <w:right w:val="single" w:sz="6" w:space="0" w:color="000000"/>
            </w:tcBorders>
            <w:vAlign w:val="center"/>
            <w:hideMark/>
          </w:tcPr>
          <w:p w:rsidR="00C01E51" w:rsidRPr="008347EC" w:rsidRDefault="00F64DE4" w:rsidP="00522905">
            <w:pPr>
              <w:pStyle w:val="naisc"/>
              <w:spacing w:before="0" w:after="0"/>
              <w:ind w:firstLine="12"/>
              <w:rPr>
                <w:lang w:eastAsia="en-US"/>
              </w:rPr>
            </w:pPr>
            <w:r w:rsidRPr="008347EC">
              <w:rPr>
                <w:sz w:val="22"/>
                <w:szCs w:val="22"/>
                <w:lang w:eastAsia="en-US"/>
              </w:rPr>
              <w:t>Saskaņošanai nosūtītā projekta redakcija</w:t>
            </w:r>
            <w:r w:rsidR="00102ED6" w:rsidRPr="008347EC">
              <w:rPr>
                <w:sz w:val="22"/>
                <w:szCs w:val="22"/>
                <w:lang w:eastAsia="en-US"/>
              </w:rPr>
              <w:t xml:space="preserve"> (konkrēta punkta (panta) redakcija)</w:t>
            </w:r>
          </w:p>
        </w:tc>
        <w:tc>
          <w:tcPr>
            <w:tcW w:w="1202" w:type="pct"/>
            <w:tcBorders>
              <w:top w:val="single" w:sz="6" w:space="0" w:color="000000"/>
              <w:left w:val="single" w:sz="6" w:space="0" w:color="000000"/>
              <w:bottom w:val="single" w:sz="6" w:space="0" w:color="000000"/>
              <w:right w:val="single" w:sz="6" w:space="0" w:color="000000"/>
            </w:tcBorders>
            <w:vAlign w:val="center"/>
            <w:hideMark/>
          </w:tcPr>
          <w:p w:rsidR="00C01E51" w:rsidRPr="008347EC" w:rsidRDefault="00F64DE4" w:rsidP="00522905">
            <w:pPr>
              <w:pStyle w:val="naisc"/>
              <w:spacing w:before="0" w:after="0"/>
              <w:ind w:right="31"/>
              <w:rPr>
                <w:lang w:eastAsia="en-US"/>
              </w:rPr>
            </w:pPr>
            <w:r w:rsidRPr="008347EC">
              <w:rPr>
                <w:sz w:val="22"/>
                <w:szCs w:val="22"/>
                <w:lang w:eastAsia="en-US"/>
              </w:rPr>
              <w:t xml:space="preserve">Atzinumā norādītais ministrijas (citas institūcijas) </w:t>
            </w:r>
            <w:r w:rsidR="00102ED6" w:rsidRPr="008347EC">
              <w:rPr>
                <w:sz w:val="22"/>
                <w:szCs w:val="22"/>
                <w:lang w:eastAsia="en-US"/>
              </w:rPr>
              <w:t>iebildums, kā arī saskaņošanā papildus izteiktais iebildums par projekta konkrēto punktu (pantu)</w:t>
            </w:r>
          </w:p>
        </w:tc>
        <w:tc>
          <w:tcPr>
            <w:tcW w:w="1201" w:type="pct"/>
            <w:tcBorders>
              <w:top w:val="single" w:sz="6" w:space="0" w:color="000000"/>
              <w:left w:val="single" w:sz="6" w:space="0" w:color="000000"/>
              <w:bottom w:val="single" w:sz="6" w:space="0" w:color="000000"/>
              <w:right w:val="single" w:sz="6" w:space="0" w:color="000000"/>
            </w:tcBorders>
            <w:vAlign w:val="center"/>
            <w:hideMark/>
          </w:tcPr>
          <w:p w:rsidR="00C01E51" w:rsidRPr="008347EC" w:rsidRDefault="00102ED6" w:rsidP="00522905">
            <w:pPr>
              <w:pStyle w:val="naisc"/>
              <w:spacing w:before="0" w:after="0"/>
              <w:rPr>
                <w:lang w:eastAsia="en-US"/>
              </w:rPr>
            </w:pPr>
            <w:r w:rsidRPr="008347EC">
              <w:rPr>
                <w:sz w:val="22"/>
                <w:szCs w:val="22"/>
                <w:lang w:eastAsia="en-US"/>
              </w:rPr>
              <w:t>Atbildīgās ministrijas norāde par to, ka iebildums ir ņemts vērā, vai informācija par saskaņošanā panākto alternatīvo risinājumu</w:t>
            </w:r>
          </w:p>
        </w:tc>
        <w:tc>
          <w:tcPr>
            <w:tcW w:w="1250" w:type="pct"/>
            <w:tcBorders>
              <w:top w:val="single" w:sz="4" w:space="0" w:color="auto"/>
              <w:left w:val="single" w:sz="4" w:space="0" w:color="auto"/>
              <w:bottom w:val="single" w:sz="4" w:space="0" w:color="auto"/>
              <w:right w:val="single" w:sz="4" w:space="0" w:color="auto"/>
            </w:tcBorders>
            <w:vAlign w:val="center"/>
            <w:hideMark/>
          </w:tcPr>
          <w:p w:rsidR="00C01E51" w:rsidRPr="008347EC" w:rsidRDefault="00102ED6" w:rsidP="00522905">
            <w:pPr>
              <w:pStyle w:val="naisc"/>
              <w:spacing w:before="0" w:after="0"/>
              <w:rPr>
                <w:lang w:eastAsia="en-US"/>
              </w:rPr>
            </w:pPr>
            <w:r w:rsidRPr="008347EC">
              <w:rPr>
                <w:sz w:val="22"/>
                <w:szCs w:val="22"/>
                <w:lang w:eastAsia="en-US"/>
              </w:rPr>
              <w:t>Projekta attiecīgā punkta (panta) galīgā redakcija</w:t>
            </w:r>
          </w:p>
        </w:tc>
      </w:tr>
      <w:tr w:rsidR="00F64DE4" w:rsidRPr="008347EC" w:rsidTr="00B872FC">
        <w:tc>
          <w:tcPr>
            <w:tcW w:w="172" w:type="pct"/>
            <w:tcBorders>
              <w:top w:val="single" w:sz="6" w:space="0" w:color="000000"/>
              <w:left w:val="single" w:sz="6" w:space="0" w:color="000000"/>
              <w:bottom w:val="single" w:sz="4" w:space="0" w:color="auto"/>
              <w:right w:val="single" w:sz="6" w:space="0" w:color="000000"/>
            </w:tcBorders>
            <w:hideMark/>
          </w:tcPr>
          <w:p w:rsidR="00C01E51" w:rsidRPr="008347EC" w:rsidRDefault="00102ED6" w:rsidP="00522905">
            <w:pPr>
              <w:pStyle w:val="naisc"/>
              <w:spacing w:before="0" w:after="0"/>
              <w:rPr>
                <w:lang w:eastAsia="en-US"/>
              </w:rPr>
            </w:pPr>
            <w:r w:rsidRPr="008347EC">
              <w:rPr>
                <w:sz w:val="22"/>
                <w:szCs w:val="22"/>
                <w:lang w:eastAsia="en-US"/>
              </w:rPr>
              <w:lastRenderedPageBreak/>
              <w:t>1</w:t>
            </w:r>
          </w:p>
        </w:tc>
        <w:tc>
          <w:tcPr>
            <w:tcW w:w="1175" w:type="pct"/>
            <w:tcBorders>
              <w:top w:val="single" w:sz="6" w:space="0" w:color="000000"/>
              <w:left w:val="single" w:sz="6" w:space="0" w:color="000000"/>
              <w:bottom w:val="single" w:sz="4" w:space="0" w:color="auto"/>
              <w:right w:val="single" w:sz="6" w:space="0" w:color="000000"/>
            </w:tcBorders>
            <w:hideMark/>
          </w:tcPr>
          <w:p w:rsidR="00C01E51" w:rsidRPr="008347EC" w:rsidRDefault="00102ED6" w:rsidP="00522905">
            <w:pPr>
              <w:pStyle w:val="naisc"/>
              <w:spacing w:before="0" w:after="0"/>
              <w:ind w:firstLine="12"/>
              <w:rPr>
                <w:lang w:eastAsia="en-US"/>
              </w:rPr>
            </w:pPr>
            <w:r w:rsidRPr="008347EC">
              <w:rPr>
                <w:sz w:val="22"/>
                <w:szCs w:val="22"/>
                <w:lang w:eastAsia="en-US"/>
              </w:rPr>
              <w:t>2</w:t>
            </w:r>
          </w:p>
        </w:tc>
        <w:tc>
          <w:tcPr>
            <w:tcW w:w="1202" w:type="pct"/>
            <w:tcBorders>
              <w:top w:val="single" w:sz="6" w:space="0" w:color="000000"/>
              <w:left w:val="single" w:sz="6" w:space="0" w:color="000000"/>
              <w:bottom w:val="single" w:sz="4" w:space="0" w:color="auto"/>
              <w:right w:val="single" w:sz="6" w:space="0" w:color="000000"/>
            </w:tcBorders>
            <w:hideMark/>
          </w:tcPr>
          <w:p w:rsidR="00C01E51" w:rsidRPr="008347EC" w:rsidRDefault="00102ED6" w:rsidP="00522905">
            <w:pPr>
              <w:pStyle w:val="naisc"/>
              <w:spacing w:before="0" w:after="0"/>
              <w:ind w:right="31"/>
              <w:rPr>
                <w:lang w:eastAsia="en-US"/>
              </w:rPr>
            </w:pPr>
            <w:r w:rsidRPr="008347EC">
              <w:rPr>
                <w:sz w:val="22"/>
                <w:szCs w:val="22"/>
                <w:lang w:eastAsia="en-US"/>
              </w:rPr>
              <w:t>3</w:t>
            </w:r>
          </w:p>
        </w:tc>
        <w:tc>
          <w:tcPr>
            <w:tcW w:w="1201" w:type="pct"/>
            <w:tcBorders>
              <w:top w:val="single" w:sz="6" w:space="0" w:color="000000"/>
              <w:left w:val="single" w:sz="6" w:space="0" w:color="000000"/>
              <w:bottom w:val="single" w:sz="4" w:space="0" w:color="auto"/>
              <w:right w:val="single" w:sz="6" w:space="0" w:color="000000"/>
            </w:tcBorders>
            <w:hideMark/>
          </w:tcPr>
          <w:p w:rsidR="00C01E51" w:rsidRPr="008347EC" w:rsidRDefault="00102ED6" w:rsidP="00522905">
            <w:pPr>
              <w:pStyle w:val="naisc"/>
              <w:spacing w:before="0" w:after="0"/>
              <w:rPr>
                <w:lang w:eastAsia="en-US"/>
              </w:rPr>
            </w:pPr>
            <w:r w:rsidRPr="008347EC">
              <w:rPr>
                <w:sz w:val="22"/>
                <w:szCs w:val="22"/>
                <w:lang w:eastAsia="en-US"/>
              </w:rPr>
              <w:t>4</w:t>
            </w:r>
          </w:p>
        </w:tc>
        <w:tc>
          <w:tcPr>
            <w:tcW w:w="1250" w:type="pct"/>
            <w:tcBorders>
              <w:top w:val="single" w:sz="4" w:space="0" w:color="auto"/>
              <w:left w:val="single" w:sz="4" w:space="0" w:color="auto"/>
              <w:bottom w:val="single" w:sz="4" w:space="0" w:color="auto"/>
              <w:right w:val="single" w:sz="4" w:space="0" w:color="auto"/>
            </w:tcBorders>
            <w:hideMark/>
          </w:tcPr>
          <w:p w:rsidR="00C01E51" w:rsidRPr="008347EC" w:rsidRDefault="00102ED6" w:rsidP="00522905">
            <w:pPr>
              <w:jc w:val="center"/>
              <w:rPr>
                <w:lang w:eastAsia="en-US"/>
              </w:rPr>
            </w:pPr>
            <w:r w:rsidRPr="008347EC">
              <w:rPr>
                <w:sz w:val="22"/>
                <w:szCs w:val="22"/>
                <w:lang w:eastAsia="en-US"/>
              </w:rPr>
              <w:t>5</w:t>
            </w:r>
          </w:p>
        </w:tc>
      </w:tr>
      <w:tr w:rsidR="00997920" w:rsidRPr="008347EC" w:rsidTr="00B872FC">
        <w:tc>
          <w:tcPr>
            <w:tcW w:w="172" w:type="pct"/>
            <w:tcBorders>
              <w:top w:val="single" w:sz="4" w:space="0" w:color="auto"/>
              <w:left w:val="single" w:sz="6" w:space="0" w:color="000000"/>
              <w:bottom w:val="single" w:sz="4" w:space="0" w:color="auto"/>
              <w:right w:val="single" w:sz="6" w:space="0" w:color="000000"/>
            </w:tcBorders>
            <w:shd w:val="clear" w:color="auto" w:fill="auto"/>
          </w:tcPr>
          <w:p w:rsidR="00997920" w:rsidRPr="008347EC" w:rsidRDefault="00102ED6" w:rsidP="00522905">
            <w:pPr>
              <w:pStyle w:val="naisc"/>
              <w:spacing w:before="0" w:after="0"/>
              <w:rPr>
                <w:lang w:eastAsia="en-US"/>
              </w:rPr>
            </w:pPr>
            <w:r w:rsidRPr="008347EC">
              <w:rPr>
                <w:sz w:val="22"/>
                <w:szCs w:val="22"/>
                <w:lang w:eastAsia="en-US"/>
              </w:rPr>
              <w:t>1.</w:t>
            </w:r>
          </w:p>
        </w:tc>
        <w:tc>
          <w:tcPr>
            <w:tcW w:w="1175" w:type="pct"/>
            <w:tcBorders>
              <w:top w:val="single" w:sz="4" w:space="0" w:color="auto"/>
              <w:left w:val="single" w:sz="6" w:space="0" w:color="000000"/>
              <w:right w:val="single" w:sz="6" w:space="0" w:color="000000"/>
            </w:tcBorders>
            <w:shd w:val="clear" w:color="auto" w:fill="auto"/>
            <w:hideMark/>
          </w:tcPr>
          <w:p w:rsidR="008B7400" w:rsidRPr="008347EC" w:rsidRDefault="008C010C" w:rsidP="008B7400">
            <w:pPr>
              <w:pStyle w:val="Default"/>
              <w:jc w:val="both"/>
              <w:rPr>
                <w:color w:val="auto"/>
                <w:sz w:val="22"/>
                <w:szCs w:val="22"/>
              </w:rPr>
            </w:pPr>
            <w:r w:rsidRPr="008347EC">
              <w:rPr>
                <w:color w:val="auto"/>
                <w:sz w:val="22"/>
                <w:szCs w:val="22"/>
              </w:rPr>
              <w:t xml:space="preserve">Ministru kabineta noteikumu projekta </w:t>
            </w:r>
            <w:r w:rsidR="00C0025C" w:rsidRPr="008347EC">
              <w:rPr>
                <w:color w:val="auto"/>
                <w:sz w:val="22"/>
                <w:szCs w:val="22"/>
              </w:rPr>
              <w:t>„Grozījumi Ministru kabineta 2016.gada 24.maija noteikumos Nr.322 „Darbības</w:t>
            </w:r>
            <w:r w:rsidR="00B654CF">
              <w:rPr>
                <w:color w:val="auto"/>
                <w:sz w:val="22"/>
                <w:szCs w:val="22"/>
              </w:rPr>
              <w:t xml:space="preserve"> programmas „Izaugsme un nodarbinātība” prioritārā virziena „Vides aizsardzības un resursu izmantošanas efektivitāte” 5.5.1.specifiskā atbalsta mērķa „Saglabāt, aizsargāt un attīstīt nozīmīgu kultūras un dabas mantojumu, kā arī attīstīt ar to saistītos pakalpojumus” pirmās un otrās atlases kārtas īstenošanas noteikumi”” (turpmāk – Noteikumu projekts) 2.punkts:</w:t>
            </w:r>
          </w:p>
          <w:p w:rsidR="00E11428" w:rsidRPr="008347EC" w:rsidRDefault="00B654CF">
            <w:pPr>
              <w:tabs>
                <w:tab w:val="left" w:pos="378"/>
              </w:tabs>
              <w:jc w:val="both"/>
            </w:pPr>
            <w:r>
              <w:rPr>
                <w:sz w:val="22"/>
                <w:szCs w:val="22"/>
              </w:rPr>
              <w:t>„2. Izteikt 11.1. un 11.2.apakšpunktu šādā redakcijā:</w:t>
            </w:r>
          </w:p>
          <w:p w:rsidR="00E11428" w:rsidRPr="008347EC" w:rsidRDefault="00C0025C">
            <w:pPr>
              <w:pStyle w:val="Sarakstarindkopa"/>
              <w:ind w:left="662" w:hanging="662"/>
              <w:jc w:val="both"/>
              <w:rPr>
                <w:rFonts w:ascii="Times New Roman" w:eastAsia="Times New Roman" w:hAnsi="Times New Roman"/>
                <w:lang w:eastAsia="lv-LV"/>
              </w:rPr>
            </w:pPr>
            <w:r w:rsidRPr="008347EC">
              <w:rPr>
                <w:rFonts w:ascii="Times New Roman" w:eastAsia="Times New Roman" w:hAnsi="Times New Roman"/>
                <w:lang w:eastAsia="lv-LV"/>
              </w:rPr>
              <w:t>„11.1.</w:t>
            </w:r>
            <w:r w:rsidR="00ED69C0" w:rsidRPr="008347EC">
              <w:rPr>
                <w:rFonts w:ascii="Times New Roman" w:eastAsia="Times New Roman" w:hAnsi="Times New Roman"/>
                <w:lang w:eastAsia="lv-LV"/>
              </w:rPr>
              <w:t>  </w:t>
            </w:r>
            <w:r w:rsidRPr="008347EC">
              <w:rPr>
                <w:rFonts w:ascii="Times New Roman" w:eastAsia="Times New Roman" w:hAnsi="Times New Roman"/>
                <w:lang w:eastAsia="lv-LV"/>
              </w:rPr>
              <w:t>pirmās atlases kārtas ietvaros plānotais kopējais attiecināmais finansējums ir ne mazāk kā 23 584</w:t>
            </w:r>
            <w:r w:rsidR="00ED69C0" w:rsidRPr="008347EC">
              <w:rPr>
                <w:rFonts w:ascii="Times New Roman" w:eastAsia="Times New Roman" w:hAnsi="Times New Roman"/>
                <w:lang w:eastAsia="lv-LV"/>
              </w:rPr>
              <w:t> </w:t>
            </w:r>
            <w:r w:rsidRPr="008347EC">
              <w:rPr>
                <w:rFonts w:ascii="Times New Roman" w:eastAsia="Times New Roman" w:hAnsi="Times New Roman"/>
                <w:lang w:eastAsia="lv-LV"/>
              </w:rPr>
              <w:t>785</w:t>
            </w:r>
            <w:r w:rsidR="00B654CF">
              <w:rPr>
                <w:rFonts w:ascii="Times New Roman" w:eastAsia="Times New Roman" w:hAnsi="Times New Roman"/>
                <w:lang w:eastAsia="lv-LV"/>
              </w:rPr>
              <w:t> </w:t>
            </w:r>
            <w:r w:rsidR="00B654CF">
              <w:rPr>
                <w:rFonts w:ascii="Times New Roman" w:eastAsia="Times New Roman" w:hAnsi="Times New Roman"/>
                <w:i/>
                <w:lang w:eastAsia="lv-LV"/>
              </w:rPr>
              <w:t>euro</w:t>
            </w:r>
            <w:r w:rsidR="00B654CF">
              <w:rPr>
                <w:rFonts w:ascii="Times New Roman" w:eastAsia="Times New Roman" w:hAnsi="Times New Roman"/>
                <w:lang w:eastAsia="lv-LV"/>
              </w:rPr>
              <w:t>, tai skaitā Eiropas Reģionālās attīstības fonda finansējums – ne vairāk kā 20 044 517 </w:t>
            </w:r>
            <w:r w:rsidR="00B654CF">
              <w:rPr>
                <w:rFonts w:ascii="Times New Roman" w:eastAsia="Times New Roman" w:hAnsi="Times New Roman"/>
                <w:i/>
                <w:lang w:eastAsia="lv-LV"/>
              </w:rPr>
              <w:t>euro</w:t>
            </w:r>
            <w:r w:rsidR="00B654CF">
              <w:rPr>
                <w:rFonts w:ascii="Times New Roman" w:eastAsia="Times New Roman" w:hAnsi="Times New Roman"/>
                <w:lang w:eastAsia="lv-LV"/>
              </w:rPr>
              <w:t xml:space="preserve"> un nacionālais finansējums – 3 537 269 </w:t>
            </w:r>
            <w:r w:rsidR="00B654CF">
              <w:rPr>
                <w:rFonts w:ascii="Times New Roman" w:eastAsia="Times New Roman" w:hAnsi="Times New Roman"/>
                <w:i/>
                <w:lang w:eastAsia="lv-LV"/>
              </w:rPr>
              <w:t>euro</w:t>
            </w:r>
            <w:r w:rsidR="00B654CF">
              <w:rPr>
                <w:rFonts w:ascii="Times New Roman" w:eastAsia="Times New Roman" w:hAnsi="Times New Roman"/>
                <w:lang w:eastAsia="lv-LV"/>
              </w:rPr>
              <w:t>;</w:t>
            </w:r>
          </w:p>
          <w:p w:rsidR="00573FB7" w:rsidRPr="008347EC" w:rsidRDefault="00B654CF" w:rsidP="00ED69C0">
            <w:pPr>
              <w:pStyle w:val="Sarakstarindkopa"/>
              <w:tabs>
                <w:tab w:val="left" w:pos="1418"/>
              </w:tabs>
              <w:ind w:left="662" w:hanging="662"/>
              <w:jc w:val="both"/>
              <w:rPr>
                <w:rFonts w:ascii="Times New Roman" w:eastAsia="Times New Roman" w:hAnsi="Times New Roman"/>
                <w:lang w:eastAsia="lv-LV"/>
              </w:rPr>
            </w:pPr>
            <w:r>
              <w:rPr>
                <w:rFonts w:ascii="Times New Roman" w:eastAsia="Times New Roman" w:hAnsi="Times New Roman"/>
                <w:lang w:eastAsia="lv-LV"/>
              </w:rPr>
              <w:t xml:space="preserve"> 11.2.  otrās atlases kārtas ietvaros plānotais kopējais attiecināmais finansējums ir ne mazāk kā </w:t>
            </w:r>
            <w:r>
              <w:rPr>
                <w:rFonts w:ascii="Times New Roman" w:eastAsia="Times New Roman" w:hAnsi="Times New Roman"/>
                <w:lang w:eastAsia="lv-LV"/>
              </w:rPr>
              <w:lastRenderedPageBreak/>
              <w:t>17 570 878 </w:t>
            </w:r>
            <w:r>
              <w:rPr>
                <w:rFonts w:ascii="Times New Roman" w:eastAsia="Times New Roman" w:hAnsi="Times New Roman"/>
                <w:i/>
                <w:lang w:eastAsia="lv-LV"/>
              </w:rPr>
              <w:t>euro</w:t>
            </w:r>
            <w:r>
              <w:rPr>
                <w:rFonts w:ascii="Times New Roman" w:eastAsia="Times New Roman" w:hAnsi="Times New Roman"/>
                <w:lang w:eastAsia="lv-LV"/>
              </w:rPr>
              <w:t xml:space="preserve">, tai skaitā Eiropas Reģionālās attīstības fonda finansējums – ne vairāk kā 14 935 246 </w:t>
            </w:r>
            <w:r>
              <w:rPr>
                <w:rFonts w:ascii="Times New Roman" w:eastAsia="Times New Roman" w:hAnsi="Times New Roman"/>
                <w:i/>
                <w:lang w:eastAsia="lv-LV"/>
              </w:rPr>
              <w:t>euro</w:t>
            </w:r>
            <w:r>
              <w:rPr>
                <w:rFonts w:ascii="Times New Roman" w:eastAsia="Times New Roman" w:hAnsi="Times New Roman"/>
                <w:lang w:eastAsia="lv-LV"/>
              </w:rPr>
              <w:t xml:space="preserve"> un nacionālais finansējums – 2 635 632 </w:t>
            </w:r>
            <w:r>
              <w:rPr>
                <w:rFonts w:ascii="Times New Roman" w:eastAsia="Times New Roman" w:hAnsi="Times New Roman"/>
                <w:i/>
                <w:lang w:eastAsia="lv-LV"/>
              </w:rPr>
              <w:t>euro</w:t>
            </w:r>
            <w:r>
              <w:rPr>
                <w:rFonts w:ascii="Times New Roman" w:eastAsia="Times New Roman" w:hAnsi="Times New Roman"/>
                <w:lang w:eastAsia="lv-LV"/>
              </w:rPr>
              <w:t>.”.”</w:t>
            </w:r>
            <w:r w:rsidR="008347EC">
              <w:rPr>
                <w:rFonts w:ascii="Times New Roman" w:eastAsia="Times New Roman" w:hAnsi="Times New Roman"/>
                <w:lang w:eastAsia="lv-LV"/>
              </w:rPr>
              <w:t>.</w:t>
            </w:r>
          </w:p>
          <w:p w:rsidR="00573FB7" w:rsidRPr="008347EC" w:rsidRDefault="00573FB7" w:rsidP="008B7400">
            <w:pPr>
              <w:pStyle w:val="Default"/>
              <w:jc w:val="both"/>
              <w:rPr>
                <w:color w:val="auto"/>
                <w:sz w:val="22"/>
                <w:szCs w:val="22"/>
              </w:rPr>
            </w:pPr>
          </w:p>
          <w:p w:rsidR="0091622B" w:rsidRPr="008347EC" w:rsidRDefault="0091622B" w:rsidP="008B7400">
            <w:pPr>
              <w:tabs>
                <w:tab w:val="left" w:pos="1134"/>
              </w:tabs>
              <w:jc w:val="both"/>
            </w:pPr>
          </w:p>
          <w:p w:rsidR="00102ED6" w:rsidRPr="008347EC" w:rsidRDefault="00102ED6" w:rsidP="00102ED6">
            <w:pPr>
              <w:pStyle w:val="Sarakstarindkopa"/>
              <w:tabs>
                <w:tab w:val="left" w:pos="95"/>
              </w:tabs>
              <w:ind w:left="0"/>
              <w:jc w:val="both"/>
              <w:rPr>
                <w:rFonts w:ascii="Times New Roman" w:eastAsia="Times New Roman" w:hAnsi="Times New Roman"/>
                <w:lang w:eastAsia="lv-LV"/>
              </w:rPr>
            </w:pPr>
          </w:p>
        </w:tc>
        <w:tc>
          <w:tcPr>
            <w:tcW w:w="1202" w:type="pct"/>
            <w:tcBorders>
              <w:top w:val="single" w:sz="4" w:space="0" w:color="auto"/>
              <w:left w:val="single" w:sz="6" w:space="0" w:color="000000"/>
              <w:bottom w:val="single" w:sz="4" w:space="0" w:color="auto"/>
              <w:right w:val="single" w:sz="6" w:space="0" w:color="000000"/>
            </w:tcBorders>
            <w:shd w:val="clear" w:color="auto" w:fill="auto"/>
            <w:hideMark/>
          </w:tcPr>
          <w:p w:rsidR="007E2DE0" w:rsidRPr="008347EC" w:rsidRDefault="00997920">
            <w:pPr>
              <w:pStyle w:val="Komentrateksts"/>
              <w:widowControl w:val="0"/>
              <w:jc w:val="both"/>
              <w:rPr>
                <w:b/>
                <w:sz w:val="22"/>
                <w:szCs w:val="22"/>
              </w:rPr>
            </w:pPr>
            <w:r w:rsidRPr="008347EC">
              <w:rPr>
                <w:b/>
                <w:sz w:val="22"/>
                <w:szCs w:val="22"/>
              </w:rPr>
              <w:lastRenderedPageBreak/>
              <w:t>Finanšu ministrija</w:t>
            </w:r>
            <w:r w:rsidR="008347EC">
              <w:rPr>
                <w:b/>
                <w:sz w:val="22"/>
                <w:szCs w:val="22"/>
              </w:rPr>
              <w:t>:</w:t>
            </w:r>
          </w:p>
          <w:p w:rsidR="007E162B" w:rsidRPr="008347EC" w:rsidRDefault="00C0025C" w:rsidP="007E162B">
            <w:pPr>
              <w:jc w:val="both"/>
            </w:pPr>
            <w:r w:rsidRPr="008347EC">
              <w:rPr>
                <w:sz w:val="22"/>
                <w:szCs w:val="22"/>
              </w:rPr>
              <w:t>Lūdzam precizēt noteikumu projekta 2.punktā izteikto MK noteikumu Nr.322</w:t>
            </w:r>
            <w:r w:rsidRPr="008347EC">
              <w:rPr>
                <w:rStyle w:val="Vresatsauce"/>
                <w:sz w:val="22"/>
                <w:szCs w:val="22"/>
              </w:rPr>
              <w:footnoteReference w:id="1"/>
            </w:r>
            <w:r w:rsidRPr="008347EC">
              <w:rPr>
                <w:sz w:val="22"/>
                <w:szCs w:val="22"/>
              </w:rPr>
              <w:t xml:space="preserve"> 11.1.apakšpunktu, nosakot, ka 1.atlases kārtai kopējais attiecināmais finansējums ir 23 581 785 </w:t>
            </w:r>
            <w:r w:rsidRPr="008347EC">
              <w:rPr>
                <w:i/>
                <w:sz w:val="22"/>
                <w:szCs w:val="22"/>
              </w:rPr>
              <w:t>euro</w:t>
            </w:r>
            <w:r w:rsidRPr="008347EC">
              <w:rPr>
                <w:sz w:val="22"/>
                <w:szCs w:val="22"/>
              </w:rPr>
              <w:t xml:space="preserve"> un nacionālais finansējums ir 3 537 268 </w:t>
            </w:r>
            <w:r w:rsidR="00B654CF">
              <w:rPr>
                <w:i/>
                <w:sz w:val="22"/>
                <w:szCs w:val="22"/>
              </w:rPr>
              <w:t>euro</w:t>
            </w:r>
            <w:r w:rsidR="00B654CF">
              <w:rPr>
                <w:sz w:val="22"/>
                <w:szCs w:val="22"/>
              </w:rPr>
              <w:t xml:space="preserve">. Vēršam uzmanību, ka, summējot nacionālo finansējumu pa atlases kārtām (atbilstoši noteikumu projekta 1.punktā izteiktajam MK noteikumu Nr.322 10.punktam), tas atšķiras par 1 </w:t>
            </w:r>
            <w:r w:rsidR="00B654CF">
              <w:rPr>
                <w:i/>
                <w:sz w:val="22"/>
                <w:szCs w:val="22"/>
              </w:rPr>
              <w:t>euro</w:t>
            </w:r>
            <w:r w:rsidR="00B654CF">
              <w:rPr>
                <w:sz w:val="22"/>
                <w:szCs w:val="22"/>
              </w:rPr>
              <w:t>, kā arī nepieciešams nodrošināt, ka Eiropas Reģionālās attīstības fonda atbalsta likme nepārsniedz MK noteikumos Nr.322 noteikto intensitāti. Lūdzam attiecīgi precizēt informāciju anotācijā.</w:t>
            </w:r>
          </w:p>
          <w:p w:rsidR="007E162B" w:rsidRPr="008347EC" w:rsidRDefault="00C0025C" w:rsidP="007E162B">
            <w:pPr>
              <w:jc w:val="both"/>
            </w:pPr>
            <w:r w:rsidRPr="008347EC">
              <w:rPr>
                <w:sz w:val="22"/>
                <w:szCs w:val="22"/>
              </w:rPr>
              <w:t xml:space="preserve">Vienlaikus vēršam uzmanību, ka uz 2019.gada 19.novembri vēl nav veikti grozījumi  projekta Nr.5.5.1.0/17/I/010 “Jaunu dabas un kultūras tūrisma pakalpojumu radīšana Rīgas jūras līča rietumu piekrastē” izmaksās, līdz ar to 2.atlases kārtas ietvaros faktiski atbrīvotais finansējums ir 63 805 </w:t>
            </w:r>
            <w:r w:rsidR="00B654CF">
              <w:rPr>
                <w:i/>
                <w:sz w:val="22"/>
                <w:szCs w:val="22"/>
              </w:rPr>
              <w:t>euro</w:t>
            </w:r>
            <w:r w:rsidR="00B654CF">
              <w:rPr>
                <w:sz w:val="22"/>
                <w:szCs w:val="22"/>
              </w:rPr>
              <w:t xml:space="preserve">. Ņemot vērā minēto, lūdzam papildināt noteikumu projekta pavadošo dokumentāciju ar MK sēdes protokollēmuma projektu, kas </w:t>
            </w:r>
            <w:r w:rsidR="00B654CF">
              <w:rPr>
                <w:sz w:val="22"/>
                <w:szCs w:val="22"/>
              </w:rPr>
              <w:lastRenderedPageBreak/>
              <w:t>paredz uzdevumu CFLA veikt attiecīgus grozījumus līgumos/vienošanās par projekta īstenošanu, lai nodrošinātu finansējuma atbrīvošanu.</w:t>
            </w:r>
          </w:p>
          <w:p w:rsidR="00704197" w:rsidRPr="008347EC" w:rsidRDefault="00704197">
            <w:pPr>
              <w:pStyle w:val="Komentrateksts"/>
              <w:widowControl w:val="0"/>
              <w:jc w:val="both"/>
              <w:rPr>
                <w:b/>
                <w:sz w:val="22"/>
                <w:szCs w:val="22"/>
              </w:rPr>
            </w:pPr>
          </w:p>
          <w:p w:rsidR="007E2DE0" w:rsidRPr="008347EC" w:rsidRDefault="007E2DE0" w:rsidP="00704197">
            <w:pPr>
              <w:jc w:val="both"/>
            </w:pPr>
          </w:p>
        </w:tc>
        <w:tc>
          <w:tcPr>
            <w:tcW w:w="1201" w:type="pct"/>
            <w:tcBorders>
              <w:top w:val="single" w:sz="4" w:space="0" w:color="auto"/>
              <w:left w:val="single" w:sz="6" w:space="0" w:color="000000"/>
              <w:bottom w:val="single" w:sz="4" w:space="0" w:color="auto"/>
              <w:right w:val="single" w:sz="6" w:space="0" w:color="000000"/>
            </w:tcBorders>
            <w:shd w:val="clear" w:color="auto" w:fill="auto"/>
            <w:hideMark/>
          </w:tcPr>
          <w:p w:rsidR="007E2DE0" w:rsidRPr="008347EC" w:rsidRDefault="00102ED6">
            <w:pPr>
              <w:pStyle w:val="naisc"/>
              <w:spacing w:before="0" w:after="0"/>
              <w:ind w:firstLine="32"/>
              <w:rPr>
                <w:b/>
              </w:rPr>
            </w:pPr>
            <w:r w:rsidRPr="008347EC">
              <w:rPr>
                <w:b/>
                <w:sz w:val="22"/>
                <w:szCs w:val="22"/>
              </w:rPr>
              <w:lastRenderedPageBreak/>
              <w:t>Ņemts vērā</w:t>
            </w:r>
          </w:p>
          <w:p w:rsidR="007E2DE0" w:rsidRPr="008347EC" w:rsidRDefault="007E2DE0">
            <w:pPr>
              <w:pStyle w:val="naisc"/>
              <w:spacing w:before="0" w:after="0"/>
              <w:jc w:val="both"/>
            </w:pP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7E2DE0" w:rsidRPr="008347EC" w:rsidRDefault="008C010C">
            <w:pPr>
              <w:tabs>
                <w:tab w:val="left" w:pos="1134"/>
              </w:tabs>
              <w:jc w:val="both"/>
            </w:pPr>
            <w:r w:rsidRPr="008347EC">
              <w:rPr>
                <w:sz w:val="22"/>
                <w:szCs w:val="22"/>
              </w:rPr>
              <w:t xml:space="preserve">Precizēts </w:t>
            </w:r>
            <w:r w:rsidR="007E162B" w:rsidRPr="008347EC">
              <w:rPr>
                <w:sz w:val="22"/>
                <w:szCs w:val="22"/>
              </w:rPr>
              <w:t>Noteikumu projekta</w:t>
            </w:r>
            <w:r w:rsidR="008B7400" w:rsidRPr="008347EC">
              <w:rPr>
                <w:sz w:val="22"/>
                <w:szCs w:val="22"/>
              </w:rPr>
              <w:t xml:space="preserve"> </w:t>
            </w:r>
            <w:r w:rsidR="007E162B" w:rsidRPr="008347EC">
              <w:rPr>
                <w:sz w:val="22"/>
                <w:szCs w:val="22"/>
              </w:rPr>
              <w:t xml:space="preserve">2.punkts </w:t>
            </w:r>
            <w:r w:rsidR="008B7400" w:rsidRPr="008347EC">
              <w:rPr>
                <w:sz w:val="22"/>
                <w:szCs w:val="22"/>
              </w:rPr>
              <w:t>šādā redakcijā</w:t>
            </w:r>
            <w:r w:rsidR="00DF357C" w:rsidRPr="008347EC">
              <w:rPr>
                <w:sz w:val="22"/>
                <w:szCs w:val="22"/>
              </w:rPr>
              <w:t>:</w:t>
            </w:r>
          </w:p>
          <w:p w:rsidR="00573FB7" w:rsidRPr="008347EC" w:rsidRDefault="00C0025C" w:rsidP="00573FB7">
            <w:pPr>
              <w:tabs>
                <w:tab w:val="left" w:pos="426"/>
              </w:tabs>
              <w:jc w:val="both"/>
            </w:pPr>
            <w:r w:rsidRPr="008347EC">
              <w:rPr>
                <w:sz w:val="22"/>
                <w:szCs w:val="22"/>
              </w:rPr>
              <w:t xml:space="preserve"> „2. Izteikt 11.1. un 11.2.apakšpunktu šādā redakcijā:</w:t>
            </w:r>
          </w:p>
          <w:p w:rsidR="00E11428" w:rsidRPr="008347EC" w:rsidRDefault="00B654CF">
            <w:pPr>
              <w:pStyle w:val="Sarakstarindkopa"/>
              <w:tabs>
                <w:tab w:val="left" w:pos="95"/>
              </w:tabs>
              <w:ind w:left="602" w:hanging="649"/>
              <w:jc w:val="both"/>
              <w:rPr>
                <w:rFonts w:ascii="Times New Roman" w:eastAsia="Times New Roman" w:hAnsi="Times New Roman"/>
                <w:lang w:eastAsia="lv-LV"/>
              </w:rPr>
            </w:pPr>
            <w:r w:rsidRPr="00B654CF">
              <w:rPr>
                <w:rFonts w:ascii="Times New Roman" w:hAnsi="Times New Roman"/>
              </w:rPr>
              <w:t>„11.1.</w:t>
            </w:r>
            <w:r w:rsidR="00ED69C0" w:rsidRPr="008347EC">
              <w:rPr>
                <w:rFonts w:ascii="Times New Roman" w:eastAsia="Times New Roman" w:hAnsi="Times New Roman"/>
                <w:lang w:eastAsia="lv-LV"/>
              </w:rPr>
              <w:t> </w:t>
            </w:r>
            <w:r w:rsidRPr="00B654CF">
              <w:rPr>
                <w:rFonts w:ascii="Times New Roman" w:hAnsi="Times New Roman"/>
              </w:rPr>
              <w:t xml:space="preserve">pirmās atlases kārtas ietvaros plānotais kopējais attiecināmais finansējums ir ne mazāk kā 23 581 785 </w:t>
            </w:r>
            <w:r w:rsidRPr="00B654CF">
              <w:rPr>
                <w:rFonts w:ascii="Times New Roman" w:hAnsi="Times New Roman"/>
                <w:i/>
              </w:rPr>
              <w:t>euro</w:t>
            </w:r>
            <w:r w:rsidRPr="00B654CF">
              <w:rPr>
                <w:rFonts w:ascii="Times New Roman" w:hAnsi="Times New Roman"/>
              </w:rPr>
              <w:t>, tai skaitā Eiropas Reģionālās attīstības fonda finansējums – ne vairāk kā 20 044 517 </w:t>
            </w:r>
            <w:r w:rsidRPr="00B654CF">
              <w:rPr>
                <w:rFonts w:ascii="Times New Roman" w:hAnsi="Times New Roman"/>
                <w:i/>
              </w:rPr>
              <w:t>euro</w:t>
            </w:r>
            <w:r w:rsidRPr="00B654CF">
              <w:rPr>
                <w:rFonts w:ascii="Times New Roman" w:hAnsi="Times New Roman"/>
              </w:rPr>
              <w:t xml:space="preserve"> un nacionālais finansējums – 3</w:t>
            </w:r>
            <w:r w:rsidR="00ED69C0" w:rsidRPr="008347EC">
              <w:rPr>
                <w:rFonts w:ascii="Times New Roman" w:eastAsia="Times New Roman" w:hAnsi="Times New Roman"/>
                <w:lang w:eastAsia="lv-LV"/>
              </w:rPr>
              <w:t> </w:t>
            </w:r>
            <w:r w:rsidRPr="00B654CF">
              <w:rPr>
                <w:rFonts w:ascii="Times New Roman" w:hAnsi="Times New Roman"/>
              </w:rPr>
              <w:t>537</w:t>
            </w:r>
            <w:r w:rsidR="00ED69C0" w:rsidRPr="008347EC">
              <w:rPr>
                <w:rFonts w:ascii="Times New Roman" w:eastAsia="Times New Roman" w:hAnsi="Times New Roman"/>
                <w:lang w:eastAsia="lv-LV"/>
              </w:rPr>
              <w:t> </w:t>
            </w:r>
            <w:r w:rsidRPr="00B654CF">
              <w:rPr>
                <w:rFonts w:ascii="Times New Roman" w:hAnsi="Times New Roman"/>
              </w:rPr>
              <w:t xml:space="preserve">268 </w:t>
            </w:r>
            <w:r w:rsidRPr="00B654CF">
              <w:rPr>
                <w:rFonts w:ascii="Times New Roman" w:hAnsi="Times New Roman"/>
                <w:i/>
              </w:rPr>
              <w:t>euro</w:t>
            </w:r>
            <w:r w:rsidRPr="00B654CF">
              <w:rPr>
                <w:rFonts w:ascii="Times New Roman" w:hAnsi="Times New Roman"/>
              </w:rPr>
              <w:t>;</w:t>
            </w:r>
          </w:p>
          <w:p w:rsidR="00573FB7" w:rsidRPr="008347EC" w:rsidRDefault="00C0025C" w:rsidP="00ED69C0">
            <w:pPr>
              <w:pStyle w:val="Sarakstarindkopa"/>
              <w:tabs>
                <w:tab w:val="left" w:pos="1418"/>
              </w:tabs>
              <w:ind w:left="602" w:hanging="649"/>
              <w:jc w:val="both"/>
              <w:rPr>
                <w:rFonts w:ascii="Times New Roman" w:eastAsia="Times New Roman" w:hAnsi="Times New Roman"/>
                <w:lang w:eastAsia="lv-LV"/>
              </w:rPr>
            </w:pPr>
            <w:r w:rsidRPr="008347EC">
              <w:rPr>
                <w:rFonts w:ascii="Times New Roman" w:eastAsia="Times New Roman" w:hAnsi="Times New Roman"/>
                <w:lang w:eastAsia="lv-LV"/>
              </w:rPr>
              <w:t xml:space="preserve"> 11.2.</w:t>
            </w:r>
            <w:r w:rsidR="00ED69C0" w:rsidRPr="008347EC">
              <w:rPr>
                <w:rFonts w:ascii="Times New Roman" w:eastAsia="Times New Roman" w:hAnsi="Times New Roman"/>
                <w:lang w:eastAsia="lv-LV"/>
              </w:rPr>
              <w:t>  </w:t>
            </w:r>
            <w:r w:rsidRPr="008347EC">
              <w:rPr>
                <w:rFonts w:ascii="Times New Roman" w:eastAsia="Times New Roman" w:hAnsi="Times New Roman"/>
                <w:lang w:eastAsia="lv-LV"/>
              </w:rPr>
              <w:t xml:space="preserve">otrās atlases kārtas ietvaros plānotais kopējais attiecināmais finansējums ir ne mazāk kā 17 570 878 </w:t>
            </w:r>
            <w:r w:rsidR="00B654CF">
              <w:rPr>
                <w:rFonts w:ascii="Times New Roman" w:eastAsia="Times New Roman" w:hAnsi="Times New Roman"/>
                <w:i/>
                <w:lang w:eastAsia="lv-LV"/>
              </w:rPr>
              <w:t>euro</w:t>
            </w:r>
            <w:r w:rsidR="00B654CF">
              <w:rPr>
                <w:rFonts w:ascii="Times New Roman" w:eastAsia="Times New Roman" w:hAnsi="Times New Roman"/>
                <w:lang w:eastAsia="lv-LV"/>
              </w:rPr>
              <w:t xml:space="preserve">, tai skaitā Eiropas Reģionālās attīstības fonda finansējums – ne vairāk kā 14 935 246 </w:t>
            </w:r>
            <w:r w:rsidR="00B654CF">
              <w:rPr>
                <w:rFonts w:ascii="Times New Roman" w:eastAsia="Times New Roman" w:hAnsi="Times New Roman"/>
                <w:i/>
                <w:lang w:eastAsia="lv-LV"/>
              </w:rPr>
              <w:t>euro</w:t>
            </w:r>
            <w:r w:rsidR="00B654CF">
              <w:rPr>
                <w:rFonts w:ascii="Times New Roman" w:eastAsia="Times New Roman" w:hAnsi="Times New Roman"/>
                <w:lang w:eastAsia="lv-LV"/>
              </w:rPr>
              <w:t xml:space="preserve"> un nacionālais finansējums – 2 635 632 </w:t>
            </w:r>
            <w:r w:rsidR="00B654CF">
              <w:rPr>
                <w:rFonts w:ascii="Times New Roman" w:eastAsia="Times New Roman" w:hAnsi="Times New Roman"/>
                <w:i/>
                <w:lang w:eastAsia="lv-LV"/>
              </w:rPr>
              <w:t>euro</w:t>
            </w:r>
            <w:r w:rsidR="00B654CF">
              <w:rPr>
                <w:rFonts w:ascii="Times New Roman" w:eastAsia="Times New Roman" w:hAnsi="Times New Roman"/>
                <w:lang w:eastAsia="lv-LV"/>
              </w:rPr>
              <w:t>.””.</w:t>
            </w:r>
          </w:p>
          <w:p w:rsidR="00ED69C0" w:rsidRPr="008347EC" w:rsidRDefault="00B654CF" w:rsidP="008C010C">
            <w:pPr>
              <w:pStyle w:val="Default"/>
              <w:jc w:val="both"/>
              <w:rPr>
                <w:sz w:val="22"/>
                <w:szCs w:val="22"/>
              </w:rPr>
            </w:pPr>
            <w:r>
              <w:rPr>
                <w:sz w:val="22"/>
                <w:szCs w:val="22"/>
              </w:rPr>
              <w:t>Noteikumu projekta pavadošā dokumentācija papildināta ar Ministru kabineta sēdes protokollēmuma projektu</w:t>
            </w:r>
            <w:r>
              <w:rPr>
                <w:b/>
                <w:color w:val="000000" w:themeColor="text1"/>
                <w:sz w:val="22"/>
                <w:szCs w:val="22"/>
              </w:rPr>
              <w:t xml:space="preserve"> </w:t>
            </w:r>
            <w:r>
              <w:rPr>
                <w:sz w:val="22"/>
                <w:szCs w:val="22"/>
              </w:rPr>
              <w:t>„Noteikumu</w:t>
            </w:r>
            <w:r>
              <w:rPr>
                <w:b/>
                <w:color w:val="000000" w:themeColor="text1"/>
                <w:sz w:val="22"/>
                <w:szCs w:val="22"/>
              </w:rPr>
              <w:t xml:space="preserve"> </w:t>
            </w:r>
            <w:r>
              <w:rPr>
                <w:sz w:val="22"/>
                <w:szCs w:val="22"/>
              </w:rPr>
              <w:t xml:space="preserve">projekts „Grozījumi Ministru kabineta 2016.gada 24.maija noteikumos Nr.322 „Darbības programmas „Izaugsme un nodarbinātība” prioritārā virziena „Vides aizsardzības un resursu izmantošanas efektivitāte” </w:t>
            </w:r>
            <w:r>
              <w:rPr>
                <w:sz w:val="22"/>
                <w:szCs w:val="22"/>
              </w:rPr>
              <w:lastRenderedPageBreak/>
              <w:t xml:space="preserve">5.5.1.specifiskā atbalsta mērķa „Saglabāt, aizsargāt un attīstīt nozīmīgu kultūras un dabas mantojumu, kā arī attīstīt ar to saistītos pakalpojumus” pirmās un otrās atlases kārtas īstenošanas noteikumi” projektu (turpmāk – Protokollēmuma projekts). </w:t>
            </w:r>
          </w:p>
          <w:p w:rsidR="00314B1A" w:rsidRPr="008347EC" w:rsidRDefault="00B654CF" w:rsidP="008C010C">
            <w:pPr>
              <w:pStyle w:val="Default"/>
              <w:jc w:val="both"/>
              <w:rPr>
                <w:b/>
                <w:color w:val="000000" w:themeColor="text1"/>
                <w:sz w:val="22"/>
                <w:szCs w:val="22"/>
              </w:rPr>
            </w:pPr>
            <w:r>
              <w:rPr>
                <w:sz w:val="22"/>
                <w:szCs w:val="22"/>
              </w:rPr>
              <w:t>Protokollēmuma projekta 2.punkts izteikts šādā redakcijā:</w:t>
            </w:r>
          </w:p>
          <w:p w:rsidR="00E11428" w:rsidRPr="008347EC" w:rsidRDefault="00B654CF">
            <w:pPr>
              <w:autoSpaceDE w:val="0"/>
              <w:autoSpaceDN w:val="0"/>
              <w:adjustRightInd w:val="0"/>
              <w:jc w:val="both"/>
            </w:pPr>
            <w:r>
              <w:rPr>
                <w:sz w:val="22"/>
                <w:szCs w:val="22"/>
              </w:rPr>
              <w:t>„2. Centrālajai finanšu un līgumu aģentūrai kā Eiropas Savienības fondu sadarbības iestādei veikt grozījumus vienošanās par projekta Nr.5.5.1.0/17/I/010 „Jaunu dabas un kultūras tūrisma pakalpojumu radīšana Rīgas jūras līča rietumu piekrastē” īstenošanu, lai nodrošinātu finansējuma atbrīvošanu projekta izmaksās.”</w:t>
            </w:r>
            <w:r w:rsidR="008347EC">
              <w:rPr>
                <w:sz w:val="22"/>
                <w:szCs w:val="22"/>
              </w:rPr>
              <w:t>.</w:t>
            </w:r>
          </w:p>
        </w:tc>
      </w:tr>
      <w:tr w:rsidR="009A7AEA" w:rsidRPr="008347EC" w:rsidTr="00B872FC">
        <w:trPr>
          <w:trHeight w:val="1664"/>
        </w:trPr>
        <w:tc>
          <w:tcPr>
            <w:tcW w:w="172" w:type="pct"/>
            <w:tcBorders>
              <w:top w:val="single" w:sz="4" w:space="0" w:color="auto"/>
              <w:left w:val="single" w:sz="6" w:space="0" w:color="000000"/>
              <w:bottom w:val="single" w:sz="4" w:space="0" w:color="auto"/>
              <w:right w:val="single" w:sz="6" w:space="0" w:color="000000"/>
            </w:tcBorders>
            <w:shd w:val="clear" w:color="auto" w:fill="auto"/>
          </w:tcPr>
          <w:p w:rsidR="009A7AEA" w:rsidRPr="008347EC" w:rsidRDefault="00102ED6" w:rsidP="00522905">
            <w:pPr>
              <w:pStyle w:val="naisc"/>
              <w:spacing w:before="0" w:after="0"/>
              <w:rPr>
                <w:lang w:eastAsia="en-US"/>
              </w:rPr>
            </w:pPr>
            <w:r w:rsidRPr="008347EC">
              <w:rPr>
                <w:sz w:val="22"/>
                <w:szCs w:val="22"/>
                <w:lang w:eastAsia="en-US"/>
              </w:rPr>
              <w:lastRenderedPageBreak/>
              <w:t>2.</w:t>
            </w:r>
          </w:p>
        </w:tc>
        <w:tc>
          <w:tcPr>
            <w:tcW w:w="1175" w:type="pct"/>
            <w:tcBorders>
              <w:top w:val="single" w:sz="4" w:space="0" w:color="auto"/>
              <w:left w:val="single" w:sz="6" w:space="0" w:color="000000"/>
              <w:bottom w:val="single" w:sz="4" w:space="0" w:color="auto"/>
              <w:right w:val="single" w:sz="6" w:space="0" w:color="000000"/>
            </w:tcBorders>
            <w:shd w:val="clear" w:color="auto" w:fill="auto"/>
            <w:hideMark/>
          </w:tcPr>
          <w:p w:rsidR="0091622B" w:rsidRPr="008347EC" w:rsidRDefault="00C0025C" w:rsidP="00522905">
            <w:pPr>
              <w:jc w:val="both"/>
              <w:rPr>
                <w:bCs/>
                <w:color w:val="000000"/>
              </w:rPr>
            </w:pPr>
            <w:r w:rsidRPr="008347EC">
              <w:rPr>
                <w:bCs/>
                <w:color w:val="000000"/>
                <w:sz w:val="22"/>
                <w:szCs w:val="22"/>
              </w:rPr>
              <w:t>Noteikumu projekta 3.punkts:</w:t>
            </w:r>
          </w:p>
          <w:p w:rsidR="00245570" w:rsidRPr="008347EC" w:rsidRDefault="00245570" w:rsidP="00245570">
            <w:pPr>
              <w:jc w:val="both"/>
              <w:rPr>
                <w:bCs/>
                <w:color w:val="000000"/>
              </w:rPr>
            </w:pPr>
            <w:r w:rsidRPr="008347EC">
              <w:rPr>
                <w:sz w:val="22"/>
                <w:szCs w:val="22"/>
              </w:rPr>
              <w:t>„3.</w:t>
            </w:r>
            <w:r w:rsidR="00ED69C0" w:rsidRPr="008347EC">
              <w:rPr>
                <w:sz w:val="22"/>
                <w:szCs w:val="22"/>
              </w:rPr>
              <w:t xml:space="preserve"> </w:t>
            </w:r>
            <w:r w:rsidRPr="008347EC">
              <w:rPr>
                <w:sz w:val="22"/>
                <w:szCs w:val="22"/>
              </w:rPr>
              <w:t>Svītrot 12. un 13.punktu.”</w:t>
            </w:r>
            <w:r w:rsidR="008347EC">
              <w:rPr>
                <w:sz w:val="22"/>
                <w:szCs w:val="22"/>
              </w:rPr>
              <w:t>.</w:t>
            </w:r>
          </w:p>
        </w:tc>
        <w:tc>
          <w:tcPr>
            <w:tcW w:w="1202" w:type="pct"/>
            <w:tcBorders>
              <w:top w:val="single" w:sz="4" w:space="0" w:color="auto"/>
              <w:left w:val="single" w:sz="6" w:space="0" w:color="000000"/>
              <w:bottom w:val="single" w:sz="4" w:space="0" w:color="auto"/>
              <w:right w:val="single" w:sz="6" w:space="0" w:color="000000"/>
            </w:tcBorders>
            <w:shd w:val="clear" w:color="auto" w:fill="auto"/>
            <w:hideMark/>
          </w:tcPr>
          <w:p w:rsidR="004D5C5B" w:rsidRPr="008347EC" w:rsidRDefault="004D5C5B" w:rsidP="004D5C5B">
            <w:pPr>
              <w:pStyle w:val="Komentrateksts"/>
              <w:widowControl w:val="0"/>
              <w:jc w:val="both"/>
              <w:rPr>
                <w:b/>
                <w:sz w:val="22"/>
                <w:szCs w:val="22"/>
              </w:rPr>
            </w:pPr>
            <w:r w:rsidRPr="008347EC">
              <w:rPr>
                <w:b/>
                <w:sz w:val="22"/>
                <w:szCs w:val="22"/>
              </w:rPr>
              <w:t>Finanšu ministrija</w:t>
            </w:r>
            <w:r w:rsidR="008347EC">
              <w:rPr>
                <w:b/>
                <w:sz w:val="22"/>
                <w:szCs w:val="22"/>
              </w:rPr>
              <w:t>:</w:t>
            </w:r>
          </w:p>
          <w:p w:rsidR="004D5C5B" w:rsidRPr="008347EC" w:rsidRDefault="00C0025C" w:rsidP="00277C8F">
            <w:pPr>
              <w:jc w:val="both"/>
            </w:pPr>
            <w:r w:rsidRPr="008347EC">
              <w:rPr>
                <w:sz w:val="22"/>
                <w:szCs w:val="22"/>
              </w:rPr>
              <w:t>Lūdzam papildināt noteikumu projektu ar jaunu punktu, kas paredz precizēt MK noteikumu Nr.322 14.punktu, ņemot vērā, ka ar noteikumu projekta 3.punktu tiek svītrots MK noteikumu Nr.322 12. un 13.punkts.</w:t>
            </w:r>
          </w:p>
        </w:tc>
        <w:tc>
          <w:tcPr>
            <w:tcW w:w="1201" w:type="pct"/>
            <w:tcBorders>
              <w:top w:val="single" w:sz="4" w:space="0" w:color="auto"/>
              <w:left w:val="single" w:sz="6" w:space="0" w:color="000000"/>
              <w:bottom w:val="single" w:sz="4" w:space="0" w:color="auto"/>
              <w:right w:val="single" w:sz="6" w:space="0" w:color="000000"/>
            </w:tcBorders>
            <w:shd w:val="clear" w:color="auto" w:fill="auto"/>
            <w:hideMark/>
          </w:tcPr>
          <w:p w:rsidR="004D5C5B" w:rsidRPr="008347EC" w:rsidRDefault="002D690C">
            <w:pPr>
              <w:pStyle w:val="naisc"/>
              <w:spacing w:before="0" w:after="0"/>
              <w:ind w:firstLine="32"/>
              <w:rPr>
                <w:b/>
              </w:rPr>
            </w:pPr>
            <w:r w:rsidRPr="008347EC">
              <w:rPr>
                <w:b/>
                <w:sz w:val="22"/>
                <w:szCs w:val="22"/>
              </w:rPr>
              <w:t>Ņemts vērā</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245570" w:rsidRPr="008347EC" w:rsidRDefault="00245570" w:rsidP="00245570">
            <w:pPr>
              <w:pStyle w:val="naisc"/>
              <w:spacing w:before="0" w:after="0"/>
              <w:jc w:val="both"/>
            </w:pPr>
            <w:r w:rsidRPr="008347EC">
              <w:rPr>
                <w:sz w:val="22"/>
                <w:szCs w:val="22"/>
              </w:rPr>
              <w:t>Precizēts Noteikumu projekta 3.punkts šādā redakcijā:</w:t>
            </w:r>
          </w:p>
          <w:p w:rsidR="00245570" w:rsidRPr="008347EC" w:rsidRDefault="00245570" w:rsidP="00245570">
            <w:pPr>
              <w:tabs>
                <w:tab w:val="left" w:pos="426"/>
              </w:tabs>
              <w:jc w:val="both"/>
            </w:pPr>
            <w:r w:rsidRPr="008347EC">
              <w:rPr>
                <w:sz w:val="22"/>
                <w:szCs w:val="22"/>
              </w:rPr>
              <w:t xml:space="preserve"> „3.</w:t>
            </w:r>
            <w:r w:rsidR="00ED69C0" w:rsidRPr="008347EC">
              <w:rPr>
                <w:sz w:val="22"/>
                <w:szCs w:val="22"/>
              </w:rPr>
              <w:t xml:space="preserve"> </w:t>
            </w:r>
            <w:r w:rsidRPr="008347EC">
              <w:rPr>
                <w:sz w:val="22"/>
                <w:szCs w:val="22"/>
              </w:rPr>
              <w:t>Svītrot 12.,</w:t>
            </w:r>
            <w:r w:rsidR="00ED69C0" w:rsidRPr="008347EC">
              <w:rPr>
                <w:sz w:val="22"/>
                <w:szCs w:val="22"/>
              </w:rPr>
              <w:t xml:space="preserve"> </w:t>
            </w:r>
            <w:r w:rsidRPr="008347EC">
              <w:rPr>
                <w:sz w:val="22"/>
                <w:szCs w:val="22"/>
              </w:rPr>
              <w:t>13. un 14.punktu.”</w:t>
            </w:r>
          </w:p>
          <w:p w:rsidR="007E2DE0" w:rsidRPr="008347EC" w:rsidRDefault="007E2DE0" w:rsidP="00245570">
            <w:pPr>
              <w:pStyle w:val="naisc"/>
              <w:spacing w:before="0" w:after="0"/>
              <w:jc w:val="both"/>
              <w:rPr>
                <w:color w:val="000000"/>
              </w:rPr>
            </w:pPr>
          </w:p>
        </w:tc>
      </w:tr>
      <w:tr w:rsidR="008347EC" w:rsidRPr="008347EC" w:rsidTr="00336AF7">
        <w:tc>
          <w:tcPr>
            <w:tcW w:w="172" w:type="pct"/>
            <w:tcBorders>
              <w:top w:val="single" w:sz="4" w:space="0" w:color="auto"/>
              <w:left w:val="single" w:sz="6" w:space="0" w:color="000000"/>
              <w:bottom w:val="single" w:sz="4" w:space="0" w:color="auto"/>
              <w:right w:val="single" w:sz="6" w:space="0" w:color="000000"/>
            </w:tcBorders>
            <w:shd w:val="clear" w:color="auto" w:fill="auto"/>
          </w:tcPr>
          <w:p w:rsidR="008347EC" w:rsidRPr="008347EC" w:rsidRDefault="008347EC" w:rsidP="00522905">
            <w:pPr>
              <w:pStyle w:val="naisc"/>
              <w:spacing w:before="0" w:after="0"/>
              <w:rPr>
                <w:lang w:eastAsia="en-US"/>
              </w:rPr>
            </w:pPr>
            <w:r w:rsidRPr="008347EC">
              <w:rPr>
                <w:sz w:val="22"/>
                <w:szCs w:val="22"/>
                <w:lang w:eastAsia="en-US"/>
              </w:rPr>
              <w:t>3.</w:t>
            </w:r>
          </w:p>
        </w:tc>
        <w:tc>
          <w:tcPr>
            <w:tcW w:w="1175" w:type="pct"/>
            <w:tcBorders>
              <w:top w:val="single" w:sz="4" w:space="0" w:color="auto"/>
              <w:left w:val="single" w:sz="6" w:space="0" w:color="000000"/>
              <w:bottom w:val="single" w:sz="4" w:space="0" w:color="auto"/>
              <w:right w:val="single" w:sz="6" w:space="0" w:color="000000"/>
            </w:tcBorders>
            <w:shd w:val="clear" w:color="auto" w:fill="auto"/>
            <w:hideMark/>
          </w:tcPr>
          <w:p w:rsidR="008347EC" w:rsidRPr="008347EC" w:rsidRDefault="008347EC" w:rsidP="00245570">
            <w:pPr>
              <w:rPr>
                <w:bCs/>
                <w:color w:val="000000"/>
              </w:rPr>
            </w:pPr>
            <w:r w:rsidRPr="008347EC">
              <w:rPr>
                <w:bCs/>
                <w:color w:val="000000"/>
                <w:sz w:val="22"/>
                <w:szCs w:val="22"/>
              </w:rPr>
              <w:t>Noteikumu projekts</w:t>
            </w:r>
            <w:r>
              <w:rPr>
                <w:bCs/>
                <w:color w:val="000000"/>
                <w:sz w:val="22"/>
                <w:szCs w:val="22"/>
              </w:rPr>
              <w:t>.</w:t>
            </w:r>
          </w:p>
        </w:tc>
        <w:tc>
          <w:tcPr>
            <w:tcW w:w="1202" w:type="pct"/>
            <w:tcBorders>
              <w:top w:val="single" w:sz="4" w:space="0" w:color="auto"/>
              <w:left w:val="single" w:sz="6" w:space="0" w:color="000000"/>
              <w:bottom w:val="single" w:sz="4" w:space="0" w:color="auto"/>
              <w:right w:val="single" w:sz="6" w:space="0" w:color="000000"/>
            </w:tcBorders>
            <w:shd w:val="clear" w:color="auto" w:fill="auto"/>
            <w:hideMark/>
          </w:tcPr>
          <w:p w:rsidR="008347EC" w:rsidRPr="008347EC" w:rsidRDefault="008347EC" w:rsidP="000E66EA">
            <w:pPr>
              <w:pStyle w:val="Komentrateksts"/>
              <w:widowControl w:val="0"/>
              <w:jc w:val="both"/>
              <w:rPr>
                <w:b/>
                <w:sz w:val="22"/>
                <w:szCs w:val="22"/>
              </w:rPr>
            </w:pPr>
            <w:r w:rsidRPr="008347EC">
              <w:rPr>
                <w:b/>
                <w:sz w:val="22"/>
                <w:szCs w:val="22"/>
              </w:rPr>
              <w:t>Finanšu ministrija</w:t>
            </w:r>
            <w:r>
              <w:rPr>
                <w:b/>
                <w:sz w:val="22"/>
                <w:szCs w:val="22"/>
              </w:rPr>
              <w:t>:</w:t>
            </w:r>
          </w:p>
          <w:p w:rsidR="008347EC" w:rsidRPr="008347EC" w:rsidRDefault="008347EC">
            <w:pPr>
              <w:jc w:val="both"/>
              <w:rPr>
                <w:rFonts w:eastAsiaTheme="minorHAnsi"/>
              </w:rPr>
            </w:pPr>
            <w:r w:rsidRPr="008347EC">
              <w:rPr>
                <w:sz w:val="22"/>
                <w:szCs w:val="22"/>
              </w:rPr>
              <w:t xml:space="preserve">Ievērojot to, ka komercdarbības atbalsts MK noteikumu Nr.322 ietvaros tiek sniegts saskaņā ar Eiropas Komisijas 2014.gada 17.jūnija Regulu (ES) Nr.651/2014, ar ko noteiktas atbalsta kategorijas atzīst par saderīgām ar iekšējo tirgu, piemērojot Līguma 107. </w:t>
            </w:r>
            <w:r w:rsidR="00B654CF">
              <w:rPr>
                <w:sz w:val="22"/>
                <w:szCs w:val="22"/>
              </w:rPr>
              <w:t xml:space="preserve">un </w:t>
            </w:r>
            <w:r w:rsidR="00B654CF">
              <w:rPr>
                <w:sz w:val="22"/>
                <w:szCs w:val="22"/>
              </w:rPr>
              <w:lastRenderedPageBreak/>
              <w:t xml:space="preserve">108.pantu (turpmāk – Komisijas regula Nr.651/2014) un, ņemot vērā aktuālāko Eiropas Savienības tiesas judikatūru (sk. Eiropas Savienības Tiesas 2019.gada 5.marta spriedumu lietā </w:t>
            </w:r>
            <w:proofErr w:type="spellStart"/>
            <w:r w:rsidR="00B654CF">
              <w:rPr>
                <w:sz w:val="22"/>
                <w:szCs w:val="22"/>
              </w:rPr>
              <w:t>Nr.C-349</w:t>
            </w:r>
            <w:proofErr w:type="spellEnd"/>
            <w:r w:rsidR="00B654CF">
              <w:rPr>
                <w:sz w:val="22"/>
                <w:szCs w:val="22"/>
              </w:rPr>
              <w:t>/17 (ECLI:EU:C:2019:172)), lūdzam papildināt noteikumu projektu ar</w:t>
            </w:r>
            <w:proofErr w:type="gramStart"/>
            <w:r w:rsidR="00B654CF">
              <w:rPr>
                <w:sz w:val="22"/>
                <w:szCs w:val="22"/>
              </w:rPr>
              <w:t xml:space="preserve">  </w:t>
            </w:r>
            <w:proofErr w:type="gramEnd"/>
            <w:r w:rsidR="00B654CF">
              <w:rPr>
                <w:sz w:val="22"/>
                <w:szCs w:val="22"/>
              </w:rPr>
              <w:t xml:space="preserve">jaunu punktu, kas paredz komercdarbības atbalsta atgūšanu kopā ar procentiem, ja komercdarbības atbalsta saņēmējs ir pārkāpis Komisijas regulas Nr.651/2014 prasības, piemēram, šādā redakcijā: </w:t>
            </w:r>
            <w:r>
              <w:rPr>
                <w:sz w:val="22"/>
                <w:szCs w:val="22"/>
              </w:rPr>
              <w:t>„</w:t>
            </w:r>
            <w:r w:rsidR="00B654CF">
              <w:rPr>
                <w:i/>
                <w:iCs/>
                <w:sz w:val="22"/>
                <w:szCs w:val="22"/>
              </w:rPr>
              <w:t xml:space="preserve">Ja atbalsta saņēmējs ir pārkāpis Komisijas regulas Nr.651/2014 prasības, atbalsta saņēmējam ir pienākums atmaksāt atbalsta sniedzējam visu 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108.panta piemērošanai, 10. pantu, tiem pieskaitot 100 bāzes punktus, no dienas, kad valsts atbalsts tika izmaksāts finansējuma saņēmējam līdz tā atgūšanas dienai, ievērojot Komisijas 2004.gada 21.aprīļa regulas (EK) Nr.794/2004, ar ko īsteno Padomes Regulu (ES) 2015/1589, ar ko nosaka sīki </w:t>
            </w:r>
            <w:r w:rsidR="00B654CF">
              <w:rPr>
                <w:i/>
                <w:iCs/>
                <w:sz w:val="22"/>
                <w:szCs w:val="22"/>
              </w:rPr>
              <w:lastRenderedPageBreak/>
              <w:t>izstrādātus noteikumus Līguma par Eiropas Savienības darbību 108. panta piemērošanai, 11. pantā noteikto procentu likmes piemērošanas metodi</w:t>
            </w:r>
            <w:r w:rsidR="00B654CF">
              <w:rPr>
                <w:sz w:val="22"/>
                <w:szCs w:val="22"/>
              </w:rPr>
              <w:t xml:space="preserve">.”. </w:t>
            </w:r>
          </w:p>
        </w:tc>
        <w:tc>
          <w:tcPr>
            <w:tcW w:w="1201" w:type="pct"/>
            <w:tcBorders>
              <w:top w:val="single" w:sz="4" w:space="0" w:color="auto"/>
              <w:left w:val="single" w:sz="6" w:space="0" w:color="000000"/>
              <w:bottom w:val="single" w:sz="4" w:space="0" w:color="auto"/>
              <w:right w:val="single" w:sz="6" w:space="0" w:color="000000"/>
            </w:tcBorders>
            <w:shd w:val="clear" w:color="auto" w:fill="auto"/>
            <w:hideMark/>
          </w:tcPr>
          <w:p w:rsidR="008347EC" w:rsidRPr="008347EC" w:rsidRDefault="008347EC" w:rsidP="000E66EA">
            <w:pPr>
              <w:pStyle w:val="naisc"/>
              <w:spacing w:before="0" w:after="0"/>
              <w:ind w:firstLine="32"/>
              <w:rPr>
                <w:b/>
              </w:rPr>
            </w:pPr>
            <w:r w:rsidRPr="008347EC">
              <w:rPr>
                <w:b/>
                <w:sz w:val="22"/>
                <w:szCs w:val="22"/>
              </w:rPr>
              <w:lastRenderedPageBreak/>
              <w:t>Ņemts vērā</w:t>
            </w:r>
          </w:p>
          <w:p w:rsidR="008347EC" w:rsidRPr="008347EC" w:rsidRDefault="008347EC" w:rsidP="00BA42E7">
            <w:pPr>
              <w:pStyle w:val="naisc"/>
              <w:spacing w:before="0" w:after="0"/>
              <w:ind w:firstLine="32"/>
              <w:jc w:val="both"/>
            </w:pPr>
          </w:p>
        </w:tc>
        <w:tc>
          <w:tcPr>
            <w:tcW w:w="1250" w:type="pct"/>
            <w:vMerge w:val="restart"/>
            <w:tcBorders>
              <w:top w:val="single" w:sz="4" w:space="0" w:color="auto"/>
              <w:left w:val="single" w:sz="4" w:space="0" w:color="auto"/>
              <w:right w:val="single" w:sz="4" w:space="0" w:color="auto"/>
            </w:tcBorders>
            <w:shd w:val="clear" w:color="auto" w:fill="auto"/>
            <w:hideMark/>
          </w:tcPr>
          <w:p w:rsidR="008347EC" w:rsidRPr="008347EC" w:rsidRDefault="008347EC" w:rsidP="00245570">
            <w:pPr>
              <w:tabs>
                <w:tab w:val="left" w:pos="1134"/>
              </w:tabs>
              <w:jc w:val="both"/>
            </w:pPr>
            <w:r w:rsidRPr="008347EC">
              <w:rPr>
                <w:sz w:val="22"/>
                <w:szCs w:val="22"/>
              </w:rPr>
              <w:t>Noteikumu projekts papildināts ar 4.punktu šādā redakcijā:</w:t>
            </w:r>
          </w:p>
          <w:p w:rsidR="008347EC" w:rsidRPr="008347EC" w:rsidRDefault="008347EC" w:rsidP="00245570">
            <w:pPr>
              <w:tabs>
                <w:tab w:val="left" w:pos="426"/>
              </w:tabs>
              <w:jc w:val="both"/>
            </w:pPr>
            <w:r w:rsidRPr="008347EC">
              <w:rPr>
                <w:sz w:val="22"/>
                <w:szCs w:val="22"/>
              </w:rPr>
              <w:t xml:space="preserve">„4. Papildināt </w:t>
            </w:r>
            <w:r>
              <w:rPr>
                <w:sz w:val="22"/>
                <w:szCs w:val="22"/>
              </w:rPr>
              <w:t xml:space="preserve">noteikumus </w:t>
            </w:r>
            <w:r w:rsidRPr="008347EC">
              <w:rPr>
                <w:sz w:val="22"/>
                <w:szCs w:val="22"/>
              </w:rPr>
              <w:t>ar 61.</w:t>
            </w:r>
            <w:r>
              <w:rPr>
                <w:sz w:val="22"/>
                <w:szCs w:val="22"/>
              </w:rPr>
              <w:t xml:space="preserve"> un 62.</w:t>
            </w:r>
            <w:r w:rsidRPr="008347EC">
              <w:rPr>
                <w:sz w:val="22"/>
                <w:szCs w:val="22"/>
              </w:rPr>
              <w:t>punktu šādā redakcijā:</w:t>
            </w:r>
          </w:p>
          <w:p w:rsidR="008347EC" w:rsidRPr="008347EC" w:rsidRDefault="008347EC" w:rsidP="00245570">
            <w:pPr>
              <w:tabs>
                <w:tab w:val="left" w:pos="35"/>
              </w:tabs>
              <w:jc w:val="both"/>
            </w:pPr>
            <w:r w:rsidRPr="008347EC">
              <w:rPr>
                <w:sz w:val="22"/>
                <w:szCs w:val="22"/>
              </w:rPr>
              <w:t xml:space="preserve"> „61. </w:t>
            </w:r>
            <w:r w:rsidRPr="008347EC">
              <w:rPr>
                <w:sz w:val="22"/>
                <w:szCs w:val="22"/>
              </w:rPr>
              <w:tab/>
              <w:t xml:space="preserve">Ja atbalsta saņēmējs ir pārkāpis Komisijas regulas Nr.651/2014 prasības, atbalsta saņēmējam ir pienākums atmaksāt atbalsta sniedzējam visu projekta </w:t>
            </w:r>
            <w:r w:rsidRPr="008347EC">
              <w:rPr>
                <w:sz w:val="22"/>
                <w:szCs w:val="22"/>
              </w:rPr>
              <w:lastRenderedPageBreak/>
              <w:t>ietvaros saņemto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finansējuma saņēmējam līdz tā atgūšanas dienai, ievērojot Komisijas 2004.gada 21.aprī</w:t>
            </w:r>
            <w:r w:rsidR="00B654CF">
              <w:rPr>
                <w:sz w:val="22"/>
                <w:szCs w:val="22"/>
              </w:rPr>
              <w:t>ļa regulas (EK) Nr.794/2004, ar ko īsteno Padomes Regulu (ES) 2015/1589, ar ko nosaka sīki izstrādātus noteikumus Līguma par Eiropas Savienības darbību 108.panta piemērošanai, 11.pantā noteikto procentu likmes piemērošanas metodi.</w:t>
            </w:r>
          </w:p>
          <w:p w:rsidR="00D45402" w:rsidRDefault="008347EC">
            <w:pPr>
              <w:tabs>
                <w:tab w:val="left" w:pos="35"/>
              </w:tabs>
              <w:jc w:val="both"/>
            </w:pPr>
            <w:r w:rsidRPr="008347EC" w:rsidDel="008347EC">
              <w:rPr>
                <w:sz w:val="22"/>
                <w:szCs w:val="22"/>
              </w:rPr>
              <w:t xml:space="preserve"> </w:t>
            </w:r>
          </w:p>
          <w:p w:rsidR="00D45402" w:rsidRDefault="00340158">
            <w:pPr>
              <w:tabs>
                <w:tab w:val="left" w:pos="35"/>
              </w:tabs>
              <w:jc w:val="both"/>
            </w:pPr>
            <w:r>
              <w:rPr>
                <w:sz w:val="22"/>
                <w:szCs w:val="22"/>
              </w:rPr>
              <w:t xml:space="preserve">62. </w:t>
            </w:r>
            <w:r w:rsidR="008347EC" w:rsidRPr="008347EC">
              <w:rPr>
                <w:sz w:val="22"/>
                <w:szCs w:val="22"/>
              </w:rPr>
              <w:t>Par atbalsta piešķiršanas dienu uzskatāma diena, kad sadarbības iestāde pieņēmusi lēmumu par projekta iesnieguma apstiprināšanu vai sniegusi atzinumu par lēmumā noteikto nosacījumu izpildi, ja iepriekš pieņemts lēmums par projekta iesnieguma apstiprināšanu ar nosacījumu.””.</w:t>
            </w:r>
          </w:p>
          <w:p w:rsidR="008347EC" w:rsidRPr="008347EC" w:rsidRDefault="008347EC" w:rsidP="00E97DCF">
            <w:pPr>
              <w:ind w:firstLine="720"/>
            </w:pPr>
          </w:p>
        </w:tc>
      </w:tr>
      <w:tr w:rsidR="008347EC" w:rsidRPr="008347EC" w:rsidTr="00336AF7">
        <w:tc>
          <w:tcPr>
            <w:tcW w:w="172" w:type="pct"/>
            <w:tcBorders>
              <w:top w:val="single" w:sz="4" w:space="0" w:color="auto"/>
              <w:left w:val="single" w:sz="6" w:space="0" w:color="000000"/>
              <w:bottom w:val="single" w:sz="4" w:space="0" w:color="auto"/>
              <w:right w:val="single" w:sz="6" w:space="0" w:color="000000"/>
            </w:tcBorders>
            <w:shd w:val="clear" w:color="auto" w:fill="auto"/>
          </w:tcPr>
          <w:p w:rsidR="008347EC" w:rsidRPr="008347EC" w:rsidRDefault="008347EC" w:rsidP="00522905">
            <w:pPr>
              <w:pStyle w:val="naisc"/>
              <w:spacing w:before="0" w:after="0"/>
              <w:rPr>
                <w:lang w:eastAsia="en-US"/>
              </w:rPr>
            </w:pPr>
          </w:p>
        </w:tc>
        <w:tc>
          <w:tcPr>
            <w:tcW w:w="1175" w:type="pct"/>
            <w:tcBorders>
              <w:top w:val="single" w:sz="4" w:space="0" w:color="auto"/>
              <w:left w:val="single" w:sz="6" w:space="0" w:color="000000"/>
              <w:bottom w:val="single" w:sz="4" w:space="0" w:color="auto"/>
              <w:right w:val="single" w:sz="6" w:space="0" w:color="000000"/>
            </w:tcBorders>
            <w:shd w:val="clear" w:color="auto" w:fill="auto"/>
            <w:hideMark/>
          </w:tcPr>
          <w:p w:rsidR="008347EC" w:rsidRPr="008347EC" w:rsidRDefault="008347EC" w:rsidP="00CF3B59">
            <w:pPr>
              <w:jc w:val="both"/>
              <w:rPr>
                <w:bCs/>
                <w:color w:val="000000"/>
              </w:rPr>
            </w:pPr>
            <w:r w:rsidRPr="008347EC">
              <w:rPr>
                <w:bCs/>
                <w:color w:val="000000"/>
                <w:sz w:val="22"/>
                <w:szCs w:val="22"/>
              </w:rPr>
              <w:t>Noteikumu projekts</w:t>
            </w:r>
            <w:r>
              <w:rPr>
                <w:bCs/>
                <w:color w:val="000000"/>
                <w:sz w:val="22"/>
                <w:szCs w:val="22"/>
              </w:rPr>
              <w:t>.</w:t>
            </w:r>
          </w:p>
        </w:tc>
        <w:tc>
          <w:tcPr>
            <w:tcW w:w="1202" w:type="pct"/>
            <w:tcBorders>
              <w:top w:val="single" w:sz="4" w:space="0" w:color="auto"/>
              <w:left w:val="single" w:sz="6" w:space="0" w:color="000000"/>
              <w:bottom w:val="single" w:sz="4" w:space="0" w:color="auto"/>
              <w:right w:val="single" w:sz="6" w:space="0" w:color="000000"/>
            </w:tcBorders>
            <w:shd w:val="clear" w:color="auto" w:fill="auto"/>
            <w:hideMark/>
          </w:tcPr>
          <w:p w:rsidR="008347EC" w:rsidRPr="008347EC" w:rsidRDefault="008347EC" w:rsidP="007E162B">
            <w:pPr>
              <w:pStyle w:val="Komentrateksts"/>
              <w:widowControl w:val="0"/>
              <w:jc w:val="both"/>
              <w:rPr>
                <w:b/>
                <w:sz w:val="22"/>
                <w:szCs w:val="22"/>
              </w:rPr>
            </w:pPr>
            <w:r w:rsidRPr="008347EC">
              <w:rPr>
                <w:b/>
                <w:sz w:val="22"/>
                <w:szCs w:val="22"/>
              </w:rPr>
              <w:t>Finanšu ministrija</w:t>
            </w:r>
            <w:r>
              <w:rPr>
                <w:b/>
                <w:sz w:val="22"/>
                <w:szCs w:val="22"/>
              </w:rPr>
              <w:t>:</w:t>
            </w:r>
          </w:p>
          <w:p w:rsidR="008347EC" w:rsidRPr="008347EC" w:rsidRDefault="008347EC">
            <w:pPr>
              <w:jc w:val="both"/>
            </w:pPr>
            <w:r w:rsidRPr="008347EC">
              <w:rPr>
                <w:sz w:val="22"/>
                <w:szCs w:val="22"/>
              </w:rPr>
              <w:t>Ņemot vērā, ka MK noteikumi Nr.322 skaidri nenosaka atbalsta piešķiršanas brīdi, lūdzam papildināt MK noteikumus Nr.322 ar punktu/-</w:t>
            </w:r>
            <w:proofErr w:type="spellStart"/>
            <w:r w:rsidRPr="008347EC">
              <w:rPr>
                <w:sz w:val="22"/>
                <w:szCs w:val="22"/>
              </w:rPr>
              <w:t>iem</w:t>
            </w:r>
            <w:proofErr w:type="spellEnd"/>
            <w:r w:rsidRPr="008347EC">
              <w:rPr>
                <w:sz w:val="22"/>
                <w:szCs w:val="22"/>
              </w:rPr>
              <w:t>, kas noteiktu atbalsta piešķiršanas brīdi, kad atbalsts tiek sniegts saskaņā ar Komisijas regulu Nr.65</w:t>
            </w:r>
            <w:r w:rsidR="00B654CF">
              <w:rPr>
                <w:sz w:val="22"/>
                <w:szCs w:val="22"/>
              </w:rPr>
              <w:t xml:space="preserve">1/2014. Skaidrojam, ka atbalsta piešķiršanas brīža identificēšana ir būtisks priekšnosacījums korektai interpretācijai par datumu, kurā tiktu uzskatīts, ka atbalsts ticis piešķirts tā saņēmējam saskaņā ar minēto regulu. </w:t>
            </w:r>
          </w:p>
        </w:tc>
        <w:tc>
          <w:tcPr>
            <w:tcW w:w="1201" w:type="pct"/>
            <w:tcBorders>
              <w:top w:val="single" w:sz="4" w:space="0" w:color="auto"/>
              <w:left w:val="single" w:sz="6" w:space="0" w:color="000000"/>
              <w:bottom w:val="single" w:sz="4" w:space="0" w:color="auto"/>
              <w:right w:val="single" w:sz="6" w:space="0" w:color="000000"/>
            </w:tcBorders>
            <w:shd w:val="clear" w:color="auto" w:fill="auto"/>
            <w:hideMark/>
          </w:tcPr>
          <w:p w:rsidR="008347EC" w:rsidRPr="008347EC" w:rsidRDefault="008347EC" w:rsidP="007E162B">
            <w:pPr>
              <w:pStyle w:val="naisc"/>
              <w:spacing w:before="0" w:after="0"/>
              <w:ind w:firstLine="32"/>
              <w:rPr>
                <w:b/>
              </w:rPr>
            </w:pPr>
            <w:r w:rsidRPr="008347EC">
              <w:rPr>
                <w:b/>
                <w:sz w:val="22"/>
                <w:szCs w:val="22"/>
              </w:rPr>
              <w:t>Ņemts vērā</w:t>
            </w:r>
          </w:p>
          <w:p w:rsidR="008347EC" w:rsidRPr="008347EC" w:rsidRDefault="008347EC" w:rsidP="000E66EA">
            <w:pPr>
              <w:pStyle w:val="naisc"/>
              <w:spacing w:before="0" w:after="0"/>
              <w:ind w:firstLine="32"/>
              <w:rPr>
                <w:b/>
              </w:rPr>
            </w:pPr>
          </w:p>
        </w:tc>
        <w:tc>
          <w:tcPr>
            <w:tcW w:w="1250" w:type="pct"/>
            <w:vMerge/>
            <w:tcBorders>
              <w:left w:val="single" w:sz="4" w:space="0" w:color="auto"/>
              <w:bottom w:val="single" w:sz="4" w:space="0" w:color="auto"/>
              <w:right w:val="single" w:sz="4" w:space="0" w:color="auto"/>
            </w:tcBorders>
            <w:shd w:val="clear" w:color="auto" w:fill="auto"/>
            <w:hideMark/>
          </w:tcPr>
          <w:p w:rsidR="008347EC" w:rsidRPr="008347EC" w:rsidRDefault="008347EC" w:rsidP="00E97DCF">
            <w:pPr>
              <w:ind w:firstLine="720"/>
            </w:pPr>
          </w:p>
        </w:tc>
      </w:tr>
      <w:tr w:rsidR="00466F18" w:rsidRPr="008347EC" w:rsidTr="00B872FC">
        <w:tc>
          <w:tcPr>
            <w:tcW w:w="172" w:type="pct"/>
            <w:tcBorders>
              <w:top w:val="single" w:sz="4" w:space="0" w:color="auto"/>
              <w:left w:val="single" w:sz="6" w:space="0" w:color="000000"/>
              <w:bottom w:val="single" w:sz="4" w:space="0" w:color="auto"/>
              <w:right w:val="single" w:sz="6" w:space="0" w:color="000000"/>
            </w:tcBorders>
            <w:shd w:val="clear" w:color="auto" w:fill="auto"/>
          </w:tcPr>
          <w:p w:rsidR="00466F18" w:rsidRPr="008347EC" w:rsidRDefault="00466F18" w:rsidP="00522905">
            <w:pPr>
              <w:pStyle w:val="naisc"/>
              <w:spacing w:before="0" w:after="0"/>
              <w:rPr>
                <w:lang w:eastAsia="en-US"/>
              </w:rPr>
            </w:pPr>
          </w:p>
        </w:tc>
        <w:tc>
          <w:tcPr>
            <w:tcW w:w="1175" w:type="pct"/>
            <w:tcBorders>
              <w:top w:val="single" w:sz="4" w:space="0" w:color="auto"/>
              <w:left w:val="single" w:sz="6" w:space="0" w:color="000000"/>
              <w:bottom w:val="single" w:sz="4" w:space="0" w:color="auto"/>
              <w:right w:val="single" w:sz="6" w:space="0" w:color="000000"/>
            </w:tcBorders>
            <w:shd w:val="clear" w:color="auto" w:fill="auto"/>
            <w:hideMark/>
          </w:tcPr>
          <w:p w:rsidR="00E97DCF" w:rsidRPr="008347EC" w:rsidRDefault="004B0590" w:rsidP="00E97DCF">
            <w:pPr>
              <w:pStyle w:val="Sarakstarindkopa"/>
              <w:tabs>
                <w:tab w:val="left" w:pos="284"/>
              </w:tabs>
              <w:ind w:left="0"/>
              <w:jc w:val="both"/>
              <w:rPr>
                <w:rFonts w:ascii="Times New Roman" w:eastAsia="Times New Roman" w:hAnsi="Times New Roman"/>
                <w:lang w:eastAsia="lv-LV"/>
              </w:rPr>
            </w:pPr>
            <w:r w:rsidRPr="008347EC">
              <w:rPr>
                <w:rFonts w:ascii="Times New Roman" w:eastAsia="Times New Roman" w:hAnsi="Times New Roman"/>
                <w:lang w:eastAsia="lv-LV"/>
              </w:rPr>
              <w:t>Noteikumu projekta 4</w:t>
            </w:r>
            <w:r w:rsidR="00E97DCF" w:rsidRPr="008347EC">
              <w:rPr>
                <w:rFonts w:ascii="Times New Roman" w:eastAsia="Times New Roman" w:hAnsi="Times New Roman"/>
                <w:lang w:eastAsia="lv-LV"/>
              </w:rPr>
              <w:t>.punkts:</w:t>
            </w:r>
          </w:p>
          <w:p w:rsidR="00E97DCF" w:rsidRPr="008347EC" w:rsidRDefault="00E97DCF" w:rsidP="00E97DCF">
            <w:pPr>
              <w:pStyle w:val="Sarakstarindkopa"/>
              <w:tabs>
                <w:tab w:val="left" w:pos="284"/>
              </w:tabs>
              <w:ind w:left="0"/>
              <w:jc w:val="both"/>
              <w:rPr>
                <w:rFonts w:ascii="Times New Roman" w:eastAsia="Times New Roman" w:hAnsi="Times New Roman"/>
                <w:lang w:eastAsia="lv-LV"/>
              </w:rPr>
            </w:pPr>
            <w:r w:rsidRPr="008347EC">
              <w:rPr>
                <w:rFonts w:ascii="Times New Roman" w:eastAsia="Times New Roman" w:hAnsi="Times New Roman"/>
                <w:lang w:eastAsia="lv-LV"/>
              </w:rPr>
              <w:t>„</w:t>
            </w:r>
            <w:r w:rsidR="00B654CF">
              <w:rPr>
                <w:rFonts w:ascii="Times New Roman" w:eastAsia="Times New Roman" w:hAnsi="Times New Roman"/>
                <w:lang w:eastAsia="lv-LV"/>
              </w:rPr>
              <w:t>4. Izteikt 29.punktu šādā redakcijā:</w:t>
            </w:r>
          </w:p>
          <w:p w:rsidR="00E97DCF" w:rsidRPr="008347EC" w:rsidRDefault="00B654CF" w:rsidP="00E97DCF">
            <w:pPr>
              <w:pStyle w:val="Sarakstarindkopa"/>
              <w:ind w:left="0"/>
              <w:jc w:val="both"/>
              <w:rPr>
                <w:rFonts w:ascii="Times New Roman" w:eastAsia="Times New Roman" w:hAnsi="Times New Roman"/>
                <w:lang w:eastAsia="lv-LV"/>
              </w:rPr>
            </w:pPr>
            <w:r>
              <w:rPr>
                <w:rFonts w:ascii="Times New Roman" w:eastAsia="Times New Roman" w:hAnsi="Times New Roman"/>
                <w:lang w:eastAsia="lv-LV"/>
              </w:rPr>
              <w:t>„29. Projektu īsteno saskaņā ar vienošanos par projekta īstenošanu, bet ne ilgāk kā līdz 2023.gada 31.decembrim.””</w:t>
            </w:r>
            <w:r w:rsidR="008347EC">
              <w:rPr>
                <w:rFonts w:ascii="Times New Roman" w:eastAsia="Times New Roman" w:hAnsi="Times New Roman"/>
                <w:lang w:eastAsia="lv-LV"/>
              </w:rPr>
              <w:t>.</w:t>
            </w:r>
          </w:p>
          <w:p w:rsidR="00BA42E7" w:rsidRPr="008347EC" w:rsidRDefault="00BA42E7" w:rsidP="00E97DCF">
            <w:pPr>
              <w:pStyle w:val="Default"/>
              <w:jc w:val="both"/>
              <w:rPr>
                <w:bCs/>
                <w:sz w:val="22"/>
                <w:szCs w:val="22"/>
              </w:rPr>
            </w:pPr>
          </w:p>
        </w:tc>
        <w:tc>
          <w:tcPr>
            <w:tcW w:w="1202" w:type="pct"/>
            <w:tcBorders>
              <w:top w:val="single" w:sz="4" w:space="0" w:color="auto"/>
              <w:left w:val="single" w:sz="6" w:space="0" w:color="000000"/>
              <w:bottom w:val="single" w:sz="4" w:space="0" w:color="auto"/>
              <w:right w:val="single" w:sz="6" w:space="0" w:color="000000"/>
            </w:tcBorders>
            <w:shd w:val="clear" w:color="auto" w:fill="auto"/>
            <w:hideMark/>
          </w:tcPr>
          <w:p w:rsidR="00466F18" w:rsidRPr="008347EC" w:rsidRDefault="00B654CF" w:rsidP="00466F18">
            <w:pPr>
              <w:pStyle w:val="Komentrateksts"/>
              <w:widowControl w:val="0"/>
              <w:jc w:val="both"/>
              <w:rPr>
                <w:b/>
                <w:sz w:val="22"/>
                <w:szCs w:val="22"/>
              </w:rPr>
            </w:pPr>
            <w:r>
              <w:rPr>
                <w:b/>
                <w:sz w:val="22"/>
                <w:szCs w:val="22"/>
              </w:rPr>
              <w:t>Finanšu ministrija</w:t>
            </w:r>
            <w:r w:rsidR="008347EC">
              <w:rPr>
                <w:b/>
                <w:sz w:val="22"/>
                <w:szCs w:val="22"/>
              </w:rPr>
              <w:t>:</w:t>
            </w:r>
          </w:p>
          <w:p w:rsidR="007E162B" w:rsidRPr="008347EC" w:rsidRDefault="00C0025C" w:rsidP="007E162B">
            <w:pPr>
              <w:jc w:val="both"/>
            </w:pPr>
            <w:r w:rsidRPr="008347EC">
              <w:rPr>
                <w:sz w:val="22"/>
                <w:szCs w:val="22"/>
              </w:rPr>
              <w:t>Lūdzam papildināt anotācijas I</w:t>
            </w:r>
            <w:r w:rsidR="008347EC">
              <w:rPr>
                <w:sz w:val="22"/>
                <w:szCs w:val="22"/>
              </w:rPr>
              <w:t> </w:t>
            </w:r>
            <w:r w:rsidRPr="008347EC">
              <w:rPr>
                <w:sz w:val="22"/>
                <w:szCs w:val="22"/>
              </w:rPr>
              <w:t xml:space="preserve">sadaļas </w:t>
            </w:r>
            <w:r w:rsidR="00B654CF">
              <w:rPr>
                <w:sz w:val="22"/>
                <w:szCs w:val="22"/>
              </w:rPr>
              <w:t xml:space="preserve">„Tiesību akta projekta izstrādes nepieciešamība” (turpmāk – I sadaļa) 2.punktu „Pašreizējā situācija un problēmas, kuru risināšanai tiesību akta projekts izstrādāts, tiesiskā regulējuma mērķis un būtība” </w:t>
            </w:r>
            <w:r w:rsidR="00B654CF">
              <w:rPr>
                <w:sz w:val="22"/>
                <w:szCs w:val="22"/>
              </w:rPr>
              <w:br/>
              <w:t>(turpmāk – 2.punkts) ar detalizētāku un izvērstāku pamatojumu projekta īstenošanas termiņa pagarināšanai līdz Regulā Nr.1303/2013</w:t>
            </w:r>
            <w:r w:rsidRPr="008347EC">
              <w:rPr>
                <w:rStyle w:val="Vresatsauce"/>
                <w:sz w:val="22"/>
                <w:szCs w:val="22"/>
              </w:rPr>
              <w:footnoteReference w:id="2"/>
            </w:r>
            <w:r w:rsidRPr="008347EC">
              <w:rPr>
                <w:sz w:val="22"/>
                <w:szCs w:val="22"/>
              </w:rPr>
              <w:t xml:space="preserve"> </w:t>
            </w:r>
            <w:r w:rsidRPr="008347EC">
              <w:rPr>
                <w:sz w:val="22"/>
                <w:szCs w:val="22"/>
              </w:rPr>
              <w:lastRenderedPageBreak/>
              <w:t xml:space="preserve">noteiktajam maksimālajam projektu īstenošanas termiņam, proti, 2023.gada 31.decembrim. Papildus lūdzam skaidrot, kā ierosinātie grozījumi noteikumu projekta 4.punktā ietekmēs MK noteikumu Nr.322 9.punktā noteikto uzraudzības rādītāju sasniegšanas termiņu un vai ierosinātie grozījumi neradīs risku savlaicīgai rādītāju sasniegšanai. </w:t>
            </w:r>
          </w:p>
          <w:p w:rsidR="00466F18" w:rsidRPr="008347EC" w:rsidRDefault="00C0025C" w:rsidP="004B0590">
            <w:pPr>
              <w:jc w:val="both"/>
            </w:pPr>
            <w:r w:rsidRPr="008347EC">
              <w:rPr>
                <w:sz w:val="22"/>
                <w:szCs w:val="22"/>
              </w:rPr>
              <w:t xml:space="preserve">Vienlaikus vēršam uzmanību, ka noteikumu projekta 4.punkta ievaddaļa paredz izteikt jaunā redakcijā MK noteikumu Nr.322 29.punktu, nevis MK noteikumu Nr.322 18.punktu. </w:t>
            </w:r>
          </w:p>
        </w:tc>
        <w:tc>
          <w:tcPr>
            <w:tcW w:w="1201" w:type="pct"/>
            <w:tcBorders>
              <w:top w:val="single" w:sz="4" w:space="0" w:color="auto"/>
              <w:left w:val="single" w:sz="6" w:space="0" w:color="000000"/>
              <w:bottom w:val="single" w:sz="4" w:space="0" w:color="auto"/>
              <w:right w:val="single" w:sz="6" w:space="0" w:color="000000"/>
            </w:tcBorders>
            <w:shd w:val="clear" w:color="auto" w:fill="auto"/>
            <w:hideMark/>
          </w:tcPr>
          <w:p w:rsidR="006E0376" w:rsidRPr="008347EC" w:rsidRDefault="006E0376" w:rsidP="006E0376">
            <w:pPr>
              <w:pStyle w:val="naisc"/>
              <w:spacing w:before="0" w:after="0"/>
              <w:ind w:firstLine="32"/>
              <w:rPr>
                <w:b/>
              </w:rPr>
            </w:pPr>
            <w:r w:rsidRPr="008347EC">
              <w:rPr>
                <w:b/>
                <w:sz w:val="22"/>
                <w:szCs w:val="22"/>
              </w:rPr>
              <w:lastRenderedPageBreak/>
              <w:t>Ņemts vērā</w:t>
            </w:r>
          </w:p>
          <w:p w:rsidR="00466F18" w:rsidRPr="008347EC" w:rsidRDefault="00466F18">
            <w:pPr>
              <w:pStyle w:val="naisc"/>
              <w:spacing w:before="0" w:after="0"/>
              <w:ind w:firstLine="32"/>
              <w:rPr>
                <w:b/>
              </w:rPr>
            </w:pP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466F18" w:rsidRPr="008347EC" w:rsidRDefault="004B0590" w:rsidP="00286BD2">
            <w:pPr>
              <w:jc w:val="both"/>
            </w:pPr>
            <w:r w:rsidRPr="008347EC">
              <w:rPr>
                <w:sz w:val="22"/>
                <w:szCs w:val="22"/>
              </w:rPr>
              <w:t>Svītrots Noteikumu projekta 4</w:t>
            </w:r>
            <w:r w:rsidR="00E97DCF" w:rsidRPr="008347EC">
              <w:rPr>
                <w:sz w:val="22"/>
                <w:szCs w:val="22"/>
              </w:rPr>
              <w:t>.punkts.</w:t>
            </w:r>
          </w:p>
        </w:tc>
      </w:tr>
      <w:tr w:rsidR="00466F18" w:rsidRPr="008347EC" w:rsidTr="00B872FC">
        <w:tc>
          <w:tcPr>
            <w:tcW w:w="172" w:type="pct"/>
            <w:tcBorders>
              <w:top w:val="single" w:sz="4" w:space="0" w:color="auto"/>
              <w:left w:val="single" w:sz="6" w:space="0" w:color="000000"/>
              <w:bottom w:val="single" w:sz="4" w:space="0" w:color="auto"/>
              <w:right w:val="single" w:sz="6" w:space="0" w:color="000000"/>
            </w:tcBorders>
            <w:shd w:val="clear" w:color="auto" w:fill="auto"/>
          </w:tcPr>
          <w:p w:rsidR="00466F18" w:rsidRPr="008347EC" w:rsidRDefault="00466F18" w:rsidP="00522905">
            <w:pPr>
              <w:pStyle w:val="naisc"/>
              <w:spacing w:before="0" w:after="0"/>
              <w:rPr>
                <w:lang w:eastAsia="en-US"/>
              </w:rPr>
            </w:pPr>
          </w:p>
        </w:tc>
        <w:tc>
          <w:tcPr>
            <w:tcW w:w="1175" w:type="pct"/>
            <w:tcBorders>
              <w:top w:val="single" w:sz="4" w:space="0" w:color="auto"/>
              <w:left w:val="single" w:sz="6" w:space="0" w:color="000000"/>
              <w:bottom w:val="single" w:sz="4" w:space="0" w:color="auto"/>
              <w:right w:val="single" w:sz="6" w:space="0" w:color="000000"/>
            </w:tcBorders>
            <w:shd w:val="clear" w:color="auto" w:fill="auto"/>
            <w:hideMark/>
          </w:tcPr>
          <w:p w:rsidR="00EF1BFF" w:rsidRPr="008347EC" w:rsidRDefault="00EF1BFF" w:rsidP="00EF1BFF">
            <w:pPr>
              <w:pStyle w:val="Kjene"/>
              <w:jc w:val="both"/>
            </w:pPr>
            <w:r w:rsidRPr="008347EC">
              <w:rPr>
                <w:sz w:val="22"/>
                <w:szCs w:val="22"/>
              </w:rPr>
              <w:t>Noteikumu projekta sākotnējās ietekmes novērtējuma ziņojuma (anotācijas) (turpmāk – anotācija) I sadaļas „Tiesību akta projekta izstrādes nepieciešamība” 2.punkts „Pašreizējā situācija un problēmas, kuru risināšanai tiesību akta projekts izstrādāts, tiesiskā regulējuma mērķis un būtība”</w:t>
            </w:r>
            <w:r w:rsidR="008347EC">
              <w:rPr>
                <w:sz w:val="22"/>
                <w:szCs w:val="22"/>
              </w:rPr>
              <w:t>.</w:t>
            </w:r>
          </w:p>
          <w:p w:rsidR="00466F18" w:rsidRPr="008347EC" w:rsidRDefault="00466F18" w:rsidP="007E162B">
            <w:pPr>
              <w:pStyle w:val="Sarakstarindkopa"/>
              <w:ind w:left="0"/>
              <w:jc w:val="both"/>
              <w:rPr>
                <w:rFonts w:ascii="Times New Roman" w:hAnsi="Times New Roman"/>
                <w:bCs/>
                <w:color w:val="000000"/>
              </w:rPr>
            </w:pPr>
          </w:p>
        </w:tc>
        <w:tc>
          <w:tcPr>
            <w:tcW w:w="1202" w:type="pct"/>
            <w:tcBorders>
              <w:top w:val="single" w:sz="4" w:space="0" w:color="auto"/>
              <w:left w:val="single" w:sz="6" w:space="0" w:color="000000"/>
              <w:bottom w:val="single" w:sz="4" w:space="0" w:color="auto"/>
              <w:right w:val="single" w:sz="6" w:space="0" w:color="000000"/>
            </w:tcBorders>
            <w:shd w:val="clear" w:color="auto" w:fill="auto"/>
            <w:hideMark/>
          </w:tcPr>
          <w:p w:rsidR="00466F18" w:rsidRPr="008347EC" w:rsidRDefault="00466F18" w:rsidP="00466F18">
            <w:pPr>
              <w:pStyle w:val="Komentrateksts"/>
              <w:widowControl w:val="0"/>
              <w:jc w:val="both"/>
              <w:rPr>
                <w:b/>
                <w:sz w:val="22"/>
                <w:szCs w:val="22"/>
              </w:rPr>
            </w:pPr>
            <w:r w:rsidRPr="008347EC">
              <w:rPr>
                <w:b/>
                <w:sz w:val="22"/>
                <w:szCs w:val="22"/>
              </w:rPr>
              <w:t>Finanšu ministrija</w:t>
            </w:r>
            <w:r w:rsidR="008347EC">
              <w:rPr>
                <w:b/>
                <w:sz w:val="22"/>
                <w:szCs w:val="22"/>
              </w:rPr>
              <w:t>:</w:t>
            </w:r>
          </w:p>
          <w:p w:rsidR="007E162B" w:rsidRPr="008347EC" w:rsidRDefault="00C0025C" w:rsidP="007E162B">
            <w:pPr>
              <w:jc w:val="both"/>
            </w:pPr>
            <w:r w:rsidRPr="008347EC">
              <w:rPr>
                <w:sz w:val="22"/>
                <w:szCs w:val="22"/>
              </w:rPr>
              <w:t xml:space="preserve">Lūdzam papildināt anotāciju ar informāciju par noteikumu projekta ietekmi uz darbības programmas </w:t>
            </w:r>
            <w:r w:rsidR="00B654CF">
              <w:rPr>
                <w:sz w:val="22"/>
                <w:szCs w:val="22"/>
              </w:rPr>
              <w:t>„Izaugsme un nodarbinātība” 5.prioritārā virziena “Vides aizsardzības un resursu izmantošanas efektivitāte” intervences kodiem.</w:t>
            </w:r>
          </w:p>
          <w:p w:rsidR="00466F18" w:rsidRPr="008347EC" w:rsidRDefault="00466F18" w:rsidP="00466F18">
            <w:pPr>
              <w:jc w:val="both"/>
            </w:pPr>
          </w:p>
          <w:p w:rsidR="00466F18" w:rsidRPr="008347EC" w:rsidRDefault="00466F18" w:rsidP="00466F18">
            <w:pPr>
              <w:pStyle w:val="Komentrateksts"/>
              <w:widowControl w:val="0"/>
              <w:jc w:val="both"/>
              <w:rPr>
                <w:b/>
                <w:sz w:val="22"/>
                <w:szCs w:val="22"/>
              </w:rPr>
            </w:pPr>
          </w:p>
        </w:tc>
        <w:tc>
          <w:tcPr>
            <w:tcW w:w="1201" w:type="pct"/>
            <w:tcBorders>
              <w:top w:val="single" w:sz="4" w:space="0" w:color="auto"/>
              <w:left w:val="single" w:sz="6" w:space="0" w:color="000000"/>
              <w:bottom w:val="single" w:sz="4" w:space="0" w:color="auto"/>
              <w:right w:val="single" w:sz="6" w:space="0" w:color="000000"/>
            </w:tcBorders>
            <w:shd w:val="clear" w:color="auto" w:fill="auto"/>
            <w:hideMark/>
          </w:tcPr>
          <w:p w:rsidR="00466F18" w:rsidRPr="008347EC" w:rsidRDefault="00C0025C">
            <w:pPr>
              <w:pStyle w:val="naisc"/>
              <w:spacing w:before="0" w:after="0"/>
              <w:ind w:firstLine="32"/>
              <w:rPr>
                <w:b/>
              </w:rPr>
            </w:pPr>
            <w:r w:rsidRPr="008347EC">
              <w:rPr>
                <w:b/>
                <w:sz w:val="22"/>
                <w:szCs w:val="22"/>
              </w:rPr>
              <w:t>Ņemts vērā</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F1BFF" w:rsidRPr="008347EC" w:rsidRDefault="00EF1BFF" w:rsidP="00EF1BFF">
            <w:pPr>
              <w:jc w:val="both"/>
            </w:pPr>
            <w:r w:rsidRPr="008347EC">
              <w:rPr>
                <w:sz w:val="22"/>
                <w:szCs w:val="22"/>
              </w:rPr>
              <w:t xml:space="preserve">Papildināts anotācijas </w:t>
            </w:r>
            <w:r w:rsidR="00ED69C0" w:rsidRPr="008347EC">
              <w:rPr>
                <w:sz w:val="22"/>
                <w:szCs w:val="22"/>
              </w:rPr>
              <w:t xml:space="preserve">I sadaļas „Tiesību akta projekta izstrādes nepieciešamība” </w:t>
            </w:r>
            <w:r w:rsidRPr="008347EC">
              <w:rPr>
                <w:sz w:val="22"/>
                <w:szCs w:val="22"/>
              </w:rPr>
              <w:t xml:space="preserve">2.punkts „Pašreizējā situācija un problēmas, kuru risināšanai tiesību akta projekts izstrādāts, tiesiskā regulējuma mērķis un būtība”: </w:t>
            </w:r>
          </w:p>
          <w:p w:rsidR="00466F18" w:rsidRPr="008347EC" w:rsidRDefault="00C0025C" w:rsidP="00ED69C0">
            <w:pPr>
              <w:jc w:val="both"/>
            </w:pPr>
            <w:r w:rsidRPr="008347EC">
              <w:rPr>
                <w:sz w:val="22"/>
                <w:szCs w:val="22"/>
              </w:rPr>
              <w:t>„Tāpat Projektam nav ietekme</w:t>
            </w:r>
            <w:r w:rsidR="00340158">
              <w:rPr>
                <w:sz w:val="22"/>
                <w:szCs w:val="22"/>
              </w:rPr>
              <w:t>s</w:t>
            </w:r>
            <w:r w:rsidRPr="008347EC">
              <w:rPr>
                <w:sz w:val="22"/>
                <w:szCs w:val="22"/>
              </w:rPr>
              <w:t xml:space="preserve"> uz darbības programmas </w:t>
            </w:r>
            <w:r w:rsidR="00ED69C0" w:rsidRPr="008347EC">
              <w:rPr>
                <w:sz w:val="22"/>
                <w:szCs w:val="22"/>
              </w:rPr>
              <w:t>„</w:t>
            </w:r>
            <w:r w:rsidR="00B654CF">
              <w:rPr>
                <w:sz w:val="22"/>
                <w:szCs w:val="22"/>
              </w:rPr>
              <w:t>Izaugsme un nodarbinātība” 5.prioritārā virziena „Vides aizsardzības un resursu izmantošanas efektivitāte” intervences kodiem.”</w:t>
            </w:r>
            <w:r w:rsidR="008347EC">
              <w:rPr>
                <w:sz w:val="22"/>
                <w:szCs w:val="22"/>
              </w:rPr>
              <w:t>.</w:t>
            </w:r>
          </w:p>
        </w:tc>
      </w:tr>
      <w:tr w:rsidR="00466F18" w:rsidRPr="008347EC" w:rsidTr="00B872FC">
        <w:tc>
          <w:tcPr>
            <w:tcW w:w="172" w:type="pct"/>
            <w:tcBorders>
              <w:top w:val="single" w:sz="4" w:space="0" w:color="auto"/>
              <w:left w:val="single" w:sz="6" w:space="0" w:color="000000"/>
              <w:bottom w:val="single" w:sz="4" w:space="0" w:color="auto"/>
              <w:right w:val="single" w:sz="6" w:space="0" w:color="000000"/>
            </w:tcBorders>
            <w:shd w:val="clear" w:color="auto" w:fill="auto"/>
          </w:tcPr>
          <w:p w:rsidR="00466F18" w:rsidRPr="008347EC" w:rsidRDefault="00466F18" w:rsidP="00522905">
            <w:pPr>
              <w:pStyle w:val="naisc"/>
              <w:spacing w:before="0" w:after="0"/>
              <w:rPr>
                <w:lang w:eastAsia="en-US"/>
              </w:rPr>
            </w:pPr>
          </w:p>
        </w:tc>
        <w:tc>
          <w:tcPr>
            <w:tcW w:w="1175" w:type="pct"/>
            <w:tcBorders>
              <w:top w:val="single" w:sz="4" w:space="0" w:color="auto"/>
              <w:left w:val="single" w:sz="6" w:space="0" w:color="000000"/>
              <w:bottom w:val="single" w:sz="4" w:space="0" w:color="auto"/>
              <w:right w:val="single" w:sz="6" w:space="0" w:color="000000"/>
            </w:tcBorders>
            <w:shd w:val="clear" w:color="auto" w:fill="auto"/>
            <w:hideMark/>
          </w:tcPr>
          <w:p w:rsidR="00466F18" w:rsidRPr="008347EC" w:rsidRDefault="00C0025C" w:rsidP="00EF1BFF">
            <w:pPr>
              <w:pStyle w:val="Kjene"/>
              <w:jc w:val="both"/>
            </w:pPr>
            <w:r w:rsidRPr="008347EC">
              <w:rPr>
                <w:bCs/>
                <w:color w:val="000000"/>
                <w:sz w:val="22"/>
                <w:szCs w:val="22"/>
              </w:rPr>
              <w:t xml:space="preserve">Anotācijas </w:t>
            </w:r>
            <w:r w:rsidRPr="008347EC">
              <w:rPr>
                <w:sz w:val="22"/>
                <w:szCs w:val="22"/>
              </w:rPr>
              <w:t xml:space="preserve">V sadaļas </w:t>
            </w:r>
            <w:r w:rsidR="00ED69C0" w:rsidRPr="008347EC">
              <w:rPr>
                <w:sz w:val="22"/>
                <w:szCs w:val="22"/>
              </w:rPr>
              <w:t>„</w:t>
            </w:r>
            <w:r w:rsidRPr="008347EC">
              <w:rPr>
                <w:sz w:val="22"/>
                <w:szCs w:val="22"/>
              </w:rPr>
              <w:t xml:space="preserve">Tiesību akta projekta atbilstība Latvijas Republikas starptautiskajām saistībām” 1.tabulā </w:t>
            </w:r>
            <w:r w:rsidR="00ED69C0" w:rsidRPr="008347EC">
              <w:rPr>
                <w:sz w:val="22"/>
                <w:szCs w:val="22"/>
              </w:rPr>
              <w:t>„</w:t>
            </w:r>
            <w:r w:rsidR="00B654CF">
              <w:rPr>
                <w:sz w:val="22"/>
                <w:szCs w:val="22"/>
              </w:rPr>
              <w:t xml:space="preserve">Tiesību akta projekta atbilstība ES tiesību </w:t>
            </w:r>
            <w:r w:rsidR="00B654CF">
              <w:rPr>
                <w:sz w:val="22"/>
                <w:szCs w:val="22"/>
              </w:rPr>
              <w:lastRenderedPageBreak/>
              <w:t>aktiem”:</w:t>
            </w:r>
          </w:p>
          <w:p w:rsidR="00EF1BFF" w:rsidRPr="008347EC" w:rsidRDefault="00C0025C" w:rsidP="00EF1BFF">
            <w:pPr>
              <w:pStyle w:val="Kjene"/>
              <w:jc w:val="both"/>
              <w:rPr>
                <w:bCs/>
                <w:color w:val="000000"/>
              </w:rPr>
            </w:pPr>
            <w:r w:rsidRPr="008347EC">
              <w:rPr>
                <w:sz w:val="22"/>
                <w:szCs w:val="22"/>
              </w:rPr>
              <w:t>„Saskaņā ar Komisijas Regulas Nr.651/2014 11.pantu Kultūras ministrijai Eiropas Komisijai 20</w:t>
            </w:r>
            <w:r w:rsidR="00ED69C0" w:rsidRPr="008347EC">
              <w:rPr>
                <w:sz w:val="22"/>
                <w:szCs w:val="22"/>
              </w:rPr>
              <w:t> </w:t>
            </w:r>
            <w:r w:rsidRPr="008347EC">
              <w:rPr>
                <w:sz w:val="22"/>
                <w:szCs w:val="22"/>
              </w:rPr>
              <w:t>darba dienu laikā pēc šī noteikumu projekta spēkā stāšanās ir jānosūta kopsavilkuma informācija par šo atbalsta pasākumu.”</w:t>
            </w:r>
            <w:r w:rsidR="008347EC">
              <w:rPr>
                <w:sz w:val="22"/>
                <w:szCs w:val="22"/>
              </w:rPr>
              <w:t>.</w:t>
            </w:r>
          </w:p>
        </w:tc>
        <w:tc>
          <w:tcPr>
            <w:tcW w:w="1202" w:type="pct"/>
            <w:tcBorders>
              <w:top w:val="single" w:sz="4" w:space="0" w:color="auto"/>
              <w:left w:val="single" w:sz="6" w:space="0" w:color="000000"/>
              <w:bottom w:val="single" w:sz="4" w:space="0" w:color="auto"/>
              <w:right w:val="single" w:sz="6" w:space="0" w:color="000000"/>
            </w:tcBorders>
            <w:shd w:val="clear" w:color="auto" w:fill="auto"/>
            <w:hideMark/>
          </w:tcPr>
          <w:p w:rsidR="00F525DE" w:rsidRPr="008347EC" w:rsidRDefault="00466F18" w:rsidP="00EF1BFF">
            <w:pPr>
              <w:pStyle w:val="Komentrateksts"/>
              <w:widowControl w:val="0"/>
              <w:jc w:val="both"/>
              <w:rPr>
                <w:b/>
                <w:sz w:val="22"/>
                <w:szCs w:val="22"/>
              </w:rPr>
            </w:pPr>
            <w:r w:rsidRPr="008347EC">
              <w:rPr>
                <w:b/>
                <w:sz w:val="22"/>
                <w:szCs w:val="22"/>
              </w:rPr>
              <w:lastRenderedPageBreak/>
              <w:t>Finanšu ministrija</w:t>
            </w:r>
            <w:r w:rsidR="008347EC">
              <w:rPr>
                <w:b/>
                <w:sz w:val="22"/>
                <w:szCs w:val="22"/>
              </w:rPr>
              <w:t>:</w:t>
            </w:r>
          </w:p>
          <w:p w:rsidR="00E11428" w:rsidRPr="008347EC" w:rsidRDefault="00C0025C">
            <w:pPr>
              <w:jc w:val="both"/>
              <w:rPr>
                <w:b/>
              </w:rPr>
            </w:pPr>
            <w:r w:rsidRPr="008347EC">
              <w:rPr>
                <w:sz w:val="22"/>
                <w:szCs w:val="22"/>
              </w:rPr>
              <w:t xml:space="preserve">Lūdzam svītrot anotācijas V sadaļas “Tiesību akta projekta atbilstība Latvijas Republikas starptautiskajām saistībām” 1.tabulā “Tiesību akta </w:t>
            </w:r>
            <w:r w:rsidRPr="008347EC">
              <w:rPr>
                <w:sz w:val="22"/>
                <w:szCs w:val="22"/>
              </w:rPr>
              <w:lastRenderedPageBreak/>
              <w:t xml:space="preserve">projekta atbilstība ES tiesību aktiem” norādīto informāciju, ka KM 20 darba dienu laikā Komisijai jānosūta kopsavilkuma informācija, jo noteikumu projekts neparedz tādas izmaiņas atbalsta programmā, kas varētu ietekmēt novērtējumu par atbalsta pasākuma saderību ar kopējo tirgu. </w:t>
            </w:r>
          </w:p>
        </w:tc>
        <w:tc>
          <w:tcPr>
            <w:tcW w:w="1201" w:type="pct"/>
            <w:tcBorders>
              <w:top w:val="single" w:sz="4" w:space="0" w:color="auto"/>
              <w:left w:val="single" w:sz="6" w:space="0" w:color="000000"/>
              <w:bottom w:val="single" w:sz="4" w:space="0" w:color="auto"/>
              <w:right w:val="single" w:sz="6" w:space="0" w:color="000000"/>
            </w:tcBorders>
            <w:shd w:val="clear" w:color="auto" w:fill="auto"/>
            <w:hideMark/>
          </w:tcPr>
          <w:p w:rsidR="00101637" w:rsidRPr="008347EC" w:rsidRDefault="00C0025C" w:rsidP="00101637">
            <w:pPr>
              <w:pStyle w:val="naisc"/>
              <w:spacing w:before="0" w:after="0"/>
              <w:ind w:firstLine="32"/>
              <w:rPr>
                <w:b/>
              </w:rPr>
            </w:pPr>
            <w:r w:rsidRPr="008347EC">
              <w:rPr>
                <w:b/>
                <w:sz w:val="22"/>
                <w:szCs w:val="22"/>
              </w:rPr>
              <w:lastRenderedPageBreak/>
              <w:t>Ņemts vērā</w:t>
            </w:r>
          </w:p>
          <w:p w:rsidR="00466F18" w:rsidRPr="008347EC" w:rsidRDefault="00466F18">
            <w:pPr>
              <w:pStyle w:val="naisc"/>
              <w:spacing w:before="0" w:after="0"/>
              <w:ind w:firstLine="32"/>
              <w:rPr>
                <w:b/>
              </w:rPr>
            </w:pP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EF1BFF" w:rsidRPr="008347EC" w:rsidRDefault="00EF1BFF" w:rsidP="00EF1BFF">
            <w:pPr>
              <w:jc w:val="both"/>
            </w:pPr>
            <w:r w:rsidRPr="008347EC">
              <w:rPr>
                <w:sz w:val="22"/>
                <w:szCs w:val="22"/>
              </w:rPr>
              <w:t xml:space="preserve">Precizēta anotācijas </w:t>
            </w:r>
            <w:proofErr w:type="spellStart"/>
            <w:r w:rsidR="00ED69C0" w:rsidRPr="008347EC">
              <w:rPr>
                <w:sz w:val="22"/>
                <w:szCs w:val="22"/>
              </w:rPr>
              <w:t>V</w:t>
            </w:r>
            <w:r w:rsidRPr="008347EC">
              <w:rPr>
                <w:sz w:val="22"/>
                <w:szCs w:val="22"/>
              </w:rPr>
              <w:t>.sadaļas</w:t>
            </w:r>
            <w:proofErr w:type="spellEnd"/>
            <w:r w:rsidRPr="008347EC">
              <w:rPr>
                <w:sz w:val="22"/>
                <w:szCs w:val="22"/>
              </w:rPr>
              <w:t xml:space="preserve"> </w:t>
            </w:r>
            <w:r w:rsidR="00ED69C0" w:rsidRPr="008347EC">
              <w:rPr>
                <w:sz w:val="22"/>
                <w:szCs w:val="22"/>
              </w:rPr>
              <w:t>„Tiesību akta projekta atbilstība Latvijas Republikas starptautiskajām saistībām”</w:t>
            </w:r>
            <w:r w:rsidR="00B654CF">
              <w:rPr>
                <w:sz w:val="22"/>
                <w:szCs w:val="22"/>
              </w:rPr>
              <w:t xml:space="preserve"> 1.tabula. </w:t>
            </w:r>
          </w:p>
          <w:p w:rsidR="006A24C9" w:rsidRPr="008347EC" w:rsidRDefault="006A24C9" w:rsidP="000E66EA">
            <w:pPr>
              <w:jc w:val="both"/>
            </w:pPr>
          </w:p>
        </w:tc>
      </w:tr>
      <w:tr w:rsidR="00504A89" w:rsidRPr="008347EC" w:rsidTr="00B872FC">
        <w:tc>
          <w:tcPr>
            <w:tcW w:w="172" w:type="pct"/>
            <w:tcBorders>
              <w:top w:val="single" w:sz="4" w:space="0" w:color="auto"/>
              <w:left w:val="single" w:sz="6" w:space="0" w:color="000000"/>
              <w:bottom w:val="single" w:sz="4" w:space="0" w:color="auto"/>
              <w:right w:val="single" w:sz="6" w:space="0" w:color="000000"/>
            </w:tcBorders>
            <w:shd w:val="clear" w:color="auto" w:fill="auto"/>
          </w:tcPr>
          <w:p w:rsidR="00504A89" w:rsidRPr="008347EC" w:rsidRDefault="00504A89" w:rsidP="00522905">
            <w:pPr>
              <w:pStyle w:val="naisc"/>
              <w:spacing w:before="0" w:after="0"/>
              <w:rPr>
                <w:lang w:eastAsia="en-US"/>
              </w:rPr>
            </w:pPr>
          </w:p>
        </w:tc>
        <w:tc>
          <w:tcPr>
            <w:tcW w:w="1175" w:type="pct"/>
            <w:tcBorders>
              <w:top w:val="single" w:sz="4" w:space="0" w:color="auto"/>
              <w:left w:val="single" w:sz="6" w:space="0" w:color="000000"/>
              <w:bottom w:val="single" w:sz="4" w:space="0" w:color="auto"/>
              <w:right w:val="single" w:sz="6" w:space="0" w:color="000000"/>
            </w:tcBorders>
            <w:shd w:val="clear" w:color="auto" w:fill="auto"/>
            <w:hideMark/>
          </w:tcPr>
          <w:p w:rsidR="00504A89" w:rsidRPr="008347EC" w:rsidRDefault="00AA6B0B" w:rsidP="00F525DE">
            <w:pPr>
              <w:autoSpaceDE w:val="0"/>
              <w:autoSpaceDN w:val="0"/>
              <w:jc w:val="both"/>
            </w:pPr>
            <w:r w:rsidRPr="008347EC">
              <w:rPr>
                <w:sz w:val="22"/>
                <w:szCs w:val="22"/>
              </w:rPr>
              <w:t>Noteikumu projekta nosaukums:</w:t>
            </w:r>
          </w:p>
          <w:p w:rsidR="00AA6B0B" w:rsidRPr="008347EC" w:rsidRDefault="00AA6B0B" w:rsidP="00AA6B0B">
            <w:pPr>
              <w:pStyle w:val="Default"/>
              <w:jc w:val="both"/>
              <w:rPr>
                <w:color w:val="auto"/>
                <w:sz w:val="22"/>
                <w:szCs w:val="22"/>
              </w:rPr>
            </w:pPr>
            <w:r w:rsidRPr="008347EC">
              <w:rPr>
                <w:color w:val="auto"/>
                <w:sz w:val="22"/>
                <w:szCs w:val="22"/>
              </w:rPr>
              <w:t>„Ministru kabineta noteikumu projekts „Grozījumi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w:t>
            </w:r>
            <w:r w:rsidR="008347EC">
              <w:rPr>
                <w:color w:val="auto"/>
                <w:sz w:val="22"/>
                <w:szCs w:val="22"/>
              </w:rPr>
              <w:t>.</w:t>
            </w:r>
          </w:p>
          <w:p w:rsidR="00AA6B0B" w:rsidRPr="008347EC" w:rsidRDefault="00AA6B0B" w:rsidP="00F525DE">
            <w:pPr>
              <w:autoSpaceDE w:val="0"/>
              <w:autoSpaceDN w:val="0"/>
              <w:jc w:val="both"/>
              <w:rPr>
                <w:rFonts w:eastAsiaTheme="minorHAnsi"/>
              </w:rPr>
            </w:pPr>
          </w:p>
          <w:p w:rsidR="00AA6B0B" w:rsidRPr="008347EC" w:rsidRDefault="00AA6B0B" w:rsidP="00AA6B0B">
            <w:pPr>
              <w:autoSpaceDE w:val="0"/>
              <w:autoSpaceDN w:val="0"/>
              <w:jc w:val="both"/>
            </w:pPr>
            <w:r w:rsidRPr="008347EC">
              <w:rPr>
                <w:sz w:val="22"/>
                <w:szCs w:val="22"/>
              </w:rPr>
              <w:t>Anotācijas nosaukums:</w:t>
            </w:r>
          </w:p>
          <w:p w:rsidR="00E11428" w:rsidRPr="008347EC" w:rsidRDefault="00AA6B0B">
            <w:pPr>
              <w:pStyle w:val="Default"/>
              <w:jc w:val="both"/>
              <w:rPr>
                <w:rFonts w:eastAsiaTheme="minorHAnsi"/>
                <w:sz w:val="22"/>
                <w:szCs w:val="22"/>
              </w:rPr>
            </w:pPr>
            <w:r w:rsidRPr="008347EC">
              <w:rPr>
                <w:color w:val="auto"/>
                <w:sz w:val="22"/>
                <w:szCs w:val="22"/>
              </w:rPr>
              <w:t xml:space="preserve">„Ministru kabineta noteikumu projekta „„Grozījumi Ministru kabineta 2016.gada 24.maija noteikumos Nr.322 „Darbības programmas „Izaugsme un nodarbinātība” prioritārā virziena „Vides aizsardzības un resursu izmantošanas efektivitāte” 5.5.1.specifiskā atbalsta mērķa „Saglabāt, aizsargāt un attīstīt </w:t>
            </w:r>
            <w:r w:rsidRPr="008347EC">
              <w:rPr>
                <w:color w:val="auto"/>
                <w:sz w:val="22"/>
                <w:szCs w:val="22"/>
              </w:rPr>
              <w:lastRenderedPageBreak/>
              <w:t>nozīmīgu kultūras un dabas mantojumu, kā arī attīstīt ar to saistītos pakalpojumus” īstenošanas noteiku</w:t>
            </w:r>
            <w:r w:rsidR="00C0025C" w:rsidRPr="008347EC">
              <w:rPr>
                <w:sz w:val="22"/>
                <w:szCs w:val="22"/>
              </w:rPr>
              <w:t>mi”” sākotnējās ietekmes novērtējuma ziņojums (anotācija)””</w:t>
            </w:r>
            <w:r w:rsidR="008347EC">
              <w:rPr>
                <w:sz w:val="22"/>
                <w:szCs w:val="22"/>
              </w:rPr>
              <w:t>.</w:t>
            </w:r>
          </w:p>
        </w:tc>
        <w:tc>
          <w:tcPr>
            <w:tcW w:w="1202" w:type="pct"/>
            <w:tcBorders>
              <w:top w:val="single" w:sz="4" w:space="0" w:color="auto"/>
              <w:left w:val="single" w:sz="6" w:space="0" w:color="000000"/>
              <w:bottom w:val="single" w:sz="4" w:space="0" w:color="auto"/>
              <w:right w:val="single" w:sz="6" w:space="0" w:color="000000"/>
            </w:tcBorders>
            <w:shd w:val="clear" w:color="auto" w:fill="auto"/>
            <w:hideMark/>
          </w:tcPr>
          <w:p w:rsidR="00504A89" w:rsidRPr="008347EC" w:rsidRDefault="00504A89" w:rsidP="00504A89">
            <w:pPr>
              <w:pStyle w:val="Komentrateksts"/>
              <w:widowControl w:val="0"/>
              <w:jc w:val="both"/>
              <w:rPr>
                <w:rFonts w:eastAsiaTheme="minorHAnsi"/>
                <w:b/>
                <w:sz w:val="22"/>
                <w:szCs w:val="22"/>
              </w:rPr>
            </w:pPr>
            <w:r w:rsidRPr="008347EC">
              <w:rPr>
                <w:rFonts w:eastAsiaTheme="minorHAnsi"/>
                <w:b/>
                <w:sz w:val="22"/>
                <w:szCs w:val="22"/>
              </w:rPr>
              <w:lastRenderedPageBreak/>
              <w:t>Tieslietu ministrija</w:t>
            </w:r>
            <w:r w:rsidR="008347EC">
              <w:rPr>
                <w:rFonts w:eastAsiaTheme="minorHAnsi"/>
                <w:b/>
                <w:sz w:val="22"/>
                <w:szCs w:val="22"/>
              </w:rPr>
              <w:t>:</w:t>
            </w:r>
          </w:p>
          <w:p w:rsidR="00F525DE" w:rsidRPr="008347EC" w:rsidRDefault="00F525DE" w:rsidP="00F525DE">
            <w:pPr>
              <w:jc w:val="both"/>
            </w:pPr>
            <w:r w:rsidRPr="008347EC">
              <w:rPr>
                <w:sz w:val="22"/>
                <w:szCs w:val="22"/>
              </w:rPr>
              <w:t>Lūdzam precizēt noteikumu projekt</w:t>
            </w:r>
            <w:r w:rsidR="00B654CF">
              <w:rPr>
                <w:sz w:val="22"/>
                <w:szCs w:val="22"/>
              </w:rPr>
              <w:t>a un tā anotācijas nosaukumu, jo tajos kļūdaini norādīts tiesību akta nosaukums – Ministru kabineta 2016. gada 24. maija noteikumi Nr. 322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pirmās un otrās atlases kārtas īstenošanas noteikumi.</w:t>
            </w:r>
          </w:p>
          <w:p w:rsidR="00504A89" w:rsidRPr="008347EC" w:rsidRDefault="00504A89" w:rsidP="000E66EA">
            <w:pPr>
              <w:jc w:val="both"/>
              <w:rPr>
                <w:rFonts w:eastAsiaTheme="minorHAnsi"/>
              </w:rPr>
            </w:pPr>
          </w:p>
        </w:tc>
        <w:tc>
          <w:tcPr>
            <w:tcW w:w="1201" w:type="pct"/>
            <w:tcBorders>
              <w:top w:val="single" w:sz="4" w:space="0" w:color="auto"/>
              <w:left w:val="single" w:sz="6" w:space="0" w:color="000000"/>
              <w:bottom w:val="single" w:sz="4" w:space="0" w:color="auto"/>
              <w:right w:val="single" w:sz="6" w:space="0" w:color="000000"/>
            </w:tcBorders>
            <w:shd w:val="clear" w:color="auto" w:fill="auto"/>
            <w:hideMark/>
          </w:tcPr>
          <w:p w:rsidR="00504A89" w:rsidRPr="008347EC" w:rsidRDefault="002B75C5">
            <w:pPr>
              <w:pStyle w:val="naisc"/>
              <w:spacing w:before="0" w:after="0"/>
              <w:ind w:firstLine="32"/>
              <w:rPr>
                <w:b/>
              </w:rPr>
            </w:pPr>
            <w:r w:rsidRPr="008347EC">
              <w:rPr>
                <w:b/>
                <w:sz w:val="22"/>
                <w:szCs w:val="22"/>
              </w:rPr>
              <w:t>Ņemts vērā</w:t>
            </w:r>
          </w:p>
          <w:p w:rsidR="002B75C5" w:rsidRPr="008347EC" w:rsidRDefault="002B75C5" w:rsidP="002B75C5">
            <w:pPr>
              <w:pStyle w:val="naisc"/>
              <w:spacing w:before="0" w:after="0"/>
              <w:ind w:firstLine="32"/>
              <w:jc w:val="both"/>
            </w:pP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780628" w:rsidRPr="008347EC" w:rsidRDefault="00780628" w:rsidP="00780628">
            <w:pPr>
              <w:jc w:val="both"/>
            </w:pPr>
            <w:r w:rsidRPr="008347EC">
              <w:rPr>
                <w:sz w:val="22"/>
                <w:szCs w:val="22"/>
              </w:rPr>
              <w:t xml:space="preserve">Precizēts </w:t>
            </w:r>
            <w:r w:rsidR="00AA6B0B" w:rsidRPr="008347EC">
              <w:rPr>
                <w:sz w:val="22"/>
                <w:szCs w:val="22"/>
              </w:rPr>
              <w:t xml:space="preserve">Noteikumu projekta </w:t>
            </w:r>
            <w:r w:rsidRPr="008347EC">
              <w:rPr>
                <w:sz w:val="22"/>
                <w:szCs w:val="22"/>
              </w:rPr>
              <w:t>nosaukums</w:t>
            </w:r>
            <w:r w:rsidR="00AA6B0B" w:rsidRPr="008347EC">
              <w:rPr>
                <w:sz w:val="22"/>
                <w:szCs w:val="22"/>
              </w:rPr>
              <w:t xml:space="preserve"> šādā redakcijā:</w:t>
            </w:r>
          </w:p>
          <w:p w:rsidR="00AA6B0B" w:rsidRPr="008347EC" w:rsidRDefault="00AA6B0B" w:rsidP="00AA6B0B">
            <w:pPr>
              <w:pStyle w:val="Default"/>
              <w:jc w:val="both"/>
              <w:rPr>
                <w:color w:val="auto"/>
                <w:sz w:val="22"/>
                <w:szCs w:val="22"/>
              </w:rPr>
            </w:pPr>
            <w:r w:rsidRPr="008347EC">
              <w:rPr>
                <w:color w:val="auto"/>
                <w:sz w:val="22"/>
                <w:szCs w:val="22"/>
              </w:rPr>
              <w:t>„Ministru kabineta noteikumu projekts „Grozījumi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pirmās un otrās atlases kārtas īstenošanas noteikumi””.</w:t>
            </w:r>
          </w:p>
          <w:p w:rsidR="00504A89" w:rsidRPr="008347EC" w:rsidRDefault="00504A89" w:rsidP="00286BD2">
            <w:pPr>
              <w:jc w:val="both"/>
            </w:pPr>
          </w:p>
          <w:p w:rsidR="00AA6B0B" w:rsidRPr="008347EC" w:rsidRDefault="00AA6B0B" w:rsidP="00AA6B0B">
            <w:pPr>
              <w:jc w:val="both"/>
            </w:pPr>
            <w:r w:rsidRPr="008347EC">
              <w:rPr>
                <w:sz w:val="22"/>
                <w:szCs w:val="22"/>
              </w:rPr>
              <w:t>Precizēts anotācijas nosaukums šādā redakcijā:</w:t>
            </w:r>
          </w:p>
          <w:p w:rsidR="00AA6B0B" w:rsidRPr="008347EC" w:rsidRDefault="00AA6B0B" w:rsidP="00286BD2">
            <w:pPr>
              <w:jc w:val="both"/>
            </w:pPr>
            <w:r w:rsidRPr="008347EC">
              <w:rPr>
                <w:sz w:val="22"/>
                <w:szCs w:val="22"/>
              </w:rPr>
              <w:t xml:space="preserve">„Ministru kabineta noteikumu projekta „„Grozījumi Ministru kabineta 2016.gada 24.maija noteikumos Nr.322 „Darbības programmas „Izaugsme un nodarbinātība” prioritārā virziena „Vides aizsardzības un resursu izmantošanas efektivitāte” 5.5.1.specifiskā atbalsta mērķa „Saglabāt, aizsargāt un attīstīt </w:t>
            </w:r>
            <w:r w:rsidRPr="008347EC">
              <w:rPr>
                <w:sz w:val="22"/>
                <w:szCs w:val="22"/>
              </w:rPr>
              <w:lastRenderedPageBreak/>
              <w:t>nozīmīgu kultūras un dabas mantojumu, kā arī attīstīt ar to saistītos pakalpojumus” pirmās un otrās atlases kārtas īstenošanas noteikumi”” sākotnējās ietekmes novērtējuma ziņojums (anotācija)””.</w:t>
            </w:r>
          </w:p>
        </w:tc>
      </w:tr>
      <w:tr w:rsidR="00F525DE" w:rsidRPr="008347EC" w:rsidTr="00B872FC">
        <w:tc>
          <w:tcPr>
            <w:tcW w:w="172" w:type="pct"/>
            <w:tcBorders>
              <w:top w:val="single" w:sz="4" w:space="0" w:color="auto"/>
              <w:left w:val="single" w:sz="6" w:space="0" w:color="000000"/>
              <w:bottom w:val="single" w:sz="4" w:space="0" w:color="auto"/>
              <w:right w:val="single" w:sz="6" w:space="0" w:color="000000"/>
            </w:tcBorders>
            <w:shd w:val="clear" w:color="auto" w:fill="auto"/>
          </w:tcPr>
          <w:p w:rsidR="00F525DE" w:rsidRPr="008347EC" w:rsidRDefault="00F525DE" w:rsidP="00522905">
            <w:pPr>
              <w:pStyle w:val="naisc"/>
              <w:spacing w:before="0" w:after="0"/>
              <w:rPr>
                <w:lang w:eastAsia="en-US"/>
              </w:rPr>
            </w:pPr>
          </w:p>
        </w:tc>
        <w:tc>
          <w:tcPr>
            <w:tcW w:w="1175" w:type="pct"/>
            <w:tcBorders>
              <w:top w:val="single" w:sz="4" w:space="0" w:color="auto"/>
              <w:left w:val="single" w:sz="6" w:space="0" w:color="000000"/>
              <w:bottom w:val="single" w:sz="4" w:space="0" w:color="auto"/>
              <w:right w:val="single" w:sz="6" w:space="0" w:color="000000"/>
            </w:tcBorders>
            <w:shd w:val="clear" w:color="auto" w:fill="auto"/>
            <w:hideMark/>
          </w:tcPr>
          <w:p w:rsidR="00780628" w:rsidRPr="008347EC" w:rsidRDefault="00780628" w:rsidP="00780628">
            <w:pPr>
              <w:pStyle w:val="Sarakstarindkopa"/>
              <w:tabs>
                <w:tab w:val="left" w:pos="284"/>
              </w:tabs>
              <w:ind w:left="0"/>
              <w:jc w:val="both"/>
              <w:rPr>
                <w:rFonts w:ascii="Times New Roman" w:eastAsia="Times New Roman" w:hAnsi="Times New Roman"/>
                <w:lang w:eastAsia="lv-LV"/>
              </w:rPr>
            </w:pPr>
            <w:r w:rsidRPr="008347EC">
              <w:rPr>
                <w:rFonts w:ascii="Times New Roman" w:eastAsia="Times New Roman" w:hAnsi="Times New Roman"/>
                <w:lang w:eastAsia="lv-LV"/>
              </w:rPr>
              <w:t>Noteikumu projekta 4.punkts:</w:t>
            </w:r>
          </w:p>
          <w:p w:rsidR="00780628" w:rsidRPr="008347EC" w:rsidRDefault="00780628" w:rsidP="00780628">
            <w:pPr>
              <w:pStyle w:val="Sarakstarindkopa"/>
              <w:tabs>
                <w:tab w:val="left" w:pos="284"/>
              </w:tabs>
              <w:ind w:left="0"/>
              <w:jc w:val="both"/>
              <w:rPr>
                <w:rFonts w:ascii="Times New Roman" w:eastAsia="Times New Roman" w:hAnsi="Times New Roman"/>
                <w:lang w:eastAsia="lv-LV"/>
              </w:rPr>
            </w:pPr>
            <w:r w:rsidRPr="008347EC">
              <w:rPr>
                <w:rFonts w:ascii="Times New Roman" w:eastAsia="Times New Roman" w:hAnsi="Times New Roman"/>
                <w:lang w:eastAsia="lv-LV"/>
              </w:rPr>
              <w:t>„4. Izteikt 29.punktu šādā redakcijā:</w:t>
            </w:r>
          </w:p>
          <w:p w:rsidR="00780628" w:rsidRPr="008347EC" w:rsidRDefault="00B654CF" w:rsidP="00780628">
            <w:pPr>
              <w:pStyle w:val="Sarakstarindkopa"/>
              <w:ind w:left="0"/>
              <w:jc w:val="both"/>
              <w:rPr>
                <w:rFonts w:ascii="Times New Roman" w:eastAsia="Times New Roman" w:hAnsi="Times New Roman"/>
                <w:lang w:eastAsia="lv-LV"/>
              </w:rPr>
            </w:pPr>
            <w:r>
              <w:rPr>
                <w:rFonts w:ascii="Times New Roman" w:eastAsia="Times New Roman" w:hAnsi="Times New Roman"/>
                <w:lang w:eastAsia="lv-LV"/>
              </w:rPr>
              <w:t>„18. Projektu īsteno saskaņā ar vienošanos par projekta īstenošanu, bet ne ilgāk kā līdz 2023.gada 31.decembrim.””</w:t>
            </w:r>
            <w:r w:rsidR="008347EC">
              <w:rPr>
                <w:rFonts w:ascii="Times New Roman" w:eastAsia="Times New Roman" w:hAnsi="Times New Roman"/>
                <w:lang w:eastAsia="lv-LV"/>
              </w:rPr>
              <w:t>.</w:t>
            </w:r>
          </w:p>
          <w:p w:rsidR="00F525DE" w:rsidRPr="008347EC" w:rsidRDefault="00F525DE" w:rsidP="00F525DE">
            <w:pPr>
              <w:autoSpaceDE w:val="0"/>
              <w:autoSpaceDN w:val="0"/>
              <w:jc w:val="both"/>
              <w:rPr>
                <w:rFonts w:eastAsiaTheme="minorHAnsi"/>
              </w:rPr>
            </w:pPr>
          </w:p>
        </w:tc>
        <w:tc>
          <w:tcPr>
            <w:tcW w:w="1202" w:type="pct"/>
            <w:tcBorders>
              <w:top w:val="single" w:sz="4" w:space="0" w:color="auto"/>
              <w:left w:val="single" w:sz="6" w:space="0" w:color="000000"/>
              <w:bottom w:val="single" w:sz="4" w:space="0" w:color="auto"/>
              <w:right w:val="single" w:sz="6" w:space="0" w:color="000000"/>
            </w:tcBorders>
            <w:shd w:val="clear" w:color="auto" w:fill="auto"/>
            <w:hideMark/>
          </w:tcPr>
          <w:p w:rsidR="00F525DE" w:rsidRPr="008347EC" w:rsidRDefault="00C0025C" w:rsidP="00F525DE">
            <w:pPr>
              <w:pStyle w:val="Komentrateksts"/>
              <w:widowControl w:val="0"/>
              <w:jc w:val="both"/>
              <w:rPr>
                <w:b/>
                <w:sz w:val="22"/>
                <w:szCs w:val="22"/>
              </w:rPr>
            </w:pPr>
            <w:r w:rsidRPr="008347EC">
              <w:rPr>
                <w:b/>
                <w:sz w:val="22"/>
                <w:szCs w:val="22"/>
              </w:rPr>
              <w:t>Tieslietu ministrija</w:t>
            </w:r>
            <w:r w:rsidR="008347EC">
              <w:rPr>
                <w:b/>
                <w:sz w:val="22"/>
                <w:szCs w:val="22"/>
              </w:rPr>
              <w:t>:</w:t>
            </w:r>
          </w:p>
          <w:p w:rsidR="00F525DE" w:rsidRPr="008347EC" w:rsidRDefault="00C0025C" w:rsidP="00F525DE">
            <w:pPr>
              <w:jc w:val="both"/>
            </w:pPr>
            <w:r w:rsidRPr="008347EC">
              <w:rPr>
                <w:sz w:val="22"/>
                <w:szCs w:val="22"/>
              </w:rPr>
              <w:t>Norādām, ka noteikumu projekta anotācijas V sadaļas 1.tabulā (turpmāk – Tabula) ir norādīts Eiropas Parlamenta un Padomes 2013.gada 17.decembra Regulas (ES) Nr.1303/2013, ar ko paredz kopīgus noteikumus par Eiropas Reģionālās attīstības fondu, Eiropas Soc</w:t>
            </w:r>
            <w:r w:rsidR="00B654CF">
              <w:rPr>
                <w:sz w:val="22"/>
                <w:szCs w:val="22"/>
              </w:rPr>
              <w:t xml:space="preserve">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w:t>
            </w:r>
            <w:bookmarkStart w:id="2" w:name="_Hlk24620990"/>
            <w:r w:rsidR="00B654CF">
              <w:rPr>
                <w:sz w:val="22"/>
                <w:szCs w:val="22"/>
              </w:rPr>
              <w:t>Regula Nr.1303/2013) 65.panta 2.punkts</w:t>
            </w:r>
            <w:bookmarkEnd w:id="2"/>
            <w:r w:rsidR="00B654CF">
              <w:rPr>
                <w:sz w:val="22"/>
                <w:szCs w:val="22"/>
              </w:rPr>
              <w:t xml:space="preserve">, kas ieviests tabulas B ailē norādītajā noteikumu projekta vienībā. Savukārt noteikumu projekta 4.punktā (tehniska kļūda – anotācijā atsauce uz 6.punktu) nav norādīta atsauce uz Tabulas A ailē norādīto Eiropas Savienības regulas normu. Vēršam uzmanību, ka Regulas Nr.1303/2013 65.panta 2.punkts regulē </w:t>
            </w:r>
            <w:bookmarkStart w:id="3" w:name="_Hlk24621634"/>
            <w:r w:rsidR="00B654CF">
              <w:rPr>
                <w:sz w:val="22"/>
                <w:szCs w:val="22"/>
              </w:rPr>
              <w:t>izdevumu atbilstību un ilgumu</w:t>
            </w:r>
            <w:bookmarkEnd w:id="3"/>
            <w:r w:rsidR="00B654CF">
              <w:rPr>
                <w:sz w:val="22"/>
                <w:szCs w:val="22"/>
              </w:rPr>
              <w:t xml:space="preserve">, tajā pašā laikā </w:t>
            </w:r>
            <w:r w:rsidR="00B654CF">
              <w:rPr>
                <w:sz w:val="22"/>
                <w:szCs w:val="22"/>
              </w:rPr>
              <w:lastRenderedPageBreak/>
              <w:t xml:space="preserve">noteikumu projekta 4.punktā izteiktais Ministru kabineta 2016.gada 24.maija noteikumos Nr.322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īstenošanas noteikumi” (turpmāk – Noteikumi) 29.punkts regulē projekta īstenošanas termiņu. Vēršam uzmanību, ka iepriekš minētais regulas vienības tvērums neatbilst Noteikumu 29.punkta tvērumam. Minētā regulas vienība būtu jāievieš </w:t>
            </w:r>
            <w:bookmarkStart w:id="4" w:name="_Hlk24621822"/>
            <w:r w:rsidR="00B654CF">
              <w:rPr>
                <w:sz w:val="22"/>
                <w:szCs w:val="22"/>
              </w:rPr>
              <w:t xml:space="preserve">Noteikumu V nodaļā </w:t>
            </w:r>
            <w:bookmarkEnd w:id="4"/>
            <w:r w:rsidR="00B654CF">
              <w:rPr>
                <w:sz w:val="22"/>
                <w:szCs w:val="22"/>
              </w:rPr>
              <w:t xml:space="preserve">„Atbalstāmo darbību un izmaksu </w:t>
            </w:r>
            <w:proofErr w:type="spellStart"/>
            <w:r w:rsidR="00B654CF">
              <w:rPr>
                <w:sz w:val="22"/>
                <w:szCs w:val="22"/>
              </w:rPr>
              <w:t>attiecināmības</w:t>
            </w:r>
            <w:proofErr w:type="spellEnd"/>
            <w:r w:rsidR="00B654CF">
              <w:rPr>
                <w:sz w:val="22"/>
                <w:szCs w:val="22"/>
              </w:rPr>
              <w:t xml:space="preserve"> nosacījumi”, jo šajā nodaļā tiek regulēta izdevumu atbilstību un ilgums. Papildus norādām, ka vienīgais regulu ieviešanas veids nacionālajos normatīvajos aktos ir atsauču veidošana uz tām atbilstoši Ministru kabineta 2009.gada 3.februāra noteikumu Nr. 108 „Normatīvo aktu projektu sagatavošanas noteikumi” 170.-172.punktam.</w:t>
            </w:r>
          </w:p>
          <w:p w:rsidR="00F525DE" w:rsidRPr="008347EC" w:rsidRDefault="00C0025C" w:rsidP="00F525DE">
            <w:pPr>
              <w:ind w:firstLine="567"/>
              <w:jc w:val="both"/>
            </w:pPr>
            <w:r w:rsidRPr="008347EC">
              <w:rPr>
                <w:sz w:val="22"/>
                <w:szCs w:val="22"/>
              </w:rPr>
              <w:t xml:space="preserve">Pamatojoties uz iepriekš minēto, lūdzam precizēt noteikumu projektu, to papildinot ar grozījumu Noteikumu V nodaļā, ar mērķi ieviest </w:t>
            </w:r>
            <w:bookmarkStart w:id="5" w:name="_Hlk24622133"/>
            <w:r w:rsidRPr="008347EC">
              <w:rPr>
                <w:sz w:val="22"/>
                <w:szCs w:val="22"/>
              </w:rPr>
              <w:t xml:space="preserve">Regulas Nr.1303/2013 </w:t>
            </w:r>
            <w:bookmarkEnd w:id="5"/>
            <w:r w:rsidRPr="008347EC">
              <w:rPr>
                <w:sz w:val="22"/>
                <w:szCs w:val="22"/>
              </w:rPr>
              <w:t xml:space="preserve">65.panta </w:t>
            </w:r>
            <w:r w:rsidRPr="008347EC">
              <w:rPr>
                <w:sz w:val="22"/>
                <w:szCs w:val="22"/>
              </w:rPr>
              <w:lastRenderedPageBreak/>
              <w:t>2.punktu, vai arī izvērtēt nepieciešamību ieviest attiecīgo Eiropas Savienības regulas normu noteikumu projektā. Attiecīgi lūdzam precēt arī noteikumu projekta anotāciju.</w:t>
            </w:r>
          </w:p>
        </w:tc>
        <w:tc>
          <w:tcPr>
            <w:tcW w:w="1201" w:type="pct"/>
            <w:tcBorders>
              <w:top w:val="single" w:sz="4" w:space="0" w:color="auto"/>
              <w:left w:val="single" w:sz="6" w:space="0" w:color="000000"/>
              <w:bottom w:val="single" w:sz="4" w:space="0" w:color="auto"/>
              <w:right w:val="single" w:sz="6" w:space="0" w:color="000000"/>
            </w:tcBorders>
            <w:shd w:val="clear" w:color="auto" w:fill="auto"/>
            <w:hideMark/>
          </w:tcPr>
          <w:p w:rsidR="00F525DE" w:rsidRPr="008347EC" w:rsidRDefault="00F525DE" w:rsidP="00F525DE">
            <w:pPr>
              <w:pStyle w:val="naisc"/>
              <w:spacing w:before="0" w:after="0"/>
              <w:ind w:firstLine="32"/>
              <w:rPr>
                <w:b/>
              </w:rPr>
            </w:pPr>
            <w:r w:rsidRPr="008347EC">
              <w:rPr>
                <w:b/>
                <w:sz w:val="22"/>
                <w:szCs w:val="22"/>
              </w:rPr>
              <w:lastRenderedPageBreak/>
              <w:t>Ņemts vērā</w:t>
            </w:r>
          </w:p>
          <w:p w:rsidR="00F525DE" w:rsidRPr="008347EC" w:rsidRDefault="00F525DE">
            <w:pPr>
              <w:pStyle w:val="naisc"/>
              <w:spacing w:before="0" w:after="0"/>
              <w:ind w:firstLine="32"/>
              <w:rPr>
                <w:b/>
              </w:rPr>
            </w:pP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F525DE" w:rsidRPr="008347EC" w:rsidRDefault="00780628" w:rsidP="00286BD2">
            <w:pPr>
              <w:jc w:val="both"/>
            </w:pPr>
            <w:r w:rsidRPr="008347EC">
              <w:rPr>
                <w:sz w:val="22"/>
                <w:szCs w:val="22"/>
              </w:rPr>
              <w:t>Svītrots Noteikumu projekta 4.punkts.</w:t>
            </w:r>
          </w:p>
        </w:tc>
      </w:tr>
    </w:tbl>
    <w:p w:rsidR="00FB2C3F" w:rsidRDefault="00FB2C3F" w:rsidP="00522905">
      <w:pPr>
        <w:outlineLvl w:val="0"/>
        <w:rPr>
          <w:sz w:val="22"/>
          <w:szCs w:val="22"/>
        </w:rPr>
      </w:pPr>
    </w:p>
    <w:p w:rsidR="00340158" w:rsidRDefault="00340158" w:rsidP="00522905">
      <w:pPr>
        <w:outlineLvl w:val="0"/>
        <w:rPr>
          <w:sz w:val="22"/>
          <w:szCs w:val="22"/>
        </w:rPr>
      </w:pPr>
    </w:p>
    <w:p w:rsidR="00340158" w:rsidRPr="008347EC" w:rsidRDefault="00340158" w:rsidP="00522905">
      <w:pPr>
        <w:outlineLvl w:val="0"/>
        <w:rPr>
          <w:sz w:val="22"/>
          <w:szCs w:val="22"/>
        </w:rPr>
      </w:pPr>
    </w:p>
    <w:p w:rsidR="004D5C5B" w:rsidRPr="008347EC" w:rsidRDefault="00102ED6">
      <w:pPr>
        <w:outlineLvl w:val="0"/>
        <w:rPr>
          <w:sz w:val="20"/>
          <w:szCs w:val="20"/>
        </w:rPr>
      </w:pPr>
      <w:r w:rsidRPr="008347EC">
        <w:rPr>
          <w:sz w:val="20"/>
          <w:szCs w:val="20"/>
        </w:rPr>
        <w:t>L</w:t>
      </w:r>
      <w:r w:rsidR="008347EC">
        <w:rPr>
          <w:sz w:val="20"/>
          <w:szCs w:val="20"/>
        </w:rPr>
        <w:t xml:space="preserve">inda </w:t>
      </w:r>
      <w:r w:rsidRPr="008347EC">
        <w:rPr>
          <w:sz w:val="20"/>
          <w:szCs w:val="20"/>
        </w:rPr>
        <w:t>Krūmiņa</w:t>
      </w:r>
    </w:p>
    <w:p w:rsidR="004D5C5B" w:rsidRPr="008347EC" w:rsidRDefault="00102ED6">
      <w:pPr>
        <w:rPr>
          <w:iCs/>
          <w:sz w:val="20"/>
          <w:szCs w:val="20"/>
        </w:rPr>
      </w:pPr>
      <w:r w:rsidRPr="008347EC">
        <w:rPr>
          <w:iCs/>
          <w:sz w:val="20"/>
          <w:szCs w:val="20"/>
        </w:rPr>
        <w:t xml:space="preserve">Kultūras ministrijas </w:t>
      </w:r>
    </w:p>
    <w:p w:rsidR="004D5C5B" w:rsidRPr="008347EC" w:rsidRDefault="00102ED6">
      <w:pPr>
        <w:rPr>
          <w:iCs/>
          <w:sz w:val="20"/>
          <w:szCs w:val="20"/>
        </w:rPr>
      </w:pPr>
      <w:r w:rsidRPr="008347EC">
        <w:rPr>
          <w:iCs/>
          <w:sz w:val="20"/>
          <w:szCs w:val="20"/>
        </w:rPr>
        <w:t xml:space="preserve">Eiropas Savienības fondu departamenta </w:t>
      </w:r>
    </w:p>
    <w:p w:rsidR="004D5C5B" w:rsidRPr="008347EC" w:rsidRDefault="00102ED6">
      <w:pPr>
        <w:rPr>
          <w:iCs/>
          <w:sz w:val="20"/>
          <w:szCs w:val="20"/>
        </w:rPr>
      </w:pPr>
      <w:r w:rsidRPr="008347EC">
        <w:rPr>
          <w:iCs/>
          <w:sz w:val="20"/>
          <w:szCs w:val="20"/>
        </w:rPr>
        <w:t>Finanšu instrumentu attīstības nodaļas vecākā referente</w:t>
      </w:r>
    </w:p>
    <w:p w:rsidR="007E2DE0" w:rsidRPr="008347EC" w:rsidRDefault="00102ED6">
      <w:pPr>
        <w:tabs>
          <w:tab w:val="left" w:pos="6804"/>
        </w:tabs>
        <w:rPr>
          <w:color w:val="000000"/>
          <w:sz w:val="20"/>
          <w:szCs w:val="20"/>
        </w:rPr>
      </w:pPr>
      <w:bookmarkStart w:id="6" w:name="OLE_LINK3"/>
      <w:bookmarkStart w:id="7" w:name="OLE_LINK4"/>
      <w:r w:rsidRPr="008347EC">
        <w:rPr>
          <w:sz w:val="20"/>
          <w:szCs w:val="20"/>
        </w:rPr>
        <w:t>Tālr. 67330319; fakss 67330293</w:t>
      </w:r>
    </w:p>
    <w:p w:rsidR="007E2DE0" w:rsidRPr="008347EC" w:rsidRDefault="00D45402">
      <w:pPr>
        <w:tabs>
          <w:tab w:val="left" w:pos="3836"/>
          <w:tab w:val="left" w:pos="6840"/>
        </w:tabs>
        <w:jc w:val="both"/>
        <w:rPr>
          <w:sz w:val="20"/>
          <w:szCs w:val="20"/>
        </w:rPr>
      </w:pPr>
      <w:hyperlink r:id="rId8" w:history="1">
        <w:r w:rsidR="00CE074A" w:rsidRPr="008347EC">
          <w:rPr>
            <w:rStyle w:val="Hipersaite"/>
            <w:sz w:val="20"/>
            <w:szCs w:val="20"/>
          </w:rPr>
          <w:t>Linda.Krumina@km.gov.lv</w:t>
        </w:r>
      </w:hyperlink>
      <w:bookmarkEnd w:id="6"/>
      <w:bookmarkEnd w:id="7"/>
    </w:p>
    <w:sectPr w:rsidR="007E2DE0" w:rsidRPr="008347EC" w:rsidSect="009922AC">
      <w:headerReference w:type="default" r:id="rId9"/>
      <w:footerReference w:type="default" r:id="rId10"/>
      <w:footerReference w:type="first" r:id="rId11"/>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2AC" w:rsidRDefault="009922AC" w:rsidP="00F64DE4">
      <w:r>
        <w:separator/>
      </w:r>
    </w:p>
  </w:endnote>
  <w:endnote w:type="continuationSeparator" w:id="0">
    <w:p w:rsidR="009922AC" w:rsidRDefault="009922AC"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AC" w:rsidRDefault="00181EA6">
    <w:pPr>
      <w:pStyle w:val="Kjene"/>
    </w:pPr>
    <w:r>
      <w:rPr>
        <w:sz w:val="20"/>
        <w:szCs w:val="20"/>
      </w:rPr>
      <w:t>KMIzz_18</w:t>
    </w:r>
    <w:r w:rsidR="009922AC">
      <w:rPr>
        <w:sz w:val="20"/>
        <w:szCs w:val="20"/>
      </w:rPr>
      <w:t>1219</w:t>
    </w:r>
    <w:r w:rsidR="009922AC" w:rsidRPr="00F077D7">
      <w:rPr>
        <w:sz w:val="20"/>
        <w:szCs w:val="20"/>
      </w:rPr>
      <w:t>_</w:t>
    </w:r>
    <w:r w:rsidR="009922AC">
      <w:rPr>
        <w:sz w:val="20"/>
        <w:szCs w:val="20"/>
      </w:rPr>
      <w:t>551SAM_322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AC" w:rsidRDefault="00181EA6">
    <w:pPr>
      <w:pStyle w:val="Kjene"/>
    </w:pPr>
    <w:r>
      <w:rPr>
        <w:sz w:val="20"/>
        <w:szCs w:val="20"/>
      </w:rPr>
      <w:t>KMIzz_18</w:t>
    </w:r>
    <w:r w:rsidR="009922AC">
      <w:rPr>
        <w:sz w:val="20"/>
        <w:szCs w:val="20"/>
      </w:rPr>
      <w:t>1219</w:t>
    </w:r>
    <w:r w:rsidR="009922AC" w:rsidRPr="00F077D7">
      <w:rPr>
        <w:sz w:val="20"/>
        <w:szCs w:val="20"/>
      </w:rPr>
      <w:t>_</w:t>
    </w:r>
    <w:r w:rsidR="009922AC">
      <w:rPr>
        <w:sz w:val="20"/>
        <w:szCs w:val="20"/>
      </w:rPr>
      <w:t>551SAM_322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2AC" w:rsidRDefault="009922AC" w:rsidP="00F64DE4">
      <w:r>
        <w:separator/>
      </w:r>
    </w:p>
  </w:footnote>
  <w:footnote w:type="continuationSeparator" w:id="0">
    <w:p w:rsidR="009922AC" w:rsidRDefault="009922AC" w:rsidP="00F64DE4">
      <w:r>
        <w:continuationSeparator/>
      </w:r>
    </w:p>
  </w:footnote>
  <w:footnote w:id="1">
    <w:p w:rsidR="009922AC" w:rsidRPr="00AA6B0B" w:rsidRDefault="009922AC" w:rsidP="007E162B">
      <w:pPr>
        <w:pStyle w:val="Vresteksts"/>
        <w:rPr>
          <w:lang w:val="lv-LV"/>
        </w:rPr>
      </w:pPr>
      <w:r w:rsidRPr="00AA6B0B">
        <w:rPr>
          <w:rStyle w:val="Vresatsauce"/>
          <w:lang w:val="lv-LV"/>
        </w:rPr>
        <w:footnoteRef/>
      </w:r>
      <w:r w:rsidRPr="00AA6B0B">
        <w:rPr>
          <w:lang w:val="lv-LV"/>
        </w:rPr>
        <w:t xml:space="preserve"> MK 2016.gada 24.maija noteikumi Nr.322 “</w:t>
      </w:r>
      <w:r w:rsidRPr="00AA6B0B">
        <w:rPr>
          <w:color w:val="000000" w:themeColor="text1"/>
          <w:lang w:val="lv-LV"/>
        </w:rPr>
        <w:t>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w:t>
      </w:r>
      <w:r w:rsidRPr="00AA6B0B">
        <w:rPr>
          <w:lang w:val="lv-LV"/>
        </w:rPr>
        <w:t>.</w:t>
      </w:r>
    </w:p>
  </w:footnote>
  <w:footnote w:id="2">
    <w:p w:rsidR="00E11428" w:rsidRDefault="009922AC" w:rsidP="008347EC">
      <w:pPr>
        <w:autoSpaceDE w:val="0"/>
        <w:autoSpaceDN w:val="0"/>
        <w:ind w:left="142" w:hanging="142"/>
        <w:jc w:val="both"/>
        <w:rPr>
          <w:iCs/>
          <w:sz w:val="20"/>
        </w:rPr>
      </w:pPr>
      <w:r w:rsidRPr="00393511">
        <w:rPr>
          <w:rStyle w:val="Vresatsauce"/>
          <w:sz w:val="20"/>
        </w:rPr>
        <w:footnoteRef/>
      </w:r>
      <w:r w:rsidRPr="00393511">
        <w:rPr>
          <w:sz w:val="20"/>
        </w:rPr>
        <w:t xml:space="preserve"> </w:t>
      </w:r>
      <w:r w:rsidRPr="00393511">
        <w:rPr>
          <w:iCs/>
          <w:sz w:val="20"/>
        </w:rPr>
        <w:t>Eiropas Parlamenta un Padomes 2013.gada 17.decembris Regulas (ES) Nr.1303/2013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w:t>
      </w:r>
      <w:r>
        <w:rPr>
          <w:iCs/>
          <w:sz w:val="20"/>
        </w:rPr>
        <w:t>s Jūrlietu un zivsaimniecības f</w:t>
      </w:r>
      <w:r w:rsidRPr="00393511">
        <w:rPr>
          <w:iCs/>
          <w:sz w:val="20"/>
        </w:rPr>
        <w:t>ondu un atceļ Padomes Regulu (EK) Nr.1083/2006 (turpmāk – Regula Nr.1303/2013 ) III  nodaļas, 65.panta 2.punkts</w:t>
      </w:r>
      <w:r>
        <w:rPr>
          <w:iCs/>
          <w:sz w:val="20"/>
        </w:rPr>
        <w:t>.</w:t>
      </w:r>
    </w:p>
    <w:p w:rsidR="009922AC" w:rsidRPr="00ED69C0" w:rsidRDefault="009922AC" w:rsidP="007E162B">
      <w:pPr>
        <w:pStyle w:val="Vresteksts"/>
        <w:rPr>
          <w:lang w:val="lv-LV"/>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9922AC" w:rsidRDefault="00D45402">
        <w:pPr>
          <w:pStyle w:val="Galvene"/>
          <w:jc w:val="center"/>
        </w:pPr>
        <w:r w:rsidRPr="00196278">
          <w:rPr>
            <w:sz w:val="22"/>
            <w:szCs w:val="22"/>
          </w:rPr>
          <w:fldChar w:fldCharType="begin"/>
        </w:r>
        <w:r w:rsidR="009922AC" w:rsidRPr="00196278">
          <w:rPr>
            <w:sz w:val="22"/>
            <w:szCs w:val="22"/>
          </w:rPr>
          <w:instrText xml:space="preserve"> PAGE   \* MERGEFORMAT </w:instrText>
        </w:r>
        <w:r w:rsidRPr="00196278">
          <w:rPr>
            <w:sz w:val="22"/>
            <w:szCs w:val="22"/>
          </w:rPr>
          <w:fldChar w:fldCharType="separate"/>
        </w:r>
        <w:r w:rsidR="00DC2329">
          <w:rPr>
            <w:noProof/>
            <w:sz w:val="22"/>
            <w:szCs w:val="22"/>
          </w:rPr>
          <w:t>2</w:t>
        </w:r>
        <w:r w:rsidRPr="00196278">
          <w:rPr>
            <w:sz w:val="22"/>
            <w:szCs w:val="22"/>
          </w:rPr>
          <w:fldChar w:fldCharType="end"/>
        </w:r>
      </w:p>
    </w:sdtContent>
  </w:sdt>
  <w:p w:rsidR="009922AC" w:rsidRDefault="009922A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B47"/>
    <w:multiLevelType w:val="hybridMultilevel"/>
    <w:tmpl w:val="EEC83418"/>
    <w:lvl w:ilvl="0" w:tplc="0426000F">
      <w:start w:val="1"/>
      <w:numFmt w:val="decimal"/>
      <w:lvlText w:val="%1."/>
      <w:lvlJc w:val="left"/>
      <w:pPr>
        <w:ind w:left="5606"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71E3140"/>
    <w:multiLevelType w:val="hybridMultilevel"/>
    <w:tmpl w:val="ACF4B8DA"/>
    <w:lvl w:ilvl="0" w:tplc="2654BB82">
      <w:start w:val="1"/>
      <w:numFmt w:val="decimal"/>
      <w:lvlText w:val="%1."/>
      <w:lvlJc w:val="left"/>
      <w:pPr>
        <w:ind w:left="720" w:hanging="360"/>
      </w:pPr>
    </w:lvl>
    <w:lvl w:ilvl="1" w:tplc="FE7698AA">
      <w:start w:val="1"/>
      <w:numFmt w:val="lowerLetter"/>
      <w:lvlText w:val="%2."/>
      <w:lvlJc w:val="left"/>
      <w:pPr>
        <w:ind w:left="1440" w:hanging="360"/>
      </w:pPr>
    </w:lvl>
    <w:lvl w:ilvl="2" w:tplc="3E5CD950">
      <w:start w:val="1"/>
      <w:numFmt w:val="lowerRoman"/>
      <w:lvlText w:val="%3."/>
      <w:lvlJc w:val="right"/>
      <w:pPr>
        <w:ind w:left="2160" w:hanging="180"/>
      </w:pPr>
    </w:lvl>
    <w:lvl w:ilvl="3" w:tplc="7BD4109E">
      <w:start w:val="1"/>
      <w:numFmt w:val="decimal"/>
      <w:lvlText w:val="%4."/>
      <w:lvlJc w:val="left"/>
      <w:pPr>
        <w:ind w:left="2880" w:hanging="360"/>
      </w:pPr>
    </w:lvl>
    <w:lvl w:ilvl="4" w:tplc="E8F0F030">
      <w:start w:val="1"/>
      <w:numFmt w:val="lowerLetter"/>
      <w:lvlText w:val="%5."/>
      <w:lvlJc w:val="left"/>
      <w:pPr>
        <w:ind w:left="3600" w:hanging="360"/>
      </w:pPr>
    </w:lvl>
    <w:lvl w:ilvl="5" w:tplc="2A765ACE">
      <w:start w:val="1"/>
      <w:numFmt w:val="lowerRoman"/>
      <w:lvlText w:val="%6."/>
      <w:lvlJc w:val="right"/>
      <w:pPr>
        <w:ind w:left="4320" w:hanging="180"/>
      </w:pPr>
    </w:lvl>
    <w:lvl w:ilvl="6" w:tplc="0A6290A6">
      <w:start w:val="1"/>
      <w:numFmt w:val="decimal"/>
      <w:lvlText w:val="%7."/>
      <w:lvlJc w:val="left"/>
      <w:pPr>
        <w:ind w:left="5040" w:hanging="360"/>
      </w:pPr>
    </w:lvl>
    <w:lvl w:ilvl="7" w:tplc="DAEE83DC">
      <w:start w:val="1"/>
      <w:numFmt w:val="lowerLetter"/>
      <w:lvlText w:val="%8."/>
      <w:lvlJc w:val="left"/>
      <w:pPr>
        <w:ind w:left="5760" w:hanging="360"/>
      </w:pPr>
    </w:lvl>
    <w:lvl w:ilvl="8" w:tplc="228A6E34">
      <w:start w:val="1"/>
      <w:numFmt w:val="lowerRoman"/>
      <w:lvlText w:val="%9."/>
      <w:lvlJc w:val="right"/>
      <w:pPr>
        <w:ind w:left="6480" w:hanging="180"/>
      </w:pPr>
    </w:lvl>
  </w:abstractNum>
  <w:abstractNum w:abstractNumId="2">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4">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4C17021"/>
    <w:multiLevelType w:val="hybridMultilevel"/>
    <w:tmpl w:val="F8FC7E2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F384D9E"/>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8C39C1"/>
    <w:multiLevelType w:val="hybridMultilevel"/>
    <w:tmpl w:val="CB0637B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2">
    <w:nsid w:val="28410C68"/>
    <w:multiLevelType w:val="hybridMultilevel"/>
    <w:tmpl w:val="250C896A"/>
    <w:lvl w:ilvl="0" w:tplc="28C8FEE4">
      <w:start w:val="1"/>
      <w:numFmt w:val="decimal"/>
      <w:lvlText w:val="%1."/>
      <w:lvlJc w:val="left"/>
      <w:pPr>
        <w:ind w:left="720" w:hanging="360"/>
      </w:pPr>
    </w:lvl>
    <w:lvl w:ilvl="1" w:tplc="2F4CEA7E" w:tentative="1">
      <w:start w:val="1"/>
      <w:numFmt w:val="lowerLetter"/>
      <w:lvlText w:val="%2."/>
      <w:lvlJc w:val="left"/>
      <w:pPr>
        <w:ind w:left="1440" w:hanging="360"/>
      </w:pPr>
    </w:lvl>
    <w:lvl w:ilvl="2" w:tplc="8B082CC6" w:tentative="1">
      <w:start w:val="1"/>
      <w:numFmt w:val="lowerRoman"/>
      <w:lvlText w:val="%3."/>
      <w:lvlJc w:val="right"/>
      <w:pPr>
        <w:ind w:left="2160" w:hanging="180"/>
      </w:pPr>
    </w:lvl>
    <w:lvl w:ilvl="3" w:tplc="FAD2E09E" w:tentative="1">
      <w:start w:val="1"/>
      <w:numFmt w:val="decimal"/>
      <w:lvlText w:val="%4."/>
      <w:lvlJc w:val="left"/>
      <w:pPr>
        <w:ind w:left="2880" w:hanging="360"/>
      </w:pPr>
    </w:lvl>
    <w:lvl w:ilvl="4" w:tplc="A5B83256" w:tentative="1">
      <w:start w:val="1"/>
      <w:numFmt w:val="lowerLetter"/>
      <w:lvlText w:val="%5."/>
      <w:lvlJc w:val="left"/>
      <w:pPr>
        <w:ind w:left="3600" w:hanging="360"/>
      </w:pPr>
    </w:lvl>
    <w:lvl w:ilvl="5" w:tplc="653C0C3A" w:tentative="1">
      <w:start w:val="1"/>
      <w:numFmt w:val="lowerRoman"/>
      <w:lvlText w:val="%6."/>
      <w:lvlJc w:val="right"/>
      <w:pPr>
        <w:ind w:left="4320" w:hanging="180"/>
      </w:pPr>
    </w:lvl>
    <w:lvl w:ilvl="6" w:tplc="553C3ECA" w:tentative="1">
      <w:start w:val="1"/>
      <w:numFmt w:val="decimal"/>
      <w:lvlText w:val="%7."/>
      <w:lvlJc w:val="left"/>
      <w:pPr>
        <w:ind w:left="5040" w:hanging="360"/>
      </w:pPr>
    </w:lvl>
    <w:lvl w:ilvl="7" w:tplc="3E6AFB10" w:tentative="1">
      <w:start w:val="1"/>
      <w:numFmt w:val="lowerLetter"/>
      <w:lvlText w:val="%8."/>
      <w:lvlJc w:val="left"/>
      <w:pPr>
        <w:ind w:left="5760" w:hanging="360"/>
      </w:pPr>
    </w:lvl>
    <w:lvl w:ilvl="8" w:tplc="5A6AED98" w:tentative="1">
      <w:start w:val="1"/>
      <w:numFmt w:val="lowerRoman"/>
      <w:lvlText w:val="%9."/>
      <w:lvlJc w:val="right"/>
      <w:pPr>
        <w:ind w:left="6480" w:hanging="180"/>
      </w:pPr>
    </w:lvl>
  </w:abstractNum>
  <w:abstractNum w:abstractNumId="13">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4D0A4D83"/>
    <w:multiLevelType w:val="hybridMultilevel"/>
    <w:tmpl w:val="478E74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29A1EA6"/>
    <w:multiLevelType w:val="hybridMultilevel"/>
    <w:tmpl w:val="DCC61D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08C33B0"/>
    <w:multiLevelType w:val="hybridMultilevel"/>
    <w:tmpl w:val="705CF278"/>
    <w:lvl w:ilvl="0" w:tplc="C9DA6836">
      <w:start w:val="6"/>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21">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AB54038"/>
    <w:multiLevelType w:val="hybridMultilevel"/>
    <w:tmpl w:val="0FCC8BD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EBF4948"/>
    <w:multiLevelType w:val="hybridMultilevel"/>
    <w:tmpl w:val="DA628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F773E92"/>
    <w:multiLevelType w:val="hybridMultilevel"/>
    <w:tmpl w:val="E60852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6"/>
  </w:num>
  <w:num w:numId="7">
    <w:abstractNumId w:val="3"/>
  </w:num>
  <w:num w:numId="8">
    <w:abstractNumId w:val="4"/>
  </w:num>
  <w:num w:numId="9">
    <w:abstractNumId w:val="22"/>
  </w:num>
  <w:num w:numId="10">
    <w:abstractNumId w:val="2"/>
  </w:num>
  <w:num w:numId="11">
    <w:abstractNumId w:val="24"/>
  </w:num>
  <w:num w:numId="12">
    <w:abstractNumId w:val="7"/>
  </w:num>
  <w:num w:numId="13">
    <w:abstractNumId w:val="0"/>
  </w:num>
  <w:num w:numId="14">
    <w:abstractNumId w:val="23"/>
  </w:num>
  <w:num w:numId="15">
    <w:abstractNumId w:val="15"/>
  </w:num>
  <w:num w:numId="16">
    <w:abstractNumId w:val="12"/>
  </w:num>
  <w:num w:numId="17">
    <w:abstractNumId w:val="26"/>
  </w:num>
  <w:num w:numId="18">
    <w:abstractNumId w:val="25"/>
  </w:num>
  <w:num w:numId="19">
    <w:abstractNumId w:val="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num>
  <w:num w:numId="23">
    <w:abstractNumId w:val="6"/>
  </w:num>
  <w:num w:numId="24">
    <w:abstractNumId w:val="10"/>
  </w:num>
  <w:num w:numId="25">
    <w:abstractNumId w:val="11"/>
  </w:num>
  <w:num w:numId="26">
    <w:abstractNumId w:val="27"/>
  </w:num>
  <w:num w:numId="27">
    <w:abstractNumId w:val="1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5713"/>
  </w:hdrShapeDefaults>
  <w:footnotePr>
    <w:footnote w:id="-1"/>
    <w:footnote w:id="0"/>
  </w:footnotePr>
  <w:endnotePr>
    <w:endnote w:id="-1"/>
    <w:endnote w:id="0"/>
  </w:endnotePr>
  <w:compat/>
  <w:rsids>
    <w:rsidRoot w:val="00F64DE4"/>
    <w:rsid w:val="00005E79"/>
    <w:rsid w:val="000121C4"/>
    <w:rsid w:val="0001528C"/>
    <w:rsid w:val="00024C1D"/>
    <w:rsid w:val="00025346"/>
    <w:rsid w:val="00027058"/>
    <w:rsid w:val="00032061"/>
    <w:rsid w:val="00032E91"/>
    <w:rsid w:val="000349B3"/>
    <w:rsid w:val="0005107F"/>
    <w:rsid w:val="00055EA4"/>
    <w:rsid w:val="000630D0"/>
    <w:rsid w:val="0007173E"/>
    <w:rsid w:val="00087937"/>
    <w:rsid w:val="000957ED"/>
    <w:rsid w:val="00097A72"/>
    <w:rsid w:val="000A1B66"/>
    <w:rsid w:val="000A4D2F"/>
    <w:rsid w:val="000B483A"/>
    <w:rsid w:val="000C7D3F"/>
    <w:rsid w:val="000D049A"/>
    <w:rsid w:val="000D095C"/>
    <w:rsid w:val="000D0BDC"/>
    <w:rsid w:val="000D2036"/>
    <w:rsid w:val="000E130E"/>
    <w:rsid w:val="000E66EA"/>
    <w:rsid w:val="00101637"/>
    <w:rsid w:val="00102ED6"/>
    <w:rsid w:val="001047CE"/>
    <w:rsid w:val="00105C81"/>
    <w:rsid w:val="00113883"/>
    <w:rsid w:val="001229CC"/>
    <w:rsid w:val="0012645F"/>
    <w:rsid w:val="001264B1"/>
    <w:rsid w:val="00134AA7"/>
    <w:rsid w:val="00136D3A"/>
    <w:rsid w:val="00153256"/>
    <w:rsid w:val="0015479C"/>
    <w:rsid w:val="00166C41"/>
    <w:rsid w:val="00170D37"/>
    <w:rsid w:val="00174AE2"/>
    <w:rsid w:val="00181EA6"/>
    <w:rsid w:val="00196278"/>
    <w:rsid w:val="00196F55"/>
    <w:rsid w:val="001C36D1"/>
    <w:rsid w:val="001D33E7"/>
    <w:rsid w:val="001F012B"/>
    <w:rsid w:val="001F7F8E"/>
    <w:rsid w:val="00202444"/>
    <w:rsid w:val="00207501"/>
    <w:rsid w:val="00222E72"/>
    <w:rsid w:val="00227488"/>
    <w:rsid w:val="0024507F"/>
    <w:rsid w:val="00245570"/>
    <w:rsid w:val="00247D55"/>
    <w:rsid w:val="002559F7"/>
    <w:rsid w:val="00262C7D"/>
    <w:rsid w:val="002768BD"/>
    <w:rsid w:val="00277C8F"/>
    <w:rsid w:val="0028497B"/>
    <w:rsid w:val="00286BD2"/>
    <w:rsid w:val="0029097E"/>
    <w:rsid w:val="002A1965"/>
    <w:rsid w:val="002A2A24"/>
    <w:rsid w:val="002B75C5"/>
    <w:rsid w:val="002C6678"/>
    <w:rsid w:val="002C67E6"/>
    <w:rsid w:val="002D690C"/>
    <w:rsid w:val="002D6A77"/>
    <w:rsid w:val="002E176D"/>
    <w:rsid w:val="0030186E"/>
    <w:rsid w:val="00303B8A"/>
    <w:rsid w:val="0030686D"/>
    <w:rsid w:val="00314B1A"/>
    <w:rsid w:val="00335D4B"/>
    <w:rsid w:val="00340158"/>
    <w:rsid w:val="003578E5"/>
    <w:rsid w:val="00370D54"/>
    <w:rsid w:val="00371DF2"/>
    <w:rsid w:val="00382D4F"/>
    <w:rsid w:val="00395280"/>
    <w:rsid w:val="00395D63"/>
    <w:rsid w:val="003B293D"/>
    <w:rsid w:val="003D78CD"/>
    <w:rsid w:val="003D7B3A"/>
    <w:rsid w:val="003F5387"/>
    <w:rsid w:val="004032CF"/>
    <w:rsid w:val="00405687"/>
    <w:rsid w:val="00421C8E"/>
    <w:rsid w:val="00424EE1"/>
    <w:rsid w:val="004416CB"/>
    <w:rsid w:val="00443649"/>
    <w:rsid w:val="00453676"/>
    <w:rsid w:val="0046692F"/>
    <w:rsid w:val="00466F18"/>
    <w:rsid w:val="00486445"/>
    <w:rsid w:val="004950D9"/>
    <w:rsid w:val="004A058F"/>
    <w:rsid w:val="004A4877"/>
    <w:rsid w:val="004B0590"/>
    <w:rsid w:val="004B0948"/>
    <w:rsid w:val="004D2EB1"/>
    <w:rsid w:val="004D4B68"/>
    <w:rsid w:val="004D5C5B"/>
    <w:rsid w:val="004E4BBC"/>
    <w:rsid w:val="004E5B69"/>
    <w:rsid w:val="004E7AF6"/>
    <w:rsid w:val="00504A89"/>
    <w:rsid w:val="00506C49"/>
    <w:rsid w:val="005134D4"/>
    <w:rsid w:val="00514089"/>
    <w:rsid w:val="00520FA9"/>
    <w:rsid w:val="00521BA5"/>
    <w:rsid w:val="00522905"/>
    <w:rsid w:val="00527403"/>
    <w:rsid w:val="00533C68"/>
    <w:rsid w:val="00542CEE"/>
    <w:rsid w:val="00550273"/>
    <w:rsid w:val="00550844"/>
    <w:rsid w:val="00553F03"/>
    <w:rsid w:val="00554148"/>
    <w:rsid w:val="00562E1F"/>
    <w:rsid w:val="00566D88"/>
    <w:rsid w:val="00573FB7"/>
    <w:rsid w:val="00575829"/>
    <w:rsid w:val="00581BF8"/>
    <w:rsid w:val="005828B4"/>
    <w:rsid w:val="005A6F9A"/>
    <w:rsid w:val="005A7ED1"/>
    <w:rsid w:val="005C3D87"/>
    <w:rsid w:val="005C5B44"/>
    <w:rsid w:val="005D7B08"/>
    <w:rsid w:val="005E44DF"/>
    <w:rsid w:val="005F0A60"/>
    <w:rsid w:val="005F0AFE"/>
    <w:rsid w:val="006035C3"/>
    <w:rsid w:val="00645C4C"/>
    <w:rsid w:val="0064617F"/>
    <w:rsid w:val="0067664D"/>
    <w:rsid w:val="00687575"/>
    <w:rsid w:val="006909B2"/>
    <w:rsid w:val="006A2194"/>
    <w:rsid w:val="006A24C9"/>
    <w:rsid w:val="006B20D0"/>
    <w:rsid w:val="006B231C"/>
    <w:rsid w:val="006B6A02"/>
    <w:rsid w:val="006C7BD1"/>
    <w:rsid w:val="006E0376"/>
    <w:rsid w:val="006E535D"/>
    <w:rsid w:val="006E6AFD"/>
    <w:rsid w:val="006F39B6"/>
    <w:rsid w:val="006F4794"/>
    <w:rsid w:val="007004F9"/>
    <w:rsid w:val="007019F3"/>
    <w:rsid w:val="00704197"/>
    <w:rsid w:val="00704E63"/>
    <w:rsid w:val="0070677B"/>
    <w:rsid w:val="00711BEA"/>
    <w:rsid w:val="00711F5D"/>
    <w:rsid w:val="00720BC3"/>
    <w:rsid w:val="00731175"/>
    <w:rsid w:val="00734AC4"/>
    <w:rsid w:val="00741795"/>
    <w:rsid w:val="00744402"/>
    <w:rsid w:val="007471ED"/>
    <w:rsid w:val="00761D00"/>
    <w:rsid w:val="00771A85"/>
    <w:rsid w:val="0077311C"/>
    <w:rsid w:val="00780628"/>
    <w:rsid w:val="00792200"/>
    <w:rsid w:val="007A768E"/>
    <w:rsid w:val="007B26AA"/>
    <w:rsid w:val="007B2B89"/>
    <w:rsid w:val="007B77D8"/>
    <w:rsid w:val="007D33CD"/>
    <w:rsid w:val="007E162B"/>
    <w:rsid w:val="007E2DE0"/>
    <w:rsid w:val="007E3436"/>
    <w:rsid w:val="007E37F5"/>
    <w:rsid w:val="007E4CFF"/>
    <w:rsid w:val="008040F7"/>
    <w:rsid w:val="0081238B"/>
    <w:rsid w:val="0081557B"/>
    <w:rsid w:val="008320CF"/>
    <w:rsid w:val="008347EC"/>
    <w:rsid w:val="00845019"/>
    <w:rsid w:val="00854E1E"/>
    <w:rsid w:val="00885BF3"/>
    <w:rsid w:val="008930FD"/>
    <w:rsid w:val="008A60D7"/>
    <w:rsid w:val="008B7400"/>
    <w:rsid w:val="008C010C"/>
    <w:rsid w:val="008C25A2"/>
    <w:rsid w:val="008C673C"/>
    <w:rsid w:val="008D100E"/>
    <w:rsid w:val="008D6FEA"/>
    <w:rsid w:val="0090071B"/>
    <w:rsid w:val="0091622B"/>
    <w:rsid w:val="00927810"/>
    <w:rsid w:val="00940DEB"/>
    <w:rsid w:val="009453B4"/>
    <w:rsid w:val="0095096E"/>
    <w:rsid w:val="00961707"/>
    <w:rsid w:val="00975EF9"/>
    <w:rsid w:val="00991C1B"/>
    <w:rsid w:val="009922AC"/>
    <w:rsid w:val="00995B2C"/>
    <w:rsid w:val="009969DE"/>
    <w:rsid w:val="00997920"/>
    <w:rsid w:val="009A7AEA"/>
    <w:rsid w:val="009C51EE"/>
    <w:rsid w:val="009D07BD"/>
    <w:rsid w:val="009E1C50"/>
    <w:rsid w:val="009E585E"/>
    <w:rsid w:val="009E6611"/>
    <w:rsid w:val="00A006FA"/>
    <w:rsid w:val="00A01B2D"/>
    <w:rsid w:val="00A01FA3"/>
    <w:rsid w:val="00A03239"/>
    <w:rsid w:val="00A11ED6"/>
    <w:rsid w:val="00A12900"/>
    <w:rsid w:val="00A12A80"/>
    <w:rsid w:val="00A23C13"/>
    <w:rsid w:val="00A258F4"/>
    <w:rsid w:val="00A44206"/>
    <w:rsid w:val="00A47B3E"/>
    <w:rsid w:val="00A555B0"/>
    <w:rsid w:val="00A60C84"/>
    <w:rsid w:val="00A616F9"/>
    <w:rsid w:val="00A64F39"/>
    <w:rsid w:val="00A6684B"/>
    <w:rsid w:val="00A91017"/>
    <w:rsid w:val="00A914A4"/>
    <w:rsid w:val="00AA6B0B"/>
    <w:rsid w:val="00AB0473"/>
    <w:rsid w:val="00AB0573"/>
    <w:rsid w:val="00AC0EE3"/>
    <w:rsid w:val="00AD429A"/>
    <w:rsid w:val="00AD484B"/>
    <w:rsid w:val="00AE0DF8"/>
    <w:rsid w:val="00AE45BB"/>
    <w:rsid w:val="00B05D89"/>
    <w:rsid w:val="00B1626E"/>
    <w:rsid w:val="00B17B64"/>
    <w:rsid w:val="00B27E25"/>
    <w:rsid w:val="00B3601D"/>
    <w:rsid w:val="00B53181"/>
    <w:rsid w:val="00B56D48"/>
    <w:rsid w:val="00B641BB"/>
    <w:rsid w:val="00B654CF"/>
    <w:rsid w:val="00B668FA"/>
    <w:rsid w:val="00B6784A"/>
    <w:rsid w:val="00B82E9F"/>
    <w:rsid w:val="00B844E2"/>
    <w:rsid w:val="00B865A5"/>
    <w:rsid w:val="00B872FC"/>
    <w:rsid w:val="00BA42E7"/>
    <w:rsid w:val="00BA4B01"/>
    <w:rsid w:val="00BB6B17"/>
    <w:rsid w:val="00BB7BBA"/>
    <w:rsid w:val="00BC3144"/>
    <w:rsid w:val="00BD03DC"/>
    <w:rsid w:val="00BD2285"/>
    <w:rsid w:val="00BD2A4B"/>
    <w:rsid w:val="00BF021B"/>
    <w:rsid w:val="00BF22C5"/>
    <w:rsid w:val="00BF43BC"/>
    <w:rsid w:val="00C0025C"/>
    <w:rsid w:val="00C01373"/>
    <w:rsid w:val="00C01E51"/>
    <w:rsid w:val="00C064CA"/>
    <w:rsid w:val="00C0656C"/>
    <w:rsid w:val="00C20508"/>
    <w:rsid w:val="00C2478A"/>
    <w:rsid w:val="00C34D0A"/>
    <w:rsid w:val="00C426BD"/>
    <w:rsid w:val="00C444D7"/>
    <w:rsid w:val="00C46689"/>
    <w:rsid w:val="00C47ABF"/>
    <w:rsid w:val="00C54359"/>
    <w:rsid w:val="00C74835"/>
    <w:rsid w:val="00C83B07"/>
    <w:rsid w:val="00C97142"/>
    <w:rsid w:val="00CA2840"/>
    <w:rsid w:val="00CC779F"/>
    <w:rsid w:val="00CD1213"/>
    <w:rsid w:val="00CE074A"/>
    <w:rsid w:val="00CE745B"/>
    <w:rsid w:val="00CF3B59"/>
    <w:rsid w:val="00D000E6"/>
    <w:rsid w:val="00D02A09"/>
    <w:rsid w:val="00D02BC5"/>
    <w:rsid w:val="00D16F15"/>
    <w:rsid w:val="00D2025E"/>
    <w:rsid w:val="00D379B5"/>
    <w:rsid w:val="00D4157C"/>
    <w:rsid w:val="00D45402"/>
    <w:rsid w:val="00D461A5"/>
    <w:rsid w:val="00D526EA"/>
    <w:rsid w:val="00D71C04"/>
    <w:rsid w:val="00D724E9"/>
    <w:rsid w:val="00D82880"/>
    <w:rsid w:val="00D90161"/>
    <w:rsid w:val="00DA49A2"/>
    <w:rsid w:val="00DB2FA0"/>
    <w:rsid w:val="00DB46A1"/>
    <w:rsid w:val="00DC2329"/>
    <w:rsid w:val="00DC4B72"/>
    <w:rsid w:val="00DC56BA"/>
    <w:rsid w:val="00DF169A"/>
    <w:rsid w:val="00DF357C"/>
    <w:rsid w:val="00E06413"/>
    <w:rsid w:val="00E11428"/>
    <w:rsid w:val="00E12BFD"/>
    <w:rsid w:val="00E14CA7"/>
    <w:rsid w:val="00E1542D"/>
    <w:rsid w:val="00E2101B"/>
    <w:rsid w:val="00E34C90"/>
    <w:rsid w:val="00E3720E"/>
    <w:rsid w:val="00E37CA1"/>
    <w:rsid w:val="00E716CB"/>
    <w:rsid w:val="00E72363"/>
    <w:rsid w:val="00E81D90"/>
    <w:rsid w:val="00E90D74"/>
    <w:rsid w:val="00E9321A"/>
    <w:rsid w:val="00E96173"/>
    <w:rsid w:val="00E97DCF"/>
    <w:rsid w:val="00EA6DC7"/>
    <w:rsid w:val="00EB6BFB"/>
    <w:rsid w:val="00ED69C0"/>
    <w:rsid w:val="00EE5022"/>
    <w:rsid w:val="00EE5F83"/>
    <w:rsid w:val="00EF1BFF"/>
    <w:rsid w:val="00EF6829"/>
    <w:rsid w:val="00EF6FA8"/>
    <w:rsid w:val="00F01201"/>
    <w:rsid w:val="00F02ADE"/>
    <w:rsid w:val="00F07336"/>
    <w:rsid w:val="00F075C0"/>
    <w:rsid w:val="00F10AFD"/>
    <w:rsid w:val="00F2695B"/>
    <w:rsid w:val="00F26C63"/>
    <w:rsid w:val="00F332EC"/>
    <w:rsid w:val="00F344E1"/>
    <w:rsid w:val="00F4453B"/>
    <w:rsid w:val="00F525DE"/>
    <w:rsid w:val="00F55E3E"/>
    <w:rsid w:val="00F64DE4"/>
    <w:rsid w:val="00F719CD"/>
    <w:rsid w:val="00F75368"/>
    <w:rsid w:val="00F81B8B"/>
    <w:rsid w:val="00F8216B"/>
    <w:rsid w:val="00F87AFF"/>
    <w:rsid w:val="00FA44B6"/>
    <w:rsid w:val="00FB0374"/>
    <w:rsid w:val="00FB0855"/>
    <w:rsid w:val="00FB2C3F"/>
    <w:rsid w:val="00FC0B12"/>
    <w:rsid w:val="00FD2B01"/>
    <w:rsid w:val="00FE2D1C"/>
    <w:rsid w:val="00FE3B53"/>
    <w:rsid w:val="00FE714D"/>
    <w:rsid w:val="00FF5A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nhideWhenUsed/>
    <w:rsid w:val="00F64DE4"/>
    <w:pPr>
      <w:tabs>
        <w:tab w:val="center" w:pos="4153"/>
        <w:tab w:val="right" w:pos="8306"/>
      </w:tabs>
    </w:pPr>
  </w:style>
  <w:style w:type="character" w:customStyle="1" w:styleId="KjeneRakstz">
    <w:name w:val="Kājene Rakstz."/>
    <w:basedOn w:val="Noklusjumarindkopasfonts"/>
    <w:link w:val="Kjene"/>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Numbered Para 1,Dot pt,No Spacing1,List Paragraph Char Char Char,Indicator Text,Bullet 1,Bullet Points,F5 List Paragraph,Colorful List - Accent 11,List Paragraph2,Normal numbered,List Paragraph11"/>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b/>
      <w:bCs/>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semiHidden/>
    <w:unhideWhenUsed/>
    <w:rsid w:val="00D379B5"/>
    <w:pPr>
      <w:spacing w:after="120"/>
    </w:pPr>
  </w:style>
  <w:style w:type="character" w:customStyle="1" w:styleId="PamattekstsRakstz">
    <w:name w:val="Pamatteksts Rakstz."/>
    <w:basedOn w:val="Noklusjumarindkopasfonts"/>
    <w:link w:val="Pamatteksts"/>
    <w:uiPriority w:val="99"/>
    <w:semiHidden/>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Numbered Para 1 Rakstz.,Dot pt Rakstz.,No Spacing1 Rakstz.,List Paragraph Char Char Char Rakstz.,Indicator Text Rakstz.,Bullet 1 Rakstz.,Bullet Points Rakstz.,F5 List Paragraph Rakstz."/>
    <w:link w:val="Sarakstarindkopa"/>
    <w:uiPriority w:val="34"/>
    <w:qFormat/>
    <w:rsid w:val="000D049A"/>
    <w:rPr>
      <w:rFonts w:ascii="Calibri" w:eastAsia="Calibri" w:hAnsi="Calibri" w:cs="Times New Roman"/>
    </w:rPr>
  </w:style>
  <w:style w:type="paragraph" w:customStyle="1" w:styleId="tv213">
    <w:name w:val="tv213"/>
    <w:basedOn w:val="Parastais"/>
    <w:rsid w:val="00E34C90"/>
    <w:pPr>
      <w:spacing w:before="100" w:beforeAutospacing="1" w:after="100" w:afterAutospacing="1"/>
    </w:pPr>
  </w:style>
  <w:style w:type="paragraph" w:customStyle="1" w:styleId="doc-ti">
    <w:name w:val="doc-ti"/>
    <w:basedOn w:val="Parastais"/>
    <w:uiPriority w:val="99"/>
    <w:rsid w:val="00704197"/>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3922936">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C8B9C-AD0F-4149-A2AC-81673DFA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10</Pages>
  <Words>11420</Words>
  <Characters>6510</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pirmās un otrās atlases kārtas īstenošanas noteikumi”” </dc:title>
  <dc:subject>Izziņa</dc:subject>
  <dc:creator>Linda Krūmiņa</dc:creator>
  <cp:keywords>KMIzz_181219_551SAM_322</cp:keywords>
  <dc:description>Tālr. 67330319; fakss 67330293
Linda.Krumina@km.gov.lv</dc:description>
  <cp:lastModifiedBy>Dzintra Rozīte</cp:lastModifiedBy>
  <cp:revision>79</cp:revision>
  <cp:lastPrinted>2018-03-05T07:30:00Z</cp:lastPrinted>
  <dcterms:created xsi:type="dcterms:W3CDTF">2018-03-15T14:28:00Z</dcterms:created>
  <dcterms:modified xsi:type="dcterms:W3CDTF">2019-12-19T08:14:00Z</dcterms:modified>
</cp:coreProperties>
</file>