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F88E6" w14:textId="5956DDD0" w:rsidR="00B31052" w:rsidRPr="001E5BBA" w:rsidRDefault="00B31052" w:rsidP="00B31052">
      <w:pPr>
        <w:pStyle w:val="naisnod"/>
        <w:spacing w:before="0" w:after="0"/>
        <w:ind w:firstLine="720"/>
        <w:rPr>
          <w:color w:val="000000" w:themeColor="text1"/>
          <w:sz w:val="28"/>
          <w:szCs w:val="28"/>
        </w:rPr>
      </w:pPr>
      <w:r w:rsidRPr="001E5BBA">
        <w:rPr>
          <w:color w:val="000000" w:themeColor="text1"/>
          <w:sz w:val="28"/>
          <w:szCs w:val="28"/>
        </w:rPr>
        <w:t>Izziņa par atzinum</w:t>
      </w:r>
      <w:r w:rsidR="002A6260">
        <w:rPr>
          <w:color w:val="000000" w:themeColor="text1"/>
          <w:sz w:val="28"/>
          <w:szCs w:val="28"/>
        </w:rPr>
        <w:t>ā</w:t>
      </w:r>
      <w:r w:rsidRPr="001E5BBA">
        <w:rPr>
          <w:color w:val="000000" w:themeColor="text1"/>
          <w:sz w:val="28"/>
          <w:szCs w:val="28"/>
        </w:rPr>
        <w:t xml:space="preserve"> sniegtajiem iebildumiem</w:t>
      </w:r>
    </w:p>
    <w:p w14:paraId="07B3A491" w14:textId="77777777" w:rsidR="00B31052" w:rsidRPr="001E5BBA" w:rsidRDefault="00B31052" w:rsidP="00B31052">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1E5BBA" w:rsidRPr="001E5BBA" w14:paraId="1CB4B093" w14:textId="77777777" w:rsidTr="006A551B">
        <w:trPr>
          <w:jc w:val="center"/>
        </w:trPr>
        <w:tc>
          <w:tcPr>
            <w:tcW w:w="10188" w:type="dxa"/>
            <w:tcBorders>
              <w:bottom w:val="single" w:sz="6" w:space="0" w:color="000000"/>
            </w:tcBorders>
          </w:tcPr>
          <w:p w14:paraId="1F5890DB" w14:textId="7655C6C5" w:rsidR="00B7206C" w:rsidRPr="00B7206C" w:rsidRDefault="00B7206C" w:rsidP="00B7206C">
            <w:pPr>
              <w:jc w:val="center"/>
              <w:rPr>
                <w:color w:val="000000" w:themeColor="text1"/>
                <w:sz w:val="28"/>
                <w:szCs w:val="28"/>
              </w:rPr>
            </w:pPr>
            <w:r>
              <w:rPr>
                <w:color w:val="000000" w:themeColor="text1"/>
                <w:sz w:val="28"/>
                <w:szCs w:val="28"/>
              </w:rPr>
              <w:t>Likumprojekts “</w:t>
            </w:r>
            <w:r w:rsidRPr="00B7206C">
              <w:rPr>
                <w:color w:val="000000" w:themeColor="text1"/>
                <w:sz w:val="28"/>
                <w:szCs w:val="28"/>
              </w:rPr>
              <w:t>Grozījumi Publiskas personas kapitāla daļu un kapitālsabiedrību pārvaldības likumā</w:t>
            </w:r>
            <w:r>
              <w:rPr>
                <w:color w:val="000000" w:themeColor="text1"/>
                <w:sz w:val="28"/>
                <w:szCs w:val="28"/>
              </w:rPr>
              <w:t>”</w:t>
            </w:r>
          </w:p>
          <w:p w14:paraId="11BD0D52" w14:textId="489411EF" w:rsidR="00B31052" w:rsidRPr="001E5BBA" w:rsidRDefault="00B31052" w:rsidP="005B78E5">
            <w:pPr>
              <w:ind w:firstLine="720"/>
              <w:jc w:val="center"/>
              <w:rPr>
                <w:color w:val="000000" w:themeColor="text1"/>
                <w:sz w:val="28"/>
                <w:szCs w:val="28"/>
              </w:rPr>
            </w:pPr>
          </w:p>
        </w:tc>
      </w:tr>
    </w:tbl>
    <w:p w14:paraId="5AE6AA34" w14:textId="77777777" w:rsidR="00B31052" w:rsidRPr="001E5BBA" w:rsidRDefault="00B31052" w:rsidP="00B31052">
      <w:pPr>
        <w:pStyle w:val="naisc"/>
        <w:spacing w:before="0" w:after="0"/>
        <w:ind w:firstLine="1080"/>
        <w:rPr>
          <w:color w:val="000000" w:themeColor="text1"/>
        </w:rPr>
      </w:pPr>
      <w:r w:rsidRPr="001E5BBA">
        <w:rPr>
          <w:color w:val="000000" w:themeColor="text1"/>
        </w:rPr>
        <w:t>(dokumenta veids un nosaukums)</w:t>
      </w:r>
    </w:p>
    <w:p w14:paraId="5E1C6C93" w14:textId="77777777" w:rsidR="00B31052" w:rsidRPr="001E5BBA" w:rsidRDefault="00B31052" w:rsidP="00B31052">
      <w:pPr>
        <w:pStyle w:val="naisf"/>
        <w:spacing w:before="0" w:after="0"/>
        <w:ind w:firstLine="720"/>
        <w:rPr>
          <w:color w:val="000000" w:themeColor="text1"/>
        </w:rPr>
      </w:pPr>
    </w:p>
    <w:p w14:paraId="037E1B86" w14:textId="48AB1D1E" w:rsidR="000647E4" w:rsidRPr="001E5BBA" w:rsidRDefault="000351DC" w:rsidP="000647E4">
      <w:pPr>
        <w:pStyle w:val="naisf"/>
        <w:spacing w:before="0" w:after="0"/>
        <w:ind w:firstLine="0"/>
        <w:jc w:val="center"/>
        <w:rPr>
          <w:b/>
          <w:color w:val="000000" w:themeColor="text1"/>
        </w:rPr>
      </w:pPr>
      <w:r w:rsidRPr="001E5BBA">
        <w:rPr>
          <w:b/>
          <w:color w:val="000000" w:themeColor="text1"/>
        </w:rPr>
        <w:t>I</w:t>
      </w:r>
      <w:r w:rsidR="000647E4" w:rsidRPr="001E5BBA">
        <w:rPr>
          <w:b/>
          <w:color w:val="000000" w:themeColor="text1"/>
        </w:rPr>
        <w:t>. Jautājumi, par kuriem saskaņošanā vienošanās nav panākta</w:t>
      </w:r>
    </w:p>
    <w:p w14:paraId="17F2882C" w14:textId="77777777" w:rsidR="000647E4" w:rsidRPr="001E5BBA" w:rsidRDefault="000647E4" w:rsidP="000647E4">
      <w:pPr>
        <w:pStyle w:val="naisf"/>
        <w:spacing w:before="0" w:after="0"/>
        <w:ind w:firstLine="720"/>
        <w:rPr>
          <w:color w:val="000000" w:themeColor="text1"/>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3398"/>
        <w:gridCol w:w="3600"/>
        <w:gridCol w:w="3395"/>
        <w:gridCol w:w="3430"/>
      </w:tblGrid>
      <w:tr w:rsidR="001E5BBA" w:rsidRPr="001E5BBA" w14:paraId="5CE62C42" w14:textId="77777777" w:rsidTr="00115AE3">
        <w:tc>
          <w:tcPr>
            <w:tcW w:w="200" w:type="pct"/>
            <w:shd w:val="clear" w:color="auto" w:fill="auto"/>
          </w:tcPr>
          <w:p w14:paraId="4E5EC511" w14:textId="77777777" w:rsidR="000647E4" w:rsidRPr="001E5BBA" w:rsidRDefault="000647E4" w:rsidP="00FD78CF">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14:paraId="24BB0926" w14:textId="77777777" w:rsidR="000647E4" w:rsidRPr="001E5BBA" w:rsidRDefault="000647E4" w:rsidP="00FD78CF">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14:paraId="365AC6D4" w14:textId="77777777" w:rsidR="000647E4" w:rsidRPr="001E5BBA" w:rsidRDefault="000647E4" w:rsidP="00FD78CF">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14:paraId="538A8C8E" w14:textId="77777777" w:rsidR="000647E4" w:rsidRPr="001E5BBA" w:rsidRDefault="000647E4" w:rsidP="00FD78CF">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14:paraId="053EFFC0" w14:textId="77777777" w:rsidR="000647E4" w:rsidRPr="001E5BBA" w:rsidRDefault="000647E4" w:rsidP="00FD78CF">
            <w:pPr>
              <w:jc w:val="center"/>
              <w:rPr>
                <w:color w:val="000000" w:themeColor="text1"/>
                <w:sz w:val="20"/>
                <w:szCs w:val="20"/>
              </w:rPr>
            </w:pPr>
            <w:r w:rsidRPr="001E5BBA">
              <w:rPr>
                <w:color w:val="000000" w:themeColor="text1"/>
                <w:sz w:val="20"/>
                <w:szCs w:val="20"/>
              </w:rPr>
              <w:t>Projekta attiecīgā punkta (panta) galīgā redakcija</w:t>
            </w:r>
          </w:p>
        </w:tc>
      </w:tr>
      <w:tr w:rsidR="001E5BBA" w:rsidRPr="001E5BBA" w14:paraId="7AB58AF6" w14:textId="77777777" w:rsidTr="00115AE3">
        <w:tc>
          <w:tcPr>
            <w:tcW w:w="200" w:type="pct"/>
            <w:shd w:val="clear" w:color="auto" w:fill="auto"/>
          </w:tcPr>
          <w:p w14:paraId="053CD312" w14:textId="77777777" w:rsidR="000647E4" w:rsidRPr="001E5BBA" w:rsidRDefault="000647E4" w:rsidP="00FD78CF">
            <w:pPr>
              <w:pStyle w:val="naisc"/>
              <w:spacing w:before="0" w:after="0"/>
              <w:rPr>
                <w:color w:val="000000" w:themeColor="text1"/>
                <w:sz w:val="20"/>
                <w:szCs w:val="20"/>
              </w:rPr>
            </w:pPr>
            <w:r w:rsidRPr="001E5BBA">
              <w:rPr>
                <w:color w:val="000000" w:themeColor="text1"/>
                <w:sz w:val="20"/>
                <w:szCs w:val="20"/>
              </w:rPr>
              <w:t>1</w:t>
            </w:r>
          </w:p>
        </w:tc>
        <w:tc>
          <w:tcPr>
            <w:tcW w:w="1180" w:type="pct"/>
            <w:shd w:val="clear" w:color="auto" w:fill="auto"/>
          </w:tcPr>
          <w:p w14:paraId="097A0D05" w14:textId="77777777" w:rsidR="000647E4" w:rsidRPr="001E5BBA" w:rsidRDefault="000647E4" w:rsidP="00FD78CF">
            <w:pPr>
              <w:pStyle w:val="naisc"/>
              <w:spacing w:before="0" w:after="0"/>
              <w:rPr>
                <w:color w:val="000000" w:themeColor="text1"/>
                <w:sz w:val="20"/>
                <w:szCs w:val="20"/>
              </w:rPr>
            </w:pPr>
            <w:r w:rsidRPr="001E5BBA">
              <w:rPr>
                <w:color w:val="000000" w:themeColor="text1"/>
                <w:sz w:val="20"/>
                <w:szCs w:val="20"/>
              </w:rPr>
              <w:t>2</w:t>
            </w:r>
          </w:p>
        </w:tc>
        <w:tc>
          <w:tcPr>
            <w:tcW w:w="1250" w:type="pct"/>
            <w:shd w:val="clear" w:color="auto" w:fill="auto"/>
          </w:tcPr>
          <w:p w14:paraId="2A522420" w14:textId="77777777" w:rsidR="000647E4" w:rsidRPr="001E5BBA" w:rsidRDefault="000647E4" w:rsidP="00FD78CF">
            <w:pPr>
              <w:pStyle w:val="naisc"/>
              <w:spacing w:before="0" w:after="0"/>
              <w:rPr>
                <w:color w:val="000000" w:themeColor="text1"/>
                <w:sz w:val="20"/>
                <w:szCs w:val="20"/>
              </w:rPr>
            </w:pPr>
            <w:r w:rsidRPr="001E5BBA">
              <w:rPr>
                <w:color w:val="000000" w:themeColor="text1"/>
                <w:sz w:val="20"/>
                <w:szCs w:val="20"/>
              </w:rPr>
              <w:t>3</w:t>
            </w:r>
          </w:p>
        </w:tc>
        <w:tc>
          <w:tcPr>
            <w:tcW w:w="1179" w:type="pct"/>
            <w:shd w:val="clear" w:color="auto" w:fill="auto"/>
          </w:tcPr>
          <w:p w14:paraId="2C40B904" w14:textId="77777777" w:rsidR="000647E4" w:rsidRPr="001E5BBA" w:rsidRDefault="000647E4" w:rsidP="00FD78CF">
            <w:pPr>
              <w:pStyle w:val="naisc"/>
              <w:spacing w:before="0" w:after="0"/>
              <w:rPr>
                <w:color w:val="000000" w:themeColor="text1"/>
                <w:sz w:val="20"/>
                <w:szCs w:val="20"/>
              </w:rPr>
            </w:pPr>
            <w:r w:rsidRPr="001E5BBA">
              <w:rPr>
                <w:color w:val="000000" w:themeColor="text1"/>
                <w:sz w:val="20"/>
                <w:szCs w:val="20"/>
              </w:rPr>
              <w:t>4</w:t>
            </w:r>
          </w:p>
        </w:tc>
        <w:tc>
          <w:tcPr>
            <w:tcW w:w="1191" w:type="pct"/>
            <w:shd w:val="clear" w:color="auto" w:fill="auto"/>
          </w:tcPr>
          <w:p w14:paraId="4A069CAE" w14:textId="77777777" w:rsidR="000647E4" w:rsidRPr="001E5BBA" w:rsidRDefault="000647E4" w:rsidP="00FD78CF">
            <w:pPr>
              <w:jc w:val="center"/>
              <w:rPr>
                <w:color w:val="000000" w:themeColor="text1"/>
                <w:sz w:val="20"/>
                <w:szCs w:val="20"/>
              </w:rPr>
            </w:pPr>
            <w:r w:rsidRPr="001E5BBA">
              <w:rPr>
                <w:color w:val="000000" w:themeColor="text1"/>
                <w:sz w:val="20"/>
                <w:szCs w:val="20"/>
              </w:rPr>
              <w:t>5</w:t>
            </w:r>
          </w:p>
        </w:tc>
      </w:tr>
      <w:tr w:rsidR="00322AEE" w:rsidRPr="001E5BBA" w14:paraId="174D8966" w14:textId="77777777" w:rsidTr="00115AE3">
        <w:tc>
          <w:tcPr>
            <w:tcW w:w="200" w:type="pct"/>
            <w:shd w:val="clear" w:color="auto" w:fill="auto"/>
          </w:tcPr>
          <w:p w14:paraId="31CA832B" w14:textId="0473B24D" w:rsidR="00322AEE" w:rsidRPr="001E5BBA" w:rsidRDefault="00322AEE" w:rsidP="002B0447">
            <w:pPr>
              <w:pStyle w:val="naisc"/>
              <w:spacing w:before="0" w:after="0"/>
              <w:jc w:val="left"/>
              <w:rPr>
                <w:color w:val="000000" w:themeColor="text1"/>
                <w:sz w:val="20"/>
                <w:szCs w:val="20"/>
              </w:rPr>
            </w:pPr>
          </w:p>
        </w:tc>
        <w:tc>
          <w:tcPr>
            <w:tcW w:w="1180" w:type="pct"/>
            <w:shd w:val="clear" w:color="auto" w:fill="auto"/>
          </w:tcPr>
          <w:p w14:paraId="4116CCCE" w14:textId="5ABCC4CE" w:rsidR="00322AEE" w:rsidRPr="008C7F14" w:rsidRDefault="00322AEE" w:rsidP="00322AEE">
            <w:pPr>
              <w:pStyle w:val="naisc"/>
              <w:spacing w:before="0" w:after="0"/>
              <w:jc w:val="both"/>
              <w:rPr>
                <w:color w:val="000000" w:themeColor="text1"/>
              </w:rPr>
            </w:pPr>
          </w:p>
        </w:tc>
        <w:tc>
          <w:tcPr>
            <w:tcW w:w="1250" w:type="pct"/>
            <w:shd w:val="clear" w:color="auto" w:fill="auto"/>
          </w:tcPr>
          <w:p w14:paraId="22BBDFEB" w14:textId="77777777" w:rsidR="00322AEE" w:rsidRPr="001E5BBA" w:rsidRDefault="00322AEE" w:rsidP="002B0447">
            <w:pPr>
              <w:spacing w:after="0"/>
              <w:contextualSpacing/>
              <w:jc w:val="both"/>
              <w:rPr>
                <w:color w:val="000000" w:themeColor="text1"/>
                <w:sz w:val="20"/>
                <w:szCs w:val="20"/>
              </w:rPr>
            </w:pPr>
          </w:p>
        </w:tc>
        <w:tc>
          <w:tcPr>
            <w:tcW w:w="1179" w:type="pct"/>
            <w:shd w:val="clear" w:color="auto" w:fill="auto"/>
          </w:tcPr>
          <w:p w14:paraId="1C89EF20" w14:textId="6BA76EB1" w:rsidR="008C7F14" w:rsidRPr="001E5BBA" w:rsidRDefault="008C7F14" w:rsidP="00322AEE">
            <w:pPr>
              <w:spacing w:after="0"/>
              <w:jc w:val="both"/>
              <w:rPr>
                <w:color w:val="000000" w:themeColor="text1"/>
                <w:sz w:val="20"/>
                <w:szCs w:val="20"/>
              </w:rPr>
            </w:pPr>
          </w:p>
        </w:tc>
        <w:tc>
          <w:tcPr>
            <w:tcW w:w="1191" w:type="pct"/>
            <w:shd w:val="clear" w:color="auto" w:fill="auto"/>
          </w:tcPr>
          <w:p w14:paraId="72A74D4D" w14:textId="210AAE3F" w:rsidR="00322AEE" w:rsidRPr="008C7F14" w:rsidRDefault="00322AEE" w:rsidP="00322AEE">
            <w:pPr>
              <w:jc w:val="both"/>
              <w:rPr>
                <w:color w:val="000000" w:themeColor="text1"/>
              </w:rPr>
            </w:pPr>
          </w:p>
        </w:tc>
      </w:tr>
    </w:tbl>
    <w:p w14:paraId="686F52D4" w14:textId="308ADFA7" w:rsidR="000647E4" w:rsidRDefault="000647E4" w:rsidP="00F0149F">
      <w:pPr>
        <w:pStyle w:val="naisf"/>
        <w:spacing w:before="0" w:after="0"/>
        <w:ind w:firstLine="0"/>
        <w:rPr>
          <w:color w:val="000000" w:themeColor="text1"/>
        </w:rPr>
      </w:pPr>
    </w:p>
    <w:p w14:paraId="5AB2C9BB" w14:textId="17F1F064" w:rsidR="002915ED" w:rsidRDefault="002915ED" w:rsidP="00F0149F">
      <w:pPr>
        <w:pStyle w:val="naisf"/>
        <w:spacing w:before="0" w:after="0"/>
        <w:ind w:firstLine="0"/>
        <w:rPr>
          <w:color w:val="000000" w:themeColor="text1"/>
        </w:rPr>
      </w:pPr>
    </w:p>
    <w:p w14:paraId="379FDD8F" w14:textId="0B037764" w:rsidR="002915ED" w:rsidRDefault="002915ED" w:rsidP="00F0149F">
      <w:pPr>
        <w:pStyle w:val="naisf"/>
        <w:spacing w:before="0" w:after="0"/>
        <w:ind w:firstLine="0"/>
        <w:rPr>
          <w:color w:val="000000" w:themeColor="text1"/>
        </w:rPr>
      </w:pPr>
    </w:p>
    <w:p w14:paraId="46CCAACF" w14:textId="77777777" w:rsidR="002915ED" w:rsidRPr="00115AE3" w:rsidRDefault="002915ED" w:rsidP="00F0149F">
      <w:pPr>
        <w:pStyle w:val="naisf"/>
        <w:spacing w:before="0" w:after="0"/>
        <w:ind w:firstLine="0"/>
        <w:rPr>
          <w:color w:val="000000" w:themeColor="text1"/>
        </w:rPr>
      </w:pPr>
    </w:p>
    <w:p w14:paraId="77218738" w14:textId="77777777" w:rsidR="00B31052" w:rsidRPr="001E5BBA" w:rsidRDefault="00B31052" w:rsidP="00B31052">
      <w:pPr>
        <w:pStyle w:val="naisf"/>
        <w:spacing w:before="0" w:after="0"/>
        <w:ind w:firstLine="0"/>
        <w:rPr>
          <w:b/>
          <w:color w:val="000000" w:themeColor="text1"/>
        </w:rPr>
      </w:pPr>
      <w:r w:rsidRPr="001E5BBA">
        <w:rPr>
          <w:b/>
          <w:color w:val="000000" w:themeColor="text1"/>
        </w:rPr>
        <w:t xml:space="preserve">Informācija par starpministriju (starpinstitūciju) sanāksmi vai </w:t>
      </w:r>
      <w:r w:rsidRPr="00F92857">
        <w:rPr>
          <w:b/>
          <w:color w:val="000000" w:themeColor="text1"/>
          <w:u w:val="single"/>
        </w:rPr>
        <w:t>elektronisko saskaņošanu</w:t>
      </w:r>
    </w:p>
    <w:p w14:paraId="5C4D626F" w14:textId="77777777" w:rsidR="00B31052" w:rsidRPr="001E5BBA" w:rsidRDefault="00B31052" w:rsidP="00B31052">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001E5BBA" w:rsidRPr="001E5BBA" w14:paraId="620EF5D9" w14:textId="77777777" w:rsidTr="00EE5F1C">
        <w:trPr>
          <w:gridAfter w:val="1"/>
          <w:wAfter w:w="236" w:type="dxa"/>
        </w:trPr>
        <w:tc>
          <w:tcPr>
            <w:tcW w:w="6016" w:type="dxa"/>
          </w:tcPr>
          <w:p w14:paraId="1FC6162A" w14:textId="77777777" w:rsidR="00B31052" w:rsidRPr="001E5BBA" w:rsidRDefault="00B31052" w:rsidP="006A551B">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sz="4" w:space="0" w:color="auto"/>
            </w:tcBorders>
          </w:tcPr>
          <w:p w14:paraId="50A74F15" w14:textId="2466F58A" w:rsidR="008A3801" w:rsidRDefault="00F0149F" w:rsidP="00F0149F">
            <w:pPr>
              <w:pStyle w:val="NormalWeb"/>
              <w:spacing w:before="0" w:beforeAutospacing="0" w:after="0" w:afterAutospacing="0"/>
              <w:rPr>
                <w:color w:val="000000" w:themeColor="text1"/>
              </w:rPr>
            </w:pPr>
            <w:r>
              <w:rPr>
                <w:color w:val="000000" w:themeColor="text1"/>
              </w:rPr>
              <w:t>(</w:t>
            </w:r>
            <w:r w:rsidR="00F00D7B">
              <w:rPr>
                <w:color w:val="000000" w:themeColor="text1"/>
              </w:rPr>
              <w:t>2</w:t>
            </w:r>
            <w:r w:rsidR="00B7206C">
              <w:rPr>
                <w:color w:val="000000" w:themeColor="text1"/>
              </w:rPr>
              <w:t>8</w:t>
            </w:r>
            <w:r w:rsidR="00F00D7B">
              <w:rPr>
                <w:color w:val="000000" w:themeColor="text1"/>
              </w:rPr>
              <w:t>.1</w:t>
            </w:r>
            <w:r w:rsidR="00322AEE">
              <w:rPr>
                <w:color w:val="000000" w:themeColor="text1"/>
              </w:rPr>
              <w:t>1</w:t>
            </w:r>
            <w:r w:rsidR="00F00D7B">
              <w:rPr>
                <w:color w:val="000000" w:themeColor="text1"/>
              </w:rPr>
              <w:t>.2019-</w:t>
            </w:r>
            <w:r w:rsidR="00322AEE">
              <w:rPr>
                <w:color w:val="000000" w:themeColor="text1"/>
              </w:rPr>
              <w:t>0</w:t>
            </w:r>
            <w:r w:rsidR="00B7206C">
              <w:rPr>
                <w:color w:val="000000" w:themeColor="text1"/>
              </w:rPr>
              <w:t>3</w:t>
            </w:r>
            <w:r w:rsidR="00F00D7B">
              <w:rPr>
                <w:color w:val="000000" w:themeColor="text1"/>
              </w:rPr>
              <w:t>.1</w:t>
            </w:r>
            <w:r w:rsidR="00322AEE">
              <w:rPr>
                <w:color w:val="000000" w:themeColor="text1"/>
              </w:rPr>
              <w:t>2</w:t>
            </w:r>
            <w:r w:rsidR="00F00D7B">
              <w:rPr>
                <w:color w:val="000000" w:themeColor="text1"/>
              </w:rPr>
              <w:t>.2019</w:t>
            </w:r>
            <w:r>
              <w:rPr>
                <w:color w:val="000000" w:themeColor="text1"/>
              </w:rPr>
              <w:t xml:space="preserve">) </w:t>
            </w:r>
            <w:r w:rsidR="00926C9C">
              <w:rPr>
                <w:color w:val="000000" w:themeColor="text1"/>
              </w:rPr>
              <w:t>E</w:t>
            </w:r>
            <w:r w:rsidR="008A3801" w:rsidRPr="001E5BBA">
              <w:rPr>
                <w:color w:val="000000" w:themeColor="text1"/>
              </w:rPr>
              <w:t>lektroniskā starpministriju</w:t>
            </w:r>
            <w:r w:rsidR="00926C9C">
              <w:rPr>
                <w:color w:val="000000" w:themeColor="text1"/>
              </w:rPr>
              <w:t>/starpinstitūciju</w:t>
            </w:r>
            <w:r w:rsidR="008A3801" w:rsidRPr="001E5BBA">
              <w:rPr>
                <w:color w:val="000000" w:themeColor="text1"/>
              </w:rPr>
              <w:t xml:space="preserve"> saskaņošana</w:t>
            </w:r>
          </w:p>
          <w:p w14:paraId="0D4D1AEF" w14:textId="4BA19E26" w:rsidR="00256A55" w:rsidRPr="001E5BBA" w:rsidRDefault="00256A55" w:rsidP="00170024">
            <w:pPr>
              <w:pStyle w:val="NormalWeb"/>
              <w:spacing w:before="0" w:beforeAutospacing="0" w:after="0" w:afterAutospacing="0"/>
              <w:jc w:val="both"/>
              <w:rPr>
                <w:color w:val="000000" w:themeColor="text1"/>
              </w:rPr>
            </w:pPr>
          </w:p>
        </w:tc>
      </w:tr>
      <w:tr w:rsidR="001E5BBA" w:rsidRPr="001E5BBA" w14:paraId="7A9151F6" w14:textId="77777777" w:rsidTr="00EE5F1C">
        <w:trPr>
          <w:gridAfter w:val="1"/>
          <w:wAfter w:w="236" w:type="dxa"/>
        </w:trPr>
        <w:tc>
          <w:tcPr>
            <w:tcW w:w="6016" w:type="dxa"/>
          </w:tcPr>
          <w:p w14:paraId="72FA7A6B" w14:textId="42B3E55B" w:rsidR="00B31052" w:rsidRPr="001E5BBA" w:rsidRDefault="00B31052" w:rsidP="006A551B">
            <w:pPr>
              <w:pStyle w:val="naisf"/>
              <w:spacing w:before="0" w:after="0"/>
              <w:ind w:firstLine="0"/>
              <w:rPr>
                <w:color w:val="000000" w:themeColor="text1"/>
              </w:rPr>
            </w:pPr>
          </w:p>
        </w:tc>
        <w:tc>
          <w:tcPr>
            <w:tcW w:w="6802" w:type="dxa"/>
            <w:gridSpan w:val="3"/>
            <w:tcBorders>
              <w:top w:val="single" w:sz="4" w:space="0" w:color="auto"/>
            </w:tcBorders>
          </w:tcPr>
          <w:p w14:paraId="0E374CFE" w14:textId="77777777" w:rsidR="00B31052" w:rsidRPr="001E5BBA" w:rsidRDefault="00B31052" w:rsidP="006A551B">
            <w:pPr>
              <w:pStyle w:val="NormalWeb"/>
              <w:spacing w:before="0" w:beforeAutospacing="0" w:after="0" w:afterAutospacing="0"/>
              <w:ind w:firstLine="720"/>
              <w:rPr>
                <w:color w:val="000000" w:themeColor="text1"/>
              </w:rPr>
            </w:pPr>
          </w:p>
        </w:tc>
      </w:tr>
      <w:tr w:rsidR="001E5BBA" w:rsidRPr="001E5BBA" w14:paraId="5A3E34C8" w14:textId="77777777" w:rsidTr="00EE5F1C">
        <w:trPr>
          <w:gridAfter w:val="1"/>
          <w:wAfter w:w="236" w:type="dxa"/>
        </w:trPr>
        <w:tc>
          <w:tcPr>
            <w:tcW w:w="6016" w:type="dxa"/>
          </w:tcPr>
          <w:p w14:paraId="34023238" w14:textId="77777777" w:rsidR="00B31052" w:rsidRPr="001E5BBA" w:rsidRDefault="00B31052" w:rsidP="006A551B">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sz="4" w:space="0" w:color="auto"/>
            </w:tcBorders>
          </w:tcPr>
          <w:p w14:paraId="403BEBAA" w14:textId="3CFE569E" w:rsidR="003F00F2" w:rsidRPr="008B060E" w:rsidRDefault="00ED2E7B" w:rsidP="003F00F2">
            <w:pPr>
              <w:pStyle w:val="NormalWeb"/>
              <w:ind w:right="175"/>
              <w:jc w:val="both"/>
              <w:rPr>
                <w:color w:val="000000" w:themeColor="text1"/>
              </w:rPr>
            </w:pPr>
            <w:r w:rsidRPr="008B060E">
              <w:rPr>
                <w:color w:val="000000" w:themeColor="text1"/>
              </w:rPr>
              <w:t>Tieslietu ministrija, Finanšu ministrija</w:t>
            </w:r>
          </w:p>
          <w:p w14:paraId="534D5EE4" w14:textId="587FC143" w:rsidR="002C0CBF" w:rsidRPr="008B060E" w:rsidRDefault="002C0CBF" w:rsidP="00F0149F">
            <w:pPr>
              <w:pStyle w:val="NormalWeb"/>
              <w:ind w:right="175"/>
              <w:jc w:val="both"/>
              <w:rPr>
                <w:color w:val="000000" w:themeColor="text1"/>
              </w:rPr>
            </w:pPr>
          </w:p>
        </w:tc>
      </w:tr>
      <w:tr w:rsidR="001E5BBA" w:rsidRPr="001E5BBA" w14:paraId="01F1841F" w14:textId="77777777" w:rsidTr="00EE5F1C">
        <w:trPr>
          <w:gridAfter w:val="1"/>
          <w:wAfter w:w="236" w:type="dxa"/>
          <w:trHeight w:val="285"/>
        </w:trPr>
        <w:tc>
          <w:tcPr>
            <w:tcW w:w="6016" w:type="dxa"/>
          </w:tcPr>
          <w:p w14:paraId="1F7BC256" w14:textId="77777777" w:rsidR="00B31052" w:rsidRPr="001E5BBA" w:rsidRDefault="00B31052" w:rsidP="006A551B">
            <w:pPr>
              <w:pStyle w:val="naiskr"/>
              <w:spacing w:before="0" w:after="0"/>
              <w:rPr>
                <w:color w:val="000000" w:themeColor="text1"/>
              </w:rPr>
            </w:pPr>
          </w:p>
        </w:tc>
        <w:tc>
          <w:tcPr>
            <w:tcW w:w="1862" w:type="dxa"/>
            <w:gridSpan w:val="2"/>
            <w:tcBorders>
              <w:top w:val="single" w:sz="4" w:space="0" w:color="auto"/>
            </w:tcBorders>
          </w:tcPr>
          <w:p w14:paraId="69DB235F" w14:textId="77777777" w:rsidR="00B31052" w:rsidRPr="008B060E" w:rsidRDefault="00B31052" w:rsidP="006A551B">
            <w:pPr>
              <w:pStyle w:val="naiskr"/>
              <w:spacing w:before="0" w:after="0"/>
              <w:ind w:firstLine="720"/>
              <w:rPr>
                <w:color w:val="000000" w:themeColor="text1"/>
              </w:rPr>
            </w:pPr>
          </w:p>
        </w:tc>
        <w:tc>
          <w:tcPr>
            <w:tcW w:w="4940" w:type="dxa"/>
            <w:tcBorders>
              <w:top w:val="single" w:sz="4" w:space="0" w:color="auto"/>
            </w:tcBorders>
          </w:tcPr>
          <w:p w14:paraId="16E8F451" w14:textId="77777777" w:rsidR="00B31052" w:rsidRPr="008B060E" w:rsidRDefault="00B31052" w:rsidP="006A551B">
            <w:pPr>
              <w:pStyle w:val="naiskr"/>
              <w:spacing w:before="0" w:after="0"/>
              <w:ind w:firstLine="12"/>
              <w:rPr>
                <w:color w:val="000000" w:themeColor="text1"/>
              </w:rPr>
            </w:pPr>
          </w:p>
        </w:tc>
      </w:tr>
      <w:tr w:rsidR="001E5BBA" w:rsidRPr="001E5BBA" w14:paraId="37C182C9" w14:textId="77777777" w:rsidTr="008B060E">
        <w:trPr>
          <w:trHeight w:val="285"/>
        </w:trPr>
        <w:tc>
          <w:tcPr>
            <w:tcW w:w="6355" w:type="dxa"/>
            <w:gridSpan w:val="2"/>
          </w:tcPr>
          <w:p w14:paraId="296651AF" w14:textId="77777777" w:rsidR="00B31052" w:rsidRPr="008B060E" w:rsidRDefault="00B31052" w:rsidP="006A551B">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sz="4" w:space="0" w:color="auto"/>
            </w:tcBorders>
            <w:shd w:val="clear" w:color="auto" w:fill="auto"/>
          </w:tcPr>
          <w:p w14:paraId="40BA8E18" w14:textId="366B869A" w:rsidR="003F00F2" w:rsidRPr="008B060E" w:rsidRDefault="003F00F2" w:rsidP="0091278F">
            <w:pPr>
              <w:pStyle w:val="naiskr"/>
              <w:spacing w:before="0" w:after="0"/>
              <w:rPr>
                <w:color w:val="000000" w:themeColor="text1"/>
              </w:rPr>
            </w:pPr>
            <w:r w:rsidRPr="008B060E">
              <w:rPr>
                <w:color w:val="000000" w:themeColor="text1"/>
              </w:rPr>
              <w:t>Finanšu ministrija</w:t>
            </w:r>
            <w:r w:rsidR="008B060E" w:rsidRPr="008B060E">
              <w:rPr>
                <w:color w:val="000000" w:themeColor="text1"/>
              </w:rPr>
              <w:t>, Tieslietu ministrija</w:t>
            </w:r>
          </w:p>
          <w:p w14:paraId="3DF8BA0E" w14:textId="248AA280" w:rsidR="00E56C3D" w:rsidRPr="008B060E" w:rsidRDefault="00E56C3D" w:rsidP="0091278F">
            <w:pPr>
              <w:pStyle w:val="naiskr"/>
              <w:spacing w:before="0" w:after="0"/>
              <w:rPr>
                <w:color w:val="000000" w:themeColor="text1"/>
              </w:rPr>
            </w:pPr>
          </w:p>
        </w:tc>
        <w:tc>
          <w:tcPr>
            <w:tcW w:w="236" w:type="dxa"/>
          </w:tcPr>
          <w:p w14:paraId="0A0688FA" w14:textId="77777777" w:rsidR="00B31052" w:rsidRPr="001E5BBA" w:rsidRDefault="00B31052" w:rsidP="006A551B">
            <w:pPr>
              <w:pStyle w:val="naiskr"/>
              <w:spacing w:before="0" w:after="0"/>
              <w:ind w:firstLine="12"/>
              <w:rPr>
                <w:color w:val="000000" w:themeColor="text1"/>
              </w:rPr>
            </w:pPr>
          </w:p>
        </w:tc>
      </w:tr>
      <w:tr w:rsidR="001E5BBA" w:rsidRPr="001E5BBA" w14:paraId="7D96E72D" w14:textId="77777777" w:rsidTr="00EE5F1C">
        <w:trPr>
          <w:gridAfter w:val="1"/>
          <w:wAfter w:w="236" w:type="dxa"/>
          <w:trHeight w:val="312"/>
        </w:trPr>
        <w:tc>
          <w:tcPr>
            <w:tcW w:w="12818" w:type="dxa"/>
            <w:gridSpan w:val="4"/>
          </w:tcPr>
          <w:p w14:paraId="15C33A0E" w14:textId="77777777" w:rsidR="00B31052" w:rsidRPr="001E5BBA" w:rsidRDefault="00B31052" w:rsidP="006A551B">
            <w:pPr>
              <w:pStyle w:val="naisc"/>
              <w:spacing w:before="0" w:after="0"/>
              <w:ind w:left="4820" w:firstLine="720"/>
              <w:rPr>
                <w:color w:val="000000" w:themeColor="text1"/>
              </w:rPr>
            </w:pPr>
          </w:p>
        </w:tc>
      </w:tr>
      <w:tr w:rsidR="00B31052" w:rsidRPr="001E5BBA" w14:paraId="4C961EC3" w14:textId="77777777" w:rsidTr="00EE5F1C">
        <w:trPr>
          <w:gridAfter w:val="1"/>
          <w:wAfter w:w="236" w:type="dxa"/>
        </w:trPr>
        <w:tc>
          <w:tcPr>
            <w:tcW w:w="6355" w:type="dxa"/>
            <w:gridSpan w:val="2"/>
          </w:tcPr>
          <w:p w14:paraId="212F9D1D" w14:textId="77777777" w:rsidR="00B31052" w:rsidRPr="001E5BBA" w:rsidRDefault="00B31052" w:rsidP="006A551B">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sz="4" w:space="0" w:color="auto"/>
            </w:tcBorders>
          </w:tcPr>
          <w:p w14:paraId="37855C29" w14:textId="77777777" w:rsidR="0091278F" w:rsidRPr="001E5BBA" w:rsidRDefault="0091278F" w:rsidP="0082666B">
            <w:pPr>
              <w:pStyle w:val="naiskr"/>
              <w:spacing w:before="0" w:after="0"/>
              <w:rPr>
                <w:color w:val="000000" w:themeColor="text1"/>
              </w:rPr>
            </w:pPr>
          </w:p>
          <w:p w14:paraId="5E931B95" w14:textId="241867DE" w:rsidR="00B31052" w:rsidRPr="001E5BBA" w:rsidRDefault="00B31052" w:rsidP="0082666B">
            <w:pPr>
              <w:pStyle w:val="naiskr"/>
              <w:spacing w:before="0" w:after="0"/>
              <w:rPr>
                <w:color w:val="000000" w:themeColor="text1"/>
              </w:rPr>
            </w:pPr>
          </w:p>
        </w:tc>
      </w:tr>
    </w:tbl>
    <w:p w14:paraId="3626ED71" w14:textId="77777777" w:rsidR="00B31052" w:rsidRPr="001E5BBA" w:rsidRDefault="00B31052" w:rsidP="00B31052">
      <w:pPr>
        <w:pStyle w:val="naisf"/>
        <w:spacing w:before="0" w:after="0"/>
        <w:ind w:firstLine="0"/>
        <w:jc w:val="center"/>
        <w:rPr>
          <w:b/>
          <w:color w:val="000000" w:themeColor="text1"/>
        </w:rPr>
      </w:pPr>
    </w:p>
    <w:p w14:paraId="07EB0896" w14:textId="5754BEA7" w:rsidR="00B31052" w:rsidRPr="001E5BBA" w:rsidRDefault="00B31052" w:rsidP="00B31052">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14:paraId="5EB5258D" w14:textId="77777777" w:rsidR="00B31052" w:rsidRPr="001E5BBA" w:rsidRDefault="00B31052" w:rsidP="00B31052">
      <w:pPr>
        <w:pStyle w:val="naisf"/>
        <w:spacing w:before="0" w:after="0"/>
        <w:ind w:firstLine="720"/>
        <w:rPr>
          <w:color w:val="000000" w:themeColor="text1"/>
        </w:rPr>
      </w:pPr>
    </w:p>
    <w:tbl>
      <w:tblPr>
        <w:tblpPr w:leftFromText="180" w:rightFromText="180" w:vertAnchor="text" w:tblpY="1"/>
        <w:tblOverlap w:val="neve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1"/>
        <w:gridCol w:w="2986"/>
        <w:gridCol w:w="1623"/>
        <w:gridCol w:w="2017"/>
        <w:gridCol w:w="3538"/>
        <w:gridCol w:w="3494"/>
        <w:gridCol w:w="365"/>
      </w:tblGrid>
      <w:tr w:rsidR="001E5BBA" w:rsidRPr="001E5BBA" w14:paraId="180FCD98" w14:textId="77777777" w:rsidTr="00B85D9F">
        <w:trPr>
          <w:gridAfter w:val="1"/>
          <w:wAfter w:w="125" w:type="pct"/>
        </w:trPr>
        <w:tc>
          <w:tcPr>
            <w:tcW w:w="196" w:type="pct"/>
            <w:shd w:val="clear" w:color="auto" w:fill="FFFFFF" w:themeFill="background1"/>
          </w:tcPr>
          <w:p w14:paraId="666E81DD" w14:textId="77777777" w:rsidR="00B31052" w:rsidRPr="001E5BBA" w:rsidRDefault="00B31052" w:rsidP="00686C79">
            <w:pPr>
              <w:pStyle w:val="naisc"/>
              <w:spacing w:before="0" w:after="0"/>
              <w:rPr>
                <w:color w:val="000000" w:themeColor="text1"/>
                <w:sz w:val="20"/>
                <w:szCs w:val="20"/>
              </w:rPr>
            </w:pPr>
            <w:r w:rsidRPr="001E5BBA">
              <w:rPr>
                <w:color w:val="000000" w:themeColor="text1"/>
                <w:sz w:val="20"/>
                <w:szCs w:val="20"/>
              </w:rPr>
              <w:t>Nr. p.k.</w:t>
            </w:r>
          </w:p>
        </w:tc>
        <w:tc>
          <w:tcPr>
            <w:tcW w:w="1023" w:type="pct"/>
            <w:shd w:val="clear" w:color="auto" w:fill="FFFFFF" w:themeFill="background1"/>
          </w:tcPr>
          <w:p w14:paraId="3878EDDA" w14:textId="77777777" w:rsidR="00B31052" w:rsidRPr="001E5BBA" w:rsidRDefault="00B31052" w:rsidP="00F26102">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47" w:type="pct"/>
            <w:gridSpan w:val="2"/>
            <w:shd w:val="clear" w:color="auto" w:fill="FFFFFF" w:themeFill="background1"/>
          </w:tcPr>
          <w:p w14:paraId="1249939F" w14:textId="77777777" w:rsidR="00B31052" w:rsidRPr="001E5BBA" w:rsidRDefault="00B31052" w:rsidP="00686C79">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12" w:type="pct"/>
            <w:shd w:val="clear" w:color="auto" w:fill="FFFFFF" w:themeFill="background1"/>
          </w:tcPr>
          <w:p w14:paraId="2BB102EB" w14:textId="77777777" w:rsidR="00B31052" w:rsidRPr="001E5BBA" w:rsidRDefault="00B31052" w:rsidP="00581E1B">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7" w:type="pct"/>
            <w:shd w:val="clear" w:color="auto" w:fill="FFFFFF" w:themeFill="background1"/>
          </w:tcPr>
          <w:p w14:paraId="40C9C823" w14:textId="77777777" w:rsidR="00B31052" w:rsidRPr="001E5BBA" w:rsidRDefault="00B31052" w:rsidP="00686C79">
            <w:pPr>
              <w:jc w:val="center"/>
              <w:rPr>
                <w:color w:val="000000" w:themeColor="text1"/>
                <w:sz w:val="20"/>
                <w:szCs w:val="20"/>
              </w:rPr>
            </w:pPr>
            <w:r w:rsidRPr="001E5BBA">
              <w:rPr>
                <w:color w:val="000000" w:themeColor="text1"/>
                <w:sz w:val="20"/>
                <w:szCs w:val="20"/>
              </w:rPr>
              <w:t>Projekta attiecīgā punkta (panta) galīgā redakcija</w:t>
            </w:r>
          </w:p>
        </w:tc>
      </w:tr>
      <w:tr w:rsidR="001E5BBA" w:rsidRPr="001E5BBA" w14:paraId="2BB0D0FD" w14:textId="77777777" w:rsidTr="00B85D9F">
        <w:trPr>
          <w:gridAfter w:val="1"/>
          <w:wAfter w:w="125" w:type="pct"/>
        </w:trPr>
        <w:tc>
          <w:tcPr>
            <w:tcW w:w="196" w:type="pct"/>
            <w:shd w:val="clear" w:color="auto" w:fill="FFFFFF" w:themeFill="background1"/>
          </w:tcPr>
          <w:p w14:paraId="314F02C2" w14:textId="77777777" w:rsidR="00B31052" w:rsidRPr="001E5BBA" w:rsidRDefault="00B31052" w:rsidP="00686C79">
            <w:pPr>
              <w:pStyle w:val="naisc"/>
              <w:spacing w:before="0" w:after="0"/>
              <w:rPr>
                <w:color w:val="000000" w:themeColor="text1"/>
                <w:sz w:val="20"/>
                <w:szCs w:val="20"/>
              </w:rPr>
            </w:pPr>
            <w:r w:rsidRPr="001E5BBA">
              <w:rPr>
                <w:color w:val="000000" w:themeColor="text1"/>
                <w:sz w:val="20"/>
                <w:szCs w:val="20"/>
              </w:rPr>
              <w:t>1</w:t>
            </w:r>
          </w:p>
        </w:tc>
        <w:tc>
          <w:tcPr>
            <w:tcW w:w="1023" w:type="pct"/>
            <w:shd w:val="clear" w:color="auto" w:fill="FFFFFF" w:themeFill="background1"/>
          </w:tcPr>
          <w:p w14:paraId="3F298B57" w14:textId="77777777" w:rsidR="00B31052" w:rsidRPr="001E5BBA" w:rsidRDefault="00B31052" w:rsidP="00686C79">
            <w:pPr>
              <w:pStyle w:val="naisc"/>
              <w:spacing w:before="0" w:after="0"/>
              <w:rPr>
                <w:color w:val="000000" w:themeColor="text1"/>
                <w:sz w:val="20"/>
                <w:szCs w:val="20"/>
              </w:rPr>
            </w:pPr>
            <w:r w:rsidRPr="001E5BBA">
              <w:rPr>
                <w:color w:val="000000" w:themeColor="text1"/>
                <w:sz w:val="20"/>
                <w:szCs w:val="20"/>
              </w:rPr>
              <w:t>2</w:t>
            </w:r>
          </w:p>
        </w:tc>
        <w:tc>
          <w:tcPr>
            <w:tcW w:w="1247" w:type="pct"/>
            <w:gridSpan w:val="2"/>
            <w:shd w:val="clear" w:color="auto" w:fill="FFFFFF" w:themeFill="background1"/>
          </w:tcPr>
          <w:p w14:paraId="37D371A8" w14:textId="77777777" w:rsidR="00B31052" w:rsidRPr="001E5BBA" w:rsidRDefault="00B31052" w:rsidP="00686C79">
            <w:pPr>
              <w:pStyle w:val="naisc"/>
              <w:spacing w:before="0" w:after="0"/>
              <w:rPr>
                <w:color w:val="000000" w:themeColor="text1"/>
                <w:sz w:val="20"/>
                <w:szCs w:val="20"/>
              </w:rPr>
            </w:pPr>
            <w:r w:rsidRPr="001E5BBA">
              <w:rPr>
                <w:color w:val="000000" w:themeColor="text1"/>
                <w:sz w:val="20"/>
                <w:szCs w:val="20"/>
              </w:rPr>
              <w:t>3</w:t>
            </w:r>
          </w:p>
        </w:tc>
        <w:tc>
          <w:tcPr>
            <w:tcW w:w="1212" w:type="pct"/>
            <w:shd w:val="clear" w:color="auto" w:fill="FFFFFF" w:themeFill="background1"/>
          </w:tcPr>
          <w:p w14:paraId="45BC06D5" w14:textId="77777777" w:rsidR="00B31052" w:rsidRPr="001E5BBA" w:rsidRDefault="00B31052" w:rsidP="00A93D50">
            <w:pPr>
              <w:pStyle w:val="naisc"/>
              <w:spacing w:before="0" w:after="0"/>
              <w:rPr>
                <w:color w:val="000000" w:themeColor="text1"/>
                <w:sz w:val="20"/>
                <w:szCs w:val="20"/>
              </w:rPr>
            </w:pPr>
            <w:r w:rsidRPr="001E5BBA">
              <w:rPr>
                <w:color w:val="000000" w:themeColor="text1"/>
                <w:sz w:val="20"/>
                <w:szCs w:val="20"/>
              </w:rPr>
              <w:t>4</w:t>
            </w:r>
          </w:p>
        </w:tc>
        <w:tc>
          <w:tcPr>
            <w:tcW w:w="1197" w:type="pct"/>
            <w:shd w:val="clear" w:color="auto" w:fill="FFFFFF" w:themeFill="background1"/>
          </w:tcPr>
          <w:p w14:paraId="595EFA2F" w14:textId="77777777" w:rsidR="00B31052" w:rsidRPr="001E5BBA" w:rsidRDefault="00B31052" w:rsidP="00686C79">
            <w:pPr>
              <w:jc w:val="center"/>
              <w:rPr>
                <w:color w:val="000000" w:themeColor="text1"/>
                <w:sz w:val="20"/>
                <w:szCs w:val="20"/>
              </w:rPr>
            </w:pPr>
            <w:r w:rsidRPr="001E5BBA">
              <w:rPr>
                <w:color w:val="000000" w:themeColor="text1"/>
                <w:sz w:val="20"/>
                <w:szCs w:val="20"/>
              </w:rPr>
              <w:t>5</w:t>
            </w:r>
          </w:p>
        </w:tc>
      </w:tr>
      <w:tr w:rsidR="003470D2" w:rsidRPr="001E5BBA" w14:paraId="03B9C3BE" w14:textId="77777777" w:rsidTr="003470D2">
        <w:trPr>
          <w:gridAfter w:val="1"/>
          <w:wAfter w:w="125" w:type="pct"/>
        </w:trPr>
        <w:tc>
          <w:tcPr>
            <w:tcW w:w="196" w:type="pct"/>
            <w:shd w:val="clear" w:color="auto" w:fill="auto"/>
          </w:tcPr>
          <w:p w14:paraId="512BD445" w14:textId="77777777" w:rsidR="003470D2" w:rsidRPr="00115AE3" w:rsidRDefault="003470D2" w:rsidP="00322AEE">
            <w:pPr>
              <w:pStyle w:val="naisc"/>
              <w:spacing w:before="0" w:after="0"/>
            </w:pPr>
          </w:p>
        </w:tc>
        <w:tc>
          <w:tcPr>
            <w:tcW w:w="4679" w:type="pct"/>
            <w:gridSpan w:val="5"/>
            <w:shd w:val="clear" w:color="auto" w:fill="auto"/>
          </w:tcPr>
          <w:p w14:paraId="2BE4CDD9" w14:textId="245F2F22" w:rsidR="003470D2" w:rsidRPr="003470D2" w:rsidRDefault="007E7DDE" w:rsidP="00322AEE">
            <w:pPr>
              <w:spacing w:before="120" w:after="120"/>
              <w:rPr>
                <w:b/>
                <w:bCs/>
              </w:rPr>
            </w:pPr>
            <w:r>
              <w:rPr>
                <w:b/>
                <w:bCs/>
              </w:rPr>
              <w:t>Tieslietu</w:t>
            </w:r>
            <w:r w:rsidR="004E7321">
              <w:rPr>
                <w:b/>
                <w:bCs/>
              </w:rPr>
              <w:t xml:space="preserve"> </w:t>
            </w:r>
            <w:r w:rsidR="003470D2" w:rsidRPr="003470D2">
              <w:rPr>
                <w:b/>
                <w:bCs/>
              </w:rPr>
              <w:t>ministrija</w:t>
            </w:r>
          </w:p>
        </w:tc>
      </w:tr>
      <w:tr w:rsidR="002B0447" w:rsidRPr="001E5BBA" w14:paraId="548F64D7" w14:textId="77777777" w:rsidTr="00DB0287">
        <w:trPr>
          <w:gridAfter w:val="1"/>
          <w:wAfter w:w="125" w:type="pct"/>
        </w:trPr>
        <w:tc>
          <w:tcPr>
            <w:tcW w:w="196" w:type="pct"/>
            <w:shd w:val="clear" w:color="auto" w:fill="auto"/>
          </w:tcPr>
          <w:p w14:paraId="63BAA2AC" w14:textId="67415E3B" w:rsidR="002B0447" w:rsidRPr="00115AE3" w:rsidRDefault="002B0447" w:rsidP="00322AEE">
            <w:pPr>
              <w:pStyle w:val="naisc"/>
              <w:spacing w:before="0" w:after="0"/>
            </w:pPr>
            <w:r>
              <w:t>1.</w:t>
            </w:r>
          </w:p>
        </w:tc>
        <w:tc>
          <w:tcPr>
            <w:tcW w:w="1023" w:type="pct"/>
            <w:shd w:val="clear" w:color="auto" w:fill="auto"/>
          </w:tcPr>
          <w:p w14:paraId="09FF7BD3" w14:textId="0EF621FA" w:rsidR="002B0447" w:rsidRDefault="002B0447" w:rsidP="00322AEE">
            <w:pPr>
              <w:pStyle w:val="naisc"/>
              <w:spacing w:before="0" w:after="0"/>
              <w:jc w:val="left"/>
              <w:rPr>
                <w:bCs/>
                <w:color w:val="000000" w:themeColor="text1"/>
              </w:rPr>
            </w:pPr>
            <w:r w:rsidRPr="002B0447">
              <w:rPr>
                <w:bCs/>
                <w:color w:val="000000" w:themeColor="text1"/>
              </w:rPr>
              <w:t>Par likumprojekta 1. un 2.pantā lietotā termina “Atkarīgās kapitālsabiedrības” svītrošanu no likumprojekta</w:t>
            </w:r>
            <w:r w:rsidR="00EE7B72">
              <w:rPr>
                <w:bCs/>
                <w:color w:val="000000" w:themeColor="text1"/>
              </w:rPr>
              <w:t>.</w:t>
            </w:r>
          </w:p>
        </w:tc>
        <w:tc>
          <w:tcPr>
            <w:tcW w:w="1247" w:type="pct"/>
            <w:gridSpan w:val="2"/>
            <w:shd w:val="clear" w:color="auto" w:fill="auto"/>
          </w:tcPr>
          <w:p w14:paraId="293E113D" w14:textId="75AD4548" w:rsidR="002B0447" w:rsidRPr="00A57F62" w:rsidRDefault="002B0447" w:rsidP="00322AEE">
            <w:pPr>
              <w:pStyle w:val="naisc"/>
              <w:spacing w:before="0" w:after="0"/>
              <w:jc w:val="both"/>
              <w:rPr>
                <w:bCs/>
                <w:color w:val="000000" w:themeColor="text1"/>
              </w:rPr>
            </w:pPr>
            <w:r w:rsidRPr="002B0447">
              <w:rPr>
                <w:bCs/>
                <w:color w:val="000000" w:themeColor="text1"/>
              </w:rPr>
              <w:t xml:space="preserve">Lūdzam izvērtēt Likumprojekta 1. un 2. pantā iekļauto terminu “atkarīgās sabiedrības” un “meitas sabiedrības” lietojumu. Norādām, ka meitas sabiedrība saskaņā ar Publiskas personas kapitāla daļu un kapitālsabiedrības pārvaldības likuma 1. panta pirmās daļas 7. punktu ir kapitālsabiedrība, kurā publiskas personas kapitālsabiedrība vai publiski privātā kapitālsabiedrība ir ieguvusi tiešu izšķirošo ietekmi uz </w:t>
            </w:r>
            <w:r w:rsidRPr="002B0447">
              <w:rPr>
                <w:bCs/>
                <w:color w:val="000000" w:themeColor="text1"/>
              </w:rPr>
              <w:lastRenderedPageBreak/>
              <w:t>līdzdalības pamata Koncernu likuma izpratnē. Savukārt saskaņā ar šā likuma 8. panta pirmo daļu, ja publiskas personas kapitālsabiedrība iegūst visas kapitāla daļas vai balsstiesīgās akcijas citā kapitālsabiedrībā, tā ir atkarīgā kapitālsabiedrība. Norādām, ka termins “meitas sabiedrības” aptver plašāku subjektu loku, kā arī jau ietver atkarīgās sabiedrības, proti, publiskas personas kapitālsabiedrībai, iegūstot visas kapitāldaļas citā kapitālsabiedrībā, rodas tieša ietekme pār šo kapitālsabiedrību (atkarīgo kapitālsabiedrību). Ņemot vērā minēto, Tieslietu ministrijas ieskatā termins “atkarīgās sabiedrības” ir svītrojams no minētajām Likumprojekta normām.</w:t>
            </w:r>
          </w:p>
        </w:tc>
        <w:tc>
          <w:tcPr>
            <w:tcW w:w="1212" w:type="pct"/>
            <w:shd w:val="clear" w:color="auto" w:fill="auto"/>
          </w:tcPr>
          <w:p w14:paraId="68259AA7" w14:textId="77777777" w:rsidR="002B0447" w:rsidRPr="002B0447" w:rsidRDefault="002B0447" w:rsidP="002B0447">
            <w:pPr>
              <w:pStyle w:val="naisc"/>
              <w:spacing w:after="0"/>
              <w:jc w:val="both"/>
              <w:rPr>
                <w:color w:val="000000" w:themeColor="text1"/>
              </w:rPr>
            </w:pPr>
            <w:r w:rsidRPr="002B0447">
              <w:rPr>
                <w:color w:val="000000" w:themeColor="text1"/>
              </w:rPr>
              <w:lastRenderedPageBreak/>
              <w:t xml:space="preserve">Iebildums daļēji ņemts vērā. </w:t>
            </w:r>
          </w:p>
          <w:p w14:paraId="05AADC54" w14:textId="25FD20C5" w:rsidR="002B0447" w:rsidRPr="002B0447" w:rsidRDefault="002B0447" w:rsidP="002B0447">
            <w:pPr>
              <w:pStyle w:val="naisc"/>
              <w:spacing w:after="0"/>
              <w:jc w:val="both"/>
              <w:rPr>
                <w:color w:val="000000" w:themeColor="text1"/>
              </w:rPr>
            </w:pPr>
            <w:r w:rsidRPr="002B0447">
              <w:rPr>
                <w:color w:val="000000" w:themeColor="text1"/>
              </w:rPr>
              <w:t xml:space="preserve">Precizēta projekta 1. un 2.panta redakcija, lai uzsvērtu, ka </w:t>
            </w:r>
            <w:r w:rsidR="00EE7B72">
              <w:rPr>
                <w:color w:val="000000" w:themeColor="text1"/>
              </w:rPr>
              <w:t>likumprojekts skar</w:t>
            </w:r>
            <w:proofErr w:type="gramStart"/>
            <w:r w:rsidR="00EE7B72">
              <w:rPr>
                <w:color w:val="000000" w:themeColor="text1"/>
              </w:rPr>
              <w:t xml:space="preserve">  </w:t>
            </w:r>
            <w:proofErr w:type="gramEnd"/>
            <w:r w:rsidR="00EE7B72">
              <w:rPr>
                <w:color w:val="000000" w:themeColor="text1"/>
              </w:rPr>
              <w:t xml:space="preserve">tikai valsts kapitālsabiedrību </w:t>
            </w:r>
            <w:r w:rsidRPr="002B0447">
              <w:rPr>
                <w:color w:val="000000" w:themeColor="text1"/>
              </w:rPr>
              <w:t>atkarīgās kapitālsabiedrīb</w:t>
            </w:r>
            <w:r w:rsidR="00EE7B72">
              <w:rPr>
                <w:color w:val="000000" w:themeColor="text1"/>
              </w:rPr>
              <w:t>ā</w:t>
            </w:r>
            <w:r w:rsidRPr="002B0447">
              <w:rPr>
                <w:color w:val="000000" w:themeColor="text1"/>
              </w:rPr>
              <w:t>s</w:t>
            </w:r>
            <w:r w:rsidR="00EE7B72">
              <w:rPr>
                <w:color w:val="000000" w:themeColor="text1"/>
              </w:rPr>
              <w:t>,</w:t>
            </w:r>
            <w:r w:rsidRPr="002B0447">
              <w:rPr>
                <w:color w:val="000000" w:themeColor="text1"/>
              </w:rPr>
              <w:t xml:space="preserve"> savukārt meitas sabiedrības var būt gan publiski privātajām, gan publiskas personas kontrolētām kapitālsabiedrībām, kurās valsts ir dalībnieks (akcionārs). </w:t>
            </w:r>
          </w:p>
          <w:p w14:paraId="4D2824DB" w14:textId="75D6CDA7" w:rsidR="002B0447" w:rsidRPr="003470D2" w:rsidRDefault="002B0447" w:rsidP="002B0447">
            <w:pPr>
              <w:pStyle w:val="naisc"/>
              <w:spacing w:before="0" w:after="0"/>
              <w:jc w:val="both"/>
              <w:rPr>
                <w:color w:val="000000" w:themeColor="text1"/>
              </w:rPr>
            </w:pPr>
            <w:r w:rsidRPr="002B0447">
              <w:rPr>
                <w:color w:val="000000" w:themeColor="text1"/>
              </w:rPr>
              <w:t xml:space="preserve">Publiskas personas kapitāla daļu un kapitālsabiedrību pārvaldības </w:t>
            </w:r>
            <w:r w:rsidRPr="002B0447">
              <w:rPr>
                <w:color w:val="000000" w:themeColor="text1"/>
              </w:rPr>
              <w:lastRenderedPageBreak/>
              <w:t>likuma (turpmāk – Kapitālsabiedrību pārvaldības likums) 8.panta pirmajā daļā atkarīgajām kapitālsabiedrībām un 8.panta trešajā daļā meitas sabiedrībām ir noteikts atsevišķ</w:t>
            </w:r>
            <w:r w:rsidR="00EE7B72">
              <w:rPr>
                <w:color w:val="000000" w:themeColor="text1"/>
              </w:rPr>
              <w:t>s</w:t>
            </w:r>
            <w:r w:rsidRPr="002B0447">
              <w:rPr>
                <w:color w:val="000000" w:themeColor="text1"/>
              </w:rPr>
              <w:t xml:space="preserve"> tiesiskais regulējums, kas tieši saistīts ar to vai valstij netieši pieder 100% kapitāla daļu vai 50%+1</w:t>
            </w:r>
            <w:r w:rsidR="00D75FC9">
              <w:rPr>
                <w:color w:val="000000" w:themeColor="text1"/>
              </w:rPr>
              <w:t xml:space="preserve"> </w:t>
            </w:r>
            <w:r w:rsidRPr="002B0447">
              <w:rPr>
                <w:color w:val="000000" w:themeColor="text1"/>
              </w:rPr>
              <w:t>kapitāla daļu. Līdz ar to terminam “Atkarīgā kapitālsabiedrība” ir juridiska nozīme un tas saglabājams Kapitālsabiedrību pārvaldības likumā.</w:t>
            </w:r>
          </w:p>
        </w:tc>
        <w:tc>
          <w:tcPr>
            <w:tcW w:w="1197" w:type="pct"/>
            <w:shd w:val="clear" w:color="auto" w:fill="auto"/>
          </w:tcPr>
          <w:p w14:paraId="181ABB48" w14:textId="2B6506F7" w:rsidR="002B0447" w:rsidRPr="005B539F" w:rsidRDefault="002B0447" w:rsidP="005B539F">
            <w:pPr>
              <w:spacing w:before="120" w:after="120"/>
              <w:rPr>
                <w:color w:val="000000" w:themeColor="text1"/>
              </w:rPr>
            </w:pPr>
            <w:r w:rsidRPr="002B0447">
              <w:rPr>
                <w:color w:val="000000" w:themeColor="text1"/>
              </w:rPr>
              <w:lastRenderedPageBreak/>
              <w:t>Precizēta projekta 1. un 2.punkta redakcija. Skatīt projektu.</w:t>
            </w:r>
          </w:p>
        </w:tc>
      </w:tr>
      <w:tr w:rsidR="00322AEE" w:rsidRPr="001E5BBA" w14:paraId="070E7DF6" w14:textId="77777777" w:rsidTr="00DB0287">
        <w:trPr>
          <w:gridAfter w:val="1"/>
          <w:wAfter w:w="125" w:type="pct"/>
        </w:trPr>
        <w:tc>
          <w:tcPr>
            <w:tcW w:w="196" w:type="pct"/>
            <w:shd w:val="clear" w:color="auto" w:fill="auto"/>
          </w:tcPr>
          <w:p w14:paraId="5AD336A0" w14:textId="223C3B7D" w:rsidR="00322AEE" w:rsidRPr="001E5BBA" w:rsidRDefault="002B0447" w:rsidP="00322AEE">
            <w:pPr>
              <w:pStyle w:val="naisc"/>
              <w:spacing w:before="0" w:after="0"/>
              <w:rPr>
                <w:color w:val="000000" w:themeColor="text1"/>
                <w:sz w:val="20"/>
                <w:szCs w:val="20"/>
              </w:rPr>
            </w:pPr>
            <w:r>
              <w:lastRenderedPageBreak/>
              <w:t>2</w:t>
            </w:r>
            <w:r w:rsidR="00322AEE" w:rsidRPr="00115AE3">
              <w:t>.</w:t>
            </w:r>
          </w:p>
        </w:tc>
        <w:tc>
          <w:tcPr>
            <w:tcW w:w="1023" w:type="pct"/>
            <w:shd w:val="clear" w:color="auto" w:fill="auto"/>
          </w:tcPr>
          <w:p w14:paraId="73E36C44" w14:textId="52F31C8D" w:rsidR="00322AEE" w:rsidRPr="00A57F62" w:rsidRDefault="00A57F62" w:rsidP="00322AEE">
            <w:pPr>
              <w:pStyle w:val="naisc"/>
              <w:spacing w:before="0" w:after="0"/>
              <w:jc w:val="left"/>
              <w:rPr>
                <w:bCs/>
                <w:color w:val="000000" w:themeColor="text1"/>
              </w:rPr>
            </w:pPr>
            <w:r>
              <w:rPr>
                <w:bCs/>
                <w:color w:val="000000" w:themeColor="text1"/>
              </w:rPr>
              <w:t xml:space="preserve">Par likumprojekta papildināšanu ar </w:t>
            </w:r>
            <w:r w:rsidR="003B48E9">
              <w:rPr>
                <w:bCs/>
                <w:color w:val="000000" w:themeColor="text1"/>
              </w:rPr>
              <w:t>pārejas</w:t>
            </w:r>
            <w:r>
              <w:rPr>
                <w:bCs/>
                <w:color w:val="000000" w:themeColor="text1"/>
              </w:rPr>
              <w:t xml:space="preserve"> noteikumu.</w:t>
            </w:r>
          </w:p>
        </w:tc>
        <w:tc>
          <w:tcPr>
            <w:tcW w:w="1247" w:type="pct"/>
            <w:gridSpan w:val="2"/>
            <w:shd w:val="clear" w:color="auto" w:fill="auto"/>
          </w:tcPr>
          <w:p w14:paraId="76BD6C3A" w14:textId="44FE1270" w:rsidR="00322AEE" w:rsidRPr="00A57F62" w:rsidRDefault="00A57F62" w:rsidP="00322AEE">
            <w:pPr>
              <w:pStyle w:val="naisc"/>
              <w:spacing w:before="0" w:after="0"/>
              <w:jc w:val="both"/>
              <w:rPr>
                <w:bCs/>
                <w:color w:val="000000" w:themeColor="text1"/>
              </w:rPr>
            </w:pPr>
            <w:r w:rsidRPr="00A57F62">
              <w:rPr>
                <w:bCs/>
                <w:color w:val="000000" w:themeColor="text1"/>
              </w:rPr>
              <w:t xml:space="preserve">Papildus attiecībā uz Likumprojekta 2. pantā ietverto regulējumu norādām, ka ir apsverama pārejas noteikumu nepieciešamība, ņemot vērā, ka grozāmā norma satur pilnvarojumu, uz kura pamata izdoti Ministru kabineta 2015. gada </w:t>
            </w:r>
            <w:r w:rsidRPr="00A57F62">
              <w:rPr>
                <w:bCs/>
                <w:color w:val="000000" w:themeColor="text1"/>
              </w:rPr>
              <w:lastRenderedPageBreak/>
              <w:t>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 (turpmāk – Ministru kabineta noteikumi). Tieslietu ministrija vērš uzmanību, ka, stājoties spēkā Likumprojekta 2. pantā paredzētajam grozījumam, kas izsaka pilnvarojumu jaunā redakcijā, Ministru kabineta noteikumu regulējums attiecīgā daļā zaudēs spēku. Ņemot vērā minēto, aicinām papildināt Likumprojektu, paredzot likumā pārejas noteikumu, lai līdz jauna regulējuma izdošanai uz jaunā pilnvarojuma pamata paliek spēkā regulējums esošajos Ministru kabineta noteikumos.</w:t>
            </w:r>
          </w:p>
        </w:tc>
        <w:tc>
          <w:tcPr>
            <w:tcW w:w="1212" w:type="pct"/>
            <w:shd w:val="clear" w:color="auto" w:fill="auto"/>
          </w:tcPr>
          <w:p w14:paraId="6E51BEA4" w14:textId="77777777" w:rsidR="00322AEE" w:rsidRDefault="00322AEE" w:rsidP="00322AEE">
            <w:pPr>
              <w:pStyle w:val="naisc"/>
              <w:spacing w:before="0" w:after="0"/>
              <w:jc w:val="both"/>
              <w:rPr>
                <w:color w:val="000000" w:themeColor="text1"/>
              </w:rPr>
            </w:pPr>
            <w:r w:rsidRPr="003470D2">
              <w:rPr>
                <w:color w:val="000000" w:themeColor="text1"/>
              </w:rPr>
              <w:lastRenderedPageBreak/>
              <w:t>Iebildums ņemts vērā.</w:t>
            </w:r>
          </w:p>
          <w:p w14:paraId="5BEDF344" w14:textId="54D9EE68" w:rsidR="00EE7B72" w:rsidRPr="003470D2" w:rsidRDefault="00EE7B72" w:rsidP="00322AEE">
            <w:pPr>
              <w:pStyle w:val="naisc"/>
              <w:spacing w:before="0" w:after="0"/>
              <w:jc w:val="both"/>
              <w:rPr>
                <w:color w:val="000000" w:themeColor="text1"/>
              </w:rPr>
            </w:pPr>
            <w:r>
              <w:rPr>
                <w:color w:val="000000" w:themeColor="text1"/>
              </w:rPr>
              <w:t>Projekts papildināts ar pār</w:t>
            </w:r>
            <w:r w:rsidR="00D75FC9">
              <w:rPr>
                <w:color w:val="000000" w:themeColor="text1"/>
              </w:rPr>
              <w:t>e</w:t>
            </w:r>
            <w:r>
              <w:rPr>
                <w:color w:val="000000" w:themeColor="text1"/>
              </w:rPr>
              <w:t>jas noteikumu.</w:t>
            </w:r>
          </w:p>
        </w:tc>
        <w:tc>
          <w:tcPr>
            <w:tcW w:w="1197" w:type="pct"/>
            <w:shd w:val="clear" w:color="auto" w:fill="auto"/>
          </w:tcPr>
          <w:p w14:paraId="48D85309" w14:textId="36A04C05" w:rsidR="005B539F" w:rsidRPr="005B539F" w:rsidRDefault="005B539F" w:rsidP="005B539F">
            <w:pPr>
              <w:spacing w:before="120" w:after="120"/>
              <w:rPr>
                <w:color w:val="000000" w:themeColor="text1"/>
              </w:rPr>
            </w:pPr>
            <w:r w:rsidRPr="005B539F">
              <w:rPr>
                <w:color w:val="000000" w:themeColor="text1"/>
              </w:rPr>
              <w:t>Papildināt</w:t>
            </w:r>
            <w:r w:rsidR="00EE7B72">
              <w:rPr>
                <w:color w:val="000000" w:themeColor="text1"/>
              </w:rPr>
              <w:t>i</w:t>
            </w:r>
            <w:r w:rsidRPr="005B539F">
              <w:rPr>
                <w:color w:val="000000" w:themeColor="text1"/>
              </w:rPr>
              <w:t xml:space="preserve"> pārejas noteikumus ar 30.punktu šādā redakcijā:</w:t>
            </w:r>
          </w:p>
          <w:p w14:paraId="529A5DD4" w14:textId="35D0427E" w:rsidR="00322AEE" w:rsidRPr="003470D2" w:rsidRDefault="005B539F" w:rsidP="005B539F">
            <w:pPr>
              <w:spacing w:before="120" w:after="120"/>
              <w:rPr>
                <w:color w:val="000000" w:themeColor="text1"/>
              </w:rPr>
            </w:pPr>
            <w:r w:rsidRPr="005B539F">
              <w:rPr>
                <w:color w:val="000000" w:themeColor="text1"/>
              </w:rPr>
              <w:t>“30. Uz šā likuma 28.panta sestās daļas pamata izdotie</w:t>
            </w:r>
            <w:proofErr w:type="gramStart"/>
            <w:r w:rsidRPr="005B539F">
              <w:rPr>
                <w:color w:val="000000" w:themeColor="text1"/>
              </w:rPr>
              <w:t xml:space="preserve">  </w:t>
            </w:r>
            <w:proofErr w:type="gramEnd"/>
            <w:r w:rsidRPr="005B539F">
              <w:rPr>
                <w:color w:val="000000" w:themeColor="text1"/>
              </w:rPr>
              <w:t xml:space="preserve">Ministru kabineta noteikumi ir spēkā līdz brīdim, kad stājas spēkā jaunie uz šī </w:t>
            </w:r>
            <w:r w:rsidR="008E4968">
              <w:rPr>
                <w:color w:val="000000" w:themeColor="text1"/>
              </w:rPr>
              <w:t>panta pamata</w:t>
            </w:r>
            <w:r w:rsidRPr="005B539F">
              <w:rPr>
                <w:color w:val="000000" w:themeColor="text1"/>
              </w:rPr>
              <w:t xml:space="preserve"> izdotie Ministru </w:t>
            </w:r>
            <w:r w:rsidRPr="005B539F">
              <w:rPr>
                <w:color w:val="000000" w:themeColor="text1"/>
              </w:rPr>
              <w:lastRenderedPageBreak/>
              <w:t>kabineta noteikumi”.</w:t>
            </w:r>
          </w:p>
        </w:tc>
      </w:tr>
      <w:tr w:rsidR="004E691A" w:rsidRPr="001E5BBA" w14:paraId="6A85DA96" w14:textId="77777777" w:rsidTr="00DB0287">
        <w:trPr>
          <w:gridAfter w:val="1"/>
          <w:wAfter w:w="125" w:type="pct"/>
        </w:trPr>
        <w:tc>
          <w:tcPr>
            <w:tcW w:w="196" w:type="pct"/>
            <w:shd w:val="clear" w:color="auto" w:fill="auto"/>
          </w:tcPr>
          <w:p w14:paraId="05E8458D" w14:textId="02A986E2" w:rsidR="004E691A" w:rsidRPr="00115AE3" w:rsidRDefault="002B0447" w:rsidP="00322AEE">
            <w:pPr>
              <w:pStyle w:val="naisc"/>
              <w:spacing w:before="0" w:after="0"/>
            </w:pPr>
            <w:r>
              <w:lastRenderedPageBreak/>
              <w:t>3</w:t>
            </w:r>
            <w:r w:rsidR="003B48E9">
              <w:t>.</w:t>
            </w:r>
          </w:p>
        </w:tc>
        <w:tc>
          <w:tcPr>
            <w:tcW w:w="1023" w:type="pct"/>
            <w:shd w:val="clear" w:color="auto" w:fill="auto"/>
          </w:tcPr>
          <w:p w14:paraId="14066A2C" w14:textId="77777777" w:rsidR="009B205C" w:rsidRPr="009B205C" w:rsidRDefault="009B205C" w:rsidP="00DD1F27">
            <w:pPr>
              <w:pStyle w:val="naisc"/>
              <w:spacing w:after="0"/>
              <w:jc w:val="both"/>
              <w:rPr>
                <w:bCs/>
                <w:color w:val="000000" w:themeColor="text1"/>
              </w:rPr>
            </w:pPr>
            <w:r w:rsidRPr="009B205C">
              <w:rPr>
                <w:bCs/>
                <w:color w:val="000000" w:themeColor="text1"/>
              </w:rPr>
              <w:t>Izteikt 28.panta sesto daļu šādā redakcijā:</w:t>
            </w:r>
          </w:p>
          <w:p w14:paraId="3AC0E0FB" w14:textId="5523E327" w:rsidR="004E691A" w:rsidRPr="005B539F" w:rsidRDefault="009B205C" w:rsidP="00DD1F27">
            <w:pPr>
              <w:pStyle w:val="naisc"/>
              <w:spacing w:before="0" w:after="0"/>
              <w:jc w:val="both"/>
              <w:rPr>
                <w:bCs/>
                <w:color w:val="000000" w:themeColor="text1"/>
              </w:rPr>
            </w:pPr>
            <w:r w:rsidRPr="009B205C">
              <w:rPr>
                <w:bCs/>
                <w:color w:val="000000" w:themeColor="text1"/>
              </w:rPr>
              <w:t xml:space="preserve"> “(6) Ministru kabinets atbilstoši šā panta nosacījumiem nosaka </w:t>
            </w:r>
            <w:r w:rsidRPr="009B205C">
              <w:rPr>
                <w:bCs/>
                <w:color w:val="000000" w:themeColor="text1"/>
              </w:rPr>
              <w:lastRenderedPageBreak/>
              <w:t>kārtību, kādā valsts kapitālsabiedrībās, publiski privātajās un publiskas personas kontrolētās kapitālsabiedrībās, kurās valsts ir dalībnieks (akcionārs), un to atkarīgajās kapitālsabiedrībās un meitas kapitālsabiedrībās prognozējama peļņas daļa, kas izmaksājama dividendēs, kā arī valsts kapitāla daļu turētāja rīcību, izlietojot dalībnieka (akcionāra) tiesības lemt par dividendēs izmaksājamo peļņas daļu.”.</w:t>
            </w:r>
          </w:p>
        </w:tc>
        <w:tc>
          <w:tcPr>
            <w:tcW w:w="1247" w:type="pct"/>
            <w:gridSpan w:val="2"/>
            <w:shd w:val="clear" w:color="auto" w:fill="auto"/>
          </w:tcPr>
          <w:p w14:paraId="1483BDDA" w14:textId="4D20385C" w:rsidR="004E691A" w:rsidRPr="005B539F" w:rsidRDefault="009B205C" w:rsidP="00322AEE">
            <w:pPr>
              <w:pStyle w:val="naisc"/>
              <w:spacing w:before="0" w:after="0"/>
              <w:jc w:val="both"/>
              <w:rPr>
                <w:bCs/>
                <w:color w:val="000000" w:themeColor="text1"/>
              </w:rPr>
            </w:pPr>
            <w:r w:rsidRPr="009B205C">
              <w:rPr>
                <w:bCs/>
                <w:color w:val="000000" w:themeColor="text1"/>
              </w:rPr>
              <w:lastRenderedPageBreak/>
              <w:t xml:space="preserve">Norādām uz Likumprojekta 2. pantā ietverto regulējumu, no kura </w:t>
            </w:r>
            <w:proofErr w:type="spellStart"/>
            <w:r w:rsidRPr="009B205C">
              <w:rPr>
                <w:bCs/>
                <w:color w:val="000000" w:themeColor="text1"/>
              </w:rPr>
              <w:t>pirmšķietami</w:t>
            </w:r>
            <w:proofErr w:type="spellEnd"/>
            <w:r w:rsidRPr="009B205C">
              <w:rPr>
                <w:bCs/>
                <w:color w:val="000000" w:themeColor="text1"/>
              </w:rPr>
              <w:t xml:space="preserve"> izriet, ka publiski privāto un publiskas personas kontrolēto kapitālsabiedrību meitas </w:t>
            </w:r>
            <w:r w:rsidRPr="009B205C">
              <w:rPr>
                <w:bCs/>
                <w:color w:val="000000" w:themeColor="text1"/>
              </w:rPr>
              <w:lastRenderedPageBreak/>
              <w:t>un atkarīgo kapitālsabiedrību kapitāla daļu turētājs ir valsts, kā arī valsts minētajās kapitālsabiedrībās ir kā dalībnieks (akcionārs), kas lemj par dividendēs izmaksājamo peļņas daļu. Līdz ar to lūdzam precizēt minēto normu, ņemot vērā, ka valsts nav minēto kapitālsabiedrību kapitāla daļu turētājs vai dalībnieks (akcionārs).</w:t>
            </w:r>
          </w:p>
        </w:tc>
        <w:tc>
          <w:tcPr>
            <w:tcW w:w="1212" w:type="pct"/>
            <w:shd w:val="clear" w:color="auto" w:fill="auto"/>
          </w:tcPr>
          <w:p w14:paraId="2E6742D8" w14:textId="6CBDA77B" w:rsidR="004E691A" w:rsidRDefault="009B205C" w:rsidP="00322AEE">
            <w:pPr>
              <w:pStyle w:val="naisc"/>
              <w:spacing w:before="0" w:after="0"/>
              <w:jc w:val="both"/>
              <w:rPr>
                <w:color w:val="000000" w:themeColor="text1"/>
              </w:rPr>
            </w:pPr>
            <w:r>
              <w:rPr>
                <w:color w:val="000000" w:themeColor="text1"/>
              </w:rPr>
              <w:lastRenderedPageBreak/>
              <w:t>Iebild</w:t>
            </w:r>
            <w:r w:rsidR="00355C85">
              <w:rPr>
                <w:color w:val="000000" w:themeColor="text1"/>
              </w:rPr>
              <w:t>u</w:t>
            </w:r>
            <w:r>
              <w:rPr>
                <w:color w:val="000000" w:themeColor="text1"/>
              </w:rPr>
              <w:t>ms ņemts vērā.</w:t>
            </w:r>
          </w:p>
          <w:p w14:paraId="44AB2327" w14:textId="77777777" w:rsidR="009B205C" w:rsidRDefault="009B205C" w:rsidP="00322AEE">
            <w:pPr>
              <w:pStyle w:val="naisc"/>
              <w:spacing w:before="0" w:after="0"/>
              <w:jc w:val="both"/>
              <w:rPr>
                <w:color w:val="000000" w:themeColor="text1"/>
              </w:rPr>
            </w:pPr>
          </w:p>
          <w:p w14:paraId="1D16FE4F" w14:textId="45528277" w:rsidR="009B205C" w:rsidRDefault="005B0235" w:rsidP="003B48E9">
            <w:pPr>
              <w:pStyle w:val="naisc"/>
              <w:spacing w:before="0" w:after="0"/>
              <w:jc w:val="both"/>
              <w:rPr>
                <w:color w:val="000000" w:themeColor="text1"/>
              </w:rPr>
            </w:pPr>
            <w:r>
              <w:rPr>
                <w:color w:val="000000" w:themeColor="text1"/>
              </w:rPr>
              <w:t xml:space="preserve">Precizēta panta redakcija. </w:t>
            </w:r>
            <w:r w:rsidR="009B205C">
              <w:rPr>
                <w:color w:val="000000" w:themeColor="text1"/>
              </w:rPr>
              <w:t xml:space="preserve">un papildināta projekta anotācija ar skaidrojumu, ka ar dalībnieku </w:t>
            </w:r>
            <w:r w:rsidR="003B48E9">
              <w:rPr>
                <w:color w:val="000000" w:themeColor="text1"/>
              </w:rPr>
              <w:lastRenderedPageBreak/>
              <w:t>(akcionāru) noteikumu</w:t>
            </w:r>
            <w:r w:rsidR="009B205C">
              <w:rPr>
                <w:color w:val="000000" w:themeColor="text1"/>
              </w:rPr>
              <w:t xml:space="preserve"> ietvaros saprot valsts kapitāla daļu turētāju un valdi publiskas personas kapitālsabiedrībā,</w:t>
            </w:r>
            <w:r w:rsidR="003B48E9">
              <w:rPr>
                <w:color w:val="000000" w:themeColor="text1"/>
              </w:rPr>
              <w:t xml:space="preserve"> </w:t>
            </w:r>
            <w:r w:rsidR="009B205C">
              <w:rPr>
                <w:color w:val="000000" w:themeColor="text1"/>
              </w:rPr>
              <w:t>publiski privātā kapitālsabiedrībā, publisku personu kontrolētā kapitālsabiedrībā, kurai ir meitas sabiedrība vai atkarīgā kapitālsabiedrība.</w:t>
            </w:r>
          </w:p>
        </w:tc>
        <w:tc>
          <w:tcPr>
            <w:tcW w:w="1197" w:type="pct"/>
            <w:shd w:val="clear" w:color="auto" w:fill="auto"/>
          </w:tcPr>
          <w:p w14:paraId="0C3C9C3B" w14:textId="77777777" w:rsidR="009B205C" w:rsidRPr="009B205C" w:rsidRDefault="009B205C" w:rsidP="009B205C">
            <w:pPr>
              <w:spacing w:before="120" w:after="120"/>
              <w:rPr>
                <w:color w:val="000000" w:themeColor="text1"/>
              </w:rPr>
            </w:pPr>
            <w:r w:rsidRPr="009B205C">
              <w:rPr>
                <w:color w:val="000000" w:themeColor="text1"/>
              </w:rPr>
              <w:lastRenderedPageBreak/>
              <w:t>Izteikt 28.panta sesto daļu šādā redakcijā:</w:t>
            </w:r>
          </w:p>
          <w:p w14:paraId="1626D353" w14:textId="3106D56E" w:rsidR="004E691A" w:rsidRDefault="009B205C" w:rsidP="009B205C">
            <w:pPr>
              <w:spacing w:before="120" w:after="120"/>
              <w:rPr>
                <w:color w:val="000000" w:themeColor="text1"/>
              </w:rPr>
            </w:pPr>
            <w:r w:rsidRPr="009B205C">
              <w:rPr>
                <w:color w:val="000000" w:themeColor="text1"/>
              </w:rPr>
              <w:t xml:space="preserve"> </w:t>
            </w:r>
            <w:r w:rsidR="002B0447" w:rsidRPr="002B0447">
              <w:rPr>
                <w:color w:val="000000" w:themeColor="text1"/>
              </w:rPr>
              <w:t xml:space="preserve">“(6) Ministru kabinets atbilstoši šā panta nosacījumiem nosaka </w:t>
            </w:r>
            <w:r w:rsidR="002B0447" w:rsidRPr="002B0447">
              <w:rPr>
                <w:color w:val="000000" w:themeColor="text1"/>
              </w:rPr>
              <w:lastRenderedPageBreak/>
              <w:t>kārtību, kādā valsts kapitālsabiedrībās,</w:t>
            </w:r>
            <w:proofErr w:type="gramStart"/>
            <w:r w:rsidR="002B0447" w:rsidRPr="002B0447">
              <w:rPr>
                <w:color w:val="000000" w:themeColor="text1"/>
              </w:rPr>
              <w:t xml:space="preserve">  </w:t>
            </w:r>
            <w:proofErr w:type="gramEnd"/>
            <w:r w:rsidR="002B0447" w:rsidRPr="002B0447">
              <w:rPr>
                <w:color w:val="000000" w:themeColor="text1"/>
              </w:rPr>
              <w:t>to atkarīgajās kapitālsabiedrībās un meitas sabiedrībās, kā arī publiskas personas kontrolētās kapitālsabiedrībās un publiski privātajās kapitālsabiedrībās, kurās valsts ir dalībnieks (akcionārs), un to meitas sabiedrībās prognozējama peļņas daļa, kas izmaksājama dividendēs, kā arī valsts kapitāla daļu turētāja vai dalībnieka (akcionāra) rīcību, izlietojot dalībnieka (akcionāra) tiesības lemt par dividendēs izmaksājamo peļņas daļu.”.</w:t>
            </w:r>
          </w:p>
        </w:tc>
      </w:tr>
      <w:tr w:rsidR="005B539F" w:rsidRPr="001E5BBA" w14:paraId="62671367" w14:textId="77777777" w:rsidTr="00DB0287">
        <w:trPr>
          <w:gridAfter w:val="1"/>
          <w:wAfter w:w="125" w:type="pct"/>
        </w:trPr>
        <w:tc>
          <w:tcPr>
            <w:tcW w:w="196" w:type="pct"/>
            <w:shd w:val="clear" w:color="auto" w:fill="auto"/>
          </w:tcPr>
          <w:p w14:paraId="57BB66A0" w14:textId="1F1D111D" w:rsidR="005B539F" w:rsidRPr="00115AE3" w:rsidRDefault="002B0447" w:rsidP="00322AEE">
            <w:pPr>
              <w:pStyle w:val="naisc"/>
              <w:spacing w:before="0" w:after="0"/>
            </w:pPr>
            <w:r>
              <w:lastRenderedPageBreak/>
              <w:t>4</w:t>
            </w:r>
            <w:r w:rsidR="003B48E9">
              <w:t>.</w:t>
            </w:r>
          </w:p>
        </w:tc>
        <w:tc>
          <w:tcPr>
            <w:tcW w:w="1023" w:type="pct"/>
            <w:shd w:val="clear" w:color="auto" w:fill="auto"/>
          </w:tcPr>
          <w:p w14:paraId="4B5CFD63" w14:textId="706F9449" w:rsidR="005B539F" w:rsidRDefault="005B539F" w:rsidP="00322AEE">
            <w:pPr>
              <w:pStyle w:val="naisc"/>
              <w:spacing w:before="0" w:after="0"/>
              <w:jc w:val="left"/>
              <w:rPr>
                <w:bCs/>
                <w:color w:val="000000" w:themeColor="text1"/>
              </w:rPr>
            </w:pPr>
            <w:r w:rsidRPr="005B539F">
              <w:rPr>
                <w:bCs/>
                <w:color w:val="000000" w:themeColor="text1"/>
              </w:rPr>
              <w:t>“Nominācijas komisijā iekļauj valsts kapitāla daļu turētāja vai padomes (ja tāda ir izveidota) un koordinācijas institūcijas (izņemot atkarīgo kapitālsabiedrību nominācijas komisij</w:t>
            </w:r>
            <w:r>
              <w:rPr>
                <w:bCs/>
                <w:color w:val="000000" w:themeColor="text1"/>
              </w:rPr>
              <w:t>a</w:t>
            </w:r>
            <w:r w:rsidRPr="005B539F">
              <w:rPr>
                <w:bCs/>
                <w:color w:val="000000" w:themeColor="text1"/>
              </w:rPr>
              <w:t>s) izvirzītos pārstāvjus, kā arī neatkarīgus ekspertus un, ja nepieciešams, novērotājus ar padomdevēja tiesībām.”.</w:t>
            </w:r>
          </w:p>
        </w:tc>
        <w:tc>
          <w:tcPr>
            <w:tcW w:w="1247" w:type="pct"/>
            <w:gridSpan w:val="2"/>
            <w:shd w:val="clear" w:color="auto" w:fill="auto"/>
          </w:tcPr>
          <w:p w14:paraId="4971A312" w14:textId="652AE0A1" w:rsidR="005B539F" w:rsidRPr="00A57F62" w:rsidRDefault="005B539F" w:rsidP="00322AEE">
            <w:pPr>
              <w:pStyle w:val="naisc"/>
              <w:spacing w:before="0" w:after="0"/>
              <w:jc w:val="both"/>
              <w:rPr>
                <w:bCs/>
                <w:color w:val="000000" w:themeColor="text1"/>
              </w:rPr>
            </w:pPr>
            <w:r w:rsidRPr="005B539F">
              <w:rPr>
                <w:bCs/>
                <w:color w:val="000000" w:themeColor="text1"/>
              </w:rPr>
              <w:t xml:space="preserve">Likumprojekta 3. pantā noteikts, ka nominācijas komisijā iekļauj valsts kapitāla daļu turētāja vai padomes (ja tāda ir izveidota) un koordinācijas institūcijas (izņemot atkarīgo kapitālsabiedrību nominācijas komisijas) izvirzītos pārstāvjus. No minētās normas izriet, ka nominācijas komisijā nevar iekļaut citas (atkarīgo kapitālsabiedrību) nominācijas komisijas pārstāvjus. Līdz ar to </w:t>
            </w:r>
            <w:r w:rsidRPr="005B539F">
              <w:rPr>
                <w:bCs/>
                <w:color w:val="000000" w:themeColor="text1"/>
              </w:rPr>
              <w:lastRenderedPageBreak/>
              <w:t>normas saturs neatbilst tās anotācijā norādītajam mērķim, proti, veidojas situācija, kad nominācijas komisijā neiekļauj citas (atkarīgo kapitālsabiedrību) nominācijas komisijas pārstāvjus. Tādēļ lūdzam precizēt Likumprojekta 31. pantu.</w:t>
            </w:r>
          </w:p>
        </w:tc>
        <w:tc>
          <w:tcPr>
            <w:tcW w:w="1212" w:type="pct"/>
            <w:shd w:val="clear" w:color="auto" w:fill="auto"/>
          </w:tcPr>
          <w:p w14:paraId="2789B6CB" w14:textId="0002F60E" w:rsidR="005B539F" w:rsidRPr="003470D2" w:rsidRDefault="005B539F" w:rsidP="00322AEE">
            <w:pPr>
              <w:pStyle w:val="naisc"/>
              <w:spacing w:before="0" w:after="0"/>
              <w:jc w:val="both"/>
              <w:rPr>
                <w:color w:val="000000" w:themeColor="text1"/>
              </w:rPr>
            </w:pPr>
            <w:r>
              <w:rPr>
                <w:color w:val="000000" w:themeColor="text1"/>
              </w:rPr>
              <w:lastRenderedPageBreak/>
              <w:t>Iebildums ņemts vērā</w:t>
            </w:r>
          </w:p>
        </w:tc>
        <w:tc>
          <w:tcPr>
            <w:tcW w:w="1197" w:type="pct"/>
            <w:shd w:val="clear" w:color="auto" w:fill="auto"/>
          </w:tcPr>
          <w:p w14:paraId="693647A2" w14:textId="1FA4CBC2" w:rsidR="005B539F" w:rsidRPr="005B539F" w:rsidRDefault="005B539F" w:rsidP="005B539F">
            <w:pPr>
              <w:spacing w:before="120" w:after="120"/>
              <w:rPr>
                <w:color w:val="000000" w:themeColor="text1"/>
              </w:rPr>
            </w:pPr>
            <w:r>
              <w:rPr>
                <w:color w:val="000000" w:themeColor="text1"/>
              </w:rPr>
              <w:t>Vārds iekavās “</w:t>
            </w:r>
            <w:r w:rsidR="00686AF7">
              <w:rPr>
                <w:color w:val="000000" w:themeColor="text1"/>
              </w:rPr>
              <w:t>komisijas” aizstāts ar vārdu “komisijās”.</w:t>
            </w:r>
          </w:p>
        </w:tc>
      </w:tr>
      <w:tr w:rsidR="00322AEE" w:rsidRPr="001E5BBA" w14:paraId="43612F0A" w14:textId="77777777" w:rsidTr="0055593E">
        <w:trPr>
          <w:gridAfter w:val="1"/>
          <w:wAfter w:w="125" w:type="pct"/>
        </w:trPr>
        <w:tc>
          <w:tcPr>
            <w:tcW w:w="196" w:type="pct"/>
            <w:shd w:val="clear" w:color="auto" w:fill="auto"/>
          </w:tcPr>
          <w:p w14:paraId="51A28439" w14:textId="0B828CF6" w:rsidR="00322AEE" w:rsidRPr="001E5BBA" w:rsidRDefault="002B0447" w:rsidP="00322AEE">
            <w:pPr>
              <w:pStyle w:val="naisc"/>
              <w:spacing w:before="0" w:after="0"/>
              <w:rPr>
                <w:color w:val="000000" w:themeColor="text1"/>
                <w:sz w:val="20"/>
                <w:szCs w:val="20"/>
              </w:rPr>
            </w:pPr>
            <w:r>
              <w:rPr>
                <w:color w:val="000000" w:themeColor="text1"/>
              </w:rPr>
              <w:lastRenderedPageBreak/>
              <w:t>5</w:t>
            </w:r>
            <w:r w:rsidR="00322AEE">
              <w:rPr>
                <w:color w:val="000000" w:themeColor="text1"/>
              </w:rPr>
              <w:t>.</w:t>
            </w:r>
          </w:p>
        </w:tc>
        <w:tc>
          <w:tcPr>
            <w:tcW w:w="1023" w:type="pct"/>
            <w:shd w:val="clear" w:color="auto" w:fill="auto"/>
          </w:tcPr>
          <w:p w14:paraId="6B7DAEE5" w14:textId="77777777" w:rsidR="00322AEE" w:rsidRDefault="005B539F" w:rsidP="00322AEE">
            <w:pPr>
              <w:pStyle w:val="naisc"/>
              <w:spacing w:before="0" w:after="0"/>
              <w:jc w:val="left"/>
              <w:rPr>
                <w:color w:val="000000" w:themeColor="text1"/>
              </w:rPr>
            </w:pPr>
            <w:r>
              <w:rPr>
                <w:color w:val="000000" w:themeColor="text1"/>
              </w:rPr>
              <w:t>Par likumprojekta 5.punktu</w:t>
            </w:r>
          </w:p>
          <w:p w14:paraId="62B76C40" w14:textId="181B3D00" w:rsidR="005B539F" w:rsidRPr="003470D2" w:rsidRDefault="005B539F" w:rsidP="00322AEE">
            <w:pPr>
              <w:pStyle w:val="naisc"/>
              <w:spacing w:before="0" w:after="0"/>
              <w:jc w:val="left"/>
              <w:rPr>
                <w:color w:val="000000" w:themeColor="text1"/>
              </w:rPr>
            </w:pPr>
            <w:r w:rsidRPr="005B539F">
              <w:rPr>
                <w:color w:val="000000" w:themeColor="text1"/>
              </w:rPr>
              <w:t>3) atkarīgās kapitālsabiedrības valdes un padomes locekļus nominē publiskās personas kapitālsabiedrības valde vai atkarīgās kapitālsabiedrības padome atbilstoši šā likuma 31.pantamvai 37. pantam</w:t>
            </w:r>
            <w:r>
              <w:rPr>
                <w:color w:val="000000" w:themeColor="text1"/>
              </w:rPr>
              <w:t xml:space="preserve">, </w:t>
            </w:r>
            <w:r w:rsidRPr="005B539F">
              <w:rPr>
                <w:color w:val="000000" w:themeColor="text1"/>
              </w:rPr>
              <w:t>izņemot nosacījumu par koordinācijas institūcijas izvirzītā pārstāvja dalību nominācijas komisijā.</w:t>
            </w:r>
          </w:p>
        </w:tc>
        <w:tc>
          <w:tcPr>
            <w:tcW w:w="1247" w:type="pct"/>
            <w:gridSpan w:val="2"/>
            <w:shd w:val="clear" w:color="auto" w:fill="auto"/>
          </w:tcPr>
          <w:p w14:paraId="0840D844" w14:textId="77777777" w:rsidR="005B539F" w:rsidRDefault="005B539F" w:rsidP="005B539F">
            <w:pPr>
              <w:pStyle w:val="naisc"/>
              <w:spacing w:after="0"/>
              <w:jc w:val="both"/>
            </w:pPr>
            <w:r>
              <w:t xml:space="preserve">No Likumprojekta 4. pantā ietvertā regulējuma nav skaidri saprotams, uz ko un kādā veidā attiecas normā iekļautais: “[..] izņemot nosacījumu par koordinācijas institūcijas izvirzītā pārstāvja dalību nominācijas komisijā”. Līdz ar to lūdzam precizēt minētās normas redakciju. </w:t>
            </w:r>
          </w:p>
          <w:p w14:paraId="31C0C285" w14:textId="3AB551FD" w:rsidR="00322AEE" w:rsidRPr="003470D2" w:rsidRDefault="005B539F" w:rsidP="005B539F">
            <w:pPr>
              <w:pStyle w:val="naisc"/>
              <w:spacing w:before="0" w:after="0"/>
              <w:jc w:val="both"/>
            </w:pPr>
            <w:r>
              <w:t>Vienlaikus lūdzam sakārtot Likumprojektā normas tādā secībā, kādā grozāmās normas ir likuma tekstā.</w:t>
            </w:r>
          </w:p>
        </w:tc>
        <w:tc>
          <w:tcPr>
            <w:tcW w:w="1212" w:type="pct"/>
            <w:shd w:val="clear" w:color="auto" w:fill="auto"/>
          </w:tcPr>
          <w:p w14:paraId="671A7B12" w14:textId="77777777" w:rsidR="00322AEE" w:rsidRDefault="00322AEE" w:rsidP="00322AEE">
            <w:pPr>
              <w:pStyle w:val="naisc"/>
              <w:spacing w:before="0" w:after="0"/>
              <w:jc w:val="both"/>
              <w:rPr>
                <w:color w:val="000000" w:themeColor="text1"/>
              </w:rPr>
            </w:pPr>
            <w:r w:rsidRPr="003470D2">
              <w:rPr>
                <w:color w:val="000000" w:themeColor="text1"/>
              </w:rPr>
              <w:t>Iebildums ņemts vērā.</w:t>
            </w:r>
          </w:p>
          <w:p w14:paraId="4AF3380A" w14:textId="577BCA06" w:rsidR="00C13309" w:rsidRPr="003470D2" w:rsidRDefault="00D75FC9" w:rsidP="00D75FC9">
            <w:pPr>
              <w:pStyle w:val="naisc"/>
              <w:spacing w:before="0" w:after="0"/>
              <w:jc w:val="both"/>
            </w:pPr>
            <w:r>
              <w:rPr>
                <w:color w:val="000000" w:themeColor="text1"/>
              </w:rPr>
              <w:t>Precizēts</w:t>
            </w:r>
            <w:r w:rsidR="00C13309">
              <w:rPr>
                <w:color w:val="000000" w:themeColor="text1"/>
              </w:rPr>
              <w:t xml:space="preserve"> tiesību normas teksts.</w:t>
            </w:r>
          </w:p>
        </w:tc>
        <w:tc>
          <w:tcPr>
            <w:tcW w:w="1197" w:type="pct"/>
            <w:shd w:val="clear" w:color="auto" w:fill="auto"/>
          </w:tcPr>
          <w:p w14:paraId="6FB9BBA9" w14:textId="4CFEC9C9" w:rsidR="00322AEE" w:rsidRPr="003470D2" w:rsidRDefault="005B539F" w:rsidP="005B539F">
            <w:pPr>
              <w:tabs>
                <w:tab w:val="left" w:pos="7088"/>
              </w:tabs>
              <w:spacing w:after="0"/>
              <w:jc w:val="both"/>
              <w:rPr>
                <w:color w:val="000000" w:themeColor="text1"/>
              </w:rPr>
            </w:pPr>
            <w:r w:rsidRPr="005B539F">
              <w:rPr>
                <w:color w:val="000000" w:themeColor="text1"/>
              </w:rPr>
              <w:t>3) atkarīgās kapitālsabiedrības valdes un padomes locekļus nominē publiskās personas kapitālsabiedrības valde vai atkarīgās kapitālsabiedrības padome atbilstoši šā likuma 31.pantam, (izņemot nosacījumu par koordinācijas institūcijas izvirzītā pārstāvja dalību nominācijas komisijā) vai 37. pantam.</w:t>
            </w:r>
          </w:p>
        </w:tc>
      </w:tr>
      <w:tr w:rsidR="00D54080" w:rsidRPr="001E5BBA" w14:paraId="36D4C48F" w14:textId="77777777" w:rsidTr="00D54080">
        <w:trPr>
          <w:gridAfter w:val="1"/>
          <w:wAfter w:w="125" w:type="pct"/>
        </w:trPr>
        <w:tc>
          <w:tcPr>
            <w:tcW w:w="4875" w:type="pct"/>
            <w:gridSpan w:val="6"/>
            <w:shd w:val="clear" w:color="auto" w:fill="auto"/>
          </w:tcPr>
          <w:p w14:paraId="414CB551" w14:textId="28959738" w:rsidR="00D54080" w:rsidRPr="00D54080" w:rsidRDefault="00D54080" w:rsidP="00322AEE">
            <w:pPr>
              <w:rPr>
                <w:b/>
                <w:bCs/>
                <w:color w:val="000000" w:themeColor="text1"/>
              </w:rPr>
            </w:pPr>
            <w:r w:rsidRPr="00D54080">
              <w:rPr>
                <w:b/>
                <w:bCs/>
                <w:color w:val="000000" w:themeColor="text1"/>
              </w:rPr>
              <w:t>Finanšu ministrija</w:t>
            </w:r>
            <w:r>
              <w:rPr>
                <w:b/>
                <w:bCs/>
                <w:color w:val="000000" w:themeColor="text1"/>
              </w:rPr>
              <w:t xml:space="preserve"> </w:t>
            </w:r>
          </w:p>
        </w:tc>
      </w:tr>
      <w:tr w:rsidR="00322AEE" w:rsidRPr="001E5BBA" w14:paraId="4FAFBDA3" w14:textId="77777777" w:rsidTr="0055593E">
        <w:trPr>
          <w:gridAfter w:val="1"/>
          <w:wAfter w:w="125" w:type="pct"/>
        </w:trPr>
        <w:tc>
          <w:tcPr>
            <w:tcW w:w="196" w:type="pct"/>
            <w:shd w:val="clear" w:color="auto" w:fill="auto"/>
          </w:tcPr>
          <w:p w14:paraId="487F33B4" w14:textId="3872B4BC" w:rsidR="00322AEE" w:rsidRDefault="002B0447" w:rsidP="00322AEE">
            <w:pPr>
              <w:pStyle w:val="naisc"/>
              <w:spacing w:before="0" w:after="0"/>
              <w:rPr>
                <w:color w:val="000000" w:themeColor="text1"/>
              </w:rPr>
            </w:pPr>
            <w:r>
              <w:rPr>
                <w:color w:val="000000" w:themeColor="text1"/>
              </w:rPr>
              <w:t>6</w:t>
            </w:r>
            <w:r w:rsidR="00322AEE">
              <w:rPr>
                <w:color w:val="000000" w:themeColor="text1"/>
              </w:rPr>
              <w:t>.</w:t>
            </w:r>
          </w:p>
          <w:p w14:paraId="5A17FA72" w14:textId="77777777" w:rsidR="00322AEE" w:rsidRDefault="00322AEE" w:rsidP="00322AEE">
            <w:pPr>
              <w:pStyle w:val="naisc"/>
              <w:spacing w:before="0" w:after="0"/>
              <w:rPr>
                <w:color w:val="000000" w:themeColor="text1"/>
                <w:sz w:val="20"/>
                <w:szCs w:val="20"/>
              </w:rPr>
            </w:pPr>
          </w:p>
        </w:tc>
        <w:tc>
          <w:tcPr>
            <w:tcW w:w="1023" w:type="pct"/>
            <w:shd w:val="clear" w:color="auto" w:fill="auto"/>
          </w:tcPr>
          <w:p w14:paraId="64EFBE2E" w14:textId="7A56A325" w:rsidR="00322AEE" w:rsidRPr="003470D2" w:rsidRDefault="00D54080" w:rsidP="00322AEE">
            <w:pPr>
              <w:pStyle w:val="naisc"/>
              <w:spacing w:before="0" w:after="0"/>
              <w:rPr>
                <w:color w:val="000000" w:themeColor="text1"/>
              </w:rPr>
            </w:pPr>
            <w:r>
              <w:rPr>
                <w:color w:val="000000" w:themeColor="text1"/>
              </w:rPr>
              <w:t>Projekta anotācija</w:t>
            </w:r>
          </w:p>
        </w:tc>
        <w:tc>
          <w:tcPr>
            <w:tcW w:w="1247" w:type="pct"/>
            <w:gridSpan w:val="2"/>
            <w:shd w:val="clear" w:color="auto" w:fill="auto"/>
          </w:tcPr>
          <w:p w14:paraId="5C5FD196" w14:textId="4E6818B1" w:rsidR="00322AEE" w:rsidRPr="003470D2" w:rsidRDefault="00D54080" w:rsidP="00322AEE">
            <w:pPr>
              <w:pStyle w:val="naisc"/>
              <w:spacing w:before="0" w:after="0"/>
              <w:jc w:val="both"/>
            </w:pPr>
            <w:r w:rsidRPr="00D54080">
              <w:t xml:space="preserve">Izskatot </w:t>
            </w:r>
            <w:proofErr w:type="spellStart"/>
            <w:r w:rsidRPr="00D54080">
              <w:t>Pārresoru</w:t>
            </w:r>
            <w:proofErr w:type="spellEnd"/>
            <w:r w:rsidRPr="00D54080">
              <w:t xml:space="preserve"> koordinācijas centra vienlaikus virzītos grozījumus noteikumos, kur ne noteikumu nosaukumā, ne arī tā normās nav paredzēts veikt precizējumus, kā arī anotācijā nav norādes uz noteikumu tvēruma </w:t>
            </w:r>
            <w:r w:rsidRPr="00D54080">
              <w:lastRenderedPageBreak/>
              <w:t>paplašināšanu, saprotam, ka tiks veikti vēl vieni grozījumi minētajos noteikumos. Tādējādi, lai novērstu dažādu interpretāciju, lūdzam likumprojekta anotācijas I sadaļas 2.punktā norādīt, ka šobrīd vienlaikus virzītie grozījumi noteikumos tiek virzīti, lai nodrošinātu steidzamo normu (norādot tieši kādu) stāšanos spēkā 2020.gada 1.janvārī, bet grozījumi, kas paredz paplašināt noteikumu tvērumu, tiks virzīti tikai pēc likumprojekta pieņemšanas Saeimā.</w:t>
            </w:r>
          </w:p>
        </w:tc>
        <w:tc>
          <w:tcPr>
            <w:tcW w:w="1212" w:type="pct"/>
            <w:shd w:val="clear" w:color="auto" w:fill="auto"/>
          </w:tcPr>
          <w:p w14:paraId="21947471" w14:textId="77777777" w:rsidR="00322AEE" w:rsidRDefault="00D54080" w:rsidP="00322AEE">
            <w:pPr>
              <w:pStyle w:val="naisc"/>
              <w:spacing w:before="0" w:after="0"/>
              <w:jc w:val="both"/>
            </w:pPr>
            <w:r w:rsidRPr="00D54080">
              <w:lastRenderedPageBreak/>
              <w:t>Iebildums ņemts vērā</w:t>
            </w:r>
          </w:p>
          <w:p w14:paraId="62F85064" w14:textId="44DB7F99" w:rsidR="00D54080" w:rsidRPr="00D54080" w:rsidRDefault="00D54080" w:rsidP="00322AEE">
            <w:pPr>
              <w:pStyle w:val="naisc"/>
              <w:spacing w:before="0" w:after="0"/>
              <w:jc w:val="both"/>
            </w:pPr>
            <w:r>
              <w:t>Papildināta projekta anotācija</w:t>
            </w:r>
          </w:p>
        </w:tc>
        <w:tc>
          <w:tcPr>
            <w:tcW w:w="1197" w:type="pct"/>
            <w:shd w:val="clear" w:color="auto" w:fill="auto"/>
          </w:tcPr>
          <w:p w14:paraId="56F569CF" w14:textId="29EFC09E" w:rsidR="00322AEE" w:rsidRDefault="00D54080" w:rsidP="00322AEE">
            <w:pPr>
              <w:rPr>
                <w:color w:val="000000" w:themeColor="text1"/>
              </w:rPr>
            </w:pPr>
            <w:r>
              <w:rPr>
                <w:color w:val="000000" w:themeColor="text1"/>
              </w:rPr>
              <w:t>Papildināt</w:t>
            </w:r>
            <w:r w:rsidR="0056103C">
              <w:rPr>
                <w:color w:val="000000" w:themeColor="text1"/>
              </w:rPr>
              <w:t>s</w:t>
            </w:r>
            <w:r>
              <w:rPr>
                <w:color w:val="000000" w:themeColor="text1"/>
              </w:rPr>
              <w:t xml:space="preserve"> anotācijas </w:t>
            </w:r>
            <w:r w:rsidR="0056103C">
              <w:rPr>
                <w:color w:val="000000" w:themeColor="text1"/>
              </w:rPr>
              <w:t>I sadaļas 4.punkts</w:t>
            </w:r>
            <w:r>
              <w:rPr>
                <w:color w:val="000000" w:themeColor="text1"/>
              </w:rPr>
              <w:t xml:space="preserve"> ar šādu tekstu</w:t>
            </w:r>
            <w:r w:rsidR="003B3B2E">
              <w:rPr>
                <w:color w:val="000000" w:themeColor="text1"/>
              </w:rPr>
              <w:t>:</w:t>
            </w:r>
          </w:p>
          <w:p w14:paraId="6B30F18E" w14:textId="199DE697" w:rsidR="00D54080" w:rsidRPr="003470D2" w:rsidRDefault="003B3B2E" w:rsidP="00D54080">
            <w:pPr>
              <w:jc w:val="both"/>
              <w:rPr>
                <w:color w:val="000000" w:themeColor="text1"/>
              </w:rPr>
            </w:pPr>
            <w:r>
              <w:rPr>
                <w:color w:val="000000" w:themeColor="text1"/>
              </w:rPr>
              <w:t>“</w:t>
            </w:r>
            <w:r w:rsidR="0058267E" w:rsidRPr="00D54080">
              <w:rPr>
                <w:color w:val="000000" w:themeColor="text1"/>
              </w:rPr>
              <w:t>Vienlaikus</w:t>
            </w:r>
            <w:r w:rsidR="00D54080" w:rsidRPr="00D54080">
              <w:rPr>
                <w:color w:val="000000" w:themeColor="text1"/>
              </w:rPr>
              <w:t xml:space="preserve"> ar šo likumprojektu virzītie grozījumi</w:t>
            </w:r>
            <w:r w:rsidR="0058267E">
              <w:rPr>
                <w:color w:val="000000" w:themeColor="text1"/>
              </w:rPr>
              <w:t xml:space="preserve"> Ministru kabineta 2015.gada 22.decembra noteikumos Nr.806</w:t>
            </w:r>
            <w:proofErr w:type="gramStart"/>
            <w:r w:rsidR="0058267E">
              <w:rPr>
                <w:color w:val="000000" w:themeColor="text1"/>
              </w:rPr>
              <w:t xml:space="preserve"> </w:t>
            </w:r>
            <w:r w:rsidR="00D54080" w:rsidRPr="00D54080">
              <w:rPr>
                <w:color w:val="000000" w:themeColor="text1"/>
              </w:rPr>
              <w:t xml:space="preserve"> </w:t>
            </w:r>
            <w:proofErr w:type="gramEnd"/>
            <w:r w:rsidR="00D90666" w:rsidRPr="00D90666">
              <w:rPr>
                <w:color w:val="000000" w:themeColor="text1"/>
              </w:rPr>
              <w:t xml:space="preserve">“Kārtība, kādā valsts kapitālsabiedrības un </w:t>
            </w:r>
            <w:r w:rsidR="00D90666" w:rsidRPr="00D90666">
              <w:rPr>
                <w:color w:val="000000" w:themeColor="text1"/>
              </w:rPr>
              <w:lastRenderedPageBreak/>
              <w:t>publiski privātās kapitālsabiedrības, kurās valsts ir dalībnieks (akcionārs), prognozē un nosaka dividendēs izmaksājamo peļņas daļu un veic maksājumus valsts budžetā par valsts kapitāla izmantošanu”</w:t>
            </w:r>
            <w:r w:rsidR="00D90666">
              <w:rPr>
                <w:color w:val="000000" w:themeColor="text1"/>
              </w:rPr>
              <w:t xml:space="preserve"> ir </w:t>
            </w:r>
            <w:r w:rsidR="00D54080" w:rsidRPr="00D54080">
              <w:rPr>
                <w:color w:val="000000" w:themeColor="text1"/>
              </w:rPr>
              <w:t>s</w:t>
            </w:r>
            <w:r w:rsidR="00D90666">
              <w:rPr>
                <w:color w:val="000000" w:themeColor="text1"/>
              </w:rPr>
              <w:t>a</w:t>
            </w:r>
            <w:r w:rsidR="00D54080" w:rsidRPr="00D54080">
              <w:rPr>
                <w:color w:val="000000" w:themeColor="text1"/>
              </w:rPr>
              <w:t>istīti ar citu Ministru kabineta 11.oktobra sēdes uzdevuma (prot. Nr.47, 6.§ 5.2.punkts) izpildi, kura termiņš ir 2020.gada 1.janvāris.</w:t>
            </w:r>
            <w:r>
              <w:rPr>
                <w:color w:val="000000" w:themeColor="text1"/>
              </w:rPr>
              <w:t>”.</w:t>
            </w:r>
          </w:p>
        </w:tc>
      </w:tr>
      <w:tr w:rsidR="008F28F7" w:rsidRPr="001E5BBA" w14:paraId="1BD280E5" w14:textId="77777777" w:rsidTr="0055593E">
        <w:trPr>
          <w:gridAfter w:val="1"/>
          <w:wAfter w:w="125" w:type="pct"/>
        </w:trPr>
        <w:tc>
          <w:tcPr>
            <w:tcW w:w="196" w:type="pct"/>
            <w:shd w:val="clear" w:color="auto" w:fill="auto"/>
          </w:tcPr>
          <w:p w14:paraId="0A94F450" w14:textId="5A32D085" w:rsidR="008F28F7" w:rsidRDefault="002B0447" w:rsidP="00322AEE">
            <w:pPr>
              <w:pStyle w:val="naisc"/>
              <w:spacing w:before="0" w:after="0"/>
              <w:rPr>
                <w:color w:val="000000" w:themeColor="text1"/>
              </w:rPr>
            </w:pPr>
            <w:r>
              <w:rPr>
                <w:color w:val="000000" w:themeColor="text1"/>
              </w:rPr>
              <w:lastRenderedPageBreak/>
              <w:t>7</w:t>
            </w:r>
            <w:r w:rsidR="002915ED">
              <w:rPr>
                <w:color w:val="000000" w:themeColor="text1"/>
              </w:rPr>
              <w:t>.</w:t>
            </w:r>
          </w:p>
        </w:tc>
        <w:tc>
          <w:tcPr>
            <w:tcW w:w="1023" w:type="pct"/>
            <w:shd w:val="clear" w:color="auto" w:fill="auto"/>
          </w:tcPr>
          <w:p w14:paraId="0F6D5F08" w14:textId="5085A2C3" w:rsidR="008F28F7" w:rsidRDefault="002915ED" w:rsidP="00322AEE">
            <w:pPr>
              <w:pStyle w:val="naisc"/>
              <w:spacing w:before="0" w:after="0"/>
              <w:rPr>
                <w:color w:val="000000" w:themeColor="text1"/>
              </w:rPr>
            </w:pPr>
            <w:r>
              <w:rPr>
                <w:color w:val="000000" w:themeColor="text1"/>
              </w:rPr>
              <w:t>Par projektu kopumā</w:t>
            </w:r>
          </w:p>
        </w:tc>
        <w:tc>
          <w:tcPr>
            <w:tcW w:w="1247" w:type="pct"/>
            <w:gridSpan w:val="2"/>
            <w:shd w:val="clear" w:color="auto" w:fill="auto"/>
          </w:tcPr>
          <w:p w14:paraId="21B65FAC" w14:textId="77777777" w:rsidR="002915ED" w:rsidRPr="008A635F" w:rsidRDefault="002915ED" w:rsidP="002915ED">
            <w:pPr>
              <w:pStyle w:val="naisc"/>
              <w:spacing w:after="0"/>
              <w:jc w:val="both"/>
              <w:rPr>
                <w:color w:val="000000" w:themeColor="text1"/>
              </w:rPr>
            </w:pPr>
            <w:r w:rsidRPr="008A635F">
              <w:rPr>
                <w:color w:val="000000" w:themeColor="text1"/>
              </w:rPr>
              <w:t xml:space="preserve">Aicinām veikt grozījumus Publiskas personas kapitāla daļu un kapitālsabiedrību pārvaldības likumā, paredzot precizēt likuma 58.panta ceturtajā daļā noteikto starpperioda pārskatā iekļaujamo informāciju, ja gada pārskati un konsolidētie gada pārskati tiek gatavoti atbilstoši starptautiskajiem grāmatvedības standartiem (turpmāk – SGS), kuri pieņemti saskaņā ar Eiropas Parlamenta un Padomes 2002.gada 19.jūlija regulu (EK) Nr.1606/2002 par starptautisko grāmatvedības </w:t>
            </w:r>
            <w:r w:rsidRPr="008A635F">
              <w:rPr>
                <w:color w:val="000000" w:themeColor="text1"/>
              </w:rPr>
              <w:lastRenderedPageBreak/>
              <w:t>standartu piemērošanu.</w:t>
            </w:r>
          </w:p>
          <w:p w14:paraId="6C81068C" w14:textId="77777777" w:rsidR="002915ED" w:rsidRPr="008A635F" w:rsidRDefault="002915ED" w:rsidP="002915ED">
            <w:pPr>
              <w:pStyle w:val="naisc"/>
              <w:spacing w:after="0"/>
              <w:jc w:val="both"/>
              <w:rPr>
                <w:color w:val="000000" w:themeColor="text1"/>
              </w:rPr>
            </w:pPr>
            <w:r w:rsidRPr="008A635F">
              <w:rPr>
                <w:color w:val="000000" w:themeColor="text1"/>
              </w:rPr>
              <w:t xml:space="preserve">Gada pārskatu un konsolidēto gada pārskatu likuma 3.panta septītā daļa noteic, ka kapitālsabiedrība, kura atbilstoši šā likuma nosacījumiem ir liela sabiedrība, var sagatavot gada pārskatu atbilstoši SGS. Šajā gadījumā kapitālsabiedrība finanšu pārskata posteņu novērtēšanai, finanšu pārskata sastāvdaļām un paskaidrojošās informācijas sniegšanai finanšu pārskatā attiecīgi piemēro šā panta piektās daļas 1., 2. un 3.punkta nosacījumus. Gada pārskatu un konsolidēto gada pārskatu likuma 70.pants noteic, ka pamatojoties uz Eiropas Parlamenta un Padomes 2002.gada 19.jūlija regulas (EK) Nr.1606/2002 par starptautisko grāmatvedības standartu piemērošanu 5.pantu, koncerna mātes sabiedrība var sagatavot konsolidētos gada pārskatus saskaņā ar SGS. Šajā pantā minētajā gadījumā koncerna mātes sabiedrība konsolidētā gada pārskata un konsolidētā finanšu pārskata posteņu novērtēšanai, </w:t>
            </w:r>
            <w:r w:rsidRPr="008A635F">
              <w:rPr>
                <w:color w:val="000000" w:themeColor="text1"/>
              </w:rPr>
              <w:lastRenderedPageBreak/>
              <w:t>konsolidētā finanšu pārskata sastāvdaļām un paskaidrojošās informācijas sniegšanai konsolidētajā finanšu pārskatā attiecīgi piemēro šā likuma 3.panta piektās daļas 1., 2. un 3.punkta nosacījumus.</w:t>
            </w:r>
          </w:p>
          <w:p w14:paraId="2CE52A7D" w14:textId="42CA40A6" w:rsidR="002915ED" w:rsidRPr="008A635F" w:rsidRDefault="002915ED" w:rsidP="002915ED">
            <w:pPr>
              <w:pStyle w:val="naisc"/>
              <w:spacing w:after="0"/>
              <w:jc w:val="both"/>
              <w:rPr>
                <w:color w:val="000000" w:themeColor="text1"/>
              </w:rPr>
            </w:pPr>
            <w:r w:rsidRPr="008A635F">
              <w:rPr>
                <w:color w:val="000000" w:themeColor="text1"/>
              </w:rPr>
              <w:t>Vēršam uzmanību, ka, piemēram, valsts akciju sabiedrība “Valsts nekustamie īpašumi” sagatavos finanšu pārskatus par 2019.gadu atbilstoši SGS. Pamatojoties uz SGS 34.standartā “Starpperioda finanšu pārskatu sniegšana” minēto,</w:t>
            </w:r>
            <w:r w:rsidR="004E7321" w:rsidRPr="008A635F">
              <w:rPr>
                <w:color w:val="000000" w:themeColor="text1"/>
              </w:rPr>
              <w:t xml:space="preserve"> </w:t>
            </w:r>
            <w:r w:rsidRPr="008A635F">
              <w:rPr>
                <w:color w:val="000000" w:themeColor="text1"/>
              </w:rPr>
              <w:t>lai nodrošinātu pārskatu savlaicīgu sniegšanu un izmaksu taupīšanu, kā arī neatkārtotu jau iepriekš sniegtu informāciju, lai starpperioda datumos tiktu sniegts mazāks informācijas apjoms nekā gada finanšu pārskatos, uzņēmums var pieņemt lēmumu, sniegt saīsinātus starpperiodu finanšu pārskatus. Minētais SGS standarts nosaka, ka starpperioda finanšu pārskata minimālais saturs ir:</w:t>
            </w:r>
            <w:proofErr w:type="gramStart"/>
            <w:r w:rsidRPr="008A635F">
              <w:rPr>
                <w:color w:val="000000" w:themeColor="text1"/>
              </w:rPr>
              <w:t xml:space="preserve">  </w:t>
            </w:r>
            <w:proofErr w:type="gramEnd"/>
          </w:p>
          <w:p w14:paraId="6E9BBA2D" w14:textId="77777777" w:rsidR="002915ED" w:rsidRPr="008A635F" w:rsidRDefault="002915ED" w:rsidP="002915ED">
            <w:pPr>
              <w:pStyle w:val="naisc"/>
              <w:spacing w:after="0"/>
              <w:jc w:val="both"/>
              <w:rPr>
                <w:color w:val="000000" w:themeColor="text1"/>
              </w:rPr>
            </w:pPr>
            <w:r w:rsidRPr="008A635F">
              <w:rPr>
                <w:color w:val="000000" w:themeColor="text1"/>
              </w:rPr>
              <w:t>a) saīsināts finanšu stāvokļa pārskats (saīsinātā bilance);</w:t>
            </w:r>
            <w:proofErr w:type="gramStart"/>
            <w:r w:rsidRPr="008A635F">
              <w:rPr>
                <w:color w:val="000000" w:themeColor="text1"/>
              </w:rPr>
              <w:t xml:space="preserve">  </w:t>
            </w:r>
            <w:proofErr w:type="gramEnd"/>
          </w:p>
          <w:p w14:paraId="67423619" w14:textId="77777777" w:rsidR="002915ED" w:rsidRPr="008A635F" w:rsidRDefault="002915ED" w:rsidP="002915ED">
            <w:pPr>
              <w:pStyle w:val="naisc"/>
              <w:spacing w:after="0"/>
              <w:jc w:val="both"/>
              <w:rPr>
                <w:color w:val="000000" w:themeColor="text1"/>
              </w:rPr>
            </w:pPr>
            <w:r w:rsidRPr="008A635F">
              <w:rPr>
                <w:color w:val="000000" w:themeColor="text1"/>
              </w:rPr>
              <w:t xml:space="preserve">b) saīsināts atsevišķais peļņas vai zaudējumu aprēķins un saīsināts </w:t>
            </w:r>
            <w:r w:rsidRPr="008A635F">
              <w:rPr>
                <w:color w:val="000000" w:themeColor="text1"/>
              </w:rPr>
              <w:lastRenderedPageBreak/>
              <w:t>apvienotais ienākumu pārskats;</w:t>
            </w:r>
            <w:proofErr w:type="gramStart"/>
            <w:r w:rsidRPr="008A635F">
              <w:rPr>
                <w:color w:val="000000" w:themeColor="text1"/>
              </w:rPr>
              <w:t xml:space="preserve">  </w:t>
            </w:r>
            <w:proofErr w:type="gramEnd"/>
          </w:p>
          <w:p w14:paraId="722250B2" w14:textId="77777777" w:rsidR="002915ED" w:rsidRPr="008A635F" w:rsidRDefault="002915ED" w:rsidP="002915ED">
            <w:pPr>
              <w:pStyle w:val="naisc"/>
              <w:spacing w:after="0"/>
              <w:jc w:val="both"/>
              <w:rPr>
                <w:color w:val="000000" w:themeColor="text1"/>
              </w:rPr>
            </w:pPr>
            <w:r w:rsidRPr="008A635F">
              <w:rPr>
                <w:color w:val="000000" w:themeColor="text1"/>
              </w:rPr>
              <w:t xml:space="preserve">c) saīsināts pašu kapitāla izmaiņu pārskats; </w:t>
            </w:r>
          </w:p>
          <w:p w14:paraId="297EA0EB" w14:textId="77777777" w:rsidR="002915ED" w:rsidRPr="008A635F" w:rsidRDefault="002915ED" w:rsidP="002915ED">
            <w:pPr>
              <w:pStyle w:val="naisc"/>
              <w:spacing w:after="0"/>
              <w:jc w:val="both"/>
              <w:rPr>
                <w:color w:val="000000" w:themeColor="text1"/>
              </w:rPr>
            </w:pPr>
            <w:r w:rsidRPr="008A635F">
              <w:rPr>
                <w:color w:val="000000" w:themeColor="text1"/>
              </w:rPr>
              <w:t xml:space="preserve">d) saīsināts naudas plūsmu pārskats; </w:t>
            </w:r>
          </w:p>
          <w:p w14:paraId="79F032B5" w14:textId="77777777" w:rsidR="002915ED" w:rsidRPr="008A635F" w:rsidRDefault="002915ED" w:rsidP="002915ED">
            <w:pPr>
              <w:pStyle w:val="naisc"/>
              <w:spacing w:after="0"/>
              <w:jc w:val="both"/>
              <w:rPr>
                <w:color w:val="000000" w:themeColor="text1"/>
              </w:rPr>
            </w:pPr>
            <w:r w:rsidRPr="008A635F">
              <w:rPr>
                <w:color w:val="000000" w:themeColor="text1"/>
              </w:rPr>
              <w:t>e) atsevišķas paskaidrojošās piezīmes.</w:t>
            </w:r>
          </w:p>
          <w:p w14:paraId="0ED633B5" w14:textId="77777777" w:rsidR="002915ED" w:rsidRPr="008A635F" w:rsidRDefault="002915ED" w:rsidP="002915ED">
            <w:pPr>
              <w:pStyle w:val="naisc"/>
              <w:spacing w:after="0"/>
              <w:jc w:val="both"/>
              <w:rPr>
                <w:color w:val="000000" w:themeColor="text1"/>
              </w:rPr>
            </w:pPr>
            <w:r w:rsidRPr="008A635F">
              <w:rPr>
                <w:color w:val="000000" w:themeColor="text1"/>
              </w:rPr>
              <w:t xml:space="preserve">         Tādējādi aicinām Publiskas personas kapitāla daļu un kapitālsabiedrību pārvaldības likuma 58.panta ceturtās daļas 1.punktu papildināt ar jaunu teikumu šādā redakcijā:</w:t>
            </w:r>
          </w:p>
          <w:p w14:paraId="71E371B2" w14:textId="4A8A543C" w:rsidR="008F28F7" w:rsidRPr="00D54080" w:rsidRDefault="002915ED" w:rsidP="002915ED">
            <w:pPr>
              <w:pStyle w:val="naisc"/>
              <w:spacing w:before="0" w:after="0"/>
              <w:jc w:val="both"/>
            </w:pPr>
            <w:r w:rsidRPr="008A635F">
              <w:rPr>
                <w:color w:val="000000" w:themeColor="text1"/>
              </w:rPr>
              <w:t xml:space="preserve">         “Ja kapitālsabiedrība pārskatu gatavo atbilstoši starptautiskajiem grāmatvedības standartiem, kuri pieņemti saskaņā ar Eiropas Parlamenta un Padomes 2002.gada 19.jūlija regulu (EK) Nr.1606/2002 par starptautisko grāmatvedības standartu piemērošanu, tad starpperiodu finanšu pārskats sastāv vismaz no saīsinātā finanšu stāvokļa pārskata (saīsinātā bilance), saīsinātā atsevišķā peļņas vai zaudējumu aprēķina un saīsinātā apvienoto ienākumu pārskata, saīsinātā pašu kapitāla izmaiņu pārskata, saīsinātā naudas </w:t>
            </w:r>
            <w:r w:rsidRPr="008A635F">
              <w:rPr>
                <w:color w:val="000000" w:themeColor="text1"/>
              </w:rPr>
              <w:lastRenderedPageBreak/>
              <w:t>plūsmas pārskata un atsevišķajām paskaidrojošajām piezīmēm”.</w:t>
            </w:r>
          </w:p>
        </w:tc>
        <w:tc>
          <w:tcPr>
            <w:tcW w:w="1212" w:type="pct"/>
            <w:shd w:val="clear" w:color="auto" w:fill="auto"/>
          </w:tcPr>
          <w:p w14:paraId="20EFF4B1" w14:textId="0AFAA19F" w:rsidR="008F28F7" w:rsidRDefault="002915ED" w:rsidP="00322AEE">
            <w:pPr>
              <w:pStyle w:val="naisc"/>
              <w:spacing w:before="0" w:after="0"/>
              <w:jc w:val="both"/>
            </w:pPr>
            <w:r>
              <w:lastRenderedPageBreak/>
              <w:t>Daļēji ņemts vērā.</w:t>
            </w:r>
          </w:p>
          <w:p w14:paraId="3D8DB7EB" w14:textId="78CE7447" w:rsidR="002915ED" w:rsidRPr="00D54080" w:rsidRDefault="002915ED" w:rsidP="00D75FC9">
            <w:pPr>
              <w:pStyle w:val="naisc"/>
              <w:spacing w:before="0" w:after="0"/>
              <w:jc w:val="both"/>
            </w:pPr>
            <w:r>
              <w:t xml:space="preserve">PKC ir izvērtējis Finanšu ministrijas piedāvātos grozījumus Kapitālsabiedrību pārvaldības likuma 58.panta ceturtajā daļā un </w:t>
            </w:r>
            <w:r w:rsidR="00197FF4">
              <w:t>secina, ka saīsināta starp</w:t>
            </w:r>
            <w:r w:rsidR="00D75FC9">
              <w:t>p</w:t>
            </w:r>
            <w:r w:rsidR="00197FF4">
              <w:t xml:space="preserve">eriodu pārskata sagatavošana ir izvēles tiesība, tas nav obligāts pasākums. Līdz ar to pagaidām nav pietiekama pamata veikt grozījumus Kapitālsabiedrību pārvaldības likuma 58.panta ceturtajā daļā, taču jautājums par to kā </w:t>
            </w:r>
            <w:proofErr w:type="gramStart"/>
            <w:r w:rsidR="00197FF4">
              <w:t>piemērot Kapitālsabiedrību pārvaldība</w:t>
            </w:r>
            <w:r w:rsidR="004E7321">
              <w:t>s</w:t>
            </w:r>
            <w:proofErr w:type="gramEnd"/>
            <w:r w:rsidR="004E7321">
              <w:t xml:space="preserve"> likuma 58.pantu </w:t>
            </w:r>
            <w:r w:rsidR="004E7321">
              <w:lastRenderedPageBreak/>
              <w:t>gadījumos, kad</w:t>
            </w:r>
            <w:r w:rsidR="00197FF4">
              <w:t xml:space="preserve"> kapitālsabiedrība starpp</w:t>
            </w:r>
            <w:r w:rsidR="00D75FC9">
              <w:t>e</w:t>
            </w:r>
            <w:r w:rsidR="00197FF4">
              <w:t>riodu pārskatus sagatavo atbilstoši SGS, tiks atrunāts PKC izstrādātajās vadlīnijās par informācijas publiskošanu.</w:t>
            </w:r>
          </w:p>
        </w:tc>
        <w:tc>
          <w:tcPr>
            <w:tcW w:w="1197" w:type="pct"/>
            <w:shd w:val="clear" w:color="auto" w:fill="auto"/>
          </w:tcPr>
          <w:p w14:paraId="00D58EC3" w14:textId="7C50498A" w:rsidR="008F28F7" w:rsidRDefault="00197FF4" w:rsidP="00322AEE">
            <w:pPr>
              <w:rPr>
                <w:color w:val="000000" w:themeColor="text1"/>
              </w:rPr>
            </w:pPr>
            <w:r>
              <w:rPr>
                <w:color w:val="000000" w:themeColor="text1"/>
              </w:rPr>
              <w:lastRenderedPageBreak/>
              <w:t>Projekts netiek mainīts.</w:t>
            </w:r>
          </w:p>
        </w:tc>
      </w:tr>
      <w:tr w:rsidR="00F0149F" w:rsidRPr="001E5BBA" w14:paraId="6ACBFE26" w14:textId="77777777" w:rsidTr="00B85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1775" w:type="pct"/>
            <w:gridSpan w:val="3"/>
            <w:shd w:val="clear" w:color="auto" w:fill="FFFFFF" w:themeFill="background1"/>
          </w:tcPr>
          <w:p w14:paraId="5A6D595E" w14:textId="7504D404" w:rsidR="00F0149F" w:rsidRPr="001E5BBA" w:rsidRDefault="00F0149F" w:rsidP="00F0149F">
            <w:pPr>
              <w:rPr>
                <w:color w:val="000000" w:themeColor="text1"/>
                <w:sz w:val="20"/>
                <w:szCs w:val="20"/>
              </w:rPr>
            </w:pPr>
          </w:p>
          <w:p w14:paraId="3A08A7F4" w14:textId="77777777" w:rsidR="00322AEE" w:rsidRDefault="00322AEE" w:rsidP="00B85D9F">
            <w:pPr>
              <w:jc w:val="center"/>
              <w:rPr>
                <w:color w:val="000000" w:themeColor="text1"/>
                <w:sz w:val="20"/>
                <w:szCs w:val="20"/>
              </w:rPr>
            </w:pPr>
          </w:p>
          <w:p w14:paraId="5CB17AB4" w14:textId="77777777" w:rsidR="00322AEE" w:rsidRDefault="00322AEE" w:rsidP="00B85D9F">
            <w:pPr>
              <w:jc w:val="center"/>
              <w:rPr>
                <w:color w:val="000000" w:themeColor="text1"/>
                <w:sz w:val="20"/>
                <w:szCs w:val="20"/>
              </w:rPr>
            </w:pPr>
          </w:p>
          <w:p w14:paraId="300A5194" w14:textId="792006CA" w:rsidR="00F0149F" w:rsidRPr="001E5BBA" w:rsidRDefault="00F0149F" w:rsidP="00B85D9F">
            <w:pPr>
              <w:jc w:val="center"/>
              <w:rPr>
                <w:color w:val="000000" w:themeColor="text1"/>
                <w:sz w:val="20"/>
                <w:szCs w:val="20"/>
              </w:rPr>
            </w:pPr>
            <w:r w:rsidRPr="001E5BBA">
              <w:rPr>
                <w:color w:val="000000" w:themeColor="text1"/>
                <w:sz w:val="20"/>
                <w:szCs w:val="20"/>
              </w:rPr>
              <w:t>Atbildīgā amatpersona</w:t>
            </w:r>
          </w:p>
        </w:tc>
        <w:tc>
          <w:tcPr>
            <w:tcW w:w="3225" w:type="pct"/>
            <w:gridSpan w:val="4"/>
            <w:shd w:val="clear" w:color="auto" w:fill="FFFFFF" w:themeFill="background1"/>
          </w:tcPr>
          <w:p w14:paraId="16E859DC" w14:textId="58A9D427" w:rsidR="00F0149F" w:rsidRPr="001E5BBA" w:rsidRDefault="00F0149F" w:rsidP="00F0149F">
            <w:pPr>
              <w:ind w:firstLine="720"/>
              <w:jc w:val="both"/>
              <w:rPr>
                <w:color w:val="000000" w:themeColor="text1"/>
                <w:sz w:val="20"/>
                <w:szCs w:val="20"/>
              </w:rPr>
            </w:pPr>
          </w:p>
        </w:tc>
      </w:tr>
    </w:tbl>
    <w:p w14:paraId="47172038" w14:textId="4F5B58C2" w:rsidR="00D764BA" w:rsidRPr="001E5BBA" w:rsidRDefault="00D764BA" w:rsidP="00D764BA">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8A635F">
        <w:rPr>
          <w:color w:val="000000" w:themeColor="text1"/>
        </w:rPr>
        <w:t>Dzintra Gasūne</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001E5BBA" w:rsidRPr="001E5BBA" w14:paraId="5BED0C93" w14:textId="77777777" w:rsidTr="00517D4E">
        <w:tc>
          <w:tcPr>
            <w:tcW w:w="8268" w:type="dxa"/>
            <w:tcBorders>
              <w:top w:val="single" w:sz="4" w:space="0" w:color="000000"/>
            </w:tcBorders>
          </w:tcPr>
          <w:p w14:paraId="5D3BD87D" w14:textId="77777777" w:rsidR="00D764BA" w:rsidRPr="001E5BBA" w:rsidRDefault="00D764BA" w:rsidP="00D764BA">
            <w:pPr>
              <w:jc w:val="center"/>
              <w:rPr>
                <w:color w:val="000000" w:themeColor="text1"/>
              </w:rPr>
            </w:pPr>
            <w:r w:rsidRPr="001E5BBA">
              <w:rPr>
                <w:color w:val="000000" w:themeColor="text1"/>
              </w:rPr>
              <w:t>(par projektu atbildīgās amatpersonas vārds un uzvārds)</w:t>
            </w:r>
          </w:p>
        </w:tc>
      </w:tr>
      <w:tr w:rsidR="001E5BBA" w:rsidRPr="001E5BBA" w14:paraId="4373DF19" w14:textId="77777777" w:rsidTr="00517D4E">
        <w:tc>
          <w:tcPr>
            <w:tcW w:w="8268" w:type="dxa"/>
            <w:tcBorders>
              <w:bottom w:val="single" w:sz="4" w:space="0" w:color="000000"/>
            </w:tcBorders>
          </w:tcPr>
          <w:p w14:paraId="30084316" w14:textId="77777777" w:rsidR="00144D70" w:rsidRPr="001E5BBA" w:rsidRDefault="00144D70" w:rsidP="00D764BA">
            <w:pPr>
              <w:rPr>
                <w:color w:val="000000" w:themeColor="text1"/>
              </w:rPr>
            </w:pPr>
          </w:p>
          <w:p w14:paraId="19894DA1" w14:textId="7FFEE82D" w:rsidR="00D764BA" w:rsidRPr="001E5BBA" w:rsidRDefault="008A635F" w:rsidP="00F0149F">
            <w:pPr>
              <w:jc w:val="center"/>
              <w:rPr>
                <w:color w:val="000000" w:themeColor="text1"/>
              </w:rPr>
            </w:pPr>
            <w:r>
              <w:rPr>
                <w:color w:val="000000" w:themeColor="text1"/>
              </w:rPr>
              <w:t xml:space="preserve">Kapitālsabiedrību pārvaldības </w:t>
            </w:r>
            <w:r w:rsidR="00F0149F">
              <w:rPr>
                <w:color w:val="000000" w:themeColor="text1"/>
              </w:rPr>
              <w:t>nodaļas vadītāja</w:t>
            </w:r>
          </w:p>
        </w:tc>
      </w:tr>
      <w:tr w:rsidR="001E5BBA" w:rsidRPr="001E5BBA" w14:paraId="47EBEF59" w14:textId="77777777" w:rsidTr="00517D4E">
        <w:tc>
          <w:tcPr>
            <w:tcW w:w="8268" w:type="dxa"/>
            <w:tcBorders>
              <w:top w:val="single" w:sz="4" w:space="0" w:color="000000"/>
            </w:tcBorders>
          </w:tcPr>
          <w:p w14:paraId="4F42921B" w14:textId="77777777" w:rsidR="00D764BA" w:rsidRPr="001E5BBA" w:rsidRDefault="00D764BA" w:rsidP="00D764BA">
            <w:pPr>
              <w:jc w:val="center"/>
              <w:rPr>
                <w:color w:val="000000" w:themeColor="text1"/>
              </w:rPr>
            </w:pPr>
            <w:r w:rsidRPr="001E5BBA">
              <w:rPr>
                <w:color w:val="000000" w:themeColor="text1"/>
              </w:rPr>
              <w:t>(amats)</w:t>
            </w:r>
          </w:p>
        </w:tc>
      </w:tr>
      <w:tr w:rsidR="001E5BBA" w:rsidRPr="001E5BBA" w14:paraId="4FC19CA5" w14:textId="77777777" w:rsidTr="00517D4E">
        <w:tc>
          <w:tcPr>
            <w:tcW w:w="8268" w:type="dxa"/>
            <w:tcBorders>
              <w:bottom w:val="single" w:sz="4" w:space="0" w:color="000000"/>
            </w:tcBorders>
          </w:tcPr>
          <w:p w14:paraId="414A057E" w14:textId="06B27564" w:rsidR="00F0149F" w:rsidRPr="001E5BBA" w:rsidRDefault="00872FE2" w:rsidP="00F0149F">
            <w:pPr>
              <w:jc w:val="center"/>
              <w:rPr>
                <w:color w:val="000000" w:themeColor="text1"/>
              </w:rPr>
            </w:pPr>
            <w:r>
              <w:rPr>
                <w:color w:val="000000" w:themeColor="text1"/>
              </w:rPr>
              <w:t>6</w:t>
            </w:r>
            <w:r w:rsidR="00F0149F">
              <w:rPr>
                <w:color w:val="000000" w:themeColor="text1"/>
              </w:rPr>
              <w:t>70</w:t>
            </w:r>
            <w:r w:rsidR="008A635F">
              <w:rPr>
                <w:color w:val="000000" w:themeColor="text1"/>
              </w:rPr>
              <w:t>82</w:t>
            </w:r>
            <w:r w:rsidR="00F0149F">
              <w:rPr>
                <w:color w:val="000000" w:themeColor="text1"/>
              </w:rPr>
              <w:t>8</w:t>
            </w:r>
            <w:r w:rsidR="008A635F">
              <w:rPr>
                <w:color w:val="000000" w:themeColor="text1"/>
              </w:rPr>
              <w:t>921</w:t>
            </w:r>
          </w:p>
        </w:tc>
      </w:tr>
      <w:tr w:rsidR="001E5BBA" w:rsidRPr="001E5BBA" w14:paraId="029B61C0" w14:textId="77777777" w:rsidTr="00517D4E">
        <w:tc>
          <w:tcPr>
            <w:tcW w:w="8268" w:type="dxa"/>
            <w:tcBorders>
              <w:top w:val="single" w:sz="4" w:space="0" w:color="000000"/>
            </w:tcBorders>
          </w:tcPr>
          <w:p w14:paraId="51A35908" w14:textId="77777777" w:rsidR="00D764BA" w:rsidRPr="001E5BBA" w:rsidRDefault="00144D70" w:rsidP="00144D70">
            <w:pPr>
              <w:jc w:val="center"/>
              <w:rPr>
                <w:color w:val="000000" w:themeColor="text1"/>
              </w:rPr>
            </w:pPr>
            <w:r w:rsidRPr="001E5BBA">
              <w:rPr>
                <w:color w:val="000000" w:themeColor="text1"/>
              </w:rPr>
              <w:t xml:space="preserve">(tālruņa </w:t>
            </w:r>
            <w:r w:rsidR="00D764BA" w:rsidRPr="001E5BBA">
              <w:rPr>
                <w:color w:val="000000" w:themeColor="text1"/>
              </w:rPr>
              <w:t>numurs)</w:t>
            </w:r>
          </w:p>
        </w:tc>
      </w:tr>
      <w:tr w:rsidR="0066148B" w:rsidRPr="001E5BBA" w14:paraId="5B4EDCA9" w14:textId="77777777" w:rsidTr="00517D4E">
        <w:tc>
          <w:tcPr>
            <w:tcW w:w="8268" w:type="dxa"/>
            <w:tcBorders>
              <w:top w:val="single" w:sz="4" w:space="0" w:color="000000"/>
            </w:tcBorders>
          </w:tcPr>
          <w:p w14:paraId="68D555F1" w14:textId="77777777" w:rsidR="0066148B" w:rsidRPr="001E5BBA" w:rsidRDefault="0066148B" w:rsidP="00D764BA">
            <w:pPr>
              <w:jc w:val="center"/>
              <w:rPr>
                <w:color w:val="000000" w:themeColor="text1"/>
              </w:rPr>
            </w:pPr>
          </w:p>
        </w:tc>
      </w:tr>
    </w:tbl>
    <w:p w14:paraId="2E1EF4DE" w14:textId="77777777" w:rsidR="00872FE2" w:rsidRDefault="00872FE2" w:rsidP="00D764BA">
      <w:pPr>
        <w:tabs>
          <w:tab w:val="left" w:pos="6840"/>
        </w:tabs>
        <w:jc w:val="both"/>
        <w:rPr>
          <w:color w:val="000000" w:themeColor="text1"/>
          <w:sz w:val="20"/>
          <w:szCs w:val="20"/>
        </w:rPr>
      </w:pPr>
      <w:bookmarkStart w:id="0" w:name="_GoBack"/>
      <w:bookmarkEnd w:id="0"/>
    </w:p>
    <w:p w14:paraId="46343BCE" w14:textId="711E081F" w:rsidR="00B85D9F" w:rsidRPr="00B85D9F" w:rsidRDefault="00B85D9F" w:rsidP="00B85D9F">
      <w:pPr>
        <w:widowControl w:val="0"/>
        <w:rPr>
          <w:rFonts w:eastAsia="Calibri"/>
          <w:sz w:val="20"/>
          <w:szCs w:val="20"/>
        </w:rPr>
      </w:pPr>
      <w:r w:rsidRPr="00B85D9F">
        <w:rPr>
          <w:rFonts w:eastAsia="Calibri"/>
          <w:sz w:val="20"/>
          <w:szCs w:val="20"/>
        </w:rPr>
        <w:t xml:space="preserve"> </w:t>
      </w:r>
    </w:p>
    <w:sectPr w:rsidR="00B85D9F" w:rsidRPr="00B85D9F" w:rsidSect="004E7321">
      <w:headerReference w:type="default" r:id="rId9"/>
      <w:footerReference w:type="default" r:id="rId10"/>
      <w:footerReference w:type="first" r:id="rId11"/>
      <w:pgSz w:w="16838" w:h="11906" w:orient="landscape"/>
      <w:pgMar w:top="1800"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A786D" w14:textId="77777777" w:rsidR="003930E3" w:rsidRDefault="003930E3" w:rsidP="00B31052">
      <w:r>
        <w:separator/>
      </w:r>
    </w:p>
  </w:endnote>
  <w:endnote w:type="continuationSeparator" w:id="0">
    <w:p w14:paraId="3F761F69" w14:textId="77777777" w:rsidR="003930E3" w:rsidRDefault="003930E3" w:rsidP="00B31052">
      <w:r>
        <w:continuationSeparator/>
      </w:r>
    </w:p>
  </w:endnote>
  <w:endnote w:type="continuationNotice" w:id="1">
    <w:p w14:paraId="5C990A1D" w14:textId="77777777" w:rsidR="003930E3" w:rsidRDefault="0039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F453" w14:textId="42C10812" w:rsidR="00480C5A" w:rsidRPr="00322AEE" w:rsidRDefault="00B7206C" w:rsidP="00322AEE">
    <w:pPr>
      <w:rPr>
        <w:sz w:val="20"/>
        <w:szCs w:val="20"/>
      </w:rPr>
    </w:pPr>
    <w:bookmarkStart w:id="1" w:name="_Hlk26430787"/>
    <w:bookmarkStart w:id="2" w:name="_Hlk26430788"/>
    <w:r>
      <w:rPr>
        <w:sz w:val="20"/>
        <w:szCs w:val="20"/>
      </w:rPr>
      <w:t>PKC</w:t>
    </w:r>
    <w:r w:rsidR="00322AEE">
      <w:rPr>
        <w:sz w:val="20"/>
        <w:szCs w:val="20"/>
      </w:rPr>
      <w:t>i</w:t>
    </w:r>
    <w:r w:rsidR="00322AEE" w:rsidRPr="00B1065F">
      <w:rPr>
        <w:sz w:val="20"/>
        <w:szCs w:val="20"/>
      </w:rPr>
      <w:t>zz_</w:t>
    </w:r>
    <w:r w:rsidR="004E7321">
      <w:rPr>
        <w:sz w:val="20"/>
        <w:szCs w:val="20"/>
      </w:rPr>
      <w:t>11</w:t>
    </w:r>
    <w:r w:rsidR="00322AEE">
      <w:rPr>
        <w:sz w:val="20"/>
        <w:szCs w:val="20"/>
      </w:rPr>
      <w:t>1219_</w:t>
    </w:r>
    <w:r>
      <w:rPr>
        <w:sz w:val="20"/>
        <w:szCs w:val="20"/>
      </w:rPr>
      <w:t>Groz_parvaldiba</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D5F4" w14:textId="1F28FEC0" w:rsidR="00322AEE" w:rsidRPr="00322AEE" w:rsidRDefault="00B7206C">
    <w:pPr>
      <w:rPr>
        <w:sz w:val="20"/>
        <w:szCs w:val="20"/>
      </w:rPr>
    </w:pPr>
    <w:r w:rsidRPr="00B7206C">
      <w:rPr>
        <w:sz w:val="20"/>
        <w:szCs w:val="20"/>
      </w:rPr>
      <w:t>PKCizz_</w:t>
    </w:r>
    <w:r w:rsidR="004E7321">
      <w:rPr>
        <w:sz w:val="20"/>
        <w:szCs w:val="20"/>
      </w:rPr>
      <w:t>11</w:t>
    </w:r>
    <w:r w:rsidRPr="00B7206C">
      <w:rPr>
        <w:sz w:val="20"/>
        <w:szCs w:val="20"/>
      </w:rPr>
      <w:t>1219_Groz_parvaldiba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A55A" w14:textId="77777777" w:rsidR="003930E3" w:rsidRDefault="003930E3" w:rsidP="00B31052">
      <w:r>
        <w:separator/>
      </w:r>
    </w:p>
  </w:footnote>
  <w:footnote w:type="continuationSeparator" w:id="0">
    <w:p w14:paraId="6D507234" w14:textId="77777777" w:rsidR="003930E3" w:rsidRDefault="003930E3" w:rsidP="00B31052">
      <w:r>
        <w:continuationSeparator/>
      </w:r>
    </w:p>
  </w:footnote>
  <w:footnote w:type="continuationNotice" w:id="1">
    <w:p w14:paraId="4D2AD604" w14:textId="77777777" w:rsidR="003930E3" w:rsidRDefault="003930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2184"/>
      <w:docPartObj>
        <w:docPartGallery w:val="Page Numbers (Top of Page)"/>
        <w:docPartUnique/>
      </w:docPartObj>
    </w:sdtPr>
    <w:sdtEndPr>
      <w:rPr>
        <w:noProof/>
      </w:rPr>
    </w:sdtEndPr>
    <w:sdtContent>
      <w:p w14:paraId="74F6CAE4" w14:textId="6AF5ACD7" w:rsidR="00480C5A" w:rsidRDefault="00480C5A">
        <w:pPr>
          <w:pStyle w:val="Header"/>
          <w:jc w:val="center"/>
        </w:pPr>
        <w:r>
          <w:fldChar w:fldCharType="begin"/>
        </w:r>
        <w:r>
          <w:instrText xml:space="preserve"> PAGE   \* MERGEFORMAT </w:instrText>
        </w:r>
        <w:r>
          <w:fldChar w:fldCharType="separate"/>
        </w:r>
        <w:r w:rsidR="004E7321">
          <w:rPr>
            <w:noProof/>
          </w:rPr>
          <w:t>2</w:t>
        </w:r>
        <w:r>
          <w:rPr>
            <w:noProof/>
          </w:rPr>
          <w:fldChar w:fldCharType="end"/>
        </w:r>
      </w:p>
    </w:sdtContent>
  </w:sdt>
  <w:p w14:paraId="3AD28ADC" w14:textId="77777777" w:rsidR="00480C5A" w:rsidRDefault="00480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52"/>
    <w:rsid w:val="000006D1"/>
    <w:rsid w:val="00001D8C"/>
    <w:rsid w:val="000024B5"/>
    <w:rsid w:val="000026A3"/>
    <w:rsid w:val="00002B38"/>
    <w:rsid w:val="0000364D"/>
    <w:rsid w:val="00003873"/>
    <w:rsid w:val="00006EC9"/>
    <w:rsid w:val="00010448"/>
    <w:rsid w:val="000112E1"/>
    <w:rsid w:val="00011CD1"/>
    <w:rsid w:val="000123A2"/>
    <w:rsid w:val="000148ED"/>
    <w:rsid w:val="00014A9D"/>
    <w:rsid w:val="000156F3"/>
    <w:rsid w:val="00015B3A"/>
    <w:rsid w:val="00021150"/>
    <w:rsid w:val="00024B34"/>
    <w:rsid w:val="00025CE7"/>
    <w:rsid w:val="00026237"/>
    <w:rsid w:val="00027267"/>
    <w:rsid w:val="0003218D"/>
    <w:rsid w:val="00032324"/>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56EA0"/>
    <w:rsid w:val="001619F5"/>
    <w:rsid w:val="001621D6"/>
    <w:rsid w:val="00165DB3"/>
    <w:rsid w:val="00166EAC"/>
    <w:rsid w:val="00170024"/>
    <w:rsid w:val="001711DA"/>
    <w:rsid w:val="0017342A"/>
    <w:rsid w:val="00175675"/>
    <w:rsid w:val="00175BF4"/>
    <w:rsid w:val="00176E8C"/>
    <w:rsid w:val="00181797"/>
    <w:rsid w:val="001819AE"/>
    <w:rsid w:val="001828C7"/>
    <w:rsid w:val="0018474C"/>
    <w:rsid w:val="00185680"/>
    <w:rsid w:val="00185CA0"/>
    <w:rsid w:val="001865E7"/>
    <w:rsid w:val="00190037"/>
    <w:rsid w:val="00190393"/>
    <w:rsid w:val="001976F6"/>
    <w:rsid w:val="0019780A"/>
    <w:rsid w:val="00197D64"/>
    <w:rsid w:val="00197FF4"/>
    <w:rsid w:val="001A0C00"/>
    <w:rsid w:val="001A35BF"/>
    <w:rsid w:val="001A7FF9"/>
    <w:rsid w:val="001B05BC"/>
    <w:rsid w:val="001B0F21"/>
    <w:rsid w:val="001B1AD6"/>
    <w:rsid w:val="001B1CDC"/>
    <w:rsid w:val="001B3100"/>
    <w:rsid w:val="001B3F63"/>
    <w:rsid w:val="001B7252"/>
    <w:rsid w:val="001B7DCD"/>
    <w:rsid w:val="001C0ADE"/>
    <w:rsid w:val="001C0AF8"/>
    <w:rsid w:val="001C4332"/>
    <w:rsid w:val="001D0B6B"/>
    <w:rsid w:val="001D1797"/>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747F"/>
    <w:rsid w:val="00200427"/>
    <w:rsid w:val="0020131C"/>
    <w:rsid w:val="00201A95"/>
    <w:rsid w:val="002036D5"/>
    <w:rsid w:val="00204402"/>
    <w:rsid w:val="00213C7C"/>
    <w:rsid w:val="002150BC"/>
    <w:rsid w:val="002151D7"/>
    <w:rsid w:val="00215E20"/>
    <w:rsid w:val="002172DA"/>
    <w:rsid w:val="00217692"/>
    <w:rsid w:val="00217CB0"/>
    <w:rsid w:val="0022083A"/>
    <w:rsid w:val="00222E45"/>
    <w:rsid w:val="00225589"/>
    <w:rsid w:val="0022581F"/>
    <w:rsid w:val="00225F1D"/>
    <w:rsid w:val="002276B6"/>
    <w:rsid w:val="00230003"/>
    <w:rsid w:val="00232C2C"/>
    <w:rsid w:val="00235E0F"/>
    <w:rsid w:val="00237835"/>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B57"/>
    <w:rsid w:val="00262EA4"/>
    <w:rsid w:val="0026403B"/>
    <w:rsid w:val="00264F9E"/>
    <w:rsid w:val="00265A3E"/>
    <w:rsid w:val="0026605C"/>
    <w:rsid w:val="00266F88"/>
    <w:rsid w:val="002677F1"/>
    <w:rsid w:val="002702C2"/>
    <w:rsid w:val="00274491"/>
    <w:rsid w:val="00274915"/>
    <w:rsid w:val="00276CD5"/>
    <w:rsid w:val="00276D84"/>
    <w:rsid w:val="002816E3"/>
    <w:rsid w:val="002846C2"/>
    <w:rsid w:val="00284A2D"/>
    <w:rsid w:val="00286C22"/>
    <w:rsid w:val="00287665"/>
    <w:rsid w:val="00287EE3"/>
    <w:rsid w:val="002902B0"/>
    <w:rsid w:val="002915ED"/>
    <w:rsid w:val="00291E23"/>
    <w:rsid w:val="00291FBA"/>
    <w:rsid w:val="00292D6A"/>
    <w:rsid w:val="00296599"/>
    <w:rsid w:val="00296AE0"/>
    <w:rsid w:val="00296B4A"/>
    <w:rsid w:val="002A2E58"/>
    <w:rsid w:val="002A2EE5"/>
    <w:rsid w:val="002A3F86"/>
    <w:rsid w:val="002A47D6"/>
    <w:rsid w:val="002A4BD8"/>
    <w:rsid w:val="002A5B8E"/>
    <w:rsid w:val="002A5E22"/>
    <w:rsid w:val="002A6260"/>
    <w:rsid w:val="002A62C8"/>
    <w:rsid w:val="002A701F"/>
    <w:rsid w:val="002B0447"/>
    <w:rsid w:val="002B0820"/>
    <w:rsid w:val="002B3324"/>
    <w:rsid w:val="002B497E"/>
    <w:rsid w:val="002B59C6"/>
    <w:rsid w:val="002B5E21"/>
    <w:rsid w:val="002B7E54"/>
    <w:rsid w:val="002C0CBF"/>
    <w:rsid w:val="002C365E"/>
    <w:rsid w:val="002C7D12"/>
    <w:rsid w:val="002D0DF3"/>
    <w:rsid w:val="002D1158"/>
    <w:rsid w:val="002D5104"/>
    <w:rsid w:val="002D6846"/>
    <w:rsid w:val="002E2612"/>
    <w:rsid w:val="002E327F"/>
    <w:rsid w:val="002E40FB"/>
    <w:rsid w:val="002F10B0"/>
    <w:rsid w:val="002F20B0"/>
    <w:rsid w:val="002F237F"/>
    <w:rsid w:val="002F2708"/>
    <w:rsid w:val="002F3F0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6574"/>
    <w:rsid w:val="00326C99"/>
    <w:rsid w:val="00327486"/>
    <w:rsid w:val="00330664"/>
    <w:rsid w:val="0034120B"/>
    <w:rsid w:val="00341885"/>
    <w:rsid w:val="00342411"/>
    <w:rsid w:val="003442DA"/>
    <w:rsid w:val="003470D2"/>
    <w:rsid w:val="0034713B"/>
    <w:rsid w:val="00347A4E"/>
    <w:rsid w:val="003503F8"/>
    <w:rsid w:val="00352CD3"/>
    <w:rsid w:val="0035417C"/>
    <w:rsid w:val="003550DD"/>
    <w:rsid w:val="00355C85"/>
    <w:rsid w:val="003568D7"/>
    <w:rsid w:val="003568E3"/>
    <w:rsid w:val="00361883"/>
    <w:rsid w:val="00363AAC"/>
    <w:rsid w:val="00371237"/>
    <w:rsid w:val="0037407C"/>
    <w:rsid w:val="00374F3C"/>
    <w:rsid w:val="00375CE5"/>
    <w:rsid w:val="00376BD8"/>
    <w:rsid w:val="003771D0"/>
    <w:rsid w:val="003774D7"/>
    <w:rsid w:val="00380662"/>
    <w:rsid w:val="003806AE"/>
    <w:rsid w:val="003813A0"/>
    <w:rsid w:val="0038324A"/>
    <w:rsid w:val="00383393"/>
    <w:rsid w:val="00387D05"/>
    <w:rsid w:val="0039253E"/>
    <w:rsid w:val="00392B00"/>
    <w:rsid w:val="00392D70"/>
    <w:rsid w:val="00392E7E"/>
    <w:rsid w:val="003930E3"/>
    <w:rsid w:val="00393176"/>
    <w:rsid w:val="00393453"/>
    <w:rsid w:val="00393C31"/>
    <w:rsid w:val="00395756"/>
    <w:rsid w:val="00397BBD"/>
    <w:rsid w:val="003A2232"/>
    <w:rsid w:val="003A398F"/>
    <w:rsid w:val="003A3DA8"/>
    <w:rsid w:val="003A7EFF"/>
    <w:rsid w:val="003B241C"/>
    <w:rsid w:val="003B3B2E"/>
    <w:rsid w:val="003B48E9"/>
    <w:rsid w:val="003B4A25"/>
    <w:rsid w:val="003B5062"/>
    <w:rsid w:val="003B70C4"/>
    <w:rsid w:val="003C3305"/>
    <w:rsid w:val="003C47BE"/>
    <w:rsid w:val="003C6D8C"/>
    <w:rsid w:val="003C6F30"/>
    <w:rsid w:val="003D0E7D"/>
    <w:rsid w:val="003D1358"/>
    <w:rsid w:val="003D1659"/>
    <w:rsid w:val="003D2590"/>
    <w:rsid w:val="003D26E6"/>
    <w:rsid w:val="003D3419"/>
    <w:rsid w:val="003D34AA"/>
    <w:rsid w:val="003D4038"/>
    <w:rsid w:val="003E060F"/>
    <w:rsid w:val="003E104B"/>
    <w:rsid w:val="003E16E5"/>
    <w:rsid w:val="003E23C3"/>
    <w:rsid w:val="003E26CE"/>
    <w:rsid w:val="003E4D1B"/>
    <w:rsid w:val="003E6484"/>
    <w:rsid w:val="003E6E39"/>
    <w:rsid w:val="003E6E48"/>
    <w:rsid w:val="003F00F2"/>
    <w:rsid w:val="003F075C"/>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5662"/>
    <w:rsid w:val="00415D65"/>
    <w:rsid w:val="00417014"/>
    <w:rsid w:val="0041720D"/>
    <w:rsid w:val="0041749A"/>
    <w:rsid w:val="004208CF"/>
    <w:rsid w:val="004210F7"/>
    <w:rsid w:val="004211B7"/>
    <w:rsid w:val="00425C95"/>
    <w:rsid w:val="00426148"/>
    <w:rsid w:val="00426FF6"/>
    <w:rsid w:val="00427F59"/>
    <w:rsid w:val="0043232B"/>
    <w:rsid w:val="004329CC"/>
    <w:rsid w:val="0043317E"/>
    <w:rsid w:val="00433A8D"/>
    <w:rsid w:val="00433CF2"/>
    <w:rsid w:val="00434D7E"/>
    <w:rsid w:val="00435EFF"/>
    <w:rsid w:val="004365C0"/>
    <w:rsid w:val="004365D2"/>
    <w:rsid w:val="00443BE3"/>
    <w:rsid w:val="0044411E"/>
    <w:rsid w:val="00444143"/>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DA1"/>
    <w:rsid w:val="004640F0"/>
    <w:rsid w:val="0046662E"/>
    <w:rsid w:val="00467F6D"/>
    <w:rsid w:val="0047012D"/>
    <w:rsid w:val="00471414"/>
    <w:rsid w:val="00471874"/>
    <w:rsid w:val="00473B7A"/>
    <w:rsid w:val="0047456D"/>
    <w:rsid w:val="00477AE8"/>
    <w:rsid w:val="004806A1"/>
    <w:rsid w:val="00480C5A"/>
    <w:rsid w:val="00481B7F"/>
    <w:rsid w:val="004822C9"/>
    <w:rsid w:val="004856F8"/>
    <w:rsid w:val="004860D0"/>
    <w:rsid w:val="004867C8"/>
    <w:rsid w:val="00486873"/>
    <w:rsid w:val="00492B0B"/>
    <w:rsid w:val="00493434"/>
    <w:rsid w:val="00493804"/>
    <w:rsid w:val="00493CCC"/>
    <w:rsid w:val="00495298"/>
    <w:rsid w:val="004963CF"/>
    <w:rsid w:val="004A0D4D"/>
    <w:rsid w:val="004A1563"/>
    <w:rsid w:val="004B098C"/>
    <w:rsid w:val="004B1B76"/>
    <w:rsid w:val="004B508F"/>
    <w:rsid w:val="004B51C7"/>
    <w:rsid w:val="004B7086"/>
    <w:rsid w:val="004C3E2C"/>
    <w:rsid w:val="004C5000"/>
    <w:rsid w:val="004C6E8A"/>
    <w:rsid w:val="004C7E1E"/>
    <w:rsid w:val="004D1A1F"/>
    <w:rsid w:val="004D1ED0"/>
    <w:rsid w:val="004D2FD4"/>
    <w:rsid w:val="004D4875"/>
    <w:rsid w:val="004D4BB0"/>
    <w:rsid w:val="004D6638"/>
    <w:rsid w:val="004E4051"/>
    <w:rsid w:val="004E5C5B"/>
    <w:rsid w:val="004E5E5E"/>
    <w:rsid w:val="004E691A"/>
    <w:rsid w:val="004E6B05"/>
    <w:rsid w:val="004E7321"/>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D4E"/>
    <w:rsid w:val="005208D6"/>
    <w:rsid w:val="00523363"/>
    <w:rsid w:val="00525194"/>
    <w:rsid w:val="0052791A"/>
    <w:rsid w:val="00530719"/>
    <w:rsid w:val="0053075F"/>
    <w:rsid w:val="005327E2"/>
    <w:rsid w:val="0053301B"/>
    <w:rsid w:val="00533073"/>
    <w:rsid w:val="00533F5A"/>
    <w:rsid w:val="005340BA"/>
    <w:rsid w:val="00534C28"/>
    <w:rsid w:val="005353DB"/>
    <w:rsid w:val="00536E64"/>
    <w:rsid w:val="00537DC1"/>
    <w:rsid w:val="005416F2"/>
    <w:rsid w:val="00542164"/>
    <w:rsid w:val="005427BB"/>
    <w:rsid w:val="00544F02"/>
    <w:rsid w:val="00551571"/>
    <w:rsid w:val="00551D8F"/>
    <w:rsid w:val="00553E7B"/>
    <w:rsid w:val="0055441B"/>
    <w:rsid w:val="00557ED0"/>
    <w:rsid w:val="00560C3D"/>
    <w:rsid w:val="0056103C"/>
    <w:rsid w:val="0056209A"/>
    <w:rsid w:val="005634B7"/>
    <w:rsid w:val="0056493E"/>
    <w:rsid w:val="00565A59"/>
    <w:rsid w:val="00565C69"/>
    <w:rsid w:val="005752C1"/>
    <w:rsid w:val="00580E54"/>
    <w:rsid w:val="00581E1B"/>
    <w:rsid w:val="005822D5"/>
    <w:rsid w:val="0058267E"/>
    <w:rsid w:val="00582E11"/>
    <w:rsid w:val="00583CE2"/>
    <w:rsid w:val="00590109"/>
    <w:rsid w:val="0059056D"/>
    <w:rsid w:val="00592F0D"/>
    <w:rsid w:val="00595C26"/>
    <w:rsid w:val="005967C4"/>
    <w:rsid w:val="00596B2C"/>
    <w:rsid w:val="00597FB2"/>
    <w:rsid w:val="005A108F"/>
    <w:rsid w:val="005A2AC3"/>
    <w:rsid w:val="005A2CA7"/>
    <w:rsid w:val="005A36E9"/>
    <w:rsid w:val="005A5D22"/>
    <w:rsid w:val="005B0235"/>
    <w:rsid w:val="005B0F1B"/>
    <w:rsid w:val="005B118F"/>
    <w:rsid w:val="005B235E"/>
    <w:rsid w:val="005B539F"/>
    <w:rsid w:val="005B559B"/>
    <w:rsid w:val="005B5D2A"/>
    <w:rsid w:val="005B78E5"/>
    <w:rsid w:val="005C01E0"/>
    <w:rsid w:val="005C0239"/>
    <w:rsid w:val="005C2B46"/>
    <w:rsid w:val="005C443B"/>
    <w:rsid w:val="005C4A64"/>
    <w:rsid w:val="005C703C"/>
    <w:rsid w:val="005C7840"/>
    <w:rsid w:val="005C78EF"/>
    <w:rsid w:val="005D09B3"/>
    <w:rsid w:val="005D1CBB"/>
    <w:rsid w:val="005D415C"/>
    <w:rsid w:val="005D5CB2"/>
    <w:rsid w:val="005D5D1D"/>
    <w:rsid w:val="005D6F5B"/>
    <w:rsid w:val="005E0A53"/>
    <w:rsid w:val="005E1F34"/>
    <w:rsid w:val="005E21D0"/>
    <w:rsid w:val="005E24A1"/>
    <w:rsid w:val="005E3894"/>
    <w:rsid w:val="005E4ADE"/>
    <w:rsid w:val="005E4E19"/>
    <w:rsid w:val="005F0A0B"/>
    <w:rsid w:val="005F199E"/>
    <w:rsid w:val="005F20F5"/>
    <w:rsid w:val="005F3D27"/>
    <w:rsid w:val="005F4ED0"/>
    <w:rsid w:val="005F5340"/>
    <w:rsid w:val="00601117"/>
    <w:rsid w:val="0060340C"/>
    <w:rsid w:val="006036C1"/>
    <w:rsid w:val="00604D41"/>
    <w:rsid w:val="00606E6A"/>
    <w:rsid w:val="00613C38"/>
    <w:rsid w:val="00613D96"/>
    <w:rsid w:val="00614D98"/>
    <w:rsid w:val="00616C43"/>
    <w:rsid w:val="00617E02"/>
    <w:rsid w:val="00623225"/>
    <w:rsid w:val="0062718D"/>
    <w:rsid w:val="006271B6"/>
    <w:rsid w:val="00631B33"/>
    <w:rsid w:val="006347AD"/>
    <w:rsid w:val="006352E1"/>
    <w:rsid w:val="006354F3"/>
    <w:rsid w:val="00635D23"/>
    <w:rsid w:val="00637541"/>
    <w:rsid w:val="00637711"/>
    <w:rsid w:val="00642311"/>
    <w:rsid w:val="0064394C"/>
    <w:rsid w:val="00644B73"/>
    <w:rsid w:val="00644EB4"/>
    <w:rsid w:val="006477C4"/>
    <w:rsid w:val="00650558"/>
    <w:rsid w:val="0065111F"/>
    <w:rsid w:val="00651386"/>
    <w:rsid w:val="00651532"/>
    <w:rsid w:val="00651F1F"/>
    <w:rsid w:val="006522CC"/>
    <w:rsid w:val="00652D96"/>
    <w:rsid w:val="00652FD4"/>
    <w:rsid w:val="006535F0"/>
    <w:rsid w:val="00654CE9"/>
    <w:rsid w:val="00656BC9"/>
    <w:rsid w:val="0065776C"/>
    <w:rsid w:val="00660780"/>
    <w:rsid w:val="006612A3"/>
    <w:rsid w:val="0066148B"/>
    <w:rsid w:val="00664389"/>
    <w:rsid w:val="006647CC"/>
    <w:rsid w:val="00665203"/>
    <w:rsid w:val="00665927"/>
    <w:rsid w:val="00666B9A"/>
    <w:rsid w:val="00670905"/>
    <w:rsid w:val="0067105C"/>
    <w:rsid w:val="0067119A"/>
    <w:rsid w:val="00675EA7"/>
    <w:rsid w:val="006774C2"/>
    <w:rsid w:val="00680806"/>
    <w:rsid w:val="00681A45"/>
    <w:rsid w:val="006827AB"/>
    <w:rsid w:val="006829DE"/>
    <w:rsid w:val="006830A6"/>
    <w:rsid w:val="00683EAB"/>
    <w:rsid w:val="00684E36"/>
    <w:rsid w:val="00685980"/>
    <w:rsid w:val="00685B92"/>
    <w:rsid w:val="00685FC3"/>
    <w:rsid w:val="00686AF7"/>
    <w:rsid w:val="00686C79"/>
    <w:rsid w:val="006906BE"/>
    <w:rsid w:val="00690A13"/>
    <w:rsid w:val="00691092"/>
    <w:rsid w:val="0069119F"/>
    <w:rsid w:val="006920DE"/>
    <w:rsid w:val="006923F2"/>
    <w:rsid w:val="00693425"/>
    <w:rsid w:val="00693D6F"/>
    <w:rsid w:val="00694CEE"/>
    <w:rsid w:val="00696BB3"/>
    <w:rsid w:val="006A0752"/>
    <w:rsid w:val="006A282A"/>
    <w:rsid w:val="006A551B"/>
    <w:rsid w:val="006A5B58"/>
    <w:rsid w:val="006A68DB"/>
    <w:rsid w:val="006A7CDF"/>
    <w:rsid w:val="006A7D88"/>
    <w:rsid w:val="006B036F"/>
    <w:rsid w:val="006B0A9D"/>
    <w:rsid w:val="006C02EC"/>
    <w:rsid w:val="006C1C06"/>
    <w:rsid w:val="006C2532"/>
    <w:rsid w:val="006C401B"/>
    <w:rsid w:val="006C4F94"/>
    <w:rsid w:val="006C592B"/>
    <w:rsid w:val="006C7618"/>
    <w:rsid w:val="006D05E2"/>
    <w:rsid w:val="006D1142"/>
    <w:rsid w:val="006D212A"/>
    <w:rsid w:val="006D2999"/>
    <w:rsid w:val="006D3C23"/>
    <w:rsid w:val="006D6418"/>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3015"/>
    <w:rsid w:val="00793392"/>
    <w:rsid w:val="007938A2"/>
    <w:rsid w:val="00794D82"/>
    <w:rsid w:val="00796337"/>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46F8"/>
    <w:rsid w:val="007C49C6"/>
    <w:rsid w:val="007C6776"/>
    <w:rsid w:val="007D28D5"/>
    <w:rsid w:val="007D2961"/>
    <w:rsid w:val="007D2B38"/>
    <w:rsid w:val="007D2F6F"/>
    <w:rsid w:val="007D3329"/>
    <w:rsid w:val="007D3DF8"/>
    <w:rsid w:val="007D7AE8"/>
    <w:rsid w:val="007D7B91"/>
    <w:rsid w:val="007E0AC2"/>
    <w:rsid w:val="007E2771"/>
    <w:rsid w:val="007E2C6A"/>
    <w:rsid w:val="007E5E1B"/>
    <w:rsid w:val="007E5FBB"/>
    <w:rsid w:val="007E6AC1"/>
    <w:rsid w:val="007E7DDE"/>
    <w:rsid w:val="007F0693"/>
    <w:rsid w:val="007F1724"/>
    <w:rsid w:val="007F24C3"/>
    <w:rsid w:val="007F279C"/>
    <w:rsid w:val="007F403E"/>
    <w:rsid w:val="007F471D"/>
    <w:rsid w:val="007F4E23"/>
    <w:rsid w:val="007F50FA"/>
    <w:rsid w:val="007F6076"/>
    <w:rsid w:val="007F6A3B"/>
    <w:rsid w:val="007F6FA2"/>
    <w:rsid w:val="007F7705"/>
    <w:rsid w:val="007F7AE0"/>
    <w:rsid w:val="0080313C"/>
    <w:rsid w:val="00804282"/>
    <w:rsid w:val="008068FF"/>
    <w:rsid w:val="00806EE9"/>
    <w:rsid w:val="00806EF6"/>
    <w:rsid w:val="00807E3A"/>
    <w:rsid w:val="00810151"/>
    <w:rsid w:val="008109F1"/>
    <w:rsid w:val="008113F2"/>
    <w:rsid w:val="008124B4"/>
    <w:rsid w:val="00813F76"/>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4597A"/>
    <w:rsid w:val="00845CE3"/>
    <w:rsid w:val="008515BE"/>
    <w:rsid w:val="008534CE"/>
    <w:rsid w:val="008535F4"/>
    <w:rsid w:val="00854801"/>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35F"/>
    <w:rsid w:val="008A66AA"/>
    <w:rsid w:val="008A6D88"/>
    <w:rsid w:val="008A74A1"/>
    <w:rsid w:val="008B060E"/>
    <w:rsid w:val="008B223A"/>
    <w:rsid w:val="008B73DA"/>
    <w:rsid w:val="008B780B"/>
    <w:rsid w:val="008C1961"/>
    <w:rsid w:val="008C29C0"/>
    <w:rsid w:val="008C348F"/>
    <w:rsid w:val="008C39C2"/>
    <w:rsid w:val="008C4380"/>
    <w:rsid w:val="008C4769"/>
    <w:rsid w:val="008C5813"/>
    <w:rsid w:val="008C7E6A"/>
    <w:rsid w:val="008C7F14"/>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4968"/>
    <w:rsid w:val="008E6745"/>
    <w:rsid w:val="008E796F"/>
    <w:rsid w:val="008F0E9E"/>
    <w:rsid w:val="008F1A7F"/>
    <w:rsid w:val="008F28F7"/>
    <w:rsid w:val="008F4087"/>
    <w:rsid w:val="008F5BCF"/>
    <w:rsid w:val="0090023D"/>
    <w:rsid w:val="009009AF"/>
    <w:rsid w:val="00901F6B"/>
    <w:rsid w:val="00903E38"/>
    <w:rsid w:val="00904376"/>
    <w:rsid w:val="00906528"/>
    <w:rsid w:val="00907848"/>
    <w:rsid w:val="00907B71"/>
    <w:rsid w:val="0091278F"/>
    <w:rsid w:val="009135FB"/>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61871"/>
    <w:rsid w:val="00964E55"/>
    <w:rsid w:val="009669C3"/>
    <w:rsid w:val="009707B3"/>
    <w:rsid w:val="009716A2"/>
    <w:rsid w:val="009719D4"/>
    <w:rsid w:val="009733F6"/>
    <w:rsid w:val="0097408F"/>
    <w:rsid w:val="00974C2F"/>
    <w:rsid w:val="009768BC"/>
    <w:rsid w:val="0097799F"/>
    <w:rsid w:val="009802D0"/>
    <w:rsid w:val="00980E8D"/>
    <w:rsid w:val="0098590F"/>
    <w:rsid w:val="00986402"/>
    <w:rsid w:val="00990CFE"/>
    <w:rsid w:val="009926E5"/>
    <w:rsid w:val="00994CEF"/>
    <w:rsid w:val="00995208"/>
    <w:rsid w:val="009A08D4"/>
    <w:rsid w:val="009A1C56"/>
    <w:rsid w:val="009A2D8A"/>
    <w:rsid w:val="009A4056"/>
    <w:rsid w:val="009A43EC"/>
    <w:rsid w:val="009A4E37"/>
    <w:rsid w:val="009A6569"/>
    <w:rsid w:val="009B205C"/>
    <w:rsid w:val="009B3399"/>
    <w:rsid w:val="009B351C"/>
    <w:rsid w:val="009B3E83"/>
    <w:rsid w:val="009B501D"/>
    <w:rsid w:val="009B5F0C"/>
    <w:rsid w:val="009B66D1"/>
    <w:rsid w:val="009C1EAE"/>
    <w:rsid w:val="009C28EC"/>
    <w:rsid w:val="009C3C0D"/>
    <w:rsid w:val="009C4240"/>
    <w:rsid w:val="009C484E"/>
    <w:rsid w:val="009C4D34"/>
    <w:rsid w:val="009C5499"/>
    <w:rsid w:val="009D0011"/>
    <w:rsid w:val="009D05B0"/>
    <w:rsid w:val="009D5291"/>
    <w:rsid w:val="009D6179"/>
    <w:rsid w:val="009D62C8"/>
    <w:rsid w:val="009D6662"/>
    <w:rsid w:val="009D7749"/>
    <w:rsid w:val="009D7B4B"/>
    <w:rsid w:val="009E0CD0"/>
    <w:rsid w:val="009E1F47"/>
    <w:rsid w:val="009E3CD7"/>
    <w:rsid w:val="009E5CA1"/>
    <w:rsid w:val="009E712A"/>
    <w:rsid w:val="009E7AA2"/>
    <w:rsid w:val="009F0C24"/>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5166"/>
    <w:rsid w:val="00A45972"/>
    <w:rsid w:val="00A504DA"/>
    <w:rsid w:val="00A5527D"/>
    <w:rsid w:val="00A57F62"/>
    <w:rsid w:val="00A61F3D"/>
    <w:rsid w:val="00A64CD5"/>
    <w:rsid w:val="00A6548F"/>
    <w:rsid w:val="00A65A8C"/>
    <w:rsid w:val="00A7113B"/>
    <w:rsid w:val="00A73A97"/>
    <w:rsid w:val="00A753CF"/>
    <w:rsid w:val="00A76E76"/>
    <w:rsid w:val="00A82BE5"/>
    <w:rsid w:val="00A83012"/>
    <w:rsid w:val="00A8404C"/>
    <w:rsid w:val="00A85233"/>
    <w:rsid w:val="00A865C0"/>
    <w:rsid w:val="00A871A7"/>
    <w:rsid w:val="00A927AC"/>
    <w:rsid w:val="00A93D50"/>
    <w:rsid w:val="00A9447E"/>
    <w:rsid w:val="00A94659"/>
    <w:rsid w:val="00A963FC"/>
    <w:rsid w:val="00AA1031"/>
    <w:rsid w:val="00AA1F5A"/>
    <w:rsid w:val="00AA49BD"/>
    <w:rsid w:val="00AA544E"/>
    <w:rsid w:val="00AA636A"/>
    <w:rsid w:val="00AA6AB5"/>
    <w:rsid w:val="00AA6E0B"/>
    <w:rsid w:val="00AA7245"/>
    <w:rsid w:val="00AB0560"/>
    <w:rsid w:val="00AB1085"/>
    <w:rsid w:val="00AB1B49"/>
    <w:rsid w:val="00AB25A5"/>
    <w:rsid w:val="00AB3267"/>
    <w:rsid w:val="00AB53F2"/>
    <w:rsid w:val="00AB73C9"/>
    <w:rsid w:val="00AB78E3"/>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F3A96"/>
    <w:rsid w:val="00AF44C0"/>
    <w:rsid w:val="00AF5BBF"/>
    <w:rsid w:val="00AF63C1"/>
    <w:rsid w:val="00AF7CAE"/>
    <w:rsid w:val="00B00662"/>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EB6"/>
    <w:rsid w:val="00B41CB9"/>
    <w:rsid w:val="00B4268F"/>
    <w:rsid w:val="00B4491E"/>
    <w:rsid w:val="00B4542A"/>
    <w:rsid w:val="00B4564C"/>
    <w:rsid w:val="00B458A0"/>
    <w:rsid w:val="00B45F8F"/>
    <w:rsid w:val="00B46516"/>
    <w:rsid w:val="00B5154F"/>
    <w:rsid w:val="00B52BCA"/>
    <w:rsid w:val="00B53609"/>
    <w:rsid w:val="00B545CE"/>
    <w:rsid w:val="00B54F66"/>
    <w:rsid w:val="00B56D74"/>
    <w:rsid w:val="00B6092F"/>
    <w:rsid w:val="00B62B1C"/>
    <w:rsid w:val="00B63749"/>
    <w:rsid w:val="00B7026D"/>
    <w:rsid w:val="00B7148A"/>
    <w:rsid w:val="00B7206C"/>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A2E1E"/>
    <w:rsid w:val="00BA65CF"/>
    <w:rsid w:val="00BA7C14"/>
    <w:rsid w:val="00BB0A66"/>
    <w:rsid w:val="00BB1FED"/>
    <w:rsid w:val="00BB3507"/>
    <w:rsid w:val="00BB45F6"/>
    <w:rsid w:val="00BB5F4F"/>
    <w:rsid w:val="00BB70D3"/>
    <w:rsid w:val="00BC0D69"/>
    <w:rsid w:val="00BC207D"/>
    <w:rsid w:val="00BC28C8"/>
    <w:rsid w:val="00BC6E49"/>
    <w:rsid w:val="00BD0D23"/>
    <w:rsid w:val="00BD207F"/>
    <w:rsid w:val="00BD2A2E"/>
    <w:rsid w:val="00BD3B64"/>
    <w:rsid w:val="00BD636D"/>
    <w:rsid w:val="00BD7052"/>
    <w:rsid w:val="00BD76AE"/>
    <w:rsid w:val="00BE0108"/>
    <w:rsid w:val="00BE19C1"/>
    <w:rsid w:val="00BE2D77"/>
    <w:rsid w:val="00BE33B5"/>
    <w:rsid w:val="00BE3A85"/>
    <w:rsid w:val="00BE4802"/>
    <w:rsid w:val="00BE5051"/>
    <w:rsid w:val="00BF1213"/>
    <w:rsid w:val="00BF1BEF"/>
    <w:rsid w:val="00BF214E"/>
    <w:rsid w:val="00BF2D02"/>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21FC"/>
    <w:rsid w:val="00C13309"/>
    <w:rsid w:val="00C1474F"/>
    <w:rsid w:val="00C14C17"/>
    <w:rsid w:val="00C15B06"/>
    <w:rsid w:val="00C15D9D"/>
    <w:rsid w:val="00C1610D"/>
    <w:rsid w:val="00C16826"/>
    <w:rsid w:val="00C17890"/>
    <w:rsid w:val="00C22B78"/>
    <w:rsid w:val="00C22E3B"/>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ADC"/>
    <w:rsid w:val="00C44C12"/>
    <w:rsid w:val="00C4538C"/>
    <w:rsid w:val="00C46CB1"/>
    <w:rsid w:val="00C51347"/>
    <w:rsid w:val="00C51463"/>
    <w:rsid w:val="00C515C2"/>
    <w:rsid w:val="00C530B9"/>
    <w:rsid w:val="00C54593"/>
    <w:rsid w:val="00C54988"/>
    <w:rsid w:val="00C57822"/>
    <w:rsid w:val="00C57B35"/>
    <w:rsid w:val="00C63656"/>
    <w:rsid w:val="00C6428C"/>
    <w:rsid w:val="00C64D79"/>
    <w:rsid w:val="00C67498"/>
    <w:rsid w:val="00C709DF"/>
    <w:rsid w:val="00C71CAB"/>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A1A30"/>
    <w:rsid w:val="00CA1B24"/>
    <w:rsid w:val="00CA3283"/>
    <w:rsid w:val="00CA43D5"/>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080"/>
    <w:rsid w:val="00D54D7D"/>
    <w:rsid w:val="00D558C3"/>
    <w:rsid w:val="00D56AAD"/>
    <w:rsid w:val="00D603CC"/>
    <w:rsid w:val="00D604BA"/>
    <w:rsid w:val="00D61096"/>
    <w:rsid w:val="00D6133C"/>
    <w:rsid w:val="00D63B8A"/>
    <w:rsid w:val="00D6408A"/>
    <w:rsid w:val="00D64A9D"/>
    <w:rsid w:val="00D665B5"/>
    <w:rsid w:val="00D674DD"/>
    <w:rsid w:val="00D7114A"/>
    <w:rsid w:val="00D72374"/>
    <w:rsid w:val="00D7316D"/>
    <w:rsid w:val="00D73598"/>
    <w:rsid w:val="00D73672"/>
    <w:rsid w:val="00D74FA8"/>
    <w:rsid w:val="00D75FC9"/>
    <w:rsid w:val="00D764BA"/>
    <w:rsid w:val="00D814D5"/>
    <w:rsid w:val="00D826F0"/>
    <w:rsid w:val="00D85344"/>
    <w:rsid w:val="00D8665F"/>
    <w:rsid w:val="00D905A6"/>
    <w:rsid w:val="00D90666"/>
    <w:rsid w:val="00D92245"/>
    <w:rsid w:val="00D9354D"/>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1F27"/>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559D"/>
    <w:rsid w:val="00E458F3"/>
    <w:rsid w:val="00E464A3"/>
    <w:rsid w:val="00E46A5E"/>
    <w:rsid w:val="00E46E68"/>
    <w:rsid w:val="00E50432"/>
    <w:rsid w:val="00E50FF0"/>
    <w:rsid w:val="00E5210C"/>
    <w:rsid w:val="00E545B5"/>
    <w:rsid w:val="00E54F07"/>
    <w:rsid w:val="00E55573"/>
    <w:rsid w:val="00E56492"/>
    <w:rsid w:val="00E56C3D"/>
    <w:rsid w:val="00E5771A"/>
    <w:rsid w:val="00E57904"/>
    <w:rsid w:val="00E61C9E"/>
    <w:rsid w:val="00E63426"/>
    <w:rsid w:val="00E64898"/>
    <w:rsid w:val="00E6525D"/>
    <w:rsid w:val="00E6595B"/>
    <w:rsid w:val="00E71B5D"/>
    <w:rsid w:val="00E72022"/>
    <w:rsid w:val="00E7340A"/>
    <w:rsid w:val="00E75C1E"/>
    <w:rsid w:val="00E770D8"/>
    <w:rsid w:val="00E806D5"/>
    <w:rsid w:val="00E80C17"/>
    <w:rsid w:val="00E80DB8"/>
    <w:rsid w:val="00E812CB"/>
    <w:rsid w:val="00E82B04"/>
    <w:rsid w:val="00E83F75"/>
    <w:rsid w:val="00E86277"/>
    <w:rsid w:val="00E92EDD"/>
    <w:rsid w:val="00E94645"/>
    <w:rsid w:val="00E97203"/>
    <w:rsid w:val="00EA050E"/>
    <w:rsid w:val="00EA2D9C"/>
    <w:rsid w:val="00EA7E45"/>
    <w:rsid w:val="00EB368D"/>
    <w:rsid w:val="00EB4571"/>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B72"/>
    <w:rsid w:val="00EE7D93"/>
    <w:rsid w:val="00EE7F38"/>
    <w:rsid w:val="00EF0583"/>
    <w:rsid w:val="00EF198C"/>
    <w:rsid w:val="00EF2665"/>
    <w:rsid w:val="00EF3477"/>
    <w:rsid w:val="00EF432B"/>
    <w:rsid w:val="00EF4E6D"/>
    <w:rsid w:val="00F0012A"/>
    <w:rsid w:val="00F00D7B"/>
    <w:rsid w:val="00F0149F"/>
    <w:rsid w:val="00F033E3"/>
    <w:rsid w:val="00F035FB"/>
    <w:rsid w:val="00F0374A"/>
    <w:rsid w:val="00F037C8"/>
    <w:rsid w:val="00F03E60"/>
    <w:rsid w:val="00F0566F"/>
    <w:rsid w:val="00F066E5"/>
    <w:rsid w:val="00F1246C"/>
    <w:rsid w:val="00F127F2"/>
    <w:rsid w:val="00F12CEB"/>
    <w:rsid w:val="00F133B5"/>
    <w:rsid w:val="00F133F8"/>
    <w:rsid w:val="00F13F96"/>
    <w:rsid w:val="00F150AC"/>
    <w:rsid w:val="00F15734"/>
    <w:rsid w:val="00F1635E"/>
    <w:rsid w:val="00F229F4"/>
    <w:rsid w:val="00F23FAE"/>
    <w:rsid w:val="00F26102"/>
    <w:rsid w:val="00F27070"/>
    <w:rsid w:val="00F31517"/>
    <w:rsid w:val="00F317D4"/>
    <w:rsid w:val="00F31A87"/>
    <w:rsid w:val="00F33473"/>
    <w:rsid w:val="00F354B2"/>
    <w:rsid w:val="00F35911"/>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7167"/>
    <w:rsid w:val="00F6151A"/>
    <w:rsid w:val="00F62EB1"/>
    <w:rsid w:val="00F6336F"/>
    <w:rsid w:val="00F63931"/>
    <w:rsid w:val="00F640BA"/>
    <w:rsid w:val="00F6481C"/>
    <w:rsid w:val="00F656C8"/>
    <w:rsid w:val="00F6679B"/>
    <w:rsid w:val="00F67002"/>
    <w:rsid w:val="00F674CD"/>
    <w:rsid w:val="00F709C5"/>
    <w:rsid w:val="00F70BB0"/>
    <w:rsid w:val="00F71703"/>
    <w:rsid w:val="00F71EEA"/>
    <w:rsid w:val="00F7230E"/>
    <w:rsid w:val="00F73FAA"/>
    <w:rsid w:val="00F7421B"/>
    <w:rsid w:val="00F756E7"/>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39BE"/>
    <w:rsid w:val="00FA63AB"/>
    <w:rsid w:val="00FA6BCA"/>
    <w:rsid w:val="00FA714F"/>
    <w:rsid w:val="00FB0B6D"/>
    <w:rsid w:val="00FB3211"/>
    <w:rsid w:val="00FB3B9F"/>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address" w:uiPriority="0"/>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customStyle="1" w:styleId="Mention3">
    <w:name w:val="Mention3"/>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velope address" w:uiPriority="0"/>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customStyle="1" w:styleId="Mention3">
    <w:name w:val="Mention3"/>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FAE5-C348-45B5-A52A-E65D219C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9259</Words>
  <Characters>5278</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Likumprojekts “Grozījumi Publiskas personas kapitāla daļu un kapitālsabiedrību pārvaldības likumā”</vt:lpstr>
    </vt:vector>
  </TitlesOfParts>
  <Company>Pārresoru koordinācijas centrs</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Publiskas personas kapitāla daļu un kapitālsabiedrību pārvaldības likumā”</dc:title>
  <dc:creator>Sarmite Ozola</dc:creator>
  <cp:keywords>Izziņa</cp:keywords>
  <dc:description>Sarmite.Ozola@pkc.mk.gov.lv</dc:description>
  <cp:lastModifiedBy>Sarmīte Ozola</cp:lastModifiedBy>
  <cp:revision>2</cp:revision>
  <cp:lastPrinted>2019-04-18T10:35:00Z</cp:lastPrinted>
  <dcterms:created xsi:type="dcterms:W3CDTF">2019-12-11T05:47:00Z</dcterms:created>
  <dcterms:modified xsi:type="dcterms:W3CDTF">2019-12-11T05:47:00Z</dcterms:modified>
</cp:coreProperties>
</file>