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3227" w14:textId="028A8F60" w:rsidR="005F0AFA" w:rsidRDefault="00FE3B82" w:rsidP="002E1B0A">
      <w:pPr>
        <w:pStyle w:val="Title"/>
        <w:spacing w:before="130" w:line="260" w:lineRule="exact"/>
        <w:ind w:firstLine="539"/>
        <w:rPr>
          <w:b/>
          <w:sz w:val="24"/>
          <w:szCs w:val="24"/>
        </w:rPr>
      </w:pPr>
      <w:r>
        <w:rPr>
          <w:b/>
          <w:sz w:val="24"/>
          <w:szCs w:val="24"/>
        </w:rPr>
        <w:t>Ministru kabineta noteikumu</w:t>
      </w:r>
      <w:r w:rsidR="00173BD6">
        <w:rPr>
          <w:b/>
          <w:sz w:val="24"/>
          <w:szCs w:val="24"/>
        </w:rPr>
        <w:t xml:space="preserve"> projekta “</w:t>
      </w:r>
      <w:r w:rsidR="002E1B0A" w:rsidRPr="002E1B0A">
        <w:rPr>
          <w:b/>
          <w:sz w:val="24"/>
          <w:szCs w:val="24"/>
        </w:rPr>
        <w:t>Grozījum</w:t>
      </w:r>
      <w:r w:rsidR="00DC36D2">
        <w:rPr>
          <w:b/>
          <w:sz w:val="24"/>
          <w:szCs w:val="24"/>
        </w:rPr>
        <w:t>s</w:t>
      </w:r>
      <w:r w:rsidR="002E1B0A" w:rsidRPr="002E1B0A">
        <w:rPr>
          <w:b/>
          <w:sz w:val="24"/>
          <w:szCs w:val="24"/>
        </w:rPr>
        <w:t xml:space="preserve"> Ministru kabineta 2015.gada 24. novembra noteikumos Nr. 664 “Darbības programmas "Izaugsme un nodarbinātība" </w:t>
      </w:r>
      <w:r w:rsidR="002E1B0A" w:rsidRPr="002E1B0A">
        <w:rPr>
          <w:rFonts w:eastAsia="Calibri"/>
          <w:b/>
          <w:sz w:val="24"/>
          <w:szCs w:val="24"/>
        </w:rPr>
        <w:t xml:space="preserve">2.1.1. specifiskā atbalsta mērķa “Uzlabot elektroniskās sakaru infrastruktūras pieejamību lauku teritorijās” pirmās projektu iesniegumu atlases kārtas </w:t>
      </w:r>
      <w:r w:rsidR="002E1B0A" w:rsidRPr="002E1B0A">
        <w:rPr>
          <w:b/>
          <w:sz w:val="24"/>
          <w:szCs w:val="24"/>
        </w:rPr>
        <w:t>īstenošanas noteikumi”</w:t>
      </w:r>
      <w:r w:rsidR="00173BD6">
        <w:rPr>
          <w:b/>
          <w:sz w:val="24"/>
          <w:szCs w:val="24"/>
        </w:rPr>
        <w:t xml:space="preserve"> sākotnējās ietekmes novērtējuma ziņojums (anotācija)</w:t>
      </w:r>
    </w:p>
    <w:p w14:paraId="638BC571" w14:textId="77777777" w:rsidR="00173BD6" w:rsidRDefault="00173BD6" w:rsidP="002E1B0A">
      <w:pPr>
        <w:pStyle w:val="Title"/>
        <w:spacing w:before="130" w:line="260" w:lineRule="exact"/>
        <w:ind w:firstLine="539"/>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21"/>
        <w:gridCol w:w="7072"/>
      </w:tblGrid>
      <w:tr w:rsidR="005F0AFA" w:rsidRPr="00996725" w14:paraId="7E522C89" w14:textId="77777777" w:rsidTr="00D002F3">
        <w:trPr>
          <w:cantSplit/>
        </w:trPr>
        <w:tc>
          <w:tcPr>
            <w:tcW w:w="9493" w:type="dxa"/>
            <w:gridSpan w:val="2"/>
            <w:shd w:val="clear" w:color="auto" w:fill="FFFFFF"/>
            <w:vAlign w:val="center"/>
            <w:hideMark/>
          </w:tcPr>
          <w:p w14:paraId="7E14C839" w14:textId="77777777" w:rsidR="005F0AFA" w:rsidRPr="00996725" w:rsidRDefault="005F0AFA" w:rsidP="009D710E">
            <w:pPr>
              <w:jc w:val="center"/>
              <w:rPr>
                <w:b/>
                <w:iCs/>
                <w:lang w:eastAsia="en-US"/>
              </w:rPr>
            </w:pPr>
            <w:r w:rsidRPr="00996725">
              <w:rPr>
                <w:b/>
                <w:iCs/>
                <w:lang w:eastAsia="en-US"/>
              </w:rPr>
              <w:t>Tiesību akta projekta anotācijas kopsavilkums</w:t>
            </w:r>
          </w:p>
        </w:tc>
      </w:tr>
      <w:tr w:rsidR="005F0AFA" w:rsidRPr="00996725" w14:paraId="2BD25492" w14:textId="77777777" w:rsidTr="00D002F3">
        <w:trPr>
          <w:cantSplit/>
        </w:trPr>
        <w:tc>
          <w:tcPr>
            <w:tcW w:w="2421" w:type="dxa"/>
            <w:shd w:val="clear" w:color="auto" w:fill="FFFFFF"/>
            <w:hideMark/>
          </w:tcPr>
          <w:p w14:paraId="31839176" w14:textId="6B6A03C6" w:rsidR="005F0AFA" w:rsidRPr="00996725" w:rsidRDefault="005F0AFA" w:rsidP="009D710E">
            <w:pPr>
              <w:rPr>
                <w:iCs/>
                <w:lang w:eastAsia="en-US"/>
              </w:rPr>
            </w:pPr>
            <w:r w:rsidRPr="00996725">
              <w:rPr>
                <w:iCs/>
                <w:lang w:eastAsia="en-US"/>
              </w:rPr>
              <w:t xml:space="preserve">Mērķis, risinājums un projekta spēkā stāšanās laiks </w:t>
            </w:r>
          </w:p>
        </w:tc>
        <w:tc>
          <w:tcPr>
            <w:tcW w:w="7072" w:type="dxa"/>
            <w:shd w:val="clear" w:color="auto" w:fill="FFFFFF"/>
            <w:hideMark/>
          </w:tcPr>
          <w:p w14:paraId="2CD5005F" w14:textId="0F5A7978" w:rsidR="003B5B6C" w:rsidRPr="00EC3A3F" w:rsidRDefault="009A658A" w:rsidP="003B5B6C">
            <w:pPr>
              <w:jc w:val="both"/>
              <w:rPr>
                <w:iCs/>
              </w:rPr>
            </w:pPr>
            <w:r w:rsidRPr="00016819">
              <w:rPr>
                <w:iCs/>
              </w:rPr>
              <w:t>Ministru kabineta n</w:t>
            </w:r>
            <w:r w:rsidR="003B5B6C" w:rsidRPr="00016819">
              <w:rPr>
                <w:iCs/>
              </w:rPr>
              <w:t>oteikumu projekt</w:t>
            </w:r>
            <w:r w:rsidR="00EC3A3F">
              <w:rPr>
                <w:iCs/>
              </w:rPr>
              <w:t>a “Grozījum</w:t>
            </w:r>
            <w:r w:rsidR="001B083B">
              <w:rPr>
                <w:iCs/>
              </w:rPr>
              <w:t>s</w:t>
            </w:r>
            <w:r w:rsidR="00EC3A3F">
              <w:rPr>
                <w:iCs/>
              </w:rPr>
              <w:t xml:space="preserve"> Ministru kabineta 2015. gada 24. novembra noteikumos Nr. 664 “Darbības programmas “Izaugsme un nodarbinātība” 2.1.1. specifiskā atbalsta mērķa “Uzlabot elektroniskās sakaru infrastruktūras pieejamību lauku teritorijās” pirmās projektu iesniegumu atlases kārtas īstenošanas noteikumi” (turpmāk – noteikumu projekts)</w:t>
            </w:r>
            <w:r w:rsidRPr="00016819">
              <w:rPr>
                <w:iCs/>
              </w:rPr>
              <w:t xml:space="preserve"> sagatavots ar </w:t>
            </w:r>
            <w:r w:rsidR="003B5B6C" w:rsidRPr="00016819">
              <w:rPr>
                <w:iCs/>
              </w:rPr>
              <w:t>mērķi</w:t>
            </w:r>
            <w:r w:rsidR="00E710F5">
              <w:rPr>
                <w:iCs/>
              </w:rPr>
              <w:t xml:space="preserve"> precizēt 2.1.1. specifiskā atbalsta mērķa “Uzlabot elektroniskās sakaru infrastruktūras pieejamību lauku teritorijās” (turpmāk – SAM 2.1.1.) īstenošanas termiņu.</w:t>
            </w:r>
            <w:r w:rsidR="00D11FC9" w:rsidRPr="00016819">
              <w:rPr>
                <w:bCs/>
                <w:shd w:val="clear" w:color="auto" w:fill="FFFFFF"/>
              </w:rPr>
              <w:t xml:space="preserve"> </w:t>
            </w:r>
          </w:p>
          <w:p w14:paraId="1F7021ED" w14:textId="2F9DA791" w:rsidR="007C7C5C" w:rsidRPr="00996725" w:rsidRDefault="001B083B" w:rsidP="007C7C5C">
            <w:pPr>
              <w:jc w:val="both"/>
              <w:rPr>
                <w:i/>
                <w:iCs/>
                <w:lang w:eastAsia="en-US"/>
              </w:rPr>
            </w:pPr>
            <w:r w:rsidRPr="001B083B">
              <w:rPr>
                <w:iCs/>
              </w:rPr>
              <w:t>Noteikumu projekts stājas spēkā Oficiālo publikāciju un tiesiskās informācijas likuma noteiktajā kārtībā.</w:t>
            </w:r>
          </w:p>
        </w:tc>
      </w:tr>
    </w:tbl>
    <w:p w14:paraId="3F0325DA" w14:textId="77777777" w:rsidR="005F0AFA" w:rsidRDefault="005F0AFA" w:rsidP="005F0AFA">
      <w:pPr>
        <w:pStyle w:val="Title"/>
        <w:spacing w:before="130" w:line="260" w:lineRule="exact"/>
        <w:ind w:firstLine="539"/>
        <w:jc w:val="both"/>
        <w:rPr>
          <w:sz w:val="24"/>
          <w:szCs w:val="24"/>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29"/>
        <w:gridCol w:w="1832"/>
        <w:gridCol w:w="7232"/>
      </w:tblGrid>
      <w:tr w:rsidR="005F0AFA" w:rsidRPr="00996725" w14:paraId="23CDE10E" w14:textId="77777777" w:rsidTr="00AB1D4E">
        <w:tc>
          <w:tcPr>
            <w:tcW w:w="5000" w:type="pct"/>
            <w:gridSpan w:val="3"/>
            <w:shd w:val="clear" w:color="auto" w:fill="FFFFFF"/>
          </w:tcPr>
          <w:p w14:paraId="76CFFA9A" w14:textId="77777777" w:rsidR="005F0AFA" w:rsidRPr="00996725" w:rsidRDefault="005F0AFA" w:rsidP="009D710E">
            <w:pPr>
              <w:jc w:val="center"/>
              <w:rPr>
                <w:b/>
                <w:iCs/>
                <w:lang w:eastAsia="en-US"/>
              </w:rPr>
            </w:pPr>
            <w:r w:rsidRPr="00996725">
              <w:rPr>
                <w:b/>
                <w:bCs/>
              </w:rPr>
              <w:t>I. Tiesību akta projekta izstrādes nepieciešamība</w:t>
            </w:r>
          </w:p>
        </w:tc>
      </w:tr>
      <w:tr w:rsidR="005F0AFA" w:rsidRPr="00996725" w14:paraId="668E9A5C" w14:textId="77777777" w:rsidTr="00AB1D4E">
        <w:tc>
          <w:tcPr>
            <w:tcW w:w="226" w:type="pct"/>
            <w:shd w:val="clear" w:color="auto" w:fill="FFFFFF"/>
          </w:tcPr>
          <w:p w14:paraId="2C3F9A59" w14:textId="77777777" w:rsidR="005F0AFA" w:rsidRPr="00996725" w:rsidRDefault="005F0AFA" w:rsidP="009D710E">
            <w:pPr>
              <w:jc w:val="center"/>
              <w:rPr>
                <w:iCs/>
                <w:lang w:eastAsia="en-US"/>
              </w:rPr>
            </w:pPr>
            <w:r w:rsidRPr="00366023">
              <w:t>1.</w:t>
            </w:r>
          </w:p>
        </w:tc>
        <w:tc>
          <w:tcPr>
            <w:tcW w:w="965" w:type="pct"/>
            <w:shd w:val="clear" w:color="auto" w:fill="FFFFFF"/>
          </w:tcPr>
          <w:p w14:paraId="1F110E05" w14:textId="77777777" w:rsidR="005F0AFA" w:rsidRPr="00996725" w:rsidRDefault="005F0AFA" w:rsidP="009D710E">
            <w:pPr>
              <w:rPr>
                <w:iCs/>
                <w:lang w:eastAsia="en-US"/>
              </w:rPr>
            </w:pPr>
            <w:r w:rsidRPr="00366023">
              <w:t>Pamatojums</w:t>
            </w:r>
          </w:p>
        </w:tc>
        <w:tc>
          <w:tcPr>
            <w:tcW w:w="3808" w:type="pct"/>
            <w:shd w:val="clear" w:color="auto" w:fill="FFFFFF"/>
          </w:tcPr>
          <w:p w14:paraId="6C538671" w14:textId="4299AC82" w:rsidR="005F0AFA" w:rsidRPr="00016819" w:rsidRDefault="005F0AFA" w:rsidP="009D710E">
            <w:pPr>
              <w:jc w:val="both"/>
            </w:pPr>
            <w:r w:rsidRPr="00016819">
              <w:t>Eiropas Savienības struktūrfondu un Kohēzijas fonda 2014.</w:t>
            </w:r>
            <w:r w:rsidR="00981509">
              <w:t>-</w:t>
            </w:r>
            <w:r w:rsidRPr="00016819">
              <w:t>2020.gada plānošanas perioda vadības likuma 20.panta 6. un 13.punkts.</w:t>
            </w:r>
          </w:p>
          <w:p w14:paraId="1748FFEB" w14:textId="7DC42E2C" w:rsidR="005F0AFA" w:rsidRPr="007826A4" w:rsidRDefault="00DD429B" w:rsidP="009D710E">
            <w:pPr>
              <w:jc w:val="both"/>
              <w:rPr>
                <w:lang w:eastAsia="en-US"/>
              </w:rPr>
            </w:pPr>
            <w:r>
              <w:rPr>
                <w:lang w:eastAsia="en-US"/>
              </w:rPr>
              <w:t xml:space="preserve">Finanšu ministrijas 2019. gada 16. oktobra vēstule Nr. 7-3/18/4861 “Par valsts atbalsta programmas Nr.SA.33324 “Nākamās paaudzes tīkli lauku teritorijās” termiņu” ar Eiropas Komisijas Konkurences ģenerāldirektorāta </w:t>
            </w:r>
            <w:r w:rsidR="00296598">
              <w:rPr>
                <w:lang w:eastAsia="en-US"/>
              </w:rPr>
              <w:t xml:space="preserve">2019.gada 14.oktobrī </w:t>
            </w:r>
            <w:r>
              <w:rPr>
                <w:lang w:eastAsia="en-US"/>
              </w:rPr>
              <w:t>sniegto skaidrojumu.</w:t>
            </w:r>
          </w:p>
        </w:tc>
      </w:tr>
      <w:tr w:rsidR="005F0AFA" w:rsidRPr="00996725" w14:paraId="13E1CD1E" w14:textId="77777777" w:rsidTr="00AB1D4E">
        <w:trPr>
          <w:trHeight w:val="1664"/>
        </w:trPr>
        <w:tc>
          <w:tcPr>
            <w:tcW w:w="226" w:type="pct"/>
            <w:shd w:val="clear" w:color="auto" w:fill="FFFFFF"/>
          </w:tcPr>
          <w:p w14:paraId="07C499E9" w14:textId="77777777" w:rsidR="005F0AFA" w:rsidRPr="00996725" w:rsidRDefault="005F0AFA" w:rsidP="009D710E">
            <w:pPr>
              <w:jc w:val="center"/>
              <w:rPr>
                <w:iCs/>
                <w:lang w:eastAsia="en-US"/>
              </w:rPr>
            </w:pPr>
            <w:r w:rsidRPr="00366023">
              <w:t>2.</w:t>
            </w:r>
          </w:p>
        </w:tc>
        <w:tc>
          <w:tcPr>
            <w:tcW w:w="965" w:type="pct"/>
            <w:shd w:val="clear" w:color="auto" w:fill="FFFFFF"/>
          </w:tcPr>
          <w:p w14:paraId="1C5134FF" w14:textId="77777777" w:rsidR="005F0AFA" w:rsidRPr="00996725" w:rsidRDefault="005F0AFA" w:rsidP="009D710E">
            <w:pPr>
              <w:rPr>
                <w:iCs/>
                <w:lang w:eastAsia="en-US"/>
              </w:rPr>
            </w:pPr>
            <w:r w:rsidRPr="00366023">
              <w:t>Pašreizējā situācija un problēmas, kuru risināšanai tiesību akta projekts izstrādāts, tiesiskā regulējuma mērķis un būtība</w:t>
            </w:r>
          </w:p>
        </w:tc>
        <w:tc>
          <w:tcPr>
            <w:tcW w:w="3808" w:type="pct"/>
            <w:shd w:val="clear" w:color="auto" w:fill="FFFFFF"/>
          </w:tcPr>
          <w:p w14:paraId="36CF0323" w14:textId="4B357839" w:rsidR="0082019A" w:rsidRDefault="0082019A" w:rsidP="0082019A">
            <w:pPr>
              <w:jc w:val="both"/>
              <w:rPr>
                <w:iCs/>
              </w:rPr>
            </w:pPr>
            <w:r>
              <w:rPr>
                <w:iCs/>
              </w:rPr>
              <w:t>Ministru kabineta 2015. gada 24. novembra noteikum</w:t>
            </w:r>
            <w:r w:rsidR="00481897">
              <w:rPr>
                <w:iCs/>
              </w:rPr>
              <w:t>os</w:t>
            </w:r>
            <w:r>
              <w:rPr>
                <w:iCs/>
              </w:rPr>
              <w:t xml:space="preserve"> Nr. 664 “Darbības programmas “Izaugsme un nodarbinātība” </w:t>
            </w:r>
            <w:bookmarkStart w:id="0" w:name="_Hlk26966363"/>
            <w:r>
              <w:rPr>
                <w:iCs/>
              </w:rPr>
              <w:t>2.1.1. specifiskā atbalsta mērķa “Uzlabot elektroniskās sakaru infrastruktūras pieejamību lauku teritorijās”</w:t>
            </w:r>
            <w:bookmarkEnd w:id="0"/>
            <w:r>
              <w:rPr>
                <w:iCs/>
              </w:rPr>
              <w:t xml:space="preserve">  pirmās projektu iesniegumu atlases kārtas īstenošanas noteikumi” </w:t>
            </w:r>
            <w:r w:rsidR="009446F9">
              <w:rPr>
                <w:iCs/>
              </w:rPr>
              <w:t xml:space="preserve">SAM 2.1.1. īstenošanas maksimālais termiņš </w:t>
            </w:r>
            <w:r w:rsidR="003A47AD">
              <w:rPr>
                <w:iCs/>
              </w:rPr>
              <w:t>ir</w:t>
            </w:r>
            <w:r w:rsidR="004C3100">
              <w:rPr>
                <w:iCs/>
              </w:rPr>
              <w:t xml:space="preserve"> noteikts </w:t>
            </w:r>
            <w:r w:rsidR="009446F9">
              <w:rPr>
                <w:iCs/>
              </w:rPr>
              <w:t>līdz 2020.gada 31.decembrim, ņemot vērā</w:t>
            </w:r>
            <w:r>
              <w:rPr>
                <w:iCs/>
              </w:rPr>
              <w:t xml:space="preserve"> </w:t>
            </w:r>
            <w:r w:rsidR="00CC7B05">
              <w:rPr>
                <w:iCs/>
              </w:rPr>
              <w:t>valsts atbalsta programmā</w:t>
            </w:r>
            <w:r w:rsidR="00F13F30">
              <w:rPr>
                <w:iCs/>
              </w:rPr>
              <w:t xml:space="preserve"> Nr.SA.33324 “Nākamās paaudzes tīkli lauku teritorijās” (turpmāk – VAP), kas apstiprināta ar </w:t>
            </w:r>
            <w:r>
              <w:rPr>
                <w:iCs/>
              </w:rPr>
              <w:t>Eiropas Komisijas 2011.gada 9.novembra lēmum</w:t>
            </w:r>
            <w:r w:rsidR="00F13F30">
              <w:rPr>
                <w:iCs/>
              </w:rPr>
              <w:t>u</w:t>
            </w:r>
            <w:r>
              <w:rPr>
                <w:iCs/>
              </w:rPr>
              <w:t xml:space="preserve"> Nr. C (2011) 7699</w:t>
            </w:r>
            <w:r w:rsidR="004C3100">
              <w:rPr>
                <w:iCs/>
              </w:rPr>
              <w:t>,</w:t>
            </w:r>
            <w:r>
              <w:rPr>
                <w:iCs/>
              </w:rPr>
              <w:t xml:space="preserve"> </w:t>
            </w:r>
            <w:r w:rsidR="004E6CF1">
              <w:rPr>
                <w:iCs/>
              </w:rPr>
              <w:t>minēt</w:t>
            </w:r>
            <w:r w:rsidR="009446F9">
              <w:rPr>
                <w:iCs/>
              </w:rPr>
              <w:t>os</w:t>
            </w:r>
            <w:r w:rsidR="004E6CF1">
              <w:rPr>
                <w:iCs/>
              </w:rPr>
              <w:t xml:space="preserve"> nosacījum</w:t>
            </w:r>
            <w:r w:rsidR="009446F9">
              <w:rPr>
                <w:iCs/>
              </w:rPr>
              <w:t>us</w:t>
            </w:r>
            <w:r w:rsidR="004E6CF1">
              <w:rPr>
                <w:iCs/>
              </w:rPr>
              <w:t xml:space="preserve">, </w:t>
            </w:r>
            <w:r w:rsidR="009446F9">
              <w:rPr>
                <w:iCs/>
              </w:rPr>
              <w:t>k</w:t>
            </w:r>
            <w:r w:rsidR="00E67092">
              <w:rPr>
                <w:iCs/>
              </w:rPr>
              <w:t>as no</w:t>
            </w:r>
            <w:r w:rsidR="000C4494">
              <w:rPr>
                <w:iCs/>
              </w:rPr>
              <w:t>teic</w:t>
            </w:r>
            <w:r w:rsidR="00E67092">
              <w:rPr>
                <w:iCs/>
              </w:rPr>
              <w:t xml:space="preserve">, ka </w:t>
            </w:r>
            <w:r w:rsidR="009446F9">
              <w:rPr>
                <w:iCs/>
              </w:rPr>
              <w:t xml:space="preserve">atbalsta darbība sāksies 2012.gada 1.janvārī un turpināsies līdz 2020.gada 31.decembrim. </w:t>
            </w:r>
          </w:p>
          <w:p w14:paraId="6BBD8CAF" w14:textId="15493527" w:rsidR="00046943" w:rsidRDefault="00046943" w:rsidP="0082019A">
            <w:pPr>
              <w:jc w:val="both"/>
              <w:rPr>
                <w:iCs/>
              </w:rPr>
            </w:pPr>
            <w:r>
              <w:rPr>
                <w:iCs/>
              </w:rPr>
              <w:t xml:space="preserve">Viennozīmīgai VAP darbības beigu termiņa interpretācijai tika lūgts Eiropas Komisijas viedoklis. </w:t>
            </w:r>
          </w:p>
          <w:p w14:paraId="1B8D8393" w14:textId="0823C7F6" w:rsidR="00296598" w:rsidRDefault="00296598" w:rsidP="0082019A">
            <w:pPr>
              <w:jc w:val="both"/>
              <w:rPr>
                <w:iCs/>
              </w:rPr>
            </w:pPr>
            <w:r>
              <w:rPr>
                <w:iCs/>
              </w:rPr>
              <w:t xml:space="preserve">Pamatojoties uz Eiropas Komisijas Konkurences ģenerāldirektorāta 2019.gada 14.oktobra skaidrojumu, </w:t>
            </w:r>
            <w:r w:rsidR="00BE4FD1">
              <w:rPr>
                <w:iCs/>
              </w:rPr>
              <w:t xml:space="preserve">atbilstoši vispārējiem valsts atbalsta tiesību aktu principiem, atbalsta piešķiršanas datums ir </w:t>
            </w:r>
            <w:r w:rsidR="003E5B8B">
              <w:rPr>
                <w:iCs/>
              </w:rPr>
              <w:t>termiņš</w:t>
            </w:r>
            <w:r w:rsidR="00BE4FD1">
              <w:rPr>
                <w:iCs/>
              </w:rPr>
              <w:t xml:space="preserve">, kurā atbalsta saņēmējam tiek piešķirtas likumīgas tiesības saņemt valsts atbalstu, savukārt atbalstāmais pasākums var ilgt vairākus gadus pēc atbalsta piešķiršanas. Tādējādi </w:t>
            </w:r>
            <w:r>
              <w:rPr>
                <w:iCs/>
              </w:rPr>
              <w:t xml:space="preserve">VAP noteiktais darbības termiņš 2020.gada 31.decembris ir </w:t>
            </w:r>
            <w:r w:rsidR="003E5B8B">
              <w:rPr>
                <w:iCs/>
              </w:rPr>
              <w:t>datums</w:t>
            </w:r>
            <w:r>
              <w:rPr>
                <w:iCs/>
              </w:rPr>
              <w:t>, līdz kuram ir tiesības apstiprināt un piešķirt valsts atbalst</w:t>
            </w:r>
            <w:r w:rsidR="008077DC">
              <w:rPr>
                <w:iCs/>
              </w:rPr>
              <w:t>u un tas nav uzskatāms par termiņu</w:t>
            </w:r>
            <w:r w:rsidR="000C4494">
              <w:rPr>
                <w:iCs/>
              </w:rPr>
              <w:t>,</w:t>
            </w:r>
            <w:r w:rsidR="008077DC">
              <w:rPr>
                <w:iCs/>
              </w:rPr>
              <w:t xml:space="preserve"> līdz kuram projektā</w:t>
            </w:r>
            <w:r w:rsidR="00BE4FD1">
              <w:rPr>
                <w:iCs/>
              </w:rPr>
              <w:t xml:space="preserve"> īstenojamas atbalstāmās darbības un tiek veikti maksājumi.</w:t>
            </w:r>
          </w:p>
          <w:p w14:paraId="1970B523" w14:textId="5FBAD745" w:rsidR="005F0AFA" w:rsidRPr="000D651A" w:rsidRDefault="00BE4FD1" w:rsidP="000D651A">
            <w:pPr>
              <w:pStyle w:val="FootnoteText"/>
              <w:jc w:val="both"/>
              <w:rPr>
                <w:rFonts w:ascii="Times New Roman" w:hAnsi="Times New Roman" w:cs="Times New Roman"/>
                <w:sz w:val="24"/>
                <w:szCs w:val="24"/>
              </w:rPr>
            </w:pPr>
            <w:r w:rsidRPr="000D651A">
              <w:rPr>
                <w:rFonts w:ascii="Times New Roman" w:hAnsi="Times New Roman" w:cs="Times New Roman"/>
                <w:iCs/>
                <w:sz w:val="24"/>
                <w:szCs w:val="24"/>
              </w:rPr>
              <w:lastRenderedPageBreak/>
              <w:t xml:space="preserve">Pamatojoties uz minēto Eiropas Komisijas Konkurences ģenerāldirektorāta skaidrojumu un </w:t>
            </w:r>
            <w:r w:rsidR="000D651A" w:rsidRPr="000D651A">
              <w:rPr>
                <w:rFonts w:ascii="Times New Roman" w:hAnsi="Times New Roman" w:cs="Times New Roman"/>
                <w:iCs/>
                <w:sz w:val="24"/>
                <w:szCs w:val="24"/>
              </w:rPr>
              <w:t xml:space="preserve">ņemot vērā </w:t>
            </w:r>
            <w:r w:rsidR="000D651A" w:rsidRPr="000D651A">
              <w:rPr>
                <w:rFonts w:ascii="Times New Roman" w:hAnsi="Times New Roman" w:cs="Times New Roman"/>
                <w:sz w:val="24"/>
                <w:szCs w:val="24"/>
              </w:rPr>
              <w:t>Eiropas Parlamenta un Padomes 2013. gada 17.decembra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181621">
              <w:rPr>
                <w:rFonts w:ascii="Times New Roman" w:hAnsi="Times New Roman" w:cs="Times New Roman"/>
                <w:sz w:val="24"/>
                <w:szCs w:val="24"/>
              </w:rPr>
              <w:t>,</w:t>
            </w:r>
            <w:bookmarkStart w:id="1" w:name="_GoBack"/>
            <w:bookmarkEnd w:id="1"/>
            <w:r w:rsidR="000D651A" w:rsidRPr="000D651A">
              <w:rPr>
                <w:rFonts w:ascii="Times New Roman" w:hAnsi="Times New Roman" w:cs="Times New Roman"/>
                <w:sz w:val="24"/>
                <w:szCs w:val="24"/>
              </w:rPr>
              <w:t xml:space="preserve"> </w:t>
            </w:r>
            <w:r w:rsidR="009D4132" w:rsidRPr="000D651A">
              <w:rPr>
                <w:rFonts w:ascii="Times New Roman" w:hAnsi="Times New Roman" w:cs="Times New Roman"/>
                <w:sz w:val="24"/>
                <w:szCs w:val="24"/>
              </w:rPr>
              <w:t>65.panta 2.punkta nosacījum</w:t>
            </w:r>
            <w:r w:rsidR="000D651A" w:rsidRPr="000D651A">
              <w:rPr>
                <w:rFonts w:ascii="Times New Roman" w:hAnsi="Times New Roman" w:cs="Times New Roman"/>
                <w:sz w:val="24"/>
                <w:szCs w:val="24"/>
              </w:rPr>
              <w:t>us</w:t>
            </w:r>
            <w:r w:rsidR="009D4132" w:rsidRPr="000D651A">
              <w:rPr>
                <w:rFonts w:ascii="Times New Roman" w:hAnsi="Times New Roman" w:cs="Times New Roman"/>
                <w:sz w:val="24"/>
                <w:szCs w:val="24"/>
              </w:rPr>
              <w:t>, kas no</w:t>
            </w:r>
            <w:r w:rsidR="000C4494">
              <w:rPr>
                <w:rFonts w:ascii="Times New Roman" w:hAnsi="Times New Roman" w:cs="Times New Roman"/>
                <w:sz w:val="24"/>
                <w:szCs w:val="24"/>
              </w:rPr>
              <w:t>teic</w:t>
            </w:r>
            <w:r w:rsidR="009D4132" w:rsidRPr="000D651A">
              <w:rPr>
                <w:rFonts w:ascii="Times New Roman" w:hAnsi="Times New Roman" w:cs="Times New Roman"/>
                <w:sz w:val="24"/>
                <w:szCs w:val="24"/>
              </w:rPr>
              <w:t>, ka plānotā projekta izdevumus var attiecināt no E</w:t>
            </w:r>
            <w:r w:rsidR="000D651A" w:rsidRPr="000D651A">
              <w:rPr>
                <w:rFonts w:ascii="Times New Roman" w:hAnsi="Times New Roman" w:cs="Times New Roman"/>
                <w:sz w:val="24"/>
                <w:szCs w:val="24"/>
              </w:rPr>
              <w:t>iropas Savienības</w:t>
            </w:r>
            <w:r w:rsidR="009D4132" w:rsidRPr="000D651A">
              <w:rPr>
                <w:rFonts w:ascii="Times New Roman" w:hAnsi="Times New Roman" w:cs="Times New Roman"/>
                <w:sz w:val="24"/>
                <w:szCs w:val="24"/>
              </w:rPr>
              <w:t xml:space="preserve"> fondu līdzekļiem, ja tie radušies finansējuma saņēmējam un samaksāti līdz 2023.gada 31.decembrim</w:t>
            </w:r>
            <w:r w:rsidR="000D651A" w:rsidRPr="000D651A">
              <w:rPr>
                <w:rFonts w:ascii="Times New Roman" w:hAnsi="Times New Roman" w:cs="Times New Roman"/>
                <w:sz w:val="24"/>
                <w:szCs w:val="24"/>
              </w:rPr>
              <w:t xml:space="preserve">, </w:t>
            </w:r>
            <w:r w:rsidR="000D651A">
              <w:rPr>
                <w:rFonts w:ascii="Times New Roman" w:hAnsi="Times New Roman" w:cs="Times New Roman"/>
                <w:sz w:val="24"/>
                <w:szCs w:val="24"/>
              </w:rPr>
              <w:t xml:space="preserve">SAM </w:t>
            </w:r>
            <w:r w:rsidR="000D651A" w:rsidRPr="000D651A">
              <w:rPr>
                <w:rFonts w:ascii="Times New Roman" w:hAnsi="Times New Roman" w:cs="Times New Roman"/>
                <w:sz w:val="24"/>
                <w:szCs w:val="24"/>
              </w:rPr>
              <w:t xml:space="preserve">2.1.1. </w:t>
            </w:r>
            <w:r w:rsidR="000D651A">
              <w:rPr>
                <w:rFonts w:ascii="Times New Roman" w:hAnsi="Times New Roman" w:cs="Times New Roman"/>
                <w:sz w:val="24"/>
                <w:szCs w:val="24"/>
              </w:rPr>
              <w:t>projekta maksimālais</w:t>
            </w:r>
            <w:r w:rsidR="000D651A" w:rsidRPr="000D651A">
              <w:rPr>
                <w:rFonts w:ascii="Times New Roman" w:hAnsi="Times New Roman" w:cs="Times New Roman"/>
                <w:sz w:val="24"/>
                <w:szCs w:val="24"/>
              </w:rPr>
              <w:t xml:space="preserve"> īstenošanas termiņš tiek noteikts</w:t>
            </w:r>
            <w:r w:rsidR="000D651A">
              <w:rPr>
                <w:rFonts w:ascii="Times New Roman" w:hAnsi="Times New Roman" w:cs="Times New Roman"/>
                <w:sz w:val="24"/>
                <w:szCs w:val="24"/>
              </w:rPr>
              <w:t xml:space="preserve"> – 2023.gada 31.decembris.</w:t>
            </w:r>
          </w:p>
        </w:tc>
      </w:tr>
      <w:tr w:rsidR="005F0AFA" w:rsidRPr="00996725" w14:paraId="36B36660" w14:textId="77777777" w:rsidTr="00AB1D4E">
        <w:tc>
          <w:tcPr>
            <w:tcW w:w="226" w:type="pct"/>
            <w:shd w:val="clear" w:color="auto" w:fill="FFFFFF"/>
          </w:tcPr>
          <w:p w14:paraId="5886C3BA" w14:textId="77777777" w:rsidR="005F0AFA" w:rsidRPr="00996725" w:rsidRDefault="005F0AFA" w:rsidP="009D710E">
            <w:pPr>
              <w:jc w:val="center"/>
              <w:rPr>
                <w:iCs/>
                <w:lang w:eastAsia="en-US"/>
              </w:rPr>
            </w:pPr>
            <w:r w:rsidRPr="00366023">
              <w:lastRenderedPageBreak/>
              <w:t>3.</w:t>
            </w:r>
          </w:p>
        </w:tc>
        <w:tc>
          <w:tcPr>
            <w:tcW w:w="965" w:type="pct"/>
            <w:shd w:val="clear" w:color="auto" w:fill="FFFFFF"/>
          </w:tcPr>
          <w:p w14:paraId="450F8984" w14:textId="77777777" w:rsidR="005F0AFA" w:rsidRPr="00996725" w:rsidRDefault="005F0AFA" w:rsidP="009D710E">
            <w:pPr>
              <w:rPr>
                <w:iCs/>
                <w:lang w:eastAsia="en-US"/>
              </w:rPr>
            </w:pPr>
            <w:r w:rsidRPr="00366023">
              <w:t>Projekta izstrādē iesaistītās institūcijas un publiskas personas kapitālsabiedrības</w:t>
            </w:r>
          </w:p>
        </w:tc>
        <w:tc>
          <w:tcPr>
            <w:tcW w:w="3808" w:type="pct"/>
            <w:shd w:val="clear" w:color="auto" w:fill="FFFFFF"/>
          </w:tcPr>
          <w:p w14:paraId="001B69B8" w14:textId="77777777" w:rsidR="005F0AFA" w:rsidRPr="008F2741" w:rsidRDefault="005F0AFA" w:rsidP="009D710E">
            <w:pPr>
              <w:rPr>
                <w:i/>
                <w:iCs/>
                <w:highlight w:val="yellow"/>
                <w:lang w:eastAsia="en-US"/>
              </w:rPr>
            </w:pPr>
            <w:r w:rsidRPr="00016819">
              <w:t>Satiksmes ministrija.</w:t>
            </w:r>
          </w:p>
        </w:tc>
      </w:tr>
      <w:tr w:rsidR="005F0AFA" w:rsidRPr="00016819" w14:paraId="1264EC6E" w14:textId="77777777" w:rsidTr="00AB1D4E">
        <w:tc>
          <w:tcPr>
            <w:tcW w:w="226" w:type="pct"/>
            <w:shd w:val="clear" w:color="auto" w:fill="FFFFFF"/>
          </w:tcPr>
          <w:p w14:paraId="1B6B4300" w14:textId="77777777" w:rsidR="005F0AFA" w:rsidRPr="00996725" w:rsidRDefault="005F0AFA" w:rsidP="009D710E">
            <w:pPr>
              <w:jc w:val="center"/>
              <w:rPr>
                <w:iCs/>
                <w:lang w:eastAsia="en-US"/>
              </w:rPr>
            </w:pPr>
            <w:r w:rsidRPr="00366023">
              <w:t>4.</w:t>
            </w:r>
          </w:p>
        </w:tc>
        <w:tc>
          <w:tcPr>
            <w:tcW w:w="965" w:type="pct"/>
            <w:shd w:val="clear" w:color="auto" w:fill="FFFFFF"/>
          </w:tcPr>
          <w:p w14:paraId="7CF61BDB" w14:textId="77777777" w:rsidR="005F0AFA" w:rsidRPr="00996725" w:rsidRDefault="005F0AFA" w:rsidP="009D710E">
            <w:pPr>
              <w:rPr>
                <w:iCs/>
                <w:lang w:eastAsia="en-US"/>
              </w:rPr>
            </w:pPr>
            <w:r w:rsidRPr="00366023">
              <w:t>Cita informācija</w:t>
            </w:r>
          </w:p>
        </w:tc>
        <w:tc>
          <w:tcPr>
            <w:tcW w:w="3808" w:type="pct"/>
            <w:shd w:val="clear" w:color="auto" w:fill="FFFFFF"/>
          </w:tcPr>
          <w:p w14:paraId="655BEB76" w14:textId="70B98C20" w:rsidR="005F0AFA" w:rsidRPr="00016819" w:rsidRDefault="000D651A" w:rsidP="00E44BD9">
            <w:pPr>
              <w:tabs>
                <w:tab w:val="left" w:pos="720"/>
                <w:tab w:val="center" w:pos="4320"/>
                <w:tab w:val="right" w:pos="8640"/>
              </w:tabs>
              <w:jc w:val="both"/>
            </w:pPr>
            <w:r>
              <w:t>N</w:t>
            </w:r>
            <w:r w:rsidR="008273D5" w:rsidRPr="00016819">
              <w:t xml:space="preserve">oteikumu projektam </w:t>
            </w:r>
            <w:r w:rsidR="00E2351F">
              <w:t xml:space="preserve">ir ietekme uz </w:t>
            </w:r>
            <w:r>
              <w:t>SAM 2.1.1. ietvaros Valsts akciju sabiedrības “Latvijas Valsts radio un televīzijas centrs” (turpmāk – LVRTC) īstenojamo projektu Nr.2.1.1.0/16/I/001 “Elektroniskās sakaru infrastruktūras pieejamības uzlabošana lauku teritorijās”</w:t>
            </w:r>
            <w:r w:rsidR="00E44BD9">
              <w:t xml:space="preserve"> (turpmāk – ES fondu projekts)</w:t>
            </w:r>
            <w:r w:rsidR="00E2351F">
              <w:t xml:space="preserve">, par kura īstenošanu </w:t>
            </w:r>
            <w:r>
              <w:t xml:space="preserve">LVRTC </w:t>
            </w:r>
            <w:r w:rsidR="00E2351F">
              <w:t xml:space="preserve">noslēgta vienošanās ar </w:t>
            </w:r>
            <w:r w:rsidR="00E44BD9">
              <w:t>Centrālo finanšu un līgumu aģentūru.</w:t>
            </w:r>
          </w:p>
        </w:tc>
      </w:tr>
    </w:tbl>
    <w:p w14:paraId="44CEF447" w14:textId="77777777" w:rsidR="005F0AFA" w:rsidRDefault="005F0AFA" w:rsidP="005F0AFA">
      <w:pPr>
        <w:pStyle w:val="Title"/>
        <w:spacing w:before="130" w:line="260" w:lineRule="exact"/>
        <w:jc w:val="both"/>
        <w:rPr>
          <w:sz w:val="24"/>
          <w:szCs w:val="24"/>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59"/>
        <w:gridCol w:w="1859"/>
        <w:gridCol w:w="7175"/>
      </w:tblGrid>
      <w:tr w:rsidR="005F0AFA" w:rsidRPr="00996725" w14:paraId="4D21E6E9" w14:textId="77777777" w:rsidTr="00D63D5C">
        <w:tc>
          <w:tcPr>
            <w:tcW w:w="5000" w:type="pct"/>
            <w:gridSpan w:val="3"/>
            <w:shd w:val="clear" w:color="auto" w:fill="FFFFFF"/>
          </w:tcPr>
          <w:p w14:paraId="527E2A19" w14:textId="77777777" w:rsidR="005F0AFA" w:rsidRPr="00996725" w:rsidRDefault="005F0AFA" w:rsidP="009D710E">
            <w:pPr>
              <w:jc w:val="center"/>
              <w:rPr>
                <w:i/>
                <w:iCs/>
                <w:lang w:eastAsia="en-US"/>
              </w:rPr>
            </w:pPr>
            <w:r w:rsidRPr="005511D3">
              <w:rPr>
                <w:b/>
              </w:rPr>
              <w:t>II. Tiesību akta projekta ietekme uz sabiedrību, tautsaimniecības attīstību un administratīvo slogu</w:t>
            </w:r>
          </w:p>
        </w:tc>
      </w:tr>
      <w:tr w:rsidR="005F0AFA" w:rsidRPr="00996725" w14:paraId="50139869" w14:textId="77777777" w:rsidTr="00D63D5C">
        <w:tc>
          <w:tcPr>
            <w:tcW w:w="242" w:type="pct"/>
            <w:shd w:val="clear" w:color="auto" w:fill="FFFFFF"/>
          </w:tcPr>
          <w:p w14:paraId="28A44CB7" w14:textId="77777777" w:rsidR="005F0AFA" w:rsidRPr="00996725" w:rsidRDefault="005F0AFA" w:rsidP="009D710E">
            <w:pPr>
              <w:jc w:val="center"/>
              <w:rPr>
                <w:iCs/>
                <w:lang w:eastAsia="en-US"/>
              </w:rPr>
            </w:pPr>
            <w:r w:rsidRPr="008B5F77">
              <w:t>1.</w:t>
            </w:r>
          </w:p>
        </w:tc>
        <w:tc>
          <w:tcPr>
            <w:tcW w:w="979" w:type="pct"/>
            <w:shd w:val="clear" w:color="auto" w:fill="FFFFFF"/>
          </w:tcPr>
          <w:p w14:paraId="421FDAAD" w14:textId="77777777" w:rsidR="005F0AFA" w:rsidRPr="00996725" w:rsidRDefault="005F0AFA" w:rsidP="009D710E">
            <w:pPr>
              <w:rPr>
                <w:iCs/>
                <w:lang w:eastAsia="en-US"/>
              </w:rPr>
            </w:pPr>
            <w:r w:rsidRPr="008B5F77">
              <w:t>Sabiedrības mērķgrupas, kuras tiesiskais regulējums ietekmē vai varētu ietekmēt</w:t>
            </w:r>
          </w:p>
        </w:tc>
        <w:tc>
          <w:tcPr>
            <w:tcW w:w="3780" w:type="pct"/>
            <w:shd w:val="clear" w:color="auto" w:fill="FFFFFF"/>
          </w:tcPr>
          <w:p w14:paraId="5B1502A7" w14:textId="3E5926CE" w:rsidR="005F0AFA" w:rsidRPr="00BB365E" w:rsidRDefault="000C4494" w:rsidP="009D710E">
            <w:pPr>
              <w:jc w:val="both"/>
            </w:pPr>
            <w:r>
              <w:t>N</w:t>
            </w:r>
            <w:r w:rsidR="00FE1E1F">
              <w:t xml:space="preserve">oteikumu projekta </w:t>
            </w:r>
            <w:r w:rsidR="005F0AFA" w:rsidRPr="008B5F77">
              <w:t xml:space="preserve">tiesiskais regulējums </w:t>
            </w:r>
            <w:r w:rsidR="00BB365E">
              <w:t>ietekmē</w:t>
            </w:r>
            <w:r w:rsidR="00A60177">
              <w:t xml:space="preserve"> Satiksmes ministriju, </w:t>
            </w:r>
            <w:r w:rsidR="00E44BD9">
              <w:t>Centrālo finanšu un līgumu aģentūru</w:t>
            </w:r>
            <w:r w:rsidR="00A60177">
              <w:t xml:space="preserve"> un </w:t>
            </w:r>
            <w:r w:rsidR="00E44BD9">
              <w:t>ES fondu</w:t>
            </w:r>
            <w:r w:rsidR="00BB365E">
              <w:t xml:space="preserve"> projekta īstenotāju </w:t>
            </w:r>
            <w:r w:rsidR="00E44BD9">
              <w:t>LVRTC</w:t>
            </w:r>
            <w:r w:rsidR="00A60177">
              <w:t>.</w:t>
            </w:r>
          </w:p>
        </w:tc>
      </w:tr>
      <w:tr w:rsidR="005F0AFA" w:rsidRPr="00996725" w14:paraId="6B28327F" w14:textId="77777777" w:rsidTr="00D63D5C">
        <w:tc>
          <w:tcPr>
            <w:tcW w:w="242" w:type="pct"/>
            <w:shd w:val="clear" w:color="auto" w:fill="FFFFFF"/>
          </w:tcPr>
          <w:p w14:paraId="1ACAC286" w14:textId="77777777" w:rsidR="005F0AFA" w:rsidRPr="00996725" w:rsidRDefault="005F0AFA" w:rsidP="009D710E">
            <w:pPr>
              <w:jc w:val="center"/>
              <w:rPr>
                <w:iCs/>
                <w:lang w:eastAsia="en-US"/>
              </w:rPr>
            </w:pPr>
            <w:r w:rsidRPr="008B5F77">
              <w:t>2.</w:t>
            </w:r>
          </w:p>
        </w:tc>
        <w:tc>
          <w:tcPr>
            <w:tcW w:w="979" w:type="pct"/>
            <w:shd w:val="clear" w:color="auto" w:fill="FFFFFF"/>
          </w:tcPr>
          <w:p w14:paraId="6F954201" w14:textId="77777777" w:rsidR="005F0AFA" w:rsidRPr="00996725" w:rsidRDefault="005F0AFA" w:rsidP="009D710E">
            <w:pPr>
              <w:rPr>
                <w:iCs/>
                <w:lang w:eastAsia="en-US"/>
              </w:rPr>
            </w:pPr>
            <w:r w:rsidRPr="008B5F77">
              <w:t>Tiesiskā regulējuma ietekme uz tautsaimniecību un administratīvo slogu</w:t>
            </w:r>
          </w:p>
        </w:tc>
        <w:tc>
          <w:tcPr>
            <w:tcW w:w="3780" w:type="pct"/>
            <w:shd w:val="clear" w:color="auto" w:fill="FFFFFF"/>
          </w:tcPr>
          <w:p w14:paraId="4C120A76" w14:textId="5981CD6F" w:rsidR="005F0AFA" w:rsidRPr="00996725" w:rsidRDefault="008D04C4" w:rsidP="009D710E">
            <w:pPr>
              <w:jc w:val="both"/>
              <w:rPr>
                <w:i/>
                <w:iCs/>
                <w:lang w:eastAsia="en-US"/>
              </w:rPr>
            </w:pPr>
            <w:r w:rsidRPr="008B5F77">
              <w:t>Projekts šo jomu neskar</w:t>
            </w:r>
            <w:r>
              <w:t>.</w:t>
            </w:r>
          </w:p>
        </w:tc>
      </w:tr>
      <w:tr w:rsidR="005F0AFA" w:rsidRPr="00996725" w14:paraId="7C526002" w14:textId="77777777" w:rsidTr="00D63D5C">
        <w:tc>
          <w:tcPr>
            <w:tcW w:w="242" w:type="pct"/>
            <w:shd w:val="clear" w:color="auto" w:fill="FFFFFF"/>
          </w:tcPr>
          <w:p w14:paraId="002625FB" w14:textId="77777777" w:rsidR="005F0AFA" w:rsidRPr="00996725" w:rsidRDefault="005F0AFA" w:rsidP="009D710E">
            <w:pPr>
              <w:jc w:val="center"/>
              <w:rPr>
                <w:iCs/>
                <w:lang w:eastAsia="en-US"/>
              </w:rPr>
            </w:pPr>
            <w:r w:rsidRPr="008B5F77">
              <w:t>3.</w:t>
            </w:r>
          </w:p>
        </w:tc>
        <w:tc>
          <w:tcPr>
            <w:tcW w:w="979" w:type="pct"/>
            <w:shd w:val="clear" w:color="auto" w:fill="FFFFFF"/>
          </w:tcPr>
          <w:p w14:paraId="528BBAC4" w14:textId="77777777" w:rsidR="005F0AFA" w:rsidRPr="00996725" w:rsidRDefault="005F0AFA" w:rsidP="009D710E">
            <w:pPr>
              <w:rPr>
                <w:iCs/>
                <w:lang w:eastAsia="en-US"/>
              </w:rPr>
            </w:pPr>
            <w:r w:rsidRPr="008B5F77">
              <w:t>Administratīvo izmaksu monetārs novērtējums</w:t>
            </w:r>
          </w:p>
        </w:tc>
        <w:tc>
          <w:tcPr>
            <w:tcW w:w="3780" w:type="pct"/>
            <w:shd w:val="clear" w:color="auto" w:fill="FFFFFF"/>
          </w:tcPr>
          <w:p w14:paraId="5588CDF7" w14:textId="77777777" w:rsidR="005F0AFA" w:rsidRPr="00996725" w:rsidRDefault="005F0AFA" w:rsidP="009D710E">
            <w:pPr>
              <w:rPr>
                <w:i/>
                <w:iCs/>
                <w:lang w:eastAsia="en-US"/>
              </w:rPr>
            </w:pPr>
            <w:r w:rsidRPr="008B5F77">
              <w:t>Projekts šo jomu neskar</w:t>
            </w:r>
            <w:r>
              <w:t>.</w:t>
            </w:r>
          </w:p>
        </w:tc>
      </w:tr>
      <w:tr w:rsidR="005F0AFA" w:rsidRPr="00996725" w14:paraId="4ECE9A55" w14:textId="77777777" w:rsidTr="00D63D5C">
        <w:tc>
          <w:tcPr>
            <w:tcW w:w="242" w:type="pct"/>
            <w:shd w:val="clear" w:color="auto" w:fill="FFFFFF"/>
          </w:tcPr>
          <w:p w14:paraId="7F3A206A" w14:textId="77777777" w:rsidR="005F0AFA" w:rsidRPr="00996725" w:rsidRDefault="005F0AFA" w:rsidP="009D710E">
            <w:pPr>
              <w:jc w:val="center"/>
              <w:rPr>
                <w:iCs/>
                <w:lang w:eastAsia="en-US"/>
              </w:rPr>
            </w:pPr>
            <w:r w:rsidRPr="008B5F77">
              <w:t>4.</w:t>
            </w:r>
          </w:p>
        </w:tc>
        <w:tc>
          <w:tcPr>
            <w:tcW w:w="979" w:type="pct"/>
            <w:shd w:val="clear" w:color="auto" w:fill="FFFFFF"/>
          </w:tcPr>
          <w:p w14:paraId="73FA6DBA" w14:textId="77777777" w:rsidR="005F0AFA" w:rsidRPr="00996725" w:rsidRDefault="005F0AFA" w:rsidP="009D710E">
            <w:pPr>
              <w:rPr>
                <w:iCs/>
                <w:lang w:eastAsia="en-US"/>
              </w:rPr>
            </w:pPr>
            <w:r w:rsidRPr="008B5F77">
              <w:t>Atbilstības izmaksu monetārs novērtējums</w:t>
            </w:r>
          </w:p>
        </w:tc>
        <w:tc>
          <w:tcPr>
            <w:tcW w:w="3780" w:type="pct"/>
            <w:shd w:val="clear" w:color="auto" w:fill="FFFFFF"/>
          </w:tcPr>
          <w:p w14:paraId="69507613" w14:textId="77777777" w:rsidR="005F0AFA" w:rsidRPr="00996725" w:rsidRDefault="005F0AFA" w:rsidP="009D710E">
            <w:pPr>
              <w:rPr>
                <w:i/>
                <w:iCs/>
                <w:lang w:eastAsia="en-US"/>
              </w:rPr>
            </w:pPr>
            <w:r w:rsidRPr="008B5F77">
              <w:t>Projekts šo jomu neskar</w:t>
            </w:r>
            <w:r>
              <w:t>.</w:t>
            </w:r>
          </w:p>
        </w:tc>
      </w:tr>
      <w:tr w:rsidR="005F0AFA" w:rsidRPr="00996725" w14:paraId="2A609B0C" w14:textId="77777777" w:rsidTr="00D63D5C">
        <w:tc>
          <w:tcPr>
            <w:tcW w:w="242" w:type="pct"/>
            <w:shd w:val="clear" w:color="auto" w:fill="FFFFFF"/>
          </w:tcPr>
          <w:p w14:paraId="67038A24" w14:textId="77777777" w:rsidR="005F0AFA" w:rsidRPr="00996725" w:rsidRDefault="005F0AFA" w:rsidP="009D710E">
            <w:pPr>
              <w:jc w:val="center"/>
              <w:rPr>
                <w:iCs/>
                <w:lang w:eastAsia="en-US"/>
              </w:rPr>
            </w:pPr>
            <w:r w:rsidRPr="008B5F77">
              <w:t>5.</w:t>
            </w:r>
          </w:p>
        </w:tc>
        <w:tc>
          <w:tcPr>
            <w:tcW w:w="979" w:type="pct"/>
            <w:shd w:val="clear" w:color="auto" w:fill="FFFFFF"/>
          </w:tcPr>
          <w:p w14:paraId="0DD76A10" w14:textId="77777777" w:rsidR="005F0AFA" w:rsidRPr="00996725" w:rsidRDefault="005F0AFA" w:rsidP="009D710E">
            <w:pPr>
              <w:rPr>
                <w:iCs/>
                <w:lang w:eastAsia="en-US"/>
              </w:rPr>
            </w:pPr>
            <w:r w:rsidRPr="008B5F77">
              <w:t>Cita informācija</w:t>
            </w:r>
          </w:p>
        </w:tc>
        <w:tc>
          <w:tcPr>
            <w:tcW w:w="3780" w:type="pct"/>
            <w:shd w:val="clear" w:color="auto" w:fill="FFFFFF"/>
          </w:tcPr>
          <w:p w14:paraId="1C0C9945" w14:textId="77777777" w:rsidR="005F0AFA" w:rsidRPr="00996725" w:rsidRDefault="005F0AFA" w:rsidP="009D710E">
            <w:pPr>
              <w:rPr>
                <w:i/>
                <w:iCs/>
                <w:lang w:eastAsia="en-US"/>
              </w:rPr>
            </w:pPr>
            <w:r w:rsidRPr="008B5F77">
              <w:t>Nav</w:t>
            </w:r>
            <w:r>
              <w:t>.</w:t>
            </w:r>
          </w:p>
        </w:tc>
      </w:tr>
    </w:tbl>
    <w:p w14:paraId="5728F0ED" w14:textId="4C884B75" w:rsidR="005F0AFA" w:rsidRDefault="005F0AFA" w:rsidP="005F0AFA">
      <w:pPr>
        <w:pStyle w:val="Title"/>
        <w:spacing w:before="130" w:line="260" w:lineRule="exact"/>
        <w:jc w:val="both"/>
        <w:rPr>
          <w:sz w:val="24"/>
          <w:szCs w:val="24"/>
        </w:rPr>
      </w:pPr>
    </w:p>
    <w:tbl>
      <w:tblPr>
        <w:tblW w:w="9468" w:type="dxa"/>
        <w:tblInd w:w="2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68"/>
      </w:tblGrid>
      <w:tr w:rsidR="00E44BD9" w:rsidRPr="00BC2633" w14:paraId="78CFC338" w14:textId="77777777" w:rsidTr="00E44BD9">
        <w:trPr>
          <w:trHeight w:val="360"/>
        </w:trPr>
        <w:tc>
          <w:tcPr>
            <w:tcW w:w="9468" w:type="dxa"/>
            <w:tcBorders>
              <w:top w:val="single" w:sz="4" w:space="0" w:color="auto"/>
              <w:left w:val="outset" w:sz="6" w:space="0" w:color="414142"/>
              <w:bottom w:val="outset" w:sz="6" w:space="0" w:color="414142"/>
              <w:right w:val="outset" w:sz="6" w:space="0" w:color="414142"/>
            </w:tcBorders>
            <w:vAlign w:val="center"/>
            <w:hideMark/>
          </w:tcPr>
          <w:p w14:paraId="24AF6C05" w14:textId="77777777" w:rsidR="00E44BD9" w:rsidRPr="00BC2633" w:rsidRDefault="00E44BD9" w:rsidP="006B59DA">
            <w:pPr>
              <w:ind w:firstLine="300"/>
              <w:jc w:val="center"/>
              <w:rPr>
                <w:b/>
                <w:bCs/>
              </w:rPr>
            </w:pPr>
            <w:r w:rsidRPr="00BC2633">
              <w:rPr>
                <w:b/>
                <w:bCs/>
              </w:rPr>
              <w:t>III. Tiesību akta projekta ietekme uz valsts budžetu un pašvaldību budžetiem</w:t>
            </w:r>
          </w:p>
        </w:tc>
      </w:tr>
      <w:tr w:rsidR="00E44BD9" w:rsidRPr="00BC2633" w14:paraId="5A6E94AD" w14:textId="77777777" w:rsidTr="00E44BD9">
        <w:trPr>
          <w:trHeight w:val="360"/>
        </w:trPr>
        <w:tc>
          <w:tcPr>
            <w:tcW w:w="9468" w:type="dxa"/>
            <w:tcBorders>
              <w:top w:val="single" w:sz="4" w:space="0" w:color="auto"/>
              <w:left w:val="outset" w:sz="6" w:space="0" w:color="414142"/>
              <w:bottom w:val="outset" w:sz="6" w:space="0" w:color="414142"/>
              <w:right w:val="outset" w:sz="6" w:space="0" w:color="414142"/>
            </w:tcBorders>
            <w:vAlign w:val="center"/>
          </w:tcPr>
          <w:p w14:paraId="55813F84" w14:textId="77777777" w:rsidR="00E44BD9" w:rsidRPr="00BC2633" w:rsidRDefault="00E44BD9" w:rsidP="006B59DA">
            <w:pPr>
              <w:ind w:firstLine="300"/>
              <w:jc w:val="center"/>
              <w:rPr>
                <w:b/>
                <w:bCs/>
              </w:rPr>
            </w:pPr>
            <w:r w:rsidRPr="00F218F6">
              <w:t>Projekts šo jomu neskar</w:t>
            </w:r>
            <w:r>
              <w:t>.</w:t>
            </w:r>
          </w:p>
        </w:tc>
      </w:tr>
    </w:tbl>
    <w:p w14:paraId="15ECA16D" w14:textId="77777777" w:rsidR="005F0AFA" w:rsidRDefault="005F0AFA" w:rsidP="005F0AFA"/>
    <w:tbl>
      <w:tblPr>
        <w:tblW w:w="559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5F0AFA" w:rsidRPr="00BC2633" w14:paraId="4CBBD706" w14:textId="77777777" w:rsidTr="00D63D5C">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1F986F9" w14:textId="77777777" w:rsidR="005F0AFA" w:rsidRPr="00BC2633" w:rsidRDefault="005F0AFA" w:rsidP="009D710E">
            <w:pPr>
              <w:ind w:firstLine="300"/>
              <w:jc w:val="center"/>
              <w:rPr>
                <w:b/>
                <w:bCs/>
              </w:rPr>
            </w:pPr>
            <w:r w:rsidRPr="00BC2633">
              <w:rPr>
                <w:b/>
                <w:bCs/>
              </w:rPr>
              <w:t>IV. Tiesību akta projekta ietekme uz spēkā esošo tiesību normu sistēmu</w:t>
            </w:r>
          </w:p>
        </w:tc>
      </w:tr>
      <w:tr w:rsidR="005F0AFA" w:rsidRPr="00BC2633" w14:paraId="4E087467" w14:textId="77777777" w:rsidTr="00D63D5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5D34CF7A" w14:textId="77777777" w:rsidR="005F0AFA" w:rsidRPr="00BC2633" w:rsidRDefault="005F0AFA" w:rsidP="009D710E">
            <w:pPr>
              <w:ind w:firstLine="300"/>
              <w:jc w:val="center"/>
              <w:rPr>
                <w:b/>
                <w:bCs/>
              </w:rPr>
            </w:pPr>
            <w:r w:rsidRPr="00F218F6">
              <w:t>Projekts šo jomu neskar</w:t>
            </w:r>
            <w:r>
              <w:t>.</w:t>
            </w:r>
          </w:p>
        </w:tc>
      </w:tr>
    </w:tbl>
    <w:p w14:paraId="356681A3" w14:textId="77777777" w:rsidR="005F0AFA" w:rsidRPr="00BC2633" w:rsidRDefault="005F0AFA" w:rsidP="005F0AFA"/>
    <w:tbl>
      <w:tblPr>
        <w:tblW w:w="559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5F0AFA" w:rsidRPr="00BC2633" w14:paraId="5AF891F4" w14:textId="77777777" w:rsidTr="00D63D5C">
        <w:tc>
          <w:tcPr>
            <w:tcW w:w="5000" w:type="pct"/>
            <w:tcBorders>
              <w:top w:val="outset" w:sz="6" w:space="0" w:color="414142"/>
              <w:left w:val="outset" w:sz="6" w:space="0" w:color="414142"/>
              <w:bottom w:val="outset" w:sz="6" w:space="0" w:color="414142"/>
              <w:right w:val="outset" w:sz="6" w:space="0" w:color="414142"/>
            </w:tcBorders>
            <w:vAlign w:val="center"/>
            <w:hideMark/>
          </w:tcPr>
          <w:p w14:paraId="38882B79" w14:textId="77777777" w:rsidR="005F0AFA" w:rsidRPr="00BC2633" w:rsidRDefault="005F0AFA" w:rsidP="009D710E">
            <w:pPr>
              <w:ind w:firstLine="300"/>
              <w:jc w:val="center"/>
              <w:rPr>
                <w:b/>
                <w:bCs/>
              </w:rPr>
            </w:pPr>
            <w:r w:rsidRPr="00BC2633">
              <w:rPr>
                <w:b/>
                <w:bCs/>
              </w:rPr>
              <w:t>V. Tiesību akta projekta atbilstība Latvijas Republikas starptautiskajām saistībām</w:t>
            </w:r>
          </w:p>
        </w:tc>
      </w:tr>
      <w:tr w:rsidR="005F0AFA" w:rsidRPr="00BC2633" w14:paraId="730DE3F2" w14:textId="77777777" w:rsidTr="00D63D5C">
        <w:tc>
          <w:tcPr>
            <w:tcW w:w="5000" w:type="pct"/>
            <w:tcBorders>
              <w:top w:val="outset" w:sz="6" w:space="0" w:color="414142"/>
              <w:left w:val="outset" w:sz="6" w:space="0" w:color="414142"/>
              <w:bottom w:val="outset" w:sz="6" w:space="0" w:color="414142"/>
              <w:right w:val="outset" w:sz="6" w:space="0" w:color="414142"/>
            </w:tcBorders>
            <w:vAlign w:val="center"/>
          </w:tcPr>
          <w:p w14:paraId="0D04250C" w14:textId="77777777" w:rsidR="005F0AFA" w:rsidRPr="00BC2633" w:rsidRDefault="005F0AFA" w:rsidP="009D710E">
            <w:pPr>
              <w:ind w:firstLine="300"/>
              <w:jc w:val="center"/>
              <w:rPr>
                <w:b/>
                <w:bCs/>
              </w:rPr>
            </w:pPr>
            <w:r w:rsidRPr="00F218F6">
              <w:t>Projekts šo jomu neskar</w:t>
            </w:r>
            <w:r>
              <w:t>.</w:t>
            </w:r>
          </w:p>
        </w:tc>
      </w:tr>
    </w:tbl>
    <w:p w14:paraId="76EEA9A8" w14:textId="77777777" w:rsidR="005F0AFA" w:rsidRPr="00BC2633" w:rsidRDefault="005F0AFA" w:rsidP="005F0AFA"/>
    <w:tbl>
      <w:tblPr>
        <w:tblW w:w="5593" w:type="pct"/>
        <w:tblInd w:w="-2" w:type="dxa"/>
        <w:tblCellMar>
          <w:left w:w="0" w:type="dxa"/>
          <w:right w:w="0" w:type="dxa"/>
        </w:tblCellMar>
        <w:tblLook w:val="04A0" w:firstRow="1" w:lastRow="0" w:firstColumn="1" w:lastColumn="0" w:noHBand="0" w:noVBand="1"/>
      </w:tblPr>
      <w:tblGrid>
        <w:gridCol w:w="471"/>
        <w:gridCol w:w="2925"/>
        <w:gridCol w:w="6094"/>
      </w:tblGrid>
      <w:tr w:rsidR="00D63D5C" w14:paraId="33B44A92" w14:textId="77777777" w:rsidTr="00D63D5C">
        <w:trPr>
          <w:trHeight w:val="420"/>
        </w:trPr>
        <w:tc>
          <w:tcPr>
            <w:tcW w:w="5000" w:type="pct"/>
            <w:gridSpan w:val="3"/>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14:paraId="2E70AD47" w14:textId="77777777" w:rsidR="00D63D5C" w:rsidRDefault="00D63D5C">
            <w:pPr>
              <w:spacing w:line="276" w:lineRule="auto"/>
              <w:ind w:firstLine="300"/>
              <w:jc w:val="center"/>
              <w:rPr>
                <w:b/>
                <w:bCs/>
                <w:lang w:eastAsia="en-US"/>
              </w:rPr>
            </w:pPr>
            <w:r>
              <w:rPr>
                <w:b/>
                <w:bCs/>
                <w:lang w:eastAsia="en-US"/>
              </w:rPr>
              <w:t>VI. Sabiedrības līdzdalība un komunikācijas aktivitātes</w:t>
            </w:r>
          </w:p>
        </w:tc>
      </w:tr>
      <w:tr w:rsidR="00D63D5C" w14:paraId="70F04532"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28E90C1F" w14:textId="77777777" w:rsidR="00D63D5C" w:rsidRDefault="00D63D5C">
            <w:pPr>
              <w:spacing w:line="276" w:lineRule="auto"/>
              <w:rPr>
                <w:lang w:eastAsia="en-US"/>
              </w:rPr>
            </w:pPr>
            <w:r>
              <w:rPr>
                <w:lang w:eastAsia="en-US"/>
              </w:rPr>
              <w:t>1.</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0F82C48D" w14:textId="77777777" w:rsidR="00D63D5C" w:rsidRDefault="00D63D5C" w:rsidP="00DE6E4B">
            <w:pPr>
              <w:rPr>
                <w:lang w:eastAsia="en-US"/>
              </w:rPr>
            </w:pPr>
            <w:r>
              <w:rPr>
                <w:lang w:eastAsia="en-US"/>
              </w:rPr>
              <w:t>Plānotās sabiedrības līdzdalības un komunikācijas aktivitātes saistībā ar projektu</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26BB0D0C" w14:textId="77777777" w:rsidR="00D63D5C" w:rsidRDefault="00D63D5C" w:rsidP="00DE6E4B">
            <w:pPr>
              <w:jc w:val="both"/>
              <w:rPr>
                <w:lang w:eastAsia="en-US"/>
              </w:rPr>
            </w:pPr>
            <w:r>
              <w:rPr>
                <w:lang w:eastAsia="en-US"/>
              </w:rPr>
              <w:t>Atbilstoši Ministru kabineta 2009.gada 25.augusta noteikumu Nr.970 „Sabiedrības līdzdalības kārtība attīstības plānošanas procesā” 7.4.</w:t>
            </w:r>
            <w:r>
              <w:rPr>
                <w:vertAlign w:val="superscript"/>
                <w:lang w:eastAsia="en-US"/>
              </w:rPr>
              <w:t>1</w:t>
            </w:r>
            <w:r>
              <w:rPr>
                <w:lang w:eastAsia="en-US"/>
              </w:rPr>
              <w:t xml:space="preserve"> apakšpunktam sabiedrībai ir dota iespēja rakstiski sniegt viedokli par noteikumu projektu tā izstrādes stadijā.</w:t>
            </w:r>
          </w:p>
        </w:tc>
      </w:tr>
      <w:tr w:rsidR="00D63D5C" w14:paraId="4502092F"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C9B8613" w14:textId="77777777" w:rsidR="00D63D5C" w:rsidRDefault="00D63D5C">
            <w:pPr>
              <w:spacing w:line="276" w:lineRule="auto"/>
              <w:rPr>
                <w:lang w:eastAsia="en-US"/>
              </w:rPr>
            </w:pPr>
            <w:r>
              <w:rPr>
                <w:lang w:eastAsia="en-US"/>
              </w:rPr>
              <w:t>2.</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05736AEF" w14:textId="77777777" w:rsidR="00D63D5C" w:rsidRDefault="00D63D5C" w:rsidP="00DE6E4B">
            <w:pPr>
              <w:rPr>
                <w:lang w:eastAsia="en-US"/>
              </w:rPr>
            </w:pPr>
            <w:r>
              <w:rPr>
                <w:lang w:eastAsia="en-US"/>
              </w:rPr>
              <w:t>Sabiedrības līdzdalība projekta izstrādē</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37DA191C" w14:textId="0E0418E2" w:rsidR="00D63D5C" w:rsidRDefault="000C4494" w:rsidP="00DE6E4B">
            <w:pPr>
              <w:jc w:val="both"/>
              <w:rPr>
                <w:lang w:eastAsia="en-US"/>
              </w:rPr>
            </w:pPr>
            <w:r>
              <w:t>N</w:t>
            </w:r>
            <w:r w:rsidR="00661FAF">
              <w:t xml:space="preserve">oteikumu </w:t>
            </w:r>
            <w:r w:rsidR="00661FAF" w:rsidRPr="003346A4">
              <w:t xml:space="preserve">projekts </w:t>
            </w:r>
            <w:r w:rsidRPr="003346A4">
              <w:t>2019.</w:t>
            </w:r>
            <w:r>
              <w:t> </w:t>
            </w:r>
            <w:r w:rsidRPr="003346A4">
              <w:t xml:space="preserve">gada </w:t>
            </w:r>
            <w:r>
              <w:t>16</w:t>
            </w:r>
            <w:r w:rsidRPr="003346A4">
              <w:t>.</w:t>
            </w:r>
            <w:r>
              <w:t> decembrī</w:t>
            </w:r>
            <w:r w:rsidRPr="003346A4">
              <w:t xml:space="preserve"> </w:t>
            </w:r>
            <w:r w:rsidR="00661FAF" w:rsidRPr="003346A4">
              <w:t xml:space="preserve">tika publicēts Satiksmes ministrijas tīmekļa vietnē </w:t>
            </w:r>
            <w:hyperlink r:id="rId8" w:history="1">
              <w:r w:rsidR="00661FAF" w:rsidRPr="003346A4">
                <w:rPr>
                  <w:rStyle w:val="Hyperlink"/>
                </w:rPr>
                <w:t>http://www.sam.gov.lv/satmin/content/?cat=553</w:t>
              </w:r>
            </w:hyperlink>
          </w:p>
        </w:tc>
      </w:tr>
      <w:tr w:rsidR="00D63D5C" w14:paraId="0070CFAE"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A272AE2" w14:textId="77777777" w:rsidR="00D63D5C" w:rsidRDefault="00D63D5C">
            <w:pPr>
              <w:spacing w:line="276" w:lineRule="auto"/>
              <w:rPr>
                <w:lang w:eastAsia="en-US"/>
              </w:rPr>
            </w:pPr>
            <w:r>
              <w:rPr>
                <w:lang w:eastAsia="en-US"/>
              </w:rPr>
              <w:t>3.</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4BA525FF" w14:textId="77777777" w:rsidR="00D63D5C" w:rsidRDefault="00D63D5C" w:rsidP="00DE6E4B">
            <w:pPr>
              <w:rPr>
                <w:lang w:eastAsia="en-US"/>
              </w:rPr>
            </w:pPr>
            <w:r>
              <w:rPr>
                <w:lang w:eastAsia="en-US"/>
              </w:rPr>
              <w:t>Sabiedrības līdzdalības rezultāti</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19AF9842" w14:textId="0566E1EB" w:rsidR="00D63D5C" w:rsidRDefault="00661FAF">
            <w:pPr>
              <w:spacing w:line="276" w:lineRule="auto"/>
              <w:jc w:val="both"/>
              <w:rPr>
                <w:lang w:eastAsia="en-US"/>
              </w:rPr>
            </w:pPr>
            <w:r w:rsidRPr="005A4E5B">
              <w:t>Iebildumi vai priekšlikumi netika saņemti.</w:t>
            </w:r>
          </w:p>
        </w:tc>
      </w:tr>
      <w:tr w:rsidR="00D63D5C" w14:paraId="7E0103B0" w14:textId="77777777" w:rsidTr="00D63D5C">
        <w:trPr>
          <w:trHeight w:val="420"/>
        </w:trPr>
        <w:tc>
          <w:tcPr>
            <w:tcW w:w="248"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2DC066E" w14:textId="77777777" w:rsidR="00D63D5C" w:rsidRDefault="00D63D5C">
            <w:pPr>
              <w:spacing w:line="276" w:lineRule="auto"/>
              <w:rPr>
                <w:lang w:eastAsia="en-US"/>
              </w:rPr>
            </w:pPr>
            <w:r>
              <w:rPr>
                <w:lang w:eastAsia="en-US"/>
              </w:rPr>
              <w:t>4.</w:t>
            </w:r>
          </w:p>
        </w:tc>
        <w:tc>
          <w:tcPr>
            <w:tcW w:w="1541" w:type="pct"/>
            <w:tcBorders>
              <w:top w:val="nil"/>
              <w:left w:val="nil"/>
              <w:bottom w:val="outset" w:sz="8" w:space="0" w:color="414142"/>
              <w:right w:val="outset" w:sz="8" w:space="0" w:color="414142"/>
            </w:tcBorders>
            <w:tcMar>
              <w:top w:w="30" w:type="dxa"/>
              <w:left w:w="30" w:type="dxa"/>
              <w:bottom w:w="30" w:type="dxa"/>
              <w:right w:w="30" w:type="dxa"/>
            </w:tcMar>
            <w:hideMark/>
          </w:tcPr>
          <w:p w14:paraId="4DEF50A0" w14:textId="77777777" w:rsidR="00D63D5C" w:rsidRDefault="00D63D5C">
            <w:pPr>
              <w:spacing w:line="276" w:lineRule="auto"/>
              <w:rPr>
                <w:lang w:eastAsia="en-US"/>
              </w:rPr>
            </w:pPr>
            <w:r>
              <w:rPr>
                <w:lang w:eastAsia="en-US"/>
              </w:rPr>
              <w:t>Cita informācija</w:t>
            </w:r>
          </w:p>
        </w:tc>
        <w:tc>
          <w:tcPr>
            <w:tcW w:w="3211" w:type="pct"/>
            <w:tcBorders>
              <w:top w:val="nil"/>
              <w:left w:val="nil"/>
              <w:bottom w:val="outset" w:sz="8" w:space="0" w:color="414142"/>
              <w:right w:val="outset" w:sz="8" w:space="0" w:color="414142"/>
            </w:tcBorders>
            <w:tcMar>
              <w:top w:w="30" w:type="dxa"/>
              <w:left w:w="30" w:type="dxa"/>
              <w:bottom w:w="30" w:type="dxa"/>
              <w:right w:w="30" w:type="dxa"/>
            </w:tcMar>
            <w:hideMark/>
          </w:tcPr>
          <w:p w14:paraId="70F4E4F8" w14:textId="77777777" w:rsidR="00D63D5C" w:rsidRDefault="00D63D5C">
            <w:pPr>
              <w:spacing w:line="276" w:lineRule="auto"/>
              <w:jc w:val="both"/>
              <w:rPr>
                <w:lang w:eastAsia="en-US"/>
              </w:rPr>
            </w:pPr>
            <w:r>
              <w:rPr>
                <w:lang w:eastAsia="en-US"/>
              </w:rPr>
              <w:t>Nav.</w:t>
            </w:r>
          </w:p>
        </w:tc>
      </w:tr>
    </w:tbl>
    <w:p w14:paraId="41A85185" w14:textId="77777777" w:rsidR="005F0AFA" w:rsidRPr="00BC2633" w:rsidRDefault="005F0AFA" w:rsidP="005F0AFA"/>
    <w:tbl>
      <w:tblPr>
        <w:tblW w:w="559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024"/>
        <w:gridCol w:w="6043"/>
      </w:tblGrid>
      <w:tr w:rsidR="005F0AFA" w:rsidRPr="00BC2633" w14:paraId="118F2901" w14:textId="77777777" w:rsidTr="00D63D5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4C275E" w14:textId="77777777" w:rsidR="005F0AFA" w:rsidRPr="00BC2633" w:rsidRDefault="005F0AFA" w:rsidP="009D710E">
            <w:pPr>
              <w:ind w:firstLine="300"/>
              <w:jc w:val="center"/>
              <w:rPr>
                <w:b/>
                <w:bCs/>
              </w:rPr>
            </w:pPr>
            <w:r w:rsidRPr="00BC2633">
              <w:rPr>
                <w:b/>
                <w:bCs/>
              </w:rPr>
              <w:t>VII. Tiesību akta projekta izpildes nodrošināšana un tās ietekme uz institūcijām</w:t>
            </w:r>
          </w:p>
        </w:tc>
      </w:tr>
      <w:tr w:rsidR="005F0AFA" w:rsidRPr="00BC2633" w14:paraId="7E3B14A7" w14:textId="77777777" w:rsidTr="00D63D5C">
        <w:trPr>
          <w:trHeight w:val="420"/>
        </w:trPr>
        <w:tc>
          <w:tcPr>
            <w:tcW w:w="223" w:type="pct"/>
            <w:tcBorders>
              <w:top w:val="outset" w:sz="6" w:space="0" w:color="414142"/>
              <w:left w:val="outset" w:sz="6" w:space="0" w:color="414142"/>
              <w:bottom w:val="outset" w:sz="6" w:space="0" w:color="414142"/>
              <w:right w:val="outset" w:sz="6" w:space="0" w:color="414142"/>
            </w:tcBorders>
            <w:hideMark/>
          </w:tcPr>
          <w:p w14:paraId="3C24B58C" w14:textId="77777777" w:rsidR="005F0AFA" w:rsidRPr="00BC2633" w:rsidRDefault="005F0AFA" w:rsidP="009D710E">
            <w:pPr>
              <w:spacing w:before="130"/>
            </w:pPr>
            <w:r w:rsidRPr="00BC2633">
              <w:t>1.</w:t>
            </w:r>
          </w:p>
        </w:tc>
        <w:tc>
          <w:tcPr>
            <w:tcW w:w="1593" w:type="pct"/>
            <w:tcBorders>
              <w:top w:val="outset" w:sz="6" w:space="0" w:color="414142"/>
              <w:left w:val="outset" w:sz="6" w:space="0" w:color="414142"/>
              <w:bottom w:val="outset" w:sz="6" w:space="0" w:color="414142"/>
              <w:right w:val="outset" w:sz="6" w:space="0" w:color="414142"/>
            </w:tcBorders>
            <w:hideMark/>
          </w:tcPr>
          <w:p w14:paraId="67559FD0" w14:textId="77777777" w:rsidR="005F0AFA" w:rsidRPr="00BC2633" w:rsidRDefault="005F0AFA" w:rsidP="009D710E">
            <w:pPr>
              <w:spacing w:before="130"/>
            </w:pPr>
            <w:r w:rsidRPr="00BC2633">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5AE0D43D" w14:textId="5CFA4DB9" w:rsidR="005F0AFA" w:rsidRPr="00BC2633" w:rsidRDefault="005F0AFA" w:rsidP="009D710E">
            <w:pPr>
              <w:spacing w:before="130"/>
              <w:jc w:val="both"/>
            </w:pPr>
            <w:r>
              <w:t>Satiksmes ministrija</w:t>
            </w:r>
            <w:r w:rsidR="00FE1E1F">
              <w:t xml:space="preserve"> kā ES fondu atbildīgā iestāde</w:t>
            </w:r>
            <w:r>
              <w:t xml:space="preserve">, </w:t>
            </w:r>
            <w:r w:rsidR="00D7552D">
              <w:t xml:space="preserve">Centrālā finanšu un līgumu aģentūra kā </w:t>
            </w:r>
            <w:r w:rsidR="00FE1E1F">
              <w:t>sadarbības iestāde.</w:t>
            </w:r>
          </w:p>
        </w:tc>
      </w:tr>
      <w:tr w:rsidR="005F0AFA" w:rsidRPr="00BC2633" w14:paraId="5A3832E9" w14:textId="77777777" w:rsidTr="00D63D5C">
        <w:trPr>
          <w:trHeight w:val="450"/>
        </w:trPr>
        <w:tc>
          <w:tcPr>
            <w:tcW w:w="223" w:type="pct"/>
            <w:tcBorders>
              <w:top w:val="outset" w:sz="6" w:space="0" w:color="414142"/>
              <w:left w:val="outset" w:sz="6" w:space="0" w:color="414142"/>
              <w:bottom w:val="outset" w:sz="6" w:space="0" w:color="414142"/>
              <w:right w:val="outset" w:sz="6" w:space="0" w:color="414142"/>
            </w:tcBorders>
            <w:hideMark/>
          </w:tcPr>
          <w:p w14:paraId="3B944B78" w14:textId="77777777" w:rsidR="005F0AFA" w:rsidRPr="00BC2633" w:rsidRDefault="005F0AFA" w:rsidP="009D710E">
            <w:pPr>
              <w:spacing w:before="130"/>
            </w:pPr>
            <w:r w:rsidRPr="00BC2633">
              <w:t>2.</w:t>
            </w:r>
          </w:p>
        </w:tc>
        <w:tc>
          <w:tcPr>
            <w:tcW w:w="1593" w:type="pct"/>
            <w:tcBorders>
              <w:top w:val="outset" w:sz="6" w:space="0" w:color="414142"/>
              <w:left w:val="outset" w:sz="6" w:space="0" w:color="414142"/>
              <w:bottom w:val="outset" w:sz="6" w:space="0" w:color="414142"/>
              <w:right w:val="outset" w:sz="6" w:space="0" w:color="414142"/>
            </w:tcBorders>
            <w:hideMark/>
          </w:tcPr>
          <w:p w14:paraId="43201DB9" w14:textId="77777777" w:rsidR="005F0AFA" w:rsidRPr="00BC2633" w:rsidRDefault="005F0AFA" w:rsidP="009D710E">
            <w:pPr>
              <w:spacing w:before="130"/>
            </w:pPr>
            <w:r w:rsidRPr="00BC2633">
              <w:t xml:space="preserve">Projekta izpildes ietekme uz pārvaldes funkcijām un institucionālo struktūru. </w:t>
            </w:r>
          </w:p>
          <w:p w14:paraId="422127F6" w14:textId="77777777" w:rsidR="005F0AFA" w:rsidRPr="00BC2633" w:rsidRDefault="005F0AFA" w:rsidP="009D710E">
            <w:pPr>
              <w:spacing w:before="130"/>
            </w:pPr>
            <w:r w:rsidRPr="00BC2633">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0D06D579" w14:textId="77777777" w:rsidR="005F0AFA" w:rsidRPr="00BC2633" w:rsidRDefault="005F0AFA" w:rsidP="009D710E">
            <w:pPr>
              <w:spacing w:before="130"/>
              <w:jc w:val="both"/>
            </w:pPr>
            <w:r w:rsidRPr="00F218F6">
              <w:t>Projekts šo jomu neskar</w:t>
            </w:r>
            <w:r>
              <w:t>.</w:t>
            </w:r>
          </w:p>
        </w:tc>
      </w:tr>
      <w:tr w:rsidR="005F0AFA" w:rsidRPr="00BC2633" w14:paraId="1BF7DDFB" w14:textId="77777777" w:rsidTr="00D63D5C">
        <w:trPr>
          <w:trHeight w:val="390"/>
        </w:trPr>
        <w:tc>
          <w:tcPr>
            <w:tcW w:w="223" w:type="pct"/>
            <w:tcBorders>
              <w:top w:val="outset" w:sz="6" w:space="0" w:color="414142"/>
              <w:left w:val="outset" w:sz="6" w:space="0" w:color="414142"/>
              <w:bottom w:val="outset" w:sz="6" w:space="0" w:color="414142"/>
              <w:right w:val="outset" w:sz="6" w:space="0" w:color="414142"/>
            </w:tcBorders>
            <w:hideMark/>
          </w:tcPr>
          <w:p w14:paraId="3905F813" w14:textId="77777777" w:rsidR="005F0AFA" w:rsidRPr="00BC2633" w:rsidRDefault="005F0AFA" w:rsidP="009D710E">
            <w:pPr>
              <w:spacing w:before="130"/>
            </w:pPr>
            <w:r w:rsidRPr="00BC2633">
              <w:t>3.</w:t>
            </w:r>
          </w:p>
        </w:tc>
        <w:tc>
          <w:tcPr>
            <w:tcW w:w="1593" w:type="pct"/>
            <w:tcBorders>
              <w:top w:val="outset" w:sz="6" w:space="0" w:color="414142"/>
              <w:left w:val="outset" w:sz="6" w:space="0" w:color="414142"/>
              <w:bottom w:val="outset" w:sz="6" w:space="0" w:color="414142"/>
              <w:right w:val="outset" w:sz="6" w:space="0" w:color="414142"/>
            </w:tcBorders>
            <w:hideMark/>
          </w:tcPr>
          <w:p w14:paraId="350ACC2A" w14:textId="77777777" w:rsidR="005F0AFA" w:rsidRPr="00BC2633" w:rsidRDefault="005F0AFA" w:rsidP="009D710E">
            <w:pPr>
              <w:spacing w:before="130"/>
            </w:pPr>
            <w:r w:rsidRPr="00BC2633">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7A474A3C" w14:textId="77777777" w:rsidR="005F0AFA" w:rsidRPr="00BC2633" w:rsidRDefault="005F0AFA" w:rsidP="009D710E">
            <w:pPr>
              <w:spacing w:before="130"/>
              <w:jc w:val="both"/>
            </w:pPr>
            <w:r>
              <w:t>Nav.</w:t>
            </w:r>
          </w:p>
        </w:tc>
      </w:tr>
    </w:tbl>
    <w:p w14:paraId="2A4FB3A8" w14:textId="77777777" w:rsidR="00E5496E" w:rsidRDefault="00E5496E" w:rsidP="005F0AFA">
      <w:pPr>
        <w:jc w:val="both"/>
      </w:pPr>
    </w:p>
    <w:p w14:paraId="36725A28" w14:textId="77777777" w:rsidR="00E5496E" w:rsidRDefault="00E5496E" w:rsidP="005F0AFA">
      <w:pPr>
        <w:jc w:val="both"/>
      </w:pPr>
    </w:p>
    <w:p w14:paraId="4FF82620" w14:textId="4EABF8BD" w:rsidR="005F0AFA" w:rsidRPr="00C50295" w:rsidRDefault="005F0AFA" w:rsidP="005F0AFA">
      <w:pPr>
        <w:jc w:val="both"/>
      </w:pPr>
      <w:r w:rsidRPr="00C50295">
        <w:t>Iesniedzējs:</w:t>
      </w:r>
    </w:p>
    <w:p w14:paraId="7DDB77BB" w14:textId="1013A19B" w:rsidR="005F0AFA" w:rsidRPr="00C50295" w:rsidRDefault="005F0AFA" w:rsidP="005F0AFA">
      <w:pPr>
        <w:tabs>
          <w:tab w:val="left" w:pos="6379"/>
        </w:tabs>
        <w:jc w:val="both"/>
      </w:pPr>
      <w:r>
        <w:t>satiksmes</w:t>
      </w:r>
      <w:r w:rsidRPr="00C50295">
        <w:t xml:space="preserve"> ministrs</w:t>
      </w:r>
      <w:r>
        <w:tab/>
        <w:t>T.Linkaits</w:t>
      </w:r>
    </w:p>
    <w:p w14:paraId="678D4687" w14:textId="77777777" w:rsidR="005F0AFA" w:rsidRDefault="005F0AFA" w:rsidP="005F0AFA">
      <w:pPr>
        <w:pStyle w:val="naisf"/>
        <w:spacing w:before="0" w:beforeAutospacing="0" w:after="0" w:afterAutospacing="0"/>
      </w:pPr>
    </w:p>
    <w:p w14:paraId="31D7A427" w14:textId="77777777" w:rsidR="005F0AFA" w:rsidRDefault="005F0AFA" w:rsidP="005F0AFA">
      <w:pPr>
        <w:jc w:val="both"/>
      </w:pPr>
      <w:r>
        <w:t>Vīza:</w:t>
      </w:r>
    </w:p>
    <w:p w14:paraId="01BBA073" w14:textId="5C2B61DE" w:rsidR="00213917" w:rsidRDefault="005F0AFA" w:rsidP="000C4494">
      <w:pPr>
        <w:tabs>
          <w:tab w:val="left" w:pos="6379"/>
        </w:tabs>
        <w:jc w:val="both"/>
      </w:pPr>
      <w:r>
        <w:t>valsts sekretāra p.i.                                                                            Dž.Innusa</w:t>
      </w:r>
    </w:p>
    <w:sectPr w:rsidR="00213917" w:rsidSect="00F94109">
      <w:footerReference w:type="default" r:id="rId9"/>
      <w:pgSz w:w="11906" w:h="16838"/>
      <w:pgMar w:top="1560"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0DE9" w14:textId="77777777" w:rsidR="00F22EAE" w:rsidRDefault="00F22EAE" w:rsidP="0067645E">
      <w:r>
        <w:separator/>
      </w:r>
    </w:p>
  </w:endnote>
  <w:endnote w:type="continuationSeparator" w:id="0">
    <w:p w14:paraId="6A7442C9" w14:textId="77777777" w:rsidR="00F22EAE" w:rsidRDefault="00F22EAE" w:rsidP="006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7D37" w14:textId="0EE64225" w:rsidR="0067645E" w:rsidRPr="0067645E" w:rsidRDefault="0067645E" w:rsidP="0067645E">
    <w:pPr>
      <w:pStyle w:val="Footer"/>
      <w:rPr>
        <w:sz w:val="16"/>
        <w:szCs w:val="16"/>
      </w:rPr>
    </w:pPr>
    <w:r w:rsidRPr="0067645E">
      <w:rPr>
        <w:sz w:val="16"/>
        <w:szCs w:val="16"/>
      </w:rPr>
      <w:t>SMAnot_1</w:t>
    </w:r>
    <w:r w:rsidR="00E5496E">
      <w:rPr>
        <w:sz w:val="16"/>
        <w:szCs w:val="16"/>
      </w:rPr>
      <w:t>2</w:t>
    </w:r>
    <w:r w:rsidRPr="0067645E">
      <w:rPr>
        <w:sz w:val="16"/>
        <w:szCs w:val="16"/>
      </w:rPr>
      <w:t>2019_MKNgroz</w:t>
    </w:r>
    <w:r w:rsidR="00E5496E">
      <w:rPr>
        <w:sz w:val="16"/>
        <w:szCs w:val="16"/>
      </w:rPr>
      <w:t>664</w:t>
    </w:r>
  </w:p>
  <w:p w14:paraId="6DD09C08" w14:textId="77777777" w:rsidR="0067645E" w:rsidRDefault="0067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0808" w14:textId="77777777" w:rsidR="00F22EAE" w:rsidRDefault="00F22EAE" w:rsidP="0067645E">
      <w:r>
        <w:separator/>
      </w:r>
    </w:p>
  </w:footnote>
  <w:footnote w:type="continuationSeparator" w:id="0">
    <w:p w14:paraId="0EB83208" w14:textId="77777777" w:rsidR="00F22EAE" w:rsidRDefault="00F22EAE" w:rsidP="0067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75E8"/>
    <w:multiLevelType w:val="hybridMultilevel"/>
    <w:tmpl w:val="13F033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E070960"/>
    <w:multiLevelType w:val="hybridMultilevel"/>
    <w:tmpl w:val="2BD02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4"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FA"/>
    <w:rsid w:val="00016819"/>
    <w:rsid w:val="000309E6"/>
    <w:rsid w:val="00036833"/>
    <w:rsid w:val="00046943"/>
    <w:rsid w:val="00063A70"/>
    <w:rsid w:val="00064091"/>
    <w:rsid w:val="0006506D"/>
    <w:rsid w:val="00066B44"/>
    <w:rsid w:val="0009161C"/>
    <w:rsid w:val="00096E34"/>
    <w:rsid w:val="000A3DF5"/>
    <w:rsid w:val="000C4494"/>
    <w:rsid w:val="000C6511"/>
    <w:rsid w:val="000D651A"/>
    <w:rsid w:val="000E6798"/>
    <w:rsid w:val="00106C39"/>
    <w:rsid w:val="001414A2"/>
    <w:rsid w:val="001437DF"/>
    <w:rsid w:val="001513E0"/>
    <w:rsid w:val="0016415C"/>
    <w:rsid w:val="00173BD6"/>
    <w:rsid w:val="0017778D"/>
    <w:rsid w:val="00181621"/>
    <w:rsid w:val="00181E7D"/>
    <w:rsid w:val="00184DBD"/>
    <w:rsid w:val="001974B6"/>
    <w:rsid w:val="001B083B"/>
    <w:rsid w:val="002126BF"/>
    <w:rsid w:val="00213917"/>
    <w:rsid w:val="0022654D"/>
    <w:rsid w:val="00296598"/>
    <w:rsid w:val="002D0C09"/>
    <w:rsid w:val="002D4FDA"/>
    <w:rsid w:val="002E1B0A"/>
    <w:rsid w:val="002E7B06"/>
    <w:rsid w:val="002F6F7B"/>
    <w:rsid w:val="002F7DA9"/>
    <w:rsid w:val="00312582"/>
    <w:rsid w:val="003A47AD"/>
    <w:rsid w:val="003B5B6C"/>
    <w:rsid w:val="003B7DC6"/>
    <w:rsid w:val="003C5608"/>
    <w:rsid w:val="003E4D82"/>
    <w:rsid w:val="003E5B8B"/>
    <w:rsid w:val="004079E1"/>
    <w:rsid w:val="00412B4F"/>
    <w:rsid w:val="00431608"/>
    <w:rsid w:val="004323A2"/>
    <w:rsid w:val="00481897"/>
    <w:rsid w:val="004A2D09"/>
    <w:rsid w:val="004A6C87"/>
    <w:rsid w:val="004C3100"/>
    <w:rsid w:val="004E4C79"/>
    <w:rsid w:val="004E6CF1"/>
    <w:rsid w:val="0051608F"/>
    <w:rsid w:val="00521D76"/>
    <w:rsid w:val="00535316"/>
    <w:rsid w:val="0056711C"/>
    <w:rsid w:val="005713CF"/>
    <w:rsid w:val="0059757C"/>
    <w:rsid w:val="00597B71"/>
    <w:rsid w:val="005B718C"/>
    <w:rsid w:val="005C4439"/>
    <w:rsid w:val="005D16CB"/>
    <w:rsid w:val="005F0AFA"/>
    <w:rsid w:val="00602CB9"/>
    <w:rsid w:val="00640024"/>
    <w:rsid w:val="00661FAF"/>
    <w:rsid w:val="0067645E"/>
    <w:rsid w:val="006862F1"/>
    <w:rsid w:val="006A64A6"/>
    <w:rsid w:val="006D1C6F"/>
    <w:rsid w:val="00705312"/>
    <w:rsid w:val="00714489"/>
    <w:rsid w:val="00735427"/>
    <w:rsid w:val="007540F2"/>
    <w:rsid w:val="00754C1A"/>
    <w:rsid w:val="007578F5"/>
    <w:rsid w:val="00780B60"/>
    <w:rsid w:val="007B0AEA"/>
    <w:rsid w:val="007B35A1"/>
    <w:rsid w:val="007C7C5C"/>
    <w:rsid w:val="007E309F"/>
    <w:rsid w:val="0080652C"/>
    <w:rsid w:val="008077DC"/>
    <w:rsid w:val="0082019A"/>
    <w:rsid w:val="008273D5"/>
    <w:rsid w:val="00842B38"/>
    <w:rsid w:val="00854C9B"/>
    <w:rsid w:val="008D04C4"/>
    <w:rsid w:val="008E3333"/>
    <w:rsid w:val="008F2741"/>
    <w:rsid w:val="00900117"/>
    <w:rsid w:val="009446F9"/>
    <w:rsid w:val="009657D5"/>
    <w:rsid w:val="00966AF0"/>
    <w:rsid w:val="00981509"/>
    <w:rsid w:val="009861F5"/>
    <w:rsid w:val="0099783E"/>
    <w:rsid w:val="009A2982"/>
    <w:rsid w:val="009A658A"/>
    <w:rsid w:val="009B6822"/>
    <w:rsid w:val="009C235D"/>
    <w:rsid w:val="009D4132"/>
    <w:rsid w:val="009D710E"/>
    <w:rsid w:val="009E5D41"/>
    <w:rsid w:val="00A16D0B"/>
    <w:rsid w:val="00A242D7"/>
    <w:rsid w:val="00A60177"/>
    <w:rsid w:val="00A925B7"/>
    <w:rsid w:val="00A95623"/>
    <w:rsid w:val="00AA45B9"/>
    <w:rsid w:val="00AB1D4E"/>
    <w:rsid w:val="00AD62C6"/>
    <w:rsid w:val="00B1042E"/>
    <w:rsid w:val="00B26927"/>
    <w:rsid w:val="00B51D67"/>
    <w:rsid w:val="00B76882"/>
    <w:rsid w:val="00B82A70"/>
    <w:rsid w:val="00BB365E"/>
    <w:rsid w:val="00BD422C"/>
    <w:rsid w:val="00BE28F1"/>
    <w:rsid w:val="00BE3F79"/>
    <w:rsid w:val="00BE4FD1"/>
    <w:rsid w:val="00BE501E"/>
    <w:rsid w:val="00BF7406"/>
    <w:rsid w:val="00C05700"/>
    <w:rsid w:val="00C260CB"/>
    <w:rsid w:val="00C43DAB"/>
    <w:rsid w:val="00C7228A"/>
    <w:rsid w:val="00C87657"/>
    <w:rsid w:val="00CB3B9E"/>
    <w:rsid w:val="00CC7B05"/>
    <w:rsid w:val="00CD51C9"/>
    <w:rsid w:val="00CF45AF"/>
    <w:rsid w:val="00D002F3"/>
    <w:rsid w:val="00D0312A"/>
    <w:rsid w:val="00D11FC9"/>
    <w:rsid w:val="00D46701"/>
    <w:rsid w:val="00D63D5C"/>
    <w:rsid w:val="00D667B3"/>
    <w:rsid w:val="00D7552D"/>
    <w:rsid w:val="00D95BE2"/>
    <w:rsid w:val="00DB4729"/>
    <w:rsid w:val="00DC36D2"/>
    <w:rsid w:val="00DD429B"/>
    <w:rsid w:val="00DE6E4B"/>
    <w:rsid w:val="00DF06B6"/>
    <w:rsid w:val="00E2351F"/>
    <w:rsid w:val="00E426F1"/>
    <w:rsid w:val="00E44BD9"/>
    <w:rsid w:val="00E463D6"/>
    <w:rsid w:val="00E5496E"/>
    <w:rsid w:val="00E66DCC"/>
    <w:rsid w:val="00E67092"/>
    <w:rsid w:val="00E710F5"/>
    <w:rsid w:val="00E84346"/>
    <w:rsid w:val="00EA0009"/>
    <w:rsid w:val="00EA4BFF"/>
    <w:rsid w:val="00EB5CA5"/>
    <w:rsid w:val="00EC3A3F"/>
    <w:rsid w:val="00EF1474"/>
    <w:rsid w:val="00F13F30"/>
    <w:rsid w:val="00F22EAE"/>
    <w:rsid w:val="00F836D2"/>
    <w:rsid w:val="00F94109"/>
    <w:rsid w:val="00F96D71"/>
    <w:rsid w:val="00F97047"/>
    <w:rsid w:val="00FB0D09"/>
    <w:rsid w:val="00FB641A"/>
    <w:rsid w:val="00FB7527"/>
    <w:rsid w:val="00FE1E1F"/>
    <w:rsid w:val="00FE3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4AF8"/>
  <w15:chartTrackingRefBased/>
  <w15:docId w15:val="{176D6DD7-5DF7-4551-82E8-4CE078C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AFA"/>
    <w:pPr>
      <w:jc w:val="center"/>
    </w:pPr>
    <w:rPr>
      <w:sz w:val="28"/>
      <w:szCs w:val="20"/>
      <w:lang w:eastAsia="en-US"/>
    </w:rPr>
  </w:style>
  <w:style w:type="character" w:customStyle="1" w:styleId="TitleChar">
    <w:name w:val="Title Char"/>
    <w:basedOn w:val="DefaultParagraphFont"/>
    <w:link w:val="Title"/>
    <w:rsid w:val="005F0AFA"/>
    <w:rPr>
      <w:rFonts w:ascii="Times New Roman" w:eastAsia="Times New Roman" w:hAnsi="Times New Roman" w:cs="Times New Roman"/>
      <w:sz w:val="28"/>
      <w:szCs w:val="20"/>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5F0AFA"/>
    <w:pPr>
      <w:ind w:left="720"/>
      <w:contextualSpacing/>
    </w:pPr>
  </w:style>
  <w:style w:type="paragraph" w:customStyle="1" w:styleId="naisf">
    <w:name w:val="naisf"/>
    <w:basedOn w:val="Normal"/>
    <w:uiPriority w:val="99"/>
    <w:rsid w:val="005F0AFA"/>
    <w:pPr>
      <w:spacing w:before="100" w:beforeAutospacing="1" w:after="100" w:afterAutospacing="1"/>
    </w:pPr>
  </w:style>
  <w:style w:type="paragraph" w:styleId="BalloonText">
    <w:name w:val="Balloon Text"/>
    <w:basedOn w:val="Normal"/>
    <w:link w:val="BalloonTextChar"/>
    <w:uiPriority w:val="99"/>
    <w:semiHidden/>
    <w:unhideWhenUsed/>
    <w:rsid w:val="007C7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5C"/>
    <w:rPr>
      <w:rFonts w:ascii="Segoe UI" w:eastAsia="Times New Roman" w:hAnsi="Segoe UI" w:cs="Segoe UI"/>
      <w:sz w:val="18"/>
      <w:szCs w:val="18"/>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181E7D"/>
    <w:rPr>
      <w:rFonts w:ascii="Times New Roman" w:eastAsia="Times New Roman" w:hAnsi="Times New Roman" w:cs="Times New Roman"/>
      <w:sz w:val="24"/>
      <w:szCs w:val="24"/>
      <w:lang w:eastAsia="lv-LV"/>
    </w:rPr>
  </w:style>
  <w:style w:type="table" w:styleId="TableGrid">
    <w:name w:val="Table Grid"/>
    <w:basedOn w:val="TableNormal"/>
    <w:uiPriority w:val="39"/>
    <w:rsid w:val="000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489"/>
    <w:rPr>
      <w:color w:val="0000FF"/>
      <w:u w:val="single"/>
    </w:rPr>
  </w:style>
  <w:style w:type="paragraph" w:styleId="Header">
    <w:name w:val="header"/>
    <w:basedOn w:val="Normal"/>
    <w:link w:val="HeaderChar"/>
    <w:uiPriority w:val="99"/>
    <w:unhideWhenUsed/>
    <w:rsid w:val="0067645E"/>
    <w:pPr>
      <w:tabs>
        <w:tab w:val="center" w:pos="4153"/>
        <w:tab w:val="right" w:pos="8306"/>
      </w:tabs>
    </w:pPr>
  </w:style>
  <w:style w:type="character" w:customStyle="1" w:styleId="HeaderChar">
    <w:name w:val="Header Char"/>
    <w:basedOn w:val="DefaultParagraphFont"/>
    <w:link w:val="Header"/>
    <w:uiPriority w:val="99"/>
    <w:rsid w:val="006764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7645E"/>
    <w:pPr>
      <w:tabs>
        <w:tab w:val="center" w:pos="4153"/>
        <w:tab w:val="right" w:pos="8306"/>
      </w:tabs>
    </w:pPr>
  </w:style>
  <w:style w:type="character" w:customStyle="1" w:styleId="FooterChar">
    <w:name w:val="Footer Char"/>
    <w:basedOn w:val="DefaultParagraphFont"/>
    <w:link w:val="Footer"/>
    <w:uiPriority w:val="99"/>
    <w:rsid w:val="0067645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9D4132"/>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rsid w:val="009D4132"/>
    <w:rPr>
      <w:rFonts w:ascii="Calibri" w:hAnsi="Calibri" w:cs="Calibri"/>
      <w:sz w:val="20"/>
      <w:szCs w:val="20"/>
    </w:rPr>
  </w:style>
  <w:style w:type="character" w:styleId="FootnoteReference">
    <w:name w:val="footnote reference"/>
    <w:basedOn w:val="DefaultParagraphFont"/>
    <w:uiPriority w:val="99"/>
    <w:semiHidden/>
    <w:unhideWhenUsed/>
    <w:rsid w:val="009D4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4107">
      <w:bodyDiv w:val="1"/>
      <w:marLeft w:val="0"/>
      <w:marRight w:val="0"/>
      <w:marTop w:val="0"/>
      <w:marBottom w:val="0"/>
      <w:divBdr>
        <w:top w:val="none" w:sz="0" w:space="0" w:color="auto"/>
        <w:left w:val="none" w:sz="0" w:space="0" w:color="auto"/>
        <w:bottom w:val="none" w:sz="0" w:space="0" w:color="auto"/>
        <w:right w:val="none" w:sz="0" w:space="0" w:color="auto"/>
      </w:divBdr>
    </w:div>
    <w:div w:id="1033506658">
      <w:bodyDiv w:val="1"/>
      <w:marLeft w:val="0"/>
      <w:marRight w:val="0"/>
      <w:marTop w:val="0"/>
      <w:marBottom w:val="0"/>
      <w:divBdr>
        <w:top w:val="none" w:sz="0" w:space="0" w:color="auto"/>
        <w:left w:val="none" w:sz="0" w:space="0" w:color="auto"/>
        <w:bottom w:val="none" w:sz="0" w:space="0" w:color="auto"/>
        <w:right w:val="none" w:sz="0" w:space="0" w:color="auto"/>
      </w:divBdr>
    </w:div>
    <w:div w:id="1224294502">
      <w:bodyDiv w:val="1"/>
      <w:marLeft w:val="0"/>
      <w:marRight w:val="0"/>
      <w:marTop w:val="0"/>
      <w:marBottom w:val="0"/>
      <w:divBdr>
        <w:top w:val="none" w:sz="0" w:space="0" w:color="auto"/>
        <w:left w:val="none" w:sz="0" w:space="0" w:color="auto"/>
        <w:bottom w:val="none" w:sz="0" w:space="0" w:color="auto"/>
        <w:right w:val="none" w:sz="0" w:space="0" w:color="auto"/>
      </w:divBdr>
    </w:div>
    <w:div w:id="1494224864">
      <w:bodyDiv w:val="1"/>
      <w:marLeft w:val="0"/>
      <w:marRight w:val="0"/>
      <w:marTop w:val="0"/>
      <w:marBottom w:val="0"/>
      <w:divBdr>
        <w:top w:val="none" w:sz="0" w:space="0" w:color="auto"/>
        <w:left w:val="none" w:sz="0" w:space="0" w:color="auto"/>
        <w:bottom w:val="none" w:sz="0" w:space="0" w:color="auto"/>
        <w:right w:val="none" w:sz="0" w:space="0" w:color="auto"/>
      </w:divBdr>
    </w:div>
    <w:div w:id="17633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EAD1-D529-426F-96E3-F9749006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4349</Words>
  <Characters>2480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Kalēja</dc:creator>
  <cp:keywords>Kalēja 67028023</cp:keywords>
  <dc:description>Kalēja 67028023
Inese.Kaleja@sam.gov.lv</dc:description>
  <cp:lastModifiedBy>Baiba Jirgena</cp:lastModifiedBy>
  <cp:revision>9</cp:revision>
  <cp:lastPrinted>2019-11-28T11:30:00Z</cp:lastPrinted>
  <dcterms:created xsi:type="dcterms:W3CDTF">2019-12-16T11:59:00Z</dcterms:created>
  <dcterms:modified xsi:type="dcterms:W3CDTF">2020-01-10T12:47:00Z</dcterms:modified>
</cp:coreProperties>
</file>