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D15A9" w:rsidP="007F5CF3" w:rsidRDefault="008F6C20" w14:paraId="1372215F" w14:textId="5E039280">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Likumprojekta </w:t>
      </w:r>
      <w:bookmarkStart w:name="_Hlk12533880" w:id="0"/>
      <w:r w:rsidRPr="008F6C20">
        <w:rPr>
          <w:rFonts w:ascii="Times New Roman" w:hAnsi="Times New Roman" w:eastAsia="Times New Roman" w:cs="Times New Roman"/>
          <w:b/>
          <w:bCs/>
          <w:sz w:val="24"/>
          <w:szCs w:val="24"/>
          <w:lang w:eastAsia="lv-LV"/>
        </w:rPr>
        <w:t>"</w:t>
      </w:r>
      <w:bookmarkEnd w:id="0"/>
      <w:r>
        <w:rPr>
          <w:rFonts w:ascii="Times New Roman" w:hAnsi="Times New Roman" w:eastAsia="Times New Roman" w:cs="Times New Roman"/>
          <w:b/>
          <w:bCs/>
          <w:sz w:val="24"/>
          <w:szCs w:val="24"/>
          <w:lang w:eastAsia="lv-LV"/>
        </w:rPr>
        <w:t xml:space="preserve">Grozījumi </w:t>
      </w:r>
      <w:r w:rsidR="00D17A1A">
        <w:rPr>
          <w:rFonts w:ascii="Times New Roman" w:hAnsi="Times New Roman" w:eastAsia="Times New Roman" w:cs="Times New Roman"/>
          <w:b/>
          <w:bCs/>
          <w:sz w:val="24"/>
          <w:szCs w:val="24"/>
          <w:lang w:eastAsia="lv-LV"/>
        </w:rPr>
        <w:t>Kriminālprocesa likumā</w:t>
      </w:r>
      <w:r w:rsidRPr="008F6C20">
        <w:rPr>
          <w:rFonts w:ascii="Times New Roman" w:hAnsi="Times New Roman" w:eastAsia="Times New Roman" w:cs="Times New Roman"/>
          <w:b/>
          <w:bCs/>
          <w:sz w:val="24"/>
          <w:szCs w:val="24"/>
          <w:lang w:eastAsia="lv-LV"/>
        </w:rPr>
        <w:t>"</w:t>
      </w:r>
      <w:r w:rsidRPr="00BC2633" w:rsidR="004D15A9">
        <w:rPr>
          <w:rFonts w:ascii="Times New Roman" w:hAnsi="Times New Roman" w:eastAsia="Times New Roman" w:cs="Times New Roman"/>
          <w:b/>
          <w:bCs/>
          <w:sz w:val="24"/>
          <w:szCs w:val="24"/>
          <w:lang w:eastAsia="lv-LV"/>
        </w:rPr>
        <w:t xml:space="preserve"> sākotnējās ietekmes novērtējuma ziņojums (anotācija)</w:t>
      </w:r>
    </w:p>
    <w:p w:rsidR="00DA596D" w:rsidP="007F5CF3"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p w:rsidR="00A1552F" w:rsidP="007F5CF3"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35"/>
        <w:gridCol w:w="5826"/>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7F5CF3"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A668D6" w14:paraId="47F047DD" w14:textId="77777777">
        <w:trPr>
          <w:cantSplit/>
        </w:trPr>
        <w:tc>
          <w:tcPr>
            <w:tcW w:w="3235" w:type="dxa"/>
            <w:shd w:val="clear" w:color="auto" w:fill="FFFFFF"/>
            <w:hideMark/>
          </w:tcPr>
          <w:p w:rsidRPr="00A1552F" w:rsidR="00A1552F" w:rsidP="007F5CF3"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5826" w:type="dxa"/>
            <w:shd w:val="clear" w:color="auto" w:fill="FFFFFF"/>
            <w:hideMark/>
          </w:tcPr>
          <w:p w:rsidRPr="00A1552F" w:rsidR="00E50B43" w:rsidP="007F5CF3" w:rsidRDefault="004B19C3" w14:paraId="2D343C0B" w14:textId="0A34F62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Atbilstoši grozījumiem likumā "Par tiesu varu" a</w:t>
            </w:r>
            <w:r w:rsidR="00E50B43">
              <w:rPr>
                <w:rFonts w:ascii="Times New Roman" w:hAnsi="Times New Roman" w:eastAsia="Times New Roman" w:cs="Times New Roman"/>
                <w:sz w:val="24"/>
                <w:szCs w:val="24"/>
                <w:lang w:eastAsia="lv-LV"/>
              </w:rPr>
              <w:t>r 2021. gada 1. janvāri darbu uzsāk</w:t>
            </w:r>
            <w:r w:rsidR="00D17A1A">
              <w:rPr>
                <w:rFonts w:ascii="Times New Roman" w:hAnsi="Times New Roman" w:eastAsia="Times New Roman" w:cs="Times New Roman"/>
                <w:sz w:val="24"/>
                <w:szCs w:val="24"/>
                <w:lang w:eastAsia="lv-LV"/>
              </w:rPr>
              <w:t>s</w:t>
            </w:r>
            <w:r w:rsidR="00E50B43">
              <w:rPr>
                <w:rFonts w:ascii="Times New Roman" w:hAnsi="Times New Roman" w:eastAsia="Times New Roman" w:cs="Times New Roman"/>
                <w:sz w:val="24"/>
                <w:szCs w:val="24"/>
                <w:lang w:eastAsia="lv-LV"/>
              </w:rPr>
              <w:t xml:space="preserve"> </w:t>
            </w:r>
            <w:r w:rsidR="00D17A1A">
              <w:rPr>
                <w:rFonts w:ascii="Times New Roman" w:hAnsi="Times New Roman" w:eastAsia="Times New Roman" w:cs="Times New Roman"/>
                <w:sz w:val="24"/>
                <w:szCs w:val="24"/>
                <w:lang w:eastAsia="lv-LV"/>
              </w:rPr>
              <w:t xml:space="preserve">specializēta </w:t>
            </w:r>
            <w:r w:rsidR="00E50B43">
              <w:rPr>
                <w:rFonts w:ascii="Times New Roman" w:hAnsi="Times New Roman" w:eastAsia="Times New Roman" w:cs="Times New Roman"/>
                <w:sz w:val="24"/>
                <w:szCs w:val="24"/>
                <w:lang w:eastAsia="lv-LV"/>
              </w:rPr>
              <w:t>pirmās instances tiesa</w:t>
            </w:r>
            <w:r w:rsidR="00D17A1A">
              <w:rPr>
                <w:rFonts w:ascii="Times New Roman" w:hAnsi="Times New Roman" w:eastAsia="Times New Roman" w:cs="Times New Roman"/>
                <w:sz w:val="24"/>
                <w:szCs w:val="24"/>
                <w:lang w:eastAsia="lv-LV"/>
              </w:rPr>
              <w:t xml:space="preserve"> rajona (pilsētas)</w:t>
            </w:r>
            <w:r w:rsidR="00E50B43">
              <w:rPr>
                <w:rFonts w:ascii="Times New Roman" w:hAnsi="Times New Roman" w:eastAsia="Times New Roman" w:cs="Times New Roman"/>
                <w:sz w:val="24"/>
                <w:szCs w:val="24"/>
                <w:lang w:eastAsia="lv-LV"/>
              </w:rPr>
              <w:t xml:space="preserve"> – Ekonomisko lietu tiesa</w:t>
            </w:r>
            <w:r>
              <w:rPr>
                <w:rFonts w:ascii="Times New Roman" w:hAnsi="Times New Roman" w:eastAsia="Times New Roman" w:cs="Times New Roman"/>
                <w:sz w:val="24"/>
                <w:szCs w:val="24"/>
                <w:lang w:eastAsia="lv-LV"/>
              </w:rPr>
              <w:t xml:space="preserve">. </w:t>
            </w:r>
            <w:r w:rsidRPr="008B32AA" w:rsidR="008B32AA">
              <w:rPr>
                <w:rFonts w:ascii="Times New Roman" w:hAnsi="Times New Roman" w:eastAsia="Times New Roman" w:cs="Times New Roman"/>
                <w:sz w:val="24"/>
                <w:szCs w:val="24"/>
                <w:lang w:eastAsia="lv-LV"/>
              </w:rPr>
              <w:t>Ar Likumprojekt</w:t>
            </w:r>
            <w:r w:rsidR="001D1E5F">
              <w:rPr>
                <w:rFonts w:ascii="Times New Roman" w:hAnsi="Times New Roman" w:eastAsia="Times New Roman" w:cs="Times New Roman"/>
                <w:sz w:val="24"/>
                <w:szCs w:val="24"/>
                <w:lang w:eastAsia="lv-LV"/>
              </w:rPr>
              <w:t>ā</w:t>
            </w:r>
            <w:r w:rsidRPr="008B32AA" w:rsidR="008B32AA">
              <w:rPr>
                <w:rFonts w:ascii="Times New Roman" w:hAnsi="Times New Roman" w:eastAsia="Times New Roman" w:cs="Times New Roman"/>
                <w:sz w:val="24"/>
                <w:szCs w:val="24"/>
                <w:lang w:eastAsia="lv-LV"/>
              </w:rPr>
              <w:t xml:space="preserve"> </w:t>
            </w:r>
            <w:r w:rsidRPr="008C4C08">
              <w:rPr>
                <w:rFonts w:ascii="Times New Roman" w:hAnsi="Times New Roman" w:eastAsia="Times New Roman" w:cs="Times New Roman"/>
                <w:bCs/>
                <w:sz w:val="24"/>
                <w:szCs w:val="24"/>
                <w:lang w:eastAsia="lv-LV"/>
              </w:rPr>
              <w:t xml:space="preserve">"Grozījumi </w:t>
            </w:r>
            <w:r>
              <w:rPr>
                <w:rFonts w:ascii="Times New Roman" w:hAnsi="Times New Roman" w:eastAsia="Times New Roman" w:cs="Times New Roman"/>
                <w:bCs/>
                <w:sz w:val="24"/>
                <w:szCs w:val="24"/>
                <w:lang w:eastAsia="lv-LV"/>
              </w:rPr>
              <w:t>Krimi</w:t>
            </w:r>
            <w:r w:rsidR="00C63A6F">
              <w:rPr>
                <w:rFonts w:ascii="Times New Roman" w:hAnsi="Times New Roman" w:eastAsia="Times New Roman" w:cs="Times New Roman"/>
                <w:bCs/>
                <w:sz w:val="24"/>
                <w:szCs w:val="24"/>
                <w:lang w:eastAsia="lv-LV"/>
              </w:rPr>
              <w:t>nālprocesa likumā</w:t>
            </w:r>
            <w:r w:rsidRPr="008C4C08">
              <w:rPr>
                <w:rFonts w:ascii="Times New Roman" w:hAnsi="Times New Roman" w:eastAsia="Times New Roman" w:cs="Times New Roman"/>
                <w:bCs/>
                <w:sz w:val="24"/>
                <w:szCs w:val="24"/>
                <w:lang w:eastAsia="lv-LV"/>
              </w:rPr>
              <w:t xml:space="preserve">" </w:t>
            </w:r>
            <w:r>
              <w:rPr>
                <w:rFonts w:ascii="Times New Roman" w:hAnsi="Times New Roman" w:eastAsia="Times New Roman" w:cs="Times New Roman"/>
                <w:bCs/>
                <w:sz w:val="24"/>
                <w:szCs w:val="24"/>
                <w:lang w:eastAsia="lv-LV"/>
              </w:rPr>
              <w:t xml:space="preserve">(turpmāk – Likumprojekts) </w:t>
            </w:r>
            <w:r w:rsidRPr="008B32AA" w:rsidR="008B32AA">
              <w:rPr>
                <w:rFonts w:ascii="Times New Roman" w:hAnsi="Times New Roman" w:eastAsia="Times New Roman" w:cs="Times New Roman"/>
                <w:sz w:val="24"/>
                <w:szCs w:val="24"/>
                <w:lang w:eastAsia="lv-LV"/>
              </w:rPr>
              <w:t xml:space="preserve">paredzēto regulējumu </w:t>
            </w:r>
            <w:r w:rsidR="00E4200D">
              <w:rPr>
                <w:rFonts w:ascii="Times New Roman" w:hAnsi="Times New Roman" w:eastAsia="Times New Roman" w:cs="Times New Roman"/>
                <w:sz w:val="24"/>
                <w:szCs w:val="24"/>
                <w:lang w:eastAsia="lv-LV"/>
              </w:rPr>
              <w:t>noteiktas lietu kategorijas, kuru izskatīšana ir Ekonomisko lietu tiesas kompetencē</w:t>
            </w:r>
            <w:r w:rsidR="00A679AB">
              <w:rPr>
                <w:rFonts w:ascii="Times New Roman" w:hAnsi="Times New Roman" w:eastAsia="Times New Roman" w:cs="Times New Roman"/>
                <w:sz w:val="24"/>
                <w:szCs w:val="24"/>
                <w:lang w:eastAsia="lv-LV"/>
              </w:rPr>
              <w:t xml:space="preserve">, kā arī </w:t>
            </w:r>
            <w:r w:rsidR="00D17A1A">
              <w:rPr>
                <w:rFonts w:ascii="Times New Roman" w:hAnsi="Times New Roman" w:eastAsia="Times New Roman" w:cs="Times New Roman"/>
                <w:sz w:val="24"/>
                <w:szCs w:val="24"/>
                <w:lang w:eastAsia="lv-LV"/>
              </w:rPr>
              <w:t>noteikts pārejas perioda regulējums.</w:t>
            </w:r>
            <w:r w:rsidR="00E4200D">
              <w:rPr>
                <w:rFonts w:ascii="Times New Roman" w:hAnsi="Times New Roman" w:eastAsia="Times New Roman" w:cs="Times New Roman"/>
                <w:sz w:val="24"/>
                <w:szCs w:val="24"/>
                <w:lang w:eastAsia="lv-LV"/>
              </w:rPr>
              <w:t xml:space="preserve"> </w:t>
            </w:r>
            <w:r w:rsidR="001D1E5F">
              <w:rPr>
                <w:rFonts w:ascii="Times New Roman" w:hAnsi="Times New Roman" w:eastAsia="Times New Roman" w:cs="Times New Roman"/>
                <w:sz w:val="24"/>
                <w:szCs w:val="24"/>
                <w:lang w:eastAsia="lv-LV"/>
              </w:rPr>
              <w:t xml:space="preserve">Plānots, ka </w:t>
            </w:r>
            <w:r>
              <w:rPr>
                <w:rFonts w:ascii="Times New Roman" w:hAnsi="Times New Roman" w:eastAsia="Times New Roman" w:cs="Times New Roman"/>
                <w:bCs/>
                <w:sz w:val="24"/>
                <w:szCs w:val="24"/>
                <w:lang w:eastAsia="lv-LV"/>
              </w:rPr>
              <w:t>Likumprojekts</w:t>
            </w:r>
            <w:r w:rsidDel="004B19C3">
              <w:rPr>
                <w:rFonts w:ascii="Times New Roman" w:hAnsi="Times New Roman" w:eastAsia="Times New Roman" w:cs="Times New Roman"/>
                <w:sz w:val="24"/>
                <w:szCs w:val="24"/>
                <w:lang w:eastAsia="lv-LV"/>
              </w:rPr>
              <w:t xml:space="preserve"> </w:t>
            </w:r>
            <w:r w:rsidR="009A709C">
              <w:rPr>
                <w:rFonts w:ascii="Times New Roman" w:hAnsi="Times New Roman" w:eastAsia="Times New Roman" w:cs="Times New Roman"/>
                <w:sz w:val="24"/>
                <w:szCs w:val="24"/>
                <w:lang w:eastAsia="lv-LV"/>
              </w:rPr>
              <w:t>stā</w:t>
            </w:r>
            <w:r w:rsidR="001D1E5F">
              <w:rPr>
                <w:rFonts w:ascii="Times New Roman" w:hAnsi="Times New Roman" w:eastAsia="Times New Roman" w:cs="Times New Roman"/>
                <w:sz w:val="24"/>
                <w:szCs w:val="24"/>
                <w:lang w:eastAsia="lv-LV"/>
              </w:rPr>
              <w:t>sie</w:t>
            </w:r>
            <w:r w:rsidR="009A709C">
              <w:rPr>
                <w:rFonts w:ascii="Times New Roman" w:hAnsi="Times New Roman" w:eastAsia="Times New Roman" w:cs="Times New Roman"/>
                <w:sz w:val="24"/>
                <w:szCs w:val="24"/>
                <w:lang w:eastAsia="lv-LV"/>
              </w:rPr>
              <w:t xml:space="preserve">s spēkā </w:t>
            </w:r>
            <w:r w:rsidR="00E4200D">
              <w:rPr>
                <w:rFonts w:ascii="Times New Roman" w:hAnsi="Times New Roman" w:eastAsia="Times New Roman" w:cs="Times New Roman"/>
                <w:sz w:val="24"/>
                <w:szCs w:val="24"/>
                <w:lang w:eastAsia="lv-LV"/>
              </w:rPr>
              <w:t>2021.</w:t>
            </w:r>
            <w:r w:rsidR="002045CD">
              <w:rPr>
                <w:rFonts w:ascii="Times New Roman" w:hAnsi="Times New Roman" w:eastAsia="Times New Roman" w:cs="Times New Roman"/>
                <w:sz w:val="24"/>
                <w:szCs w:val="24"/>
                <w:lang w:eastAsia="lv-LV"/>
              </w:rPr>
              <w:t xml:space="preserve"> </w:t>
            </w:r>
            <w:r w:rsidR="00E4200D">
              <w:rPr>
                <w:rFonts w:ascii="Times New Roman" w:hAnsi="Times New Roman" w:eastAsia="Times New Roman" w:cs="Times New Roman"/>
                <w:sz w:val="24"/>
                <w:szCs w:val="24"/>
                <w:lang w:eastAsia="lv-LV"/>
              </w:rPr>
              <w:t>gada 1.</w:t>
            </w:r>
            <w:r w:rsidR="00D57486">
              <w:rPr>
                <w:rFonts w:ascii="Times New Roman" w:hAnsi="Times New Roman" w:eastAsia="Times New Roman" w:cs="Times New Roman"/>
                <w:sz w:val="24"/>
                <w:szCs w:val="24"/>
                <w:lang w:eastAsia="lv-LV"/>
              </w:rPr>
              <w:t xml:space="preserve"> </w:t>
            </w:r>
            <w:r w:rsidR="00E4200D">
              <w:rPr>
                <w:rFonts w:ascii="Times New Roman" w:hAnsi="Times New Roman" w:eastAsia="Times New Roman" w:cs="Times New Roman"/>
                <w:sz w:val="24"/>
                <w:szCs w:val="24"/>
                <w:lang w:eastAsia="lv-LV"/>
              </w:rPr>
              <w:t>janvārī</w:t>
            </w:r>
            <w:r w:rsidR="001D1E5F">
              <w:rPr>
                <w:rFonts w:ascii="Times New Roman" w:hAnsi="Times New Roman" w:eastAsia="Times New Roman" w:cs="Times New Roman"/>
                <w:sz w:val="24"/>
                <w:szCs w:val="24"/>
                <w:lang w:eastAsia="lv-LV"/>
              </w:rPr>
              <w:t xml:space="preserve">. </w:t>
            </w:r>
          </w:p>
        </w:tc>
      </w:tr>
    </w:tbl>
    <w:p w:rsidRPr="00BC2633" w:rsidR="00A1552F" w:rsidP="007F5CF3"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12" w:type="pct"/>
        <w:tblInd w:w="-3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1"/>
        <w:gridCol w:w="363"/>
        <w:gridCol w:w="2903"/>
        <w:gridCol w:w="5666"/>
        <w:gridCol w:w="114"/>
      </w:tblGrid>
      <w:tr w:rsidRPr="00BC2633" w:rsidR="00BC2633" w:rsidTr="006F7C53" w14:paraId="2C53EF84" w14:textId="77777777">
        <w:trPr>
          <w:gridBefore w:val="1"/>
          <w:gridAfter w:val="1"/>
          <w:wBefore w:w="17" w:type="pct"/>
          <w:wAfter w:w="63" w:type="pct"/>
          <w:trHeight w:val="405"/>
        </w:trPr>
        <w:tc>
          <w:tcPr>
            <w:tcW w:w="492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7F5CF3"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6F7C53" w14:paraId="22687615" w14:textId="77777777">
        <w:trPr>
          <w:gridBefore w:val="1"/>
          <w:gridAfter w:val="1"/>
          <w:wBefore w:w="17" w:type="pct"/>
          <w:wAfter w:w="63" w:type="pct"/>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59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21" w:type="pct"/>
            <w:tcBorders>
              <w:top w:val="outset" w:color="414142" w:sz="6" w:space="0"/>
              <w:left w:val="outset" w:color="414142" w:sz="6" w:space="0"/>
              <w:bottom w:val="outset" w:color="414142" w:sz="6" w:space="0"/>
              <w:right w:val="outset" w:color="414142" w:sz="6" w:space="0"/>
            </w:tcBorders>
            <w:hideMark/>
          </w:tcPr>
          <w:p w:rsidR="000875A1" w:rsidP="007F5CF3" w:rsidRDefault="00D17A1A" w14:paraId="7A9A498C" w14:textId="51075E3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Likumprojekts izstrādāts, pamatojoties uz </w:t>
            </w:r>
            <w:r w:rsidRPr="000875A1" w:rsidR="000875A1">
              <w:rPr>
                <w:rFonts w:ascii="Times New Roman" w:hAnsi="Times New Roman" w:eastAsia="Times New Roman" w:cs="Times New Roman"/>
                <w:sz w:val="24"/>
                <w:szCs w:val="24"/>
                <w:lang w:eastAsia="lv-LV"/>
              </w:rPr>
              <w:t>Ministru kabineta 2019. gada 22. augusta rīkojuma Nr. 407 "Par konceptuālo ziņojumu "Par ekonomisko lietu tiesas izveidi</w:t>
            </w:r>
            <w:r w:rsidRPr="000D16C3" w:rsidR="000875A1">
              <w:rPr>
                <w:rFonts w:ascii="Times New Roman" w:hAnsi="Times New Roman" w:eastAsia="Times New Roman" w:cs="Times New Roman"/>
                <w:sz w:val="24"/>
                <w:szCs w:val="24"/>
                <w:lang w:eastAsia="lv-LV"/>
              </w:rPr>
              <w:t>"" 3.</w:t>
            </w:r>
            <w:r w:rsidRPr="000D16C3" w:rsidR="000D16C3">
              <w:rPr>
                <w:rFonts w:ascii="Times New Roman" w:hAnsi="Times New Roman" w:eastAsia="Times New Roman" w:cs="Times New Roman"/>
                <w:sz w:val="24"/>
                <w:szCs w:val="24"/>
                <w:lang w:eastAsia="lv-LV"/>
              </w:rPr>
              <w:t>2</w:t>
            </w:r>
            <w:r w:rsidRPr="000D16C3" w:rsidR="000875A1">
              <w:rPr>
                <w:rFonts w:ascii="Times New Roman" w:hAnsi="Times New Roman" w:eastAsia="Times New Roman" w:cs="Times New Roman"/>
                <w:sz w:val="24"/>
                <w:szCs w:val="24"/>
                <w:lang w:eastAsia="lv-LV"/>
              </w:rPr>
              <w:t>. apakšpunkt</w:t>
            </w:r>
            <w:r>
              <w:rPr>
                <w:rFonts w:ascii="Times New Roman" w:hAnsi="Times New Roman" w:eastAsia="Times New Roman" w:cs="Times New Roman"/>
                <w:sz w:val="24"/>
                <w:szCs w:val="24"/>
                <w:lang w:eastAsia="lv-LV"/>
              </w:rPr>
              <w:t>u</w:t>
            </w:r>
            <w:r w:rsidR="000C14DB">
              <w:rPr>
                <w:rFonts w:ascii="Times New Roman" w:hAnsi="Times New Roman" w:eastAsia="Times New Roman" w:cs="Times New Roman"/>
                <w:sz w:val="24"/>
                <w:szCs w:val="24"/>
                <w:lang w:eastAsia="lv-LV"/>
              </w:rPr>
              <w:t xml:space="preserve">, Ministru kabineta </w:t>
            </w:r>
            <w:r w:rsidRPr="000C14DB" w:rsidR="000C14DB">
              <w:rPr>
                <w:rFonts w:ascii="Times New Roman" w:hAnsi="Times New Roman" w:eastAsia="Times New Roman" w:cs="Times New Roman"/>
                <w:sz w:val="24"/>
                <w:szCs w:val="24"/>
                <w:lang w:eastAsia="lv-LV"/>
              </w:rPr>
              <w:t>2019.</w:t>
            </w:r>
            <w:r w:rsidR="000C14DB">
              <w:rPr>
                <w:rFonts w:ascii="Times New Roman" w:hAnsi="Times New Roman" w:eastAsia="Times New Roman" w:cs="Times New Roman"/>
                <w:sz w:val="24"/>
                <w:szCs w:val="24"/>
                <w:lang w:eastAsia="lv-LV"/>
              </w:rPr>
              <w:t xml:space="preserve"> </w:t>
            </w:r>
            <w:r w:rsidRPr="000C14DB" w:rsidR="000C14DB">
              <w:rPr>
                <w:rFonts w:ascii="Times New Roman" w:hAnsi="Times New Roman" w:eastAsia="Times New Roman" w:cs="Times New Roman"/>
                <w:sz w:val="24"/>
                <w:szCs w:val="24"/>
                <w:lang w:eastAsia="lv-LV"/>
              </w:rPr>
              <w:t>gada 5.</w:t>
            </w:r>
            <w:r w:rsidR="000C14DB">
              <w:rPr>
                <w:rFonts w:ascii="Times New Roman" w:hAnsi="Times New Roman" w:eastAsia="Times New Roman" w:cs="Times New Roman"/>
                <w:sz w:val="24"/>
                <w:szCs w:val="24"/>
                <w:lang w:eastAsia="lv-LV"/>
              </w:rPr>
              <w:t xml:space="preserve"> </w:t>
            </w:r>
            <w:r w:rsidRPr="000C14DB" w:rsidR="000C14DB">
              <w:rPr>
                <w:rFonts w:ascii="Times New Roman" w:hAnsi="Times New Roman" w:eastAsia="Times New Roman" w:cs="Times New Roman"/>
                <w:sz w:val="24"/>
                <w:szCs w:val="24"/>
                <w:lang w:eastAsia="lv-LV"/>
              </w:rPr>
              <w:t>novembr</w:t>
            </w:r>
            <w:r w:rsidR="000C14DB">
              <w:rPr>
                <w:rFonts w:ascii="Times New Roman" w:hAnsi="Times New Roman" w:eastAsia="Times New Roman" w:cs="Times New Roman"/>
                <w:sz w:val="24"/>
                <w:szCs w:val="24"/>
                <w:lang w:eastAsia="lv-LV"/>
              </w:rPr>
              <w:t>a lēmum</w:t>
            </w:r>
            <w:r>
              <w:rPr>
                <w:rFonts w:ascii="Times New Roman" w:hAnsi="Times New Roman" w:eastAsia="Times New Roman" w:cs="Times New Roman"/>
                <w:sz w:val="24"/>
                <w:szCs w:val="24"/>
                <w:lang w:eastAsia="lv-LV"/>
              </w:rPr>
              <w:t>u</w:t>
            </w:r>
            <w:r w:rsidR="000C14DB">
              <w:rPr>
                <w:rFonts w:ascii="Times New Roman" w:hAnsi="Times New Roman" w:eastAsia="Times New Roman" w:cs="Times New Roman"/>
                <w:sz w:val="24"/>
                <w:szCs w:val="24"/>
                <w:lang w:eastAsia="lv-LV"/>
              </w:rPr>
              <w:t xml:space="preserve"> par l</w:t>
            </w:r>
            <w:r w:rsidRPr="000C14DB" w:rsidR="000C14DB">
              <w:rPr>
                <w:rFonts w:ascii="Times New Roman" w:hAnsi="Times New Roman" w:eastAsia="Times New Roman" w:cs="Times New Roman"/>
                <w:sz w:val="24"/>
                <w:szCs w:val="24"/>
                <w:lang w:eastAsia="lv-LV"/>
              </w:rPr>
              <w:t>ikumprojekt</w:t>
            </w:r>
            <w:r>
              <w:rPr>
                <w:rFonts w:ascii="Times New Roman" w:hAnsi="Times New Roman" w:eastAsia="Times New Roman" w:cs="Times New Roman"/>
                <w:sz w:val="24"/>
                <w:szCs w:val="24"/>
                <w:lang w:eastAsia="lv-LV"/>
              </w:rPr>
              <w:t>a</w:t>
            </w:r>
            <w:r w:rsidRPr="000C14DB" w:rsidR="000C14DB">
              <w:rPr>
                <w:rFonts w:ascii="Times New Roman" w:hAnsi="Times New Roman" w:eastAsia="Times New Roman" w:cs="Times New Roman"/>
                <w:sz w:val="24"/>
                <w:szCs w:val="24"/>
                <w:lang w:eastAsia="lv-LV"/>
              </w:rPr>
              <w:t xml:space="preserve"> "Grozījumi likumā "Par tiesu varu""</w:t>
            </w:r>
            <w:r w:rsidR="000C14DB">
              <w:rPr>
                <w:rFonts w:ascii="Times New Roman" w:hAnsi="Times New Roman" w:eastAsia="Times New Roman" w:cs="Times New Roman"/>
                <w:sz w:val="24"/>
                <w:szCs w:val="24"/>
                <w:lang w:eastAsia="lv-LV"/>
              </w:rPr>
              <w:t xml:space="preserve"> atbalstīšanu (</w:t>
            </w:r>
            <w:r w:rsidRPr="000C14DB" w:rsidR="000C14DB">
              <w:rPr>
                <w:rFonts w:ascii="Times New Roman" w:hAnsi="Times New Roman" w:eastAsia="Times New Roman" w:cs="Times New Roman"/>
                <w:sz w:val="24"/>
                <w:szCs w:val="24"/>
                <w:lang w:eastAsia="lv-LV"/>
              </w:rPr>
              <w:t>prot</w:t>
            </w:r>
            <w:r w:rsidR="000C14DB">
              <w:rPr>
                <w:rFonts w:ascii="Times New Roman" w:hAnsi="Times New Roman" w:eastAsia="Times New Roman" w:cs="Times New Roman"/>
                <w:sz w:val="24"/>
                <w:szCs w:val="24"/>
                <w:lang w:eastAsia="lv-LV"/>
              </w:rPr>
              <w:t xml:space="preserve">. </w:t>
            </w:r>
            <w:r w:rsidRPr="000C14DB" w:rsidR="000C14DB">
              <w:rPr>
                <w:rFonts w:ascii="Times New Roman" w:hAnsi="Times New Roman" w:eastAsia="Times New Roman" w:cs="Times New Roman"/>
                <w:sz w:val="24"/>
                <w:szCs w:val="24"/>
                <w:lang w:eastAsia="lv-LV"/>
              </w:rPr>
              <w:t>Nr.51</w:t>
            </w:r>
            <w:r w:rsidR="000C14DB">
              <w:rPr>
                <w:rFonts w:ascii="Times New Roman" w:hAnsi="Times New Roman" w:eastAsia="Times New Roman" w:cs="Times New Roman"/>
                <w:sz w:val="24"/>
                <w:szCs w:val="24"/>
                <w:lang w:eastAsia="lv-LV"/>
              </w:rPr>
              <w:t xml:space="preserve"> </w:t>
            </w:r>
            <w:r w:rsidRPr="000C14DB" w:rsidR="000C14DB">
              <w:rPr>
                <w:rFonts w:ascii="Times New Roman" w:hAnsi="Times New Roman" w:eastAsia="Times New Roman" w:cs="Times New Roman"/>
                <w:sz w:val="24"/>
                <w:szCs w:val="24"/>
                <w:lang w:eastAsia="lv-LV"/>
              </w:rPr>
              <w:t>31.§</w:t>
            </w:r>
            <w:r w:rsidR="000C14DB">
              <w:rPr>
                <w:rFonts w:ascii="Times New Roman" w:hAnsi="Times New Roman" w:eastAsia="Times New Roman" w:cs="Times New Roman"/>
                <w:sz w:val="24"/>
                <w:szCs w:val="24"/>
                <w:lang w:eastAsia="lv-LV"/>
              </w:rPr>
              <w:t>).</w:t>
            </w:r>
          </w:p>
          <w:p w:rsidRPr="00BC2633" w:rsidR="004D2FE6" w:rsidP="007F5CF3" w:rsidRDefault="004D2FE6" w14:paraId="0A3EB312" w14:textId="6B38BC3C">
            <w:pPr>
              <w:spacing w:after="0" w:line="240" w:lineRule="auto"/>
              <w:jc w:val="both"/>
              <w:rPr>
                <w:rFonts w:ascii="Times New Roman" w:hAnsi="Times New Roman" w:eastAsia="Times New Roman" w:cs="Times New Roman"/>
                <w:sz w:val="24"/>
                <w:szCs w:val="24"/>
                <w:lang w:eastAsia="lv-LV"/>
              </w:rPr>
            </w:pPr>
          </w:p>
        </w:tc>
      </w:tr>
      <w:tr w:rsidRPr="00BC2633" w:rsidR="00DA326E" w:rsidTr="006F7C53" w14:paraId="5FF7B6AF" w14:textId="77777777">
        <w:trPr>
          <w:gridBefore w:val="1"/>
          <w:gridAfter w:val="1"/>
          <w:wBefore w:w="17" w:type="pct"/>
          <w:wAfter w:w="63" w:type="pct"/>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599" w:type="pct"/>
            <w:tcBorders>
              <w:top w:val="outset" w:color="414142" w:sz="6" w:space="0"/>
              <w:left w:val="outset" w:color="414142" w:sz="6" w:space="0"/>
              <w:bottom w:val="outset" w:color="414142" w:sz="6" w:space="0"/>
              <w:right w:val="outset" w:color="414142" w:sz="6" w:space="0"/>
            </w:tcBorders>
            <w:hideMark/>
          </w:tcPr>
          <w:p w:rsidR="004D15A9" w:rsidP="007F5CF3" w:rsidRDefault="004D15A9" w14:paraId="3E4C55B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E50B43" w:rsidR="00E50B43" w:rsidP="007F5CF3" w:rsidRDefault="00E50B43" w14:paraId="4AD2F98B" w14:textId="77777777">
            <w:pPr>
              <w:spacing w:after="0" w:line="240" w:lineRule="auto"/>
              <w:rPr>
                <w:rFonts w:ascii="Times New Roman" w:hAnsi="Times New Roman" w:eastAsia="Times New Roman" w:cs="Times New Roman"/>
                <w:sz w:val="24"/>
                <w:szCs w:val="24"/>
                <w:lang w:eastAsia="lv-LV"/>
              </w:rPr>
            </w:pPr>
          </w:p>
          <w:p w:rsidRPr="00E50B43" w:rsidR="00E50B43" w:rsidP="007F5CF3" w:rsidRDefault="00E50B43" w14:paraId="3F6DA2DD" w14:textId="77777777">
            <w:pPr>
              <w:spacing w:after="0" w:line="240" w:lineRule="auto"/>
              <w:rPr>
                <w:rFonts w:ascii="Times New Roman" w:hAnsi="Times New Roman" w:eastAsia="Times New Roman" w:cs="Times New Roman"/>
                <w:sz w:val="24"/>
                <w:szCs w:val="24"/>
                <w:lang w:eastAsia="lv-LV"/>
              </w:rPr>
            </w:pPr>
          </w:p>
          <w:p w:rsidRPr="00E50B43" w:rsidR="00E50B43" w:rsidP="007F5CF3" w:rsidRDefault="00E50B43" w14:paraId="66350A79" w14:textId="77777777">
            <w:pPr>
              <w:spacing w:after="0" w:line="240" w:lineRule="auto"/>
              <w:rPr>
                <w:rFonts w:ascii="Times New Roman" w:hAnsi="Times New Roman" w:eastAsia="Times New Roman" w:cs="Times New Roman"/>
                <w:sz w:val="24"/>
                <w:szCs w:val="24"/>
                <w:lang w:eastAsia="lv-LV"/>
              </w:rPr>
            </w:pPr>
          </w:p>
          <w:p w:rsidRPr="00E50B43" w:rsidR="00E50B43" w:rsidP="007F5CF3" w:rsidRDefault="00E50B43" w14:paraId="6DEBDED0" w14:textId="77777777">
            <w:pPr>
              <w:spacing w:after="0" w:line="240" w:lineRule="auto"/>
              <w:rPr>
                <w:rFonts w:ascii="Times New Roman" w:hAnsi="Times New Roman" w:eastAsia="Times New Roman" w:cs="Times New Roman"/>
                <w:sz w:val="24"/>
                <w:szCs w:val="24"/>
                <w:lang w:eastAsia="lv-LV"/>
              </w:rPr>
            </w:pPr>
          </w:p>
          <w:p w:rsidRPr="00E50B43" w:rsidR="00E50B43" w:rsidP="007F5CF3" w:rsidRDefault="00E50B43" w14:paraId="18288690" w14:textId="77777777">
            <w:pPr>
              <w:spacing w:after="0" w:line="240" w:lineRule="auto"/>
              <w:rPr>
                <w:rFonts w:ascii="Times New Roman" w:hAnsi="Times New Roman" w:eastAsia="Times New Roman" w:cs="Times New Roman"/>
                <w:sz w:val="24"/>
                <w:szCs w:val="24"/>
                <w:lang w:eastAsia="lv-LV"/>
              </w:rPr>
            </w:pPr>
          </w:p>
          <w:p w:rsidRPr="00E50B43" w:rsidR="00E50B43" w:rsidP="007F5CF3" w:rsidRDefault="00E50B43" w14:paraId="69557EA6" w14:textId="77777777">
            <w:pPr>
              <w:spacing w:after="0" w:line="240" w:lineRule="auto"/>
              <w:rPr>
                <w:rFonts w:ascii="Times New Roman" w:hAnsi="Times New Roman" w:eastAsia="Times New Roman" w:cs="Times New Roman"/>
                <w:sz w:val="24"/>
                <w:szCs w:val="24"/>
                <w:lang w:eastAsia="lv-LV"/>
              </w:rPr>
            </w:pPr>
          </w:p>
          <w:p w:rsidR="00E50B43" w:rsidP="007F5CF3" w:rsidRDefault="00E50B43" w14:paraId="6837DE34" w14:textId="3690D139">
            <w:pPr>
              <w:spacing w:after="0" w:line="240" w:lineRule="auto"/>
              <w:rPr>
                <w:rFonts w:ascii="Times New Roman" w:hAnsi="Times New Roman" w:eastAsia="Times New Roman" w:cs="Times New Roman"/>
                <w:sz w:val="24"/>
                <w:szCs w:val="24"/>
                <w:lang w:eastAsia="lv-LV"/>
              </w:rPr>
            </w:pPr>
          </w:p>
          <w:p w:rsidRPr="00E50B43" w:rsidR="00E50B43" w:rsidP="007F5CF3" w:rsidRDefault="00E50B43" w14:paraId="6CB7464E" w14:textId="77777777">
            <w:pPr>
              <w:spacing w:after="0" w:line="240" w:lineRule="auto"/>
              <w:rPr>
                <w:rFonts w:ascii="Times New Roman" w:hAnsi="Times New Roman" w:eastAsia="Times New Roman" w:cs="Times New Roman"/>
                <w:sz w:val="24"/>
                <w:szCs w:val="24"/>
                <w:lang w:eastAsia="lv-LV"/>
              </w:rPr>
            </w:pPr>
          </w:p>
          <w:p w:rsidRPr="00E50B43" w:rsidR="00E50B43" w:rsidP="007F5CF3" w:rsidRDefault="00E50B43" w14:paraId="5345C484" w14:textId="77777777">
            <w:pPr>
              <w:spacing w:after="0" w:line="240" w:lineRule="auto"/>
              <w:ind w:firstLine="720"/>
              <w:rPr>
                <w:rFonts w:ascii="Times New Roman" w:hAnsi="Times New Roman" w:eastAsia="Times New Roman" w:cs="Times New Roman"/>
                <w:sz w:val="24"/>
                <w:szCs w:val="24"/>
                <w:lang w:eastAsia="lv-LV"/>
              </w:rPr>
            </w:pPr>
          </w:p>
          <w:p w:rsidR="00E50B43" w:rsidP="007F5CF3" w:rsidRDefault="00E50B43" w14:paraId="7AB08C0F" w14:textId="647EC41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6E359BEA"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6BCE4D77"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5E40FF3B"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4C5C6500"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7387F694"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14225493"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0FD9AE11"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74ABEF3C"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58ED1E95"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4350D1E1"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69567989" w14:textId="77777777">
            <w:pPr>
              <w:spacing w:after="0" w:line="240" w:lineRule="auto"/>
              <w:rPr>
                <w:rFonts w:ascii="Times New Roman" w:hAnsi="Times New Roman" w:eastAsia="Times New Roman" w:cs="Times New Roman"/>
                <w:sz w:val="24"/>
                <w:szCs w:val="24"/>
                <w:lang w:eastAsia="lv-LV"/>
              </w:rPr>
            </w:pPr>
          </w:p>
          <w:p w:rsidRPr="00504BE1" w:rsidR="00504BE1" w:rsidP="007F5CF3" w:rsidRDefault="00504BE1" w14:paraId="2ED9348C" w14:textId="77777777">
            <w:pPr>
              <w:spacing w:after="0" w:line="240" w:lineRule="auto"/>
              <w:rPr>
                <w:rFonts w:ascii="Times New Roman" w:hAnsi="Times New Roman" w:eastAsia="Times New Roman" w:cs="Times New Roman"/>
                <w:sz w:val="24"/>
                <w:szCs w:val="24"/>
                <w:lang w:eastAsia="lv-LV"/>
              </w:rPr>
            </w:pPr>
          </w:p>
          <w:p w:rsidR="00E50B43" w:rsidP="007F5CF3" w:rsidRDefault="00E50B43" w14:paraId="6B5439E5" w14:textId="1F27C7A1">
            <w:pPr>
              <w:spacing w:after="0" w:line="240" w:lineRule="auto"/>
              <w:rPr>
                <w:rFonts w:ascii="Times New Roman" w:hAnsi="Times New Roman" w:eastAsia="Times New Roman" w:cs="Times New Roman"/>
                <w:sz w:val="24"/>
                <w:szCs w:val="24"/>
                <w:lang w:eastAsia="lv-LV"/>
              </w:rPr>
            </w:pPr>
          </w:p>
          <w:p w:rsidRPr="00BB1D7F" w:rsidR="00BB1D7F" w:rsidP="00BB1D7F" w:rsidRDefault="00BB1D7F" w14:paraId="54221F6A" w14:textId="77777777">
            <w:pPr>
              <w:rPr>
                <w:rFonts w:ascii="Times New Roman" w:hAnsi="Times New Roman" w:eastAsia="Times New Roman" w:cs="Times New Roman"/>
                <w:sz w:val="24"/>
                <w:szCs w:val="24"/>
                <w:lang w:eastAsia="lv-LV"/>
              </w:rPr>
            </w:pPr>
          </w:p>
          <w:p w:rsidRPr="00E50B43" w:rsidR="00E50B43" w:rsidP="007F5CF3" w:rsidRDefault="00E50B43" w14:paraId="389284C9" w14:textId="77777777">
            <w:pPr>
              <w:spacing w:after="0" w:line="240" w:lineRule="auto"/>
              <w:rPr>
                <w:rFonts w:ascii="Times New Roman" w:hAnsi="Times New Roman" w:eastAsia="Times New Roman" w:cs="Times New Roman"/>
                <w:sz w:val="24"/>
                <w:szCs w:val="24"/>
                <w:lang w:eastAsia="lv-LV"/>
              </w:rPr>
            </w:pPr>
          </w:p>
          <w:p w:rsidRPr="00E50B43" w:rsidR="00E50B43" w:rsidP="007F5CF3" w:rsidRDefault="00E50B43" w14:paraId="7B9225C8" w14:textId="425456CB">
            <w:pPr>
              <w:spacing w:after="0" w:line="240" w:lineRule="auto"/>
              <w:rPr>
                <w:rFonts w:ascii="Times New Roman" w:hAnsi="Times New Roman" w:eastAsia="Times New Roman" w:cs="Times New Roman"/>
                <w:sz w:val="24"/>
                <w:szCs w:val="24"/>
                <w:lang w:eastAsia="lv-LV"/>
              </w:rPr>
            </w:pPr>
          </w:p>
        </w:tc>
        <w:tc>
          <w:tcPr>
            <w:tcW w:w="3121" w:type="pct"/>
            <w:tcBorders>
              <w:top w:val="outset" w:color="414142" w:sz="6" w:space="0"/>
              <w:left w:val="outset" w:color="414142" w:sz="6" w:space="0"/>
              <w:bottom w:val="outset" w:color="414142" w:sz="6" w:space="0"/>
              <w:right w:val="outset" w:color="414142" w:sz="6" w:space="0"/>
            </w:tcBorders>
            <w:hideMark/>
          </w:tcPr>
          <w:p w:rsidR="000875A1" w:rsidP="007F5CF3" w:rsidRDefault="000875A1" w14:paraId="169B58F2" w14:textId="1ED046B1">
            <w:pPr>
              <w:spacing w:after="0" w:line="240" w:lineRule="auto"/>
              <w:jc w:val="both"/>
              <w:rPr>
                <w:rFonts w:ascii="Times New Roman" w:hAnsi="Times New Roman" w:eastAsia="Times New Roman" w:cs="Times New Roman"/>
                <w:sz w:val="24"/>
                <w:szCs w:val="24"/>
                <w:lang w:eastAsia="lv-LV"/>
              </w:rPr>
            </w:pPr>
            <w:r w:rsidRPr="000875A1">
              <w:rPr>
                <w:rFonts w:ascii="Times New Roman" w:hAnsi="Times New Roman" w:eastAsia="Times New Roman" w:cs="Times New Roman"/>
                <w:sz w:val="24"/>
                <w:szCs w:val="24"/>
                <w:lang w:eastAsia="lv-LV"/>
              </w:rPr>
              <w:lastRenderedPageBreak/>
              <w:t xml:space="preserve">Kopš 2013. gada tiesu darba efektivitātes uzlabošanai ir īstenoti vairāki pasākumi. To cita starpā novērtējušas tādas starptautiskas institūcijas kā Ekonomiskās sadarbības un attīstības organizācija, </w:t>
            </w:r>
            <w:r w:rsidR="004D2FE6">
              <w:rPr>
                <w:rFonts w:ascii="Times New Roman" w:hAnsi="Times New Roman" w:eastAsia="Times New Roman" w:cs="Times New Roman"/>
                <w:sz w:val="24"/>
                <w:szCs w:val="24"/>
                <w:lang w:eastAsia="lv-LV"/>
              </w:rPr>
              <w:t xml:space="preserve">Eiropas Komisija, </w:t>
            </w:r>
            <w:r w:rsidRPr="000875A1">
              <w:rPr>
                <w:rFonts w:ascii="Times New Roman" w:hAnsi="Times New Roman" w:eastAsia="Times New Roman" w:cs="Times New Roman"/>
                <w:sz w:val="24"/>
                <w:szCs w:val="24"/>
                <w:lang w:eastAsia="lv-LV"/>
              </w:rPr>
              <w:t xml:space="preserve">Eiropas Padomes </w:t>
            </w:r>
            <w:r w:rsidR="00D17A1A">
              <w:rPr>
                <w:rFonts w:ascii="Times New Roman" w:hAnsi="Times New Roman" w:eastAsia="Times New Roman" w:cs="Times New Roman"/>
                <w:sz w:val="24"/>
                <w:szCs w:val="24"/>
                <w:lang w:eastAsia="lv-LV"/>
              </w:rPr>
              <w:t xml:space="preserve">komisija </w:t>
            </w:r>
            <w:r w:rsidRPr="000875A1">
              <w:rPr>
                <w:rFonts w:ascii="Times New Roman" w:hAnsi="Times New Roman" w:eastAsia="Times New Roman" w:cs="Times New Roman"/>
                <w:sz w:val="24"/>
                <w:szCs w:val="24"/>
                <w:lang w:eastAsia="lv-LV"/>
              </w:rPr>
              <w:t>Tiesu sistēm</w:t>
            </w:r>
            <w:r w:rsidR="004D2FE6">
              <w:rPr>
                <w:rFonts w:ascii="Times New Roman" w:hAnsi="Times New Roman" w:eastAsia="Times New Roman" w:cs="Times New Roman"/>
                <w:sz w:val="24"/>
                <w:szCs w:val="24"/>
                <w:lang w:eastAsia="lv-LV"/>
              </w:rPr>
              <w:t>as</w:t>
            </w:r>
            <w:r w:rsidRPr="000875A1">
              <w:rPr>
                <w:rFonts w:ascii="Times New Roman" w:hAnsi="Times New Roman" w:eastAsia="Times New Roman" w:cs="Times New Roman"/>
                <w:sz w:val="24"/>
                <w:szCs w:val="24"/>
                <w:lang w:eastAsia="lv-LV"/>
              </w:rPr>
              <w:t xml:space="preserve"> efektivitāte</w:t>
            </w:r>
            <w:r w:rsidR="004D2FE6">
              <w:rPr>
                <w:rFonts w:ascii="Times New Roman" w:hAnsi="Times New Roman" w:eastAsia="Times New Roman" w:cs="Times New Roman"/>
                <w:sz w:val="24"/>
                <w:szCs w:val="24"/>
                <w:lang w:eastAsia="lv-LV"/>
              </w:rPr>
              <w:t>i</w:t>
            </w:r>
            <w:r w:rsidRPr="000875A1">
              <w:rPr>
                <w:rFonts w:ascii="Times New Roman" w:hAnsi="Times New Roman" w:eastAsia="Times New Roman" w:cs="Times New Roman"/>
                <w:sz w:val="24"/>
                <w:szCs w:val="24"/>
                <w:lang w:eastAsia="lv-LV"/>
              </w:rPr>
              <w:t xml:space="preserve"> un Starptautiskais Valūtas fonds.</w:t>
            </w:r>
          </w:p>
          <w:p w:rsidR="001D1E5F" w:rsidP="007F5CF3" w:rsidRDefault="000875A1" w14:paraId="511E68DE" w14:textId="76A6AD3C">
            <w:pPr>
              <w:spacing w:after="0" w:line="240" w:lineRule="auto"/>
              <w:jc w:val="both"/>
              <w:rPr>
                <w:rFonts w:ascii="Times New Roman" w:hAnsi="Times New Roman" w:eastAsia="Times New Roman" w:cs="Times New Roman"/>
                <w:sz w:val="24"/>
                <w:szCs w:val="24"/>
                <w:lang w:eastAsia="lv-LV"/>
              </w:rPr>
            </w:pPr>
            <w:r w:rsidRPr="000875A1">
              <w:rPr>
                <w:rFonts w:ascii="Times New Roman" w:hAnsi="Times New Roman" w:eastAsia="Times New Roman" w:cs="Times New Roman"/>
                <w:sz w:val="24"/>
                <w:szCs w:val="24"/>
                <w:lang w:eastAsia="lv-LV"/>
              </w:rPr>
              <w:t xml:space="preserve">Vienlaikus Eiropas Komisija un Eiropas Padomes </w:t>
            </w:r>
            <w:proofErr w:type="spellStart"/>
            <w:r w:rsidRPr="000875A1">
              <w:rPr>
                <w:rFonts w:ascii="Times New Roman" w:hAnsi="Times New Roman" w:eastAsia="Times New Roman" w:cs="Times New Roman"/>
                <w:sz w:val="24"/>
                <w:szCs w:val="24"/>
                <w:lang w:eastAsia="lv-LV"/>
              </w:rPr>
              <w:t>Moneyval</w:t>
            </w:r>
            <w:proofErr w:type="spellEnd"/>
            <w:r w:rsidRPr="000875A1">
              <w:rPr>
                <w:rFonts w:ascii="Times New Roman" w:hAnsi="Times New Roman" w:eastAsia="Times New Roman" w:cs="Times New Roman"/>
                <w:sz w:val="24"/>
                <w:szCs w:val="24"/>
                <w:lang w:eastAsia="lv-LV"/>
              </w:rPr>
              <w:t xml:space="preserve"> komitejas savstarpējās novērtēšanas 5. kārtas ziņojums par Latvijas noziedzīgi iegūtu līdzekļu legalizācijas un terorisma finansēšanas novēršanas un apkarošanas sistēmu ir skaidri iezīmējis problēmas ar </w:t>
            </w:r>
            <w:r w:rsidRPr="00245C84">
              <w:rPr>
                <w:rFonts w:ascii="Times New Roman" w:hAnsi="Times New Roman" w:eastAsia="Times New Roman" w:cs="Times New Roman"/>
                <w:i/>
                <w:iCs/>
                <w:sz w:val="24"/>
                <w:szCs w:val="24"/>
                <w:lang w:eastAsia="lv-LV"/>
              </w:rPr>
              <w:t>naudas atmazgāšanu</w:t>
            </w:r>
            <w:r w:rsidRPr="000875A1">
              <w:rPr>
                <w:rFonts w:ascii="Times New Roman" w:hAnsi="Times New Roman" w:eastAsia="Times New Roman" w:cs="Times New Roman"/>
                <w:sz w:val="24"/>
                <w:szCs w:val="24"/>
                <w:lang w:eastAsia="lv-LV"/>
              </w:rPr>
              <w:t xml:space="preserve"> saistīto lietu izskatīšanā. Secināts, ka sarežģīto un specifisko lietu izskatīšana nereti ieilgst.</w:t>
            </w:r>
            <w:r w:rsidR="005654B4">
              <w:rPr>
                <w:rFonts w:ascii="Times New Roman" w:hAnsi="Times New Roman" w:eastAsia="Times New Roman" w:cs="Times New Roman"/>
                <w:sz w:val="24"/>
                <w:szCs w:val="24"/>
                <w:lang w:eastAsia="lv-LV"/>
              </w:rPr>
              <w:t xml:space="preserve"> Tomēr jānorāda, ka l</w:t>
            </w:r>
            <w:r w:rsidRPr="000875A1">
              <w:rPr>
                <w:rFonts w:ascii="Times New Roman" w:hAnsi="Times New Roman" w:eastAsia="Times New Roman" w:cs="Times New Roman"/>
                <w:sz w:val="24"/>
                <w:szCs w:val="24"/>
                <w:lang w:eastAsia="lv-LV"/>
              </w:rPr>
              <w:t>ietu izskatīšanas ilgums ir būtisks, bet nav vienīgais tiesu sistēmas efektivitātes rādītājs. Otrs jebkuras sistēmas darbības efektivitātes rādītājs ir kvalitāte. Tiesu sistēmā tā ir tiesas sprieduma kvalitāte.</w:t>
            </w:r>
          </w:p>
          <w:p w:rsidRPr="005654B4" w:rsidR="005654B4" w:rsidP="007F5CF3" w:rsidRDefault="005654B4" w14:paraId="11EE321D" w14:textId="77777777">
            <w:pPr>
              <w:spacing w:after="0" w:line="240" w:lineRule="auto"/>
              <w:jc w:val="both"/>
              <w:rPr>
                <w:rFonts w:ascii="Times New Roman" w:hAnsi="Times New Roman" w:eastAsia="Times New Roman" w:cs="Times New Roman"/>
                <w:sz w:val="24"/>
                <w:szCs w:val="24"/>
                <w:lang w:eastAsia="lv-LV"/>
              </w:rPr>
            </w:pPr>
            <w:r w:rsidRPr="005654B4">
              <w:rPr>
                <w:rFonts w:ascii="Times New Roman" w:hAnsi="Times New Roman" w:eastAsia="Times New Roman" w:cs="Times New Roman"/>
                <w:sz w:val="24"/>
                <w:szCs w:val="24"/>
                <w:lang w:eastAsia="lv-LV"/>
              </w:rPr>
              <w:t xml:space="preserve">Atbilstoši Deklarācijas par Artura Krišjāņa Kariņa vadītā Ministru kabineta iecerēto darbību īstenošanai (turpmāk – Deklarācija) paredzētajai valdības darba prioritātei – tiesiskuma stiprināšana un Deklarācijas sadaļas "Bezkompromisu tiesiskums un likuma vara" 182. punktam noteikts, ka pārskatāma īstenotās tiesu reformas efektivitāte, izvērtējot jaunas specializētas tiesas izveidošanu </w:t>
            </w:r>
            <w:proofErr w:type="spellStart"/>
            <w:r w:rsidRPr="005654B4">
              <w:rPr>
                <w:rFonts w:ascii="Times New Roman" w:hAnsi="Times New Roman" w:eastAsia="Times New Roman" w:cs="Times New Roman"/>
                <w:sz w:val="24"/>
                <w:szCs w:val="24"/>
                <w:lang w:eastAsia="lv-LV"/>
              </w:rPr>
              <w:t>komercstrīdu</w:t>
            </w:r>
            <w:proofErr w:type="spellEnd"/>
            <w:r w:rsidRPr="005654B4">
              <w:rPr>
                <w:rFonts w:ascii="Times New Roman" w:hAnsi="Times New Roman" w:eastAsia="Times New Roman" w:cs="Times New Roman"/>
                <w:sz w:val="24"/>
                <w:szCs w:val="24"/>
                <w:lang w:eastAsia="lv-LV"/>
              </w:rPr>
              <w:t xml:space="preserve">, korupcijas, ekonomisko un finanšu noziegumu jomā. Atzīstot nepieciešamību pirms attiecīga lēmuma pieņemšanas gūt visaptverošu vērtējumu, </w:t>
            </w:r>
            <w:r w:rsidRPr="005654B4">
              <w:rPr>
                <w:rFonts w:ascii="Times New Roman" w:hAnsi="Times New Roman" w:eastAsia="Times New Roman" w:cs="Times New Roman"/>
                <w:sz w:val="24"/>
                <w:szCs w:val="24"/>
                <w:lang w:eastAsia="lv-LV"/>
              </w:rPr>
              <w:lastRenderedPageBreak/>
              <w:t xml:space="preserve">Valdības rīcības plānā definētais uzdevums minētā pasākuma izpildei tika paplašināts, proti, tika uzdots izvērtēt tiesas vai tiesnešu specializācijas izveidi attiecībā uz </w:t>
            </w:r>
            <w:proofErr w:type="spellStart"/>
            <w:r w:rsidRPr="005654B4">
              <w:rPr>
                <w:rFonts w:ascii="Times New Roman" w:hAnsi="Times New Roman" w:eastAsia="Times New Roman" w:cs="Times New Roman"/>
                <w:sz w:val="24"/>
                <w:szCs w:val="24"/>
                <w:lang w:eastAsia="lv-LV"/>
              </w:rPr>
              <w:t>komercstrīdiem</w:t>
            </w:r>
            <w:proofErr w:type="spellEnd"/>
            <w:r w:rsidRPr="005654B4">
              <w:rPr>
                <w:rFonts w:ascii="Times New Roman" w:hAnsi="Times New Roman" w:eastAsia="Times New Roman" w:cs="Times New Roman"/>
                <w:sz w:val="24"/>
                <w:szCs w:val="24"/>
                <w:lang w:eastAsia="lv-LV"/>
              </w:rPr>
              <w:t>, finanšu un ekonomiskajiem noziegumiem, kā arī korupcijas jomā, nodrošinot nolēmumu kvalitāti arī specifiskos tiesību jautājumos.</w:t>
            </w:r>
          </w:p>
          <w:p w:rsidR="00BF00B0" w:rsidP="007F5CF3" w:rsidRDefault="005654B4" w14:paraId="1FF76F7D" w14:textId="6692408D">
            <w:pPr>
              <w:spacing w:after="0" w:line="240" w:lineRule="auto"/>
              <w:jc w:val="both"/>
              <w:rPr>
                <w:rFonts w:ascii="Times New Roman" w:hAnsi="Times New Roman" w:eastAsia="Times New Roman" w:cs="Times New Roman"/>
                <w:sz w:val="24"/>
                <w:szCs w:val="24"/>
                <w:lang w:eastAsia="lv-LV"/>
              </w:rPr>
            </w:pPr>
            <w:r w:rsidRPr="005654B4">
              <w:rPr>
                <w:rFonts w:ascii="Times New Roman" w:hAnsi="Times New Roman" w:eastAsia="Times New Roman" w:cs="Times New Roman"/>
                <w:sz w:val="24"/>
                <w:szCs w:val="24"/>
                <w:lang w:eastAsia="lv-LV"/>
              </w:rPr>
              <w:t>Minētā uzdevuma izpildes ietvaros Tieslietu ministrija sākotnēji izstrādāja vairākus risinājumus, ko apsprieda ar rajonu (pilsētu) tiesu un apgabaltiesu priekšsēdētājiem, Latvijas tiesnešu biedrību. Tiesu pārstāvji diskusijās aicināja nodrošināt šo lietu specializāciju esošo rajona (pilsētu) tiesu ietvaros vai arī koncentrēt lietas vienā no esošajām rajona (pilsētas) tiesām. Tādējādi radot iespēju novērot un novērtēt noslodzi, ko veidotu specializētās lietas, un tikai tad nepieciešamības gadījumā lemt par nepieciešamību veidot atsevišķu specializētu tiesu.</w:t>
            </w:r>
          </w:p>
          <w:p w:rsidR="005654B4" w:rsidP="007F5CF3" w:rsidRDefault="00BF00B0" w14:paraId="1D27BDC9" w14:textId="3A5951EA">
            <w:pPr>
              <w:spacing w:after="0" w:line="240" w:lineRule="auto"/>
              <w:jc w:val="both"/>
              <w:rPr>
                <w:rFonts w:ascii="Times New Roman" w:hAnsi="Times New Roman" w:eastAsia="Times New Roman" w:cs="Times New Roman"/>
                <w:sz w:val="24"/>
                <w:szCs w:val="24"/>
                <w:lang w:eastAsia="lv-LV"/>
              </w:rPr>
            </w:pPr>
            <w:r w:rsidRPr="00BF00B0">
              <w:rPr>
                <w:rFonts w:ascii="Times New Roman" w:hAnsi="Times New Roman" w:eastAsia="Times New Roman" w:cs="Times New Roman"/>
                <w:sz w:val="24"/>
                <w:szCs w:val="24"/>
                <w:lang w:eastAsia="lv-LV"/>
              </w:rPr>
              <w:t>Jāatzīmē, ka analizējot iespējamos risinājuma variantus, tika atzīts, ka starptautisko organizāciju</w:t>
            </w:r>
            <w:proofErr w:type="gramStart"/>
            <w:r w:rsidRPr="00BF00B0">
              <w:rPr>
                <w:rFonts w:ascii="Times New Roman" w:hAnsi="Times New Roman" w:eastAsia="Times New Roman" w:cs="Times New Roman"/>
                <w:sz w:val="24"/>
                <w:szCs w:val="24"/>
                <w:lang w:eastAsia="lv-LV"/>
              </w:rPr>
              <w:t xml:space="preserve">  </w:t>
            </w:r>
            <w:proofErr w:type="gramEnd"/>
            <w:r w:rsidRPr="00BF00B0">
              <w:rPr>
                <w:rFonts w:ascii="Times New Roman" w:hAnsi="Times New Roman" w:eastAsia="Times New Roman" w:cs="Times New Roman"/>
                <w:sz w:val="24"/>
                <w:szCs w:val="24"/>
                <w:lang w:eastAsia="lv-LV"/>
              </w:rPr>
              <w:t xml:space="preserve">kā arī Valsts kontroles vērtējumos iekļautās atziņas saistībā ar sarežģītu un specifisku lietu izskatīšanu un konstatēto problēmu novēršanu nesniedz konkrētas norādes un jautājums, vai veidojama specializēta tiesa vai specializācija nodrošināma esošo rajona (pilsētu) tiesu ietvaros, pēc būtības ir </w:t>
            </w:r>
            <w:proofErr w:type="spellStart"/>
            <w:r w:rsidRPr="00BF00B0">
              <w:rPr>
                <w:rFonts w:ascii="Times New Roman" w:hAnsi="Times New Roman" w:eastAsia="Times New Roman" w:cs="Times New Roman"/>
                <w:sz w:val="24"/>
                <w:szCs w:val="24"/>
                <w:lang w:eastAsia="lv-LV"/>
              </w:rPr>
              <w:t>tiesībpolitisks</w:t>
            </w:r>
            <w:proofErr w:type="spellEnd"/>
            <w:r w:rsidRPr="00BF00B0">
              <w:rPr>
                <w:rFonts w:ascii="Times New Roman" w:hAnsi="Times New Roman" w:eastAsia="Times New Roman" w:cs="Times New Roman"/>
                <w:sz w:val="24"/>
                <w:szCs w:val="24"/>
                <w:lang w:eastAsia="lv-LV"/>
              </w:rPr>
              <w:t>.</w:t>
            </w:r>
          </w:p>
          <w:p w:rsidRPr="00BF00B0" w:rsidR="00BF00B0" w:rsidP="007F5CF3" w:rsidRDefault="00BF00B0" w14:paraId="74B2A06F" w14:textId="77777777">
            <w:pPr>
              <w:spacing w:after="0" w:line="240" w:lineRule="auto"/>
              <w:jc w:val="both"/>
              <w:rPr>
                <w:rFonts w:ascii="Times New Roman" w:hAnsi="Times New Roman" w:eastAsia="Times New Roman" w:cs="Times New Roman"/>
                <w:sz w:val="24"/>
                <w:szCs w:val="24"/>
                <w:lang w:eastAsia="lv-LV"/>
              </w:rPr>
            </w:pPr>
            <w:r w:rsidRPr="00BF00B0">
              <w:rPr>
                <w:rFonts w:ascii="Times New Roman" w:hAnsi="Times New Roman" w:eastAsia="Times New Roman" w:cs="Times New Roman"/>
                <w:sz w:val="24"/>
                <w:szCs w:val="24"/>
                <w:lang w:eastAsia="lv-LV"/>
              </w:rPr>
              <w:t xml:space="preserve">Vairumā Eiropas Savienības dalībvalstu ir viena vai vairākas specializētas tiesas, kurām ir ekskluzīva jurisdikcija konkrētos jautājumos. </w:t>
            </w:r>
            <w:proofErr w:type="spellStart"/>
            <w:r w:rsidRPr="00BF00B0">
              <w:rPr>
                <w:rFonts w:ascii="Times New Roman" w:hAnsi="Times New Roman" w:eastAsia="Times New Roman" w:cs="Times New Roman"/>
                <w:sz w:val="24"/>
                <w:szCs w:val="24"/>
                <w:lang w:eastAsia="lv-LV"/>
              </w:rPr>
              <w:t>Komerctiesas</w:t>
            </w:r>
            <w:proofErr w:type="spellEnd"/>
            <w:r w:rsidRPr="00BF00B0">
              <w:rPr>
                <w:rFonts w:ascii="Times New Roman" w:hAnsi="Times New Roman" w:eastAsia="Times New Roman" w:cs="Times New Roman"/>
                <w:sz w:val="24"/>
                <w:szCs w:val="24"/>
                <w:lang w:eastAsia="lv-LV"/>
              </w:rPr>
              <w:t xml:space="preserve"> ir plaši izplatītas, taču tām noteiktā kompetence pamatā ir atšķirīga katrā no valstīm. Tāpat atzīmējams, ka vairākās Eiropas valstīs ir izveidotas specializētas tiesas, kas veltītas cīņai pret korupciju. Bulgārija izveidoja specializētu tiesu, lai risinātu noziegumus, ko paveikušas organizētas noziedzīgas grupas, tostarp ar korupciju saistītus noziegumus, bet Horvātijā un Slovākijā ir izveidotas īpašas pretkorupcijas tiesas. </w:t>
            </w:r>
          </w:p>
          <w:p w:rsidR="0018115F" w:rsidP="0018115F" w:rsidRDefault="00BF00B0" w14:paraId="288A7249" w14:textId="77777777">
            <w:pPr>
              <w:spacing w:after="0" w:line="240" w:lineRule="auto"/>
              <w:jc w:val="both"/>
              <w:rPr>
                <w:rFonts w:ascii="Times New Roman" w:hAnsi="Times New Roman" w:eastAsia="Times New Roman" w:cs="Times New Roman"/>
                <w:sz w:val="24"/>
                <w:szCs w:val="24"/>
                <w:lang w:eastAsia="lv-LV"/>
              </w:rPr>
            </w:pPr>
            <w:r w:rsidRPr="00BF00B0">
              <w:rPr>
                <w:rFonts w:ascii="Times New Roman" w:hAnsi="Times New Roman" w:eastAsia="Times New Roman" w:cs="Times New Roman"/>
                <w:sz w:val="24"/>
                <w:szCs w:val="24"/>
                <w:lang w:eastAsia="lv-LV"/>
              </w:rPr>
              <w:t xml:space="preserve">Tomēr tā kā mērķis veicināt investīciju un uzņēmējdarbības vides izaugsmi ilgtermiņā var tikt sasniegts tikai kompleksi, nodrošinot gan ātru un efektīvu </w:t>
            </w:r>
            <w:proofErr w:type="spellStart"/>
            <w:r w:rsidRPr="00BF00B0">
              <w:rPr>
                <w:rFonts w:ascii="Times New Roman" w:hAnsi="Times New Roman" w:eastAsia="Times New Roman" w:cs="Times New Roman"/>
                <w:sz w:val="24"/>
                <w:szCs w:val="24"/>
                <w:lang w:eastAsia="lv-LV"/>
              </w:rPr>
              <w:t>komercstrīdu</w:t>
            </w:r>
            <w:proofErr w:type="spellEnd"/>
            <w:r w:rsidRPr="00BF00B0">
              <w:rPr>
                <w:rFonts w:ascii="Times New Roman" w:hAnsi="Times New Roman" w:eastAsia="Times New Roman" w:cs="Times New Roman"/>
                <w:sz w:val="24"/>
                <w:szCs w:val="24"/>
                <w:lang w:eastAsia="lv-LV"/>
              </w:rPr>
              <w:t xml:space="preserve"> risināšanu civiltiesiskā kārtībā, gan nodrošinot, ka tie noziedzīgie nodarījumi, kas būtiski ietekmē investīciju vidi, tiek izskatīti tiesā ātri un profesionāli, notika izšķiršanās par tādu Ekonomisko lietu tiesu, kas skata noteiktas civillietas un noteiktas krimināllietas. Jaunas speciālas tiesas izveide rada visus nepieciešamos priekšnosacījumus </w:t>
            </w:r>
            <w:proofErr w:type="spellStart"/>
            <w:r w:rsidRPr="00BF00B0">
              <w:rPr>
                <w:rFonts w:ascii="Times New Roman" w:hAnsi="Times New Roman" w:eastAsia="Times New Roman" w:cs="Times New Roman"/>
                <w:sz w:val="24"/>
                <w:szCs w:val="24"/>
                <w:lang w:eastAsia="lv-LV"/>
              </w:rPr>
              <w:t>komercstrīdu</w:t>
            </w:r>
            <w:proofErr w:type="spellEnd"/>
            <w:r w:rsidRPr="00BF00B0">
              <w:rPr>
                <w:rFonts w:ascii="Times New Roman" w:hAnsi="Times New Roman" w:eastAsia="Times New Roman" w:cs="Times New Roman"/>
                <w:sz w:val="24"/>
                <w:szCs w:val="24"/>
                <w:lang w:eastAsia="lv-LV"/>
              </w:rPr>
              <w:t xml:space="preserve"> specializācijas tālākai attīstībai arī turpmāk un ātri un adekvāti kriminālsodi kalpo par lielisku </w:t>
            </w:r>
            <w:proofErr w:type="spellStart"/>
            <w:r w:rsidRPr="00BF00B0">
              <w:rPr>
                <w:rFonts w:ascii="Times New Roman" w:hAnsi="Times New Roman" w:eastAsia="Times New Roman" w:cs="Times New Roman"/>
                <w:sz w:val="24"/>
                <w:szCs w:val="24"/>
                <w:lang w:eastAsia="lv-LV"/>
              </w:rPr>
              <w:t>prevenciju</w:t>
            </w:r>
            <w:proofErr w:type="spellEnd"/>
            <w:r w:rsidRPr="00BF00B0">
              <w:rPr>
                <w:rFonts w:ascii="Times New Roman" w:hAnsi="Times New Roman" w:eastAsia="Times New Roman" w:cs="Times New Roman"/>
                <w:sz w:val="24"/>
                <w:szCs w:val="24"/>
                <w:lang w:eastAsia="lv-LV"/>
              </w:rPr>
              <w:t xml:space="preserve"> un palīdz izskaust attiecīgos noziegumus.</w:t>
            </w:r>
            <w:r w:rsidRPr="00BF00B0">
              <w:rPr>
                <w:rFonts w:ascii="Times New Roman" w:hAnsi="Times New Roman" w:eastAsia="Times New Roman" w:cs="Times New Roman"/>
                <w:sz w:val="24"/>
                <w:szCs w:val="24"/>
                <w:lang w:eastAsia="lv-LV"/>
              </w:rPr>
              <w:tab/>
            </w:r>
          </w:p>
          <w:p w:rsidRPr="001851ED" w:rsidR="0018115F" w:rsidP="0018115F" w:rsidRDefault="0018115F" w14:paraId="3632AD1F" w14:textId="34793246">
            <w:pPr>
              <w:spacing w:after="0" w:line="240" w:lineRule="auto"/>
              <w:jc w:val="both"/>
              <w:rPr>
                <w:rFonts w:ascii="Times New Roman" w:hAnsi="Times New Roman" w:eastAsia="Times New Roman" w:cs="Times New Roman"/>
                <w:b/>
                <w:bCs/>
                <w:sz w:val="24"/>
                <w:szCs w:val="24"/>
                <w:lang w:eastAsia="lv-LV"/>
              </w:rPr>
            </w:pPr>
            <w:r w:rsidRPr="0018115F">
              <w:rPr>
                <w:rFonts w:ascii="Times New Roman" w:hAnsi="Times New Roman" w:eastAsia="Times New Roman" w:cs="Times New Roman"/>
                <w:b/>
                <w:bCs/>
                <w:sz w:val="24"/>
                <w:szCs w:val="24"/>
                <w:lang w:eastAsia="lv-LV"/>
              </w:rPr>
              <w:t xml:space="preserve">Galvenais mērķis </w:t>
            </w:r>
            <w:r w:rsidRPr="001851ED">
              <w:rPr>
                <w:rFonts w:ascii="Times New Roman" w:hAnsi="Times New Roman" w:eastAsia="Times New Roman" w:cs="Times New Roman"/>
                <w:b/>
                <w:bCs/>
                <w:sz w:val="24"/>
                <w:szCs w:val="24"/>
                <w:lang w:eastAsia="lv-LV"/>
              </w:rPr>
              <w:t xml:space="preserve">specializētās tiesas izveidē ir kvalitatīva un ātra sarežģītu </w:t>
            </w:r>
            <w:proofErr w:type="spellStart"/>
            <w:r w:rsidRPr="001851ED">
              <w:rPr>
                <w:rFonts w:ascii="Times New Roman" w:hAnsi="Times New Roman" w:eastAsia="Times New Roman" w:cs="Times New Roman"/>
                <w:b/>
                <w:bCs/>
                <w:sz w:val="24"/>
                <w:szCs w:val="24"/>
                <w:lang w:eastAsia="lv-LV"/>
              </w:rPr>
              <w:t>komercstrīdu</w:t>
            </w:r>
            <w:proofErr w:type="spellEnd"/>
            <w:r w:rsidRPr="001851ED">
              <w:rPr>
                <w:rFonts w:ascii="Times New Roman" w:hAnsi="Times New Roman" w:eastAsia="Times New Roman" w:cs="Times New Roman"/>
                <w:b/>
                <w:bCs/>
                <w:sz w:val="24"/>
                <w:szCs w:val="24"/>
                <w:lang w:eastAsia="lv-LV"/>
              </w:rPr>
              <w:t xml:space="preserve">, ekonomisko un finanšu noziegumu, kā arī korupcijas </w:t>
            </w:r>
            <w:r w:rsidRPr="001851ED">
              <w:rPr>
                <w:rFonts w:ascii="Times New Roman" w:hAnsi="Times New Roman" w:eastAsia="Times New Roman" w:cs="Times New Roman"/>
                <w:b/>
                <w:bCs/>
                <w:sz w:val="24"/>
                <w:szCs w:val="24"/>
                <w:lang w:eastAsia="lv-LV"/>
              </w:rPr>
              <w:lastRenderedPageBreak/>
              <w:t>lietu izskatīšana.</w:t>
            </w:r>
            <w:r w:rsidRPr="0018115F">
              <w:rPr>
                <w:rFonts w:ascii="Times New Roman" w:hAnsi="Times New Roman" w:eastAsia="Times New Roman" w:cs="Times New Roman"/>
                <w:b/>
                <w:bCs/>
                <w:sz w:val="24"/>
                <w:szCs w:val="24"/>
                <w:lang w:eastAsia="lv-LV"/>
              </w:rPr>
              <w:t xml:space="preserve"> Tiesas izveides rezultāts </w:t>
            </w:r>
            <w:r w:rsidRPr="001851ED">
              <w:rPr>
                <w:rFonts w:ascii="Times New Roman" w:hAnsi="Times New Roman" w:eastAsia="Times New Roman" w:cs="Times New Roman"/>
                <w:b/>
                <w:bCs/>
                <w:sz w:val="24"/>
                <w:szCs w:val="24"/>
                <w:lang w:eastAsia="lv-LV"/>
              </w:rPr>
              <w:t>ir ilgtspējīga sistēma ar attīstības potenciālu.</w:t>
            </w:r>
          </w:p>
          <w:p w:rsidRPr="00BB1D7F" w:rsidR="001D1E5F" w:rsidP="007F5CF3" w:rsidRDefault="000875A1" w14:paraId="475AF5BC" w14:textId="0068E056">
            <w:pPr>
              <w:spacing w:after="0" w:line="240" w:lineRule="auto"/>
              <w:jc w:val="both"/>
              <w:rPr>
                <w:rFonts w:ascii="Times New Roman" w:hAnsi="Times New Roman" w:cs="Times New Roman"/>
                <w:sz w:val="24"/>
                <w:szCs w:val="24"/>
              </w:rPr>
            </w:pPr>
            <w:r w:rsidRPr="000875A1">
              <w:rPr>
                <w:rFonts w:ascii="Times New Roman" w:hAnsi="Times New Roman" w:eastAsia="Times New Roman" w:cs="Times New Roman"/>
                <w:sz w:val="24"/>
                <w:szCs w:val="24"/>
                <w:lang w:eastAsia="lv-LV"/>
              </w:rPr>
              <w:t xml:space="preserve">Valsts ir atbildīga par efektīva tiesas procesa nodrošināšanu. Konkrētajā gadījumā konceptuālajā ziņojumā "Par ekonomisko lietu tiesas izveidi" (turpmāk – Ziņojums) secināts, ka noteiktu </w:t>
            </w:r>
            <w:r w:rsidRPr="00BB1D7F">
              <w:rPr>
                <w:rFonts w:ascii="Times New Roman" w:hAnsi="Times New Roman" w:eastAsia="Times New Roman" w:cs="Times New Roman"/>
                <w:sz w:val="24"/>
                <w:szCs w:val="24"/>
                <w:lang w:eastAsia="lv-LV"/>
              </w:rPr>
              <w:t>lietu kategoriju efektīvāku izskatīšanas procesu iespējams nodrošināt, koncentrējot lietas, zināšanas un resursus vienuviet.</w:t>
            </w:r>
            <w:r w:rsidRPr="00BB1D7F" w:rsidR="001D1E5F">
              <w:rPr>
                <w:sz w:val="28"/>
                <w:szCs w:val="28"/>
              </w:rPr>
              <w:t xml:space="preserve"> </w:t>
            </w:r>
            <w:r w:rsidRPr="00BB1D7F" w:rsidR="004953F3">
              <w:rPr>
                <w:rFonts w:ascii="Times New Roman" w:hAnsi="Times New Roman" w:cs="Times New Roman"/>
                <w:sz w:val="24"/>
                <w:szCs w:val="24"/>
              </w:rPr>
              <w:t>Specializētas</w:t>
            </w:r>
            <w:r w:rsidRPr="00BB1D7F" w:rsidR="001D1E5F">
              <w:rPr>
                <w:rFonts w:ascii="Times New Roman" w:hAnsi="Times New Roman" w:cs="Times New Roman"/>
                <w:sz w:val="24"/>
                <w:szCs w:val="24"/>
              </w:rPr>
              <w:t xml:space="preserve"> tiesas izveidei, salīdzino</w:t>
            </w:r>
            <w:r w:rsidRPr="00BB1D7F" w:rsidR="00ED1447">
              <w:rPr>
                <w:rFonts w:ascii="Times New Roman" w:hAnsi="Times New Roman" w:cs="Times New Roman"/>
                <w:sz w:val="24"/>
                <w:szCs w:val="24"/>
              </w:rPr>
              <w:t>t</w:t>
            </w:r>
            <w:r w:rsidRPr="00BB1D7F" w:rsidR="001D1E5F">
              <w:rPr>
                <w:rFonts w:ascii="Times New Roman" w:hAnsi="Times New Roman" w:cs="Times New Roman"/>
                <w:sz w:val="24"/>
                <w:szCs w:val="24"/>
              </w:rPr>
              <w:t xml:space="preserve"> ar esošo sistēmu, ir lielāks attīstības potenciāls, un jaunas speciālas tiesas izveide rada visus nepieciešamos priekšnosacījumus specializācijas tālākai attīstībai arī turpmāk.</w:t>
            </w:r>
          </w:p>
          <w:p w:rsidRPr="00245C84" w:rsidR="00BF00B0" w:rsidP="007F5CF3" w:rsidRDefault="00BF00B0" w14:paraId="55A08D66" w14:textId="150639A2">
            <w:pPr>
              <w:spacing w:after="0" w:line="240" w:lineRule="auto"/>
              <w:jc w:val="both"/>
              <w:rPr>
                <w:rFonts w:ascii="Times New Roman" w:hAnsi="Times New Roman" w:cs="Times New Roman"/>
                <w:bCs/>
                <w:sz w:val="24"/>
                <w:szCs w:val="24"/>
              </w:rPr>
            </w:pPr>
            <w:r w:rsidRPr="00245C84">
              <w:rPr>
                <w:rFonts w:ascii="Times New Roman" w:hAnsi="Times New Roman" w:cs="Times New Roman"/>
                <w:bCs/>
                <w:sz w:val="24"/>
                <w:szCs w:val="24"/>
              </w:rPr>
              <w:t xml:space="preserve">Ekonomiskās sadarbības un attīstības organizācijas (OECD) ģenerālsekretārs H. A. </w:t>
            </w:r>
            <w:proofErr w:type="spellStart"/>
            <w:r w:rsidRPr="00245C84">
              <w:rPr>
                <w:rFonts w:ascii="Times New Roman" w:hAnsi="Times New Roman" w:cs="Times New Roman"/>
                <w:bCs/>
                <w:sz w:val="24"/>
                <w:szCs w:val="24"/>
              </w:rPr>
              <w:t>Gurija</w:t>
            </w:r>
            <w:proofErr w:type="spellEnd"/>
            <w:r w:rsidRPr="00245C84">
              <w:rPr>
                <w:rFonts w:ascii="Times New Roman" w:hAnsi="Times New Roman" w:cs="Times New Roman"/>
                <w:bCs/>
                <w:sz w:val="24"/>
                <w:szCs w:val="24"/>
              </w:rPr>
              <w:t xml:space="preserve"> (A. </w:t>
            </w:r>
            <w:proofErr w:type="spellStart"/>
            <w:r w:rsidRPr="00245C84">
              <w:rPr>
                <w:rFonts w:ascii="Times New Roman" w:hAnsi="Times New Roman" w:cs="Times New Roman"/>
                <w:bCs/>
                <w:sz w:val="24"/>
                <w:szCs w:val="24"/>
              </w:rPr>
              <w:t>Gurría</w:t>
            </w:r>
            <w:proofErr w:type="spellEnd"/>
            <w:r w:rsidRPr="00245C84">
              <w:rPr>
                <w:rFonts w:ascii="Times New Roman" w:hAnsi="Times New Roman" w:cs="Times New Roman"/>
                <w:bCs/>
                <w:sz w:val="24"/>
                <w:szCs w:val="24"/>
              </w:rPr>
              <w:t>) savā atbalsta vēstulē Ekonomisko lietu tiesas izveidei uzsvēra, ka specializācija var potenciāli uzlabot juridisko jautājumu risināšanas efektivitāti, uzlabot tiesu lēmumu pieņemšanas vienveidību, paredzamību un kvalitāti, un plašākā nozīmē uzlabot uzņēmējdarbības un ieguldījumu vidi.</w:t>
            </w:r>
          </w:p>
          <w:p w:rsidRPr="00E57651" w:rsidR="00091D7F" w:rsidP="007F5CF3" w:rsidRDefault="00091D7F" w14:paraId="031D4C61" w14:textId="29F338C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E</w:t>
            </w:r>
            <w:r w:rsidRPr="00E57651">
              <w:rPr>
                <w:rFonts w:ascii="Times New Roman" w:hAnsi="Times New Roman" w:eastAsia="Times New Roman" w:cs="Times New Roman"/>
                <w:sz w:val="24"/>
                <w:szCs w:val="24"/>
                <w:lang w:eastAsia="lv-LV"/>
              </w:rPr>
              <w:t>konomiskie un finanšu noziegumi, kā arī korupcijas lietas traucē efektīvi pārvaldīt valsts sabiedrisko un ekonomisko dzīvi. Tie var traucēt arī pilsoniskai sabiedrībai realizēt kontroli pār valsts varu. Ekonomiskie noziegumi apdraud valsts budžeta ieņēmumus, tāpēc šo noziegumu apkarošana ir ārkārtīgi svarīgs faktors, lai varētu veidot un attīstīt infrastruktūru, kā arī pienācīgu dzīves līmeni visiem iedzīvotājiem.</w:t>
            </w:r>
          </w:p>
          <w:p w:rsidRPr="0018115F" w:rsidR="00767F40" w:rsidP="007F5CF3" w:rsidRDefault="001D1E5F" w14:paraId="537E693D" w14:textId="53501C83">
            <w:pPr>
              <w:spacing w:after="0" w:line="240" w:lineRule="auto"/>
              <w:jc w:val="both"/>
              <w:rPr>
                <w:rFonts w:ascii="Times New Roman" w:hAnsi="Times New Roman" w:eastAsia="Times New Roman" w:cs="Times New Roman"/>
                <w:sz w:val="24"/>
                <w:szCs w:val="24"/>
                <w:lang w:eastAsia="lv-LV"/>
              </w:rPr>
            </w:pPr>
            <w:proofErr w:type="gramStart"/>
            <w:r w:rsidRPr="00767F40">
              <w:rPr>
                <w:rFonts w:ascii="Times New Roman" w:hAnsi="Times New Roman" w:eastAsia="Times New Roman" w:cs="Times New Roman"/>
                <w:sz w:val="24"/>
                <w:szCs w:val="24"/>
                <w:lang w:eastAsia="lv-LV"/>
              </w:rPr>
              <w:t>K</w:t>
            </w:r>
            <w:r w:rsidRPr="00767F40" w:rsidR="006A41F4">
              <w:rPr>
                <w:rFonts w:ascii="Times New Roman" w:hAnsi="Times New Roman" w:eastAsia="Times New Roman" w:cs="Times New Roman"/>
                <w:sz w:val="24"/>
                <w:szCs w:val="24"/>
                <w:lang w:eastAsia="lv-LV"/>
              </w:rPr>
              <w:t>valitatīva lietu</w:t>
            </w:r>
            <w:proofErr w:type="gramEnd"/>
            <w:r w:rsidRPr="00767F40" w:rsidR="00DC5155">
              <w:rPr>
                <w:rFonts w:ascii="Times New Roman" w:hAnsi="Times New Roman" w:eastAsia="Times New Roman" w:cs="Times New Roman"/>
                <w:sz w:val="24"/>
                <w:szCs w:val="24"/>
                <w:lang w:eastAsia="lv-LV"/>
              </w:rPr>
              <w:t xml:space="preserve">, kur nepieciešamas specifiskas zināšanas finanšu un ekonomikas jomā, (turpmāk – finanšu un ekonomisko noziegumi) </w:t>
            </w:r>
            <w:r w:rsidRPr="00767F40" w:rsidR="006A41F4">
              <w:rPr>
                <w:rFonts w:ascii="Times New Roman" w:hAnsi="Times New Roman" w:eastAsia="Times New Roman" w:cs="Times New Roman"/>
                <w:sz w:val="24"/>
                <w:szCs w:val="24"/>
                <w:lang w:eastAsia="lv-LV"/>
              </w:rPr>
              <w:t xml:space="preserve">iztiesāšana </w:t>
            </w:r>
            <w:r w:rsidRPr="00767F40" w:rsidR="004B19C3">
              <w:rPr>
                <w:rFonts w:ascii="Times New Roman" w:hAnsi="Times New Roman" w:eastAsia="Times New Roman" w:cs="Times New Roman"/>
                <w:sz w:val="24"/>
                <w:szCs w:val="24"/>
                <w:lang w:eastAsia="lv-LV"/>
              </w:rPr>
              <w:t xml:space="preserve">var būt </w:t>
            </w:r>
            <w:r w:rsidRPr="00767F40" w:rsidR="006A41F4">
              <w:rPr>
                <w:rFonts w:ascii="Times New Roman" w:hAnsi="Times New Roman" w:eastAsia="Times New Roman" w:cs="Times New Roman"/>
                <w:sz w:val="24"/>
                <w:szCs w:val="24"/>
                <w:lang w:eastAsia="lv-LV"/>
              </w:rPr>
              <w:t>ievērojami apgrūtināta, j</w:t>
            </w:r>
            <w:r w:rsidRPr="00767F40" w:rsidR="001A5927">
              <w:rPr>
                <w:rFonts w:ascii="Times New Roman" w:hAnsi="Times New Roman" w:eastAsia="Times New Roman" w:cs="Times New Roman"/>
                <w:sz w:val="24"/>
                <w:szCs w:val="24"/>
                <w:lang w:eastAsia="lv-LV"/>
              </w:rPr>
              <w:t>a</w:t>
            </w:r>
            <w:r w:rsidRPr="00767F40" w:rsidR="006A41F4">
              <w:rPr>
                <w:rFonts w:ascii="Times New Roman" w:hAnsi="Times New Roman" w:eastAsia="Times New Roman" w:cs="Times New Roman"/>
                <w:sz w:val="24"/>
                <w:szCs w:val="24"/>
                <w:lang w:eastAsia="lv-LV"/>
              </w:rPr>
              <w:t xml:space="preserve"> </w:t>
            </w:r>
            <w:r w:rsidRPr="00767F40" w:rsidR="00D145CF">
              <w:rPr>
                <w:rFonts w:ascii="Times New Roman" w:hAnsi="Times New Roman" w:eastAsia="Times New Roman" w:cs="Times New Roman"/>
                <w:sz w:val="24"/>
                <w:szCs w:val="24"/>
                <w:lang w:eastAsia="lv-LV"/>
              </w:rPr>
              <w:t xml:space="preserve">lietas iztiesāšanai nepieciešamas specifiskas </w:t>
            </w:r>
            <w:r w:rsidRPr="00767F40" w:rsidR="006A41F4">
              <w:rPr>
                <w:rFonts w:ascii="Times New Roman" w:hAnsi="Times New Roman" w:eastAsia="Times New Roman" w:cs="Times New Roman"/>
                <w:sz w:val="24"/>
                <w:szCs w:val="24"/>
                <w:lang w:eastAsia="lv-LV"/>
              </w:rPr>
              <w:t>zināšan</w:t>
            </w:r>
            <w:r w:rsidRPr="00767F40" w:rsidR="00D145CF">
              <w:rPr>
                <w:rFonts w:ascii="Times New Roman" w:hAnsi="Times New Roman" w:eastAsia="Times New Roman" w:cs="Times New Roman"/>
                <w:sz w:val="24"/>
                <w:szCs w:val="24"/>
                <w:lang w:eastAsia="lv-LV"/>
              </w:rPr>
              <w:t>as</w:t>
            </w:r>
            <w:r w:rsidRPr="00767F40" w:rsidR="006A41F4">
              <w:rPr>
                <w:rFonts w:ascii="Times New Roman" w:hAnsi="Times New Roman" w:eastAsia="Times New Roman" w:cs="Times New Roman"/>
                <w:sz w:val="24"/>
                <w:szCs w:val="24"/>
                <w:lang w:eastAsia="lv-LV"/>
              </w:rPr>
              <w:t xml:space="preserve"> </w:t>
            </w:r>
            <w:r w:rsidRPr="00BB1D7F" w:rsidR="006A41F4">
              <w:rPr>
                <w:rFonts w:ascii="Times New Roman" w:hAnsi="Times New Roman" w:eastAsia="Times New Roman" w:cs="Times New Roman"/>
                <w:sz w:val="24"/>
                <w:szCs w:val="24"/>
                <w:lang w:eastAsia="lv-LV"/>
              </w:rPr>
              <w:t>attiecīg</w:t>
            </w:r>
            <w:r w:rsidR="0018115F">
              <w:rPr>
                <w:rFonts w:ascii="Times New Roman" w:hAnsi="Times New Roman" w:eastAsia="Times New Roman" w:cs="Times New Roman"/>
                <w:sz w:val="24"/>
                <w:szCs w:val="24"/>
                <w:lang w:eastAsia="lv-LV"/>
              </w:rPr>
              <w:t>o</w:t>
            </w:r>
            <w:r w:rsidRPr="00BB1D7F" w:rsidR="006A41F4">
              <w:rPr>
                <w:rFonts w:ascii="Times New Roman" w:hAnsi="Times New Roman" w:eastAsia="Times New Roman" w:cs="Times New Roman"/>
                <w:sz w:val="24"/>
                <w:szCs w:val="24"/>
                <w:lang w:eastAsia="lv-LV"/>
              </w:rPr>
              <w:t>s</w:t>
            </w:r>
            <w:r w:rsidR="0018115F">
              <w:rPr>
                <w:rFonts w:ascii="Times New Roman" w:hAnsi="Times New Roman" w:eastAsia="Times New Roman" w:cs="Times New Roman"/>
                <w:sz w:val="24"/>
                <w:szCs w:val="24"/>
                <w:lang w:eastAsia="lv-LV"/>
              </w:rPr>
              <w:t>,</w:t>
            </w:r>
            <w:r w:rsidRPr="00BB1D7F" w:rsidR="006A41F4">
              <w:rPr>
                <w:rFonts w:ascii="Times New Roman" w:hAnsi="Times New Roman" w:eastAsia="Times New Roman" w:cs="Times New Roman"/>
                <w:sz w:val="24"/>
                <w:szCs w:val="24"/>
                <w:lang w:eastAsia="lv-LV"/>
              </w:rPr>
              <w:t xml:space="preserve"> </w:t>
            </w:r>
            <w:r w:rsidR="00CF61F3">
              <w:rPr>
                <w:rFonts w:ascii="Times New Roman" w:hAnsi="Times New Roman" w:eastAsia="Times New Roman" w:cs="Times New Roman"/>
                <w:sz w:val="24"/>
                <w:szCs w:val="24"/>
                <w:lang w:eastAsia="lv-LV"/>
              </w:rPr>
              <w:t>piemēram</w:t>
            </w:r>
            <w:r w:rsidRPr="00BB1D7F" w:rsidR="006A41F4">
              <w:rPr>
                <w:rFonts w:ascii="Times New Roman" w:hAnsi="Times New Roman" w:eastAsia="Times New Roman" w:cs="Times New Roman"/>
                <w:sz w:val="24"/>
                <w:szCs w:val="24"/>
                <w:lang w:eastAsia="lv-LV"/>
              </w:rPr>
              <w:t xml:space="preserve">, finanšu un ekonomiskos jautājumos. </w:t>
            </w:r>
            <w:r w:rsidR="00A679AB">
              <w:rPr>
                <w:rFonts w:ascii="Times New Roman" w:hAnsi="Times New Roman" w:eastAsia="Times New Roman" w:cs="Times New Roman"/>
                <w:sz w:val="24"/>
                <w:szCs w:val="24"/>
                <w:lang w:eastAsia="lv-LV"/>
              </w:rPr>
              <w:t>J</w:t>
            </w:r>
            <w:r w:rsidRPr="00BB1D7F" w:rsidR="00767F40">
              <w:rPr>
                <w:rFonts w:ascii="Times New Roman" w:hAnsi="Times New Roman" w:eastAsia="Times New Roman" w:cs="Times New Roman"/>
                <w:sz w:val="24"/>
                <w:szCs w:val="24"/>
                <w:lang w:eastAsia="lv-LV"/>
              </w:rPr>
              <w:t xml:space="preserve">āņem vērā, ka, piemēram, efektīvai lietu izskatīšanai </w:t>
            </w:r>
            <w:r w:rsidR="00A679AB">
              <w:rPr>
                <w:rFonts w:ascii="Times New Roman" w:hAnsi="Times New Roman" w:eastAsia="Times New Roman" w:cs="Times New Roman"/>
                <w:sz w:val="24"/>
                <w:szCs w:val="24"/>
                <w:lang w:eastAsia="lv-LV"/>
              </w:rPr>
              <w:t xml:space="preserve">ir </w:t>
            </w:r>
            <w:r w:rsidRPr="00BB1D7F" w:rsidR="00767F40">
              <w:rPr>
                <w:rFonts w:ascii="Times New Roman" w:hAnsi="Times New Roman" w:eastAsia="Times New Roman" w:cs="Times New Roman"/>
                <w:sz w:val="24"/>
                <w:szCs w:val="24"/>
                <w:lang w:eastAsia="lv-LV"/>
              </w:rPr>
              <w:t>būtiski izprast pierādījumu specifiku naudas atmazgāšanas lietās, p</w:t>
            </w:r>
            <w:r w:rsidRPr="00BB1D7F" w:rsidR="00245C84">
              <w:rPr>
                <w:rFonts w:ascii="Times New Roman" w:hAnsi="Times New Roman" w:eastAsia="Times New Roman" w:cs="Times New Roman"/>
                <w:sz w:val="24"/>
                <w:szCs w:val="24"/>
                <w:lang w:eastAsia="lv-LV"/>
              </w:rPr>
              <w:t xml:space="preserve">iemēram, </w:t>
            </w:r>
            <w:r w:rsidRPr="00BB1D7F" w:rsidR="00767F40">
              <w:rPr>
                <w:rFonts w:ascii="Times New Roman" w:hAnsi="Times New Roman" w:eastAsia="Times New Roman" w:cs="Times New Roman"/>
                <w:sz w:val="24"/>
                <w:szCs w:val="24"/>
                <w:lang w:eastAsia="lv-LV"/>
              </w:rPr>
              <w:t xml:space="preserve">kādi ir </w:t>
            </w:r>
            <w:r w:rsidRPr="00BB1D7F" w:rsidR="00245C84">
              <w:rPr>
                <w:rFonts w:ascii="Times New Roman" w:hAnsi="Times New Roman" w:eastAsia="Times New Roman" w:cs="Times New Roman"/>
                <w:sz w:val="24"/>
                <w:szCs w:val="24"/>
                <w:lang w:eastAsia="lv-LV"/>
              </w:rPr>
              <w:t xml:space="preserve">naudas atmazgāšanas un </w:t>
            </w:r>
            <w:r w:rsidRPr="0018115F" w:rsidR="00245C84">
              <w:rPr>
                <w:rFonts w:ascii="Times New Roman" w:hAnsi="Times New Roman" w:eastAsia="Times New Roman" w:cs="Times New Roman"/>
                <w:sz w:val="24"/>
                <w:szCs w:val="24"/>
                <w:lang w:eastAsia="lv-LV"/>
              </w:rPr>
              <w:t>korupcijas lietās nepieciešamo pierādījumu elementi un veidi</w:t>
            </w:r>
            <w:r w:rsidRPr="0018115F" w:rsidR="006073D0">
              <w:rPr>
                <w:rFonts w:ascii="Times New Roman" w:hAnsi="Times New Roman" w:eastAsia="Times New Roman" w:cs="Times New Roman"/>
                <w:sz w:val="24"/>
                <w:szCs w:val="24"/>
                <w:lang w:eastAsia="lv-LV"/>
              </w:rPr>
              <w:t xml:space="preserve">, </w:t>
            </w:r>
            <w:r w:rsidRPr="001851ED" w:rsidR="00CF61F3">
              <w:rPr>
                <w:rFonts w:ascii="Times New Roman" w:hAnsi="Times New Roman" w:eastAsia="Times New Roman" w:cs="Times New Roman"/>
                <w:sz w:val="24"/>
                <w:szCs w:val="24"/>
                <w:lang w:eastAsia="lv-LV"/>
              </w:rPr>
              <w:t>kāds ir nepieciešamais</w:t>
            </w:r>
            <w:r w:rsidRPr="0018115F" w:rsidR="00CF61F3">
              <w:rPr>
                <w:rFonts w:ascii="Times New Roman" w:hAnsi="Times New Roman" w:eastAsia="Times New Roman" w:cs="Times New Roman"/>
                <w:sz w:val="24"/>
                <w:szCs w:val="24"/>
                <w:lang w:eastAsia="lv-LV"/>
              </w:rPr>
              <w:t xml:space="preserve"> </w:t>
            </w:r>
            <w:r w:rsidRPr="0018115F" w:rsidR="00767F40">
              <w:rPr>
                <w:rFonts w:ascii="Times New Roman" w:hAnsi="Times New Roman" w:cs="Times New Roman"/>
                <w:sz w:val="24"/>
                <w:szCs w:val="24"/>
              </w:rPr>
              <w:t xml:space="preserve">pierādījumu slogs un </w:t>
            </w:r>
            <w:r w:rsidRPr="001851ED" w:rsidR="00CF61F3">
              <w:rPr>
                <w:rFonts w:ascii="Times New Roman" w:hAnsi="Times New Roman" w:cs="Times New Roman"/>
                <w:sz w:val="24"/>
                <w:szCs w:val="24"/>
              </w:rPr>
              <w:t>pierādījumu</w:t>
            </w:r>
            <w:r w:rsidRPr="0018115F" w:rsidR="00CF61F3">
              <w:rPr>
                <w:rFonts w:ascii="Times New Roman" w:hAnsi="Times New Roman" w:cs="Times New Roman"/>
                <w:sz w:val="24"/>
                <w:szCs w:val="24"/>
              </w:rPr>
              <w:t xml:space="preserve"> </w:t>
            </w:r>
            <w:r w:rsidRPr="0018115F" w:rsidR="00767F40">
              <w:rPr>
                <w:rFonts w:ascii="Times New Roman" w:hAnsi="Times New Roman" w:cs="Times New Roman"/>
                <w:sz w:val="24"/>
                <w:szCs w:val="24"/>
              </w:rPr>
              <w:t>pietiekamīb</w:t>
            </w:r>
            <w:r w:rsidRPr="0018115F" w:rsidR="00A679AB">
              <w:rPr>
                <w:rFonts w:ascii="Times New Roman" w:hAnsi="Times New Roman" w:cs="Times New Roman"/>
                <w:sz w:val="24"/>
                <w:szCs w:val="24"/>
              </w:rPr>
              <w:t>a</w:t>
            </w:r>
            <w:r w:rsidRPr="0018115F" w:rsidR="00F64FE5">
              <w:rPr>
                <w:rFonts w:ascii="Times New Roman" w:hAnsi="Times New Roman" w:cs="Times New Roman"/>
                <w:sz w:val="24"/>
                <w:szCs w:val="24"/>
              </w:rPr>
              <w:t>.</w:t>
            </w:r>
            <w:r w:rsidRPr="0018115F" w:rsidR="008E23E1">
              <w:rPr>
                <w:rFonts w:ascii="Times New Roman" w:hAnsi="Times New Roman" w:cs="Times New Roman"/>
                <w:sz w:val="24"/>
                <w:szCs w:val="24"/>
              </w:rPr>
              <w:t xml:space="preserve"> </w:t>
            </w:r>
            <w:r w:rsidRPr="0018115F" w:rsidR="00A732F2">
              <w:rPr>
                <w:rFonts w:ascii="Times New Roman" w:hAnsi="Times New Roman" w:cs="Times New Roman"/>
                <w:sz w:val="24"/>
                <w:szCs w:val="24"/>
              </w:rPr>
              <w:t>Tāpat būtiski apzināt</w:t>
            </w:r>
            <w:r w:rsidRPr="006519B9" w:rsidR="00767F40">
              <w:rPr>
                <w:rFonts w:ascii="Times New Roman" w:hAnsi="Times New Roman" w:cs="Times New Roman"/>
                <w:sz w:val="24"/>
                <w:szCs w:val="24"/>
              </w:rPr>
              <w:t xml:space="preserve"> </w:t>
            </w:r>
            <w:r w:rsidRPr="006519B9" w:rsidR="00245C84">
              <w:rPr>
                <w:rFonts w:ascii="Times New Roman" w:hAnsi="Times New Roman" w:eastAsia="Times New Roman" w:cs="Times New Roman"/>
                <w:sz w:val="24"/>
                <w:szCs w:val="24"/>
                <w:lang w:eastAsia="lv-LV"/>
              </w:rPr>
              <w:t>netiešo pierādījumu izmantošan</w:t>
            </w:r>
            <w:r w:rsidRPr="006519B9" w:rsidR="00A732F2">
              <w:rPr>
                <w:rFonts w:ascii="Times New Roman" w:hAnsi="Times New Roman" w:eastAsia="Times New Roman" w:cs="Times New Roman"/>
                <w:sz w:val="24"/>
                <w:szCs w:val="24"/>
                <w:lang w:eastAsia="lv-LV"/>
              </w:rPr>
              <w:t>u</w:t>
            </w:r>
            <w:r w:rsidRPr="006519B9" w:rsidR="00245C84">
              <w:rPr>
                <w:rFonts w:ascii="Times New Roman" w:hAnsi="Times New Roman" w:eastAsia="Times New Roman" w:cs="Times New Roman"/>
                <w:sz w:val="24"/>
                <w:szCs w:val="24"/>
                <w:lang w:eastAsia="lv-LV"/>
              </w:rPr>
              <w:t xml:space="preserve">, lai noskaidrotu apsūdzētā zināšanas un </w:t>
            </w:r>
            <w:r w:rsidRPr="0018115F" w:rsidR="00245C84">
              <w:rPr>
                <w:rFonts w:ascii="Times New Roman" w:hAnsi="Times New Roman" w:eastAsia="Times New Roman" w:cs="Times New Roman"/>
                <w:sz w:val="24"/>
                <w:szCs w:val="24"/>
                <w:lang w:eastAsia="lv-LV"/>
              </w:rPr>
              <w:t>līdzdalību apsūdzētajā noziegumā</w:t>
            </w:r>
            <w:r w:rsidRPr="0018115F" w:rsidR="00A732F2">
              <w:rPr>
                <w:rFonts w:ascii="Times New Roman" w:hAnsi="Times New Roman" w:eastAsia="Times New Roman" w:cs="Times New Roman"/>
                <w:sz w:val="24"/>
                <w:szCs w:val="24"/>
                <w:lang w:eastAsia="lv-LV"/>
              </w:rPr>
              <w:t xml:space="preserve">. </w:t>
            </w:r>
          </w:p>
          <w:p w:rsidRPr="00BB1D7F" w:rsidR="00E57651" w:rsidP="007F5CF3" w:rsidRDefault="00C819D8" w14:paraId="5278205A" w14:textId="59CC90FF">
            <w:pPr>
              <w:spacing w:after="0" w:line="240" w:lineRule="auto"/>
              <w:jc w:val="both"/>
              <w:rPr>
                <w:rFonts w:ascii="Times New Roman" w:hAnsi="Times New Roman" w:eastAsia="Times New Roman" w:cs="Times New Roman"/>
                <w:sz w:val="24"/>
                <w:szCs w:val="24"/>
                <w:lang w:eastAsia="lv-LV"/>
              </w:rPr>
            </w:pPr>
            <w:r w:rsidRPr="0018115F">
              <w:rPr>
                <w:rFonts w:ascii="Times New Roman" w:hAnsi="Times New Roman" w:eastAsia="Times New Roman" w:cs="Times New Roman"/>
                <w:sz w:val="24"/>
                <w:szCs w:val="24"/>
                <w:lang w:eastAsia="lv-LV"/>
              </w:rPr>
              <w:t>V</w:t>
            </w:r>
            <w:r w:rsidRPr="0018115F" w:rsidR="00E57651">
              <w:rPr>
                <w:rFonts w:ascii="Times New Roman" w:hAnsi="Times New Roman" w:eastAsia="Times New Roman" w:cs="Times New Roman"/>
                <w:sz w:val="24"/>
                <w:szCs w:val="24"/>
                <w:lang w:eastAsia="lv-LV"/>
              </w:rPr>
              <w:t>ērtējot specializācijas tvērumu no</w:t>
            </w:r>
            <w:r w:rsidRPr="00BB1D7F" w:rsidR="00E57651">
              <w:rPr>
                <w:rFonts w:ascii="Times New Roman" w:hAnsi="Times New Roman" w:eastAsia="Times New Roman" w:cs="Times New Roman"/>
                <w:sz w:val="24"/>
                <w:szCs w:val="24"/>
                <w:lang w:eastAsia="lv-LV"/>
              </w:rPr>
              <w:t xml:space="preserve"> krimināltiesiskā viedokļa, </w:t>
            </w:r>
            <w:r w:rsidRPr="00BB1D7F" w:rsidR="001D1E5F">
              <w:rPr>
                <w:rFonts w:ascii="Times New Roman" w:hAnsi="Times New Roman" w:eastAsia="Times New Roman" w:cs="Times New Roman"/>
                <w:sz w:val="24"/>
                <w:szCs w:val="24"/>
                <w:lang w:eastAsia="lv-LV"/>
              </w:rPr>
              <w:t>Likumprojekts paredz</w:t>
            </w:r>
            <w:r w:rsidRPr="00BB1D7F" w:rsidR="00E57651">
              <w:rPr>
                <w:rFonts w:ascii="Times New Roman" w:hAnsi="Times New Roman" w:eastAsia="Times New Roman" w:cs="Times New Roman"/>
                <w:sz w:val="24"/>
                <w:szCs w:val="24"/>
                <w:lang w:eastAsia="lv-LV"/>
              </w:rPr>
              <w:t xml:space="preserve">, ka </w:t>
            </w:r>
            <w:r w:rsidRPr="00BB1D7F" w:rsidR="001D1E5F">
              <w:rPr>
                <w:rFonts w:ascii="Times New Roman" w:hAnsi="Times New Roman" w:eastAsia="Times New Roman" w:cs="Times New Roman"/>
                <w:sz w:val="24"/>
                <w:szCs w:val="24"/>
                <w:lang w:eastAsia="lv-LV"/>
              </w:rPr>
              <w:t xml:space="preserve">Ekonomisko lietu </w:t>
            </w:r>
            <w:r w:rsidRPr="00BB1D7F" w:rsidR="00E57651">
              <w:rPr>
                <w:rFonts w:ascii="Times New Roman" w:hAnsi="Times New Roman" w:eastAsia="Times New Roman" w:cs="Times New Roman"/>
                <w:sz w:val="24"/>
                <w:szCs w:val="24"/>
                <w:lang w:eastAsia="lv-LV"/>
              </w:rPr>
              <w:t>tiesas kompetence aptver šādu</w:t>
            </w:r>
            <w:r w:rsidRPr="00BB1D7F" w:rsidR="001D1E5F">
              <w:rPr>
                <w:rFonts w:ascii="Times New Roman" w:hAnsi="Times New Roman" w:eastAsia="Times New Roman" w:cs="Times New Roman"/>
                <w:sz w:val="24"/>
                <w:szCs w:val="24"/>
                <w:lang w:eastAsia="lv-LV"/>
              </w:rPr>
              <w:t xml:space="preserve"> lietu izskatīšanu</w:t>
            </w:r>
            <w:r w:rsidRPr="00BB1D7F" w:rsidR="00E57651">
              <w:rPr>
                <w:rFonts w:ascii="Times New Roman" w:hAnsi="Times New Roman" w:eastAsia="Times New Roman" w:cs="Times New Roman"/>
                <w:sz w:val="24"/>
                <w:szCs w:val="24"/>
                <w:lang w:eastAsia="lv-LV"/>
              </w:rPr>
              <w:t>:</w:t>
            </w:r>
          </w:p>
          <w:p w:rsidRPr="00BB1D7F" w:rsidR="00E57651" w:rsidP="007F5CF3" w:rsidRDefault="00E57651" w14:paraId="2C0E9B74" w14:textId="0ABF2590">
            <w:pPr>
              <w:spacing w:after="0" w:line="240" w:lineRule="auto"/>
              <w:jc w:val="both"/>
              <w:rPr>
                <w:rFonts w:ascii="Times New Roman" w:hAnsi="Times New Roman" w:eastAsia="Times New Roman" w:cs="Times New Roman"/>
                <w:sz w:val="24"/>
                <w:szCs w:val="24"/>
                <w:lang w:eastAsia="lv-LV"/>
              </w:rPr>
            </w:pPr>
            <w:r w:rsidRPr="00BB1D7F">
              <w:rPr>
                <w:rFonts w:ascii="Times New Roman" w:hAnsi="Times New Roman" w:eastAsia="Times New Roman" w:cs="Times New Roman"/>
                <w:sz w:val="24"/>
                <w:szCs w:val="24"/>
                <w:lang w:eastAsia="lv-LV"/>
              </w:rPr>
              <w:t>1)</w:t>
            </w:r>
            <w:r w:rsidRPr="00BB1D7F">
              <w:rPr>
                <w:rFonts w:ascii="Times New Roman" w:hAnsi="Times New Roman" w:eastAsia="Times New Roman" w:cs="Times New Roman"/>
                <w:sz w:val="24"/>
                <w:szCs w:val="24"/>
                <w:lang w:eastAsia="lv-LV"/>
              </w:rPr>
              <w:tab/>
              <w:t>noziedzīgi iegūtu līdzekļu legalizēšana</w:t>
            </w:r>
            <w:r w:rsidRPr="00BB1D7F" w:rsidR="00D312D4">
              <w:rPr>
                <w:rFonts w:ascii="Times New Roman" w:hAnsi="Times New Roman" w:eastAsia="Times New Roman" w:cs="Times New Roman"/>
                <w:sz w:val="24"/>
                <w:szCs w:val="24"/>
                <w:lang w:eastAsia="lv-LV"/>
              </w:rPr>
              <w:t xml:space="preserve"> </w:t>
            </w:r>
            <w:r w:rsidR="00163B8E">
              <w:rPr>
                <w:rFonts w:ascii="Times New Roman" w:hAnsi="Times New Roman" w:eastAsia="Times New Roman" w:cs="Times New Roman"/>
                <w:sz w:val="24"/>
                <w:szCs w:val="24"/>
                <w:lang w:eastAsia="lv-LV"/>
              </w:rPr>
              <w:t>un</w:t>
            </w:r>
            <w:r w:rsidRPr="00BB1D7F" w:rsidR="00D312D4">
              <w:rPr>
                <w:rFonts w:ascii="Times New Roman" w:hAnsi="Times New Roman" w:eastAsia="Times New Roman" w:cs="Times New Roman"/>
                <w:sz w:val="24"/>
                <w:szCs w:val="24"/>
                <w:lang w:eastAsia="lv-LV"/>
              </w:rPr>
              <w:t xml:space="preserve"> terorisma un proliferācijas finansēšana</w:t>
            </w:r>
            <w:r w:rsidRPr="00BB1D7F">
              <w:rPr>
                <w:rFonts w:ascii="Times New Roman" w:hAnsi="Times New Roman" w:eastAsia="Times New Roman" w:cs="Times New Roman"/>
                <w:sz w:val="24"/>
                <w:szCs w:val="24"/>
                <w:lang w:eastAsia="lv-LV"/>
              </w:rPr>
              <w:t>;</w:t>
            </w:r>
          </w:p>
          <w:p w:rsidRPr="00BB1D7F" w:rsidR="001E6F28" w:rsidP="007F5CF3" w:rsidRDefault="009C6894" w14:paraId="4C46182A" w14:textId="30C4E94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Pr="00BB1D7F" w:rsidR="00E57651">
              <w:rPr>
                <w:rFonts w:ascii="Times New Roman" w:hAnsi="Times New Roman" w:eastAsia="Times New Roman" w:cs="Times New Roman"/>
                <w:sz w:val="24"/>
                <w:szCs w:val="24"/>
                <w:lang w:eastAsia="lv-LV"/>
              </w:rPr>
              <w:t>)</w:t>
            </w:r>
            <w:r w:rsidRPr="00BB1D7F" w:rsidR="00E57651">
              <w:rPr>
                <w:rFonts w:ascii="Times New Roman" w:hAnsi="Times New Roman" w:eastAsia="Times New Roman" w:cs="Times New Roman"/>
                <w:sz w:val="24"/>
                <w:szCs w:val="24"/>
                <w:lang w:eastAsia="lv-LV"/>
              </w:rPr>
              <w:tab/>
              <w:t>koruptīvie noziedzīgi</w:t>
            </w:r>
            <w:r w:rsidR="0018115F">
              <w:rPr>
                <w:rFonts w:ascii="Times New Roman" w:hAnsi="Times New Roman" w:eastAsia="Times New Roman" w:cs="Times New Roman"/>
                <w:sz w:val="24"/>
                <w:szCs w:val="24"/>
                <w:lang w:eastAsia="lv-LV"/>
              </w:rPr>
              <w:t>e</w:t>
            </w:r>
            <w:r w:rsidRPr="00BB1D7F" w:rsidR="00E57651">
              <w:rPr>
                <w:rFonts w:ascii="Times New Roman" w:hAnsi="Times New Roman" w:eastAsia="Times New Roman" w:cs="Times New Roman"/>
                <w:sz w:val="24"/>
                <w:szCs w:val="24"/>
                <w:lang w:eastAsia="lv-LV"/>
              </w:rPr>
              <w:t xml:space="preserve"> nodarījumi,</w:t>
            </w:r>
            <w:r w:rsidRPr="00BB1D7F" w:rsidR="00A732F2">
              <w:rPr>
                <w:rFonts w:ascii="Times New Roman" w:hAnsi="Times New Roman" w:eastAsia="Times New Roman" w:cs="Times New Roman"/>
                <w:sz w:val="24"/>
                <w:szCs w:val="24"/>
                <w:lang w:eastAsia="lv-LV"/>
              </w:rPr>
              <w:t xml:space="preserve"> kā arī noziedzīgie nodarījumi saistībā ar neatļauta labuma pieņemšanu, neatļautu piedalīšanos mantiskos darījumus un prettiesiska labuma došanu, pieprasīšanu vai pieņemšanu, </w:t>
            </w:r>
            <w:r w:rsidRPr="00BB1D7F" w:rsidR="00E57651">
              <w:rPr>
                <w:rFonts w:ascii="Times New Roman" w:hAnsi="Times New Roman" w:eastAsia="Times New Roman" w:cs="Times New Roman"/>
                <w:sz w:val="24"/>
                <w:szCs w:val="24"/>
                <w:lang w:eastAsia="lv-LV"/>
              </w:rPr>
              <w:t xml:space="preserve">ko izdarījusi valsts amatpersona vai </w:t>
            </w:r>
            <w:r w:rsidRPr="00BB1D7F" w:rsidR="00E57651">
              <w:rPr>
                <w:rFonts w:ascii="Times New Roman" w:hAnsi="Times New Roman" w:eastAsia="Times New Roman" w:cs="Times New Roman"/>
                <w:sz w:val="24"/>
                <w:szCs w:val="24"/>
                <w:lang w:eastAsia="lv-LV"/>
              </w:rPr>
              <w:lastRenderedPageBreak/>
              <w:t>amatpersona, kas ieņem atbildīgu stāvokli</w:t>
            </w:r>
            <w:r w:rsidRPr="00BB1D7F" w:rsidR="00A732F2">
              <w:rPr>
                <w:rFonts w:ascii="Times New Roman" w:hAnsi="Times New Roman" w:eastAsia="Times New Roman" w:cs="Times New Roman"/>
                <w:sz w:val="24"/>
                <w:szCs w:val="24"/>
                <w:lang w:eastAsia="lv-LV"/>
              </w:rPr>
              <w:t xml:space="preserve"> vai valsts un pašvaldības iestādes darbinieks, kurš nav valsts amatpersona,</w:t>
            </w:r>
            <w:r w:rsidRPr="00BB1D7F" w:rsidR="00E57651">
              <w:rPr>
                <w:rFonts w:ascii="Times New Roman" w:hAnsi="Times New Roman" w:eastAsia="Times New Roman" w:cs="Times New Roman"/>
                <w:sz w:val="24"/>
                <w:szCs w:val="24"/>
                <w:lang w:eastAsia="lv-LV"/>
              </w:rPr>
              <w:t xml:space="preserve"> vai ja kukulis</w:t>
            </w:r>
            <w:r w:rsidRPr="00BB1D7F" w:rsidR="00A732F2">
              <w:rPr>
                <w:rFonts w:ascii="Times New Roman" w:hAnsi="Times New Roman" w:eastAsia="Times New Roman" w:cs="Times New Roman"/>
                <w:sz w:val="24"/>
                <w:szCs w:val="24"/>
                <w:lang w:eastAsia="lv-LV"/>
              </w:rPr>
              <w:t xml:space="preserve"> vai prettiesisks labums</w:t>
            </w:r>
            <w:r w:rsidRPr="00BB1D7F" w:rsidR="00E57651">
              <w:rPr>
                <w:rFonts w:ascii="Times New Roman" w:hAnsi="Times New Roman" w:eastAsia="Times New Roman" w:cs="Times New Roman"/>
                <w:sz w:val="24"/>
                <w:szCs w:val="24"/>
                <w:lang w:eastAsia="lv-LV"/>
              </w:rPr>
              <w:t xml:space="preserve"> pieņemts pēc tā izspiešanas vai pieprasīšanas</w:t>
            </w:r>
            <w:r w:rsidRPr="00BB1D7F" w:rsidR="00A732F2">
              <w:rPr>
                <w:rFonts w:ascii="Times New Roman" w:hAnsi="Times New Roman" w:eastAsia="Times New Roman" w:cs="Times New Roman"/>
                <w:sz w:val="24"/>
                <w:szCs w:val="24"/>
                <w:lang w:eastAsia="lv-LV"/>
              </w:rPr>
              <w:t xml:space="preserve">. </w:t>
            </w:r>
          </w:p>
          <w:p w:rsidR="000A2960" w:rsidP="007F5CF3" w:rsidRDefault="00E57651" w14:paraId="27B8709D" w14:textId="47ABCCE4">
            <w:pPr>
              <w:spacing w:after="0" w:line="240" w:lineRule="auto"/>
              <w:jc w:val="both"/>
              <w:rPr>
                <w:rFonts w:ascii="Times New Roman" w:hAnsi="Times New Roman" w:eastAsia="Times New Roman" w:cs="Times New Roman"/>
                <w:sz w:val="24"/>
                <w:szCs w:val="24"/>
                <w:lang w:eastAsia="lv-LV"/>
              </w:rPr>
            </w:pPr>
            <w:r w:rsidRPr="00BB1D7F">
              <w:rPr>
                <w:rFonts w:ascii="Times New Roman" w:hAnsi="Times New Roman" w:eastAsia="Times New Roman" w:cs="Times New Roman"/>
                <w:sz w:val="24"/>
                <w:szCs w:val="24"/>
                <w:lang w:eastAsia="lv-LV"/>
              </w:rPr>
              <w:t>Iepriekš minēto krimināllietu uzskaitījums definēts</w:t>
            </w:r>
            <w:r w:rsidRPr="00BB1D7F" w:rsidR="00091D7F">
              <w:rPr>
                <w:rFonts w:ascii="Times New Roman" w:hAnsi="Times New Roman" w:eastAsia="Times New Roman" w:cs="Times New Roman"/>
                <w:sz w:val="24"/>
                <w:szCs w:val="24"/>
                <w:lang w:eastAsia="lv-LV"/>
              </w:rPr>
              <w:t>,</w:t>
            </w:r>
            <w:r w:rsidRPr="00BB1D7F">
              <w:rPr>
                <w:rFonts w:ascii="Times New Roman" w:hAnsi="Times New Roman" w:eastAsia="Times New Roman" w:cs="Times New Roman"/>
                <w:sz w:val="24"/>
                <w:szCs w:val="24"/>
                <w:lang w:eastAsia="lv-LV"/>
              </w:rPr>
              <w:t xml:space="preserve"> </w:t>
            </w:r>
            <w:bookmarkStart w:name="_Hlk24622312" w:id="1"/>
            <w:r w:rsidRPr="00BB1D7F" w:rsidR="001E6F28">
              <w:rPr>
                <w:rFonts w:ascii="Times New Roman" w:hAnsi="Times New Roman" w:eastAsia="Times New Roman" w:cs="Times New Roman"/>
                <w:sz w:val="24"/>
                <w:szCs w:val="24"/>
                <w:lang w:eastAsia="lv-LV"/>
              </w:rPr>
              <w:t xml:space="preserve">ievērojot </w:t>
            </w:r>
            <w:r w:rsidR="00F571A2">
              <w:rPr>
                <w:rFonts w:ascii="Times New Roman" w:hAnsi="Times New Roman" w:eastAsia="Times New Roman" w:cs="Times New Roman"/>
                <w:sz w:val="24"/>
                <w:szCs w:val="24"/>
                <w:lang w:eastAsia="lv-LV"/>
              </w:rPr>
              <w:t xml:space="preserve">Finanšu izlūkošanas </w:t>
            </w:r>
            <w:r w:rsidRPr="00E57651">
              <w:rPr>
                <w:rFonts w:ascii="Times New Roman" w:hAnsi="Times New Roman" w:eastAsia="Times New Roman" w:cs="Times New Roman"/>
                <w:sz w:val="24"/>
                <w:szCs w:val="24"/>
                <w:lang w:eastAsia="lv-LV"/>
              </w:rPr>
              <w:t>dienesta un Ģenerālprokuratūras viedokļ</w:t>
            </w:r>
            <w:r w:rsidR="001E6F28">
              <w:rPr>
                <w:rFonts w:ascii="Times New Roman" w:hAnsi="Times New Roman" w:eastAsia="Times New Roman" w:cs="Times New Roman"/>
                <w:sz w:val="24"/>
                <w:szCs w:val="24"/>
                <w:lang w:eastAsia="lv-LV"/>
              </w:rPr>
              <w:t>us</w:t>
            </w:r>
            <w:bookmarkEnd w:id="1"/>
            <w:r w:rsidRPr="00E57651">
              <w:rPr>
                <w:rFonts w:ascii="Times New Roman" w:hAnsi="Times New Roman" w:eastAsia="Times New Roman" w:cs="Times New Roman"/>
                <w:sz w:val="24"/>
                <w:szCs w:val="24"/>
                <w:lang w:eastAsia="lv-LV"/>
              </w:rPr>
              <w:t>, tostarp, ņemot vērā 2018. gada 22. jūnija Latvijas Nacionālajā noziedzīgi iegūtu līdzekļu legalizācijas un terorisma finansēšanas risku novērtēšanas ziņojumā, kā arī Ministru kabineta 2018. gada 11. oktobra rīkojumā Nr. 512 "Par Pasākumu plānu noziedzīgi iegūtu līdzekļu legalizācijas un terorisma finansēšanas novēršanai laikposmam līdz 2019. gada 31. decembrim" norādīto par būtiskākajiem draudiem attiecībā uz noziedzīgiem nodarījumiem noziedzīgi iegūtu līdzekļu legalizācijas jomā</w:t>
            </w:r>
            <w:r w:rsidR="00620AEA">
              <w:rPr>
                <w:rFonts w:ascii="Times New Roman" w:hAnsi="Times New Roman" w:eastAsia="Times New Roman" w:cs="Times New Roman"/>
                <w:sz w:val="24"/>
                <w:szCs w:val="24"/>
                <w:lang w:eastAsia="lv-LV"/>
              </w:rPr>
              <w:t>.</w:t>
            </w:r>
            <w:r w:rsidR="00F82E6D">
              <w:rPr>
                <w:rFonts w:ascii="Times New Roman" w:hAnsi="Times New Roman" w:eastAsia="Times New Roman" w:cs="Times New Roman"/>
                <w:sz w:val="24"/>
                <w:szCs w:val="24"/>
                <w:lang w:eastAsia="lv-LV"/>
              </w:rPr>
              <w:t xml:space="preserve"> </w:t>
            </w:r>
            <w:r w:rsidRPr="00E30FF9" w:rsidR="002F4FC7">
              <w:rPr>
                <w:rFonts w:ascii="Times New Roman" w:hAnsi="Times New Roman" w:eastAsia="Times New Roman" w:cs="Times New Roman"/>
                <w:sz w:val="24"/>
                <w:szCs w:val="24"/>
                <w:lang w:eastAsia="lv-LV"/>
              </w:rPr>
              <w:t>Liel</w:t>
            </w:r>
            <w:r w:rsidR="00C819D8">
              <w:rPr>
                <w:rFonts w:ascii="Times New Roman" w:hAnsi="Times New Roman" w:eastAsia="Times New Roman" w:cs="Times New Roman"/>
                <w:sz w:val="24"/>
                <w:szCs w:val="24"/>
                <w:lang w:eastAsia="lv-LV"/>
              </w:rPr>
              <w:t>ākaj</w:t>
            </w:r>
            <w:r w:rsidRPr="00E30FF9" w:rsidR="002F4FC7">
              <w:rPr>
                <w:rFonts w:ascii="Times New Roman" w:hAnsi="Times New Roman" w:eastAsia="Times New Roman" w:cs="Times New Roman"/>
                <w:sz w:val="24"/>
                <w:szCs w:val="24"/>
                <w:lang w:eastAsia="lv-LV"/>
              </w:rPr>
              <w:t>a</w:t>
            </w:r>
            <w:r w:rsidR="00C819D8">
              <w:rPr>
                <w:rFonts w:ascii="Times New Roman" w:hAnsi="Times New Roman" w:eastAsia="Times New Roman" w:cs="Times New Roman"/>
                <w:sz w:val="24"/>
                <w:szCs w:val="24"/>
                <w:lang w:eastAsia="lv-LV"/>
              </w:rPr>
              <w:t>i</w:t>
            </w:r>
            <w:r w:rsidRPr="00E30FF9" w:rsidR="002F4FC7">
              <w:rPr>
                <w:rFonts w:ascii="Times New Roman" w:hAnsi="Times New Roman" w:eastAsia="Times New Roman" w:cs="Times New Roman"/>
                <w:sz w:val="24"/>
                <w:szCs w:val="24"/>
                <w:lang w:eastAsia="lv-LV"/>
              </w:rPr>
              <w:t xml:space="preserve"> daļa</w:t>
            </w:r>
            <w:r w:rsidR="00C819D8">
              <w:rPr>
                <w:rFonts w:ascii="Times New Roman" w:hAnsi="Times New Roman" w:eastAsia="Times New Roman" w:cs="Times New Roman"/>
                <w:sz w:val="24"/>
                <w:szCs w:val="24"/>
                <w:lang w:eastAsia="lv-LV"/>
              </w:rPr>
              <w:t>i</w:t>
            </w:r>
            <w:r w:rsidRPr="00E30FF9" w:rsidR="002F4FC7">
              <w:rPr>
                <w:rFonts w:ascii="Times New Roman" w:hAnsi="Times New Roman" w:eastAsia="Times New Roman" w:cs="Times New Roman"/>
                <w:sz w:val="24"/>
                <w:szCs w:val="24"/>
                <w:lang w:eastAsia="lv-LV"/>
              </w:rPr>
              <w:t xml:space="preserve"> </w:t>
            </w:r>
            <w:r w:rsidR="00C819D8">
              <w:rPr>
                <w:rFonts w:ascii="Times New Roman" w:hAnsi="Times New Roman" w:eastAsia="Times New Roman" w:cs="Times New Roman"/>
                <w:sz w:val="24"/>
                <w:szCs w:val="24"/>
                <w:lang w:eastAsia="lv-LV"/>
              </w:rPr>
              <w:t xml:space="preserve">iepriekš minēto </w:t>
            </w:r>
            <w:r w:rsidRPr="00E30FF9" w:rsidR="002F4FC7">
              <w:rPr>
                <w:rFonts w:ascii="Times New Roman" w:hAnsi="Times New Roman" w:eastAsia="Times New Roman" w:cs="Times New Roman"/>
                <w:sz w:val="24"/>
                <w:szCs w:val="24"/>
                <w:lang w:eastAsia="lv-LV"/>
              </w:rPr>
              <w:t xml:space="preserve">noziedzīgu nodarījumu </w:t>
            </w:r>
            <w:r w:rsidR="00C819D8">
              <w:rPr>
                <w:rFonts w:ascii="Times New Roman" w:hAnsi="Times New Roman" w:eastAsia="Times New Roman" w:cs="Times New Roman"/>
                <w:sz w:val="24"/>
                <w:szCs w:val="24"/>
                <w:lang w:eastAsia="lv-LV"/>
              </w:rPr>
              <w:t>jau noteikta augsta prioritāte</w:t>
            </w:r>
            <w:r w:rsidRPr="00E30FF9" w:rsidR="00C819D8">
              <w:rPr>
                <w:rFonts w:ascii="Times New Roman" w:hAnsi="Times New Roman" w:eastAsia="Times New Roman" w:cs="Times New Roman"/>
                <w:sz w:val="24"/>
                <w:szCs w:val="24"/>
                <w:lang w:eastAsia="lv-LV"/>
              </w:rPr>
              <w:t xml:space="preserve"> izmeklēšanas uzraudzībai un kriminālvajāšanai</w:t>
            </w:r>
            <w:r w:rsidR="00C819D8">
              <w:rPr>
                <w:rFonts w:ascii="Times New Roman" w:hAnsi="Times New Roman" w:eastAsia="Times New Roman" w:cs="Times New Roman"/>
                <w:sz w:val="24"/>
                <w:szCs w:val="24"/>
                <w:lang w:eastAsia="lv-LV"/>
              </w:rPr>
              <w:t>. Proti, atbilstoši</w:t>
            </w:r>
            <w:r w:rsidRPr="00E30FF9" w:rsidR="002F4FC7">
              <w:rPr>
                <w:rFonts w:ascii="Times New Roman" w:hAnsi="Times New Roman" w:eastAsia="Times New Roman" w:cs="Times New Roman"/>
                <w:sz w:val="24"/>
                <w:szCs w:val="24"/>
                <w:lang w:eastAsia="lv-LV"/>
              </w:rPr>
              <w:t xml:space="preserve"> ģenerālprokurora rīkojumi</w:t>
            </w:r>
            <w:r w:rsidRPr="00E30FF9" w:rsidR="00F82E6D">
              <w:rPr>
                <w:rFonts w:ascii="Times New Roman" w:hAnsi="Times New Roman" w:eastAsia="Times New Roman" w:cs="Times New Roman"/>
                <w:sz w:val="24"/>
                <w:szCs w:val="24"/>
                <w:lang w:eastAsia="lv-LV"/>
              </w:rPr>
              <w:t>em</w:t>
            </w:r>
            <w:r w:rsidR="00C819D8">
              <w:rPr>
                <w:rFonts w:ascii="Times New Roman" w:hAnsi="Times New Roman" w:eastAsia="Times New Roman" w:cs="Times New Roman"/>
                <w:sz w:val="24"/>
                <w:szCs w:val="24"/>
                <w:lang w:eastAsia="lv-LV"/>
              </w:rPr>
              <w:t>,</w:t>
            </w:r>
            <w:r w:rsidRPr="00E30FF9" w:rsidR="002F4FC7">
              <w:rPr>
                <w:rFonts w:ascii="Times New Roman" w:hAnsi="Times New Roman" w:eastAsia="Times New Roman" w:cs="Times New Roman"/>
                <w:sz w:val="24"/>
                <w:szCs w:val="24"/>
                <w:lang w:eastAsia="lv-LV"/>
              </w:rPr>
              <w:t xml:space="preserve"> </w:t>
            </w:r>
            <w:r w:rsidR="001C0A02">
              <w:rPr>
                <w:rFonts w:ascii="Times New Roman" w:hAnsi="Times New Roman" w:eastAsia="Times New Roman" w:cs="Times New Roman"/>
                <w:sz w:val="24"/>
                <w:szCs w:val="24"/>
                <w:lang w:eastAsia="lv-LV"/>
              </w:rPr>
              <w:t>citastarp</w:t>
            </w:r>
            <w:r w:rsidR="00283F8D">
              <w:rPr>
                <w:rFonts w:ascii="Times New Roman" w:hAnsi="Times New Roman" w:eastAsia="Times New Roman" w:cs="Times New Roman"/>
                <w:sz w:val="24"/>
                <w:szCs w:val="24"/>
                <w:lang w:eastAsia="lv-LV"/>
              </w:rPr>
              <w:t xml:space="preserve">, piemēram, </w:t>
            </w:r>
            <w:r w:rsidRPr="001C0A02" w:rsidR="00283F8D">
              <w:rPr>
                <w:rFonts w:ascii="Times New Roman" w:hAnsi="Times New Roman" w:eastAsia="Times New Roman" w:cs="Times New Roman"/>
                <w:sz w:val="24"/>
                <w:szCs w:val="24"/>
                <w:lang w:eastAsia="lv-LV"/>
              </w:rPr>
              <w:t xml:space="preserve">195. panta otrā un trešā daļā </w:t>
            </w:r>
            <w:r w:rsidR="00283F8D">
              <w:rPr>
                <w:rFonts w:ascii="Times New Roman" w:hAnsi="Times New Roman" w:eastAsia="Times New Roman" w:cs="Times New Roman"/>
                <w:sz w:val="24"/>
                <w:szCs w:val="24"/>
                <w:lang w:eastAsia="lv-LV"/>
              </w:rPr>
              <w:t xml:space="preserve">paredzēto noziegumu izmeklēšanai </w:t>
            </w:r>
            <w:r w:rsidRPr="00E30FF9" w:rsidR="002F4FC7">
              <w:rPr>
                <w:rFonts w:ascii="Times New Roman" w:hAnsi="Times New Roman" w:eastAsia="Times New Roman" w:cs="Times New Roman"/>
                <w:sz w:val="24"/>
                <w:szCs w:val="24"/>
                <w:lang w:eastAsia="lv-LV"/>
              </w:rPr>
              <w:t>piešķirta prioritāte</w:t>
            </w:r>
            <w:r w:rsidRPr="00E30FF9" w:rsidR="00F82E6D">
              <w:rPr>
                <w:rFonts w:ascii="Times New Roman" w:hAnsi="Times New Roman" w:eastAsia="Times New Roman" w:cs="Times New Roman"/>
                <w:sz w:val="24"/>
                <w:szCs w:val="24"/>
                <w:lang w:eastAsia="lv-LV"/>
              </w:rPr>
              <w:t xml:space="preserve">. </w:t>
            </w:r>
            <w:r w:rsidRPr="00E30FF9" w:rsidR="00620AEA">
              <w:rPr>
                <w:rFonts w:ascii="Times New Roman" w:hAnsi="Times New Roman" w:eastAsia="Times New Roman" w:cs="Times New Roman"/>
                <w:sz w:val="24"/>
                <w:szCs w:val="24"/>
                <w:lang w:eastAsia="lv-LV"/>
              </w:rPr>
              <w:t xml:space="preserve"> </w:t>
            </w:r>
          </w:p>
          <w:p w:rsidR="000A2960" w:rsidP="007F5CF3" w:rsidRDefault="00091D7F" w14:paraId="45446263" w14:textId="2682990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Kopš 1994.</w:t>
            </w:r>
            <w:r w:rsidR="00552FD8">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gada darbojas specializēta</w:t>
            </w:r>
            <w:r w:rsidR="000A2960">
              <w:rPr>
                <w:rFonts w:ascii="Times New Roman" w:hAnsi="Times New Roman" w:eastAsia="Times New Roman" w:cs="Times New Roman"/>
                <w:sz w:val="24"/>
                <w:szCs w:val="24"/>
                <w:lang w:eastAsia="lv-LV"/>
              </w:rPr>
              <w:t xml:space="preserve"> </w:t>
            </w:r>
            <w:r w:rsidRPr="00E66238" w:rsidR="000A2960">
              <w:rPr>
                <w:rFonts w:ascii="Times New Roman" w:hAnsi="Times New Roman" w:eastAsia="Times New Roman" w:cs="Times New Roman"/>
                <w:sz w:val="24"/>
                <w:szCs w:val="24"/>
                <w:lang w:eastAsia="lv-LV"/>
              </w:rPr>
              <w:t>Finanšu un ekonomisko noziegumu izmeklēšanas prokuratūra</w:t>
            </w:r>
            <w:r w:rsidR="00382B0B">
              <w:rPr>
                <w:rFonts w:ascii="Times New Roman" w:hAnsi="Times New Roman" w:eastAsia="Times New Roman" w:cs="Times New Roman"/>
                <w:sz w:val="24"/>
                <w:szCs w:val="24"/>
                <w:lang w:eastAsia="lv-LV"/>
              </w:rPr>
              <w:t>,</w:t>
            </w:r>
            <w:r w:rsidR="000A2960">
              <w:rPr>
                <w:rFonts w:ascii="Times New Roman" w:hAnsi="Times New Roman" w:eastAsia="Times New Roman" w:cs="Times New Roman"/>
                <w:sz w:val="24"/>
                <w:szCs w:val="24"/>
                <w:lang w:eastAsia="lv-LV"/>
              </w:rPr>
              <w:t xml:space="preserve"> un līdz šim prokuratūras darbība</w:t>
            </w:r>
            <w:r w:rsidR="0011578A">
              <w:rPr>
                <w:rFonts w:ascii="Times New Roman" w:hAnsi="Times New Roman" w:eastAsia="Times New Roman" w:cs="Times New Roman"/>
                <w:sz w:val="24"/>
                <w:szCs w:val="24"/>
                <w:lang w:eastAsia="lv-LV"/>
              </w:rPr>
              <w:t xml:space="preserve"> </w:t>
            </w:r>
            <w:r w:rsidRPr="001851ED" w:rsidR="0011578A">
              <w:rPr>
                <w:rFonts w:ascii="Times New Roman" w:hAnsi="Times New Roman" w:eastAsia="Times New Roman" w:cs="Times New Roman"/>
                <w:sz w:val="24"/>
                <w:szCs w:val="24"/>
                <w:lang w:eastAsia="lv-LV"/>
              </w:rPr>
              <w:t>un tās nepieciešamība</w:t>
            </w:r>
            <w:r w:rsidRPr="0018115F" w:rsidR="000A2960">
              <w:rPr>
                <w:rFonts w:ascii="Times New Roman" w:hAnsi="Times New Roman" w:eastAsia="Times New Roman" w:cs="Times New Roman"/>
                <w:sz w:val="24"/>
                <w:szCs w:val="24"/>
                <w:lang w:eastAsia="lv-LV"/>
              </w:rPr>
              <w:t xml:space="preserve"> nevienam nav radījusi šaubas</w:t>
            </w:r>
            <w:r w:rsidRPr="0018115F" w:rsidR="0011578A">
              <w:rPr>
                <w:rFonts w:ascii="Times New Roman" w:hAnsi="Times New Roman" w:eastAsia="Times New Roman" w:cs="Times New Roman"/>
                <w:sz w:val="24"/>
                <w:szCs w:val="24"/>
                <w:lang w:eastAsia="lv-LV"/>
              </w:rPr>
              <w:t xml:space="preserve">. </w:t>
            </w:r>
            <w:r w:rsidRPr="001851ED" w:rsidR="0011578A">
              <w:rPr>
                <w:rFonts w:ascii="Times New Roman" w:hAnsi="Times New Roman" w:eastAsia="Times New Roman" w:cs="Times New Roman"/>
                <w:sz w:val="24"/>
                <w:szCs w:val="24"/>
                <w:lang w:eastAsia="lv-LV"/>
              </w:rPr>
              <w:t>Tādejādi atzīta lietderība</w:t>
            </w:r>
            <w:r w:rsidRPr="0018115F" w:rsidR="0011578A">
              <w:rPr>
                <w:rFonts w:ascii="Times New Roman" w:hAnsi="Times New Roman" w:eastAsia="Times New Roman" w:cs="Times New Roman"/>
                <w:sz w:val="24"/>
                <w:szCs w:val="24"/>
                <w:lang w:eastAsia="lv-LV"/>
              </w:rPr>
              <w:t xml:space="preserve">, </w:t>
            </w:r>
            <w:r w:rsidRPr="0018115F" w:rsidR="000A2960">
              <w:rPr>
                <w:rFonts w:ascii="Times New Roman" w:hAnsi="Times New Roman" w:eastAsia="Times New Roman" w:cs="Times New Roman"/>
                <w:sz w:val="24"/>
                <w:szCs w:val="24"/>
                <w:lang w:eastAsia="lv-LV"/>
              </w:rPr>
              <w:t>ka noteikta veida noziedzīgi nodarījumi, kuri ir specifiski</w:t>
            </w:r>
            <w:r w:rsidR="000A2960">
              <w:rPr>
                <w:rFonts w:ascii="Times New Roman" w:hAnsi="Times New Roman" w:eastAsia="Times New Roman" w:cs="Times New Roman"/>
                <w:sz w:val="24"/>
                <w:szCs w:val="24"/>
                <w:lang w:eastAsia="lv-LV"/>
              </w:rPr>
              <w:t xml:space="preserve"> un prasa padziļinātākas zināšanas, </w:t>
            </w:r>
            <w:r w:rsidR="0011578A">
              <w:rPr>
                <w:rFonts w:ascii="Times New Roman" w:hAnsi="Times New Roman" w:eastAsia="Times New Roman" w:cs="Times New Roman"/>
                <w:sz w:val="24"/>
                <w:szCs w:val="24"/>
                <w:lang w:eastAsia="lv-LV"/>
              </w:rPr>
              <w:t>ir</w:t>
            </w:r>
            <w:r w:rsidR="000A2960">
              <w:rPr>
                <w:rFonts w:ascii="Times New Roman" w:hAnsi="Times New Roman" w:eastAsia="Times New Roman" w:cs="Times New Roman"/>
                <w:sz w:val="24"/>
                <w:szCs w:val="24"/>
                <w:lang w:eastAsia="lv-LV"/>
              </w:rPr>
              <w:t xml:space="preserve"> piekritīgi tieši šai prokuratūrai. </w:t>
            </w:r>
          </w:p>
          <w:p w:rsidR="00C819D8" w:rsidP="007F5CF3" w:rsidRDefault="00620AEA" w14:paraId="39991DC2" w14:textId="11A49871">
            <w:pPr>
              <w:spacing w:after="0" w:line="240" w:lineRule="auto"/>
              <w:jc w:val="both"/>
              <w:rPr>
                <w:rFonts w:ascii="Times New Roman" w:hAnsi="Times New Roman" w:eastAsia="Times New Roman" w:cs="Times New Roman"/>
                <w:sz w:val="24"/>
                <w:szCs w:val="24"/>
                <w:lang w:eastAsia="lv-LV"/>
              </w:rPr>
            </w:pPr>
            <w:r w:rsidRPr="00E30FF9">
              <w:rPr>
                <w:rFonts w:ascii="Times New Roman" w:hAnsi="Times New Roman" w:eastAsia="Times New Roman" w:cs="Times New Roman"/>
                <w:sz w:val="24"/>
                <w:szCs w:val="24"/>
                <w:lang w:eastAsia="lv-LV"/>
              </w:rPr>
              <w:t xml:space="preserve">Vienlaikus atbilstoši </w:t>
            </w:r>
            <w:proofErr w:type="spellStart"/>
            <w:r w:rsidRPr="00E30FF9">
              <w:rPr>
                <w:rFonts w:ascii="Times New Roman" w:hAnsi="Times New Roman" w:eastAsia="Times New Roman" w:cs="Times New Roman"/>
                <w:sz w:val="24"/>
                <w:szCs w:val="24"/>
                <w:lang w:eastAsia="lv-LV"/>
              </w:rPr>
              <w:t>Moneyval</w:t>
            </w:r>
            <w:proofErr w:type="spellEnd"/>
            <w:r w:rsidRPr="00E30FF9">
              <w:rPr>
                <w:rFonts w:ascii="Times New Roman" w:hAnsi="Times New Roman" w:eastAsia="Times New Roman" w:cs="Times New Roman"/>
                <w:sz w:val="24"/>
                <w:szCs w:val="24"/>
                <w:lang w:eastAsia="lv-LV"/>
              </w:rPr>
              <w:t xml:space="preserve"> 5. kārtas novērtējuma ziņojumam</w:t>
            </w:r>
            <w:r w:rsidRPr="004727F1">
              <w:rPr>
                <w:rFonts w:ascii="Times New Roman" w:hAnsi="Times New Roman" w:eastAsia="Times New Roman" w:cs="Times New Roman"/>
                <w:sz w:val="24"/>
                <w:szCs w:val="24"/>
                <w:lang w:eastAsia="lv-LV"/>
              </w:rPr>
              <w:t xml:space="preserve"> par Latvijas noziedzīgi iegūtu līdzekļu legalizācijas un terorisma finansēšanas novēršanas un apkarošanas sistēmu un pasākumiem, kuri tiek veikti, lai uzlabotu Latvijas reputāciju, specializētās tiesas kompetencē </w:t>
            </w:r>
            <w:r w:rsidRPr="00E30FF9">
              <w:rPr>
                <w:rFonts w:ascii="Times New Roman" w:hAnsi="Times New Roman" w:eastAsia="Times New Roman" w:cs="Times New Roman"/>
                <w:sz w:val="24"/>
                <w:szCs w:val="24"/>
                <w:lang w:eastAsia="lv-LV"/>
              </w:rPr>
              <w:t>iekļaujami noziedzīgi nodarījumi saistībā ar terorisma un proliferācijas finansēšanu</w:t>
            </w:r>
            <w:r w:rsidRPr="00E30FF9" w:rsidR="00891776">
              <w:rPr>
                <w:rFonts w:ascii="Times New Roman" w:hAnsi="Times New Roman" w:eastAsia="Times New Roman" w:cs="Times New Roman"/>
                <w:sz w:val="24"/>
                <w:szCs w:val="24"/>
                <w:lang w:eastAsia="lv-LV"/>
              </w:rPr>
              <w:t xml:space="preserve">. </w:t>
            </w:r>
          </w:p>
          <w:p w:rsidR="003A6C75" w:rsidP="007F5CF3" w:rsidRDefault="009E1BF0" w14:paraId="272EA652" w14:textId="77777777">
            <w:pPr>
              <w:spacing w:after="0" w:line="240" w:lineRule="auto"/>
              <w:jc w:val="both"/>
            </w:pPr>
            <w:r>
              <w:rPr>
                <w:rFonts w:ascii="Times New Roman" w:hAnsi="Times New Roman" w:eastAsia="Times New Roman" w:cs="Times New Roman"/>
                <w:sz w:val="24"/>
                <w:szCs w:val="24"/>
                <w:lang w:eastAsia="lv-LV"/>
              </w:rPr>
              <w:t>Būtiska nozīme piekritības definēšanā ir lietu apjoma prognozes un sākotnējās tiesas kapacitātes sabalansēšanā.</w:t>
            </w:r>
            <w:r w:rsidR="001221D9">
              <w:t xml:space="preserve"> </w:t>
            </w:r>
          </w:p>
          <w:p w:rsidRPr="0018115F" w:rsidR="00B23BA2" w:rsidP="0011578A" w:rsidRDefault="003A6C75" w14:paraId="51746945" w14:textId="42C0804A">
            <w:pPr>
              <w:spacing w:after="0" w:line="240" w:lineRule="auto"/>
              <w:jc w:val="both"/>
              <w:rPr>
                <w:rFonts w:ascii="Times New Roman" w:hAnsi="Times New Roman" w:cs="Times New Roman"/>
                <w:sz w:val="24"/>
              </w:rPr>
            </w:pPr>
            <w:r w:rsidRPr="001851ED">
              <w:rPr>
                <w:rFonts w:ascii="Times New Roman" w:hAnsi="Times New Roman" w:cs="Times New Roman"/>
                <w:sz w:val="24"/>
              </w:rPr>
              <w:t>Tiesas noslodze (tāpat kā vispārējās jurisdikcijas tiesās) tiek noteikta pēc pabeigtām lietām (tas ir lietām, ko tiesnesis ir noteiktā periodā izskatījis)</w:t>
            </w:r>
            <w:proofErr w:type="gramStart"/>
            <w:r w:rsidRPr="001851ED">
              <w:rPr>
                <w:rFonts w:ascii="Times New Roman" w:hAnsi="Times New Roman" w:cs="Times New Roman"/>
                <w:sz w:val="24"/>
              </w:rPr>
              <w:t xml:space="preserve">  </w:t>
            </w:r>
            <w:proofErr w:type="gramEnd"/>
            <w:r w:rsidRPr="001851ED">
              <w:rPr>
                <w:rFonts w:ascii="Times New Roman" w:hAnsi="Times New Roman" w:cs="Times New Roman"/>
                <w:sz w:val="24"/>
              </w:rPr>
              <w:t>neņemot vērā atlikto tiesas sēžu skaitu (</w:t>
            </w:r>
            <w:r w:rsidRPr="001851ED" w:rsidR="0011578A">
              <w:rPr>
                <w:rFonts w:ascii="Times New Roman" w:hAnsi="Times New Roman" w:cs="Times New Roman"/>
                <w:sz w:val="24"/>
              </w:rPr>
              <w:t>atlikta tiesas sēde</w:t>
            </w:r>
            <w:r w:rsidRPr="001851ED">
              <w:rPr>
                <w:rFonts w:ascii="Times New Roman" w:hAnsi="Times New Roman" w:cs="Times New Roman"/>
                <w:sz w:val="24"/>
              </w:rPr>
              <w:t xml:space="preserve"> ietekmē lietas izskatīšanas ilgumu un iespējams faktu, ka noteiktā laika periodā konkrētā lieta netiks izskatīta</w:t>
            </w:r>
            <w:r w:rsidRPr="001851ED" w:rsidR="0018115F">
              <w:rPr>
                <w:rFonts w:ascii="Times New Roman" w:hAnsi="Times New Roman" w:cs="Times New Roman"/>
                <w:sz w:val="24"/>
              </w:rPr>
              <w:t>,</w:t>
            </w:r>
            <w:r w:rsidRPr="001851ED">
              <w:rPr>
                <w:rFonts w:ascii="Times New Roman" w:hAnsi="Times New Roman" w:cs="Times New Roman"/>
                <w:sz w:val="24"/>
              </w:rPr>
              <w:t xml:space="preserve"> attiecīgi neatstājot ietekmi uz rādītāju, kas izvēlēts</w:t>
            </w:r>
            <w:r w:rsidRPr="001851ED" w:rsidR="0011578A">
              <w:rPr>
                <w:rFonts w:ascii="Times New Roman" w:hAnsi="Times New Roman" w:cs="Times New Roman"/>
                <w:sz w:val="24"/>
              </w:rPr>
              <w:t>,</w:t>
            </w:r>
            <w:r w:rsidRPr="001851ED">
              <w:rPr>
                <w:rFonts w:ascii="Times New Roman" w:hAnsi="Times New Roman" w:cs="Times New Roman"/>
                <w:sz w:val="24"/>
              </w:rPr>
              <w:t xml:space="preserve"> lai noteiktu tiesas noslodzi). Attiecībā par atlikto sēžu īpatsvaru krimināllietās, norādāms, ka atšķirībā no administratīvajām lietām, atlikto tiesas sēžu īpatsvars ir bijis samērā konstants pēdējos desmit gadus (atlikto tiesas sēžu proporcija pret notikušajām veido ap 34 %). Turklāt pēdējos piecos gados šim rādītājam ir vērojama tendence pakāpeniski samazināties, 2018. gadā sasniedzot 31,8%, bet 2019. gadā (līdz novembrim) pat turoties zem 30 % </w:t>
            </w:r>
            <w:r w:rsidRPr="001851ED">
              <w:rPr>
                <w:rFonts w:ascii="Times New Roman" w:hAnsi="Times New Roman" w:cs="Times New Roman"/>
                <w:sz w:val="24"/>
              </w:rPr>
              <w:lastRenderedPageBreak/>
              <w:t xml:space="preserve">robežas (atlikto tiesas sēžu proporcija pret notikušajām – 28,3 %). </w:t>
            </w:r>
            <w:r w:rsidRPr="001851ED" w:rsidR="0011578A">
              <w:rPr>
                <w:rFonts w:ascii="Times New Roman" w:hAnsi="Times New Roman" w:cs="Times New Roman"/>
                <w:sz w:val="24"/>
              </w:rPr>
              <w:t xml:space="preserve">Līdz ar to, nosakot provizorisko Ekonomisko lietu tiesas noslodzi, nav pamats piemērot no vispārējās kārtības atšķirīgus noslodzes rādītājus. </w:t>
            </w:r>
          </w:p>
          <w:p w:rsidRPr="001851ED" w:rsidR="00B23BA2" w:rsidP="007F5CF3" w:rsidRDefault="00B23BA2" w14:paraId="237056E2" w14:textId="2CCE5828">
            <w:pPr>
              <w:spacing w:after="0" w:line="240" w:lineRule="auto"/>
              <w:jc w:val="both"/>
              <w:rPr>
                <w:rFonts w:ascii="Times New Roman" w:hAnsi="Times New Roman" w:eastAsia="Times New Roman" w:cs="Times New Roman"/>
                <w:sz w:val="24"/>
                <w:szCs w:val="24"/>
                <w:lang w:eastAsia="lv-LV"/>
              </w:rPr>
            </w:pPr>
            <w:proofErr w:type="gramStart"/>
            <w:r w:rsidRPr="0018115F">
              <w:rPr>
                <w:rFonts w:ascii="Times New Roman" w:hAnsi="Times New Roman" w:eastAsia="Times New Roman" w:cs="Times New Roman"/>
                <w:b/>
                <w:bCs/>
                <w:sz w:val="24"/>
                <w:szCs w:val="24"/>
                <w:lang w:eastAsia="lv-LV"/>
              </w:rPr>
              <w:t>Atbilstoši Tiesu administrācijas statistikai</w:t>
            </w:r>
            <w:r w:rsidRPr="0018115F" w:rsidR="00283F8D">
              <w:rPr>
                <w:rFonts w:ascii="Times New Roman" w:hAnsi="Times New Roman" w:eastAsia="Times New Roman" w:cs="Times New Roman"/>
                <w:b/>
                <w:bCs/>
                <w:sz w:val="24"/>
                <w:szCs w:val="24"/>
                <w:lang w:eastAsia="lv-LV"/>
              </w:rPr>
              <w:t xml:space="preserve"> analizējot 2018.</w:t>
            </w:r>
            <w:r w:rsidRPr="006519B9" w:rsidR="00F64FE5">
              <w:rPr>
                <w:rFonts w:ascii="Times New Roman" w:hAnsi="Times New Roman" w:eastAsia="Times New Roman" w:cs="Times New Roman"/>
                <w:b/>
                <w:bCs/>
                <w:sz w:val="24"/>
                <w:szCs w:val="24"/>
                <w:lang w:eastAsia="lv-LV"/>
              </w:rPr>
              <w:t xml:space="preserve"> </w:t>
            </w:r>
            <w:r w:rsidRPr="006519B9" w:rsidR="00283F8D">
              <w:rPr>
                <w:rFonts w:ascii="Times New Roman" w:hAnsi="Times New Roman" w:eastAsia="Times New Roman" w:cs="Times New Roman"/>
                <w:b/>
                <w:bCs/>
                <w:sz w:val="24"/>
                <w:szCs w:val="24"/>
                <w:lang w:eastAsia="lv-LV"/>
              </w:rPr>
              <w:t>gadā pabeigtās lietās Ekonomisko lietu</w:t>
            </w:r>
            <w:proofErr w:type="gramEnd"/>
            <w:r w:rsidRPr="006519B9" w:rsidR="00283F8D">
              <w:rPr>
                <w:rFonts w:ascii="Times New Roman" w:hAnsi="Times New Roman" w:eastAsia="Times New Roman" w:cs="Times New Roman"/>
                <w:b/>
                <w:bCs/>
                <w:sz w:val="24"/>
                <w:szCs w:val="24"/>
                <w:lang w:eastAsia="lv-LV"/>
              </w:rPr>
              <w:t xml:space="preserve"> tiesa gadā izskatītu aptuveni </w:t>
            </w:r>
            <w:r w:rsidR="007A3414">
              <w:rPr>
                <w:rFonts w:ascii="Times New Roman" w:hAnsi="Times New Roman" w:eastAsia="Times New Roman" w:cs="Times New Roman"/>
                <w:b/>
                <w:bCs/>
                <w:sz w:val="24"/>
                <w:szCs w:val="24"/>
                <w:lang w:eastAsia="lv-LV"/>
              </w:rPr>
              <w:t>21</w:t>
            </w:r>
            <w:r w:rsidRPr="006519B9" w:rsidR="007A3414">
              <w:rPr>
                <w:rFonts w:ascii="Times New Roman" w:hAnsi="Times New Roman" w:eastAsia="Times New Roman" w:cs="Times New Roman"/>
                <w:b/>
                <w:bCs/>
                <w:sz w:val="24"/>
                <w:szCs w:val="24"/>
                <w:lang w:eastAsia="lv-LV"/>
              </w:rPr>
              <w:t xml:space="preserve"> </w:t>
            </w:r>
            <w:r w:rsidRPr="006519B9" w:rsidR="00283F8D">
              <w:rPr>
                <w:rFonts w:ascii="Times New Roman" w:hAnsi="Times New Roman" w:eastAsia="Times New Roman" w:cs="Times New Roman"/>
                <w:b/>
                <w:bCs/>
                <w:sz w:val="24"/>
                <w:szCs w:val="24"/>
                <w:lang w:eastAsia="lv-LV"/>
              </w:rPr>
              <w:t xml:space="preserve">lietas, apelācijas instancē </w:t>
            </w:r>
            <w:r w:rsidR="007A3414">
              <w:rPr>
                <w:rFonts w:ascii="Times New Roman" w:hAnsi="Times New Roman" w:eastAsia="Times New Roman" w:cs="Times New Roman"/>
                <w:b/>
                <w:bCs/>
                <w:sz w:val="24"/>
                <w:szCs w:val="24"/>
                <w:lang w:eastAsia="lv-LV"/>
              </w:rPr>
              <w:t>14</w:t>
            </w:r>
            <w:r w:rsidRPr="006519B9" w:rsidR="007A3414">
              <w:rPr>
                <w:rFonts w:ascii="Times New Roman" w:hAnsi="Times New Roman" w:eastAsia="Times New Roman" w:cs="Times New Roman"/>
                <w:b/>
                <w:bCs/>
                <w:sz w:val="24"/>
                <w:szCs w:val="24"/>
                <w:lang w:eastAsia="lv-LV"/>
              </w:rPr>
              <w:t xml:space="preserve"> </w:t>
            </w:r>
            <w:r w:rsidRPr="006519B9" w:rsidR="00283F8D">
              <w:rPr>
                <w:rFonts w:ascii="Times New Roman" w:hAnsi="Times New Roman" w:eastAsia="Times New Roman" w:cs="Times New Roman"/>
                <w:b/>
                <w:bCs/>
                <w:sz w:val="24"/>
                <w:szCs w:val="24"/>
                <w:lang w:eastAsia="lv-LV"/>
              </w:rPr>
              <w:t>lietas</w:t>
            </w:r>
            <w:r w:rsidRPr="001851ED" w:rsidR="00283F8D">
              <w:rPr>
                <w:rFonts w:ascii="Times New Roman" w:hAnsi="Times New Roman" w:eastAsia="Times New Roman" w:cs="Times New Roman"/>
                <w:sz w:val="24"/>
                <w:szCs w:val="24"/>
                <w:lang w:eastAsia="lv-LV"/>
              </w:rPr>
              <w:t>.</w:t>
            </w:r>
          </w:p>
          <w:p w:rsidR="00283F8D" w:rsidP="007F5CF3" w:rsidRDefault="00283F8D" w14:paraId="056BA910" w14:textId="0E4177B3">
            <w:pPr>
              <w:spacing w:after="0" w:line="240" w:lineRule="auto"/>
              <w:jc w:val="both"/>
              <w:rPr>
                <w:rFonts w:ascii="Times New Roman" w:hAnsi="Times New Roman" w:eastAsia="Times New Roman" w:cs="Times New Roman"/>
                <w:b/>
                <w:bCs/>
                <w:sz w:val="24"/>
                <w:szCs w:val="24"/>
                <w:lang w:eastAsia="lv-LV"/>
              </w:rPr>
            </w:pPr>
          </w:p>
          <w:p w:rsidRPr="00283F8D" w:rsidR="00283F8D" w:rsidP="007F5CF3" w:rsidRDefault="00283F8D" w14:paraId="34923225" w14:textId="490A0B4D">
            <w:pPr>
              <w:spacing w:after="0" w:line="240" w:lineRule="auto"/>
              <w:jc w:val="center"/>
              <w:rPr>
                <w:rFonts w:ascii="Times New Roman" w:hAnsi="Times New Roman" w:cs="Times New Roman"/>
                <w:b/>
                <w:bCs/>
                <w:sz w:val="20"/>
                <w:szCs w:val="20"/>
              </w:rPr>
            </w:pPr>
            <w:r w:rsidRPr="00283F8D">
              <w:rPr>
                <w:rFonts w:ascii="Times New Roman" w:hAnsi="Times New Roman" w:cs="Times New Roman"/>
                <w:b/>
                <w:bCs/>
                <w:sz w:val="20"/>
                <w:szCs w:val="20"/>
              </w:rPr>
              <w:t xml:space="preserve">Statistika par </w:t>
            </w:r>
            <w:proofErr w:type="gramStart"/>
            <w:r w:rsidRPr="00283F8D">
              <w:rPr>
                <w:rFonts w:ascii="Times New Roman" w:hAnsi="Times New Roman" w:cs="Times New Roman"/>
                <w:b/>
                <w:bCs/>
                <w:sz w:val="20"/>
                <w:szCs w:val="20"/>
              </w:rPr>
              <w:t>2018.gadā</w:t>
            </w:r>
            <w:proofErr w:type="gramEnd"/>
            <w:r w:rsidRPr="00283F8D">
              <w:rPr>
                <w:rFonts w:ascii="Times New Roman" w:hAnsi="Times New Roman" w:cs="Times New Roman"/>
                <w:b/>
                <w:bCs/>
                <w:sz w:val="20"/>
                <w:szCs w:val="20"/>
              </w:rPr>
              <w:t xml:space="preserve"> pabeigtām lietām vidējo izskatīšanas ilgumu (</w:t>
            </w:r>
            <w:proofErr w:type="spellStart"/>
            <w:r w:rsidRPr="00283F8D">
              <w:rPr>
                <w:rFonts w:ascii="Times New Roman" w:hAnsi="Times New Roman" w:cs="Times New Roman"/>
                <w:b/>
                <w:bCs/>
                <w:sz w:val="20"/>
                <w:szCs w:val="20"/>
              </w:rPr>
              <w:t>mēn</w:t>
            </w:r>
            <w:proofErr w:type="spellEnd"/>
            <w:r w:rsidRPr="00283F8D">
              <w:rPr>
                <w:rFonts w:ascii="Times New Roman" w:hAnsi="Times New Roman" w:cs="Times New Roman"/>
                <w:b/>
                <w:bCs/>
                <w:sz w:val="20"/>
                <w:szCs w:val="20"/>
              </w:rPr>
              <w:t>.) un tiesas sēžu skaitu</w:t>
            </w:r>
          </w:p>
          <w:tbl>
            <w:tblPr>
              <w:tblW w:w="5473" w:type="dxa"/>
              <w:tblLayout w:type="fixed"/>
              <w:tblCellMar>
                <w:left w:w="0" w:type="dxa"/>
                <w:right w:w="0" w:type="dxa"/>
              </w:tblCellMar>
              <w:tblLook w:val="04A0" w:firstRow="1" w:lastRow="0" w:firstColumn="1" w:lastColumn="0" w:noHBand="0" w:noVBand="1"/>
            </w:tblPr>
            <w:tblGrid>
              <w:gridCol w:w="1946"/>
              <w:gridCol w:w="1365"/>
              <w:gridCol w:w="1186"/>
              <w:gridCol w:w="976"/>
            </w:tblGrid>
            <w:tr w:rsidRPr="00283F8D" w:rsidR="00283F8D" w:rsidTr="00283F8D" w14:paraId="72A8F80E" w14:textId="77777777">
              <w:trPr>
                <w:trHeight w:val="843"/>
              </w:trPr>
              <w:tc>
                <w:tcPr>
                  <w:tcW w:w="1946"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283F8D" w:rsidR="00283F8D" w:rsidP="007F5CF3" w:rsidRDefault="00283F8D" w14:paraId="679A73E4" w14:textId="77777777">
                  <w:pPr>
                    <w:spacing w:after="0" w:line="240" w:lineRule="auto"/>
                    <w:jc w:val="center"/>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Pants/instance</w:t>
                  </w:r>
                </w:p>
              </w:tc>
              <w:tc>
                <w:tcPr>
                  <w:tcW w:w="136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283F8D" w:rsidR="00283F8D" w:rsidP="007F5CF3" w:rsidRDefault="00283F8D" w14:paraId="2B5CEE19" w14:textId="77777777">
                  <w:pPr>
                    <w:spacing w:after="0" w:line="240" w:lineRule="auto"/>
                    <w:jc w:val="center"/>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Vidējais sēžu skaits</w:t>
                  </w:r>
                </w:p>
              </w:tc>
              <w:tc>
                <w:tcPr>
                  <w:tcW w:w="118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283F8D" w:rsidR="00283F8D" w:rsidP="007F5CF3" w:rsidRDefault="00283F8D" w14:paraId="27270568" w14:textId="77777777">
                  <w:pPr>
                    <w:spacing w:after="0" w:line="240" w:lineRule="auto"/>
                    <w:jc w:val="center"/>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Vidējais izskatīšanas ilgums (MĒN)</w:t>
                  </w:r>
                </w:p>
              </w:tc>
              <w:tc>
                <w:tcPr>
                  <w:tcW w:w="97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283F8D" w:rsidR="00283F8D" w:rsidP="007F5CF3" w:rsidRDefault="00283F8D" w14:paraId="1F0735D5" w14:textId="77777777">
                  <w:pPr>
                    <w:spacing w:after="0" w:line="240" w:lineRule="auto"/>
                    <w:jc w:val="center"/>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Lietu skaits</w:t>
                  </w:r>
                </w:p>
              </w:tc>
            </w:tr>
            <w:tr w:rsidRPr="00283F8D" w:rsidR="00283F8D" w:rsidTr="00283F8D" w14:paraId="7129C43D"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1851ED" w:rsidRDefault="00283F8D" w14:paraId="57411C75" w14:textId="77777777">
                  <w:pPr>
                    <w:spacing w:after="0" w:line="240" w:lineRule="auto"/>
                    <w:jc w:val="both"/>
                    <w:rPr>
                      <w:rFonts w:ascii="Times New Roman" w:hAnsi="Times New Roman" w:cs="Times New Roman"/>
                      <w:b/>
                      <w:bCs/>
                      <w:sz w:val="20"/>
                      <w:szCs w:val="20"/>
                      <w:lang w:eastAsia="lv-LV"/>
                    </w:rPr>
                  </w:pPr>
                  <w:r w:rsidRPr="00283F8D">
                    <w:rPr>
                      <w:rFonts w:ascii="Times New Roman" w:hAnsi="Times New Roman" w:cs="Times New Roman"/>
                      <w:b/>
                      <w:bCs/>
                      <w:sz w:val="20"/>
                      <w:szCs w:val="20"/>
                    </w:rPr>
                    <w:t>73.</w:t>
                  </w:r>
                  <w:r w:rsidRPr="00283F8D">
                    <w:rPr>
                      <w:rFonts w:ascii="Times New Roman" w:hAnsi="Times New Roman" w:cs="Times New Roman"/>
                      <w:b/>
                      <w:bCs/>
                      <w:sz w:val="20"/>
                      <w:szCs w:val="20"/>
                      <w:vertAlign w:val="superscript"/>
                    </w:rPr>
                    <w:t>1</w:t>
                  </w:r>
                  <w:r w:rsidRPr="00283F8D">
                    <w:rPr>
                      <w:rFonts w:ascii="Times New Roman" w:hAnsi="Times New Roman" w:cs="Times New Roman"/>
                      <w:b/>
                      <w:bCs/>
                      <w:sz w:val="20"/>
                      <w:szCs w:val="20"/>
                    </w:rPr>
                    <w:t xml:space="preserve"> (2)</w:t>
                  </w:r>
                  <w:r w:rsidRPr="00283F8D">
                    <w:rPr>
                      <w:rFonts w:ascii="Times New Roman" w:hAnsi="Times New Roman" w:cs="Times New Roman"/>
                      <w:sz w:val="20"/>
                      <w:szCs w:val="20"/>
                    </w:rPr>
                    <w:t xml:space="preserve"> Par masveida iznīcināšanas ieroču izgatavošanas, glabāšanas, pārvietošanas, lietošanas vai izplatīšanas finansēšanu, ja tā izdarīta lielā apmērā.</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77ED9994"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w:t>
                  </w:r>
                </w:p>
              </w:tc>
            </w:tr>
            <w:tr w:rsidRPr="00283F8D" w:rsidR="00283F8D" w:rsidTr="00283F8D" w14:paraId="1ADA5637"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A5A5391"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2644C1D0"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6CBFDC3"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4AD2FA54"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28DE5954"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452A2C76"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7DF87258"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3F47A51C"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3A9608DA"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4EB8FF99"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18115F" w:rsidRDefault="00283F8D" w14:paraId="7515C5F3" w14:textId="77777777">
                  <w:pPr>
                    <w:pStyle w:val="Vresteksts"/>
                    <w:jc w:val="both"/>
                    <w:rPr>
                      <w:rFonts w:ascii="Times New Roman" w:hAnsi="Times New Roman" w:cs="Times New Roman"/>
                      <w:b/>
                      <w:bCs/>
                      <w:lang w:eastAsia="lv-LV"/>
                    </w:rPr>
                  </w:pPr>
                  <w:r w:rsidRPr="00283F8D">
                    <w:rPr>
                      <w:rFonts w:ascii="Times New Roman" w:hAnsi="Times New Roman" w:cs="Times New Roman"/>
                      <w:b/>
                      <w:bCs/>
                    </w:rPr>
                    <w:t>79.</w:t>
                  </w:r>
                  <w:r w:rsidRPr="00283F8D">
                    <w:rPr>
                      <w:rFonts w:ascii="Times New Roman" w:hAnsi="Times New Roman" w:cs="Times New Roman"/>
                      <w:b/>
                      <w:bCs/>
                      <w:vertAlign w:val="superscript"/>
                    </w:rPr>
                    <w:t>2</w:t>
                  </w:r>
                  <w:r w:rsidRPr="00283F8D">
                    <w:rPr>
                      <w:rFonts w:ascii="Times New Roman" w:hAnsi="Times New Roman" w:cs="Times New Roman"/>
                      <w:b/>
                      <w:bCs/>
                    </w:rPr>
                    <w:t xml:space="preserve"> </w:t>
                  </w:r>
                  <w:r w:rsidRPr="00283F8D">
                    <w:rPr>
                      <w:rFonts w:ascii="Times New Roman" w:hAnsi="Times New Roman" w:cs="Times New Roman"/>
                      <w:b/>
                      <w:bCs/>
                      <w:lang w:eastAsia="lv-LV"/>
                    </w:rPr>
                    <w:t xml:space="preserve">(2) </w:t>
                  </w:r>
                  <w:r w:rsidRPr="00283F8D">
                    <w:rPr>
                      <w:rFonts w:ascii="Times New Roman" w:hAnsi="Times New Roman" w:cs="Times New Roman"/>
                      <w:lang w:eastAsia="lv-LV"/>
                    </w:rPr>
                    <w:t>P</w:t>
                  </w:r>
                  <w:r w:rsidRPr="00283F8D">
                    <w:rPr>
                      <w:rFonts w:ascii="Times New Roman" w:hAnsi="Times New Roman" w:cs="Times New Roman"/>
                    </w:rPr>
                    <w:t xml:space="preserve">ar terorisma finansēšanu, ja </w:t>
                  </w:r>
                  <w:proofErr w:type="gramStart"/>
                  <w:r w:rsidRPr="00283F8D">
                    <w:rPr>
                      <w:rFonts w:ascii="Times New Roman" w:hAnsi="Times New Roman" w:cs="Times New Roman"/>
                    </w:rPr>
                    <w:t>tā izdarīta lielā apmērā finansēšanu</w:t>
                  </w:r>
                  <w:proofErr w:type="gramEnd"/>
                  <w:r w:rsidRPr="00283F8D">
                    <w:rPr>
                      <w:rFonts w:ascii="Times New Roman" w:hAnsi="Times New Roman" w:cs="Times New Roman"/>
                    </w:rPr>
                    <w:t xml:space="preserve">, ja tā izdarīta lielā apmērā </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5F5804B2"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w:t>
                  </w:r>
                </w:p>
              </w:tc>
            </w:tr>
            <w:tr w:rsidRPr="00283F8D" w:rsidR="00283F8D" w:rsidTr="00283F8D" w14:paraId="566A6011"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2A326FBE"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BF599B9"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481735E8"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D7BEE1B"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1986212B"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49F45959"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E1477C2"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24331CF"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56DA8DFE"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18616DE6"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1851ED" w:rsidRDefault="00283F8D" w14:paraId="49B32492" w14:textId="5B58C3DC">
                  <w:pPr>
                    <w:pStyle w:val="tv2132"/>
                    <w:spacing w:line="240" w:lineRule="auto"/>
                    <w:ind w:firstLine="0"/>
                    <w:jc w:val="both"/>
                    <w:rPr>
                      <w:b/>
                      <w:bCs/>
                      <w:color w:val="auto"/>
                    </w:rPr>
                  </w:pPr>
                  <w:r w:rsidRPr="00283F8D">
                    <w:rPr>
                      <w:b/>
                      <w:bCs/>
                      <w:color w:val="auto"/>
                    </w:rPr>
                    <w:t>195.(2) par noziedzīgi iegūtu finanšu līdzekļu vai citas mantas legalizēšanu</w:t>
                  </w:r>
                  <w:r w:rsidRPr="00283F8D">
                    <w:rPr>
                      <w:color w:val="auto"/>
                    </w:rPr>
                    <w:t>, ja tās izdarījusi personu grupa pēc iepriekšējas vienošanās</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91500E" w:rsidR="00283F8D" w:rsidP="007F5CF3" w:rsidRDefault="00283F8D" w14:paraId="788EC67C" w14:textId="775EB56C">
                  <w:pPr>
                    <w:spacing w:after="0" w:line="240" w:lineRule="auto"/>
                    <w:jc w:val="right"/>
                    <w:rPr>
                      <w:rFonts w:ascii="Times New Roman" w:hAnsi="Times New Roman" w:cs="Times New Roman"/>
                      <w:b/>
                      <w:bCs/>
                      <w:sz w:val="20"/>
                      <w:szCs w:val="20"/>
                      <w:lang w:eastAsia="lv-LV"/>
                    </w:rPr>
                  </w:pPr>
                  <w:r w:rsidRPr="0091500E">
                    <w:rPr>
                      <w:rFonts w:ascii="Times New Roman" w:hAnsi="Times New Roman" w:cs="Times New Roman"/>
                      <w:b/>
                      <w:bCs/>
                      <w:sz w:val="20"/>
                      <w:szCs w:val="20"/>
                      <w:lang w:eastAsia="lv-LV"/>
                    </w:rPr>
                    <w:t>4</w:t>
                  </w:r>
                  <w:r w:rsidRPr="0091500E" w:rsidR="0091500E">
                    <w:rPr>
                      <w:rStyle w:val="Vresatsauce"/>
                      <w:b/>
                      <w:bCs/>
                    </w:rPr>
                    <w:footnoteReference w:id="1"/>
                  </w:r>
                </w:p>
              </w:tc>
            </w:tr>
            <w:tr w:rsidRPr="00283F8D" w:rsidR="00283F8D" w:rsidTr="00283F8D" w14:paraId="517B7D70"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CC1C4ED"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0ACB706"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5CF655FE"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14DD1EE"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5A859380"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098813C6"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446B3D7D"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122C4D7"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6</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0DE6638B"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4</w:t>
                  </w:r>
                </w:p>
              </w:tc>
            </w:tr>
            <w:tr w:rsidRPr="00283F8D" w:rsidR="00283F8D" w:rsidTr="00283F8D" w14:paraId="092DAA17"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1851ED" w:rsidRDefault="00283F8D" w14:paraId="517884B1" w14:textId="6E0678BD">
                  <w:pPr>
                    <w:spacing w:after="0" w:line="240" w:lineRule="auto"/>
                    <w:jc w:val="both"/>
                    <w:rPr>
                      <w:rFonts w:ascii="Times New Roman" w:hAnsi="Times New Roman" w:eastAsia="Times New Roman" w:cs="Times New Roman"/>
                      <w:sz w:val="20"/>
                      <w:szCs w:val="20"/>
                      <w:lang w:eastAsia="lv-LV"/>
                    </w:rPr>
                  </w:pPr>
                  <w:r w:rsidRPr="00283F8D">
                    <w:rPr>
                      <w:rFonts w:ascii="Times New Roman" w:hAnsi="Times New Roman" w:cs="Times New Roman"/>
                      <w:b/>
                      <w:bCs/>
                      <w:sz w:val="20"/>
                      <w:szCs w:val="20"/>
                      <w:lang w:eastAsia="lv-LV"/>
                    </w:rPr>
                    <w:t>195.(3)</w:t>
                  </w:r>
                  <w:r w:rsidRPr="00283F8D">
                    <w:rPr>
                      <w:rFonts w:ascii="Times New Roman" w:hAnsi="Times New Roman" w:eastAsia="Times New Roman" w:cs="Times New Roman"/>
                      <w:sz w:val="20"/>
                      <w:szCs w:val="20"/>
                      <w:lang w:eastAsia="lv-LV"/>
                    </w:rPr>
                    <w:t xml:space="preserve"> </w:t>
                  </w:r>
                  <w:r w:rsidRPr="00283F8D">
                    <w:rPr>
                      <w:rFonts w:ascii="Times New Roman" w:hAnsi="Times New Roman" w:eastAsia="Times New Roman" w:cs="Times New Roman"/>
                      <w:b/>
                      <w:bCs/>
                      <w:sz w:val="20"/>
                      <w:szCs w:val="20"/>
                      <w:lang w:eastAsia="lv-LV"/>
                    </w:rPr>
                    <w:t>p</w:t>
                  </w:r>
                  <w:r w:rsidRPr="00283F8D">
                    <w:rPr>
                      <w:rFonts w:ascii="Times New Roman" w:hAnsi="Times New Roman" w:cs="Times New Roman"/>
                      <w:b/>
                      <w:bCs/>
                      <w:sz w:val="20"/>
                      <w:szCs w:val="20"/>
                    </w:rPr>
                    <w:t>ar noziedzīgi iegūtu finanšu līdzekļu vai citas mantas legalizēšanu</w:t>
                  </w:r>
                  <w:r w:rsidRPr="00283F8D">
                    <w:rPr>
                      <w:rFonts w:ascii="Times New Roman" w:hAnsi="Times New Roman" w:eastAsia="Times New Roman" w:cs="Times New Roman"/>
                      <w:sz w:val="20"/>
                      <w:szCs w:val="20"/>
                      <w:lang w:eastAsia="lv-LV"/>
                    </w:rPr>
                    <w:t>, ja tās izdarītas lielā apmērā vai ja tās izdarījusi organizēta grupa</w:t>
                  </w:r>
                </w:p>
                <w:p w:rsidRPr="00283F8D" w:rsidR="00283F8D" w:rsidP="007F5CF3" w:rsidRDefault="00283F8D" w14:paraId="1787696C" w14:textId="77777777">
                  <w:pPr>
                    <w:spacing w:after="0" w:line="240" w:lineRule="auto"/>
                    <w:jc w:val="right"/>
                    <w:rPr>
                      <w:rFonts w:ascii="Times New Roman" w:hAnsi="Times New Roman" w:cs="Times New Roman"/>
                      <w:b/>
                      <w:bCs/>
                      <w:sz w:val="20"/>
                      <w:szCs w:val="20"/>
                      <w:lang w:eastAsia="lv-LV"/>
                    </w:rPr>
                  </w:pP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40E41606"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9</w:t>
                  </w:r>
                </w:p>
              </w:tc>
            </w:tr>
            <w:tr w:rsidRPr="00283F8D" w:rsidR="00283F8D" w:rsidTr="00283F8D" w14:paraId="26650686"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37E2F9E4"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199968E3"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5</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2D5983C3"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11,5</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5E20ABA0"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4</w:t>
                  </w:r>
                </w:p>
              </w:tc>
            </w:tr>
            <w:tr w:rsidRPr="00283F8D" w:rsidR="00283F8D" w:rsidTr="00283F8D" w14:paraId="36627E41"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0CB7FDA7"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098AA146"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4,3</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2659B759"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15</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5ADB9EA8"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5</w:t>
                  </w:r>
                </w:p>
              </w:tc>
            </w:tr>
            <w:tr w:rsidRPr="00283F8D" w:rsidR="00283F8D" w:rsidTr="00283F8D" w14:paraId="781D4312"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7B925AAD" w14:textId="0952CD0B">
                  <w:pPr>
                    <w:spacing w:after="0" w:line="240" w:lineRule="auto"/>
                    <w:jc w:val="both"/>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 xml:space="preserve">198.(2) </w:t>
                  </w:r>
                  <w:r w:rsidRPr="00283F8D">
                    <w:rPr>
                      <w:rFonts w:ascii="Times New Roman" w:hAnsi="Times New Roman" w:cs="Times New Roman"/>
                      <w:b/>
                      <w:bCs/>
                      <w:sz w:val="20"/>
                      <w:szCs w:val="20"/>
                    </w:rPr>
                    <w:t xml:space="preserve">Neatļauta labumu pieņemšana </w:t>
                  </w:r>
                  <w:proofErr w:type="gramStart"/>
                  <w:r w:rsidRPr="00283F8D">
                    <w:rPr>
                      <w:rFonts w:ascii="Times New Roman" w:hAnsi="Times New Roman" w:cs="Times New Roman"/>
                      <w:sz w:val="20"/>
                      <w:szCs w:val="20"/>
                    </w:rPr>
                    <w:t>(</w:t>
                  </w:r>
                  <w:proofErr w:type="gramEnd"/>
                  <w:r w:rsidR="0018115F">
                    <w:rPr>
                      <w:rFonts w:ascii="Times New Roman" w:hAnsi="Times New Roman" w:cs="Times New Roman"/>
                      <w:sz w:val="20"/>
                      <w:szCs w:val="20"/>
                    </w:rPr>
                    <w:t>p</w:t>
                  </w:r>
                  <w:r w:rsidRPr="00283F8D">
                    <w:rPr>
                      <w:rFonts w:ascii="Times New Roman" w:hAnsi="Times New Roman" w:cs="Times New Roman"/>
                      <w:sz w:val="20"/>
                      <w:szCs w:val="20"/>
                    </w:rPr>
                    <w:t>ar materiālu vērtību, mantiska vai citāda rakstura labumu, to piedāvājuma prettiesisku pieņemšanu, ko pats vai ar starpnieku izdarījis uzņēmuma (uzņēmējsabiedrības) vai organizācijas darbinieks vai persona, kas uz likuma vai tiesiska darījuma pamata pilnvarota vest citas personas lietas, par kādas darbības izdarīšanu vai neizdarīšanu, izmantojot savas pilnvaras, neatkarīgi no tā, vai pieņemtās materiālās vērtības, mantiska vai citāda rakstura labumi domāti šai personai vai jebkurai citai personai, ja tās izdarītas lielā apmērā vai tās izdarījusi personu grupa pēc iepriekšējas vienošanās, vai materiālas vērtības, mantisks vai citāda rakstura labums pieprasīts</w:t>
                  </w:r>
                  <w:r w:rsidR="0018115F">
                    <w:rPr>
                      <w:rFonts w:ascii="Times New Roman" w:hAnsi="Times New Roman" w:cs="Times New Roman"/>
                      <w:sz w:val="20"/>
                      <w:szCs w:val="20"/>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38ADA199"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3</w:t>
                  </w:r>
                </w:p>
              </w:tc>
            </w:tr>
            <w:tr w:rsidRPr="00283F8D" w:rsidR="00283F8D" w:rsidTr="00283F8D" w14:paraId="64EAE8AC"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15A2F73D"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27F38FA4"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2</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45DA4E0F"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4,1</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2F17A3A"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w:t>
                  </w:r>
                </w:p>
              </w:tc>
            </w:tr>
            <w:tr w:rsidRPr="00283F8D" w:rsidR="00283F8D" w:rsidTr="00283F8D" w14:paraId="7B1D7CE4"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22ECF404"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759F5A5"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10</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5131C3FC"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16,3</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D387CED"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2</w:t>
                  </w:r>
                </w:p>
              </w:tc>
            </w:tr>
            <w:tr w:rsidRPr="00283F8D" w:rsidR="00283F8D" w:rsidTr="00283F8D" w14:paraId="0BC1F076"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1851ED" w:rsidRDefault="00283F8D" w14:paraId="354D2D24" w14:textId="4890E581">
                  <w:pPr>
                    <w:tabs>
                      <w:tab w:val="left" w:pos="3960"/>
                    </w:tabs>
                    <w:spacing w:after="0" w:line="240" w:lineRule="auto"/>
                    <w:jc w:val="both"/>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lastRenderedPageBreak/>
                    <w:t xml:space="preserve">198.(3) </w:t>
                  </w:r>
                  <w:r w:rsidRPr="00283F8D">
                    <w:rPr>
                      <w:rFonts w:ascii="Times New Roman" w:hAnsi="Times New Roman" w:cs="Times New Roman"/>
                      <w:b/>
                      <w:bCs/>
                      <w:sz w:val="20"/>
                      <w:szCs w:val="20"/>
                    </w:rPr>
                    <w:t xml:space="preserve">Neatļauta labumu pieņemšana </w:t>
                  </w:r>
                  <w:proofErr w:type="gramStart"/>
                  <w:r w:rsidRPr="00283F8D">
                    <w:rPr>
                      <w:rFonts w:ascii="Times New Roman" w:hAnsi="Times New Roman" w:cs="Times New Roman"/>
                      <w:sz w:val="20"/>
                      <w:szCs w:val="20"/>
                    </w:rPr>
                    <w:t>(</w:t>
                  </w:r>
                  <w:proofErr w:type="gramEnd"/>
                  <w:r w:rsidR="0018115F">
                    <w:rPr>
                      <w:rFonts w:ascii="Times New Roman" w:hAnsi="Times New Roman" w:cs="Times New Roman"/>
                      <w:sz w:val="20"/>
                      <w:szCs w:val="20"/>
                    </w:rPr>
                    <w:t>p</w:t>
                  </w:r>
                  <w:r w:rsidRPr="00283F8D">
                    <w:rPr>
                      <w:rFonts w:ascii="Times New Roman" w:hAnsi="Times New Roman" w:cs="Times New Roman"/>
                      <w:sz w:val="20"/>
                      <w:szCs w:val="20"/>
                    </w:rPr>
                    <w:t>ar materiālu vērtību, mantiska vai citāda rakstura labumu, to piedāvājuma prettiesisku pieņemšanu, ko pats vai ar starpnieku izdarījis uzņēmuma (uzņēmējsabiedrības) vai organizācijas atbildīgs darbinieks vai uzņēmuma (uzņēmējsabiedrības) vai organizācijas pilnvarota tāda pati persona, vai persona, kas uz likuma vai tiesiska darījuma pamata pilnvarota izšķirt strīdus vai pieņemt saistošus lēmumus, bet nav valsts amatpersona, par kādas darbības izdarīšanu vai neizdarīšanu, izmantojot savas pilnvaras, neatkarīgi no tā, vai pieņemtās materiālās vērtības, mantiska vai citāda rakstura labumi domāti šai personai vai jebkurai citai personai</w:t>
                  </w:r>
                  <w:r w:rsidR="0018115F">
                    <w:rPr>
                      <w:rFonts w:ascii="Times New Roman" w:hAnsi="Times New Roman" w:cs="Times New Roman"/>
                      <w:sz w:val="20"/>
                      <w:szCs w:val="20"/>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6CC990B9"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0</w:t>
                  </w:r>
                </w:p>
              </w:tc>
            </w:tr>
            <w:tr w:rsidRPr="00283F8D" w:rsidR="00283F8D" w:rsidTr="00283F8D" w14:paraId="2D854DFA"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2A329E09"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2E57777"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824F2E9"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C87B706"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0</w:t>
                  </w:r>
                </w:p>
              </w:tc>
            </w:tr>
            <w:tr w:rsidRPr="00283F8D" w:rsidR="00283F8D" w:rsidTr="00283F8D" w14:paraId="250E37E5"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6E0D3FC4"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0D543B24"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36D8E25"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4CF318E0"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0</w:t>
                  </w:r>
                </w:p>
              </w:tc>
            </w:tr>
            <w:tr w:rsidRPr="00283F8D" w:rsidR="00283F8D" w:rsidTr="00283F8D" w14:paraId="43925BA3"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2D8322F6" w14:textId="0A11331C">
                  <w:pPr>
                    <w:spacing w:after="0" w:line="240" w:lineRule="auto"/>
                    <w:jc w:val="both"/>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 xml:space="preserve">198.(4) </w:t>
                  </w:r>
                  <w:r w:rsidRPr="00283F8D">
                    <w:rPr>
                      <w:rFonts w:ascii="Times New Roman" w:hAnsi="Times New Roman" w:cs="Times New Roman"/>
                      <w:b/>
                      <w:bCs/>
                      <w:sz w:val="20"/>
                      <w:szCs w:val="20"/>
                    </w:rPr>
                    <w:t xml:space="preserve">Neatļauta labumu pieņemšana </w:t>
                  </w:r>
                  <w:proofErr w:type="gramStart"/>
                  <w:r w:rsidRPr="00283F8D">
                    <w:rPr>
                      <w:rFonts w:ascii="Times New Roman" w:hAnsi="Times New Roman" w:cs="Times New Roman"/>
                      <w:sz w:val="20"/>
                      <w:szCs w:val="20"/>
                    </w:rPr>
                    <w:t>(</w:t>
                  </w:r>
                  <w:proofErr w:type="gramEnd"/>
                  <w:r w:rsidR="0018115F">
                    <w:rPr>
                      <w:rFonts w:ascii="Times New Roman" w:hAnsi="Times New Roman" w:cs="Times New Roman"/>
                      <w:sz w:val="20"/>
                      <w:szCs w:val="20"/>
                    </w:rPr>
                    <w:t>p</w:t>
                  </w:r>
                  <w:r w:rsidRPr="00283F8D">
                    <w:rPr>
                      <w:rFonts w:ascii="Times New Roman" w:hAnsi="Times New Roman" w:cs="Times New Roman"/>
                      <w:sz w:val="20"/>
                      <w:szCs w:val="20"/>
                    </w:rPr>
                    <w:t>ar materiālu vērtību, mantiska vai citāda rakstura labumu, to piedāvājuma prettiesisku pieņemšanu, ko pats vai ar starpnieku izdarījis uzņēmuma (uzņēmējsabiedrības) vai organizācijas atbildīgs darbinieks vai uzņēmuma (uzņēmējsabiedrības) vai organizācijas pilnvarota tāda pati persona, vai persona, kas uz likuma vai tiesiska darījuma pamata pilnvarota izšķirt strīdus vai pieņemt saistošus lēmumus, bet nav valsts amatpersona, par kādas darbības izdarīšanu vai neizdarīšanu, izmantojot savas pilnvaras, neatkarīgi no tā, vai pieņemtās materiālās vērtības, mantiska vai citāda rakstura labumi domāti šai personai vai jebkurai citai personai, ja tās izdarītas lielā apmērā vai tās izdarījusi personu grupa pēc iepriekšējas vienošanās, vai materiālas vērtības, mantisks vai citāda rakstura labums pieprasīts</w:t>
                  </w:r>
                  <w:r w:rsidR="0018115F">
                    <w:rPr>
                      <w:rFonts w:ascii="Times New Roman" w:hAnsi="Times New Roman" w:cs="Times New Roman"/>
                      <w:sz w:val="20"/>
                      <w:szCs w:val="20"/>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1AE0F7E2"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1</w:t>
                  </w:r>
                </w:p>
              </w:tc>
            </w:tr>
            <w:tr w:rsidRPr="00283F8D" w:rsidR="00283F8D" w:rsidTr="00283F8D" w14:paraId="54EC2938"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0D26171"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01F1151B"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2</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18C35340"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17,8</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185D78B3"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w:t>
                  </w:r>
                </w:p>
              </w:tc>
            </w:tr>
            <w:tr w:rsidRPr="00283F8D" w:rsidR="00283F8D" w:rsidTr="00283F8D" w14:paraId="539AC66C"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02F61A0C"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651E386"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E92691D"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51D781C8"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0</w:t>
                  </w:r>
                </w:p>
              </w:tc>
            </w:tr>
            <w:tr w:rsidRPr="00283F8D" w:rsidR="00283F8D" w:rsidTr="00283F8D" w14:paraId="5C32BF33"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73BB053B" w14:textId="1A776215">
                  <w:pPr>
                    <w:spacing w:after="0" w:line="240" w:lineRule="auto"/>
                    <w:jc w:val="both"/>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 xml:space="preserve">199.(2) </w:t>
                  </w:r>
                  <w:r w:rsidRPr="00283F8D">
                    <w:rPr>
                      <w:rFonts w:ascii="Times New Roman" w:hAnsi="Times New Roman" w:cs="Times New Roman"/>
                      <w:b/>
                      <w:bCs/>
                      <w:sz w:val="20"/>
                      <w:szCs w:val="20"/>
                    </w:rPr>
                    <w:t>Komerciālā uzpirkšana</w:t>
                  </w:r>
                  <w:r w:rsidRPr="00283F8D">
                    <w:rPr>
                      <w:rFonts w:ascii="Arial" w:hAnsi="Arial" w:cs="Arial"/>
                      <w:b/>
                      <w:bCs/>
                      <w:sz w:val="20"/>
                      <w:szCs w:val="20"/>
                    </w:rPr>
                    <w:t xml:space="preserve"> </w:t>
                  </w:r>
                  <w:r w:rsidRPr="001851ED">
                    <w:rPr>
                      <w:rFonts w:ascii="Times New Roman" w:hAnsi="Times New Roman" w:cs="Times New Roman"/>
                      <w:sz w:val="20"/>
                      <w:szCs w:val="20"/>
                    </w:rPr>
                    <w:t>(</w:t>
                  </w:r>
                  <w:r w:rsidRPr="001851ED" w:rsidR="0018115F">
                    <w:rPr>
                      <w:rFonts w:ascii="Times New Roman" w:hAnsi="Times New Roman" w:cs="Times New Roman"/>
                      <w:sz w:val="20"/>
                      <w:szCs w:val="20"/>
                    </w:rPr>
                    <w:t>p</w:t>
                  </w:r>
                  <w:r w:rsidRPr="0018115F">
                    <w:rPr>
                      <w:rFonts w:ascii="Times New Roman" w:hAnsi="Times New Roman" w:cs="Times New Roman"/>
                      <w:sz w:val="20"/>
                      <w:szCs w:val="20"/>
                    </w:rPr>
                    <w:t>ar</w:t>
                  </w:r>
                  <w:r w:rsidRPr="00283F8D">
                    <w:rPr>
                      <w:rFonts w:ascii="Times New Roman" w:hAnsi="Times New Roman" w:cs="Times New Roman"/>
                      <w:sz w:val="20"/>
                      <w:szCs w:val="20"/>
                    </w:rPr>
                    <w:t xml:space="preserve"> materiālu vērtību, mantiska vai citāda rakstura labumu piedāvāšanu vai nodošanu personiski vai ar starpnieku uzņēmuma (uzņēmējsabiedrības) vai organizācijas darbiniekam vai personai, kas uz likuma vai tiesiska darījuma pamata pilnvarota vest citas personas lietas, uzņēmuma (uzņēmējsabiedrības) vai organizācijas atbildīgam darbiniekam vai uzņēmuma </w:t>
                  </w:r>
                  <w:proofErr w:type="gramStart"/>
                  <w:r w:rsidRPr="00283F8D">
                    <w:rPr>
                      <w:rFonts w:ascii="Times New Roman" w:hAnsi="Times New Roman" w:cs="Times New Roman"/>
                      <w:sz w:val="20"/>
                      <w:szCs w:val="20"/>
                    </w:rPr>
                    <w:t>(</w:t>
                  </w:r>
                  <w:proofErr w:type="gramEnd"/>
                  <w:r w:rsidRPr="00283F8D">
                    <w:rPr>
                      <w:rFonts w:ascii="Times New Roman" w:hAnsi="Times New Roman" w:cs="Times New Roman"/>
                      <w:sz w:val="20"/>
                      <w:szCs w:val="20"/>
                    </w:rPr>
                    <w:t>uzņēmējsabiedrības) vai organizācijas pilnvarotai tādai pašai personai, vai personai, kas uz likuma vai tiesiska darījuma pamata pilnvarota izšķirt strīdus, lai tā, izmantojot savas pilnvaras, izdarītu vai neizdarītu kādu darbību, neatkarīgi no tā, vai materiālās vērtības, mantiska vai citāda rakstura labumi domāti šai vai jebkurai citai personai, ja tās izdarītas lielā apmērā</w:t>
                  </w:r>
                  <w:r w:rsidR="0018115F">
                    <w:rPr>
                      <w:rFonts w:ascii="Times New Roman" w:hAnsi="Times New Roman" w:cs="Times New Roman"/>
                      <w:sz w:val="20"/>
                      <w:szCs w:val="20"/>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68C4AD21"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1</w:t>
                  </w:r>
                </w:p>
              </w:tc>
            </w:tr>
            <w:tr w:rsidRPr="00283F8D" w:rsidR="00283F8D" w:rsidTr="00283F8D" w14:paraId="51FE3C56"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21DDFD2B" w14:textId="4393AA80">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5C4614D7" w14:textId="50BED239">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17</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079A5B1E" w14:textId="28E41322">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22,5</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47A64DAA" w14:textId="69F9A2B6">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w:t>
                  </w:r>
                </w:p>
              </w:tc>
            </w:tr>
            <w:tr w:rsidRPr="00283F8D" w:rsidR="00283F8D" w:rsidTr="009C6894" w14:paraId="105883F4"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215D9752" w14:textId="08B2B513">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1E82E3BB" w14:textId="43B81963">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1E674697" w14:textId="0318D385">
                  <w:pPr>
                    <w:spacing w:after="0" w:line="240" w:lineRule="auto"/>
                    <w:jc w:val="right"/>
                    <w:rPr>
                      <w:rFonts w:ascii="Times New Roman" w:hAnsi="Times New Roman" w:cs="Times New Roman"/>
                      <w:sz w:val="20"/>
                      <w:szCs w:val="20"/>
                      <w:lang w:eastAsia="lv-LV"/>
                    </w:rPr>
                  </w:pP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B0BD788" w14:textId="1300C985">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759ECA88"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1851ED" w:rsidRDefault="00283F8D" w14:paraId="7E7DBD56" w14:textId="77777777">
                  <w:pPr>
                    <w:spacing w:after="0" w:line="240" w:lineRule="auto"/>
                    <w:jc w:val="both"/>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320.(3)</w:t>
                  </w:r>
                  <w:r w:rsidRPr="00283F8D">
                    <w:rPr>
                      <w:rFonts w:ascii="Times New Roman" w:hAnsi="Times New Roman" w:cs="Times New Roman"/>
                      <w:sz w:val="20"/>
                      <w:szCs w:val="20"/>
                    </w:rPr>
                    <w:t xml:space="preserve"> </w:t>
                  </w:r>
                  <w:r w:rsidRPr="00283F8D">
                    <w:rPr>
                      <w:rFonts w:ascii="Times New Roman" w:hAnsi="Times New Roman" w:cs="Times New Roman"/>
                      <w:b/>
                      <w:bCs/>
                      <w:sz w:val="20"/>
                      <w:szCs w:val="20"/>
                    </w:rPr>
                    <w:t>Par kukuļņemšanu</w:t>
                  </w:r>
                  <w:r w:rsidRPr="00283F8D">
                    <w:rPr>
                      <w:rFonts w:ascii="Times New Roman" w:hAnsi="Times New Roman" w:cs="Times New Roman"/>
                      <w:sz w:val="20"/>
                      <w:szCs w:val="20"/>
                    </w:rPr>
                    <w:t>, ja tās izdarītas lielā apmērā vai ja tās izdarījusi personu grupa pēc iepriekšējas vienošanās, vai ja kukulis pieņemts pēc tā pieprasīšanas</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38D59AC2"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13</w:t>
                  </w:r>
                </w:p>
              </w:tc>
            </w:tr>
            <w:tr w:rsidRPr="00283F8D" w:rsidR="00283F8D" w:rsidTr="00283F8D" w14:paraId="75E4E318"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67CCBD3D"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3484B47D"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7,2</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620CE564"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11,2</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23C92032"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6</w:t>
                  </w:r>
                </w:p>
              </w:tc>
            </w:tr>
            <w:tr w:rsidRPr="00283F8D" w:rsidR="00283F8D" w:rsidTr="00283F8D" w14:paraId="15FDAF3D"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68E9141D" w14:textId="77777777">
                  <w:pPr>
                    <w:spacing w:after="0" w:line="240" w:lineRule="auto"/>
                    <w:ind w:firstLine="200"/>
                    <w:jc w:val="right"/>
                    <w:rPr>
                      <w:rFonts w:ascii="Times New Roman" w:hAnsi="Times New Roman" w:cs="Times New Roman"/>
                      <w:sz w:val="20"/>
                      <w:szCs w:val="20"/>
                      <w:lang w:eastAsia="lv-LV"/>
                    </w:rPr>
                  </w:pPr>
                  <w:bookmarkStart w:name="_GoBack" w:id="2"/>
                  <w:bookmarkEnd w:id="2"/>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50B59B3D"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9,6</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621152EB"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28,8</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4DA6E074"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7</w:t>
                  </w:r>
                </w:p>
              </w:tc>
            </w:tr>
            <w:tr w:rsidRPr="00283F8D" w:rsidR="00283F8D" w:rsidTr="00283F8D" w14:paraId="097AE39E"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1851ED" w:rsidRDefault="00283F8D" w14:paraId="40387C9E" w14:textId="70FA7726">
                  <w:pPr>
                    <w:spacing w:after="0" w:line="240" w:lineRule="auto"/>
                    <w:jc w:val="both"/>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lastRenderedPageBreak/>
                    <w:t>320.(4) Par</w:t>
                  </w:r>
                  <w:r w:rsidRPr="00283F8D">
                    <w:rPr>
                      <w:rFonts w:ascii="Times New Roman" w:hAnsi="Times New Roman" w:eastAsia="Times New Roman" w:cs="Times New Roman"/>
                      <w:b/>
                      <w:bCs/>
                      <w:sz w:val="20"/>
                      <w:szCs w:val="20"/>
                      <w:lang w:eastAsia="lv-LV"/>
                    </w:rPr>
                    <w:t xml:space="preserve"> kukuļņemšanu</w:t>
                  </w:r>
                  <w:r w:rsidRPr="00283F8D">
                    <w:rPr>
                      <w:rFonts w:ascii="Times New Roman" w:hAnsi="Times New Roman" w:eastAsia="Times New Roman" w:cs="Times New Roman"/>
                      <w:sz w:val="20"/>
                      <w:szCs w:val="20"/>
                      <w:lang w:eastAsia="lv-LV"/>
                    </w:rPr>
                    <w:t>, ja tās izdarījusi organizēta grupa vai valsts amatpersona, kas ieņem atbildīgu stāvokli, vai ja kukulis pieņemts pēc tā izspiešanas</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5211A1D9"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0</w:t>
                  </w:r>
                </w:p>
              </w:tc>
            </w:tr>
            <w:tr w:rsidRPr="00283F8D" w:rsidR="00283F8D" w:rsidTr="00283F8D" w14:paraId="52AB5765"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4A7AD973"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5F4DB54"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D8F1B73"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61D073B"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4AF87D2E"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1244AC5D"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6F952A1F"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487DEC42"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21DD89B4"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D00369" w:rsidR="007266EA" w:rsidTr="00ED5EDB" w14:paraId="57242078"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D00369" w:rsidR="007266EA" w:rsidP="001851ED" w:rsidRDefault="007266EA" w14:paraId="4D2A36DD" w14:textId="6F1C0B13">
                  <w:pPr>
                    <w:spacing w:after="0" w:line="240" w:lineRule="auto"/>
                    <w:jc w:val="both"/>
                    <w:rPr>
                      <w:rFonts w:ascii="Times New Roman" w:hAnsi="Times New Roman" w:cs="Times New Roman"/>
                      <w:b/>
                      <w:bCs/>
                      <w:sz w:val="20"/>
                      <w:szCs w:val="20"/>
                      <w:lang w:eastAsia="lv-LV"/>
                    </w:rPr>
                  </w:pPr>
                  <w:bookmarkStart w:name="_Hlk27380356" w:id="3"/>
                  <w:r w:rsidRPr="00D00369">
                    <w:rPr>
                      <w:rFonts w:ascii="Times New Roman" w:hAnsi="Times New Roman" w:cs="Times New Roman"/>
                      <w:b/>
                      <w:bCs/>
                      <w:sz w:val="20"/>
                      <w:szCs w:val="20"/>
                      <w:lang w:eastAsia="lv-LV"/>
                    </w:rPr>
                    <w:t>321. (2) Par kukuļa piesavināšanos</w:t>
                  </w:r>
                  <w:r w:rsidRPr="001851ED">
                    <w:rPr>
                      <w:rFonts w:ascii="Times New Roman" w:hAnsi="Times New Roman" w:cs="Times New Roman"/>
                      <w:sz w:val="20"/>
                      <w:szCs w:val="20"/>
                      <w:lang w:eastAsia="lv-LV"/>
                    </w:rPr>
                    <w:t>,</w:t>
                  </w:r>
                  <w:r w:rsidRPr="001851ED">
                    <w:rPr>
                      <w:rFonts w:ascii="Times New Roman" w:hAnsi="Times New Roman" w:cs="Times New Roman"/>
                      <w:sz w:val="20"/>
                      <w:szCs w:val="20"/>
                    </w:rPr>
                    <w:t xml:space="preserve"> ko valsts amatpersona saņēmusi nodošanai citai valsts amatpersonai vai ko tā pieņēmusi, uzdodoties par citu valsts amatpersonu</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7266EA" w:rsidP="00512F96" w:rsidRDefault="007266EA" w14:paraId="67879320" w14:textId="21E1D542">
                  <w:pPr>
                    <w:spacing w:after="0" w:line="240" w:lineRule="auto"/>
                    <w:jc w:val="right"/>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1</w:t>
                  </w:r>
                </w:p>
              </w:tc>
            </w:tr>
            <w:tr w:rsidRPr="00D00369" w:rsidR="007266EA" w:rsidTr="00283F8D" w14:paraId="72984A6E"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D00369" w:rsidR="007266EA" w:rsidP="00D00369" w:rsidRDefault="007266EA" w14:paraId="33A514D8" w14:textId="6A12AD78">
                  <w:pPr>
                    <w:spacing w:after="0" w:line="240" w:lineRule="auto"/>
                    <w:ind w:firstLine="200"/>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7266EA" w:rsidP="00D00369" w:rsidRDefault="00512F96" w14:paraId="5F1D73EA" w14:textId="5336186F">
                  <w:pPr>
                    <w:spacing w:after="0" w:line="24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7266EA" w:rsidP="00D00369" w:rsidRDefault="00512F96" w14:paraId="07F4C2DC" w14:textId="358BD18D">
                  <w:pPr>
                    <w:spacing w:after="0" w:line="24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7266EA" w:rsidP="00512F96" w:rsidRDefault="007266EA" w14:paraId="53E42625" w14:textId="6FBF1A78">
                  <w:pPr>
                    <w:spacing w:after="0" w:line="240" w:lineRule="auto"/>
                    <w:jc w:val="right"/>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1</w:t>
                  </w:r>
                </w:p>
              </w:tc>
            </w:tr>
            <w:tr w:rsidRPr="00D00369" w:rsidR="007266EA" w:rsidTr="00283F8D" w14:paraId="1D89F2F6"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D00369" w:rsidR="007266EA" w:rsidP="00D00369" w:rsidRDefault="007266EA" w14:paraId="0E250757" w14:textId="5781E010">
                  <w:pPr>
                    <w:spacing w:after="0" w:line="240" w:lineRule="auto"/>
                    <w:ind w:firstLine="200"/>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7266EA" w:rsidP="00D00369" w:rsidRDefault="00512F96" w14:paraId="3D975C63" w14:textId="5D5436EF">
                  <w:pPr>
                    <w:spacing w:after="0" w:line="24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7266EA" w:rsidP="00D00369" w:rsidRDefault="00512F96" w14:paraId="72C01C40" w14:textId="02CC5C26">
                  <w:pPr>
                    <w:spacing w:after="0" w:line="24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7266EA" w:rsidP="00512F96" w:rsidRDefault="007266EA" w14:paraId="4F08BEBB" w14:textId="77777777">
                  <w:pPr>
                    <w:spacing w:after="0" w:line="240" w:lineRule="auto"/>
                    <w:jc w:val="right"/>
                    <w:rPr>
                      <w:rFonts w:ascii="Times New Roman" w:hAnsi="Times New Roman" w:cs="Times New Roman"/>
                      <w:b/>
                      <w:bCs/>
                      <w:sz w:val="20"/>
                      <w:szCs w:val="20"/>
                      <w:lang w:eastAsia="lv-LV"/>
                    </w:rPr>
                  </w:pPr>
                </w:p>
              </w:tc>
            </w:tr>
            <w:tr w:rsidRPr="00D00369" w:rsidR="007266EA" w:rsidTr="00ED5EDB" w14:paraId="559DC8D8"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D00369" w:rsidR="007266EA" w:rsidP="001851ED" w:rsidRDefault="007266EA" w14:paraId="12C040CD" w14:textId="53B9DD7F">
                  <w:pPr>
                    <w:spacing w:after="0" w:line="240" w:lineRule="auto"/>
                    <w:jc w:val="both"/>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321. (3)</w:t>
                  </w:r>
                  <w:r w:rsidRPr="00D00369" w:rsidR="00D00369">
                    <w:rPr>
                      <w:rFonts w:ascii="Times New Roman" w:hAnsi="Times New Roman" w:cs="Times New Roman"/>
                      <w:b/>
                      <w:bCs/>
                      <w:sz w:val="20"/>
                      <w:szCs w:val="20"/>
                      <w:lang w:eastAsia="lv-LV"/>
                    </w:rPr>
                    <w:t xml:space="preserve"> Par kukuļa piesavināšanos</w:t>
                  </w:r>
                  <w:r w:rsidRPr="001851ED" w:rsidR="00D00369">
                    <w:rPr>
                      <w:rFonts w:ascii="Times New Roman" w:hAnsi="Times New Roman" w:cs="Times New Roman"/>
                      <w:sz w:val="20"/>
                      <w:szCs w:val="20"/>
                      <w:lang w:eastAsia="lv-LV"/>
                    </w:rPr>
                    <w:t>,</w:t>
                  </w:r>
                  <w:r w:rsidRPr="001851ED">
                    <w:rPr>
                      <w:rFonts w:ascii="Times New Roman" w:hAnsi="Times New Roman" w:cs="Times New Roman"/>
                      <w:sz w:val="20"/>
                      <w:szCs w:val="20"/>
                      <w:lang w:eastAsia="lv-LV"/>
                    </w:rPr>
                    <w:t xml:space="preserve"> </w:t>
                  </w:r>
                  <w:r w:rsidRPr="001851ED" w:rsidR="00D00369">
                    <w:rPr>
                      <w:rFonts w:ascii="Times New Roman" w:hAnsi="Times New Roman" w:cs="Times New Roman"/>
                      <w:sz w:val="20"/>
                      <w:szCs w:val="20"/>
                    </w:rPr>
                    <w:t>ja to izdarījusi personu grupa pēc iepriekšējas vienošanās vai ja tas izdarīts lielā apmērā</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7266EA" w:rsidP="00512F96" w:rsidRDefault="007266EA" w14:paraId="7482B66F" w14:textId="333F6835">
                  <w:pPr>
                    <w:spacing w:after="0" w:line="240" w:lineRule="auto"/>
                    <w:jc w:val="right"/>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0</w:t>
                  </w:r>
                </w:p>
              </w:tc>
            </w:tr>
            <w:tr w:rsidRPr="00D00369" w:rsidR="00D00369" w:rsidTr="00283F8D" w14:paraId="510936FB"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1178E661" w14:textId="3959F75C">
                  <w:pPr>
                    <w:spacing w:after="0" w:line="240" w:lineRule="auto"/>
                    <w:ind w:firstLine="200"/>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662AD5BA" w14:textId="4B735E09">
                  <w:pPr>
                    <w:spacing w:after="0" w:line="240" w:lineRule="auto"/>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14562D25" w14:textId="23EB6267">
                  <w:pPr>
                    <w:spacing w:after="0" w:line="240" w:lineRule="auto"/>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512F96" w:rsidRDefault="00D00369" w14:paraId="490E9F7C" w14:textId="182AC8CF">
                  <w:pPr>
                    <w:spacing w:after="0" w:line="240" w:lineRule="auto"/>
                    <w:jc w:val="right"/>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w:t>
                  </w:r>
                </w:p>
              </w:tc>
            </w:tr>
            <w:tr w:rsidRPr="00D00369" w:rsidR="00D00369" w:rsidTr="00283F8D" w14:paraId="071F4609"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35379C78" w14:textId="3C667A4D">
                  <w:pPr>
                    <w:spacing w:after="0" w:line="240" w:lineRule="auto"/>
                    <w:ind w:firstLine="200"/>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317A6809" w14:textId="426EB24A">
                  <w:pPr>
                    <w:spacing w:after="0" w:line="240" w:lineRule="auto"/>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3FF5DCD6" w14:textId="2BBAA450">
                  <w:pPr>
                    <w:spacing w:after="0" w:line="240" w:lineRule="auto"/>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512F96" w:rsidRDefault="00D00369" w14:paraId="5625E717" w14:textId="323E6C54">
                  <w:pPr>
                    <w:spacing w:after="0" w:line="240" w:lineRule="auto"/>
                    <w:jc w:val="right"/>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w:t>
                  </w:r>
                </w:p>
              </w:tc>
            </w:tr>
            <w:tr w:rsidRPr="00D00369" w:rsidR="00D00369" w:rsidTr="00ED5EDB" w14:paraId="6CA37799"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D00369" w:rsidR="00D00369" w:rsidP="001851ED" w:rsidRDefault="00D00369" w14:paraId="1F22DD5A" w14:textId="3F67A2F7">
                  <w:pPr>
                    <w:spacing w:after="0" w:line="240" w:lineRule="auto"/>
                    <w:jc w:val="both"/>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 xml:space="preserve">321. (4) Par kukuļa piesavināšanos, </w:t>
                  </w:r>
                  <w:r w:rsidRPr="001851ED">
                    <w:rPr>
                      <w:rFonts w:ascii="Times New Roman" w:hAnsi="Times New Roman" w:cs="Times New Roman"/>
                      <w:sz w:val="20"/>
                      <w:szCs w:val="20"/>
                      <w:lang w:eastAsia="lv-LV"/>
                    </w:rPr>
                    <w:t xml:space="preserve">ja </w:t>
                  </w:r>
                  <w:r w:rsidRPr="001851ED">
                    <w:rPr>
                      <w:rFonts w:ascii="Times New Roman" w:hAnsi="Times New Roman" w:cs="Times New Roman"/>
                      <w:sz w:val="20"/>
                      <w:szCs w:val="20"/>
                    </w:rPr>
                    <w:t>to izdarījusi organizēta grupa, vai par šā panta otrajā daļā paredzēto noziedzīgo nodarījumu, ja to izdarījusi valsts amatpersona, kas ieņem atbildīgu stāvokli</w:t>
                  </w:r>
                  <w:r w:rsidRPr="00D00369">
                    <w:rPr>
                      <w:rFonts w:ascii="Times New Roman" w:hAnsi="Times New Roman" w:cs="Times New Roman"/>
                      <w:b/>
                      <w:bCs/>
                      <w:sz w:val="20"/>
                      <w:szCs w:val="20"/>
                      <w:lang w:eastAsia="lv-LV"/>
                    </w:rPr>
                    <w:t xml:space="preserve"> </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512F96" w:rsidRDefault="00D00369" w14:paraId="17928FCD" w14:textId="3B648F6F">
                  <w:pPr>
                    <w:spacing w:after="0" w:line="240" w:lineRule="auto"/>
                    <w:jc w:val="right"/>
                    <w:rPr>
                      <w:rFonts w:ascii="Times New Roman" w:hAnsi="Times New Roman" w:cs="Times New Roman"/>
                      <w:b/>
                      <w:bCs/>
                      <w:sz w:val="20"/>
                      <w:szCs w:val="20"/>
                      <w:lang w:eastAsia="lv-LV"/>
                    </w:rPr>
                  </w:pPr>
                  <w:r w:rsidRPr="00D00369">
                    <w:rPr>
                      <w:rFonts w:ascii="Times New Roman" w:hAnsi="Times New Roman" w:cs="Times New Roman"/>
                      <w:b/>
                      <w:bCs/>
                      <w:sz w:val="20"/>
                      <w:szCs w:val="20"/>
                      <w:lang w:eastAsia="lv-LV"/>
                    </w:rPr>
                    <w:t>0</w:t>
                  </w:r>
                </w:p>
              </w:tc>
            </w:tr>
            <w:tr w:rsidRPr="00D00369" w:rsidR="00D00369" w:rsidTr="00283F8D" w14:paraId="71E733BF"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252B371F" w14:textId="673F8815">
                  <w:pPr>
                    <w:spacing w:after="0" w:line="240" w:lineRule="auto"/>
                    <w:ind w:firstLine="200"/>
                    <w:rPr>
                      <w:rFonts w:ascii="Times New Roman" w:hAnsi="Times New Roman" w:cs="Times New Roman"/>
                      <w:sz w:val="20"/>
                      <w:szCs w:val="20"/>
                      <w:lang w:eastAsia="lv-LV"/>
                    </w:rPr>
                  </w:pPr>
                  <w:r w:rsidRPr="00D00369">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05EE705D" w14:textId="0B546BBE">
                  <w:pPr>
                    <w:spacing w:after="0" w:line="240" w:lineRule="auto"/>
                    <w:rPr>
                      <w:rFonts w:ascii="Times New Roman" w:hAnsi="Times New Roman" w:cs="Times New Roman"/>
                      <w:sz w:val="20"/>
                      <w:szCs w:val="20"/>
                      <w:lang w:eastAsia="lv-LV"/>
                    </w:rPr>
                  </w:pPr>
                  <w:r w:rsidRPr="00D00369">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275959EE" w14:textId="40B610E5">
                  <w:pPr>
                    <w:spacing w:after="0" w:line="240" w:lineRule="auto"/>
                    <w:rPr>
                      <w:rFonts w:ascii="Times New Roman" w:hAnsi="Times New Roman" w:cs="Times New Roman"/>
                      <w:sz w:val="20"/>
                      <w:szCs w:val="20"/>
                      <w:lang w:eastAsia="lv-LV"/>
                    </w:rPr>
                  </w:pPr>
                  <w:r w:rsidRPr="00D00369">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512F96" w:rsidRDefault="00D00369" w14:paraId="29DBD781" w14:textId="23B2F5DD">
                  <w:pPr>
                    <w:spacing w:after="0" w:line="240" w:lineRule="auto"/>
                    <w:jc w:val="right"/>
                    <w:rPr>
                      <w:rFonts w:ascii="Times New Roman" w:hAnsi="Times New Roman" w:cs="Times New Roman"/>
                      <w:sz w:val="20"/>
                      <w:szCs w:val="20"/>
                      <w:lang w:eastAsia="lv-LV"/>
                    </w:rPr>
                  </w:pPr>
                  <w:r w:rsidRPr="00D00369">
                    <w:rPr>
                      <w:rFonts w:ascii="Times New Roman" w:hAnsi="Times New Roman" w:cs="Times New Roman"/>
                      <w:sz w:val="20"/>
                      <w:szCs w:val="20"/>
                      <w:lang w:eastAsia="lv-LV"/>
                    </w:rPr>
                    <w:t>-</w:t>
                  </w:r>
                </w:p>
              </w:tc>
            </w:tr>
            <w:tr w:rsidRPr="00D00369" w:rsidR="00D00369" w:rsidTr="00283F8D" w14:paraId="6C4D0382"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59BBDCE2" w14:textId="238EDC81">
                  <w:pPr>
                    <w:spacing w:after="0" w:line="240" w:lineRule="auto"/>
                    <w:ind w:firstLine="200"/>
                    <w:rPr>
                      <w:rFonts w:ascii="Times New Roman" w:hAnsi="Times New Roman" w:cs="Times New Roman"/>
                      <w:sz w:val="20"/>
                      <w:szCs w:val="20"/>
                      <w:lang w:eastAsia="lv-LV"/>
                    </w:rPr>
                  </w:pPr>
                  <w:r w:rsidRPr="00D00369">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1715B447" w14:textId="3AAE03B3">
                  <w:pPr>
                    <w:spacing w:after="0" w:line="240" w:lineRule="auto"/>
                    <w:rPr>
                      <w:rFonts w:ascii="Times New Roman" w:hAnsi="Times New Roman" w:cs="Times New Roman"/>
                      <w:sz w:val="20"/>
                      <w:szCs w:val="20"/>
                      <w:lang w:eastAsia="lv-LV"/>
                    </w:rPr>
                  </w:pPr>
                  <w:r w:rsidRPr="00D00369">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36B1CA08" w14:textId="40D0C4C4">
                  <w:pPr>
                    <w:spacing w:after="0" w:line="240" w:lineRule="auto"/>
                    <w:rPr>
                      <w:rFonts w:ascii="Times New Roman" w:hAnsi="Times New Roman" w:cs="Times New Roman"/>
                      <w:sz w:val="20"/>
                      <w:szCs w:val="20"/>
                      <w:lang w:eastAsia="lv-LV"/>
                    </w:rPr>
                  </w:pPr>
                  <w:r w:rsidRPr="00D00369">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D00369" w:rsidR="00D00369" w:rsidP="00D00369" w:rsidRDefault="00D00369" w14:paraId="5DA05E42" w14:textId="24196BC5">
                  <w:pPr>
                    <w:spacing w:after="0" w:line="240" w:lineRule="auto"/>
                    <w:rPr>
                      <w:rFonts w:ascii="Times New Roman" w:hAnsi="Times New Roman" w:cs="Times New Roman"/>
                      <w:sz w:val="20"/>
                      <w:szCs w:val="20"/>
                      <w:lang w:eastAsia="lv-LV"/>
                    </w:rPr>
                  </w:pPr>
                  <w:r w:rsidRPr="00D00369">
                    <w:rPr>
                      <w:rFonts w:ascii="Times New Roman" w:hAnsi="Times New Roman" w:cs="Times New Roman"/>
                      <w:sz w:val="20"/>
                      <w:szCs w:val="20"/>
                      <w:lang w:eastAsia="lv-LV"/>
                    </w:rPr>
                    <w:t>-</w:t>
                  </w:r>
                </w:p>
              </w:tc>
            </w:tr>
            <w:bookmarkEnd w:id="3"/>
            <w:tr w:rsidRPr="00283F8D" w:rsidR="00283F8D" w:rsidTr="00283F8D" w14:paraId="19FA338E"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39E72FCB" w14:textId="77777777">
                  <w:pPr>
                    <w:spacing w:after="0" w:line="240" w:lineRule="auto"/>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 xml:space="preserve">322.(2) </w:t>
                  </w:r>
                  <w:r w:rsidRPr="00283F8D">
                    <w:rPr>
                      <w:rFonts w:ascii="Times New Roman" w:hAnsi="Times New Roman" w:cs="Times New Roman"/>
                      <w:b/>
                      <w:bCs/>
                      <w:sz w:val="20"/>
                      <w:szCs w:val="20"/>
                    </w:rPr>
                    <w:t>Par starpniecību kukuļošanā</w:t>
                  </w:r>
                  <w:r w:rsidRPr="00283F8D">
                    <w:rPr>
                      <w:rFonts w:ascii="Times New Roman" w:hAnsi="Times New Roman" w:cs="Times New Roman"/>
                      <w:sz w:val="20"/>
                      <w:szCs w:val="20"/>
                    </w:rPr>
                    <w:t>, ja tās izdarījusi valsts amatpersona</w:t>
                  </w:r>
                  <w:r w:rsidRPr="00283F8D">
                    <w:rPr>
                      <w:rFonts w:ascii="Times New Roman" w:hAnsi="Times New Roman" w:cs="Times New Roman"/>
                      <w:b/>
                      <w:bCs/>
                      <w:sz w:val="20"/>
                      <w:szCs w:val="20"/>
                      <w:lang w:eastAsia="lv-LV"/>
                    </w:rPr>
                    <w:t xml:space="preserve"> </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75214FAA"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0</w:t>
                  </w:r>
                </w:p>
              </w:tc>
            </w:tr>
            <w:tr w:rsidRPr="00283F8D" w:rsidR="00283F8D" w:rsidTr="00283F8D" w14:paraId="11F813E3"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2E989FBC"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034BE46"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2744823"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2005635"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09AD4DE8"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751F9CD7"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58D0D8D8"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5F1BB04E"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4447985F"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242A3225"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1851ED" w:rsidRDefault="00283F8D" w14:paraId="58926524" w14:textId="77777777">
                  <w:pPr>
                    <w:spacing w:after="0" w:line="240" w:lineRule="auto"/>
                    <w:jc w:val="both"/>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323.(2) Kukuļdošana</w:t>
                  </w:r>
                  <w:r w:rsidRPr="00283F8D">
                    <w:rPr>
                      <w:rFonts w:ascii="Times New Roman" w:hAnsi="Times New Roman" w:cs="Times New Roman"/>
                      <w:sz w:val="20"/>
                      <w:szCs w:val="20"/>
                      <w:lang w:eastAsia="lv-LV"/>
                    </w:rPr>
                    <w:t>, ja</w:t>
                  </w:r>
                  <w:r w:rsidRPr="00283F8D">
                    <w:rPr>
                      <w:rFonts w:ascii="Times New Roman" w:hAnsi="Times New Roman" w:cs="Times New Roman"/>
                      <w:b/>
                      <w:bCs/>
                      <w:sz w:val="20"/>
                      <w:szCs w:val="20"/>
                      <w:lang w:eastAsia="lv-LV"/>
                    </w:rPr>
                    <w:t xml:space="preserve"> </w:t>
                  </w:r>
                  <w:r w:rsidRPr="00283F8D">
                    <w:rPr>
                      <w:rFonts w:ascii="Times New Roman" w:hAnsi="Times New Roman" w:cs="Times New Roman"/>
                      <w:sz w:val="20"/>
                      <w:szCs w:val="20"/>
                    </w:rPr>
                    <w:t>tās izdarītas lielā apmērā vai ja tās izdarījusi valsts amatpersona, vai arī ja tās izdarījusi personu grupa pēc iepriekšējas vienošanās</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033F0833"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0</w:t>
                  </w:r>
                </w:p>
              </w:tc>
            </w:tr>
            <w:tr w:rsidRPr="00283F8D" w:rsidR="00283F8D" w:rsidTr="00283F8D" w14:paraId="47380564"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01D26FF8"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011E1BE5"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B20C667"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36866AF"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5F82FD21"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4B33A18C"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16C957FF"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454186D6"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DDE983B"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70AB7FB3" w14:textId="77777777">
              <w:trPr>
                <w:trHeight w:val="254"/>
              </w:trPr>
              <w:tc>
                <w:tcPr>
                  <w:tcW w:w="4497"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1851ED" w:rsidRDefault="00283F8D" w14:paraId="3F35B1D5" w14:textId="77777777">
                  <w:pPr>
                    <w:spacing w:after="0" w:line="240" w:lineRule="auto"/>
                    <w:jc w:val="both"/>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 xml:space="preserve">323.(3) Kukuļdošana, </w:t>
                  </w:r>
                  <w:r w:rsidRPr="00283F8D">
                    <w:rPr>
                      <w:rFonts w:ascii="Times New Roman" w:hAnsi="Times New Roman" w:cs="Times New Roman"/>
                      <w:sz w:val="20"/>
                      <w:szCs w:val="20"/>
                    </w:rPr>
                    <w:t>ja tās izdarījusi organizēta grupa</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09F3FFDD"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0</w:t>
                  </w:r>
                </w:p>
              </w:tc>
            </w:tr>
            <w:tr w:rsidRPr="00283F8D" w:rsidR="00283F8D" w:rsidTr="00283F8D" w14:paraId="2DF8D3C4"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E4EDBA0"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24C9504"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EFD9917"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21E6CAA5"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31F17761" w14:textId="77777777">
              <w:trPr>
                <w:trHeight w:val="254"/>
              </w:trPr>
              <w:tc>
                <w:tcPr>
                  <w:tcW w:w="1946" w:type="dxa"/>
                  <w:tcBorders>
                    <w:top w:val="nil"/>
                    <w:left w:val="single" w:color="auto" w:sz="8" w:space="0"/>
                    <w:bottom w:val="single" w:color="auto" w:sz="4" w:space="0"/>
                    <w:right w:val="single" w:color="auto" w:sz="8" w:space="0"/>
                  </w:tcBorders>
                  <w:noWrap/>
                  <w:tcMar>
                    <w:top w:w="0" w:type="dxa"/>
                    <w:left w:w="108" w:type="dxa"/>
                    <w:bottom w:w="0" w:type="dxa"/>
                    <w:right w:w="108" w:type="dxa"/>
                  </w:tcMar>
                  <w:hideMark/>
                </w:tcPr>
                <w:p w:rsidRPr="00283F8D" w:rsidR="00283F8D" w:rsidP="007F5CF3" w:rsidRDefault="00283F8D" w14:paraId="3DE0C60B"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4" w:space="0"/>
                    <w:right w:val="single" w:color="auto" w:sz="8" w:space="0"/>
                  </w:tcBorders>
                  <w:noWrap/>
                  <w:tcMar>
                    <w:top w:w="0" w:type="dxa"/>
                    <w:left w:w="108" w:type="dxa"/>
                    <w:bottom w:w="0" w:type="dxa"/>
                    <w:right w:w="108" w:type="dxa"/>
                  </w:tcMar>
                </w:tcPr>
                <w:p w:rsidRPr="00283F8D" w:rsidR="00283F8D" w:rsidP="007F5CF3" w:rsidRDefault="00283F8D" w14:paraId="731A648B"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4" w:space="0"/>
                    <w:right w:val="single" w:color="auto" w:sz="8" w:space="0"/>
                  </w:tcBorders>
                  <w:noWrap/>
                  <w:tcMar>
                    <w:top w:w="0" w:type="dxa"/>
                    <w:left w:w="108" w:type="dxa"/>
                    <w:bottom w:w="0" w:type="dxa"/>
                    <w:right w:w="108" w:type="dxa"/>
                  </w:tcMar>
                </w:tcPr>
                <w:p w:rsidRPr="00283F8D" w:rsidR="00283F8D" w:rsidP="007F5CF3" w:rsidRDefault="00283F8D" w14:paraId="56900C73"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4" w:space="0"/>
                    <w:right w:val="single" w:color="auto" w:sz="8" w:space="0"/>
                  </w:tcBorders>
                  <w:noWrap/>
                  <w:tcMar>
                    <w:top w:w="0" w:type="dxa"/>
                    <w:left w:w="108" w:type="dxa"/>
                    <w:bottom w:w="0" w:type="dxa"/>
                    <w:right w:w="108" w:type="dxa"/>
                  </w:tcMar>
                </w:tcPr>
                <w:p w:rsidRPr="00283F8D" w:rsidR="00283F8D" w:rsidP="007F5CF3" w:rsidRDefault="00283F8D" w14:paraId="6F3A7D9A"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0382EEA3" w14:textId="77777777">
              <w:trPr>
                <w:trHeight w:val="254"/>
              </w:trPr>
              <w:tc>
                <w:tcPr>
                  <w:tcW w:w="4497" w:type="dxa"/>
                  <w:gridSpan w:val="3"/>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393F4371" w14:textId="063124EB">
                  <w:pPr>
                    <w:spacing w:after="0" w:line="240" w:lineRule="auto"/>
                    <w:jc w:val="both"/>
                    <w:rPr>
                      <w:rFonts w:ascii="Arial" w:hAnsi="Arial" w:cs="Arial"/>
                      <w:sz w:val="20"/>
                      <w:szCs w:val="20"/>
                    </w:rPr>
                  </w:pPr>
                  <w:r w:rsidRPr="00283F8D">
                    <w:rPr>
                      <w:rFonts w:ascii="Times New Roman" w:hAnsi="Times New Roman" w:cs="Times New Roman"/>
                      <w:b/>
                      <w:bCs/>
                      <w:sz w:val="20"/>
                      <w:szCs w:val="20"/>
                      <w:lang w:eastAsia="lv-LV"/>
                    </w:rPr>
                    <w:t>326.</w:t>
                  </w:r>
                  <w:r w:rsidRPr="00283F8D">
                    <w:rPr>
                      <w:rFonts w:ascii="Times New Roman" w:hAnsi="Times New Roman" w:cs="Times New Roman"/>
                      <w:b/>
                      <w:bCs/>
                      <w:sz w:val="20"/>
                      <w:szCs w:val="20"/>
                      <w:vertAlign w:val="superscript"/>
                      <w:lang w:eastAsia="lv-LV"/>
                    </w:rPr>
                    <w:t>1</w:t>
                  </w:r>
                  <w:r w:rsidRPr="00283F8D">
                    <w:rPr>
                      <w:rFonts w:ascii="Times New Roman" w:hAnsi="Times New Roman" w:cs="Times New Roman"/>
                      <w:b/>
                      <w:bCs/>
                      <w:sz w:val="20"/>
                      <w:szCs w:val="20"/>
                      <w:lang w:eastAsia="lv-LV"/>
                    </w:rPr>
                    <w:t xml:space="preserve"> (2) Tirgošanās ar ietekmi </w:t>
                  </w:r>
                  <w:proofErr w:type="gramStart"/>
                  <w:r w:rsidRPr="00283F8D">
                    <w:rPr>
                      <w:rFonts w:ascii="Times New Roman" w:hAnsi="Times New Roman" w:cs="Times New Roman"/>
                      <w:sz w:val="20"/>
                      <w:szCs w:val="20"/>
                    </w:rPr>
                    <w:t>(</w:t>
                  </w:r>
                  <w:proofErr w:type="gramEnd"/>
                  <w:r w:rsidRPr="00283F8D">
                    <w:rPr>
                      <w:rFonts w:ascii="Times New Roman" w:hAnsi="Times New Roman" w:cs="Times New Roman"/>
                      <w:sz w:val="20"/>
                      <w:szCs w:val="20"/>
                    </w:rPr>
                    <w:t>par materiālu vērtību, mantiska vai citāda rakstura labumu, to piedāvājuma pieņemšanu vai par materiālu vērtību, mantiska vai citāda rakstura labumu pieprasīšanu sev vai jebkurai citai personai, lai tā, izmantojot savu dienesta, profesionālo vai sociālo stāvokli,</w:t>
                  </w:r>
                  <w:r w:rsidRPr="00283F8D">
                    <w:rPr>
                      <w:rFonts w:ascii="Times New Roman" w:hAnsi="Times New Roman" w:cs="Times New Roman"/>
                      <w:sz w:val="20"/>
                      <w:szCs w:val="20"/>
                      <w:u w:val="single"/>
                    </w:rPr>
                    <w:t xml:space="preserve"> prettiesiski ietekmētu valsts amatpersonas darbību vai pamudinātu kādu citu personu prettiesiski ietekmēt valsts amatpersonas</w:t>
                  </w:r>
                  <w:r w:rsidRPr="00283F8D">
                    <w:rPr>
                      <w:rFonts w:ascii="Times New Roman" w:hAnsi="Times New Roman" w:cs="Times New Roman"/>
                      <w:sz w:val="20"/>
                      <w:szCs w:val="20"/>
                    </w:rPr>
                    <w:t xml:space="preserve"> darbību vai lēmuma pieņemšanu, ja nav šā likuma </w:t>
                  </w:r>
                  <w:hyperlink w:history="1" w:anchor="p198" r:id="rId8">
                    <w:r w:rsidRPr="00283F8D">
                      <w:rPr>
                        <w:rFonts w:ascii="Times New Roman" w:hAnsi="Times New Roman" w:cs="Times New Roman"/>
                        <w:sz w:val="20"/>
                        <w:szCs w:val="20"/>
                      </w:rPr>
                      <w:t xml:space="preserve">198. </w:t>
                    </w:r>
                  </w:hyperlink>
                  <w:r w:rsidRPr="00283F8D">
                    <w:rPr>
                      <w:rFonts w:ascii="Times New Roman" w:hAnsi="Times New Roman" w:cs="Times New Roman"/>
                      <w:sz w:val="20"/>
                      <w:szCs w:val="20"/>
                    </w:rPr>
                    <w:t xml:space="preserve">un </w:t>
                  </w:r>
                  <w:hyperlink w:history="1" w:anchor="p320" r:id="rId9">
                    <w:r w:rsidRPr="00283F8D">
                      <w:rPr>
                        <w:rFonts w:ascii="Times New Roman" w:hAnsi="Times New Roman" w:cs="Times New Roman"/>
                        <w:sz w:val="20"/>
                        <w:szCs w:val="20"/>
                      </w:rPr>
                      <w:t>320.pantā</w:t>
                    </w:r>
                  </w:hyperlink>
                  <w:r w:rsidRPr="00283F8D">
                    <w:rPr>
                      <w:rFonts w:ascii="Times New Roman" w:hAnsi="Times New Roman" w:cs="Times New Roman"/>
                      <w:sz w:val="20"/>
                      <w:szCs w:val="20"/>
                    </w:rPr>
                    <w:t xml:space="preserve"> paredzētā nozieguma pazīmju)</w:t>
                  </w:r>
                </w:p>
              </w:tc>
              <w:tc>
                <w:tcPr>
                  <w:tcW w:w="976" w:type="dxa"/>
                  <w:tcBorders>
                    <w:top w:val="single" w:color="auto" w:sz="4" w:space="0"/>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4B0B171F"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0</w:t>
                  </w:r>
                </w:p>
              </w:tc>
            </w:tr>
            <w:tr w:rsidRPr="00283F8D" w:rsidR="00283F8D" w:rsidTr="00283F8D" w14:paraId="0AD0532F"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510985AE"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55A5354"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253BA5AB"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C4F572D"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6CB2B403"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7513F309"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195F8C9E"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01A2560E"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4BCC0398"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33D2CA16" w14:textId="77777777">
              <w:trPr>
                <w:trHeight w:val="254"/>
              </w:trPr>
              <w:tc>
                <w:tcPr>
                  <w:tcW w:w="4497" w:type="dxa"/>
                  <w:gridSpan w:val="3"/>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1EB0BB92" w14:textId="7FE992AA">
                  <w:pPr>
                    <w:spacing w:after="0" w:line="240" w:lineRule="auto"/>
                    <w:jc w:val="both"/>
                    <w:rPr>
                      <w:rFonts w:ascii="Times New Roman" w:hAnsi="Times New Roman" w:cs="Times New Roman"/>
                      <w:sz w:val="20"/>
                      <w:szCs w:val="20"/>
                    </w:rPr>
                  </w:pPr>
                  <w:r w:rsidRPr="00283F8D">
                    <w:rPr>
                      <w:rFonts w:ascii="Times New Roman" w:hAnsi="Times New Roman" w:cs="Times New Roman"/>
                      <w:b/>
                      <w:bCs/>
                      <w:sz w:val="20"/>
                      <w:szCs w:val="20"/>
                      <w:lang w:eastAsia="lv-LV"/>
                    </w:rPr>
                    <w:t>326.</w:t>
                  </w:r>
                  <w:r w:rsidRPr="00283F8D">
                    <w:rPr>
                      <w:rFonts w:ascii="Times New Roman" w:hAnsi="Times New Roman" w:cs="Times New Roman"/>
                      <w:b/>
                      <w:bCs/>
                      <w:sz w:val="20"/>
                      <w:szCs w:val="20"/>
                      <w:vertAlign w:val="superscript"/>
                      <w:lang w:eastAsia="lv-LV"/>
                    </w:rPr>
                    <w:t>2</w:t>
                  </w:r>
                  <w:r w:rsidRPr="00283F8D">
                    <w:rPr>
                      <w:rFonts w:ascii="Times New Roman" w:hAnsi="Times New Roman" w:cs="Times New Roman"/>
                      <w:b/>
                      <w:bCs/>
                      <w:sz w:val="20"/>
                      <w:szCs w:val="20"/>
                      <w:lang w:eastAsia="lv-LV"/>
                    </w:rPr>
                    <w:t xml:space="preserve"> (2) </w:t>
                  </w:r>
                  <w:r w:rsidRPr="00283F8D">
                    <w:rPr>
                      <w:rFonts w:ascii="Times New Roman" w:hAnsi="Times New Roman" w:cs="Times New Roman"/>
                      <w:b/>
                      <w:bCs/>
                      <w:sz w:val="20"/>
                      <w:szCs w:val="20"/>
                    </w:rPr>
                    <w:t>Prettiesiska labumu pieprasīšana un pieņemšana</w:t>
                  </w:r>
                  <w:r w:rsidRPr="00283F8D">
                    <w:rPr>
                      <w:rFonts w:ascii="Times New Roman" w:hAnsi="Times New Roman" w:cs="Times New Roman"/>
                      <w:b/>
                      <w:bCs/>
                      <w:sz w:val="20"/>
                      <w:szCs w:val="20"/>
                      <w:lang w:eastAsia="lv-LV"/>
                    </w:rPr>
                    <w:t xml:space="preserve"> </w:t>
                  </w:r>
                  <w:proofErr w:type="gramStart"/>
                  <w:r w:rsidRPr="00283F8D">
                    <w:rPr>
                      <w:rFonts w:ascii="Times New Roman" w:hAnsi="Times New Roman" w:cs="Times New Roman"/>
                      <w:sz w:val="20"/>
                      <w:szCs w:val="20"/>
                      <w:lang w:eastAsia="lv-LV"/>
                    </w:rPr>
                    <w:t>(</w:t>
                  </w:r>
                  <w:proofErr w:type="gramEnd"/>
                  <w:r w:rsidRPr="00283F8D">
                    <w:rPr>
                      <w:rFonts w:ascii="Times New Roman" w:hAnsi="Times New Roman" w:cs="Times New Roman"/>
                      <w:sz w:val="20"/>
                      <w:szCs w:val="20"/>
                      <w:lang w:eastAsia="lv-LV"/>
                    </w:rPr>
                    <w:t>p</w:t>
                  </w:r>
                  <w:r w:rsidRPr="00283F8D">
                    <w:rPr>
                      <w:rFonts w:ascii="Times New Roman" w:hAnsi="Times New Roman" w:cs="Times New Roman"/>
                      <w:sz w:val="20"/>
                      <w:szCs w:val="20"/>
                    </w:rPr>
                    <w:t xml:space="preserve">ar materiālu vērtību, mantiska vai citāda rakstura labumu, to piedāvājuma prettiesisku pieņemšanu, ko pats vai ar starpnieku izdarījis </w:t>
                  </w:r>
                  <w:r w:rsidRPr="00283F8D">
                    <w:rPr>
                      <w:rFonts w:ascii="Times New Roman" w:hAnsi="Times New Roman" w:cs="Times New Roman"/>
                      <w:sz w:val="20"/>
                      <w:szCs w:val="20"/>
                      <w:u w:val="single"/>
                    </w:rPr>
                    <w:t>valsts vai pašvaldības iestādes darbinieks, kurš nav valsts amatpersona</w:t>
                  </w:r>
                  <w:r w:rsidRPr="00283F8D">
                    <w:rPr>
                      <w:rFonts w:ascii="Times New Roman" w:hAnsi="Times New Roman" w:cs="Times New Roman"/>
                      <w:sz w:val="20"/>
                      <w:szCs w:val="20"/>
                    </w:rPr>
                    <w:t xml:space="preserve">, vai valsts institūcijas pilnvarota tāda pati persona par kādas darbības izdarīšanu vai neizdarīšanu, izmantojot savas pilnvaras, neatkarīgi </w:t>
                  </w:r>
                  <w:r w:rsidRPr="00283F8D">
                    <w:rPr>
                      <w:rFonts w:ascii="Times New Roman" w:hAnsi="Times New Roman" w:cs="Times New Roman"/>
                      <w:sz w:val="20"/>
                      <w:szCs w:val="20"/>
                    </w:rPr>
                    <w:lastRenderedPageBreak/>
                    <w:t>no tā, vai pieņemtās materiālās vērtības, mantiska vai citāda rakstura labumi domāti šai personai vai jebkurai citai personai, ja tās izdarītas lielā apmērā vai ja tās izdarījusi personu grupa pēc iepriekšējas vienošanās, vai ja tās saistītas ar materiālo vērtību, mantiska vai citāda rakstura labumu pieprasīšanu vai izspiešanu</w:t>
                  </w:r>
                  <w:r w:rsidR="0018115F">
                    <w:rPr>
                      <w:rFonts w:ascii="Times New Roman" w:hAnsi="Times New Roman" w:cs="Times New Roman"/>
                      <w:sz w:val="20"/>
                      <w:szCs w:val="20"/>
                    </w:rPr>
                    <w:t>)</w:t>
                  </w:r>
                </w:p>
              </w:tc>
              <w:tc>
                <w:tcPr>
                  <w:tcW w:w="976" w:type="dxa"/>
                  <w:tcBorders>
                    <w:top w:val="single" w:color="auto" w:sz="4" w:space="0"/>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7D1899D7"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lastRenderedPageBreak/>
                    <w:t>0</w:t>
                  </w:r>
                </w:p>
              </w:tc>
            </w:tr>
            <w:tr w:rsidRPr="00283F8D" w:rsidR="00283F8D" w:rsidTr="00283F8D" w14:paraId="17CECE2B"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89F86EF"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5B08499A"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7FC7D6C"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5C648853"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6F89F3DD"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73C7FE51"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5A745A31"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CB4F1E0"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04B003AF"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01628BCD" w14:textId="77777777">
              <w:trPr>
                <w:trHeight w:val="254"/>
              </w:trPr>
              <w:tc>
                <w:tcPr>
                  <w:tcW w:w="4497" w:type="dxa"/>
                  <w:gridSpan w:val="3"/>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1A5D5455" w14:textId="3EAC75F3">
                  <w:pPr>
                    <w:spacing w:after="0" w:line="240" w:lineRule="auto"/>
                    <w:jc w:val="both"/>
                    <w:rPr>
                      <w:rFonts w:ascii="Times New Roman" w:hAnsi="Times New Roman" w:cs="Times New Roman"/>
                      <w:sz w:val="20"/>
                      <w:szCs w:val="20"/>
                    </w:rPr>
                  </w:pPr>
                  <w:r w:rsidRPr="00283F8D">
                    <w:rPr>
                      <w:rFonts w:ascii="Times New Roman" w:hAnsi="Times New Roman" w:cs="Times New Roman"/>
                      <w:b/>
                      <w:bCs/>
                      <w:sz w:val="20"/>
                      <w:szCs w:val="20"/>
                      <w:lang w:eastAsia="lv-LV"/>
                    </w:rPr>
                    <w:t>326.</w:t>
                  </w:r>
                  <w:r w:rsidRPr="00283F8D">
                    <w:rPr>
                      <w:rFonts w:ascii="Times New Roman" w:hAnsi="Times New Roman" w:cs="Times New Roman"/>
                      <w:b/>
                      <w:bCs/>
                      <w:sz w:val="20"/>
                      <w:szCs w:val="20"/>
                      <w:vertAlign w:val="superscript"/>
                      <w:lang w:eastAsia="lv-LV"/>
                    </w:rPr>
                    <w:t>3</w:t>
                  </w:r>
                  <w:r w:rsidRPr="00283F8D">
                    <w:rPr>
                      <w:rFonts w:ascii="Times New Roman" w:hAnsi="Times New Roman" w:cs="Times New Roman"/>
                      <w:b/>
                      <w:bCs/>
                      <w:sz w:val="20"/>
                      <w:szCs w:val="20"/>
                      <w:lang w:eastAsia="lv-LV"/>
                    </w:rPr>
                    <w:t xml:space="preserve"> (2) </w:t>
                  </w:r>
                  <w:r w:rsidRPr="00283F8D">
                    <w:rPr>
                      <w:rFonts w:ascii="Times New Roman" w:hAnsi="Times New Roman" w:cs="Times New Roman"/>
                      <w:b/>
                      <w:bCs/>
                      <w:sz w:val="20"/>
                      <w:szCs w:val="20"/>
                    </w:rPr>
                    <w:t xml:space="preserve">Prettiesiska labumu došana </w:t>
                  </w:r>
                  <w:proofErr w:type="gramStart"/>
                  <w:r w:rsidRPr="00283F8D">
                    <w:rPr>
                      <w:rFonts w:ascii="Times New Roman" w:hAnsi="Times New Roman" w:cs="Times New Roman"/>
                      <w:sz w:val="20"/>
                      <w:szCs w:val="20"/>
                    </w:rPr>
                    <w:t>(</w:t>
                  </w:r>
                  <w:proofErr w:type="gramEnd"/>
                  <w:r w:rsidRPr="00283F8D">
                    <w:rPr>
                      <w:rFonts w:ascii="Times New Roman" w:hAnsi="Times New Roman" w:cs="Times New Roman"/>
                      <w:sz w:val="20"/>
                      <w:szCs w:val="20"/>
                    </w:rPr>
                    <w:t xml:space="preserve">par materiālu vērtību, mantiska vai citāda rakstura labumu piedāvāšanu vai nodošanu personiski vai ar starpnieku </w:t>
                  </w:r>
                  <w:r w:rsidRPr="00283F8D">
                    <w:rPr>
                      <w:rFonts w:ascii="Times New Roman" w:hAnsi="Times New Roman" w:cs="Times New Roman"/>
                      <w:sz w:val="20"/>
                      <w:szCs w:val="20"/>
                      <w:u w:val="single"/>
                    </w:rPr>
                    <w:t>valsts vai pašvaldības iestādes darbiniekam, kurš nav valsts amatpersona</w:t>
                  </w:r>
                  <w:r w:rsidRPr="00283F8D">
                    <w:rPr>
                      <w:rFonts w:ascii="Times New Roman" w:hAnsi="Times New Roman" w:cs="Times New Roman"/>
                      <w:sz w:val="20"/>
                      <w:szCs w:val="20"/>
                    </w:rPr>
                    <w:t xml:space="preserve">, vai valsts institūcijas pilnvarotai tādai pašai personai, </w:t>
                  </w:r>
                  <w:r w:rsidRPr="00283F8D">
                    <w:rPr>
                      <w:rFonts w:ascii="Times New Roman" w:hAnsi="Times New Roman" w:cs="Times New Roman"/>
                      <w:sz w:val="20"/>
                      <w:szCs w:val="20"/>
                      <w:u w:val="single"/>
                    </w:rPr>
                    <w:t>lai tā izdarītu kādu nelikumīgu darbību</w:t>
                  </w:r>
                  <w:r w:rsidRPr="00283F8D">
                    <w:rPr>
                      <w:rFonts w:ascii="Times New Roman" w:hAnsi="Times New Roman" w:cs="Times New Roman"/>
                      <w:sz w:val="20"/>
                      <w:szCs w:val="20"/>
                    </w:rPr>
                    <w:t>, izmantojot savas pilnvaras, neatkarīgi no tā, vai materiālās vērtības, mantiska vai citāda rakstura labumi domāti šai vai jebkurai citai personai, ja tās izdarītas lielā apmērā</w:t>
                  </w:r>
                  <w:r w:rsidR="0018115F">
                    <w:rPr>
                      <w:rFonts w:ascii="Times New Roman" w:hAnsi="Times New Roman" w:cs="Times New Roman"/>
                      <w:sz w:val="20"/>
                      <w:szCs w:val="20"/>
                    </w:rPr>
                    <w:t>)</w:t>
                  </w:r>
                </w:p>
              </w:tc>
              <w:tc>
                <w:tcPr>
                  <w:tcW w:w="976" w:type="dxa"/>
                  <w:tcBorders>
                    <w:top w:val="single" w:color="auto" w:sz="4" w:space="0"/>
                    <w:left w:val="nil"/>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0978FBDA" w14:textId="77777777">
                  <w:pPr>
                    <w:spacing w:after="0" w:line="240" w:lineRule="auto"/>
                    <w:jc w:val="right"/>
                    <w:rPr>
                      <w:rFonts w:ascii="Times New Roman" w:hAnsi="Times New Roman" w:cs="Times New Roman"/>
                      <w:b/>
                      <w:bCs/>
                      <w:sz w:val="20"/>
                      <w:szCs w:val="20"/>
                      <w:lang w:eastAsia="lv-LV"/>
                    </w:rPr>
                  </w:pPr>
                  <w:r w:rsidRPr="00283F8D">
                    <w:rPr>
                      <w:rFonts w:ascii="Times New Roman" w:hAnsi="Times New Roman" w:cs="Times New Roman"/>
                      <w:b/>
                      <w:bCs/>
                      <w:sz w:val="20"/>
                      <w:szCs w:val="20"/>
                      <w:lang w:eastAsia="lv-LV"/>
                    </w:rPr>
                    <w:t>0</w:t>
                  </w:r>
                </w:p>
              </w:tc>
            </w:tr>
            <w:tr w:rsidRPr="00283F8D" w:rsidR="00283F8D" w:rsidTr="00283F8D" w14:paraId="52A42DD9"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3C99F464"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Apelācijas</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9416DA7"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5E18965A"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704CF01B"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r w:rsidRPr="00283F8D" w:rsidR="00283F8D" w:rsidTr="00283F8D" w14:paraId="7ED2D4FB" w14:textId="77777777">
              <w:trPr>
                <w:trHeight w:val="254"/>
              </w:trPr>
              <w:tc>
                <w:tcPr>
                  <w:tcW w:w="194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83F8D" w:rsidR="00283F8D" w:rsidP="007F5CF3" w:rsidRDefault="00283F8D" w14:paraId="7F7FC95A" w14:textId="77777777">
                  <w:pPr>
                    <w:spacing w:after="0" w:line="240" w:lineRule="auto"/>
                    <w:ind w:firstLine="200"/>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Pirmā</w:t>
                  </w:r>
                </w:p>
              </w:tc>
              <w:tc>
                <w:tcPr>
                  <w:tcW w:w="1365"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645C74A2"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118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49F35D44"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tcPr>
                <w:p w:rsidRPr="00283F8D" w:rsidR="00283F8D" w:rsidP="007F5CF3" w:rsidRDefault="00283F8D" w14:paraId="184DE18E" w14:textId="77777777">
                  <w:pPr>
                    <w:spacing w:after="0" w:line="240" w:lineRule="auto"/>
                    <w:jc w:val="right"/>
                    <w:rPr>
                      <w:rFonts w:ascii="Times New Roman" w:hAnsi="Times New Roman" w:cs="Times New Roman"/>
                      <w:sz w:val="20"/>
                      <w:szCs w:val="20"/>
                      <w:lang w:eastAsia="lv-LV"/>
                    </w:rPr>
                  </w:pPr>
                  <w:r w:rsidRPr="00283F8D">
                    <w:rPr>
                      <w:rFonts w:ascii="Times New Roman" w:hAnsi="Times New Roman" w:cs="Times New Roman"/>
                      <w:sz w:val="20"/>
                      <w:szCs w:val="20"/>
                      <w:lang w:eastAsia="lv-LV"/>
                    </w:rPr>
                    <w:t>-</w:t>
                  </w:r>
                </w:p>
              </w:tc>
            </w:tr>
          </w:tbl>
          <w:p w:rsidRPr="00150915" w:rsidR="00D11EC5" w:rsidP="007F5CF3" w:rsidRDefault="009E1BF0" w14:paraId="22B64416" w14:textId="549E48B4">
            <w:pPr>
              <w:spacing w:after="0" w:line="240" w:lineRule="auto"/>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Risks, ka pirmajos darbības mēnešos tiktu saņemts tiesas kapacitātei neatbilstošs daudzums lietu, būtiski ietekmētu vai pat padarītu neiespējamu tiesas darbu.</w:t>
            </w:r>
            <w:r w:rsidR="003A6C75">
              <w:t xml:space="preserve"> </w:t>
            </w:r>
            <w:r w:rsidRPr="001851ED" w:rsidR="003A6C75">
              <w:rPr>
                <w:rFonts w:ascii="Times New Roman" w:hAnsi="Times New Roman" w:eastAsia="Times New Roman" w:cs="Times New Roman"/>
                <w:sz w:val="24"/>
                <w:szCs w:val="24"/>
                <w:lang w:eastAsia="lv-LV"/>
              </w:rPr>
              <w:t>Tāpat tiek ņemts vērā, ka lietām varētu būt pieaugoša tendence, ņemot vērā valsts prioritāti un uzsāktos pasākumus noziedzīgi iegūtu līdzekļu legalizācijas apkarošanai.</w:t>
            </w:r>
            <w:r w:rsidRPr="00150915" w:rsidR="003A6C75">
              <w:rPr>
                <w:rFonts w:ascii="Times New Roman" w:hAnsi="Times New Roman" w:eastAsia="Times New Roman" w:cs="Times New Roman"/>
                <w:b/>
                <w:bCs/>
                <w:sz w:val="24"/>
                <w:szCs w:val="24"/>
                <w:lang w:eastAsia="lv-LV"/>
              </w:rPr>
              <w:t xml:space="preserve"> </w:t>
            </w:r>
            <w:r>
              <w:rPr>
                <w:rFonts w:ascii="Times New Roman" w:hAnsi="Times New Roman" w:eastAsia="Times New Roman" w:cs="Times New Roman"/>
                <w:sz w:val="24"/>
                <w:szCs w:val="24"/>
                <w:lang w:eastAsia="lv-LV"/>
              </w:rPr>
              <w:t>Ievērojot minēto, sākotnēji jaunveidojamās tiesas kompetencē nododams ierobežots lietu loks</w:t>
            </w:r>
            <w:r w:rsidR="003A6C75">
              <w:rPr>
                <w:rFonts w:ascii="Times New Roman" w:hAnsi="Times New Roman" w:eastAsia="Times New Roman" w:cs="Times New Roman"/>
                <w:sz w:val="24"/>
                <w:szCs w:val="24"/>
                <w:lang w:eastAsia="lv-LV"/>
              </w:rPr>
              <w:t xml:space="preserve"> </w:t>
            </w:r>
            <w:r w:rsidRPr="00150915" w:rsidR="003A6C75">
              <w:rPr>
                <w:rFonts w:ascii="Times New Roman" w:hAnsi="Times New Roman" w:eastAsia="Times New Roman" w:cs="Times New Roman"/>
                <w:b/>
                <w:bCs/>
                <w:sz w:val="24"/>
                <w:szCs w:val="24"/>
                <w:lang w:eastAsia="lv-LV"/>
              </w:rPr>
              <w:t>(</w:t>
            </w:r>
            <w:r w:rsidRPr="001851ED" w:rsidR="003A6C75">
              <w:rPr>
                <w:rFonts w:ascii="Times New Roman" w:hAnsi="Times New Roman" w:eastAsia="Times New Roman" w:cs="Times New Roman"/>
                <w:sz w:val="24"/>
                <w:szCs w:val="24"/>
                <w:lang w:eastAsia="lv-LV"/>
              </w:rPr>
              <w:t>Ekonomisko lietu tiesai šobrīd</w:t>
            </w:r>
            <w:proofErr w:type="gramStart"/>
            <w:r w:rsidRPr="001851ED" w:rsidR="003A6C75">
              <w:rPr>
                <w:rFonts w:ascii="Times New Roman" w:hAnsi="Times New Roman" w:eastAsia="Times New Roman" w:cs="Times New Roman"/>
                <w:sz w:val="24"/>
                <w:szCs w:val="24"/>
                <w:lang w:eastAsia="lv-LV"/>
              </w:rPr>
              <w:t xml:space="preserve"> nododot smagākās pakāpes noziedzīgos nodarījumus</w:t>
            </w:r>
            <w:proofErr w:type="gramEnd"/>
            <w:r w:rsidRPr="001851ED" w:rsidR="003A6C75">
              <w:rPr>
                <w:rFonts w:ascii="Times New Roman" w:hAnsi="Times New Roman" w:eastAsia="Times New Roman" w:cs="Times New Roman"/>
                <w:sz w:val="24"/>
                <w:szCs w:val="24"/>
                <w:lang w:eastAsia="lv-LV"/>
              </w:rPr>
              <w:t>),</w:t>
            </w:r>
            <w:r w:rsidRPr="0018115F">
              <w:rPr>
                <w:rFonts w:ascii="Times New Roman" w:hAnsi="Times New Roman" w:eastAsia="Times New Roman" w:cs="Times New Roman"/>
                <w:sz w:val="24"/>
                <w:szCs w:val="24"/>
                <w:lang w:eastAsia="lv-LV"/>
              </w:rPr>
              <w:t xml:space="preserve"> paredzot iespēju to nākotnē paplašināt, vienlaikus ar atbilstošiem risinājumiem tiesas kapacitātei</w:t>
            </w:r>
            <w:r w:rsidRPr="0018115F" w:rsidR="0018115F">
              <w:rPr>
                <w:rFonts w:ascii="Times New Roman" w:hAnsi="Times New Roman" w:eastAsia="Times New Roman" w:cs="Times New Roman"/>
                <w:sz w:val="24"/>
                <w:szCs w:val="24"/>
                <w:lang w:eastAsia="lv-LV"/>
              </w:rPr>
              <w:t>. P</w:t>
            </w:r>
            <w:r w:rsidRPr="001851ED" w:rsidR="001515F7">
              <w:rPr>
                <w:rFonts w:ascii="Times New Roman" w:hAnsi="Times New Roman" w:eastAsia="Times New Roman" w:cs="Times New Roman"/>
                <w:sz w:val="24"/>
                <w:szCs w:val="24"/>
                <w:lang w:eastAsia="lv-LV"/>
              </w:rPr>
              <w:t>iemēram</w:t>
            </w:r>
            <w:r w:rsidRPr="001851ED" w:rsidR="00D11EC5">
              <w:rPr>
                <w:rFonts w:ascii="Times New Roman" w:hAnsi="Times New Roman" w:eastAsia="Times New Roman" w:cs="Times New Roman"/>
                <w:sz w:val="24"/>
                <w:szCs w:val="24"/>
                <w:lang w:eastAsia="lv-LV"/>
              </w:rPr>
              <w:t>,</w:t>
            </w:r>
            <w:r w:rsidRPr="001851ED" w:rsidR="001515F7">
              <w:rPr>
                <w:rFonts w:ascii="Times New Roman" w:hAnsi="Times New Roman" w:eastAsia="Times New Roman" w:cs="Times New Roman"/>
                <w:sz w:val="24"/>
                <w:szCs w:val="24"/>
                <w:lang w:eastAsia="lv-LV"/>
              </w:rPr>
              <w:t xml:space="preserve"> nākotnē Ekonomisko lietu tiesa varētu skatīt visu grozījumu projektā minēto lietu </w:t>
            </w:r>
            <w:r w:rsidRPr="001851ED" w:rsidR="0018115F">
              <w:rPr>
                <w:rFonts w:ascii="Times New Roman" w:hAnsi="Times New Roman" w:eastAsia="Times New Roman" w:cs="Times New Roman"/>
                <w:sz w:val="24"/>
                <w:szCs w:val="24"/>
                <w:lang w:eastAsia="lv-LV"/>
              </w:rPr>
              <w:t>kategorijas</w:t>
            </w:r>
            <w:r w:rsidRPr="001851ED" w:rsidR="001515F7">
              <w:rPr>
                <w:rFonts w:ascii="Times New Roman" w:hAnsi="Times New Roman" w:eastAsia="Times New Roman" w:cs="Times New Roman"/>
                <w:sz w:val="24"/>
                <w:szCs w:val="24"/>
                <w:lang w:eastAsia="lv-LV"/>
              </w:rPr>
              <w:t xml:space="preserve">, neatkarīgi no apmēra </w:t>
            </w:r>
            <w:r w:rsidRPr="001851ED" w:rsidR="0018115F">
              <w:rPr>
                <w:rFonts w:ascii="Times New Roman" w:hAnsi="Times New Roman" w:eastAsia="Times New Roman" w:cs="Times New Roman"/>
                <w:sz w:val="24"/>
                <w:szCs w:val="24"/>
                <w:lang w:eastAsia="lv-LV"/>
              </w:rPr>
              <w:t xml:space="preserve">vai </w:t>
            </w:r>
            <w:r w:rsidRPr="001851ED" w:rsidR="001515F7">
              <w:rPr>
                <w:rFonts w:ascii="Times New Roman" w:hAnsi="Times New Roman" w:eastAsia="Times New Roman" w:cs="Times New Roman"/>
                <w:sz w:val="24"/>
                <w:szCs w:val="24"/>
                <w:lang w:eastAsia="lv-LV"/>
              </w:rPr>
              <w:t xml:space="preserve">panta daļas, </w:t>
            </w:r>
            <w:proofErr w:type="gramStart"/>
            <w:r w:rsidRPr="001851ED" w:rsidR="001515F7">
              <w:rPr>
                <w:rFonts w:ascii="Times New Roman" w:hAnsi="Times New Roman" w:eastAsia="Times New Roman" w:cs="Times New Roman"/>
                <w:sz w:val="24"/>
                <w:szCs w:val="24"/>
                <w:lang w:eastAsia="lv-LV"/>
              </w:rPr>
              <w:t>lai nodrošinātu, ka tie noziedzīgie nodarījumi, kas būtiski ietekmē investīciju vidi, tiek izskatīti</w:t>
            </w:r>
            <w:proofErr w:type="gramEnd"/>
            <w:r w:rsidRPr="001851ED" w:rsidR="001515F7">
              <w:rPr>
                <w:rFonts w:ascii="Times New Roman" w:hAnsi="Times New Roman" w:eastAsia="Times New Roman" w:cs="Times New Roman"/>
                <w:sz w:val="24"/>
                <w:szCs w:val="24"/>
                <w:lang w:eastAsia="lv-LV"/>
              </w:rPr>
              <w:t xml:space="preserve"> tiesās ātri un profesionāli. </w:t>
            </w:r>
            <w:r w:rsidRPr="001851ED" w:rsidR="00D11EC5">
              <w:rPr>
                <w:rFonts w:ascii="Times New Roman" w:hAnsi="Times New Roman" w:eastAsia="Times New Roman" w:cs="Times New Roman"/>
                <w:sz w:val="24"/>
                <w:szCs w:val="24"/>
                <w:lang w:eastAsia="lv-LV"/>
              </w:rPr>
              <w:t>Šobrīd Likumprojektā minēto lietu pilnīga nodošana nav iespējama, jo pastāv</w:t>
            </w:r>
            <w:r w:rsidRPr="001851ED" w:rsidR="00150915">
              <w:rPr>
                <w:rFonts w:ascii="Times New Roman" w:hAnsi="Times New Roman" w:eastAsia="Times New Roman" w:cs="Times New Roman"/>
                <w:sz w:val="24"/>
                <w:szCs w:val="24"/>
                <w:lang w:eastAsia="lv-LV"/>
              </w:rPr>
              <w:t xml:space="preserve"> iespējamība, ka lietu apmērs būs tāds, kas radīs</w:t>
            </w:r>
            <w:r w:rsidRPr="001851ED" w:rsidR="00D11EC5">
              <w:rPr>
                <w:rFonts w:ascii="Times New Roman" w:hAnsi="Times New Roman" w:eastAsia="Times New Roman" w:cs="Times New Roman"/>
                <w:sz w:val="24"/>
                <w:szCs w:val="24"/>
                <w:lang w:eastAsia="lv-LV"/>
              </w:rPr>
              <w:t xml:space="preserve"> salīdzinoši augst</w:t>
            </w:r>
            <w:r w:rsidRPr="001851ED" w:rsidR="00150915">
              <w:rPr>
                <w:rFonts w:ascii="Times New Roman" w:hAnsi="Times New Roman" w:eastAsia="Times New Roman" w:cs="Times New Roman"/>
                <w:sz w:val="24"/>
                <w:szCs w:val="24"/>
                <w:lang w:eastAsia="lv-LV"/>
              </w:rPr>
              <w:t>us</w:t>
            </w:r>
            <w:r w:rsidRPr="001851ED" w:rsidR="00D11EC5">
              <w:rPr>
                <w:rFonts w:ascii="Times New Roman" w:hAnsi="Times New Roman" w:eastAsia="Times New Roman" w:cs="Times New Roman"/>
                <w:sz w:val="24"/>
                <w:szCs w:val="24"/>
                <w:lang w:eastAsia="lv-LV"/>
              </w:rPr>
              <w:t xml:space="preserve"> risk</w:t>
            </w:r>
            <w:r w:rsidRPr="001851ED" w:rsidR="00150915">
              <w:rPr>
                <w:rFonts w:ascii="Times New Roman" w:hAnsi="Times New Roman" w:eastAsia="Times New Roman" w:cs="Times New Roman"/>
                <w:sz w:val="24"/>
                <w:szCs w:val="24"/>
                <w:lang w:eastAsia="lv-LV"/>
              </w:rPr>
              <w:t>u</w:t>
            </w:r>
            <w:r w:rsidRPr="001851ED" w:rsidR="00D11EC5">
              <w:rPr>
                <w:rFonts w:ascii="Times New Roman" w:hAnsi="Times New Roman" w:eastAsia="Times New Roman" w:cs="Times New Roman"/>
                <w:sz w:val="24"/>
                <w:szCs w:val="24"/>
                <w:lang w:eastAsia="lv-LV"/>
              </w:rPr>
              <w:t>s</w:t>
            </w:r>
            <w:r w:rsidRPr="001851ED" w:rsidR="00150915">
              <w:rPr>
                <w:rFonts w:ascii="Times New Roman" w:hAnsi="Times New Roman" w:eastAsia="Times New Roman" w:cs="Times New Roman"/>
                <w:sz w:val="24"/>
                <w:szCs w:val="24"/>
                <w:lang w:eastAsia="lv-LV"/>
              </w:rPr>
              <w:t xml:space="preserve"> </w:t>
            </w:r>
            <w:r w:rsidRPr="001851ED" w:rsidR="00D11EC5">
              <w:rPr>
                <w:rFonts w:ascii="Times New Roman" w:hAnsi="Times New Roman" w:eastAsia="Times New Roman" w:cs="Times New Roman"/>
                <w:sz w:val="24"/>
                <w:szCs w:val="24"/>
                <w:lang w:eastAsia="lv-LV"/>
              </w:rPr>
              <w:t>tiesas kapacitāt</w:t>
            </w:r>
            <w:r w:rsidRPr="001851ED" w:rsidR="0018115F">
              <w:rPr>
                <w:rFonts w:ascii="Times New Roman" w:hAnsi="Times New Roman" w:eastAsia="Times New Roman" w:cs="Times New Roman"/>
                <w:sz w:val="24"/>
                <w:szCs w:val="24"/>
                <w:lang w:eastAsia="lv-LV"/>
              </w:rPr>
              <w:t>e</w:t>
            </w:r>
            <w:r w:rsidRPr="001851ED" w:rsidR="00D11EC5">
              <w:rPr>
                <w:rFonts w:ascii="Times New Roman" w:hAnsi="Times New Roman" w:eastAsia="Times New Roman" w:cs="Times New Roman"/>
                <w:sz w:val="24"/>
                <w:szCs w:val="24"/>
                <w:lang w:eastAsia="lv-LV"/>
              </w:rPr>
              <w:t>i sākuma posmā. Bez tam par papildus lietu kategoriju nodošanu Ekonomisko lietu tiesai, tiks lemts pēc Ekonomisko lietu tiesas darbības uzsākšanas</w:t>
            </w:r>
            <w:r w:rsidRPr="001851ED" w:rsidR="0018115F">
              <w:rPr>
                <w:rFonts w:ascii="Times New Roman" w:hAnsi="Times New Roman" w:eastAsia="Times New Roman" w:cs="Times New Roman"/>
                <w:sz w:val="24"/>
                <w:szCs w:val="24"/>
                <w:lang w:eastAsia="lv-LV"/>
              </w:rPr>
              <w:t>. L</w:t>
            </w:r>
            <w:r w:rsidRPr="001851ED" w:rsidR="00D11EC5">
              <w:rPr>
                <w:rFonts w:ascii="Times New Roman" w:hAnsi="Times New Roman" w:eastAsia="Times New Roman" w:cs="Times New Roman"/>
                <w:sz w:val="24"/>
                <w:szCs w:val="24"/>
                <w:lang w:eastAsia="lv-LV"/>
              </w:rPr>
              <w:t xml:space="preserve">ai objektīvi novērtētu Ekonomisko lietu tiesas darbību, ir nepieciešami </w:t>
            </w:r>
            <w:r w:rsidRPr="001851ED" w:rsidR="003364E2">
              <w:rPr>
                <w:rFonts w:ascii="Times New Roman" w:hAnsi="Times New Roman" w:eastAsia="Times New Roman" w:cs="Times New Roman"/>
                <w:sz w:val="24"/>
                <w:szCs w:val="24"/>
                <w:lang w:eastAsia="lv-LV"/>
              </w:rPr>
              <w:t>laiks</w:t>
            </w:r>
            <w:r w:rsidRPr="001851ED" w:rsidR="0018115F">
              <w:rPr>
                <w:rFonts w:ascii="Times New Roman" w:hAnsi="Times New Roman" w:eastAsia="Times New Roman" w:cs="Times New Roman"/>
                <w:sz w:val="24"/>
                <w:szCs w:val="24"/>
                <w:lang w:eastAsia="lv-LV"/>
              </w:rPr>
              <w:t>. L</w:t>
            </w:r>
            <w:r w:rsidRPr="001851ED" w:rsidR="00D11EC5">
              <w:rPr>
                <w:rFonts w:ascii="Times New Roman" w:hAnsi="Times New Roman" w:eastAsia="Times New Roman" w:cs="Times New Roman"/>
                <w:sz w:val="24"/>
                <w:szCs w:val="24"/>
                <w:lang w:eastAsia="lv-LV"/>
              </w:rPr>
              <w:t>ai spriestu par tiesas kapacitāti un kopējo tiesas ietekmi uz pārējo lietu izskatīšanu. Atkarībā no šiem apstākļiem, tiks lemts par Ekonomisko lietu tiesas kompetences paplašināšanu.</w:t>
            </w:r>
            <w:r w:rsidRPr="00150915" w:rsidR="00D11EC5">
              <w:rPr>
                <w:rFonts w:ascii="Times New Roman" w:hAnsi="Times New Roman" w:eastAsia="Times New Roman" w:cs="Times New Roman"/>
                <w:b/>
                <w:bCs/>
                <w:sz w:val="24"/>
                <w:szCs w:val="24"/>
                <w:lang w:eastAsia="lv-LV"/>
              </w:rPr>
              <w:t xml:space="preserve">  </w:t>
            </w:r>
          </w:p>
          <w:p w:rsidRPr="001E6F28" w:rsidR="009E1BF0" w:rsidP="007F5CF3" w:rsidRDefault="00D11EC5" w14:paraId="22FCC21E" w14:textId="7A55426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U</w:t>
            </w:r>
            <w:r w:rsidR="009E1BF0">
              <w:rPr>
                <w:rFonts w:ascii="Times New Roman" w:hAnsi="Times New Roman" w:eastAsia="Times New Roman" w:cs="Times New Roman"/>
                <w:sz w:val="24"/>
                <w:szCs w:val="24"/>
                <w:lang w:eastAsia="lv-LV"/>
              </w:rPr>
              <w:t xml:space="preserve">zklausot iesaistīto viedokļus, secināts, ka, ja iespējams nodrošināt nepieciešamo kapacitāti, </w:t>
            </w:r>
            <w:r w:rsidRPr="00C77197" w:rsidR="0018115F">
              <w:rPr>
                <w:rFonts w:ascii="Times New Roman" w:hAnsi="Times New Roman" w:eastAsia="Times New Roman" w:cs="Times New Roman"/>
                <w:b/>
                <w:bCs/>
                <w:sz w:val="24"/>
                <w:szCs w:val="24"/>
                <w:lang w:eastAsia="lv-LV"/>
              </w:rPr>
              <w:t xml:space="preserve">izvērtējama arī šādu </w:t>
            </w:r>
            <w:r w:rsidR="0018115F">
              <w:rPr>
                <w:rFonts w:ascii="Times New Roman" w:hAnsi="Times New Roman" w:eastAsia="Times New Roman" w:cs="Times New Roman"/>
                <w:b/>
                <w:bCs/>
                <w:sz w:val="24"/>
                <w:szCs w:val="24"/>
                <w:lang w:eastAsia="lv-LV"/>
              </w:rPr>
              <w:t>krimināllietu</w:t>
            </w:r>
            <w:r w:rsidRPr="00C77197" w:rsidR="0018115F">
              <w:rPr>
                <w:rFonts w:ascii="Times New Roman" w:hAnsi="Times New Roman" w:eastAsia="Times New Roman" w:cs="Times New Roman"/>
                <w:b/>
                <w:bCs/>
                <w:sz w:val="24"/>
                <w:szCs w:val="24"/>
                <w:lang w:eastAsia="lv-LV"/>
              </w:rPr>
              <w:t xml:space="preserve"> izskatīšanas nodošana</w:t>
            </w:r>
            <w:r w:rsidRPr="001851ED" w:rsidR="0018115F">
              <w:rPr>
                <w:rFonts w:ascii="Times New Roman" w:hAnsi="Times New Roman" w:eastAsia="Times New Roman" w:cs="Times New Roman"/>
                <w:b/>
                <w:bCs/>
                <w:sz w:val="24"/>
                <w:szCs w:val="24"/>
                <w:lang w:eastAsia="lv-LV"/>
              </w:rPr>
              <w:t xml:space="preserve"> Ekonomisko lietu tiesai</w:t>
            </w:r>
            <w:r w:rsidRPr="001851ED" w:rsidR="009E1BF0">
              <w:rPr>
                <w:rFonts w:ascii="Times New Roman" w:hAnsi="Times New Roman" w:eastAsia="Times New Roman" w:cs="Times New Roman"/>
                <w:b/>
                <w:bCs/>
                <w:sz w:val="24"/>
                <w:szCs w:val="24"/>
                <w:lang w:eastAsia="lv-LV"/>
              </w:rPr>
              <w:t>:</w:t>
            </w:r>
            <w:r w:rsidRPr="001E6F28" w:rsidR="009E1BF0">
              <w:rPr>
                <w:rFonts w:ascii="Times New Roman" w:hAnsi="Times New Roman" w:eastAsia="Times New Roman" w:cs="Times New Roman"/>
                <w:sz w:val="24"/>
                <w:szCs w:val="24"/>
                <w:lang w:eastAsia="lv-LV"/>
              </w:rPr>
              <w:t xml:space="preserve"> </w:t>
            </w:r>
          </w:p>
          <w:p w:rsidRPr="001E6F28" w:rsidR="009E1BF0" w:rsidP="00D11EC5" w:rsidRDefault="009E1BF0" w14:paraId="55AFAB53" w14:textId="1D7A6F4E">
            <w:pPr>
              <w:pStyle w:val="Sarakstarindkopa"/>
              <w:numPr>
                <w:ilvl w:val="0"/>
                <w:numId w:val="9"/>
              </w:numPr>
              <w:spacing w:after="0" w:line="240" w:lineRule="auto"/>
              <w:ind w:left="0" w:firstLine="387"/>
              <w:jc w:val="both"/>
              <w:rPr>
                <w:rFonts w:ascii="Times New Roman" w:hAnsi="Times New Roman" w:cs="Times New Roman"/>
                <w:sz w:val="24"/>
                <w:szCs w:val="24"/>
              </w:rPr>
            </w:pPr>
            <w:r w:rsidRPr="001E6F28">
              <w:rPr>
                <w:rFonts w:ascii="Times New Roman" w:hAnsi="Times New Roman" w:cs="Times New Roman"/>
                <w:sz w:val="24"/>
                <w:szCs w:val="24"/>
              </w:rPr>
              <w:t>177.</w:t>
            </w:r>
            <w:r w:rsidR="00D11EC5">
              <w:rPr>
                <w:rFonts w:ascii="Times New Roman" w:hAnsi="Times New Roman" w:cs="Times New Roman"/>
                <w:sz w:val="24"/>
                <w:szCs w:val="24"/>
              </w:rPr>
              <w:t xml:space="preserve"> </w:t>
            </w:r>
            <w:r w:rsidRPr="001E6F28">
              <w:rPr>
                <w:rFonts w:ascii="Times New Roman" w:hAnsi="Times New Roman" w:cs="Times New Roman"/>
                <w:sz w:val="24"/>
                <w:szCs w:val="24"/>
              </w:rPr>
              <w:t xml:space="preserve">panta trešā daļa par krāpšanu, ja tā izdarīta lielā apmērā vai ja to izdarījusi organizēta grupa, vai ja tā </w:t>
            </w:r>
            <w:r w:rsidRPr="001E6F28">
              <w:rPr>
                <w:rFonts w:ascii="Times New Roman" w:hAnsi="Times New Roman" w:cs="Times New Roman"/>
                <w:sz w:val="24"/>
                <w:szCs w:val="24"/>
              </w:rPr>
              <w:lastRenderedPageBreak/>
              <w:t>izdarīta, iegūstot narkotiskās, psihotropās, stipri iedarbīgās, indīgās vai radioaktīvās vielas, sprāgstvielas, šaujam</w:t>
            </w:r>
            <w:r w:rsidRPr="001E6F28">
              <w:rPr>
                <w:rFonts w:ascii="Times New Roman" w:hAnsi="Times New Roman" w:cs="Times New Roman"/>
                <w:sz w:val="24"/>
                <w:szCs w:val="24"/>
              </w:rPr>
              <w:softHyphen/>
              <w:t>ieročus vai munīciju;</w:t>
            </w:r>
          </w:p>
          <w:p w:rsidRPr="00BB1D7F" w:rsidR="009E1BF0" w:rsidP="00D11EC5" w:rsidRDefault="009E1BF0" w14:paraId="4F4C725B" w14:textId="7C7B0054">
            <w:pPr>
              <w:pStyle w:val="Sarakstarindkopa"/>
              <w:numPr>
                <w:ilvl w:val="0"/>
                <w:numId w:val="9"/>
              </w:numPr>
              <w:spacing w:after="0" w:line="240" w:lineRule="auto"/>
              <w:ind w:left="0" w:firstLine="387"/>
              <w:jc w:val="both"/>
              <w:rPr>
                <w:rFonts w:ascii="Times New Roman" w:hAnsi="Times New Roman" w:cs="Times New Roman"/>
                <w:sz w:val="24"/>
                <w:szCs w:val="24"/>
              </w:rPr>
            </w:pPr>
            <w:r w:rsidRPr="00BB1D7F">
              <w:rPr>
                <w:rFonts w:ascii="Times New Roman" w:hAnsi="Times New Roman" w:eastAsia="Calibri" w:cs="Times New Roman"/>
                <w:sz w:val="24"/>
                <w:szCs w:val="24"/>
              </w:rPr>
              <w:t>177.</w:t>
            </w:r>
            <w:r w:rsidRPr="00BB1D7F">
              <w:rPr>
                <w:rFonts w:ascii="Times New Roman" w:hAnsi="Times New Roman" w:eastAsia="Calibri" w:cs="Times New Roman"/>
                <w:sz w:val="24"/>
                <w:szCs w:val="24"/>
                <w:vertAlign w:val="superscript"/>
              </w:rPr>
              <w:t>1</w:t>
            </w:r>
            <w:r w:rsidRPr="00BB1D7F">
              <w:rPr>
                <w:rFonts w:ascii="Times New Roman" w:hAnsi="Times New Roman" w:eastAsia="Calibri" w:cs="Times New Roman"/>
                <w:sz w:val="24"/>
                <w:szCs w:val="24"/>
              </w:rPr>
              <w:t xml:space="preserve"> panta trešā daļa p</w:t>
            </w:r>
            <w:r w:rsidRPr="00BB1D7F">
              <w:rPr>
                <w:rFonts w:ascii="Times New Roman" w:hAnsi="Times New Roman" w:cs="Times New Roman"/>
                <w:sz w:val="24"/>
                <w:szCs w:val="24"/>
              </w:rPr>
              <w:t>ar datorkrāpšanu, ja tā izdarīta lielā apmērā vai ja to izdarījusi organizēta grupa</w:t>
            </w:r>
            <w:r w:rsidRPr="00BB1D7F" w:rsidR="000C2EF8">
              <w:rPr>
                <w:rFonts w:ascii="Times New Roman" w:hAnsi="Times New Roman" w:cs="Times New Roman"/>
                <w:sz w:val="24"/>
                <w:szCs w:val="24"/>
              </w:rPr>
              <w:t xml:space="preserve"> (atbilst arī Iekšlietu ministrijas viedoklim)</w:t>
            </w:r>
            <w:r w:rsidRPr="00BB1D7F">
              <w:rPr>
                <w:rFonts w:ascii="Times New Roman" w:hAnsi="Times New Roman" w:cs="Times New Roman"/>
                <w:sz w:val="24"/>
                <w:szCs w:val="24"/>
              </w:rPr>
              <w:t>;</w:t>
            </w:r>
          </w:p>
          <w:p w:rsidRPr="001E6F28" w:rsidR="009E1BF0" w:rsidP="00D11EC5" w:rsidRDefault="009E1BF0" w14:paraId="42CBF9C8" w14:textId="77777777">
            <w:pPr>
              <w:pStyle w:val="Sarakstarindkopa"/>
              <w:numPr>
                <w:ilvl w:val="0"/>
                <w:numId w:val="9"/>
              </w:numPr>
              <w:spacing w:after="0" w:line="240" w:lineRule="auto"/>
              <w:ind w:left="0" w:firstLine="387"/>
              <w:jc w:val="both"/>
              <w:rPr>
                <w:rFonts w:ascii="Times New Roman" w:hAnsi="Times New Roman" w:cs="Times New Roman"/>
                <w:sz w:val="24"/>
                <w:szCs w:val="24"/>
              </w:rPr>
            </w:pPr>
            <w:proofErr w:type="gramStart"/>
            <w:r w:rsidRPr="00BB1D7F">
              <w:rPr>
                <w:rFonts w:ascii="Times New Roman" w:hAnsi="Times New Roman" w:cs="Times New Roman"/>
                <w:sz w:val="24"/>
                <w:szCs w:val="24"/>
              </w:rPr>
              <w:t>179.panta</w:t>
            </w:r>
            <w:proofErr w:type="gramEnd"/>
            <w:r w:rsidRPr="00BB1D7F">
              <w:rPr>
                <w:rFonts w:ascii="Times New Roman" w:hAnsi="Times New Roman" w:cs="Times New Roman"/>
                <w:sz w:val="24"/>
                <w:szCs w:val="24"/>
              </w:rPr>
              <w:t xml:space="preserve"> trešā daļa par piesavināšanos, ja tā izdarīta lielā apmērā, kā arī par narkotisko, psihotropo</w:t>
            </w:r>
            <w:r w:rsidRPr="001E6F28">
              <w:rPr>
                <w:rFonts w:ascii="Times New Roman" w:hAnsi="Times New Roman" w:cs="Times New Roman"/>
                <w:sz w:val="24"/>
                <w:szCs w:val="24"/>
              </w:rPr>
              <w:t>, stipri iedarbīgo, indīgo vai radioaktīvo vielu, sprāgstvielu, šaujamieroču vai munīcijas piesavināšanos;</w:t>
            </w:r>
          </w:p>
          <w:p w:rsidRPr="001E6F28" w:rsidR="009E1BF0" w:rsidP="00D11EC5" w:rsidRDefault="009E1BF0" w14:paraId="263A36A3" w14:textId="13C34A5A">
            <w:pPr>
              <w:pStyle w:val="Sarakstarindkopa"/>
              <w:numPr>
                <w:ilvl w:val="0"/>
                <w:numId w:val="9"/>
              </w:numPr>
              <w:spacing w:after="0" w:line="240" w:lineRule="auto"/>
              <w:ind w:left="0" w:firstLine="387"/>
              <w:jc w:val="both"/>
              <w:rPr>
                <w:rFonts w:ascii="Times New Roman" w:hAnsi="Times New Roman" w:cs="Times New Roman"/>
                <w:sz w:val="24"/>
                <w:szCs w:val="24"/>
              </w:rPr>
            </w:pPr>
            <w:proofErr w:type="gramStart"/>
            <w:r w:rsidRPr="001E6F28">
              <w:rPr>
                <w:rFonts w:ascii="Times New Roman" w:hAnsi="Times New Roman" w:cs="Times New Roman"/>
                <w:sz w:val="24"/>
                <w:szCs w:val="24"/>
              </w:rPr>
              <w:t>190.panta</w:t>
            </w:r>
            <w:proofErr w:type="gramEnd"/>
            <w:r w:rsidRPr="001E6F28">
              <w:rPr>
                <w:rFonts w:ascii="Times New Roman" w:hAnsi="Times New Roman" w:cs="Times New Roman"/>
                <w:sz w:val="24"/>
                <w:szCs w:val="24"/>
              </w:rPr>
              <w:t xml:space="preserve"> trešā daļa par </w:t>
            </w:r>
            <w:r w:rsidRPr="001E6F28" w:rsidR="00F64FE5">
              <w:rPr>
                <w:rFonts w:ascii="Times New Roman" w:hAnsi="Times New Roman" w:cs="Times New Roman"/>
                <w:sz w:val="24"/>
                <w:szCs w:val="24"/>
              </w:rPr>
              <w:t>kontr</w:t>
            </w:r>
            <w:r w:rsidR="00F64FE5">
              <w:rPr>
                <w:rFonts w:ascii="Times New Roman" w:hAnsi="Times New Roman" w:cs="Times New Roman"/>
                <w:sz w:val="24"/>
                <w:szCs w:val="24"/>
              </w:rPr>
              <w:t>a</w:t>
            </w:r>
            <w:r w:rsidRPr="001E6F28" w:rsidR="00F64FE5">
              <w:rPr>
                <w:rFonts w:ascii="Times New Roman" w:hAnsi="Times New Roman" w:cs="Times New Roman"/>
                <w:sz w:val="24"/>
                <w:szCs w:val="24"/>
              </w:rPr>
              <w:t>bandu</w:t>
            </w:r>
            <w:r w:rsidRPr="001E6F28">
              <w:rPr>
                <w:rFonts w:ascii="Times New Roman" w:hAnsi="Times New Roman" w:cs="Times New Roman"/>
                <w:sz w:val="24"/>
                <w:szCs w:val="24"/>
              </w:rPr>
              <w:t>, ja to izdarījusi organizēta grupa, vai par kontrabandu, ja tā izdarīta lielā apmērā;</w:t>
            </w:r>
          </w:p>
          <w:p w:rsidRPr="00522E8B" w:rsidR="009E1BF0" w:rsidP="00D11EC5" w:rsidRDefault="009E1BF0" w14:paraId="224EE1E9" w14:textId="77777777">
            <w:pPr>
              <w:pStyle w:val="Sarakstarindkopa"/>
              <w:numPr>
                <w:ilvl w:val="0"/>
                <w:numId w:val="9"/>
              </w:numPr>
              <w:spacing w:after="0" w:line="240" w:lineRule="auto"/>
              <w:ind w:left="0" w:firstLine="387"/>
              <w:jc w:val="both"/>
              <w:rPr>
                <w:rFonts w:ascii="Times New Roman" w:hAnsi="Times New Roman" w:eastAsia="Calibri" w:cs="Times New Roman"/>
                <w:sz w:val="24"/>
                <w:szCs w:val="24"/>
              </w:rPr>
            </w:pPr>
            <w:r w:rsidRPr="001E6F28">
              <w:rPr>
                <w:rFonts w:ascii="Times New Roman" w:hAnsi="Times New Roman" w:eastAsia="Calibri" w:cs="Times New Roman"/>
                <w:sz w:val="24"/>
                <w:szCs w:val="24"/>
              </w:rPr>
              <w:t>191. panta trešā daļ</w:t>
            </w:r>
            <w:r>
              <w:rPr>
                <w:rFonts w:ascii="Times New Roman" w:hAnsi="Times New Roman" w:eastAsia="Calibri" w:cs="Times New Roman"/>
                <w:sz w:val="24"/>
                <w:szCs w:val="24"/>
              </w:rPr>
              <w:t>a p</w:t>
            </w:r>
            <w:r w:rsidRPr="001E6F28">
              <w:rPr>
                <w:rFonts w:ascii="Times New Roman" w:hAnsi="Times New Roman" w:cs="Times New Roman"/>
                <w:sz w:val="24"/>
                <w:szCs w:val="24"/>
              </w:rPr>
              <w:t xml:space="preserve">ar muitošanai pakļauto preču vai citu vērtību glabāšanu, pārvadāšanu, pārsūtīšanu vai </w:t>
            </w:r>
            <w:r w:rsidRPr="00522E8B">
              <w:rPr>
                <w:rFonts w:ascii="Times New Roman" w:hAnsi="Times New Roman" w:cs="Times New Roman"/>
                <w:sz w:val="24"/>
                <w:szCs w:val="24"/>
              </w:rPr>
              <w:t>realizēšanu Latvijas Republikas muitas teritorijā bez muitas iestāžu atļaujas, ja tas izdarīts lielā apmērā;</w:t>
            </w:r>
            <w:r w:rsidRPr="00522E8B">
              <w:rPr>
                <w:rFonts w:ascii="Times New Roman" w:hAnsi="Times New Roman" w:eastAsia="Calibri" w:cs="Times New Roman"/>
                <w:sz w:val="24"/>
                <w:szCs w:val="24"/>
              </w:rPr>
              <w:t xml:space="preserve"> </w:t>
            </w:r>
          </w:p>
          <w:p w:rsidRPr="0091500E" w:rsidR="007A3414" w:rsidP="00D11EC5" w:rsidRDefault="007A3414" w14:paraId="49552E32" w14:textId="381A0F2B">
            <w:pPr>
              <w:pStyle w:val="Sarakstarindkopa"/>
              <w:numPr>
                <w:ilvl w:val="0"/>
                <w:numId w:val="9"/>
              </w:numPr>
              <w:spacing w:after="0" w:line="240" w:lineRule="auto"/>
              <w:ind w:left="0" w:firstLine="387"/>
              <w:jc w:val="both"/>
              <w:rPr>
                <w:rFonts w:ascii="Times New Roman" w:hAnsi="Times New Roman" w:eastAsia="Times New Roman" w:cs="Times New Roman"/>
                <w:b/>
                <w:bCs/>
                <w:sz w:val="24"/>
                <w:szCs w:val="24"/>
                <w:lang w:eastAsia="lv-LV"/>
              </w:rPr>
            </w:pPr>
            <w:r w:rsidRPr="0091500E">
              <w:rPr>
                <w:rFonts w:ascii="Times New Roman" w:hAnsi="Times New Roman" w:eastAsia="Times New Roman" w:cs="Times New Roman"/>
                <w:b/>
                <w:bCs/>
                <w:sz w:val="24"/>
                <w:szCs w:val="24"/>
                <w:lang w:eastAsia="lv-LV"/>
              </w:rPr>
              <w:t>218.</w:t>
            </w:r>
            <w:r w:rsidR="00792711">
              <w:rPr>
                <w:rFonts w:ascii="Times New Roman" w:hAnsi="Times New Roman" w:eastAsia="Times New Roman" w:cs="Times New Roman"/>
                <w:b/>
                <w:bCs/>
                <w:sz w:val="24"/>
                <w:szCs w:val="24"/>
                <w:lang w:eastAsia="lv-LV"/>
              </w:rPr>
              <w:t xml:space="preserve"> panta otrā daļa p</w:t>
            </w:r>
            <w:r w:rsidRPr="0091500E">
              <w:rPr>
                <w:rFonts w:ascii="Times New Roman" w:hAnsi="Times New Roman" w:eastAsia="Times New Roman" w:cs="Times New Roman"/>
                <w:b/>
                <w:bCs/>
                <w:sz w:val="24"/>
                <w:szCs w:val="24"/>
                <w:lang w:eastAsia="lv-LV"/>
              </w:rPr>
              <w:t>ar izvairīšanos no nodokļu vai tiem pielīdzināto maksājumu nomaksas vai par ienākumu, peļņas vai citu ar nodokli apliekamo objektu slēpšanu vai samazināšanu, ja ar to nodarīti zaudējumi valstij vai pašvaldībai lielā apmērā;</w:t>
            </w:r>
          </w:p>
          <w:p w:rsidRPr="0091500E" w:rsidR="007A3414" w:rsidP="00D11EC5" w:rsidRDefault="007A3414" w14:paraId="229E17C2" w14:textId="45E0282A">
            <w:pPr>
              <w:pStyle w:val="Sarakstarindkopa"/>
              <w:numPr>
                <w:ilvl w:val="0"/>
                <w:numId w:val="9"/>
              </w:numPr>
              <w:spacing w:after="0" w:line="240" w:lineRule="auto"/>
              <w:ind w:left="0" w:firstLine="387"/>
              <w:jc w:val="both"/>
              <w:rPr>
                <w:rFonts w:ascii="Times New Roman" w:hAnsi="Times New Roman" w:eastAsia="Times New Roman" w:cs="Times New Roman"/>
                <w:b/>
                <w:bCs/>
                <w:sz w:val="24"/>
                <w:szCs w:val="24"/>
                <w:lang w:eastAsia="lv-LV"/>
              </w:rPr>
            </w:pPr>
            <w:r w:rsidRPr="0091500E">
              <w:rPr>
                <w:rFonts w:ascii="Times New Roman" w:hAnsi="Times New Roman" w:eastAsia="Times New Roman" w:cs="Times New Roman"/>
                <w:b/>
                <w:bCs/>
                <w:sz w:val="24"/>
                <w:szCs w:val="24"/>
                <w:lang w:eastAsia="lv-LV"/>
              </w:rPr>
              <w:t>218.</w:t>
            </w:r>
            <w:r w:rsidR="00792711">
              <w:rPr>
                <w:rFonts w:ascii="Times New Roman" w:hAnsi="Times New Roman" w:eastAsia="Times New Roman" w:cs="Times New Roman"/>
                <w:b/>
                <w:bCs/>
                <w:sz w:val="24"/>
                <w:szCs w:val="24"/>
                <w:lang w:eastAsia="lv-LV"/>
              </w:rPr>
              <w:t xml:space="preserve"> panta trešā daļa par </w:t>
            </w:r>
            <w:r w:rsidRPr="0091500E">
              <w:rPr>
                <w:rFonts w:ascii="Times New Roman" w:hAnsi="Times New Roman" w:eastAsia="Times New Roman" w:cs="Times New Roman"/>
                <w:b/>
                <w:bCs/>
                <w:sz w:val="24"/>
                <w:szCs w:val="24"/>
                <w:lang w:eastAsia="lv-LV"/>
              </w:rPr>
              <w:t>izvairīšanos no nodokļu vai tiem pielīdzināto maksājumu nomaksas vai par ienākumu, peļņas vai citu ar nodokli apliekamo objektu slēpšanu vai samazināšanu</w:t>
            </w:r>
            <w:proofErr w:type="gramStart"/>
            <w:r w:rsidRPr="0091500E">
              <w:rPr>
                <w:rFonts w:ascii="Times New Roman" w:hAnsi="Times New Roman" w:eastAsia="Times New Roman" w:cs="Times New Roman"/>
                <w:b/>
                <w:bCs/>
                <w:sz w:val="24"/>
                <w:szCs w:val="24"/>
                <w:lang w:eastAsia="lv-LV"/>
              </w:rPr>
              <w:t xml:space="preserve"> ja to izdarījusi</w:t>
            </w:r>
            <w:proofErr w:type="gramEnd"/>
            <w:r w:rsidRPr="0091500E">
              <w:rPr>
                <w:rFonts w:ascii="Times New Roman" w:hAnsi="Times New Roman" w:eastAsia="Times New Roman" w:cs="Times New Roman"/>
                <w:b/>
                <w:bCs/>
                <w:sz w:val="24"/>
                <w:szCs w:val="24"/>
                <w:lang w:eastAsia="lv-LV"/>
              </w:rPr>
              <w:t xml:space="preserve"> organizēta grupa</w:t>
            </w:r>
            <w:r w:rsidR="00792711">
              <w:rPr>
                <w:rFonts w:ascii="Times New Roman" w:hAnsi="Times New Roman" w:eastAsia="Times New Roman" w:cs="Times New Roman"/>
                <w:b/>
                <w:bCs/>
                <w:sz w:val="24"/>
                <w:szCs w:val="24"/>
                <w:lang w:eastAsia="lv-LV"/>
              </w:rPr>
              <w:t>;</w:t>
            </w:r>
          </w:p>
          <w:p w:rsidRPr="00522E8B" w:rsidR="009E1BF0" w:rsidP="007A3414" w:rsidRDefault="009E1BF0" w14:paraId="473D6130" w14:textId="3DDC5928">
            <w:pPr>
              <w:pStyle w:val="Sarakstarindkopa"/>
              <w:numPr>
                <w:ilvl w:val="0"/>
                <w:numId w:val="9"/>
              </w:numPr>
              <w:tabs>
                <w:tab w:val="left" w:pos="811"/>
              </w:tabs>
              <w:spacing w:after="0" w:line="240" w:lineRule="auto"/>
              <w:ind w:left="0" w:firstLine="387"/>
              <w:jc w:val="both"/>
              <w:rPr>
                <w:rFonts w:ascii="Times New Roman" w:hAnsi="Times New Roman" w:eastAsia="Times New Roman" w:cs="Times New Roman"/>
                <w:sz w:val="24"/>
                <w:szCs w:val="24"/>
                <w:lang w:eastAsia="lv-LV"/>
              </w:rPr>
            </w:pPr>
            <w:r w:rsidRPr="00522E8B">
              <w:rPr>
                <w:rFonts w:ascii="Times New Roman" w:hAnsi="Times New Roman" w:eastAsia="Calibri" w:cs="Times New Roman"/>
                <w:sz w:val="24"/>
                <w:szCs w:val="24"/>
              </w:rPr>
              <w:t>220.</w:t>
            </w:r>
            <w:r w:rsidRPr="00522E8B">
              <w:rPr>
                <w:rFonts w:ascii="Times New Roman" w:hAnsi="Times New Roman" w:eastAsia="Calibri" w:cs="Times New Roman"/>
                <w:sz w:val="24"/>
                <w:szCs w:val="24"/>
                <w:vertAlign w:val="superscript"/>
              </w:rPr>
              <w:t>1</w:t>
            </w:r>
            <w:r w:rsidRPr="00522E8B">
              <w:rPr>
                <w:rFonts w:ascii="Times New Roman" w:hAnsi="Times New Roman" w:eastAsia="Calibri" w:cs="Times New Roman"/>
                <w:sz w:val="24"/>
                <w:szCs w:val="24"/>
              </w:rPr>
              <w:t xml:space="preserve"> panta otrā daļa p</w:t>
            </w:r>
            <w:r w:rsidRPr="00522E8B">
              <w:rPr>
                <w:rFonts w:ascii="Times New Roman" w:hAnsi="Times New Roman" w:eastAsia="Times New Roman" w:cs="Times New Roman"/>
                <w:sz w:val="24"/>
                <w:szCs w:val="24"/>
                <w:lang w:eastAsia="lv-LV"/>
              </w:rPr>
              <w:t>ar naftas produktu nelikumīgu uzglabāšanu, pārvietošanu (pārvadāšanu) vai realizāciju, ja tā izdarīta lielā apmērā;</w:t>
            </w:r>
          </w:p>
          <w:p w:rsidRPr="00522E8B" w:rsidR="009E1BF0" w:rsidP="0091500E" w:rsidRDefault="009E1BF0" w14:paraId="18C65B76" w14:textId="77777777">
            <w:pPr>
              <w:pStyle w:val="Sarakstarindkopa"/>
              <w:numPr>
                <w:ilvl w:val="0"/>
                <w:numId w:val="9"/>
              </w:numPr>
              <w:tabs>
                <w:tab w:val="left" w:pos="811"/>
              </w:tabs>
              <w:spacing w:after="0" w:line="240" w:lineRule="auto"/>
              <w:ind w:left="0" w:firstLine="387"/>
              <w:jc w:val="both"/>
              <w:rPr>
                <w:rFonts w:ascii="Times New Roman" w:hAnsi="Times New Roman" w:eastAsia="Times New Roman" w:cs="Times New Roman"/>
                <w:sz w:val="24"/>
                <w:szCs w:val="24"/>
                <w:lang w:eastAsia="lv-LV"/>
              </w:rPr>
            </w:pPr>
            <w:r w:rsidRPr="00522E8B">
              <w:rPr>
                <w:rFonts w:ascii="Times New Roman" w:hAnsi="Times New Roman" w:eastAsia="Calibri" w:cs="Times New Roman"/>
                <w:sz w:val="24"/>
                <w:szCs w:val="24"/>
              </w:rPr>
              <w:t>220.</w:t>
            </w:r>
            <w:r w:rsidRPr="00522E8B">
              <w:rPr>
                <w:rFonts w:ascii="Times New Roman" w:hAnsi="Times New Roman" w:eastAsia="Calibri" w:cs="Times New Roman"/>
                <w:sz w:val="24"/>
                <w:szCs w:val="24"/>
                <w:vertAlign w:val="superscript"/>
              </w:rPr>
              <w:t>1</w:t>
            </w:r>
            <w:r w:rsidRPr="00522E8B">
              <w:rPr>
                <w:rFonts w:ascii="Times New Roman" w:hAnsi="Times New Roman" w:eastAsia="Calibri" w:cs="Times New Roman"/>
                <w:sz w:val="24"/>
                <w:szCs w:val="24"/>
              </w:rPr>
              <w:t xml:space="preserve"> panta trešā daļa p</w:t>
            </w:r>
            <w:r w:rsidRPr="00522E8B">
              <w:rPr>
                <w:rFonts w:ascii="Times New Roman" w:hAnsi="Times New Roman" w:eastAsia="Times New Roman" w:cs="Times New Roman"/>
                <w:sz w:val="24"/>
                <w:szCs w:val="24"/>
                <w:lang w:eastAsia="lv-LV"/>
              </w:rPr>
              <w:t>ar naftas produktu nelikumīgu uzglabāšanu, pārvietošanu (pārvadāšanu) vai realizāciju, ja to izdarījusi personu grupa pēc iepriekšējas vienošanās;</w:t>
            </w:r>
          </w:p>
          <w:p w:rsidRPr="00522E8B" w:rsidR="009E1BF0" w:rsidP="0091500E" w:rsidRDefault="009E1BF0" w14:paraId="0CAF7C5C" w14:textId="46080C1A">
            <w:pPr>
              <w:pStyle w:val="Sarakstarindkopa"/>
              <w:numPr>
                <w:ilvl w:val="0"/>
                <w:numId w:val="9"/>
              </w:numPr>
              <w:tabs>
                <w:tab w:val="left" w:pos="954"/>
              </w:tabs>
              <w:spacing w:after="0" w:line="240" w:lineRule="auto"/>
              <w:ind w:left="0" w:firstLine="387"/>
              <w:jc w:val="both"/>
              <w:rPr>
                <w:rFonts w:ascii="Times New Roman" w:hAnsi="Times New Roman" w:eastAsia="Times New Roman" w:cs="Times New Roman"/>
                <w:sz w:val="24"/>
                <w:szCs w:val="24"/>
                <w:lang w:eastAsia="lv-LV"/>
              </w:rPr>
            </w:pPr>
            <w:r w:rsidRPr="00522E8B">
              <w:rPr>
                <w:rFonts w:ascii="Times New Roman" w:hAnsi="Times New Roman" w:eastAsia="Calibri" w:cs="Times New Roman"/>
                <w:sz w:val="24"/>
                <w:szCs w:val="24"/>
              </w:rPr>
              <w:t>220.</w:t>
            </w:r>
            <w:r w:rsidRPr="00522E8B">
              <w:rPr>
                <w:rFonts w:ascii="Times New Roman" w:hAnsi="Times New Roman" w:eastAsia="Calibri" w:cs="Times New Roman"/>
                <w:sz w:val="24"/>
                <w:szCs w:val="24"/>
                <w:vertAlign w:val="superscript"/>
              </w:rPr>
              <w:t>1</w:t>
            </w:r>
            <w:r w:rsidRPr="00522E8B">
              <w:rPr>
                <w:rFonts w:ascii="Times New Roman" w:hAnsi="Times New Roman" w:eastAsia="Calibri" w:cs="Times New Roman"/>
                <w:sz w:val="24"/>
                <w:szCs w:val="24"/>
              </w:rPr>
              <w:t xml:space="preserve"> panta ceturtā daļa p</w:t>
            </w:r>
            <w:r w:rsidRPr="00522E8B">
              <w:rPr>
                <w:rFonts w:ascii="Times New Roman" w:hAnsi="Times New Roman" w:eastAsia="Times New Roman" w:cs="Times New Roman"/>
                <w:sz w:val="24"/>
                <w:szCs w:val="24"/>
                <w:lang w:eastAsia="lv-LV"/>
              </w:rPr>
              <w:t>ar naftas produktu nelikumīgu uzglabāšanu, pārvietošanu (pārvadāšanu) vai realizāciju, ja to izdarījusi organizēta grupa;</w:t>
            </w:r>
          </w:p>
          <w:p w:rsidRPr="00522E8B" w:rsidR="009E1BF0" w:rsidP="007A3414" w:rsidRDefault="009E1BF0" w14:paraId="43429BA1" w14:textId="77777777">
            <w:pPr>
              <w:pStyle w:val="Sarakstarindkopa"/>
              <w:numPr>
                <w:ilvl w:val="0"/>
                <w:numId w:val="9"/>
              </w:numPr>
              <w:tabs>
                <w:tab w:val="left" w:pos="954"/>
              </w:tabs>
              <w:spacing w:after="0" w:line="240" w:lineRule="auto"/>
              <w:ind w:left="0" w:firstLine="387"/>
              <w:jc w:val="both"/>
              <w:rPr>
                <w:rFonts w:ascii="Times New Roman" w:hAnsi="Times New Roman" w:cs="Times New Roman"/>
                <w:sz w:val="24"/>
                <w:szCs w:val="24"/>
              </w:rPr>
            </w:pPr>
            <w:r w:rsidRPr="00522E8B">
              <w:rPr>
                <w:rFonts w:ascii="Times New Roman" w:hAnsi="Times New Roman" w:eastAsia="Calibri" w:cs="Times New Roman"/>
                <w:sz w:val="24"/>
                <w:szCs w:val="24"/>
              </w:rPr>
              <w:t>221. panta trešā daļa p</w:t>
            </w:r>
            <w:r w:rsidRPr="00522E8B">
              <w:rPr>
                <w:rFonts w:ascii="Times New Roman" w:hAnsi="Times New Roman" w:cs="Times New Roman"/>
                <w:sz w:val="24"/>
                <w:szCs w:val="24"/>
              </w:rPr>
              <w:t>ar alkoholisko dzērienu vai tabakas izstrādājumu nelikumīgu uzglabāšanu, pārvietošanu (pārvadāšanu) vai realizāciju, ja tas</w:t>
            </w:r>
            <w:proofErr w:type="gramStart"/>
            <w:r w:rsidRPr="00522E8B">
              <w:rPr>
                <w:rFonts w:ascii="Times New Roman" w:hAnsi="Times New Roman" w:cs="Times New Roman"/>
                <w:sz w:val="24"/>
                <w:szCs w:val="24"/>
              </w:rPr>
              <w:t xml:space="preserve"> izdarīts lielā apmērā</w:t>
            </w:r>
            <w:proofErr w:type="gramEnd"/>
            <w:r w:rsidRPr="00522E8B">
              <w:rPr>
                <w:rFonts w:ascii="Times New Roman" w:hAnsi="Times New Roman" w:cs="Times New Roman"/>
                <w:sz w:val="24"/>
                <w:szCs w:val="24"/>
              </w:rPr>
              <w:t>, vai ja to izdarījusi organizēta grupa;</w:t>
            </w:r>
          </w:p>
          <w:p w:rsidRPr="00B2476B" w:rsidR="009E1BF0" w:rsidP="0091500E" w:rsidRDefault="009E1BF0" w14:paraId="6D5950E5" w14:textId="77777777">
            <w:pPr>
              <w:pStyle w:val="Sarakstarindkopa"/>
              <w:numPr>
                <w:ilvl w:val="0"/>
                <w:numId w:val="9"/>
              </w:numPr>
              <w:tabs>
                <w:tab w:val="left" w:pos="1096"/>
              </w:tabs>
              <w:spacing w:after="0" w:line="240" w:lineRule="auto"/>
              <w:ind w:left="0" w:firstLine="387"/>
              <w:jc w:val="both"/>
              <w:rPr>
                <w:rFonts w:ascii="Times New Roman" w:hAnsi="Times New Roman" w:cs="Times New Roman"/>
                <w:sz w:val="24"/>
                <w:szCs w:val="24"/>
              </w:rPr>
            </w:pPr>
            <w:r w:rsidRPr="00522E8B">
              <w:rPr>
                <w:rFonts w:ascii="Times New Roman" w:hAnsi="Times New Roman" w:eastAsia="Calibri" w:cs="Times New Roman"/>
                <w:sz w:val="24"/>
                <w:szCs w:val="24"/>
              </w:rPr>
              <w:t>221.</w:t>
            </w:r>
            <w:r w:rsidRPr="00522E8B">
              <w:rPr>
                <w:rFonts w:ascii="Times New Roman" w:hAnsi="Times New Roman" w:eastAsia="Calibri" w:cs="Times New Roman"/>
                <w:sz w:val="24"/>
                <w:szCs w:val="24"/>
                <w:vertAlign w:val="superscript"/>
              </w:rPr>
              <w:t>1</w:t>
            </w:r>
            <w:r w:rsidRPr="00522E8B">
              <w:rPr>
                <w:rFonts w:ascii="Times New Roman" w:hAnsi="Times New Roman" w:eastAsia="Calibri" w:cs="Times New Roman"/>
                <w:sz w:val="24"/>
                <w:szCs w:val="24"/>
              </w:rPr>
              <w:t xml:space="preserve"> panta trešā daļa par ne</w:t>
            </w:r>
            <w:r w:rsidRPr="00522E8B">
              <w:rPr>
                <w:rFonts w:ascii="Times New Roman" w:hAnsi="Times New Roman" w:cs="Times New Roman"/>
                <w:sz w:val="24"/>
                <w:szCs w:val="24"/>
              </w:rPr>
              <w:t xml:space="preserve">likumīgu alkoholisko dzērienu realizāciju, ja tās izraisījušas </w:t>
            </w:r>
            <w:r w:rsidRPr="00B2476B">
              <w:rPr>
                <w:rFonts w:ascii="Times New Roman" w:hAnsi="Times New Roman" w:cs="Times New Roman"/>
                <w:sz w:val="24"/>
                <w:szCs w:val="24"/>
              </w:rPr>
              <w:t>smagas sekas vai ja tās izdarītas lielā apmērā;</w:t>
            </w:r>
          </w:p>
          <w:p w:rsidR="009E1BF0" w:rsidP="007A3414" w:rsidRDefault="009E1BF0" w14:paraId="16814021" w14:textId="501131B2">
            <w:pPr>
              <w:pStyle w:val="Sarakstarindkopa"/>
              <w:numPr>
                <w:ilvl w:val="0"/>
                <w:numId w:val="9"/>
              </w:numPr>
              <w:tabs>
                <w:tab w:val="left" w:pos="1096"/>
              </w:tabs>
              <w:spacing w:after="0" w:line="240" w:lineRule="auto"/>
              <w:ind w:left="0" w:firstLine="387"/>
              <w:jc w:val="both"/>
              <w:rPr>
                <w:rFonts w:ascii="Times New Roman" w:hAnsi="Times New Roman" w:cs="Times New Roman"/>
                <w:sz w:val="24"/>
                <w:szCs w:val="24"/>
              </w:rPr>
            </w:pPr>
            <w:r w:rsidRPr="00B2476B">
              <w:rPr>
                <w:rFonts w:ascii="Times New Roman" w:hAnsi="Times New Roman" w:eastAsia="Calibri" w:cs="Times New Roman"/>
                <w:sz w:val="24"/>
                <w:szCs w:val="24"/>
              </w:rPr>
              <w:t>221.</w:t>
            </w:r>
            <w:r w:rsidRPr="00B2476B">
              <w:rPr>
                <w:rFonts w:ascii="Times New Roman" w:hAnsi="Times New Roman" w:eastAsia="Calibri" w:cs="Times New Roman"/>
                <w:sz w:val="24"/>
                <w:szCs w:val="24"/>
                <w:vertAlign w:val="superscript"/>
              </w:rPr>
              <w:t>2</w:t>
            </w:r>
            <w:r w:rsidRPr="00B2476B">
              <w:rPr>
                <w:rFonts w:ascii="Times New Roman" w:hAnsi="Times New Roman" w:eastAsia="Calibri" w:cs="Times New Roman"/>
                <w:sz w:val="24"/>
                <w:szCs w:val="24"/>
              </w:rPr>
              <w:t xml:space="preserve"> panta trešā daļ</w:t>
            </w:r>
            <w:r>
              <w:rPr>
                <w:rFonts w:ascii="Times New Roman" w:hAnsi="Times New Roman" w:eastAsia="Calibri" w:cs="Times New Roman"/>
                <w:sz w:val="24"/>
                <w:szCs w:val="24"/>
              </w:rPr>
              <w:t>a</w:t>
            </w:r>
            <w:r w:rsidRPr="00B2476B">
              <w:rPr>
                <w:rFonts w:ascii="Times New Roman" w:hAnsi="Times New Roman" w:eastAsia="Calibri" w:cs="Times New Roman"/>
                <w:sz w:val="24"/>
                <w:szCs w:val="24"/>
              </w:rPr>
              <w:t xml:space="preserve"> </w:t>
            </w:r>
            <w:r>
              <w:rPr>
                <w:rFonts w:ascii="Times New Roman" w:hAnsi="Times New Roman" w:cs="Times New Roman"/>
                <w:sz w:val="24"/>
                <w:szCs w:val="24"/>
              </w:rPr>
              <w:t>p</w:t>
            </w:r>
            <w:r w:rsidRPr="00B2476B">
              <w:rPr>
                <w:rFonts w:ascii="Times New Roman" w:hAnsi="Times New Roman" w:cs="Times New Roman"/>
                <w:sz w:val="24"/>
                <w:szCs w:val="24"/>
              </w:rPr>
              <w:t>ar nelikumīgu alkoholisko dzērienu izgatavošanu (ražošanu), glabāšanu vai pārvietošanu, ja tā izdarīta lielā apmērā.</w:t>
            </w:r>
          </w:p>
          <w:p w:rsidR="009E1BF0" w:rsidP="00D11EC5" w:rsidRDefault="009E1BF0" w14:paraId="7785EADB" w14:textId="40545AAF">
            <w:pPr>
              <w:spacing w:after="0" w:line="240" w:lineRule="auto"/>
              <w:ind w:firstLine="387"/>
              <w:jc w:val="both"/>
              <w:rPr>
                <w:rFonts w:ascii="Times New Roman" w:hAnsi="Times New Roman" w:cs="Times New Roman"/>
                <w:sz w:val="24"/>
                <w:szCs w:val="24"/>
              </w:rPr>
            </w:pPr>
            <w:r>
              <w:rPr>
                <w:rFonts w:ascii="Times New Roman" w:hAnsi="Times New Roman" w:cs="Times New Roman"/>
                <w:sz w:val="24"/>
                <w:szCs w:val="24"/>
              </w:rPr>
              <w:t>Tāpat, piemēram, atbilstoši Finanšu kapitāla tirgus komisijas viedokli</w:t>
            </w:r>
            <w:r w:rsidR="000C2EF8">
              <w:rPr>
                <w:rFonts w:ascii="Times New Roman" w:hAnsi="Times New Roman" w:cs="Times New Roman"/>
                <w:sz w:val="24"/>
                <w:szCs w:val="24"/>
              </w:rPr>
              <w:t>m</w:t>
            </w:r>
            <w:r>
              <w:rPr>
                <w:rFonts w:ascii="Times New Roman" w:hAnsi="Times New Roman" w:cs="Times New Roman"/>
                <w:sz w:val="24"/>
                <w:szCs w:val="24"/>
              </w:rPr>
              <w:t>, Ekonomisko lietu tiesas kompetencē varētu tikt nodotas arī lietas, kurās apsūdzība celta par:</w:t>
            </w:r>
          </w:p>
          <w:p w:rsidRPr="00B2476B" w:rsidR="009E1BF0" w:rsidP="00D11EC5" w:rsidRDefault="009E1BF0" w14:paraId="678FCE97" w14:textId="77777777">
            <w:pPr>
              <w:pStyle w:val="Sarakstarindkopa"/>
              <w:numPr>
                <w:ilvl w:val="0"/>
                <w:numId w:val="10"/>
              </w:numPr>
              <w:spacing w:after="0" w:line="240" w:lineRule="auto"/>
              <w:ind w:left="0" w:firstLine="387"/>
              <w:jc w:val="both"/>
              <w:rPr>
                <w:rFonts w:ascii="Times New Roman" w:hAnsi="Times New Roman" w:cs="Times New Roman"/>
                <w:sz w:val="24"/>
                <w:szCs w:val="24"/>
              </w:rPr>
            </w:pPr>
            <w:r w:rsidRPr="00B2476B">
              <w:rPr>
                <w:rFonts w:ascii="Times New Roman" w:hAnsi="Times New Roman" w:cs="Times New Roman"/>
                <w:sz w:val="24"/>
                <w:szCs w:val="24"/>
              </w:rPr>
              <w:lastRenderedPageBreak/>
              <w:t>193.</w:t>
            </w:r>
            <w:r w:rsidRPr="003C3815">
              <w:rPr>
                <w:rFonts w:ascii="Times New Roman" w:hAnsi="Times New Roman" w:cs="Times New Roman"/>
                <w:sz w:val="24"/>
                <w:szCs w:val="24"/>
                <w:vertAlign w:val="superscript"/>
              </w:rPr>
              <w:t>2</w:t>
            </w:r>
            <w:r w:rsidRPr="00B2476B">
              <w:rPr>
                <w:rFonts w:ascii="Times New Roman" w:hAnsi="Times New Roman" w:cs="Times New Roman"/>
                <w:sz w:val="24"/>
                <w:szCs w:val="24"/>
              </w:rPr>
              <w:t xml:space="preserve"> pantu - iekšējās informācijas nelikumīga izmantošana un manipulācijas finanšu tirgos;</w:t>
            </w:r>
          </w:p>
          <w:p w:rsidR="000C2EF8" w:rsidP="00D11EC5" w:rsidRDefault="009E1BF0" w14:paraId="1AF2AD9E" w14:textId="3EAC61F7">
            <w:pPr>
              <w:pStyle w:val="Sarakstarindkopa"/>
              <w:numPr>
                <w:ilvl w:val="0"/>
                <w:numId w:val="10"/>
              </w:numPr>
              <w:spacing w:after="0" w:line="240" w:lineRule="auto"/>
              <w:ind w:left="0" w:firstLine="387"/>
              <w:jc w:val="both"/>
              <w:rPr>
                <w:rFonts w:ascii="Times New Roman" w:hAnsi="Times New Roman" w:cs="Times New Roman"/>
                <w:sz w:val="24"/>
                <w:szCs w:val="24"/>
              </w:rPr>
            </w:pPr>
            <w:r w:rsidRPr="00B2476B">
              <w:rPr>
                <w:rFonts w:ascii="Times New Roman" w:hAnsi="Times New Roman" w:cs="Times New Roman"/>
                <w:sz w:val="24"/>
                <w:szCs w:val="24"/>
              </w:rPr>
              <w:t>194.</w:t>
            </w:r>
            <w:r w:rsidR="00552FD8">
              <w:rPr>
                <w:rFonts w:ascii="Times New Roman" w:hAnsi="Times New Roman" w:cs="Times New Roman"/>
                <w:sz w:val="24"/>
                <w:szCs w:val="24"/>
              </w:rPr>
              <w:t xml:space="preserve"> </w:t>
            </w:r>
            <w:r w:rsidRPr="00B2476B">
              <w:rPr>
                <w:rFonts w:ascii="Times New Roman" w:hAnsi="Times New Roman" w:cs="Times New Roman"/>
                <w:sz w:val="24"/>
                <w:szCs w:val="24"/>
              </w:rPr>
              <w:t>pantu - neatļauta finanšu instrumentu izlaišana;</w:t>
            </w:r>
          </w:p>
          <w:p w:rsidR="009E1BF0" w:rsidP="00D11EC5" w:rsidRDefault="009E1BF0" w14:paraId="0AFC133D" w14:textId="778B0D91">
            <w:pPr>
              <w:pStyle w:val="Sarakstarindkopa"/>
              <w:numPr>
                <w:ilvl w:val="0"/>
                <w:numId w:val="10"/>
              </w:numPr>
              <w:spacing w:after="0" w:line="240" w:lineRule="auto"/>
              <w:ind w:left="0" w:firstLine="387"/>
              <w:jc w:val="both"/>
              <w:rPr>
                <w:rFonts w:ascii="Times New Roman" w:hAnsi="Times New Roman" w:cs="Times New Roman"/>
                <w:sz w:val="24"/>
                <w:szCs w:val="24"/>
              </w:rPr>
            </w:pPr>
            <w:r w:rsidRPr="000C2EF8">
              <w:rPr>
                <w:rFonts w:ascii="Times New Roman" w:hAnsi="Times New Roman" w:cs="Times New Roman"/>
                <w:sz w:val="24"/>
                <w:szCs w:val="24"/>
              </w:rPr>
              <w:t>200.</w:t>
            </w:r>
            <w:r w:rsidR="00552FD8">
              <w:rPr>
                <w:rFonts w:ascii="Times New Roman" w:hAnsi="Times New Roman" w:cs="Times New Roman"/>
                <w:sz w:val="24"/>
                <w:szCs w:val="24"/>
              </w:rPr>
              <w:t xml:space="preserve"> </w:t>
            </w:r>
            <w:r w:rsidRPr="000C2EF8">
              <w:rPr>
                <w:rFonts w:ascii="Times New Roman" w:hAnsi="Times New Roman" w:cs="Times New Roman"/>
                <w:sz w:val="24"/>
                <w:szCs w:val="24"/>
              </w:rPr>
              <w:t xml:space="preserve">pantu neizpaužamu ziņu, </w:t>
            </w:r>
            <w:proofErr w:type="gramStart"/>
            <w:r w:rsidRPr="000C2EF8">
              <w:rPr>
                <w:rFonts w:ascii="Times New Roman" w:hAnsi="Times New Roman" w:cs="Times New Roman"/>
                <w:sz w:val="24"/>
                <w:szCs w:val="24"/>
              </w:rPr>
              <w:t>kas nav valsts noslēpums, izpaušana, komercnoslēpumu saturošu ziņu neatļauta iegūšana un izpaušana</w:t>
            </w:r>
            <w:proofErr w:type="gramEnd"/>
            <w:r w:rsidRPr="000C2EF8">
              <w:rPr>
                <w:rFonts w:ascii="Times New Roman" w:hAnsi="Times New Roman" w:cs="Times New Roman"/>
                <w:sz w:val="24"/>
                <w:szCs w:val="24"/>
              </w:rPr>
              <w:t xml:space="preserve"> un finanšu </w:t>
            </w:r>
            <w:r w:rsidRPr="00BB1D7F">
              <w:rPr>
                <w:rFonts w:ascii="Times New Roman" w:hAnsi="Times New Roman" w:cs="Times New Roman"/>
                <w:sz w:val="24"/>
                <w:szCs w:val="24"/>
              </w:rPr>
              <w:t>tirgus iekšējās informācijas nelikumīga izpaušana.</w:t>
            </w:r>
          </w:p>
          <w:p w:rsidRPr="00437DB1" w:rsidR="00437DB1" w:rsidP="00437DB1" w:rsidRDefault="00437DB1" w14:paraId="2C94693D" w14:textId="2E962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Korupcijas novēršanas un apkarošanas birojs norādījis uz iespēju Ekonomisko lietu tiesai izskatīt visas tā kompetencē esošās krimināllietas, p</w:t>
            </w:r>
            <w:r w:rsidRPr="00437DB1">
              <w:rPr>
                <w:rFonts w:ascii="Times New Roman" w:hAnsi="Times New Roman" w:cs="Times New Roman"/>
                <w:sz w:val="24"/>
                <w:szCs w:val="24"/>
              </w:rPr>
              <w:t xml:space="preserve">iemēram, apjomīgas un sarežģītas ir krimināllietas par noziedzīgiem nodarījumiem, kas paredzēti Krimināllikuma </w:t>
            </w:r>
            <w:proofErr w:type="gramStart"/>
            <w:r w:rsidRPr="00437DB1">
              <w:rPr>
                <w:rFonts w:ascii="Times New Roman" w:hAnsi="Times New Roman" w:cs="Times New Roman"/>
                <w:sz w:val="24"/>
                <w:szCs w:val="24"/>
              </w:rPr>
              <w:t>320.panta</w:t>
            </w:r>
            <w:proofErr w:type="gramEnd"/>
            <w:r w:rsidRPr="00437DB1">
              <w:rPr>
                <w:rFonts w:ascii="Times New Roman" w:hAnsi="Times New Roman" w:cs="Times New Roman"/>
                <w:sz w:val="24"/>
                <w:szCs w:val="24"/>
              </w:rPr>
              <w:t xml:space="preserve"> pirmajā daļā. Minētajās lietās ir iesaistītas augstas amatpersonas, un to izmeklēšanai ir būtiska ietekme uz uzņēmējdarbības vidi un valsts tautsaimniecības attīstību. </w:t>
            </w:r>
          </w:p>
          <w:p w:rsidR="00522E8B" w:rsidP="007F5CF3" w:rsidRDefault="00522E8B" w14:paraId="4C2A42DE" w14:textId="3D707116">
            <w:pPr>
              <w:spacing w:after="0" w:line="240" w:lineRule="auto"/>
              <w:jc w:val="both"/>
              <w:rPr>
                <w:rFonts w:ascii="Times New Roman" w:hAnsi="Times New Roman" w:cs="Times New Roman"/>
                <w:sz w:val="24"/>
                <w:szCs w:val="24"/>
              </w:rPr>
            </w:pPr>
            <w:r w:rsidRPr="00BB1D7F">
              <w:rPr>
                <w:rFonts w:ascii="Times New Roman" w:hAnsi="Times New Roman" w:cs="Times New Roman"/>
                <w:sz w:val="24"/>
                <w:szCs w:val="24"/>
              </w:rPr>
              <w:t xml:space="preserve">Tāpat </w:t>
            </w:r>
            <w:r w:rsidR="00F87F05">
              <w:rPr>
                <w:rFonts w:ascii="Times New Roman" w:hAnsi="Times New Roman" w:cs="Times New Roman"/>
                <w:sz w:val="24"/>
                <w:szCs w:val="24"/>
              </w:rPr>
              <w:t xml:space="preserve">Finanšu izlūkošanas dienests uzsvēris, ka </w:t>
            </w:r>
            <w:r w:rsidRPr="00BB1D7F">
              <w:rPr>
                <w:rFonts w:ascii="Times New Roman" w:hAnsi="Times New Roman" w:cs="Times New Roman"/>
                <w:sz w:val="24"/>
                <w:szCs w:val="24"/>
              </w:rPr>
              <w:t>nākotnē būtu pārskatāmi arī koruptīvie noziedzīgie nodarījumi, piemēram, Krimināllikuma 321.</w:t>
            </w:r>
            <w:r w:rsidR="00552FD8">
              <w:rPr>
                <w:rFonts w:ascii="Times New Roman" w:hAnsi="Times New Roman" w:cs="Times New Roman"/>
                <w:sz w:val="24"/>
                <w:szCs w:val="24"/>
              </w:rPr>
              <w:t xml:space="preserve"> </w:t>
            </w:r>
            <w:r w:rsidRPr="00BB1D7F">
              <w:rPr>
                <w:rFonts w:ascii="Times New Roman" w:hAnsi="Times New Roman" w:cs="Times New Roman"/>
                <w:sz w:val="24"/>
                <w:szCs w:val="24"/>
              </w:rPr>
              <w:t>pantā paredzētā atbildība par kukuļa piesavināšanos</w:t>
            </w:r>
            <w:r w:rsidR="00F87F05">
              <w:rPr>
                <w:rFonts w:ascii="Times New Roman" w:hAnsi="Times New Roman" w:cs="Times New Roman"/>
                <w:sz w:val="24"/>
                <w:szCs w:val="24"/>
              </w:rPr>
              <w:t>, tādējādi nā</w:t>
            </w:r>
            <w:r w:rsidR="00AB51A1">
              <w:rPr>
                <w:rFonts w:ascii="Times New Roman" w:hAnsi="Times New Roman" w:cs="Times New Roman"/>
                <w:sz w:val="24"/>
                <w:szCs w:val="24"/>
              </w:rPr>
              <w:t xml:space="preserve">kotnē </w:t>
            </w:r>
            <w:r w:rsidRPr="00F87F05" w:rsidR="00F87F05">
              <w:rPr>
                <w:rFonts w:ascii="Times New Roman" w:hAnsi="Times New Roman" w:cs="Times New Roman"/>
                <w:sz w:val="24"/>
                <w:szCs w:val="24"/>
              </w:rPr>
              <w:t xml:space="preserve">tiktu nodrošināta visu noziedzīgo nodarījumu, kas saistās ar kukuļošanu, izskatīšana vienā specializētā tiesā, tādā veidā pilnveidojot arī noziedzīga nodarījuma pareizu kvalifikāciju. </w:t>
            </w:r>
          </w:p>
          <w:p w:rsidRPr="00BB1D7F" w:rsidR="00BC1D76" w:rsidP="007F5CF3" w:rsidRDefault="00BC1D76" w14:paraId="3C74A053" w14:textId="17419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Finanšu un kapitāla tirgus komisija norādījusi, ka Ekonomisko lietu tiesas kompetencē būtu nododama arī tādu krimināllietu izskatīšana</w:t>
            </w:r>
            <w:r w:rsidR="00C67670">
              <w:rPr>
                <w:rFonts w:ascii="Times New Roman" w:hAnsi="Times New Roman" w:cs="Times New Roman"/>
                <w:sz w:val="24"/>
                <w:szCs w:val="24"/>
              </w:rPr>
              <w:t>, kas saistītas ar Krimināllikuma 84. pantu par starptautisko organizāciju un Latvijas Republikas noteikto sankciju pārkāpšanu.</w:t>
            </w:r>
          </w:p>
          <w:p w:rsidR="005D3F2B" w:rsidP="007F5CF3" w:rsidRDefault="000C2EF8" w14:paraId="505E11C1" w14:textId="4BE908E9">
            <w:pPr>
              <w:spacing w:after="0" w:line="240" w:lineRule="auto"/>
              <w:contextualSpacing/>
              <w:jc w:val="both"/>
              <w:rPr>
                <w:rFonts w:ascii="Times New Roman" w:hAnsi="Times New Roman" w:cs="Times New Roman"/>
                <w:sz w:val="24"/>
                <w:szCs w:val="24"/>
              </w:rPr>
            </w:pPr>
            <w:r w:rsidRPr="00BB1D7F">
              <w:rPr>
                <w:rFonts w:ascii="Times New Roman" w:hAnsi="Times New Roman" w:cs="Times New Roman"/>
                <w:sz w:val="24"/>
                <w:szCs w:val="24"/>
              </w:rPr>
              <w:t>Pievienojoties Iekšlietu ministrijas viedoklim</w:t>
            </w:r>
            <w:r w:rsidR="005D3F2B">
              <w:rPr>
                <w:rFonts w:ascii="Times New Roman" w:hAnsi="Times New Roman" w:cs="Times New Roman"/>
                <w:sz w:val="24"/>
                <w:szCs w:val="24"/>
              </w:rPr>
              <w:t xml:space="preserve"> un, ņ</w:t>
            </w:r>
            <w:r w:rsidRPr="005D3F2B" w:rsidR="005D3F2B">
              <w:rPr>
                <w:rFonts w:ascii="Times New Roman" w:hAnsi="Times New Roman" w:cs="Times New Roman"/>
                <w:sz w:val="24"/>
                <w:szCs w:val="24"/>
              </w:rPr>
              <w:t>emot vērā ekonomisko un finanšu noziegumu ietekmi uz valsts sabiedrisko un ekonomisko dzīvi, kā arī valsts budžeta ieņēmumu apdraudējumu</w:t>
            </w:r>
            <w:r w:rsidRPr="00BB1D7F">
              <w:rPr>
                <w:rFonts w:ascii="Times New Roman" w:hAnsi="Times New Roman" w:cs="Times New Roman"/>
                <w:sz w:val="24"/>
                <w:szCs w:val="24"/>
              </w:rPr>
              <w:t xml:space="preserve">, turpmāk būtu izvērtējama iespēja </w:t>
            </w:r>
            <w:r w:rsidR="0018115F">
              <w:rPr>
                <w:rFonts w:ascii="Times New Roman" w:hAnsi="Times New Roman" w:cs="Times New Roman"/>
                <w:sz w:val="24"/>
                <w:szCs w:val="24"/>
              </w:rPr>
              <w:t xml:space="preserve">paplašināt </w:t>
            </w:r>
            <w:r w:rsidRPr="00BB1D7F">
              <w:rPr>
                <w:rFonts w:ascii="Times New Roman" w:hAnsi="Times New Roman" w:cs="Times New Roman"/>
                <w:sz w:val="24"/>
                <w:szCs w:val="24"/>
              </w:rPr>
              <w:t>Ekonomisko lietu tiesas kompetencē nodot</w:t>
            </w:r>
            <w:r w:rsidR="0018115F">
              <w:rPr>
                <w:rFonts w:ascii="Times New Roman" w:hAnsi="Times New Roman" w:cs="Times New Roman"/>
                <w:sz w:val="24"/>
                <w:szCs w:val="24"/>
              </w:rPr>
              <w:t>o</w:t>
            </w:r>
            <w:r w:rsidRPr="005D3F2B" w:rsidR="005D3F2B">
              <w:rPr>
                <w:rFonts w:ascii="Times New Roman" w:hAnsi="Times New Roman" w:cs="Times New Roman"/>
                <w:sz w:val="24"/>
                <w:szCs w:val="24"/>
              </w:rPr>
              <w:t xml:space="preserve"> ekonomisk</w:t>
            </w:r>
            <w:r w:rsidR="005D3F2B">
              <w:rPr>
                <w:rFonts w:ascii="Times New Roman" w:hAnsi="Times New Roman" w:cs="Times New Roman"/>
                <w:sz w:val="24"/>
                <w:szCs w:val="24"/>
              </w:rPr>
              <w:t>o un finanšu noziegumu</w:t>
            </w:r>
            <w:r w:rsidR="0018115F">
              <w:rPr>
                <w:rFonts w:ascii="Times New Roman" w:hAnsi="Times New Roman" w:cs="Times New Roman"/>
                <w:sz w:val="24"/>
                <w:szCs w:val="24"/>
              </w:rPr>
              <w:t xml:space="preserve"> izskatīšanu</w:t>
            </w:r>
            <w:r w:rsidRPr="005D3F2B" w:rsidR="005D3F2B">
              <w:rPr>
                <w:rFonts w:ascii="Times New Roman" w:hAnsi="Times New Roman" w:cs="Times New Roman"/>
                <w:sz w:val="24"/>
                <w:szCs w:val="24"/>
              </w:rPr>
              <w:t xml:space="preserve"> </w:t>
            </w:r>
            <w:proofErr w:type="gramStart"/>
            <w:r w:rsidRPr="005D3F2B" w:rsidR="005D3F2B">
              <w:rPr>
                <w:rFonts w:ascii="Times New Roman" w:hAnsi="Times New Roman" w:cs="Times New Roman"/>
                <w:sz w:val="24"/>
                <w:szCs w:val="24"/>
              </w:rPr>
              <w:t>(</w:t>
            </w:r>
            <w:proofErr w:type="gramEnd"/>
            <w:r w:rsidRPr="005D3F2B" w:rsidR="005D3F2B">
              <w:rPr>
                <w:rFonts w:ascii="Times New Roman" w:hAnsi="Times New Roman" w:cs="Times New Roman"/>
                <w:sz w:val="24"/>
                <w:szCs w:val="24"/>
              </w:rPr>
              <w:t>tostarp Krimināllikuma 190. pantā, 195. panta pirmajā daļā, 177.</w:t>
            </w:r>
            <w:r w:rsidRPr="005D3F2B" w:rsidR="005D3F2B">
              <w:rPr>
                <w:rFonts w:ascii="Times New Roman" w:hAnsi="Times New Roman" w:cs="Times New Roman"/>
                <w:sz w:val="24"/>
                <w:szCs w:val="24"/>
                <w:vertAlign w:val="superscript"/>
              </w:rPr>
              <w:t>1</w:t>
            </w:r>
            <w:r w:rsidRPr="005D3F2B" w:rsidR="005D3F2B">
              <w:rPr>
                <w:rFonts w:ascii="Times New Roman" w:hAnsi="Times New Roman" w:cs="Times New Roman"/>
                <w:sz w:val="24"/>
                <w:szCs w:val="24"/>
              </w:rPr>
              <w:t xml:space="preserve"> pantā minētie noziedzīgie nodarījumi), lai tādējādi tā sniegtu pilnīgu ilgtermiņa ieguldījumu ekonomiski attīstītas un tiesiski sakārtotas valsts izveidē. </w:t>
            </w:r>
          </w:p>
          <w:p w:rsidRPr="00BB1D7F" w:rsidR="00091D7F" w:rsidP="007F5CF3" w:rsidRDefault="000C2EF8" w14:paraId="54A0229B" w14:textId="2F70E2B8">
            <w:pPr>
              <w:spacing w:after="0" w:line="240" w:lineRule="auto"/>
              <w:contextualSpacing/>
              <w:jc w:val="both"/>
              <w:rPr>
                <w:rFonts w:ascii="Times New Roman" w:hAnsi="Times New Roman" w:cs="Times New Roman"/>
                <w:sz w:val="24"/>
                <w:szCs w:val="24"/>
              </w:rPr>
            </w:pPr>
            <w:r w:rsidRPr="00BB1D7F">
              <w:rPr>
                <w:rFonts w:ascii="Times New Roman" w:hAnsi="Times New Roman" w:cs="Times New Roman"/>
                <w:sz w:val="24"/>
                <w:szCs w:val="24"/>
              </w:rPr>
              <w:t xml:space="preserve"> </w:t>
            </w:r>
            <w:proofErr w:type="spellStart"/>
            <w:r w:rsidRPr="00BB1D7F">
              <w:rPr>
                <w:rFonts w:ascii="Times New Roman" w:hAnsi="Times New Roman" w:cs="Times New Roman"/>
                <w:sz w:val="24"/>
                <w:szCs w:val="24"/>
              </w:rPr>
              <w:t>Moneyval</w:t>
            </w:r>
            <w:proofErr w:type="spellEnd"/>
            <w:r w:rsidRPr="00BB1D7F">
              <w:rPr>
                <w:rFonts w:ascii="Times New Roman" w:hAnsi="Times New Roman" w:cs="Times New Roman"/>
                <w:sz w:val="24"/>
                <w:szCs w:val="24"/>
              </w:rPr>
              <w:t xml:space="preserve"> 2018. gada 5. kārtas novērtējuma ziņojums par Latvijas noziedzīgi iegūtu līdzekļu legalizācijas un terorisma finansēšanas novēršanas un apkarošanas sistēmu ir skaidri iezīmējis arī nepieciešamību prioritāri</w:t>
            </w:r>
            <w:proofErr w:type="gramStart"/>
            <w:r w:rsidRPr="00BB1D7F">
              <w:rPr>
                <w:rFonts w:ascii="Times New Roman" w:hAnsi="Times New Roman" w:cs="Times New Roman"/>
                <w:sz w:val="24"/>
                <w:szCs w:val="24"/>
              </w:rPr>
              <w:t xml:space="preserve"> apkarot noziedzīgi iegūtu līdzekļu legalizāciju visās tās formās, tostarp attīstot</w:t>
            </w:r>
            <w:proofErr w:type="gramEnd"/>
            <w:r w:rsidRPr="00BB1D7F">
              <w:rPr>
                <w:rFonts w:ascii="Times New Roman" w:hAnsi="Times New Roman" w:cs="Times New Roman"/>
                <w:sz w:val="24"/>
                <w:szCs w:val="24"/>
              </w:rPr>
              <w:t xml:space="preserve"> </w:t>
            </w:r>
            <w:r w:rsidRPr="005D3F2B" w:rsidR="005D3F2B">
              <w:rPr>
                <w:rFonts w:ascii="Times New Roman" w:hAnsi="Times New Roman" w:cs="Times New Roman"/>
                <w:sz w:val="24"/>
                <w:szCs w:val="24"/>
              </w:rPr>
              <w:t>"</w:t>
            </w:r>
            <w:proofErr w:type="spellStart"/>
            <w:r w:rsidRPr="00BB1D7F">
              <w:rPr>
                <w:rFonts w:ascii="Times New Roman" w:hAnsi="Times New Roman" w:cs="Times New Roman"/>
                <w:sz w:val="24"/>
                <w:szCs w:val="24"/>
              </w:rPr>
              <w:t>stand</w:t>
            </w:r>
            <w:proofErr w:type="spellEnd"/>
            <w:r w:rsidRPr="00BB1D7F">
              <w:rPr>
                <w:rFonts w:ascii="Times New Roman" w:hAnsi="Times New Roman" w:cs="Times New Roman"/>
                <w:sz w:val="24"/>
                <w:szCs w:val="24"/>
              </w:rPr>
              <w:t xml:space="preserve"> </w:t>
            </w:r>
            <w:proofErr w:type="spellStart"/>
            <w:r w:rsidRPr="00BB1D7F">
              <w:rPr>
                <w:rFonts w:ascii="Times New Roman" w:hAnsi="Times New Roman" w:cs="Times New Roman"/>
                <w:sz w:val="24"/>
                <w:szCs w:val="24"/>
              </w:rPr>
              <w:t>alone</w:t>
            </w:r>
            <w:proofErr w:type="spellEnd"/>
            <w:r w:rsidRPr="005D3F2B" w:rsidR="005D3F2B">
              <w:rPr>
                <w:rFonts w:ascii="Times New Roman" w:hAnsi="Times New Roman" w:cs="Times New Roman"/>
                <w:sz w:val="24"/>
                <w:szCs w:val="24"/>
              </w:rPr>
              <w:t>"</w:t>
            </w:r>
            <w:r w:rsidRPr="00BB1D7F">
              <w:rPr>
                <w:rFonts w:ascii="Times New Roman" w:hAnsi="Times New Roman" w:cs="Times New Roman"/>
                <w:sz w:val="24"/>
                <w:szCs w:val="24"/>
              </w:rPr>
              <w:t xml:space="preserve"> autonomo noziedzīgi iegūtu līdzekļu legalizēšanas krimināllietu izmeklēšanu un iztiesāšanu, neizmeklējot predikatīvo noziedzīgo nodarījumu. </w:t>
            </w:r>
            <w:r w:rsidRPr="001851ED" w:rsidR="0018115F">
              <w:rPr>
                <w:rFonts w:ascii="Times New Roman" w:hAnsi="Times New Roman" w:cs="Times New Roman"/>
                <w:b/>
                <w:bCs/>
                <w:sz w:val="24"/>
                <w:szCs w:val="24"/>
              </w:rPr>
              <w:t>Liela daļa no t.s. "</w:t>
            </w:r>
            <w:proofErr w:type="spellStart"/>
            <w:r w:rsidRPr="001851ED" w:rsidR="0018115F">
              <w:rPr>
                <w:rFonts w:ascii="Times New Roman" w:hAnsi="Times New Roman" w:cs="Times New Roman"/>
                <w:b/>
                <w:bCs/>
                <w:sz w:val="24"/>
                <w:szCs w:val="24"/>
              </w:rPr>
              <w:t>stand</w:t>
            </w:r>
            <w:proofErr w:type="spellEnd"/>
            <w:r w:rsidRPr="001851ED" w:rsidR="0018115F">
              <w:rPr>
                <w:rFonts w:ascii="Times New Roman" w:hAnsi="Times New Roman" w:cs="Times New Roman"/>
                <w:b/>
                <w:bCs/>
                <w:sz w:val="24"/>
                <w:szCs w:val="24"/>
              </w:rPr>
              <w:t xml:space="preserve"> </w:t>
            </w:r>
            <w:proofErr w:type="spellStart"/>
            <w:r w:rsidRPr="001851ED" w:rsidR="0018115F">
              <w:rPr>
                <w:rFonts w:ascii="Times New Roman" w:hAnsi="Times New Roman" w:cs="Times New Roman"/>
                <w:b/>
                <w:bCs/>
                <w:sz w:val="24"/>
                <w:szCs w:val="24"/>
              </w:rPr>
              <w:t>alone</w:t>
            </w:r>
            <w:proofErr w:type="spellEnd"/>
            <w:r w:rsidRPr="001851ED" w:rsidR="0018115F">
              <w:rPr>
                <w:rFonts w:ascii="Times New Roman" w:hAnsi="Times New Roman" w:cs="Times New Roman"/>
                <w:b/>
                <w:bCs/>
                <w:sz w:val="24"/>
                <w:szCs w:val="24"/>
              </w:rPr>
              <w:t xml:space="preserve">" lietām veido </w:t>
            </w:r>
            <w:r w:rsidRPr="001851ED" w:rsidR="006519B9">
              <w:rPr>
                <w:rFonts w:ascii="Times New Roman" w:hAnsi="Times New Roman" w:cs="Times New Roman"/>
                <w:b/>
                <w:bCs/>
                <w:sz w:val="24"/>
                <w:szCs w:val="24"/>
              </w:rPr>
              <w:t xml:space="preserve">krimināllietas, kas kvalificētas pēc Krimināllikuma 195.panta pirmās daļas, līdz ar to nākotnē būtu </w:t>
            </w:r>
            <w:r w:rsidRPr="001851ED" w:rsidR="006519B9">
              <w:rPr>
                <w:rFonts w:ascii="Times New Roman" w:hAnsi="Times New Roman" w:cs="Times New Roman"/>
                <w:b/>
                <w:bCs/>
                <w:sz w:val="24"/>
                <w:szCs w:val="24"/>
              </w:rPr>
              <w:lastRenderedPageBreak/>
              <w:t>paplašināma Ekonomisko lietu tiesas kompetence attiecībā arī uz šo lietu izskatīšanu.</w:t>
            </w:r>
            <w:r w:rsidR="006519B9">
              <w:rPr>
                <w:rFonts w:ascii="Times New Roman" w:hAnsi="Times New Roman" w:cs="Times New Roman"/>
                <w:sz w:val="24"/>
                <w:szCs w:val="24"/>
              </w:rPr>
              <w:t xml:space="preserve"> </w:t>
            </w:r>
          </w:p>
          <w:p w:rsidR="003F2482" w:rsidP="002B1972" w:rsidRDefault="00891776" w14:paraId="3CFE4F51" w14:textId="2D487A06">
            <w:pPr>
              <w:spacing w:after="0" w:line="240" w:lineRule="auto"/>
              <w:jc w:val="both"/>
              <w:rPr>
                <w:rFonts w:ascii="Times New Roman" w:hAnsi="Times New Roman" w:eastAsia="Times New Roman" w:cs="Times New Roman"/>
                <w:sz w:val="24"/>
                <w:szCs w:val="24"/>
                <w:lang w:eastAsia="lv-LV"/>
              </w:rPr>
            </w:pPr>
            <w:r w:rsidRPr="00BB1D7F">
              <w:rPr>
                <w:rFonts w:ascii="Times New Roman" w:hAnsi="Times New Roman" w:eastAsia="Times New Roman" w:cs="Times New Roman"/>
                <w:sz w:val="24"/>
                <w:szCs w:val="24"/>
                <w:lang w:eastAsia="lv-LV"/>
              </w:rPr>
              <w:t xml:space="preserve">Ekonomisko lietu </w:t>
            </w:r>
            <w:r w:rsidRPr="006F7C53">
              <w:rPr>
                <w:rFonts w:ascii="Times New Roman" w:hAnsi="Times New Roman" w:eastAsia="Times New Roman" w:cs="Times New Roman"/>
                <w:sz w:val="24"/>
                <w:szCs w:val="24"/>
                <w:lang w:eastAsia="lv-LV"/>
              </w:rPr>
              <w:t>tiesas piekritība</w:t>
            </w:r>
            <w:r w:rsidRPr="006F7C53" w:rsidR="00C819D8">
              <w:rPr>
                <w:rFonts w:ascii="Times New Roman" w:hAnsi="Times New Roman" w:eastAsia="Times New Roman" w:cs="Times New Roman"/>
                <w:sz w:val="24"/>
                <w:szCs w:val="24"/>
                <w:lang w:eastAsia="lv-LV"/>
              </w:rPr>
              <w:t xml:space="preserve"> konkretizēta arī tādejādi, ka</w:t>
            </w:r>
            <w:r w:rsidRPr="006F7C53">
              <w:rPr>
                <w:rFonts w:ascii="Times New Roman" w:hAnsi="Times New Roman" w:eastAsia="Times New Roman" w:cs="Times New Roman"/>
                <w:sz w:val="24"/>
                <w:szCs w:val="24"/>
                <w:lang w:eastAsia="lv-LV"/>
              </w:rPr>
              <w:t>,</w:t>
            </w:r>
            <w:r w:rsidRPr="006F7C53" w:rsidR="00C819D8">
              <w:rPr>
                <w:rFonts w:ascii="Times New Roman" w:hAnsi="Times New Roman" w:eastAsia="Times New Roman" w:cs="Times New Roman"/>
                <w:sz w:val="24"/>
                <w:szCs w:val="24"/>
                <w:lang w:eastAsia="lv-LV"/>
              </w:rPr>
              <w:t xml:space="preserve"> Ekonomisko lietu tiesa</w:t>
            </w:r>
            <w:r w:rsidRPr="006F7C53" w:rsidR="000C3078">
              <w:rPr>
                <w:rFonts w:ascii="Times New Roman" w:hAnsi="Times New Roman" w:eastAsia="Times New Roman" w:cs="Times New Roman"/>
                <w:sz w:val="24"/>
                <w:szCs w:val="24"/>
                <w:lang w:eastAsia="lv-LV"/>
              </w:rPr>
              <w:t xml:space="preserve"> izskatīs</w:t>
            </w:r>
            <w:r w:rsidRPr="006F7C53" w:rsidR="00D312D4">
              <w:rPr>
                <w:rFonts w:ascii="Times New Roman" w:hAnsi="Times New Roman" w:eastAsia="Times New Roman" w:cs="Times New Roman"/>
                <w:sz w:val="24"/>
                <w:szCs w:val="24"/>
                <w:lang w:eastAsia="lv-LV"/>
              </w:rPr>
              <w:t xml:space="preserve"> krimināll</w:t>
            </w:r>
            <w:r w:rsidRPr="006F7C53" w:rsidR="000C3078">
              <w:rPr>
                <w:rFonts w:ascii="Times New Roman" w:hAnsi="Times New Roman" w:eastAsia="Times New Roman" w:cs="Times New Roman"/>
                <w:sz w:val="24"/>
                <w:szCs w:val="24"/>
                <w:lang w:eastAsia="lv-LV"/>
              </w:rPr>
              <w:t>ietu,</w:t>
            </w:r>
            <w:r w:rsidRPr="006F7C53">
              <w:rPr>
                <w:rFonts w:ascii="Times New Roman" w:hAnsi="Times New Roman" w:eastAsia="Times New Roman" w:cs="Times New Roman"/>
                <w:sz w:val="24"/>
                <w:szCs w:val="24"/>
                <w:lang w:eastAsia="lv-LV"/>
              </w:rPr>
              <w:t xml:space="preserve"> ja persona </w:t>
            </w:r>
            <w:r w:rsidRPr="006519B9">
              <w:rPr>
                <w:rFonts w:ascii="Times New Roman" w:hAnsi="Times New Roman" w:eastAsia="Times New Roman" w:cs="Times New Roman"/>
                <w:sz w:val="24"/>
                <w:szCs w:val="24"/>
                <w:lang w:eastAsia="lv-LV"/>
              </w:rPr>
              <w:t xml:space="preserve">saukta pie kriminālatbildības par vairākiem noziedzīgiem nodarījumiem, kur </w:t>
            </w:r>
            <w:r w:rsidRPr="006519B9" w:rsidR="003F2482">
              <w:rPr>
                <w:rFonts w:ascii="Times New Roman" w:hAnsi="Times New Roman" w:eastAsia="Times New Roman" w:cs="Times New Roman"/>
                <w:sz w:val="24"/>
                <w:szCs w:val="24"/>
                <w:lang w:eastAsia="lv-LV"/>
              </w:rPr>
              <w:t>smagākais</w:t>
            </w:r>
            <w:r w:rsidRPr="006519B9" w:rsidR="00480DF6">
              <w:rPr>
                <w:rFonts w:ascii="Times New Roman" w:hAnsi="Times New Roman" w:eastAsia="Times New Roman" w:cs="Times New Roman"/>
                <w:sz w:val="24"/>
                <w:szCs w:val="24"/>
                <w:lang w:eastAsia="lv-LV"/>
              </w:rPr>
              <w:t xml:space="preserve"> </w:t>
            </w:r>
            <w:r w:rsidRPr="001851ED" w:rsidR="00480DF6">
              <w:rPr>
                <w:rFonts w:ascii="Times New Roman" w:hAnsi="Times New Roman" w:eastAsia="Times New Roman" w:cs="Times New Roman"/>
                <w:sz w:val="24"/>
                <w:szCs w:val="24"/>
                <w:lang w:eastAsia="lv-LV"/>
              </w:rPr>
              <w:t>(vai kāds no smagākajiem noziedzīgajiem nodarījumiem)</w:t>
            </w:r>
            <w:r w:rsidRPr="006519B9" w:rsidR="003F2482">
              <w:rPr>
                <w:rFonts w:ascii="Times New Roman" w:hAnsi="Times New Roman" w:eastAsia="Times New Roman" w:cs="Times New Roman"/>
                <w:sz w:val="24"/>
                <w:szCs w:val="24"/>
                <w:lang w:eastAsia="lv-LV"/>
              </w:rPr>
              <w:t xml:space="preserve"> </w:t>
            </w:r>
            <w:r w:rsidRPr="006519B9">
              <w:rPr>
                <w:rFonts w:ascii="Times New Roman" w:hAnsi="Times New Roman" w:eastAsia="Times New Roman" w:cs="Times New Roman"/>
                <w:sz w:val="24"/>
                <w:szCs w:val="24"/>
                <w:lang w:eastAsia="lv-LV"/>
              </w:rPr>
              <w:t>no tiem piekritīgs izskatīšanai Ekonomisko lietu tiesai</w:t>
            </w:r>
            <w:r w:rsidRPr="006519B9" w:rsidR="000C3078">
              <w:rPr>
                <w:rFonts w:ascii="Times New Roman" w:hAnsi="Times New Roman" w:eastAsia="Times New Roman" w:cs="Times New Roman"/>
                <w:sz w:val="24"/>
                <w:szCs w:val="24"/>
                <w:lang w:eastAsia="lv-LV"/>
              </w:rPr>
              <w:t xml:space="preserve">. </w:t>
            </w:r>
            <w:r w:rsidRPr="001851ED" w:rsidR="00480DF6">
              <w:rPr>
                <w:rFonts w:ascii="Times New Roman" w:hAnsi="Times New Roman" w:eastAsia="Times New Roman" w:cs="Times New Roman"/>
                <w:sz w:val="24"/>
                <w:szCs w:val="24"/>
                <w:lang w:eastAsia="lv-LV"/>
              </w:rPr>
              <w:t xml:space="preserve">Proti, ja vairāki noziedzīgi nodarījumi būs kvalificēti vienlīdzīgi, tas ir, kriminālprocesā ir divi vienāda smaguma noziedzīgi nodarījumi, no kuriem viens ir piekritīgs Ekonomisko lietu tiesai, tad šīs krimināllietas izskatīšana būs Ekonomisko lietu tiesas kompetencē. </w:t>
            </w:r>
            <w:r w:rsidRPr="006519B9" w:rsidR="000C3078">
              <w:rPr>
                <w:rFonts w:ascii="Times New Roman" w:hAnsi="Times New Roman" w:eastAsia="Times New Roman" w:cs="Times New Roman"/>
                <w:sz w:val="24"/>
                <w:szCs w:val="24"/>
                <w:lang w:eastAsia="lv-LV"/>
              </w:rPr>
              <w:t>Šāds regulējums noteikts</w:t>
            </w:r>
            <w:r w:rsidRPr="006519B9" w:rsidR="00091D7F">
              <w:rPr>
                <w:rFonts w:ascii="Times New Roman" w:hAnsi="Times New Roman" w:eastAsia="Times New Roman" w:cs="Times New Roman"/>
                <w:sz w:val="24"/>
                <w:szCs w:val="24"/>
                <w:lang w:eastAsia="lv-LV"/>
              </w:rPr>
              <w:t>,</w:t>
            </w:r>
            <w:r w:rsidRPr="006519B9" w:rsidR="003F2482">
              <w:rPr>
                <w:rFonts w:ascii="Times New Roman" w:hAnsi="Times New Roman" w:eastAsia="Times New Roman" w:cs="Times New Roman"/>
                <w:sz w:val="24"/>
                <w:szCs w:val="24"/>
                <w:lang w:eastAsia="lv-LV"/>
              </w:rPr>
              <w:t xml:space="preserve"> lai</w:t>
            </w:r>
            <w:r w:rsidRPr="006519B9" w:rsidR="003F2482">
              <w:rPr>
                <w:rFonts w:ascii="Times New Roman" w:hAnsi="Times New Roman" w:cs="Times New Roman"/>
                <w:sz w:val="24"/>
                <w:szCs w:val="24"/>
              </w:rPr>
              <w:t xml:space="preserve"> nodrošinātu pārdomātu, piesardzīgu un pakāpenisku pieeju attiecībā uz tiesas kompetences noteikšanu un noslodzes veidošanu, un izvairītos no līdzīga veida problēmām, kas tika novērotas administratīvās rajona tiesas pirmajos gados</w:t>
            </w:r>
            <w:r w:rsidRPr="001851ED" w:rsidR="003F2482">
              <w:rPr>
                <w:rFonts w:ascii="Times New Roman" w:hAnsi="Times New Roman" w:cs="Times New Roman"/>
                <w:sz w:val="24"/>
                <w:szCs w:val="24"/>
              </w:rPr>
              <w:t xml:space="preserve">. </w:t>
            </w:r>
            <w:r w:rsidRPr="001851ED" w:rsidR="007B5C0E">
              <w:rPr>
                <w:rFonts w:ascii="Times New Roman" w:hAnsi="Times New Roman" w:eastAsia="Times New Roman" w:cs="Times New Roman"/>
                <w:sz w:val="24"/>
                <w:szCs w:val="24"/>
                <w:lang w:eastAsia="lv-LV"/>
              </w:rPr>
              <w:t xml:space="preserve">Šādā gadījumā, protams, ir apsvērti arī riski, gadījumos, kad </w:t>
            </w:r>
            <w:r w:rsidRPr="001851ED" w:rsidR="00480DF6">
              <w:rPr>
                <w:rFonts w:ascii="Times New Roman" w:hAnsi="Times New Roman" w:eastAsia="Times New Roman" w:cs="Times New Roman"/>
                <w:sz w:val="24"/>
                <w:szCs w:val="24"/>
                <w:lang w:eastAsia="lv-LV"/>
              </w:rPr>
              <w:t xml:space="preserve">kriminālprocesā ir divi smaguma noziedzīgi nodarījumiem no kuriem </w:t>
            </w:r>
            <w:r w:rsidRPr="001851ED" w:rsidR="005E5ECE">
              <w:rPr>
                <w:rFonts w:ascii="Times New Roman" w:hAnsi="Times New Roman" w:eastAsia="Times New Roman" w:cs="Times New Roman"/>
                <w:sz w:val="24"/>
                <w:szCs w:val="24"/>
                <w:lang w:eastAsia="lv-LV"/>
              </w:rPr>
              <w:t>smagāk kvalificētais noziedzīgais nodarījums</w:t>
            </w:r>
            <w:r w:rsidRPr="001851ED" w:rsidR="00480DF6">
              <w:rPr>
                <w:rFonts w:ascii="Times New Roman" w:hAnsi="Times New Roman" w:eastAsia="Times New Roman" w:cs="Times New Roman"/>
                <w:sz w:val="24"/>
                <w:szCs w:val="24"/>
                <w:lang w:eastAsia="lv-LV"/>
              </w:rPr>
              <w:t xml:space="preserve"> nav piekritīgs Ekonomisko lietu tiesai. Šādā gadījumā krimināllietas </w:t>
            </w:r>
            <w:r w:rsidRPr="001851ED" w:rsidR="005E5ECE">
              <w:rPr>
                <w:rFonts w:ascii="Times New Roman" w:hAnsi="Times New Roman" w:eastAsia="Times New Roman" w:cs="Times New Roman"/>
                <w:sz w:val="24"/>
                <w:szCs w:val="24"/>
                <w:lang w:eastAsia="lv-LV"/>
              </w:rPr>
              <w:t xml:space="preserve"> izskatīšana</w:t>
            </w:r>
            <w:r w:rsidRPr="001851ED" w:rsidR="00480DF6">
              <w:rPr>
                <w:rFonts w:ascii="Times New Roman" w:hAnsi="Times New Roman" w:eastAsia="Times New Roman" w:cs="Times New Roman"/>
                <w:sz w:val="24"/>
                <w:szCs w:val="24"/>
                <w:lang w:eastAsia="lv-LV"/>
              </w:rPr>
              <w:t xml:space="preserve"> būs piekritīga </w:t>
            </w:r>
            <w:r w:rsidRPr="001851ED" w:rsidR="005E5ECE">
              <w:rPr>
                <w:rFonts w:ascii="Times New Roman" w:hAnsi="Times New Roman" w:eastAsia="Times New Roman" w:cs="Times New Roman"/>
                <w:sz w:val="24"/>
                <w:szCs w:val="24"/>
                <w:lang w:eastAsia="lv-LV"/>
              </w:rPr>
              <w:t>rajona (pilsētas) tiesai</w:t>
            </w:r>
            <w:r w:rsidRPr="001851ED" w:rsidR="00480DF6">
              <w:rPr>
                <w:rFonts w:ascii="Times New Roman" w:hAnsi="Times New Roman" w:eastAsia="Times New Roman" w:cs="Times New Roman"/>
                <w:sz w:val="24"/>
                <w:szCs w:val="24"/>
                <w:lang w:eastAsia="lv-LV"/>
              </w:rPr>
              <w:t>. L</w:t>
            </w:r>
            <w:r w:rsidRPr="001851ED" w:rsidR="005E5ECE">
              <w:rPr>
                <w:rFonts w:ascii="Times New Roman" w:hAnsi="Times New Roman" w:eastAsia="Times New Roman" w:cs="Times New Roman"/>
                <w:sz w:val="24"/>
                <w:szCs w:val="24"/>
                <w:lang w:eastAsia="lv-LV"/>
              </w:rPr>
              <w:t xml:space="preserve">īdz ar ko </w:t>
            </w:r>
            <w:r w:rsidRPr="001851ED" w:rsidR="00480DF6">
              <w:rPr>
                <w:rFonts w:ascii="Times New Roman" w:hAnsi="Times New Roman" w:eastAsia="Times New Roman" w:cs="Times New Roman"/>
                <w:sz w:val="24"/>
                <w:szCs w:val="24"/>
                <w:lang w:eastAsia="lv-LV"/>
              </w:rPr>
              <w:t xml:space="preserve">rajona (pilsētas) tiesai var nākties izskatīt arī tādu noziedzīgu nodarījumu, kurš citādi, piemēram, kriminālprocesā būtu tikai viens </w:t>
            </w:r>
            <w:r w:rsidRPr="001851ED" w:rsidR="005E5ECE">
              <w:rPr>
                <w:rFonts w:ascii="Times New Roman" w:hAnsi="Times New Roman" w:eastAsia="Times New Roman" w:cs="Times New Roman"/>
                <w:sz w:val="24"/>
                <w:szCs w:val="24"/>
                <w:lang w:eastAsia="lv-LV"/>
              </w:rPr>
              <w:t>Ekonomisko lietu tiesai</w:t>
            </w:r>
            <w:r w:rsidRPr="001851ED" w:rsidR="00480DF6">
              <w:rPr>
                <w:rFonts w:ascii="Times New Roman" w:hAnsi="Times New Roman" w:eastAsia="Times New Roman" w:cs="Times New Roman"/>
                <w:sz w:val="24"/>
                <w:szCs w:val="24"/>
                <w:lang w:eastAsia="lv-LV"/>
              </w:rPr>
              <w:t xml:space="preserve"> piekritīgs noziedzīgs nodarījums, būtu piekritīgs Ekonomisko lietu tiesai. </w:t>
            </w:r>
            <w:r w:rsidRPr="001851ED" w:rsidR="005E5ECE">
              <w:rPr>
                <w:rFonts w:ascii="Times New Roman" w:hAnsi="Times New Roman" w:eastAsia="Times New Roman" w:cs="Times New Roman"/>
                <w:sz w:val="24"/>
                <w:szCs w:val="24"/>
                <w:lang w:eastAsia="lv-LV"/>
              </w:rPr>
              <w:t>Tomēr izvērtējot</w:t>
            </w:r>
            <w:r w:rsidR="006519B9">
              <w:rPr>
                <w:rFonts w:ascii="Times New Roman" w:hAnsi="Times New Roman" w:eastAsia="Times New Roman" w:cs="Times New Roman"/>
                <w:sz w:val="24"/>
                <w:szCs w:val="24"/>
                <w:lang w:eastAsia="lv-LV"/>
              </w:rPr>
              <w:t xml:space="preserve"> secināms, ka</w:t>
            </w:r>
            <w:r w:rsidRPr="001851ED" w:rsidR="005E5ECE">
              <w:rPr>
                <w:rFonts w:ascii="Times New Roman" w:hAnsi="Times New Roman" w:eastAsia="Times New Roman" w:cs="Times New Roman"/>
                <w:sz w:val="24"/>
                <w:szCs w:val="24"/>
                <w:lang w:eastAsia="lv-LV"/>
              </w:rPr>
              <w:t xml:space="preserve"> </w:t>
            </w:r>
            <w:r w:rsidRPr="001851ED" w:rsidR="00480DF6">
              <w:rPr>
                <w:rFonts w:ascii="Times New Roman" w:hAnsi="Times New Roman" w:eastAsia="Times New Roman" w:cs="Times New Roman"/>
                <w:sz w:val="24"/>
                <w:szCs w:val="24"/>
                <w:lang w:eastAsia="lv-LV"/>
              </w:rPr>
              <w:t xml:space="preserve">likumprojektā piedāvātais risinājums ir ar </w:t>
            </w:r>
            <w:r w:rsidRPr="001851ED" w:rsidR="005E5ECE">
              <w:rPr>
                <w:rFonts w:ascii="Times New Roman" w:hAnsi="Times New Roman" w:eastAsia="Times New Roman" w:cs="Times New Roman"/>
                <w:sz w:val="24"/>
                <w:szCs w:val="24"/>
                <w:lang w:eastAsia="lv-LV"/>
              </w:rPr>
              <w:t>iespējami zemāk</w:t>
            </w:r>
            <w:r w:rsidRPr="001851ED" w:rsidR="00480DF6">
              <w:rPr>
                <w:rFonts w:ascii="Times New Roman" w:hAnsi="Times New Roman" w:eastAsia="Times New Roman" w:cs="Times New Roman"/>
                <w:sz w:val="24"/>
                <w:szCs w:val="24"/>
                <w:lang w:eastAsia="lv-LV"/>
              </w:rPr>
              <w:t xml:space="preserve">u risku Ekonomisko lietu tiesai saskarties ar lielu apjomu lietu. Ja tiktu noteikts, ka </w:t>
            </w:r>
            <w:r w:rsidRPr="001851ED" w:rsidR="005E5ECE">
              <w:rPr>
                <w:rFonts w:ascii="Times New Roman" w:hAnsi="Times New Roman" w:eastAsia="Times New Roman" w:cs="Times New Roman"/>
                <w:sz w:val="24"/>
                <w:szCs w:val="24"/>
                <w:lang w:eastAsia="lv-LV"/>
              </w:rPr>
              <w:t>Ekonomisko lietu tiesa izskata krimināllietu, ja persona saukta pie kriminālatbildības  par vairākiem noziedzīgiem nodarījumiem, no kuriem kāds ir piekritīgs Ekonomisko lietu tiesai</w:t>
            </w:r>
            <w:r w:rsidRPr="001851ED" w:rsidR="00CF61F3">
              <w:rPr>
                <w:rFonts w:ascii="Times New Roman" w:hAnsi="Times New Roman" w:eastAsia="Times New Roman" w:cs="Times New Roman"/>
                <w:sz w:val="24"/>
                <w:szCs w:val="24"/>
                <w:lang w:eastAsia="lv-LV"/>
              </w:rPr>
              <w:t xml:space="preserve">, pastāv </w:t>
            </w:r>
            <w:r w:rsidRPr="001851ED" w:rsidR="002B1972">
              <w:rPr>
                <w:rFonts w:ascii="Times New Roman" w:hAnsi="Times New Roman" w:eastAsia="Times New Roman" w:cs="Times New Roman"/>
                <w:sz w:val="24"/>
                <w:szCs w:val="24"/>
                <w:lang w:eastAsia="lv-LV"/>
              </w:rPr>
              <w:t xml:space="preserve">ļoti augsts risks saskarties ar tādu lietu apjomu, kas neatbilst sākotnējai Ekonomisko lietu tiesas kapacitātei. </w:t>
            </w:r>
          </w:p>
          <w:p w:rsidRPr="001851ED" w:rsidR="00ED5EDB" w:rsidP="002B1972" w:rsidRDefault="006519B9" w14:paraId="22A6395D" w14:textId="0D69B3CE">
            <w:pPr>
              <w:spacing w:after="0" w:line="240" w:lineRule="auto"/>
              <w:jc w:val="both"/>
              <w:rPr>
                <w:rFonts w:ascii="Times New Roman" w:hAnsi="Times New Roman" w:eastAsia="Times New Roman" w:cs="Times New Roman"/>
                <w:sz w:val="24"/>
                <w:szCs w:val="24"/>
                <w:lang w:eastAsia="lv-LV"/>
              </w:rPr>
            </w:pPr>
            <w:r w:rsidRPr="001851ED">
              <w:rPr>
                <w:rFonts w:ascii="Times New Roman" w:hAnsi="Times New Roman" w:eastAsia="Times New Roman" w:cs="Times New Roman"/>
                <w:b/>
                <w:bCs/>
                <w:sz w:val="24"/>
                <w:szCs w:val="24"/>
                <w:lang w:eastAsia="lv-LV"/>
              </w:rPr>
              <w:t xml:space="preserve">Attiecībā uz piekritības jautājumiem, jāņem vērā, ka nosakot izņēmumu Kriminālprocesa likuma </w:t>
            </w:r>
            <w:proofErr w:type="gramStart"/>
            <w:r w:rsidRPr="001851ED">
              <w:rPr>
                <w:rFonts w:ascii="Times New Roman" w:hAnsi="Times New Roman" w:eastAsia="Times New Roman" w:cs="Times New Roman"/>
                <w:b/>
                <w:bCs/>
                <w:sz w:val="24"/>
                <w:szCs w:val="24"/>
                <w:lang w:eastAsia="lv-LV"/>
              </w:rPr>
              <w:t>442.pantā</w:t>
            </w:r>
            <w:proofErr w:type="gramEnd"/>
            <w:r w:rsidRPr="001851ED">
              <w:rPr>
                <w:rFonts w:ascii="Times New Roman" w:hAnsi="Times New Roman" w:eastAsia="Times New Roman" w:cs="Times New Roman"/>
                <w:b/>
                <w:bCs/>
                <w:sz w:val="24"/>
                <w:szCs w:val="24"/>
                <w:lang w:eastAsia="lv-LV"/>
              </w:rPr>
              <w:t xml:space="preserve">, attiecīgo lietu piekritības noteikšanā netiek piemērots Kriminālprocesa likuma 443.pants. </w:t>
            </w:r>
            <w:r w:rsidRPr="006519B9" w:rsidR="00ED5EDB">
              <w:rPr>
                <w:rFonts w:ascii="Times New Roman" w:hAnsi="Times New Roman" w:eastAsia="Times New Roman" w:cs="Times New Roman"/>
                <w:b/>
                <w:bCs/>
                <w:sz w:val="24"/>
                <w:szCs w:val="24"/>
                <w:lang w:eastAsia="lv-LV"/>
              </w:rPr>
              <w:t>P</w:t>
            </w:r>
            <w:r w:rsidRPr="006519B9">
              <w:rPr>
                <w:rFonts w:ascii="Times New Roman" w:hAnsi="Times New Roman" w:eastAsia="Times New Roman" w:cs="Times New Roman"/>
                <w:b/>
                <w:bCs/>
                <w:sz w:val="24"/>
                <w:szCs w:val="24"/>
                <w:lang w:eastAsia="lv-LV"/>
              </w:rPr>
              <w:t>iemēram,</w:t>
            </w:r>
            <w:r>
              <w:rPr>
                <w:rFonts w:ascii="Times New Roman" w:hAnsi="Times New Roman" w:eastAsia="Times New Roman" w:cs="Times New Roman"/>
                <w:b/>
                <w:bCs/>
                <w:sz w:val="24"/>
                <w:szCs w:val="24"/>
                <w:lang w:eastAsia="lv-LV"/>
              </w:rPr>
              <w:t xml:space="preserve"> </w:t>
            </w:r>
            <w:r w:rsidRPr="001851ED" w:rsidR="00ED5EDB">
              <w:rPr>
                <w:rFonts w:ascii="Times New Roman" w:hAnsi="Times New Roman" w:eastAsia="Times New Roman" w:cs="Times New Roman"/>
                <w:sz w:val="24"/>
                <w:szCs w:val="24"/>
                <w:lang w:eastAsia="lv-LV"/>
              </w:rPr>
              <w:t>šobrīd Kriminālprocesa likuma 442. panta pirmajā daļā noteikta Rīgas pilsētas Vidzemes priekšpilsētas tiesas kompetence lietās, kuru materiālos iekļauti valsts noslēpumu saturoši objekti. Attiecīgi Kriminālprocesa 443. panta pirmā daļa šim izņēmumam nav piemērojama. Minētais secīgi attiecināms arī uz Ekonomisko lietu tiesas kompetencē esošajām lietām.</w:t>
            </w:r>
          </w:p>
          <w:p w:rsidRPr="006F7C53" w:rsidR="00392DB9" w:rsidP="007F5CF3" w:rsidRDefault="00392DB9" w14:paraId="144520F7" w14:textId="648B4427">
            <w:pPr>
              <w:spacing w:after="0" w:line="240" w:lineRule="auto"/>
              <w:jc w:val="both"/>
              <w:rPr>
                <w:rFonts w:ascii="Times New Roman" w:hAnsi="Times New Roman" w:eastAsia="Times New Roman" w:cs="Times New Roman"/>
                <w:sz w:val="24"/>
                <w:szCs w:val="24"/>
                <w:lang w:eastAsia="lv-LV"/>
              </w:rPr>
            </w:pPr>
            <w:r w:rsidRPr="006F7C53">
              <w:rPr>
                <w:rFonts w:ascii="Times New Roman" w:hAnsi="Times New Roman" w:eastAsia="Times New Roman" w:cs="Times New Roman"/>
                <w:sz w:val="24"/>
                <w:szCs w:val="24"/>
                <w:lang w:eastAsia="lv-LV"/>
              </w:rPr>
              <w:t>Analizējot spriedumus 2018.</w:t>
            </w:r>
            <w:r w:rsidR="00552FD8">
              <w:rPr>
                <w:rFonts w:ascii="Times New Roman" w:hAnsi="Times New Roman" w:eastAsia="Times New Roman" w:cs="Times New Roman"/>
                <w:sz w:val="24"/>
                <w:szCs w:val="24"/>
                <w:lang w:eastAsia="lv-LV"/>
              </w:rPr>
              <w:t xml:space="preserve"> </w:t>
            </w:r>
            <w:r w:rsidRPr="006F7C53">
              <w:rPr>
                <w:rFonts w:ascii="Times New Roman" w:hAnsi="Times New Roman" w:eastAsia="Times New Roman" w:cs="Times New Roman"/>
                <w:sz w:val="24"/>
                <w:szCs w:val="24"/>
                <w:lang w:eastAsia="lv-LV"/>
              </w:rPr>
              <w:t xml:space="preserve">gadā pabeigtajās lietās (analizēti 72 spriedumi no 118 spriedumiem) secināts, ka noziedzīgi nodarījumi, kas kvalificēti pēc </w:t>
            </w:r>
            <w:r w:rsidRPr="006F7C53" w:rsidR="00522E8B">
              <w:rPr>
                <w:rFonts w:ascii="Times New Roman" w:hAnsi="Times New Roman" w:eastAsia="Times New Roman" w:cs="Times New Roman"/>
                <w:sz w:val="24"/>
                <w:szCs w:val="24"/>
                <w:lang w:eastAsia="lv-LV"/>
              </w:rPr>
              <w:t>tiem Krimināllikuma pantiem, kuru k</w:t>
            </w:r>
            <w:r w:rsidRPr="006F7C53">
              <w:rPr>
                <w:rFonts w:ascii="Times New Roman" w:hAnsi="Times New Roman" w:eastAsia="Times New Roman" w:cs="Times New Roman"/>
                <w:sz w:val="24"/>
                <w:szCs w:val="24"/>
                <w:lang w:eastAsia="lv-LV"/>
              </w:rPr>
              <w:t xml:space="preserve">rimināllietu izskatīšana </w:t>
            </w:r>
            <w:r w:rsidRPr="006F7C53">
              <w:rPr>
                <w:rFonts w:ascii="Times New Roman" w:hAnsi="Times New Roman" w:eastAsia="Times New Roman" w:cs="Times New Roman"/>
                <w:sz w:val="24"/>
                <w:szCs w:val="24"/>
                <w:lang w:eastAsia="lv-LV"/>
              </w:rPr>
              <w:lastRenderedPageBreak/>
              <w:t>būtu Ekonomisko lietu tiesas kompetencē, nav saistīta piemēram, ar noziedzīgo nodarījumu</w:t>
            </w:r>
            <w:r w:rsidR="00552FD8">
              <w:rPr>
                <w:rFonts w:ascii="Times New Roman" w:hAnsi="Times New Roman" w:eastAsia="Times New Roman" w:cs="Times New Roman"/>
                <w:sz w:val="24"/>
                <w:szCs w:val="24"/>
                <w:lang w:eastAsia="lv-LV"/>
              </w:rPr>
              <w:t>,</w:t>
            </w:r>
            <w:r w:rsidRPr="006F7C53">
              <w:rPr>
                <w:rFonts w:ascii="Times New Roman" w:hAnsi="Times New Roman" w:eastAsia="Times New Roman" w:cs="Times New Roman"/>
                <w:sz w:val="24"/>
                <w:szCs w:val="24"/>
                <w:lang w:eastAsia="lv-LV"/>
              </w:rPr>
              <w:t xml:space="preserve"> par kuru atbildība paredzēta Krimināllikuma 314.</w:t>
            </w:r>
            <w:r w:rsidR="00552FD8">
              <w:rPr>
                <w:rFonts w:ascii="Times New Roman" w:hAnsi="Times New Roman" w:eastAsia="Times New Roman" w:cs="Times New Roman"/>
                <w:sz w:val="24"/>
                <w:szCs w:val="24"/>
                <w:lang w:eastAsia="lv-LV"/>
              </w:rPr>
              <w:t xml:space="preserve"> </w:t>
            </w:r>
            <w:r w:rsidRPr="006F7C53">
              <w:rPr>
                <w:rFonts w:ascii="Times New Roman" w:hAnsi="Times New Roman" w:eastAsia="Times New Roman" w:cs="Times New Roman"/>
                <w:sz w:val="24"/>
                <w:szCs w:val="24"/>
                <w:lang w:eastAsia="lv-LV"/>
              </w:rPr>
              <w:t xml:space="preserve">pantā. Krimināllikuma 314.pants gandrīz vienmēr tiek saistīts ar tādiem </w:t>
            </w:r>
            <w:r w:rsidRPr="006F7C53" w:rsidR="00F64FE5">
              <w:rPr>
                <w:rFonts w:ascii="Times New Roman" w:hAnsi="Times New Roman" w:eastAsia="Times New Roman" w:cs="Times New Roman"/>
                <w:sz w:val="24"/>
                <w:szCs w:val="24"/>
                <w:lang w:eastAsia="lv-LV"/>
              </w:rPr>
              <w:t>noziedzīgiem nodarījumiem</w:t>
            </w:r>
            <w:r w:rsidRPr="006F7C53">
              <w:rPr>
                <w:rFonts w:ascii="Times New Roman" w:hAnsi="Times New Roman" w:eastAsia="Times New Roman" w:cs="Times New Roman"/>
                <w:sz w:val="24"/>
                <w:szCs w:val="24"/>
                <w:lang w:eastAsia="lv-LV"/>
              </w:rPr>
              <w:t xml:space="preserve">, kas nav </w:t>
            </w:r>
            <w:r w:rsidRPr="006F7C53" w:rsidR="008E23E1">
              <w:rPr>
                <w:rFonts w:ascii="Times New Roman" w:hAnsi="Times New Roman" w:eastAsia="Times New Roman" w:cs="Times New Roman"/>
                <w:sz w:val="24"/>
                <w:szCs w:val="24"/>
                <w:lang w:eastAsia="lv-LV"/>
              </w:rPr>
              <w:t xml:space="preserve">Ekonomisko lietu tiesas </w:t>
            </w:r>
            <w:r w:rsidRPr="006F7C53">
              <w:rPr>
                <w:rFonts w:ascii="Times New Roman" w:hAnsi="Times New Roman" w:eastAsia="Times New Roman" w:cs="Times New Roman"/>
                <w:sz w:val="24"/>
                <w:szCs w:val="24"/>
                <w:lang w:eastAsia="lv-LV"/>
              </w:rPr>
              <w:t>kompetencē, piemēram, zādzību, laupīšanu (t.sk. mazā apmērā), huligānisma, dažkārt ar miesas bojājuma nodarīšanu.</w:t>
            </w:r>
          </w:p>
          <w:p w:rsidRPr="00BB1D7F" w:rsidR="00392DB9" w:rsidP="007F5CF3" w:rsidRDefault="00392DB9" w14:paraId="53AC022C" w14:textId="2B17CB94">
            <w:pPr>
              <w:spacing w:after="0" w:line="240" w:lineRule="auto"/>
              <w:jc w:val="both"/>
              <w:rPr>
                <w:u w:val="single"/>
              </w:rPr>
            </w:pPr>
            <w:r w:rsidRPr="006F7C53">
              <w:rPr>
                <w:rFonts w:ascii="Times New Roman" w:hAnsi="Times New Roman" w:eastAsia="Times New Roman" w:cs="Times New Roman"/>
                <w:sz w:val="24"/>
                <w:szCs w:val="24"/>
                <w:lang w:eastAsia="lv-LV"/>
              </w:rPr>
              <w:t xml:space="preserve"> Noziedzīgi nodarījumi, </w:t>
            </w:r>
            <w:r w:rsidRPr="006F7C53" w:rsidR="00522E8B">
              <w:rPr>
                <w:rFonts w:ascii="Times New Roman" w:hAnsi="Times New Roman" w:eastAsia="Times New Roman" w:cs="Times New Roman"/>
                <w:sz w:val="24"/>
                <w:szCs w:val="24"/>
                <w:lang w:eastAsia="lv-LV"/>
              </w:rPr>
              <w:t xml:space="preserve">kas kvalificēti pēc tiem Krimināllikuma pantiem, </w:t>
            </w:r>
            <w:r w:rsidRPr="006F7C53">
              <w:rPr>
                <w:rFonts w:ascii="Times New Roman" w:hAnsi="Times New Roman" w:eastAsia="Times New Roman" w:cs="Times New Roman"/>
                <w:sz w:val="24"/>
                <w:szCs w:val="24"/>
                <w:lang w:eastAsia="lv-LV"/>
              </w:rPr>
              <w:t>kuru krimināllietu izskatīšana būtu Ekonomisko lietu tiesas kompetencē</w:t>
            </w:r>
            <w:r w:rsidRPr="006F7C53" w:rsidR="00522E8B">
              <w:rPr>
                <w:rFonts w:ascii="Times New Roman" w:hAnsi="Times New Roman" w:eastAsia="Times New Roman" w:cs="Times New Roman"/>
                <w:sz w:val="24"/>
                <w:szCs w:val="24"/>
                <w:lang w:eastAsia="lv-LV"/>
              </w:rPr>
              <w:t xml:space="preserve"> pamatā vai nu ir vienīgie vai nereti savstarpēji saistīti</w:t>
            </w:r>
            <w:r w:rsidRPr="00BB1D7F" w:rsidR="00522E8B">
              <w:rPr>
                <w:rFonts w:ascii="Times New Roman" w:hAnsi="Times New Roman" w:eastAsia="Times New Roman" w:cs="Times New Roman"/>
                <w:sz w:val="24"/>
                <w:szCs w:val="24"/>
                <w:lang w:eastAsia="lv-LV"/>
              </w:rPr>
              <w:t xml:space="preserve"> </w:t>
            </w:r>
            <w:proofErr w:type="gramStart"/>
            <w:r w:rsidRPr="00BB1D7F" w:rsidR="00522E8B">
              <w:rPr>
                <w:rFonts w:ascii="Times New Roman" w:hAnsi="Times New Roman" w:eastAsia="Times New Roman" w:cs="Times New Roman"/>
                <w:sz w:val="24"/>
                <w:szCs w:val="24"/>
                <w:lang w:eastAsia="lv-LV"/>
              </w:rPr>
              <w:t>(</w:t>
            </w:r>
            <w:proofErr w:type="gramEnd"/>
            <w:r w:rsidRPr="00BB1D7F" w:rsidR="00522E8B">
              <w:rPr>
                <w:rFonts w:ascii="Times New Roman" w:hAnsi="Times New Roman" w:eastAsia="Times New Roman" w:cs="Times New Roman"/>
                <w:sz w:val="24"/>
                <w:szCs w:val="24"/>
                <w:lang w:eastAsia="lv-LV"/>
              </w:rPr>
              <w:t>piemēram, salīdzinoši daudzās krimināllietās taisīti spriedumi pēc Krimināllikuma 195. panta otrās (vai trešās daļas). A</w:t>
            </w:r>
            <w:r w:rsidRPr="00BB1D7F">
              <w:rPr>
                <w:rFonts w:ascii="Times New Roman" w:hAnsi="Times New Roman" w:eastAsia="Times New Roman" w:cs="Times New Roman"/>
                <w:sz w:val="24"/>
                <w:szCs w:val="24"/>
                <w:lang w:eastAsia="lv-LV"/>
              </w:rPr>
              <w:t xml:space="preserve">tsevišķos gadījumos mazāk smags </w:t>
            </w:r>
            <w:r w:rsidRPr="00BB1D7F" w:rsidR="00522E8B">
              <w:rPr>
                <w:rFonts w:ascii="Times New Roman" w:hAnsi="Times New Roman" w:eastAsia="Times New Roman" w:cs="Times New Roman"/>
                <w:sz w:val="24"/>
                <w:szCs w:val="24"/>
                <w:lang w:eastAsia="lv-LV"/>
              </w:rPr>
              <w:t xml:space="preserve">noziedzīgs nodarījums par ko kriminālatbildība paredzēta Krimināllikumā pēc panta, kuru krimināllietu izskatīšana būtu </w:t>
            </w:r>
            <w:proofErr w:type="gramStart"/>
            <w:r w:rsidRPr="00BB1D7F" w:rsidR="00522E8B">
              <w:rPr>
                <w:rFonts w:ascii="Times New Roman" w:hAnsi="Times New Roman" w:eastAsia="Times New Roman" w:cs="Times New Roman"/>
                <w:sz w:val="24"/>
                <w:szCs w:val="24"/>
                <w:lang w:eastAsia="lv-LV"/>
              </w:rPr>
              <w:t>Ekonomisko lietu tiesas kompetencē</w:t>
            </w:r>
            <w:r w:rsidR="006519B9">
              <w:rPr>
                <w:rFonts w:ascii="Times New Roman" w:hAnsi="Times New Roman" w:eastAsia="Times New Roman" w:cs="Times New Roman"/>
                <w:sz w:val="24"/>
                <w:szCs w:val="24"/>
                <w:lang w:eastAsia="lv-LV"/>
              </w:rPr>
              <w:t>,</w:t>
            </w:r>
            <w:proofErr w:type="gramEnd"/>
            <w:r w:rsidRPr="00BB1D7F" w:rsidR="00522E8B">
              <w:rPr>
                <w:rFonts w:ascii="Times New Roman" w:hAnsi="Times New Roman" w:eastAsia="Times New Roman" w:cs="Times New Roman"/>
                <w:sz w:val="24"/>
                <w:szCs w:val="24"/>
                <w:lang w:eastAsia="lv-LV"/>
              </w:rPr>
              <w:t xml:space="preserve"> var būt saistīta </w:t>
            </w:r>
            <w:r w:rsidRPr="00BB1D7F">
              <w:rPr>
                <w:rFonts w:ascii="Times New Roman" w:hAnsi="Times New Roman" w:eastAsia="Times New Roman" w:cs="Times New Roman"/>
                <w:sz w:val="24"/>
                <w:szCs w:val="24"/>
                <w:lang w:eastAsia="lv-LV"/>
              </w:rPr>
              <w:t>smagāku</w:t>
            </w:r>
            <w:r w:rsidRPr="00BB1D7F" w:rsidR="00522E8B">
              <w:rPr>
                <w:rFonts w:ascii="Times New Roman" w:hAnsi="Times New Roman" w:eastAsia="Times New Roman" w:cs="Times New Roman"/>
                <w:sz w:val="24"/>
                <w:szCs w:val="24"/>
                <w:lang w:eastAsia="lv-LV"/>
              </w:rPr>
              <w:t xml:space="preserve"> un </w:t>
            </w:r>
            <w:r w:rsidRPr="00BB1D7F">
              <w:rPr>
                <w:rFonts w:ascii="Times New Roman" w:hAnsi="Times New Roman" w:eastAsia="Times New Roman" w:cs="Times New Roman"/>
                <w:sz w:val="24"/>
                <w:szCs w:val="24"/>
                <w:lang w:eastAsia="lv-LV"/>
              </w:rPr>
              <w:t xml:space="preserve">šobrīd </w:t>
            </w:r>
            <w:r w:rsidRPr="00BB1D7F" w:rsidR="00522E8B">
              <w:rPr>
                <w:rFonts w:ascii="Times New Roman" w:hAnsi="Times New Roman" w:eastAsia="Times New Roman" w:cs="Times New Roman"/>
                <w:sz w:val="24"/>
                <w:szCs w:val="24"/>
                <w:lang w:eastAsia="lv-LV"/>
              </w:rPr>
              <w:t>Ekonomisko lietu tiesas kompetencē</w:t>
            </w:r>
            <w:r w:rsidRPr="00BB1D7F">
              <w:rPr>
                <w:rFonts w:ascii="Times New Roman" w:hAnsi="Times New Roman" w:eastAsia="Times New Roman" w:cs="Times New Roman"/>
                <w:sz w:val="24"/>
                <w:szCs w:val="24"/>
                <w:lang w:eastAsia="lv-LV"/>
              </w:rPr>
              <w:t xml:space="preserve"> neesošu pantu, piemēram,  krāpšanu vai piesavināšanos lielā apmērā.</w:t>
            </w:r>
            <w:r w:rsidRPr="00BB1D7F">
              <w:rPr>
                <w:u w:val="single"/>
              </w:rPr>
              <w:t xml:space="preserve"> </w:t>
            </w:r>
          </w:p>
          <w:p w:rsidR="00E30FF9" w:rsidP="007F5CF3" w:rsidRDefault="003F2482" w14:paraId="29E22122" w14:textId="6D82DE6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Vienlaikus jāņem vērā, ka </w:t>
            </w:r>
            <w:r w:rsidR="00245C84">
              <w:rPr>
                <w:rFonts w:ascii="Times New Roman" w:hAnsi="Times New Roman" w:eastAsia="Times New Roman" w:cs="Times New Roman"/>
                <w:sz w:val="24"/>
                <w:szCs w:val="24"/>
                <w:lang w:eastAsia="lv-LV"/>
              </w:rPr>
              <w:t xml:space="preserve">attiecīgais regulējums </w:t>
            </w:r>
            <w:r w:rsidR="000C3078">
              <w:rPr>
                <w:rFonts w:ascii="Times New Roman" w:hAnsi="Times New Roman" w:eastAsia="Times New Roman" w:cs="Times New Roman"/>
                <w:sz w:val="24"/>
                <w:szCs w:val="24"/>
                <w:lang w:eastAsia="lv-LV"/>
              </w:rPr>
              <w:t>respektē</w:t>
            </w:r>
            <w:r w:rsidR="00245C84">
              <w:rPr>
                <w:rFonts w:ascii="Times New Roman" w:hAnsi="Times New Roman" w:eastAsia="Times New Roman" w:cs="Times New Roman"/>
                <w:sz w:val="24"/>
                <w:szCs w:val="24"/>
                <w:lang w:eastAsia="lv-LV"/>
              </w:rPr>
              <w:t xml:space="preserve"> arī</w:t>
            </w:r>
            <w:r w:rsidR="000C3078">
              <w:rPr>
                <w:rFonts w:ascii="Times New Roman" w:hAnsi="Times New Roman" w:eastAsia="Times New Roman" w:cs="Times New Roman"/>
                <w:sz w:val="24"/>
                <w:szCs w:val="24"/>
                <w:lang w:eastAsia="lv-LV"/>
              </w:rPr>
              <w:t xml:space="preserve"> Kriminālprocesa likuma 391.</w:t>
            </w:r>
            <w:r w:rsidR="00382B0B">
              <w:rPr>
                <w:rFonts w:ascii="Times New Roman" w:hAnsi="Times New Roman" w:eastAsia="Times New Roman" w:cs="Times New Roman"/>
                <w:sz w:val="24"/>
                <w:szCs w:val="24"/>
                <w:lang w:eastAsia="lv-LV"/>
              </w:rPr>
              <w:t xml:space="preserve"> </w:t>
            </w:r>
            <w:r w:rsidR="000C3078">
              <w:rPr>
                <w:rFonts w:ascii="Times New Roman" w:hAnsi="Times New Roman" w:eastAsia="Times New Roman" w:cs="Times New Roman"/>
                <w:sz w:val="24"/>
                <w:szCs w:val="24"/>
                <w:lang w:eastAsia="lv-LV"/>
              </w:rPr>
              <w:t>pantā minētos nosacījumus, pastāvot kuriem ir bijis iespējams sadalīt pirmstiesas kriminālprocesu. V</w:t>
            </w:r>
            <w:r w:rsidR="00E30FF9">
              <w:rPr>
                <w:rFonts w:ascii="Times New Roman" w:hAnsi="Times New Roman" w:eastAsia="Times New Roman" w:cs="Times New Roman"/>
                <w:sz w:val="24"/>
                <w:szCs w:val="24"/>
                <w:lang w:eastAsia="lv-LV"/>
              </w:rPr>
              <w:t xml:space="preserve">ienlaikus </w:t>
            </w:r>
            <w:r w:rsidR="000C3078">
              <w:rPr>
                <w:rFonts w:ascii="Times New Roman" w:hAnsi="Times New Roman" w:eastAsia="Times New Roman" w:cs="Times New Roman"/>
                <w:sz w:val="24"/>
                <w:szCs w:val="24"/>
                <w:lang w:eastAsia="lv-LV"/>
              </w:rPr>
              <w:t>jāņem vērā</w:t>
            </w:r>
            <w:r w:rsidRPr="001C0A02" w:rsidR="00E30FF9">
              <w:rPr>
                <w:rFonts w:ascii="Times New Roman" w:hAnsi="Times New Roman" w:eastAsia="Times New Roman" w:cs="Times New Roman"/>
                <w:sz w:val="24"/>
                <w:szCs w:val="24"/>
                <w:lang w:eastAsia="lv-LV"/>
              </w:rPr>
              <w:t xml:space="preserve">, </w:t>
            </w:r>
            <w:r w:rsidR="00D312D4">
              <w:rPr>
                <w:rFonts w:ascii="Times New Roman" w:hAnsi="Times New Roman" w:eastAsia="Times New Roman" w:cs="Times New Roman"/>
                <w:sz w:val="24"/>
                <w:szCs w:val="24"/>
                <w:lang w:eastAsia="lv-LV"/>
              </w:rPr>
              <w:t>Likumprojektā</w:t>
            </w:r>
            <w:r w:rsidRPr="001C0A02" w:rsidR="00D312D4">
              <w:rPr>
                <w:rFonts w:ascii="Times New Roman" w:hAnsi="Times New Roman" w:eastAsia="Times New Roman" w:cs="Times New Roman"/>
                <w:sz w:val="24"/>
                <w:szCs w:val="24"/>
                <w:lang w:eastAsia="lv-LV"/>
              </w:rPr>
              <w:t xml:space="preserve"> </w:t>
            </w:r>
            <w:r w:rsidRPr="001C0A02" w:rsidR="000C3078">
              <w:rPr>
                <w:rFonts w:ascii="Times New Roman" w:hAnsi="Times New Roman" w:eastAsia="Times New Roman" w:cs="Times New Roman"/>
                <w:sz w:val="24"/>
                <w:szCs w:val="24"/>
                <w:lang w:eastAsia="lv-LV"/>
              </w:rPr>
              <w:t xml:space="preserve">neierobežo </w:t>
            </w:r>
            <w:r w:rsidR="00D312D4">
              <w:rPr>
                <w:rFonts w:ascii="Times New Roman" w:hAnsi="Times New Roman" w:eastAsia="Times New Roman" w:cs="Times New Roman"/>
                <w:sz w:val="24"/>
                <w:szCs w:val="24"/>
                <w:lang w:eastAsia="lv-LV"/>
              </w:rPr>
              <w:t xml:space="preserve">Ekonomisko lietu </w:t>
            </w:r>
            <w:r w:rsidRPr="001C0A02" w:rsidR="000C3078">
              <w:rPr>
                <w:rFonts w:ascii="Times New Roman" w:hAnsi="Times New Roman" w:eastAsia="Times New Roman" w:cs="Times New Roman"/>
                <w:sz w:val="24"/>
                <w:szCs w:val="24"/>
                <w:lang w:eastAsia="lv-LV"/>
              </w:rPr>
              <w:t>tiesas iespējas sadalīt kriminālprocesu, pastāvot Kriminālprocesa likuma 476.</w:t>
            </w:r>
            <w:r w:rsidR="00126667">
              <w:rPr>
                <w:rFonts w:ascii="Times New Roman" w:hAnsi="Times New Roman" w:eastAsia="Times New Roman" w:cs="Times New Roman"/>
                <w:sz w:val="24"/>
                <w:szCs w:val="24"/>
                <w:lang w:eastAsia="lv-LV"/>
              </w:rPr>
              <w:t xml:space="preserve"> </w:t>
            </w:r>
            <w:r w:rsidRPr="001C0A02" w:rsidR="000C3078">
              <w:rPr>
                <w:rFonts w:ascii="Times New Roman" w:hAnsi="Times New Roman" w:eastAsia="Times New Roman" w:cs="Times New Roman"/>
                <w:sz w:val="24"/>
                <w:szCs w:val="24"/>
                <w:lang w:eastAsia="lv-LV"/>
              </w:rPr>
              <w:t>panta pirmajā daļā minētajiem nosacījumiem. A</w:t>
            </w:r>
            <w:r w:rsidRPr="001C0A02" w:rsidR="00E30FF9">
              <w:rPr>
                <w:rFonts w:ascii="Times New Roman" w:hAnsi="Times New Roman" w:eastAsia="Times New Roman" w:cs="Times New Roman"/>
                <w:sz w:val="24"/>
                <w:szCs w:val="24"/>
                <w:lang w:eastAsia="lv-LV"/>
              </w:rPr>
              <w:t>tbilstoši Kriminālprocesa 476.</w:t>
            </w:r>
            <w:r w:rsidR="00126667">
              <w:rPr>
                <w:rFonts w:ascii="Times New Roman" w:hAnsi="Times New Roman" w:eastAsia="Times New Roman" w:cs="Times New Roman"/>
                <w:sz w:val="24"/>
                <w:szCs w:val="24"/>
                <w:lang w:eastAsia="lv-LV"/>
              </w:rPr>
              <w:t xml:space="preserve"> </w:t>
            </w:r>
            <w:r w:rsidRPr="001C0A02" w:rsidR="00E30FF9">
              <w:rPr>
                <w:rFonts w:ascii="Times New Roman" w:hAnsi="Times New Roman" w:eastAsia="Times New Roman" w:cs="Times New Roman"/>
                <w:sz w:val="24"/>
                <w:szCs w:val="24"/>
                <w:lang w:eastAsia="lv-LV"/>
              </w:rPr>
              <w:t>panta pirmajai daļai tiesa apsūdzētā vai cietušā interesēs kriminālprocesu, kurā apsūdzētas vairākas personas vai viena persona par vairākiem noziedzīgiem nodarījumiem, var sadalīt, ja sadalīšana nekaitē kriminālprocesa mērķa sasniegšanai.</w:t>
            </w:r>
          </w:p>
          <w:p w:rsidRPr="00BB1D7F" w:rsidR="00604FFD" w:rsidP="00126667" w:rsidRDefault="00E30FF9" w14:paraId="251901EE" w14:textId="0611EBB9">
            <w:pPr>
              <w:spacing w:after="0" w:line="240" w:lineRule="auto"/>
              <w:jc w:val="both"/>
              <w:rPr>
                <w:rFonts w:ascii="Times New Roman" w:hAnsi="Times New Roman" w:eastAsia="Times New Roman" w:cs="Times New Roman"/>
                <w:sz w:val="24"/>
                <w:szCs w:val="24"/>
                <w:lang w:eastAsia="lv-LV"/>
              </w:rPr>
            </w:pPr>
            <w:r w:rsidRPr="007F5CF3">
              <w:rPr>
                <w:rFonts w:ascii="Times New Roman" w:hAnsi="Times New Roman" w:eastAsia="Times New Roman" w:cs="Times New Roman"/>
                <w:sz w:val="24"/>
                <w:szCs w:val="24"/>
                <w:lang w:eastAsia="lv-LV"/>
              </w:rPr>
              <w:t xml:space="preserve">Tāpat </w:t>
            </w:r>
            <w:r w:rsidRPr="007F5CF3" w:rsidR="00112B33">
              <w:rPr>
                <w:rFonts w:ascii="Times New Roman" w:hAnsi="Times New Roman" w:eastAsia="Times New Roman" w:cs="Times New Roman"/>
                <w:sz w:val="24"/>
                <w:szCs w:val="24"/>
                <w:lang w:eastAsia="lv-LV"/>
              </w:rPr>
              <w:t xml:space="preserve">ievērojot </w:t>
            </w:r>
            <w:r w:rsidRPr="007F5CF3" w:rsidR="000C3078">
              <w:rPr>
                <w:rFonts w:ascii="Times New Roman" w:hAnsi="Times New Roman" w:eastAsia="Times New Roman" w:cs="Times New Roman"/>
                <w:sz w:val="24"/>
                <w:szCs w:val="24"/>
                <w:lang w:eastAsia="lv-LV"/>
              </w:rPr>
              <w:t xml:space="preserve">vispārējos principus </w:t>
            </w:r>
            <w:r w:rsidRPr="007F5CF3" w:rsidR="00112B33">
              <w:rPr>
                <w:rFonts w:ascii="Times New Roman" w:hAnsi="Times New Roman" w:eastAsia="Times New Roman" w:cs="Times New Roman"/>
                <w:sz w:val="24"/>
                <w:szCs w:val="24"/>
                <w:lang w:eastAsia="lv-LV"/>
              </w:rPr>
              <w:t>piekritīb</w:t>
            </w:r>
            <w:r w:rsidRPr="007F5CF3" w:rsidR="007659B8">
              <w:rPr>
                <w:rFonts w:ascii="Times New Roman" w:hAnsi="Times New Roman" w:eastAsia="Times New Roman" w:cs="Times New Roman"/>
                <w:sz w:val="24"/>
                <w:szCs w:val="24"/>
                <w:lang w:eastAsia="lv-LV"/>
              </w:rPr>
              <w:t>as noteikšanā</w:t>
            </w:r>
            <w:r w:rsidRPr="007F5CF3" w:rsidR="00091D7F">
              <w:rPr>
                <w:rFonts w:ascii="Times New Roman" w:hAnsi="Times New Roman" w:eastAsia="Times New Roman" w:cs="Times New Roman"/>
                <w:sz w:val="24"/>
                <w:szCs w:val="24"/>
                <w:lang w:eastAsia="lv-LV"/>
              </w:rPr>
              <w:t>,</w:t>
            </w:r>
            <w:r w:rsidRPr="007F5CF3" w:rsidR="00B32892">
              <w:rPr>
                <w:rFonts w:ascii="Times New Roman" w:hAnsi="Times New Roman" w:eastAsia="Times New Roman" w:cs="Times New Roman"/>
                <w:sz w:val="24"/>
                <w:szCs w:val="24"/>
                <w:lang w:eastAsia="lv-LV"/>
              </w:rPr>
              <w:t xml:space="preserve"> jautājumu, kas izlemjami lietas iztiesāšanas laikā tiesā, izskatīšana būs piekritīga Ekonomisko lietu tiesai. Proti,</w:t>
            </w:r>
            <w:proofErr w:type="gramStart"/>
            <w:r w:rsidRPr="007F5CF3" w:rsidR="00B32892">
              <w:rPr>
                <w:rFonts w:ascii="Times New Roman" w:hAnsi="Times New Roman" w:eastAsia="Times New Roman" w:cs="Times New Roman"/>
                <w:sz w:val="24"/>
                <w:szCs w:val="24"/>
                <w:lang w:eastAsia="lv-LV"/>
              </w:rPr>
              <w:t xml:space="preserve"> </w:t>
            </w:r>
            <w:r w:rsidRPr="007F5CF3" w:rsidR="00112B33">
              <w:rPr>
                <w:rFonts w:ascii="Times New Roman" w:hAnsi="Times New Roman" w:eastAsia="Times New Roman" w:cs="Times New Roman"/>
                <w:sz w:val="24"/>
                <w:szCs w:val="24"/>
                <w:lang w:eastAsia="lv-LV"/>
              </w:rPr>
              <w:t xml:space="preserve"> </w:t>
            </w:r>
            <w:proofErr w:type="gramEnd"/>
            <w:r w:rsidRPr="007F5CF3" w:rsidR="00112B33">
              <w:rPr>
                <w:rFonts w:ascii="Times New Roman" w:hAnsi="Times New Roman" w:eastAsia="Times New Roman" w:cs="Times New Roman"/>
                <w:sz w:val="24"/>
                <w:szCs w:val="24"/>
                <w:lang w:eastAsia="lv-LV"/>
              </w:rPr>
              <w:t xml:space="preserve">Ekonomisko lietu tiesa </w:t>
            </w:r>
            <w:r w:rsidRPr="00BB1D7F" w:rsidR="00112B33">
              <w:rPr>
                <w:rFonts w:ascii="Times New Roman" w:hAnsi="Times New Roman" w:eastAsia="Times New Roman" w:cs="Times New Roman"/>
                <w:sz w:val="24"/>
                <w:szCs w:val="24"/>
                <w:lang w:eastAsia="lv-LV"/>
              </w:rPr>
              <w:t>izskat</w:t>
            </w:r>
            <w:r w:rsidRPr="00BB1D7F" w:rsidR="00D312D4">
              <w:rPr>
                <w:rFonts w:ascii="Times New Roman" w:hAnsi="Times New Roman" w:eastAsia="Times New Roman" w:cs="Times New Roman"/>
                <w:sz w:val="24"/>
                <w:szCs w:val="24"/>
                <w:lang w:eastAsia="lv-LV"/>
              </w:rPr>
              <w:t>īs</w:t>
            </w:r>
            <w:r w:rsidRPr="00BB1D7F" w:rsidR="00112B33">
              <w:rPr>
                <w:rFonts w:ascii="Times New Roman" w:hAnsi="Times New Roman" w:eastAsia="Times New Roman" w:cs="Times New Roman"/>
                <w:sz w:val="24"/>
                <w:szCs w:val="24"/>
                <w:lang w:eastAsia="lv-LV"/>
              </w:rPr>
              <w:t xml:space="preserve"> materiālus</w:t>
            </w:r>
            <w:r w:rsidR="005C4637">
              <w:rPr>
                <w:rFonts w:ascii="Times New Roman" w:hAnsi="Times New Roman" w:eastAsia="Times New Roman" w:cs="Times New Roman"/>
                <w:sz w:val="24"/>
                <w:szCs w:val="24"/>
                <w:lang w:eastAsia="lv-LV"/>
              </w:rPr>
              <w:t xml:space="preserve"> </w:t>
            </w:r>
            <w:r w:rsidRPr="00BB1D7F" w:rsidR="00112B33">
              <w:rPr>
                <w:rFonts w:ascii="Times New Roman" w:hAnsi="Times New Roman" w:eastAsia="Times New Roman" w:cs="Times New Roman"/>
                <w:sz w:val="24"/>
                <w:szCs w:val="24"/>
                <w:lang w:eastAsia="lv-LV"/>
              </w:rPr>
              <w:t xml:space="preserve">Kriminālprocesa likuma 59.nodaļas </w:t>
            </w:r>
            <w:r w:rsidRPr="00BB1D7F" w:rsidR="00D312D4">
              <w:rPr>
                <w:rFonts w:ascii="Times New Roman" w:hAnsi="Times New Roman" w:eastAsia="Times New Roman" w:cs="Times New Roman"/>
                <w:sz w:val="24"/>
                <w:szCs w:val="24"/>
                <w:lang w:eastAsia="lv-LV"/>
              </w:rPr>
              <w:t>un 55. nodaļas</w:t>
            </w:r>
            <w:r w:rsidR="00126667">
              <w:rPr>
                <w:rFonts w:ascii="Times New Roman" w:hAnsi="Times New Roman" w:eastAsia="Times New Roman" w:cs="Times New Roman"/>
                <w:sz w:val="24"/>
                <w:szCs w:val="24"/>
                <w:lang w:eastAsia="lv-LV"/>
              </w:rPr>
              <w:t xml:space="preserve"> </w:t>
            </w:r>
            <w:r w:rsidRPr="00BB1D7F" w:rsidR="00112B33">
              <w:rPr>
                <w:rFonts w:ascii="Times New Roman" w:hAnsi="Times New Roman" w:eastAsia="Times New Roman" w:cs="Times New Roman"/>
                <w:sz w:val="24"/>
                <w:szCs w:val="24"/>
                <w:lang w:eastAsia="lv-LV"/>
              </w:rPr>
              <w:t>kārtībā</w:t>
            </w:r>
            <w:r w:rsidRPr="00BB1D7F" w:rsidR="00D312D4">
              <w:rPr>
                <w:rFonts w:ascii="Times New Roman" w:hAnsi="Times New Roman" w:eastAsia="Times New Roman" w:cs="Times New Roman"/>
                <w:sz w:val="24"/>
                <w:szCs w:val="24"/>
                <w:lang w:eastAsia="lv-LV"/>
              </w:rPr>
              <w:t>, proti,</w:t>
            </w:r>
            <w:r w:rsidRPr="00BB1D7F" w:rsidR="00112B33">
              <w:rPr>
                <w:rFonts w:ascii="Times New Roman" w:hAnsi="Times New Roman" w:eastAsia="Times New Roman" w:cs="Times New Roman"/>
                <w:sz w:val="24"/>
                <w:szCs w:val="24"/>
                <w:lang w:eastAsia="lv-LV"/>
              </w:rPr>
              <w:t xml:space="preserve"> procesu par medicīniska rakstura piespiedu līdzekļiem</w:t>
            </w:r>
            <w:r w:rsidRPr="00BB1D7F" w:rsidR="00D312D4">
              <w:rPr>
                <w:rFonts w:ascii="Times New Roman" w:hAnsi="Times New Roman" w:eastAsia="Times New Roman" w:cs="Times New Roman"/>
                <w:sz w:val="24"/>
                <w:szCs w:val="24"/>
                <w:lang w:eastAsia="lv-LV"/>
              </w:rPr>
              <w:t xml:space="preserve"> un procesu par noziedzīgi iegūtu mantu, </w:t>
            </w:r>
            <w:r w:rsidRPr="00BB1D7F" w:rsidR="00112B33">
              <w:rPr>
                <w:rFonts w:ascii="Times New Roman" w:hAnsi="Times New Roman" w:eastAsia="Times New Roman" w:cs="Times New Roman"/>
                <w:sz w:val="24"/>
                <w:szCs w:val="24"/>
                <w:lang w:eastAsia="lv-LV"/>
              </w:rPr>
              <w:t>ja noziedzīg</w:t>
            </w:r>
            <w:r w:rsidRPr="00BB1D7F" w:rsidR="00D312D4">
              <w:rPr>
                <w:rFonts w:ascii="Times New Roman" w:hAnsi="Times New Roman" w:eastAsia="Times New Roman" w:cs="Times New Roman"/>
                <w:sz w:val="24"/>
                <w:szCs w:val="24"/>
                <w:lang w:eastAsia="lv-LV"/>
              </w:rPr>
              <w:t>ai</w:t>
            </w:r>
            <w:r w:rsidRPr="00BB1D7F" w:rsidR="00112B33">
              <w:rPr>
                <w:rFonts w:ascii="Times New Roman" w:hAnsi="Times New Roman" w:eastAsia="Times New Roman" w:cs="Times New Roman"/>
                <w:sz w:val="24"/>
                <w:szCs w:val="24"/>
                <w:lang w:eastAsia="lv-LV"/>
              </w:rPr>
              <w:t>s nodarījums piekritīgs Ekonomisko lietu tiesai</w:t>
            </w:r>
            <w:r w:rsidR="0011578A">
              <w:rPr>
                <w:rFonts w:ascii="Times New Roman" w:hAnsi="Times New Roman" w:eastAsia="Times New Roman" w:cs="Times New Roman"/>
                <w:sz w:val="24"/>
                <w:szCs w:val="24"/>
                <w:lang w:eastAsia="lv-LV"/>
              </w:rPr>
              <w:t xml:space="preserve"> </w:t>
            </w:r>
            <w:r w:rsidRPr="0011578A" w:rsidR="0011578A">
              <w:rPr>
                <w:rFonts w:ascii="Times New Roman" w:hAnsi="Times New Roman" w:eastAsia="Times New Roman" w:cs="Times New Roman"/>
                <w:b/>
                <w:bCs/>
                <w:sz w:val="24"/>
                <w:szCs w:val="24"/>
                <w:lang w:eastAsia="lv-LV"/>
              </w:rPr>
              <w:t>(</w:t>
            </w:r>
            <w:bookmarkStart w:name="_Hlk20126867" w:id="4"/>
            <w:r w:rsidRPr="001851ED" w:rsidR="0011578A">
              <w:rPr>
                <w:rFonts w:ascii="Times New Roman" w:hAnsi="Times New Roman" w:eastAsia="Times New Roman" w:cs="Times New Roman"/>
                <w:sz w:val="24"/>
                <w:szCs w:val="24"/>
                <w:lang w:eastAsia="lv-LV"/>
              </w:rPr>
              <w:t xml:space="preserve">Saskaņā ar likumprojektu "Grozījumi likumā "Par tiesu varu" </w:t>
            </w:r>
            <w:r w:rsidRPr="001851ED" w:rsidR="0011578A">
              <w:rPr>
                <w:rFonts w:ascii="Times New Roman" w:hAnsi="Times New Roman" w:cs="Times New Roman"/>
                <w:sz w:val="24"/>
                <w:szCs w:val="24"/>
              </w:rPr>
              <w:t>Ekonomisko lietu tiesa ir specializēta pirmās instances rajona (pilsētas) tiesa</w:t>
            </w:r>
            <w:bookmarkEnd w:id="4"/>
            <w:r w:rsidRPr="001851ED" w:rsidR="0011578A">
              <w:rPr>
                <w:rFonts w:ascii="Times New Roman" w:hAnsi="Times New Roman" w:cs="Times New Roman"/>
                <w:sz w:val="24"/>
                <w:szCs w:val="24"/>
              </w:rPr>
              <w:t>)</w:t>
            </w:r>
            <w:r w:rsidRPr="001851ED" w:rsidR="00112B33">
              <w:rPr>
                <w:rFonts w:ascii="Times New Roman" w:hAnsi="Times New Roman" w:eastAsia="Times New Roman" w:cs="Times New Roman"/>
                <w:sz w:val="24"/>
                <w:szCs w:val="24"/>
                <w:lang w:eastAsia="lv-LV"/>
              </w:rPr>
              <w:t>.</w:t>
            </w:r>
            <w:r w:rsidRPr="006519B9" w:rsidR="00604FFD">
              <w:rPr>
                <w:rFonts w:ascii="Times New Roman" w:hAnsi="Times New Roman" w:eastAsia="Times New Roman" w:cs="Times New Roman"/>
                <w:sz w:val="24"/>
                <w:szCs w:val="24"/>
                <w:lang w:eastAsia="lv-LV"/>
              </w:rPr>
              <w:t xml:space="preserve"> Atbilstoši</w:t>
            </w:r>
            <w:r w:rsidRPr="00BB1D7F" w:rsidR="00604FFD">
              <w:rPr>
                <w:rFonts w:ascii="Times New Roman" w:hAnsi="Times New Roman" w:eastAsia="Times New Roman" w:cs="Times New Roman"/>
                <w:sz w:val="24"/>
                <w:szCs w:val="24"/>
                <w:lang w:eastAsia="lv-LV"/>
              </w:rPr>
              <w:t xml:space="preserve"> Tiesu administrācijas sniegtajiem datiem, process par medicīniska rakstura piespiedu līdzekļu piemērošanu, kā arī process par noziedzīgi iegūtu mantu nav piemērots</w:t>
            </w:r>
            <w:r w:rsidR="006519B9">
              <w:rPr>
                <w:rFonts w:ascii="Times New Roman" w:hAnsi="Times New Roman" w:eastAsia="Times New Roman" w:cs="Times New Roman"/>
                <w:sz w:val="24"/>
                <w:szCs w:val="24"/>
                <w:lang w:eastAsia="lv-LV"/>
              </w:rPr>
              <w:t xml:space="preserve"> </w:t>
            </w:r>
            <w:r w:rsidRPr="001851ED" w:rsidR="006519B9">
              <w:rPr>
                <w:rFonts w:ascii="Times New Roman" w:hAnsi="Times New Roman" w:eastAsia="Times New Roman" w:cs="Times New Roman"/>
                <w:b/>
                <w:bCs/>
                <w:sz w:val="24"/>
                <w:szCs w:val="24"/>
                <w:lang w:eastAsia="lv-LV"/>
              </w:rPr>
              <w:t>iepriekš minētajās</w:t>
            </w:r>
            <w:r w:rsidRPr="00BB1D7F" w:rsidR="00604FFD">
              <w:rPr>
                <w:rFonts w:ascii="Times New Roman" w:hAnsi="Times New Roman" w:eastAsia="Times New Roman" w:cs="Times New Roman"/>
                <w:sz w:val="24"/>
                <w:szCs w:val="24"/>
                <w:lang w:eastAsia="lv-LV"/>
              </w:rPr>
              <w:t xml:space="preserve"> lietās, kas 2018.</w:t>
            </w:r>
            <w:r w:rsidR="00D54EDA">
              <w:rPr>
                <w:rFonts w:ascii="Times New Roman" w:hAnsi="Times New Roman" w:eastAsia="Times New Roman" w:cs="Times New Roman"/>
                <w:sz w:val="24"/>
                <w:szCs w:val="24"/>
                <w:lang w:eastAsia="lv-LV"/>
              </w:rPr>
              <w:t xml:space="preserve"> </w:t>
            </w:r>
            <w:r w:rsidRPr="00BB1D7F" w:rsidR="00604FFD">
              <w:rPr>
                <w:rFonts w:ascii="Times New Roman" w:hAnsi="Times New Roman" w:eastAsia="Times New Roman" w:cs="Times New Roman"/>
                <w:sz w:val="24"/>
                <w:szCs w:val="24"/>
                <w:lang w:eastAsia="lv-LV"/>
              </w:rPr>
              <w:t>gadā pabeigtas</w:t>
            </w:r>
            <w:r w:rsidR="006519B9">
              <w:rPr>
                <w:rFonts w:ascii="Times New Roman" w:hAnsi="Times New Roman" w:eastAsia="Times New Roman" w:cs="Times New Roman"/>
                <w:sz w:val="24"/>
                <w:szCs w:val="24"/>
                <w:lang w:eastAsia="lv-LV"/>
              </w:rPr>
              <w:t xml:space="preserve"> </w:t>
            </w:r>
            <w:r w:rsidRPr="001851ED" w:rsidR="006519B9">
              <w:rPr>
                <w:rFonts w:ascii="Times New Roman" w:hAnsi="Times New Roman" w:eastAsia="Times New Roman" w:cs="Times New Roman"/>
                <w:b/>
                <w:bCs/>
                <w:sz w:val="24"/>
                <w:szCs w:val="24"/>
                <w:lang w:eastAsia="lv-LV"/>
              </w:rPr>
              <w:t>un atspoguļo Ekonomisko lietu tiesas provizorisko noslodzi</w:t>
            </w:r>
            <w:r w:rsidRPr="001851ED" w:rsidR="00604FFD">
              <w:rPr>
                <w:rFonts w:ascii="Times New Roman" w:hAnsi="Times New Roman" w:eastAsia="Times New Roman" w:cs="Times New Roman"/>
                <w:b/>
                <w:bCs/>
                <w:sz w:val="24"/>
                <w:szCs w:val="24"/>
                <w:lang w:eastAsia="lv-LV"/>
              </w:rPr>
              <w:t>.</w:t>
            </w:r>
            <w:r w:rsidRPr="00BB1D7F" w:rsidR="00604FFD">
              <w:rPr>
                <w:rFonts w:ascii="Times New Roman" w:hAnsi="Times New Roman" w:eastAsia="Times New Roman" w:cs="Times New Roman"/>
                <w:sz w:val="24"/>
                <w:szCs w:val="24"/>
                <w:lang w:eastAsia="lv-LV"/>
              </w:rPr>
              <w:t xml:space="preserve"> </w:t>
            </w:r>
          </w:p>
          <w:p w:rsidRPr="001851ED" w:rsidR="00F22C05" w:rsidP="007F5CF3" w:rsidRDefault="00A939B5" w14:paraId="7E7CB530" w14:textId="3D5A436E">
            <w:pPr>
              <w:spacing w:after="0" w:line="240" w:lineRule="auto"/>
              <w:jc w:val="both"/>
              <w:rPr>
                <w:rFonts w:ascii="Times New Roman" w:hAnsi="Times New Roman" w:eastAsia="Times New Roman" w:cs="Times New Roman"/>
                <w:sz w:val="24"/>
                <w:szCs w:val="24"/>
                <w:lang w:eastAsia="lv-LV"/>
              </w:rPr>
            </w:pPr>
            <w:r w:rsidRPr="00BB1D7F">
              <w:rPr>
                <w:rFonts w:ascii="Times New Roman" w:hAnsi="Times New Roman" w:eastAsia="Times New Roman" w:cs="Times New Roman"/>
                <w:sz w:val="24"/>
                <w:szCs w:val="24"/>
                <w:lang w:eastAsia="lv-LV"/>
              </w:rPr>
              <w:lastRenderedPageBreak/>
              <w:t>Attiecībā uz nolēmumu izpildes jautājumiem – tos</w:t>
            </w:r>
            <w:r w:rsidRPr="00BB1D7F" w:rsidR="007659B8">
              <w:rPr>
                <w:rFonts w:ascii="Times New Roman" w:hAnsi="Times New Roman" w:eastAsia="Times New Roman" w:cs="Times New Roman"/>
                <w:sz w:val="24"/>
                <w:szCs w:val="24"/>
                <w:lang w:eastAsia="lv-LV"/>
              </w:rPr>
              <w:t xml:space="preserve"> </w:t>
            </w:r>
            <w:r w:rsidRPr="00BB1D7F">
              <w:rPr>
                <w:rFonts w:ascii="Times New Roman" w:hAnsi="Times New Roman" w:eastAsia="Times New Roman" w:cs="Times New Roman"/>
                <w:sz w:val="24"/>
                <w:szCs w:val="24"/>
                <w:lang w:eastAsia="lv-LV"/>
              </w:rPr>
              <w:t>risina tā tiesa, kas nolēmumu pieņēmusi.</w:t>
            </w:r>
            <w:r w:rsidRPr="00BB1D7F" w:rsidR="00E30FF9">
              <w:t xml:space="preserve"> </w:t>
            </w:r>
            <w:r w:rsidRPr="00BB1D7F" w:rsidR="00E30FF9">
              <w:rPr>
                <w:rFonts w:ascii="Times New Roman" w:hAnsi="Times New Roman" w:eastAsia="Times New Roman" w:cs="Times New Roman"/>
                <w:sz w:val="24"/>
                <w:szCs w:val="24"/>
                <w:lang w:eastAsia="lv-LV"/>
              </w:rPr>
              <w:t>Jautājumus, kuri saistīti ar spriedumā noteiktā soda izpildi, kā arī</w:t>
            </w:r>
            <w:r w:rsidRPr="001A5927" w:rsidR="00E30FF9">
              <w:rPr>
                <w:rFonts w:ascii="Times New Roman" w:hAnsi="Times New Roman" w:eastAsia="Times New Roman" w:cs="Times New Roman"/>
                <w:sz w:val="24"/>
                <w:szCs w:val="24"/>
                <w:lang w:eastAsia="lv-LV"/>
              </w:rPr>
              <w:t xml:space="preserve"> neskaidrības, kas rodas, izpildot tiesas nolēmumu, pēc nolēmuma izpildes iestādes vai prokurora iesnieguma izlemj tās pirmās instances tiesas tiesnesis, kura pieņēmusi nolēmumu, izņemot Kriminālprocesa likuma 638.</w:t>
            </w:r>
            <w:r w:rsidRPr="001A5927" w:rsidR="001A5927">
              <w:rPr>
                <w:rFonts w:ascii="Times New Roman" w:hAnsi="Times New Roman" w:eastAsia="Times New Roman" w:cs="Times New Roman"/>
                <w:sz w:val="24"/>
                <w:szCs w:val="24"/>
                <w:lang w:eastAsia="lv-LV"/>
              </w:rPr>
              <w:t xml:space="preserve"> </w:t>
            </w:r>
            <w:r w:rsidRPr="001A5927" w:rsidR="00E30FF9">
              <w:rPr>
                <w:rFonts w:ascii="Times New Roman" w:hAnsi="Times New Roman" w:eastAsia="Times New Roman" w:cs="Times New Roman"/>
                <w:sz w:val="24"/>
                <w:szCs w:val="24"/>
                <w:lang w:eastAsia="lv-LV"/>
              </w:rPr>
              <w:t>pantā, 642.</w:t>
            </w:r>
            <w:r w:rsidRPr="001A5927" w:rsidR="001A5927">
              <w:rPr>
                <w:rFonts w:ascii="Times New Roman" w:hAnsi="Times New Roman" w:eastAsia="Times New Roman" w:cs="Times New Roman"/>
                <w:sz w:val="24"/>
                <w:szCs w:val="24"/>
                <w:lang w:eastAsia="lv-LV"/>
              </w:rPr>
              <w:t xml:space="preserve"> </w:t>
            </w:r>
            <w:r w:rsidRPr="001A5927" w:rsidR="00E30FF9">
              <w:rPr>
                <w:rFonts w:ascii="Times New Roman" w:hAnsi="Times New Roman" w:eastAsia="Times New Roman" w:cs="Times New Roman"/>
                <w:sz w:val="24"/>
                <w:szCs w:val="24"/>
                <w:lang w:eastAsia="lv-LV"/>
              </w:rPr>
              <w:t>pantā un 647.</w:t>
            </w:r>
            <w:r w:rsidRPr="001A5927" w:rsidR="001A5927">
              <w:rPr>
                <w:rFonts w:ascii="Times New Roman" w:hAnsi="Times New Roman" w:eastAsia="Times New Roman" w:cs="Times New Roman"/>
                <w:sz w:val="24"/>
                <w:szCs w:val="24"/>
                <w:lang w:eastAsia="lv-LV"/>
              </w:rPr>
              <w:t xml:space="preserve"> </w:t>
            </w:r>
            <w:r w:rsidRPr="001A5927" w:rsidR="00E30FF9">
              <w:rPr>
                <w:rFonts w:ascii="Times New Roman" w:hAnsi="Times New Roman" w:eastAsia="Times New Roman" w:cs="Times New Roman"/>
                <w:sz w:val="24"/>
                <w:szCs w:val="24"/>
                <w:lang w:eastAsia="lv-LV"/>
              </w:rPr>
              <w:t>pantā minētos gadījumus.</w:t>
            </w:r>
            <w:r w:rsidR="003C788E">
              <w:rPr>
                <w:rFonts w:ascii="Times New Roman" w:hAnsi="Times New Roman" w:eastAsia="Times New Roman" w:cs="Times New Roman"/>
                <w:sz w:val="24"/>
                <w:szCs w:val="24"/>
                <w:lang w:eastAsia="lv-LV"/>
              </w:rPr>
              <w:t xml:space="preserve"> </w:t>
            </w:r>
            <w:r w:rsidR="007659B8">
              <w:rPr>
                <w:rFonts w:ascii="Times New Roman" w:hAnsi="Times New Roman" w:eastAsia="Times New Roman" w:cs="Times New Roman"/>
                <w:sz w:val="24"/>
                <w:szCs w:val="24"/>
                <w:lang w:eastAsia="lv-LV"/>
              </w:rPr>
              <w:t xml:space="preserve">Šo kārtību nav paredzēts mainīt. </w:t>
            </w:r>
            <w:r w:rsidRPr="001851ED" w:rsidR="00D54EDA">
              <w:rPr>
                <w:rFonts w:ascii="Times New Roman" w:hAnsi="Times New Roman" w:eastAsia="Times New Roman" w:cs="Times New Roman"/>
                <w:sz w:val="24"/>
                <w:szCs w:val="24"/>
                <w:lang w:eastAsia="lv-LV"/>
              </w:rPr>
              <w:t>Tāpat Ekonomisko lietu tiesai saistībā ar tiesai piekritīgajiem noziedzīgiem nodarījumiem ir kompetence</w:t>
            </w:r>
            <w:r w:rsidRPr="001851ED" w:rsidR="003B6C9B">
              <w:rPr>
                <w:rFonts w:ascii="Times New Roman" w:hAnsi="Times New Roman" w:eastAsia="Times New Roman" w:cs="Times New Roman"/>
                <w:sz w:val="24"/>
                <w:szCs w:val="24"/>
                <w:lang w:eastAsia="lv-LV"/>
              </w:rPr>
              <w:t xml:space="preserve"> izskatīt materiālus Kriminālp</w:t>
            </w:r>
            <w:r w:rsidR="0091500E">
              <w:rPr>
                <w:rFonts w:ascii="Times New Roman" w:hAnsi="Times New Roman" w:eastAsia="Times New Roman" w:cs="Times New Roman"/>
                <w:sz w:val="24"/>
                <w:szCs w:val="24"/>
                <w:lang w:eastAsia="lv-LV"/>
              </w:rPr>
              <w:t>r</w:t>
            </w:r>
            <w:r w:rsidRPr="001851ED" w:rsidR="003B6C9B">
              <w:rPr>
                <w:rFonts w:ascii="Times New Roman" w:hAnsi="Times New Roman" w:eastAsia="Times New Roman" w:cs="Times New Roman"/>
                <w:sz w:val="24"/>
                <w:szCs w:val="24"/>
                <w:lang w:eastAsia="lv-LV"/>
              </w:rPr>
              <w:t>ocesa likuma 51. nodaļas kārtībā un</w:t>
            </w:r>
            <w:r w:rsidRPr="001851ED" w:rsidR="00D54EDA">
              <w:rPr>
                <w:rFonts w:ascii="Times New Roman" w:hAnsi="Times New Roman" w:eastAsia="Times New Roman" w:cs="Times New Roman"/>
                <w:sz w:val="24"/>
                <w:szCs w:val="24"/>
                <w:lang w:eastAsia="lv-LV"/>
              </w:rPr>
              <w:t xml:space="preserve"> piemērot Krimināllikuma</w:t>
            </w:r>
            <w:r w:rsidRPr="001851ED" w:rsidR="00D54EDA">
              <w:t xml:space="preserve"> </w:t>
            </w:r>
            <w:r w:rsidRPr="001851ED" w:rsidR="00D54EDA">
              <w:rPr>
                <w:rFonts w:ascii="Times New Roman" w:hAnsi="Times New Roman" w:eastAsia="Times New Roman" w:cs="Times New Roman"/>
                <w:sz w:val="24"/>
                <w:szCs w:val="24"/>
                <w:lang w:eastAsia="lv-LV"/>
              </w:rPr>
              <w:t>VIII</w:t>
            </w:r>
            <w:r w:rsidRPr="001851ED" w:rsidR="00D54EDA">
              <w:rPr>
                <w:rFonts w:ascii="Times New Roman" w:hAnsi="Times New Roman" w:eastAsia="Times New Roman" w:cs="Times New Roman"/>
                <w:sz w:val="24"/>
                <w:szCs w:val="24"/>
                <w:vertAlign w:val="superscript"/>
                <w:lang w:eastAsia="lv-LV"/>
              </w:rPr>
              <w:t>1</w:t>
            </w:r>
            <w:r w:rsidRPr="001851ED" w:rsidR="00D54EDA">
              <w:rPr>
                <w:rFonts w:ascii="Times New Roman" w:hAnsi="Times New Roman" w:eastAsia="Times New Roman" w:cs="Times New Roman"/>
                <w:sz w:val="24"/>
                <w:szCs w:val="24"/>
                <w:lang w:eastAsia="lv-LV"/>
              </w:rPr>
              <w:t xml:space="preserve"> nodaļā noteiktos  juridiskajām personām piemērojamos piespiedu ietekmēšanas līdzekļus.  </w:t>
            </w:r>
          </w:p>
          <w:p w:rsidR="00D20609" w:rsidP="007F5CF3" w:rsidRDefault="00D20609" w14:paraId="742B65FE" w14:textId="045E2687">
            <w:pPr>
              <w:spacing w:after="0" w:line="240" w:lineRule="auto"/>
              <w:jc w:val="both"/>
              <w:rPr>
                <w:rFonts w:ascii="Times New Roman" w:hAnsi="Times New Roman" w:eastAsia="Times New Roman" w:cs="Times New Roman"/>
                <w:sz w:val="24"/>
                <w:szCs w:val="24"/>
                <w:lang w:eastAsia="lv-LV"/>
              </w:rPr>
            </w:pPr>
            <w:r w:rsidRPr="001851ED">
              <w:rPr>
                <w:rFonts w:ascii="Times New Roman" w:hAnsi="Times New Roman" w:eastAsia="Times New Roman" w:cs="Times New Roman"/>
                <w:sz w:val="24"/>
                <w:szCs w:val="24"/>
                <w:lang w:eastAsia="lv-LV"/>
              </w:rPr>
              <w:t>Tāpat uz Ekonomisko lietu tiesu attiecināmi Kriminālprocesa likuma</w:t>
            </w:r>
            <w:r w:rsidRPr="001851ED" w:rsidR="00A81C5B">
              <w:rPr>
                <w:rFonts w:ascii="Times New Roman" w:hAnsi="Times New Roman" w:eastAsia="Times New Roman" w:cs="Times New Roman"/>
                <w:sz w:val="24"/>
                <w:szCs w:val="24"/>
                <w:lang w:eastAsia="lv-LV"/>
              </w:rPr>
              <w:t xml:space="preserve"> noteikumi par vienošanās procesu.</w:t>
            </w:r>
            <w:r w:rsidRPr="001851ED">
              <w:rPr>
                <w:rFonts w:ascii="Times New Roman" w:hAnsi="Times New Roman" w:eastAsia="Times New Roman" w:cs="Times New Roman"/>
                <w:sz w:val="24"/>
                <w:szCs w:val="24"/>
                <w:lang w:eastAsia="lv-LV"/>
              </w:rPr>
              <w:t xml:space="preserve"> </w:t>
            </w:r>
            <w:r w:rsidRPr="001851ED" w:rsidR="00A81C5B">
              <w:rPr>
                <w:rFonts w:ascii="Times New Roman" w:hAnsi="Times New Roman" w:eastAsia="Times New Roman" w:cs="Times New Roman"/>
                <w:sz w:val="24"/>
                <w:szCs w:val="24"/>
                <w:lang w:eastAsia="lv-LV"/>
              </w:rPr>
              <w:t xml:space="preserve">Atbilstoši Tiesu administrācijas sniegtajiem datiem, vienošanās 2018. gadā </w:t>
            </w:r>
            <w:r w:rsidR="009C6894">
              <w:rPr>
                <w:rFonts w:ascii="Times New Roman" w:hAnsi="Times New Roman" w:eastAsia="Times New Roman" w:cs="Times New Roman"/>
                <w:sz w:val="24"/>
                <w:szCs w:val="24"/>
                <w:lang w:eastAsia="lv-LV"/>
              </w:rPr>
              <w:t>divos</w:t>
            </w:r>
            <w:r w:rsidRPr="001851ED" w:rsidR="009C6894">
              <w:rPr>
                <w:rFonts w:ascii="Times New Roman" w:hAnsi="Times New Roman" w:eastAsia="Times New Roman" w:cs="Times New Roman"/>
                <w:sz w:val="24"/>
                <w:szCs w:val="24"/>
                <w:lang w:eastAsia="lv-LV"/>
              </w:rPr>
              <w:t xml:space="preserve"> </w:t>
            </w:r>
            <w:r w:rsidRPr="001851ED" w:rsidR="00A81C5B">
              <w:rPr>
                <w:rFonts w:ascii="Times New Roman" w:hAnsi="Times New Roman" w:eastAsia="Times New Roman" w:cs="Times New Roman"/>
                <w:sz w:val="24"/>
                <w:szCs w:val="24"/>
                <w:lang w:eastAsia="lv-LV"/>
              </w:rPr>
              <w:t xml:space="preserve">procesos piemērota </w:t>
            </w:r>
            <w:proofErr w:type="gramStart"/>
            <w:r w:rsidRPr="001851ED" w:rsidR="00A81C5B">
              <w:rPr>
                <w:rFonts w:ascii="Times New Roman" w:hAnsi="Times New Roman" w:eastAsia="Times New Roman" w:cs="Times New Roman"/>
                <w:sz w:val="24"/>
                <w:szCs w:val="24"/>
                <w:lang w:eastAsia="lv-LV"/>
              </w:rPr>
              <w:t>vienošanās –pē</w:t>
            </w:r>
            <w:proofErr w:type="gramEnd"/>
            <w:r w:rsidRPr="001851ED" w:rsidR="00A81C5B">
              <w:rPr>
                <w:rFonts w:ascii="Times New Roman" w:hAnsi="Times New Roman" w:eastAsia="Times New Roman" w:cs="Times New Roman"/>
                <w:sz w:val="24"/>
                <w:szCs w:val="24"/>
                <w:lang w:eastAsia="lv-LV"/>
              </w:rPr>
              <w:t>c Krimināllikuma 195. panta trešās daļas.</w:t>
            </w:r>
          </w:p>
          <w:p w:rsidR="00153950" w:rsidP="007F5CF3" w:rsidRDefault="00F42485" w14:paraId="1054CA1D" w14:textId="020A3A1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Attiecībā uz jautājumiem, kas izlemjami </w:t>
            </w:r>
            <w:r w:rsidR="00D312D4">
              <w:rPr>
                <w:rFonts w:ascii="Times New Roman" w:hAnsi="Times New Roman" w:eastAsia="Times New Roman" w:cs="Times New Roman"/>
                <w:sz w:val="24"/>
                <w:szCs w:val="24"/>
                <w:lang w:eastAsia="lv-LV"/>
              </w:rPr>
              <w:t>pirmstiesas procesā (</w:t>
            </w:r>
            <w:r w:rsidR="00D20609">
              <w:rPr>
                <w:rFonts w:ascii="Times New Roman" w:hAnsi="Times New Roman" w:eastAsia="Times New Roman" w:cs="Times New Roman"/>
                <w:sz w:val="24"/>
                <w:szCs w:val="24"/>
                <w:lang w:eastAsia="lv-LV"/>
              </w:rPr>
              <w:t xml:space="preserve">piemēram </w:t>
            </w:r>
            <w:r w:rsidR="00D312D4">
              <w:rPr>
                <w:rFonts w:ascii="Times New Roman" w:hAnsi="Times New Roman" w:eastAsia="Times New Roman" w:cs="Times New Roman"/>
                <w:sz w:val="24"/>
                <w:szCs w:val="24"/>
                <w:lang w:eastAsia="lv-LV"/>
              </w:rPr>
              <w:t xml:space="preserve">jautājumi, kas ir izmeklēšanas tiesneša kompetencē,), norādams, ka ar Ekonomisko lietu tiesas izveidošanu netiek mainīti vispārējie piekritības principi pirmstiesas procesā, proti, pēc noziedzīga nodarījuma izdarīšanas, atklāšanas vai konstatēšanas vietas (Kriminālprocesa likuma </w:t>
            </w:r>
            <w:proofErr w:type="gramStart"/>
            <w:r w:rsidR="00D312D4">
              <w:rPr>
                <w:rFonts w:ascii="Times New Roman" w:hAnsi="Times New Roman" w:eastAsia="Times New Roman" w:cs="Times New Roman"/>
                <w:sz w:val="24"/>
                <w:szCs w:val="24"/>
                <w:lang w:eastAsia="lv-LV"/>
              </w:rPr>
              <w:t>388.panta</w:t>
            </w:r>
            <w:proofErr w:type="gramEnd"/>
            <w:r w:rsidR="00D312D4">
              <w:rPr>
                <w:rFonts w:ascii="Times New Roman" w:hAnsi="Times New Roman" w:eastAsia="Times New Roman" w:cs="Times New Roman"/>
                <w:sz w:val="24"/>
                <w:szCs w:val="24"/>
                <w:lang w:eastAsia="lv-LV"/>
              </w:rPr>
              <w:t xml:space="preserve"> pirmā daļa). </w:t>
            </w:r>
          </w:p>
          <w:p w:rsidR="00F42485" w:rsidP="007F5CF3" w:rsidRDefault="00F42485" w14:paraId="78BD2D42" w14:textId="451FB55B">
            <w:pPr>
              <w:spacing w:after="0" w:line="240" w:lineRule="auto"/>
              <w:jc w:val="both"/>
              <w:rPr>
                <w:rFonts w:ascii="Times New Roman" w:hAnsi="Times New Roman" w:eastAsia="Times New Roman" w:cs="Times New Roman"/>
                <w:sz w:val="24"/>
                <w:szCs w:val="24"/>
                <w:lang w:eastAsia="lv-LV"/>
              </w:rPr>
            </w:pPr>
            <w:r w:rsidRPr="00BB1D7F">
              <w:rPr>
                <w:rFonts w:ascii="Times New Roman" w:hAnsi="Times New Roman" w:eastAsia="Times New Roman" w:cs="Times New Roman"/>
                <w:sz w:val="24"/>
                <w:szCs w:val="24"/>
                <w:lang w:eastAsia="lv-LV"/>
              </w:rPr>
              <w:t xml:space="preserve">Attiecībā uz izmeklēšanas tiesnešu lēmumu pārsūdzību – saglabājama vispārējā kārtība – tas </w:t>
            </w:r>
            <w:proofErr w:type="gramStart"/>
            <w:r w:rsidRPr="00BB1D7F">
              <w:rPr>
                <w:rFonts w:ascii="Times New Roman" w:hAnsi="Times New Roman" w:eastAsia="Times New Roman" w:cs="Times New Roman"/>
                <w:sz w:val="24"/>
                <w:szCs w:val="24"/>
                <w:lang w:eastAsia="lv-LV"/>
              </w:rPr>
              <w:t>pārsūdzams tās tiesas</w:t>
            </w:r>
            <w:proofErr w:type="gramEnd"/>
            <w:r w:rsidRPr="00BB1D7F">
              <w:rPr>
                <w:rFonts w:ascii="Times New Roman" w:hAnsi="Times New Roman" w:eastAsia="Times New Roman" w:cs="Times New Roman"/>
                <w:sz w:val="24"/>
                <w:szCs w:val="24"/>
                <w:lang w:eastAsia="lv-LV"/>
              </w:rPr>
              <w:t xml:space="preserve">, kuras izmeklēšanas tiesnesis pieņēmis lēmumu augstāka līmeņa tiesai. </w:t>
            </w:r>
            <w:r w:rsidRPr="00BB1D7F" w:rsidR="00604FFD">
              <w:rPr>
                <w:rFonts w:ascii="Times New Roman" w:hAnsi="Times New Roman" w:eastAsia="Times New Roman" w:cs="Times New Roman"/>
                <w:sz w:val="24"/>
                <w:szCs w:val="24"/>
                <w:lang w:eastAsia="lv-LV"/>
              </w:rPr>
              <w:t xml:space="preserve"> </w:t>
            </w:r>
            <w:r w:rsidR="00604FFD">
              <w:rPr>
                <w:rFonts w:ascii="Times New Roman" w:hAnsi="Times New Roman" w:eastAsia="Times New Roman" w:cs="Times New Roman"/>
                <w:b/>
                <w:bCs/>
                <w:sz w:val="24"/>
                <w:szCs w:val="24"/>
                <w:lang w:eastAsia="lv-LV"/>
              </w:rPr>
              <w:t xml:space="preserve"> </w:t>
            </w:r>
          </w:p>
          <w:p w:rsidRPr="006F7C53" w:rsidR="00E048B0" w:rsidP="007F5CF3" w:rsidRDefault="00F42485" w14:paraId="6042F1C1" w14:textId="01AFAA4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 likuma "Par tiesu varu" 33. panta trešās daļas 9.punktu, rajona (pilsētas) tiesas priekšsēdētājs s</w:t>
            </w:r>
            <w:r w:rsidRPr="004668B5">
              <w:rPr>
                <w:rFonts w:ascii="Times New Roman" w:hAnsi="Times New Roman" w:eastAsia="Times New Roman" w:cs="Times New Roman"/>
                <w:sz w:val="24"/>
                <w:szCs w:val="24"/>
                <w:lang w:eastAsia="lv-LV"/>
              </w:rPr>
              <w:t>askaņā ar apgabaltiesas priekšsēdētāja lēmumu norīko tiesnesi veikt izmeklēšanas tiesneša pienākumus uz laiku līdz trim gadiem</w:t>
            </w:r>
            <w:r w:rsidR="00B32892">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Atbilstoši Kriminālprocesa likuma 40. pantam </w:t>
            </w:r>
            <w:r w:rsidR="00B4466B">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i</w:t>
            </w:r>
            <w:r w:rsidRPr="00A939B5">
              <w:rPr>
                <w:rFonts w:ascii="Times New Roman" w:hAnsi="Times New Roman" w:eastAsia="Times New Roman" w:cs="Times New Roman"/>
                <w:sz w:val="24"/>
                <w:szCs w:val="24"/>
                <w:lang w:eastAsia="lv-LV"/>
              </w:rPr>
              <w:t>zmeklēšanas tiesnesis ir tiesnesis, kuram rajona (pilsētas) tiesas priekšsēdētājs uz noteiktu laiku likumā noteiktajos gadījumos un kārtībā uzdevis kontrolēt cilvēktiesību ievērošanu kriminālprocesos.</w:t>
            </w:r>
            <w:r>
              <w:rPr>
                <w:rFonts w:ascii="Times New Roman" w:hAnsi="Times New Roman" w:eastAsia="Times New Roman" w:cs="Times New Roman"/>
                <w:sz w:val="24"/>
                <w:szCs w:val="24"/>
                <w:lang w:eastAsia="lv-LV"/>
              </w:rPr>
              <w:t xml:space="preserve"> No</w:t>
            </w:r>
            <w:r w:rsidR="001D3ECD">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minētā izriet, ka </w:t>
            </w:r>
            <w:r w:rsidRPr="009E6F2C">
              <w:rPr>
                <w:rFonts w:ascii="Times New Roman" w:hAnsi="Times New Roman" w:eastAsia="Times New Roman" w:cs="Times New Roman"/>
                <w:sz w:val="24"/>
                <w:szCs w:val="24"/>
                <w:lang w:eastAsia="lv-LV"/>
              </w:rPr>
              <w:t>ne visās tiesās</w:t>
            </w:r>
            <w:r w:rsidR="001D3ECD">
              <w:rPr>
                <w:rFonts w:ascii="Times New Roman" w:hAnsi="Times New Roman" w:eastAsia="Times New Roman" w:cs="Times New Roman"/>
                <w:sz w:val="24"/>
                <w:szCs w:val="24"/>
                <w:lang w:eastAsia="lv-LV"/>
              </w:rPr>
              <w:t xml:space="preserve"> </w:t>
            </w:r>
            <w:r w:rsidRPr="009E6F2C">
              <w:rPr>
                <w:rFonts w:ascii="Times New Roman" w:hAnsi="Times New Roman" w:eastAsia="Times New Roman" w:cs="Times New Roman"/>
                <w:sz w:val="24"/>
                <w:szCs w:val="24"/>
                <w:lang w:eastAsia="lv-LV"/>
              </w:rPr>
              <w:t>jābūt izmeklēšanas tiesnešiem</w:t>
            </w:r>
            <w:r w:rsidR="006519B9">
              <w:rPr>
                <w:rFonts w:ascii="Times New Roman" w:hAnsi="Times New Roman" w:eastAsia="Times New Roman" w:cs="Times New Roman"/>
                <w:sz w:val="24"/>
                <w:szCs w:val="24"/>
                <w:lang w:eastAsia="lv-LV"/>
              </w:rPr>
              <w:t xml:space="preserve"> un jau šobrīd iespējamas situācijas, ka ne visās tiesās ir izmeklēšanas tiesneši</w:t>
            </w:r>
            <w:r>
              <w:rPr>
                <w:rFonts w:ascii="Times New Roman" w:hAnsi="Times New Roman" w:eastAsia="Times New Roman" w:cs="Times New Roman"/>
                <w:sz w:val="24"/>
                <w:szCs w:val="24"/>
                <w:lang w:eastAsia="lv-LV"/>
              </w:rPr>
              <w:t xml:space="preserve">. Līdz ar to, kā arī ņemot </w:t>
            </w:r>
            <w:r w:rsidRPr="006F7C53">
              <w:rPr>
                <w:rFonts w:ascii="Times New Roman" w:hAnsi="Times New Roman" w:eastAsia="Times New Roman" w:cs="Times New Roman"/>
                <w:sz w:val="24"/>
                <w:szCs w:val="24"/>
                <w:lang w:eastAsia="lv-LV"/>
              </w:rPr>
              <w:t xml:space="preserve">vērā Ekonomisko lietu tiesas īpašo kompetenci, Ekonomisko lietu tiesā </w:t>
            </w:r>
            <w:r w:rsidRPr="001851ED" w:rsidR="006519B9">
              <w:rPr>
                <w:rFonts w:ascii="Times New Roman" w:hAnsi="Times New Roman" w:eastAsia="Times New Roman" w:cs="Times New Roman"/>
                <w:b/>
                <w:bCs/>
                <w:sz w:val="24"/>
                <w:szCs w:val="24"/>
                <w:lang w:eastAsia="lv-LV"/>
              </w:rPr>
              <w:t>nebūtu</w:t>
            </w:r>
            <w:r w:rsidRPr="006F7C53" w:rsidR="006519B9">
              <w:rPr>
                <w:rFonts w:ascii="Times New Roman" w:hAnsi="Times New Roman" w:eastAsia="Times New Roman" w:cs="Times New Roman"/>
                <w:sz w:val="24"/>
                <w:szCs w:val="24"/>
                <w:lang w:eastAsia="lv-LV"/>
              </w:rPr>
              <w:t xml:space="preserve"> </w:t>
            </w:r>
            <w:r w:rsidRPr="006F7C53">
              <w:rPr>
                <w:rFonts w:ascii="Times New Roman" w:hAnsi="Times New Roman" w:eastAsia="Times New Roman" w:cs="Times New Roman"/>
                <w:sz w:val="24"/>
                <w:szCs w:val="24"/>
                <w:lang w:eastAsia="lv-LV"/>
              </w:rPr>
              <w:t>norīkojams izmeklēšanas tiesnesis.</w:t>
            </w:r>
            <w:r w:rsidRPr="006F7C53" w:rsidR="00245C84">
              <w:rPr>
                <w:rFonts w:ascii="Times New Roman" w:hAnsi="Times New Roman" w:eastAsia="Times New Roman" w:cs="Times New Roman"/>
                <w:sz w:val="24"/>
                <w:szCs w:val="24"/>
                <w:lang w:eastAsia="lv-LV"/>
              </w:rPr>
              <w:t xml:space="preserve"> </w:t>
            </w:r>
          </w:p>
          <w:p w:rsidRPr="006F7C53" w:rsidR="008C6953" w:rsidP="007F5CF3" w:rsidRDefault="00245C84" w14:paraId="17841702" w14:textId="75E919E9">
            <w:pPr>
              <w:spacing w:after="0" w:line="240" w:lineRule="auto"/>
              <w:jc w:val="both"/>
              <w:rPr>
                <w:rFonts w:ascii="Times New Roman" w:hAnsi="Times New Roman" w:eastAsia="Times New Roman" w:cs="Times New Roman"/>
                <w:sz w:val="24"/>
                <w:szCs w:val="24"/>
                <w:lang w:eastAsia="lv-LV"/>
              </w:rPr>
            </w:pPr>
            <w:r w:rsidRPr="006F7C53">
              <w:rPr>
                <w:rFonts w:ascii="Times New Roman" w:hAnsi="Times New Roman" w:eastAsia="Times New Roman" w:cs="Times New Roman"/>
                <w:sz w:val="24"/>
                <w:szCs w:val="24"/>
                <w:lang w:eastAsia="lv-LV"/>
              </w:rPr>
              <w:t>Vienlaikus netiek mainīts vispārējais regulējums attiecīgā uz rīcību ar citai tiesai piekritīgu lietu, proti, attiecīgajos gadījumos rīkojas a</w:t>
            </w:r>
            <w:r w:rsidRPr="006F7C53" w:rsidR="008C6953">
              <w:rPr>
                <w:rFonts w:ascii="Times New Roman" w:hAnsi="Times New Roman" w:eastAsia="Times New Roman" w:cs="Times New Roman"/>
                <w:sz w:val="24"/>
                <w:szCs w:val="24"/>
                <w:lang w:eastAsia="lv-LV"/>
              </w:rPr>
              <w:t xml:space="preserve">tbilstoši </w:t>
            </w:r>
            <w:r w:rsidRPr="006F7C53" w:rsidR="004A22FF">
              <w:rPr>
                <w:rFonts w:ascii="Times New Roman" w:hAnsi="Times New Roman" w:eastAsia="Times New Roman" w:cs="Times New Roman"/>
                <w:sz w:val="24"/>
                <w:szCs w:val="24"/>
                <w:lang w:eastAsia="lv-LV"/>
              </w:rPr>
              <w:t>K</w:t>
            </w:r>
            <w:r w:rsidRPr="006F7C53" w:rsidR="008C6953">
              <w:rPr>
                <w:rFonts w:ascii="Times New Roman" w:hAnsi="Times New Roman" w:eastAsia="Times New Roman" w:cs="Times New Roman"/>
                <w:sz w:val="24"/>
                <w:szCs w:val="24"/>
                <w:lang w:eastAsia="lv-LV"/>
              </w:rPr>
              <w:t>riminālprocesa likuma 44</w:t>
            </w:r>
            <w:r w:rsidRPr="006F7C53">
              <w:rPr>
                <w:rFonts w:ascii="Times New Roman" w:hAnsi="Times New Roman" w:eastAsia="Times New Roman" w:cs="Times New Roman"/>
                <w:sz w:val="24"/>
                <w:szCs w:val="24"/>
                <w:lang w:eastAsia="lv-LV"/>
              </w:rPr>
              <w:t>4</w:t>
            </w:r>
            <w:r w:rsidRPr="006F7C53" w:rsidR="008C6953">
              <w:rPr>
                <w:rFonts w:ascii="Times New Roman" w:hAnsi="Times New Roman" w:eastAsia="Times New Roman" w:cs="Times New Roman"/>
                <w:sz w:val="24"/>
                <w:szCs w:val="24"/>
                <w:lang w:eastAsia="lv-LV"/>
              </w:rPr>
              <w:t>.</w:t>
            </w:r>
            <w:r w:rsidRPr="006F7C53" w:rsidR="004A22FF">
              <w:rPr>
                <w:rFonts w:ascii="Times New Roman" w:hAnsi="Times New Roman" w:eastAsia="Times New Roman" w:cs="Times New Roman"/>
                <w:sz w:val="24"/>
                <w:szCs w:val="24"/>
                <w:lang w:eastAsia="lv-LV"/>
              </w:rPr>
              <w:t xml:space="preserve"> </w:t>
            </w:r>
            <w:r w:rsidRPr="006F7C53" w:rsidR="009F09A5">
              <w:rPr>
                <w:rFonts w:ascii="Times New Roman" w:hAnsi="Times New Roman" w:eastAsia="Times New Roman" w:cs="Times New Roman"/>
                <w:sz w:val="24"/>
                <w:szCs w:val="24"/>
                <w:lang w:eastAsia="lv-LV"/>
              </w:rPr>
              <w:t>pantam</w:t>
            </w:r>
            <w:r w:rsidRPr="006F7C53" w:rsidR="008C0779">
              <w:rPr>
                <w:rFonts w:ascii="Times New Roman" w:hAnsi="Times New Roman" w:eastAsia="Times New Roman" w:cs="Times New Roman"/>
                <w:sz w:val="24"/>
                <w:szCs w:val="24"/>
                <w:lang w:eastAsia="lv-LV"/>
              </w:rPr>
              <w:t xml:space="preserve">. </w:t>
            </w:r>
          </w:p>
          <w:p w:rsidRPr="006F7C53" w:rsidR="00891776" w:rsidP="007F5CF3" w:rsidRDefault="00E048B0" w14:paraId="2E8D77B8" w14:textId="4990E93D">
            <w:pPr>
              <w:spacing w:after="0" w:line="240" w:lineRule="auto"/>
              <w:jc w:val="both"/>
              <w:rPr>
                <w:rFonts w:ascii="Times New Roman" w:hAnsi="Times New Roman" w:eastAsia="Times New Roman" w:cs="Times New Roman"/>
                <w:sz w:val="24"/>
                <w:szCs w:val="24"/>
                <w:lang w:eastAsia="lv-LV"/>
              </w:rPr>
            </w:pPr>
            <w:r w:rsidRPr="006F7C53">
              <w:rPr>
                <w:rFonts w:ascii="Times New Roman" w:hAnsi="Times New Roman" w:eastAsia="Times New Roman" w:cs="Times New Roman"/>
                <w:sz w:val="24"/>
                <w:szCs w:val="24"/>
                <w:lang w:eastAsia="lv-LV"/>
              </w:rPr>
              <w:t xml:space="preserve">Grozījumi paredz, ka </w:t>
            </w:r>
            <w:r w:rsidRPr="006F7C53" w:rsidR="00DF4DB1">
              <w:rPr>
                <w:rFonts w:ascii="Times New Roman" w:hAnsi="Times New Roman" w:eastAsia="Times New Roman" w:cs="Times New Roman"/>
                <w:sz w:val="24"/>
                <w:szCs w:val="24"/>
                <w:lang w:eastAsia="lv-LV"/>
              </w:rPr>
              <w:t>a</w:t>
            </w:r>
            <w:r w:rsidRPr="006F7C53" w:rsidR="00891776">
              <w:rPr>
                <w:rFonts w:ascii="Times New Roman" w:hAnsi="Times New Roman" w:eastAsia="Times New Roman" w:cs="Times New Roman"/>
                <w:sz w:val="24"/>
                <w:szCs w:val="24"/>
                <w:lang w:eastAsia="lv-LV"/>
              </w:rPr>
              <w:t>pelācijas kārtībā pārsūdzētu Ekonomisko lietu tiesas nolēmumu izskata Rīgas apgabaltiesa</w:t>
            </w:r>
            <w:r w:rsidRPr="006F7C53" w:rsidR="00DF4DB1">
              <w:rPr>
                <w:rFonts w:ascii="Times New Roman" w:hAnsi="Times New Roman" w:eastAsia="Times New Roman" w:cs="Times New Roman"/>
                <w:sz w:val="24"/>
                <w:szCs w:val="24"/>
                <w:lang w:eastAsia="lv-LV"/>
              </w:rPr>
              <w:t>.</w:t>
            </w:r>
          </w:p>
          <w:p w:rsidR="008350DD" w:rsidP="007F5CF3" w:rsidRDefault="008350DD" w14:paraId="0388A179" w14:textId="29E7831A">
            <w:pPr>
              <w:spacing w:after="0" w:line="240" w:lineRule="auto"/>
              <w:jc w:val="both"/>
              <w:rPr>
                <w:rFonts w:ascii="Times New Roman" w:hAnsi="Times New Roman" w:eastAsia="Times New Roman" w:cs="Times New Roman"/>
                <w:sz w:val="24"/>
                <w:szCs w:val="24"/>
                <w:lang w:eastAsia="lv-LV"/>
              </w:rPr>
            </w:pPr>
            <w:r w:rsidRPr="006F7C53">
              <w:rPr>
                <w:rFonts w:ascii="Times New Roman" w:hAnsi="Times New Roman" w:eastAsia="Times New Roman" w:cs="Times New Roman"/>
                <w:sz w:val="24"/>
                <w:szCs w:val="24"/>
                <w:lang w:eastAsia="lv-LV"/>
              </w:rPr>
              <w:lastRenderedPageBreak/>
              <w:t xml:space="preserve">Ar likumprojekta pārejas </w:t>
            </w:r>
            <w:r w:rsidR="00A07B05">
              <w:rPr>
                <w:rFonts w:ascii="Times New Roman" w:hAnsi="Times New Roman" w:eastAsia="Times New Roman" w:cs="Times New Roman"/>
                <w:sz w:val="24"/>
                <w:szCs w:val="24"/>
                <w:lang w:eastAsia="lv-LV"/>
              </w:rPr>
              <w:t>noteikumiem</w:t>
            </w:r>
            <w:r w:rsidRPr="006F7C53" w:rsidR="00150915">
              <w:rPr>
                <w:rFonts w:ascii="Times New Roman" w:hAnsi="Times New Roman" w:eastAsia="Times New Roman" w:cs="Times New Roman"/>
                <w:sz w:val="24"/>
                <w:szCs w:val="24"/>
                <w:lang w:eastAsia="lv-LV"/>
              </w:rPr>
              <w:t xml:space="preserve"> </w:t>
            </w:r>
            <w:r w:rsidRPr="006F7C53">
              <w:rPr>
                <w:rFonts w:ascii="Times New Roman" w:hAnsi="Times New Roman" w:eastAsia="Times New Roman" w:cs="Times New Roman"/>
                <w:sz w:val="24"/>
                <w:szCs w:val="24"/>
                <w:lang w:eastAsia="lv-LV"/>
              </w:rPr>
              <w:t>noteikts, ka tās lietas par noziedzīgiem nodarījumiem, kas kvalificēti pēc Krimināllikuma 73.</w:t>
            </w:r>
            <w:r w:rsidRPr="006F7C53">
              <w:rPr>
                <w:rFonts w:ascii="Times New Roman" w:hAnsi="Times New Roman" w:eastAsia="Times New Roman" w:cs="Times New Roman"/>
                <w:sz w:val="24"/>
                <w:szCs w:val="24"/>
                <w:vertAlign w:val="superscript"/>
                <w:lang w:eastAsia="lv-LV"/>
              </w:rPr>
              <w:t>1</w:t>
            </w:r>
            <w:r w:rsidRPr="006F7C53">
              <w:rPr>
                <w:rFonts w:ascii="Times New Roman" w:hAnsi="Times New Roman" w:eastAsia="Times New Roman" w:cs="Times New Roman"/>
                <w:sz w:val="24"/>
                <w:szCs w:val="24"/>
                <w:lang w:eastAsia="lv-LV"/>
              </w:rPr>
              <w:t xml:space="preserve"> panta otrās</w:t>
            </w:r>
            <w:r w:rsidRPr="00BB1D7F">
              <w:rPr>
                <w:rFonts w:ascii="Times New Roman" w:hAnsi="Times New Roman" w:eastAsia="Times New Roman" w:cs="Times New Roman"/>
                <w:sz w:val="24"/>
                <w:szCs w:val="24"/>
                <w:lang w:eastAsia="lv-LV"/>
              </w:rPr>
              <w:t xml:space="preserve"> daļas, 79.</w:t>
            </w:r>
            <w:r w:rsidRPr="00BB1D7F">
              <w:rPr>
                <w:rFonts w:ascii="Times New Roman" w:hAnsi="Times New Roman" w:eastAsia="Times New Roman" w:cs="Times New Roman"/>
                <w:sz w:val="24"/>
                <w:szCs w:val="24"/>
                <w:vertAlign w:val="superscript"/>
                <w:lang w:eastAsia="lv-LV"/>
              </w:rPr>
              <w:t>2</w:t>
            </w:r>
            <w:r w:rsidRPr="00BB1D7F">
              <w:rPr>
                <w:rFonts w:ascii="Times New Roman" w:hAnsi="Times New Roman" w:eastAsia="Times New Roman" w:cs="Times New Roman"/>
                <w:sz w:val="24"/>
                <w:szCs w:val="24"/>
                <w:lang w:eastAsia="lv-LV"/>
              </w:rPr>
              <w:t xml:space="preserve"> panta otrās daļas, 195. panta otrās vai trešās daļas, </w:t>
            </w:r>
            <w:proofErr w:type="gramStart"/>
            <w:r w:rsidRPr="00BB1D7F">
              <w:rPr>
                <w:rFonts w:ascii="Times New Roman" w:hAnsi="Times New Roman" w:eastAsia="Times New Roman" w:cs="Times New Roman"/>
                <w:sz w:val="24"/>
                <w:szCs w:val="24"/>
                <w:lang w:eastAsia="lv-LV"/>
              </w:rPr>
              <w:t>198.panta</w:t>
            </w:r>
            <w:proofErr w:type="gramEnd"/>
            <w:r w:rsidRPr="00BB1D7F">
              <w:rPr>
                <w:rFonts w:ascii="Times New Roman" w:hAnsi="Times New Roman" w:eastAsia="Times New Roman" w:cs="Times New Roman"/>
                <w:sz w:val="24"/>
                <w:szCs w:val="24"/>
                <w:lang w:eastAsia="lv-LV"/>
              </w:rPr>
              <w:t xml:space="preserve"> trešās vai ceturtās daļas, 199.panta otrās daļas, 320. panta trešās vai ceturtās daļas, </w:t>
            </w:r>
            <w:r w:rsidRPr="001851ED" w:rsidR="006519B9">
              <w:rPr>
                <w:rFonts w:ascii="Times New Roman" w:hAnsi="Times New Roman" w:eastAsia="Times New Roman" w:cs="Times New Roman"/>
                <w:b/>
                <w:bCs/>
                <w:sz w:val="24"/>
                <w:szCs w:val="24"/>
                <w:lang w:eastAsia="lv-LV"/>
              </w:rPr>
              <w:t>321.panta otrās, trešās vai ceturtās daļas,</w:t>
            </w:r>
            <w:r w:rsidR="006519B9">
              <w:rPr>
                <w:rFonts w:ascii="Times New Roman" w:hAnsi="Times New Roman" w:eastAsia="Times New Roman" w:cs="Times New Roman"/>
                <w:sz w:val="24"/>
                <w:szCs w:val="24"/>
                <w:lang w:eastAsia="lv-LV"/>
              </w:rPr>
              <w:t xml:space="preserve"> </w:t>
            </w:r>
            <w:r w:rsidRPr="00BB1D7F">
              <w:rPr>
                <w:rFonts w:ascii="Times New Roman" w:hAnsi="Times New Roman" w:eastAsia="Times New Roman" w:cs="Times New Roman"/>
                <w:sz w:val="24"/>
                <w:szCs w:val="24"/>
                <w:lang w:eastAsia="lv-LV"/>
              </w:rPr>
              <w:t>322.panta otrās daļas, 323.panta otrās vai trešās daļas, 326.</w:t>
            </w:r>
            <w:r w:rsidRPr="00BB1D7F">
              <w:rPr>
                <w:rFonts w:ascii="Times New Roman" w:hAnsi="Times New Roman" w:eastAsia="Times New Roman" w:cs="Times New Roman"/>
                <w:sz w:val="24"/>
                <w:szCs w:val="24"/>
                <w:vertAlign w:val="superscript"/>
                <w:lang w:eastAsia="lv-LV"/>
              </w:rPr>
              <w:t>1</w:t>
            </w:r>
            <w:r w:rsidRPr="00BB1D7F">
              <w:rPr>
                <w:rFonts w:ascii="Times New Roman" w:hAnsi="Times New Roman" w:eastAsia="Times New Roman" w:cs="Times New Roman"/>
                <w:sz w:val="24"/>
                <w:szCs w:val="24"/>
                <w:lang w:eastAsia="lv-LV"/>
              </w:rPr>
              <w:t xml:space="preserve"> panta otrās daļas, 326.</w:t>
            </w:r>
            <w:r w:rsidRPr="00BB1D7F">
              <w:rPr>
                <w:rFonts w:ascii="Times New Roman" w:hAnsi="Times New Roman" w:eastAsia="Times New Roman" w:cs="Times New Roman"/>
                <w:sz w:val="24"/>
                <w:szCs w:val="24"/>
                <w:vertAlign w:val="superscript"/>
                <w:lang w:eastAsia="lv-LV"/>
              </w:rPr>
              <w:t>2</w:t>
            </w:r>
            <w:r w:rsidRPr="00BB1D7F">
              <w:rPr>
                <w:rFonts w:ascii="Times New Roman" w:hAnsi="Times New Roman" w:eastAsia="Times New Roman" w:cs="Times New Roman"/>
                <w:sz w:val="24"/>
                <w:szCs w:val="24"/>
                <w:lang w:eastAsia="lv-LV"/>
              </w:rPr>
              <w:t xml:space="preserve"> panta otrās daļas vai 326.</w:t>
            </w:r>
            <w:r w:rsidRPr="00BB1D7F">
              <w:rPr>
                <w:rFonts w:ascii="Times New Roman" w:hAnsi="Times New Roman" w:eastAsia="Times New Roman" w:cs="Times New Roman"/>
                <w:sz w:val="24"/>
                <w:szCs w:val="24"/>
                <w:vertAlign w:val="superscript"/>
                <w:lang w:eastAsia="lv-LV"/>
              </w:rPr>
              <w:t>3</w:t>
            </w:r>
            <w:r w:rsidRPr="00BB1D7F">
              <w:rPr>
                <w:rFonts w:ascii="Times New Roman" w:hAnsi="Times New Roman" w:eastAsia="Times New Roman" w:cs="Times New Roman"/>
                <w:sz w:val="24"/>
                <w:szCs w:val="24"/>
                <w:lang w:eastAsia="lv-LV"/>
              </w:rPr>
              <w:t xml:space="preserve"> panta otrās daļas un kuras nodotas atbilstoši noteiktajai piekritībai izskatīšanai attiecīgajā tiesā līdz 2020.gada 31.decembrim, izskatāmas tajā pašā tiesā, kurā tās iesniegtas. Minētais regulējums attiecas gan uz lietām, kas ir pirmajā, gan apelācijas instancē. Savukārt, ja minētajās lietās pēc 2021.gada 1.janvāra apelācijas instance būs lēmusi atcelt nolēmumu pilnībā vai kādā tā daļā un nosūtīt krimināllietu jaunai izskatīšanai pirmās instances tiesā, lieta būs nosūtāma Ekonomisko lietu tiesai kā pirmās instances tiesai. Savukārt, ja kasācijas instances pēc 2021.gada 1.janvāra būs lēmusi atcelt nolēmumu pilnībā vai tā daļā un nosūtīt lietu jaunai izskatīšanai, tā būs nosūtāma jaunai izskatīšanai Rīgas apgabaltiesai kā apelācijas instances tiesai.</w:t>
            </w:r>
          </w:p>
          <w:p w:rsidR="0091500E" w:rsidP="0091500E" w:rsidRDefault="00F049EA" w14:paraId="7FB37408" w14:textId="77777777">
            <w:pPr>
              <w:spacing w:after="0" w:line="240" w:lineRule="auto"/>
              <w:jc w:val="both"/>
              <w:rPr>
                <w:rFonts w:ascii="Times New Roman" w:hAnsi="Times New Roman"/>
                <w:b/>
                <w:bCs/>
                <w:sz w:val="24"/>
                <w:szCs w:val="24"/>
              </w:rPr>
            </w:pPr>
            <w:r w:rsidRPr="001851ED">
              <w:rPr>
                <w:rFonts w:ascii="Times New Roman" w:hAnsi="Times New Roman" w:eastAsia="Times New Roman"/>
                <w:b/>
                <w:bCs/>
                <w:sz w:val="24"/>
                <w:szCs w:val="24"/>
                <w:lang w:eastAsia="lv-LV"/>
              </w:rPr>
              <w:t>Tāpat j</w:t>
            </w:r>
            <w:r w:rsidRPr="001851ED">
              <w:rPr>
                <w:rFonts w:ascii="Times New Roman" w:hAnsi="Times New Roman"/>
                <w:b/>
                <w:bCs/>
                <w:sz w:val="24"/>
                <w:szCs w:val="24"/>
              </w:rPr>
              <w:t>āatzīmē, ka plānotais tiesnešu skaits Ekonomisko lietu tiesā (provizoriski pirmajā instancē būtu jābūt 10 tiesnešiem) ir pietiekams, lai nodrošinātu lietu sadali pēc nejaušības principa. Turklāt attiecībā uz Ekonomisko lietu tiesu darbosies visi tie paši tiesneša darba un rīcības uzraudzības mehānismi, kas citās tiesās. Bažas par korupciju tiesā rada nesaprotami un nepamatoti tiesas nolēmumi, tiesas procedūru pārkāpumi, tajā skaitā apieta lietu nejaušās sadales sistēma, nevis tiesnešu skaits pats par sevi.</w:t>
            </w:r>
            <w:r w:rsidRPr="001851ED">
              <w:rPr>
                <w:rFonts w:ascii="Times New Roman" w:hAnsi="Times New Roman" w:eastAsia="Times New Roman"/>
                <w:b/>
                <w:bCs/>
                <w:sz w:val="24"/>
                <w:szCs w:val="24"/>
                <w:lang w:eastAsia="lv-LV"/>
              </w:rPr>
              <w:t xml:space="preserve"> Ekonomisko lietu tiesa kā specializēta rajona (pilsētas) tiesa izskatīs noteikta rakstura </w:t>
            </w:r>
            <w:proofErr w:type="spellStart"/>
            <w:r w:rsidRPr="001851ED">
              <w:rPr>
                <w:rFonts w:ascii="Times New Roman" w:hAnsi="Times New Roman" w:eastAsia="Times New Roman"/>
                <w:b/>
                <w:bCs/>
                <w:sz w:val="24"/>
                <w:szCs w:val="24"/>
                <w:lang w:eastAsia="lv-LV"/>
              </w:rPr>
              <w:t>komercstrīdus</w:t>
            </w:r>
            <w:proofErr w:type="spellEnd"/>
            <w:r w:rsidRPr="001851ED">
              <w:rPr>
                <w:rFonts w:ascii="Times New Roman" w:hAnsi="Times New Roman" w:eastAsia="Times New Roman"/>
                <w:b/>
                <w:bCs/>
                <w:sz w:val="24"/>
                <w:szCs w:val="24"/>
                <w:lang w:eastAsia="lv-LV"/>
              </w:rPr>
              <w:t>, ekonomiskos un finanšu noziegumus, kā arī korupcijas lietas.</w:t>
            </w:r>
            <w:r w:rsidRPr="001851ED">
              <w:rPr>
                <w:rFonts w:ascii="Times New Roman" w:hAnsi="Times New Roman"/>
                <w:b/>
                <w:bCs/>
                <w:sz w:val="24"/>
                <w:szCs w:val="24"/>
              </w:rPr>
              <w:t xml:space="preserve"> </w:t>
            </w:r>
          </w:p>
          <w:p w:rsidRPr="001851ED" w:rsidR="00F049EA" w:rsidP="0091500E" w:rsidRDefault="0091500E" w14:paraId="1539B7C1" w14:textId="2E7CB232">
            <w:pPr>
              <w:spacing w:after="0" w:line="240" w:lineRule="auto"/>
              <w:jc w:val="both"/>
              <w:rPr>
                <w:rFonts w:ascii="Times New Roman" w:hAnsi="Times New Roman" w:eastAsia="Times New Roman"/>
                <w:b/>
                <w:bCs/>
                <w:sz w:val="24"/>
                <w:szCs w:val="24"/>
                <w:lang w:eastAsia="lv-LV"/>
              </w:rPr>
            </w:pPr>
            <w:r>
              <w:rPr>
                <w:rFonts w:ascii="Times New Roman" w:hAnsi="Times New Roman"/>
                <w:b/>
                <w:bCs/>
                <w:sz w:val="24"/>
                <w:szCs w:val="24"/>
              </w:rPr>
              <w:t>Saistībā ar plānoto tiesnešu skaitu Ekonomisko lietu tiesā tiek vērsta uzmanību par iespējamo rīcību, ka visi tiesneši tiks atstatīti</w:t>
            </w:r>
            <w:proofErr w:type="gramStart"/>
            <w:r>
              <w:rPr>
                <w:rFonts w:ascii="Times New Roman" w:hAnsi="Times New Roman"/>
                <w:b/>
                <w:bCs/>
                <w:sz w:val="24"/>
                <w:szCs w:val="24"/>
              </w:rPr>
              <w:t xml:space="preserve"> vai noraidīti</w:t>
            </w:r>
            <w:proofErr w:type="gramEnd"/>
            <w:r>
              <w:rPr>
                <w:rFonts w:ascii="Times New Roman" w:hAnsi="Times New Roman"/>
                <w:b/>
                <w:bCs/>
                <w:sz w:val="24"/>
                <w:szCs w:val="24"/>
              </w:rPr>
              <w:t>. Tieslietu ministrija ieskatā esošai situācijai drīzāk ir teorētisks raksturs. Piemēram, Tieslietu ministrijas rīcībā nav ziņu, ka</w:t>
            </w:r>
            <w:proofErr w:type="gramStart"/>
            <w:r>
              <w:rPr>
                <w:rFonts w:ascii="Times New Roman" w:hAnsi="Times New Roman"/>
                <w:b/>
                <w:bCs/>
                <w:sz w:val="24"/>
                <w:szCs w:val="24"/>
              </w:rPr>
              <w:t xml:space="preserve"> piemēram</w:t>
            </w:r>
            <w:proofErr w:type="gramEnd"/>
            <w:r>
              <w:rPr>
                <w:rFonts w:ascii="Times New Roman" w:hAnsi="Times New Roman"/>
                <w:b/>
                <w:bCs/>
                <w:sz w:val="24"/>
                <w:szCs w:val="24"/>
              </w:rPr>
              <w:t>, attiecīgā problēma būtu aktuāla, piemēram, apgabaltiesās (</w:t>
            </w:r>
            <w:r>
              <w:rPr>
                <w:rFonts w:ascii="Times New Roman" w:hAnsi="Times New Roman" w:eastAsia="Times New Roman" w:cs="Times New Roman"/>
                <w:b/>
                <w:bCs/>
                <w:sz w:val="24"/>
                <w:szCs w:val="24"/>
                <w:lang w:eastAsia="lv-LV"/>
              </w:rPr>
              <w:t xml:space="preserve">apgabaltiesās tiesnešu skaits ir tuvu plānotajam tiesnešu skaitam Ekonomisko lietu tiesā). </w:t>
            </w:r>
            <w:r>
              <w:rPr>
                <w:rFonts w:ascii="Times New Roman" w:hAnsi="Times New Roman"/>
                <w:b/>
                <w:bCs/>
                <w:sz w:val="24"/>
                <w:szCs w:val="24"/>
              </w:rPr>
              <w:t xml:space="preserve"> Vienlaikus, ja šāda situācija radīsies, attiecīgi tiesai </w:t>
            </w:r>
            <w:r>
              <w:rPr>
                <w:rFonts w:ascii="Times New Roman" w:hAnsi="Times New Roman" w:eastAsia="Times New Roman" w:cs="Times New Roman"/>
                <w:b/>
                <w:bCs/>
                <w:sz w:val="24"/>
                <w:szCs w:val="24"/>
                <w:lang w:eastAsia="lv-LV"/>
              </w:rPr>
              <w:t>jārīkojas atbilstoši vispārējiem noteikumiem, proti, atbilstoši Kriminālprocesa likuma 445. panta pirmās daļas 3.punktam t</w:t>
            </w:r>
            <w:r w:rsidRPr="004707CD">
              <w:rPr>
                <w:rFonts w:ascii="Times New Roman" w:hAnsi="Times New Roman" w:eastAsia="Times New Roman" w:cs="Times New Roman"/>
                <w:b/>
                <w:bCs/>
                <w:sz w:val="24"/>
                <w:szCs w:val="24"/>
                <w:lang w:eastAsia="lv-LV"/>
              </w:rPr>
              <w:t>iesa līdz tiesas izmeklēšanas sākumam var ierosināt tai piekritīgu krimināllietu nodot citai tiesai, ja</w:t>
            </w:r>
            <w:r>
              <w:rPr>
                <w:rFonts w:ascii="Times New Roman" w:hAnsi="Times New Roman" w:eastAsia="Times New Roman" w:cs="Times New Roman"/>
                <w:b/>
                <w:bCs/>
                <w:sz w:val="24"/>
                <w:szCs w:val="24"/>
                <w:lang w:eastAsia="lv-LV"/>
              </w:rPr>
              <w:t xml:space="preserve"> </w:t>
            </w:r>
            <w:r w:rsidRPr="004707CD">
              <w:rPr>
                <w:rFonts w:ascii="Times New Roman" w:hAnsi="Times New Roman" w:eastAsia="Times New Roman" w:cs="Times New Roman"/>
                <w:b/>
                <w:bCs/>
                <w:sz w:val="24"/>
                <w:szCs w:val="24"/>
                <w:lang w:eastAsia="lv-LV"/>
              </w:rPr>
              <w:t>visi attiecīgās tiesas tiesneši ir atstatīti vai noraidīti.</w:t>
            </w:r>
            <w:r>
              <w:rPr>
                <w:rFonts w:ascii="Times New Roman" w:hAnsi="Times New Roman" w:eastAsia="Times New Roman" w:cs="Times New Roman"/>
                <w:b/>
                <w:bCs/>
                <w:sz w:val="24"/>
                <w:szCs w:val="24"/>
                <w:lang w:eastAsia="lv-LV"/>
              </w:rPr>
              <w:t xml:space="preserve"> </w:t>
            </w:r>
          </w:p>
          <w:p w:rsidRPr="009A074E" w:rsidR="009A074E" w:rsidP="007F5CF3" w:rsidRDefault="009A074E" w14:paraId="66E7A005" w14:textId="28A09163">
            <w:pPr>
              <w:spacing w:after="0" w:line="240" w:lineRule="auto"/>
              <w:jc w:val="both"/>
              <w:rPr>
                <w:rFonts w:ascii="Times New Roman" w:hAnsi="Times New Roman" w:eastAsia="Times New Roman" w:cs="Times New Roman"/>
                <w:sz w:val="24"/>
                <w:szCs w:val="24"/>
                <w:u w:val="single"/>
                <w:lang w:eastAsia="lv-LV"/>
              </w:rPr>
            </w:pPr>
            <w:r w:rsidRPr="00BB1D7F">
              <w:rPr>
                <w:rFonts w:ascii="Times New Roman" w:hAnsi="Times New Roman" w:cs="Times New Roman"/>
                <w:sz w:val="24"/>
                <w:szCs w:val="24"/>
                <w:lang w:eastAsia="lv-LV"/>
              </w:rPr>
              <w:lastRenderedPageBreak/>
              <w:t xml:space="preserve">Saskaņā ar Tieslietu padomes apstiprinātās kārtības "Tiesnešu specializācijas pamatprincipi un slodzes rādītāju noteikšanas kārtība" (apstiprināta ar </w:t>
            </w:r>
            <w:r w:rsidRPr="00BB1D7F">
              <w:rPr>
                <w:rFonts w:ascii="Times New Roman" w:hAnsi="Times New Roman" w:cs="Times New Roman"/>
                <w:sz w:val="24"/>
                <w:szCs w:val="24"/>
              </w:rPr>
              <w:t>Tieslietu</w:t>
            </w:r>
            <w:r w:rsidRPr="009A074E">
              <w:rPr>
                <w:rFonts w:ascii="Times New Roman" w:hAnsi="Times New Roman" w:cs="Times New Roman"/>
                <w:sz w:val="24"/>
                <w:szCs w:val="24"/>
              </w:rPr>
              <w:t xml:space="preserve"> padomes 2016. gada 17. oktobra lēmumu Nr. 52). 1.4.apakšpunktu t</w:t>
            </w:r>
            <w:r w:rsidRPr="009A074E">
              <w:rPr>
                <w:rFonts w:ascii="Times New Roman" w:hAnsi="Times New Roman" w:eastAsia="Times New Roman" w:cs="Times New Roman"/>
                <w:sz w:val="24"/>
                <w:szCs w:val="24"/>
                <w:lang w:eastAsia="lv-LV"/>
              </w:rPr>
              <w:t xml:space="preserve">iesneša </w:t>
            </w:r>
            <w:r w:rsidRPr="008C0779">
              <w:rPr>
                <w:rFonts w:ascii="Times New Roman" w:hAnsi="Times New Roman" w:eastAsia="Times New Roman" w:cs="Times New Roman"/>
                <w:sz w:val="24"/>
                <w:szCs w:val="24"/>
                <w:lang w:eastAsia="lv-LV"/>
              </w:rPr>
              <w:t xml:space="preserve">specializāciju nosaka, ņemot vērā </w:t>
            </w:r>
            <w:r w:rsidRPr="00FA0F79">
              <w:rPr>
                <w:rFonts w:ascii="Times New Roman" w:hAnsi="Times New Roman" w:eastAsia="Times New Roman" w:cs="Times New Roman"/>
                <w:sz w:val="24"/>
                <w:szCs w:val="24"/>
                <w:lang w:eastAsia="lv-LV"/>
              </w:rPr>
              <w:t>rajona (pilsētas) tiesas un apgabaltiesas darba organizāciju,</w:t>
            </w:r>
            <w:r w:rsidRPr="009A074E">
              <w:rPr>
                <w:rFonts w:ascii="Times New Roman" w:hAnsi="Times New Roman" w:eastAsia="Times New Roman" w:cs="Times New Roman"/>
                <w:sz w:val="24"/>
                <w:szCs w:val="24"/>
                <w:lang w:eastAsia="lv-LV"/>
              </w:rPr>
              <w:t xml:space="preserve"> tiesneša darba pieredzi un specifiskas zināšanas.</w:t>
            </w:r>
            <w:r>
              <w:rPr>
                <w:rFonts w:ascii="Times New Roman" w:hAnsi="Times New Roman" w:eastAsia="Times New Roman" w:cs="Times New Roman"/>
                <w:sz w:val="24"/>
                <w:szCs w:val="24"/>
                <w:lang w:eastAsia="lv-LV"/>
              </w:rPr>
              <w:t xml:space="preserve"> </w:t>
            </w:r>
            <w:r w:rsidR="001A19CB">
              <w:rPr>
                <w:rFonts w:ascii="Times New Roman" w:hAnsi="Times New Roman" w:eastAsia="Times New Roman" w:cs="Times New Roman"/>
                <w:sz w:val="24"/>
                <w:szCs w:val="24"/>
                <w:lang w:eastAsia="lv-LV"/>
              </w:rPr>
              <w:t>T</w:t>
            </w:r>
            <w:r w:rsidRPr="00E30FF9" w:rsidR="000531FE">
              <w:rPr>
                <w:rFonts w:ascii="Times New Roman" w:hAnsi="Times New Roman" w:eastAsia="Times New Roman" w:cs="Times New Roman"/>
                <w:sz w:val="24"/>
                <w:szCs w:val="24"/>
                <w:lang w:eastAsia="lv-LV"/>
              </w:rPr>
              <w:t>iesnešu specializāciju tiesas ietvaros nosaka tiesas priekšsēdētājs</w:t>
            </w:r>
            <w:r w:rsidR="001A19CB">
              <w:rPr>
                <w:rFonts w:ascii="Times New Roman" w:hAnsi="Times New Roman" w:eastAsia="Times New Roman" w:cs="Times New Roman"/>
                <w:sz w:val="24"/>
                <w:szCs w:val="24"/>
                <w:lang w:eastAsia="lv-LV"/>
              </w:rPr>
              <w:t xml:space="preserve"> ņemot vērā iepriekš minētos nosacījumus. L</w:t>
            </w:r>
            <w:r w:rsidRPr="00E30FF9" w:rsidR="000531FE">
              <w:rPr>
                <w:rFonts w:ascii="Times New Roman" w:hAnsi="Times New Roman" w:eastAsia="Times New Roman" w:cs="Times New Roman"/>
                <w:sz w:val="24"/>
                <w:szCs w:val="24"/>
                <w:lang w:eastAsia="lv-LV"/>
              </w:rPr>
              <w:t xml:space="preserve">īdz ar to tiesas priekšsēdētāja </w:t>
            </w:r>
            <w:r w:rsidR="001A19CB">
              <w:rPr>
                <w:rFonts w:ascii="Times New Roman" w:hAnsi="Times New Roman" w:eastAsia="Times New Roman" w:cs="Times New Roman"/>
                <w:sz w:val="24"/>
                <w:szCs w:val="24"/>
                <w:lang w:eastAsia="lv-LV"/>
              </w:rPr>
              <w:t xml:space="preserve">kompetencē būs </w:t>
            </w:r>
            <w:r w:rsidRPr="00E30FF9" w:rsidR="000531FE">
              <w:rPr>
                <w:rFonts w:ascii="Times New Roman" w:hAnsi="Times New Roman" w:eastAsia="Times New Roman" w:cs="Times New Roman"/>
                <w:sz w:val="24"/>
                <w:szCs w:val="24"/>
                <w:lang w:eastAsia="lv-LV"/>
              </w:rPr>
              <w:t xml:space="preserve">noteikt, </w:t>
            </w:r>
            <w:r w:rsidR="001A19CB">
              <w:rPr>
                <w:rFonts w:ascii="Times New Roman" w:hAnsi="Times New Roman" w:eastAsia="Times New Roman" w:cs="Times New Roman"/>
                <w:sz w:val="24"/>
                <w:szCs w:val="24"/>
                <w:lang w:eastAsia="lv-LV"/>
              </w:rPr>
              <w:t xml:space="preserve">cik </w:t>
            </w:r>
            <w:r w:rsidRPr="00E30FF9" w:rsidR="000531FE">
              <w:rPr>
                <w:rFonts w:ascii="Times New Roman" w:hAnsi="Times New Roman" w:eastAsia="Times New Roman" w:cs="Times New Roman"/>
                <w:sz w:val="24"/>
                <w:szCs w:val="24"/>
                <w:lang w:eastAsia="lv-LV"/>
              </w:rPr>
              <w:t xml:space="preserve">tiesneši Ekonomisko lietu tiesā izskatīs </w:t>
            </w:r>
            <w:r w:rsidR="001A19CB">
              <w:rPr>
                <w:rFonts w:ascii="Times New Roman" w:hAnsi="Times New Roman" w:eastAsia="Times New Roman" w:cs="Times New Roman"/>
                <w:sz w:val="24"/>
                <w:szCs w:val="24"/>
                <w:lang w:eastAsia="lv-LV"/>
              </w:rPr>
              <w:t xml:space="preserve">krimināllietas, vai tiks noteikta tiesību nozares specializācija, vai arī tiesneši </w:t>
            </w:r>
            <w:r w:rsidRPr="00E30FF9" w:rsidR="000531FE">
              <w:rPr>
                <w:rFonts w:ascii="Times New Roman" w:hAnsi="Times New Roman" w:eastAsia="Times New Roman" w:cs="Times New Roman"/>
                <w:sz w:val="24"/>
                <w:szCs w:val="24"/>
                <w:lang w:eastAsia="lv-LV"/>
              </w:rPr>
              <w:t xml:space="preserve">vienlaikus </w:t>
            </w:r>
            <w:r w:rsidR="001A19CB">
              <w:rPr>
                <w:rFonts w:ascii="Times New Roman" w:hAnsi="Times New Roman" w:eastAsia="Times New Roman" w:cs="Times New Roman"/>
                <w:sz w:val="24"/>
                <w:szCs w:val="24"/>
                <w:lang w:eastAsia="lv-LV"/>
              </w:rPr>
              <w:t xml:space="preserve">skatīs gan </w:t>
            </w:r>
            <w:r w:rsidRPr="00E30FF9" w:rsidR="000531FE">
              <w:rPr>
                <w:rFonts w:ascii="Times New Roman" w:hAnsi="Times New Roman" w:eastAsia="Times New Roman" w:cs="Times New Roman"/>
                <w:sz w:val="24"/>
                <w:szCs w:val="24"/>
                <w:lang w:eastAsia="lv-LV"/>
              </w:rPr>
              <w:t>civillietas</w:t>
            </w:r>
            <w:r w:rsidR="00FA0F79">
              <w:rPr>
                <w:rFonts w:ascii="Times New Roman" w:hAnsi="Times New Roman" w:eastAsia="Times New Roman" w:cs="Times New Roman"/>
                <w:sz w:val="24"/>
                <w:szCs w:val="24"/>
                <w:lang w:eastAsia="lv-LV"/>
              </w:rPr>
              <w:t>,</w:t>
            </w:r>
            <w:r w:rsidRPr="00E30FF9" w:rsidR="000531FE">
              <w:rPr>
                <w:rFonts w:ascii="Times New Roman" w:hAnsi="Times New Roman" w:eastAsia="Times New Roman" w:cs="Times New Roman"/>
                <w:sz w:val="24"/>
                <w:szCs w:val="24"/>
                <w:lang w:eastAsia="lv-LV"/>
              </w:rPr>
              <w:t xml:space="preserve"> </w:t>
            </w:r>
            <w:r w:rsidR="001A19CB">
              <w:rPr>
                <w:rFonts w:ascii="Times New Roman" w:hAnsi="Times New Roman" w:eastAsia="Times New Roman" w:cs="Times New Roman"/>
                <w:sz w:val="24"/>
                <w:szCs w:val="24"/>
                <w:lang w:eastAsia="lv-LV"/>
              </w:rPr>
              <w:t>gan</w:t>
            </w:r>
            <w:r w:rsidRPr="00E30FF9" w:rsidR="001A19CB">
              <w:rPr>
                <w:rFonts w:ascii="Times New Roman" w:hAnsi="Times New Roman" w:eastAsia="Times New Roman" w:cs="Times New Roman"/>
                <w:sz w:val="24"/>
                <w:szCs w:val="24"/>
                <w:lang w:eastAsia="lv-LV"/>
              </w:rPr>
              <w:t xml:space="preserve"> </w:t>
            </w:r>
            <w:r w:rsidRPr="00E30FF9" w:rsidR="000531FE">
              <w:rPr>
                <w:rFonts w:ascii="Times New Roman" w:hAnsi="Times New Roman" w:eastAsia="Times New Roman" w:cs="Times New Roman"/>
                <w:sz w:val="24"/>
                <w:szCs w:val="24"/>
                <w:lang w:eastAsia="lv-LV"/>
              </w:rPr>
              <w:t>krimināllietas.</w:t>
            </w:r>
            <w:r>
              <w:rPr>
                <w:rFonts w:ascii="Times New Roman" w:hAnsi="Times New Roman" w:eastAsia="Times New Roman" w:cs="Times New Roman"/>
                <w:sz w:val="24"/>
                <w:szCs w:val="24"/>
                <w:lang w:eastAsia="lv-LV"/>
              </w:rPr>
              <w:t xml:space="preserve"> </w:t>
            </w:r>
          </w:p>
          <w:p w:rsidRPr="001A19CB" w:rsidR="00E048B0" w:rsidP="007F5CF3" w:rsidRDefault="001A19CB" w14:paraId="1B1D9BDE" w14:textId="00527C74">
            <w:pPr>
              <w:spacing w:after="0" w:line="240" w:lineRule="auto"/>
              <w:jc w:val="both"/>
              <w:rPr>
                <w:rFonts w:ascii="Times New Roman" w:hAnsi="Times New Roman" w:cs="Times New Roman"/>
                <w:sz w:val="24"/>
                <w:szCs w:val="24"/>
                <w:lang w:eastAsia="lv-LV"/>
              </w:rPr>
            </w:pPr>
            <w:r w:rsidRPr="008C0779">
              <w:rPr>
                <w:rFonts w:ascii="Times New Roman" w:hAnsi="Times New Roman" w:cs="Times New Roman"/>
                <w:sz w:val="24"/>
                <w:szCs w:val="24"/>
              </w:rPr>
              <w:t xml:space="preserve">Jāatzīmē, ka jautājuma izlemšanā par </w:t>
            </w:r>
            <w:r w:rsidR="00FA0F79">
              <w:rPr>
                <w:rFonts w:ascii="Times New Roman" w:hAnsi="Times New Roman" w:cs="Times New Roman"/>
                <w:sz w:val="24"/>
                <w:szCs w:val="24"/>
              </w:rPr>
              <w:t>konkrētā tiesneša specializāciju</w:t>
            </w:r>
            <w:r w:rsidRPr="008C0779">
              <w:rPr>
                <w:rFonts w:ascii="Times New Roman" w:hAnsi="Times New Roman" w:cs="Times New Roman"/>
                <w:sz w:val="24"/>
                <w:szCs w:val="24"/>
              </w:rPr>
              <w:t>, būtiska nozīme būtu piešķirama tiesnešu un tiesas priekšsēdētāja profesionālās atbildības savstarpējai sazobei, lai nodrošinātu līdzsvaru un līdz minimumam minimizētu riskus</w:t>
            </w:r>
            <w:r w:rsidRPr="00FA0F79">
              <w:rPr>
                <w:rFonts w:ascii="Times New Roman" w:hAnsi="Times New Roman" w:cs="Times New Roman"/>
                <w:sz w:val="24"/>
                <w:szCs w:val="24"/>
              </w:rPr>
              <w:t>,</w:t>
            </w:r>
            <w:r w:rsidRPr="001A19CB">
              <w:rPr>
                <w:rFonts w:ascii="Times New Roman" w:hAnsi="Times New Roman" w:cs="Times New Roman"/>
                <w:sz w:val="24"/>
                <w:szCs w:val="24"/>
              </w:rPr>
              <w:t xml:space="preserve"> ka tiek pieņemti nepārdomāti lēmumi, piemēram, </w:t>
            </w:r>
            <w:r w:rsidR="00FA0F79">
              <w:rPr>
                <w:rFonts w:ascii="Times New Roman" w:hAnsi="Times New Roman" w:cs="Times New Roman"/>
                <w:sz w:val="24"/>
                <w:szCs w:val="24"/>
              </w:rPr>
              <w:t xml:space="preserve">kandidējot uz tiesneša amata vietu </w:t>
            </w:r>
            <w:r w:rsidRPr="001A19CB">
              <w:rPr>
                <w:rFonts w:ascii="Times New Roman" w:hAnsi="Times New Roman" w:cs="Times New Roman"/>
                <w:sz w:val="24"/>
                <w:szCs w:val="24"/>
              </w:rPr>
              <w:t>tiesnesim,</w:t>
            </w:r>
            <w:r w:rsidR="00FA0F79">
              <w:rPr>
                <w:rFonts w:ascii="Times New Roman" w:hAnsi="Times New Roman" w:cs="Times New Roman"/>
                <w:sz w:val="24"/>
                <w:szCs w:val="24"/>
              </w:rPr>
              <w:t xml:space="preserve"> kas iepriekš skatījis tikai civillietas,</w:t>
            </w:r>
            <w:r w:rsidRPr="001A19CB">
              <w:rPr>
                <w:rFonts w:ascii="Times New Roman" w:hAnsi="Times New Roman" w:cs="Times New Roman"/>
                <w:sz w:val="24"/>
                <w:szCs w:val="24"/>
              </w:rPr>
              <w:t xml:space="preserve"> neņemot vērā to zināšanas un iepriekšējo pieredzi</w:t>
            </w:r>
            <w:r w:rsidR="00FA0F79">
              <w:rPr>
                <w:rFonts w:ascii="Times New Roman" w:hAnsi="Times New Roman" w:cs="Times New Roman"/>
                <w:sz w:val="24"/>
                <w:szCs w:val="24"/>
              </w:rPr>
              <w:t>, tiesneša specializācija tiek noteikta arī krimināllietu izskatīšanā</w:t>
            </w:r>
            <w:r w:rsidRPr="001A19CB">
              <w:rPr>
                <w:rFonts w:ascii="Times New Roman" w:hAnsi="Times New Roman" w:cs="Times New Roman"/>
                <w:sz w:val="24"/>
                <w:szCs w:val="24"/>
              </w:rPr>
              <w:t>.</w:t>
            </w:r>
          </w:p>
          <w:p w:rsidRPr="00BC2633" w:rsidR="001526B4" w:rsidP="007F5CF3" w:rsidRDefault="001526B4" w14:paraId="30C06537" w14:textId="66CF8797">
            <w:pPr>
              <w:spacing w:after="0" w:line="240" w:lineRule="auto"/>
              <w:jc w:val="both"/>
              <w:rPr>
                <w:rFonts w:ascii="Times New Roman" w:hAnsi="Times New Roman" w:eastAsia="Times New Roman" w:cs="Times New Roman"/>
                <w:sz w:val="24"/>
                <w:szCs w:val="24"/>
                <w:lang w:eastAsia="lv-LV"/>
              </w:rPr>
            </w:pPr>
          </w:p>
        </w:tc>
      </w:tr>
      <w:tr w:rsidRPr="00BC2633" w:rsidR="00DA326E" w:rsidTr="006F7C53" w14:paraId="1AA028D9" w14:textId="77777777">
        <w:trPr>
          <w:gridBefore w:val="1"/>
          <w:gridAfter w:val="1"/>
          <w:wBefore w:w="17" w:type="pct"/>
          <w:wAfter w:w="63" w:type="pct"/>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599" w:type="pct"/>
            <w:tcBorders>
              <w:top w:val="outset" w:color="414142" w:sz="6" w:space="0"/>
              <w:left w:val="outset" w:color="414142" w:sz="6" w:space="0"/>
              <w:bottom w:val="outset" w:color="414142" w:sz="6" w:space="0"/>
              <w:right w:val="outset" w:color="414142" w:sz="6" w:space="0"/>
            </w:tcBorders>
            <w:hideMark/>
          </w:tcPr>
          <w:p w:rsidR="004D2FE6" w:rsidP="007F5CF3" w:rsidRDefault="004D15A9" w14:paraId="67FA5F53" w14:textId="4A70C8F2">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p w:rsidR="004D2FE6" w:rsidP="007F5CF3" w:rsidRDefault="004D2FE6" w14:paraId="120111AA" w14:textId="77777777">
            <w:pPr>
              <w:spacing w:after="0" w:line="240" w:lineRule="auto"/>
              <w:rPr>
                <w:rFonts w:ascii="Times New Roman" w:hAnsi="Times New Roman" w:eastAsia="Times New Roman" w:cs="Times New Roman"/>
                <w:sz w:val="24"/>
                <w:szCs w:val="24"/>
                <w:lang w:eastAsia="lv-LV"/>
              </w:rPr>
            </w:pPr>
          </w:p>
          <w:p w:rsidRPr="006C418F" w:rsidR="006C418F" w:rsidP="007F5CF3" w:rsidRDefault="006C418F" w14:paraId="4EC22A37" w14:textId="0A055F3E">
            <w:pPr>
              <w:spacing w:after="0" w:line="240" w:lineRule="auto"/>
              <w:rPr>
                <w:rFonts w:ascii="Times New Roman" w:hAnsi="Times New Roman" w:eastAsia="Times New Roman" w:cs="Times New Roman"/>
                <w:sz w:val="24"/>
                <w:szCs w:val="24"/>
                <w:lang w:eastAsia="lv-LV"/>
              </w:rPr>
            </w:pPr>
          </w:p>
        </w:tc>
        <w:tc>
          <w:tcPr>
            <w:tcW w:w="3121" w:type="pct"/>
            <w:tcBorders>
              <w:top w:val="outset" w:color="414142" w:sz="6" w:space="0"/>
              <w:left w:val="outset" w:color="414142" w:sz="6" w:space="0"/>
              <w:bottom w:val="outset" w:color="414142" w:sz="6" w:space="0"/>
              <w:right w:val="outset" w:color="414142" w:sz="6" w:space="0"/>
            </w:tcBorders>
            <w:hideMark/>
          </w:tcPr>
          <w:p w:rsidRPr="00BC2633" w:rsidR="009A5E0F" w:rsidP="007F5CF3" w:rsidRDefault="00E048B0" w14:paraId="09DA66A3" w14:textId="582450F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Veiktas konsultācijas ar </w:t>
            </w:r>
            <w:r w:rsidR="00F571A2">
              <w:rPr>
                <w:rFonts w:ascii="Times New Roman" w:hAnsi="Times New Roman" w:eastAsia="Times New Roman" w:cs="Times New Roman"/>
                <w:sz w:val="24"/>
                <w:szCs w:val="24"/>
                <w:lang w:eastAsia="lv-LV"/>
              </w:rPr>
              <w:t>Finanšu izlūkošanas</w:t>
            </w:r>
            <w:r w:rsidRPr="00E57651" w:rsidR="00E57651">
              <w:rPr>
                <w:rFonts w:ascii="Times New Roman" w:hAnsi="Times New Roman" w:eastAsia="Times New Roman" w:cs="Times New Roman"/>
                <w:sz w:val="24"/>
                <w:szCs w:val="24"/>
                <w:lang w:eastAsia="lv-LV"/>
              </w:rPr>
              <w:t xml:space="preserve"> dienest</w:t>
            </w:r>
            <w:r>
              <w:rPr>
                <w:rFonts w:ascii="Times New Roman" w:hAnsi="Times New Roman" w:eastAsia="Times New Roman" w:cs="Times New Roman"/>
                <w:sz w:val="24"/>
                <w:szCs w:val="24"/>
                <w:lang w:eastAsia="lv-LV"/>
              </w:rPr>
              <w:t>u,</w:t>
            </w:r>
            <w:r w:rsidRPr="00E57651" w:rsidR="00E57651">
              <w:rPr>
                <w:rFonts w:ascii="Times New Roman" w:hAnsi="Times New Roman" w:eastAsia="Times New Roman" w:cs="Times New Roman"/>
                <w:sz w:val="24"/>
                <w:szCs w:val="24"/>
                <w:lang w:eastAsia="lv-LV"/>
              </w:rPr>
              <w:t xml:space="preserve"> Ģenerālprokuratūr</w:t>
            </w:r>
            <w:r>
              <w:rPr>
                <w:rFonts w:ascii="Times New Roman" w:hAnsi="Times New Roman" w:eastAsia="Times New Roman" w:cs="Times New Roman"/>
                <w:sz w:val="24"/>
                <w:szCs w:val="24"/>
                <w:lang w:eastAsia="lv-LV"/>
              </w:rPr>
              <w:t>u</w:t>
            </w:r>
            <w:r w:rsidR="002E54E6">
              <w:rPr>
                <w:rFonts w:ascii="Times New Roman" w:hAnsi="Times New Roman" w:eastAsia="Times New Roman" w:cs="Times New Roman"/>
                <w:sz w:val="24"/>
                <w:szCs w:val="24"/>
                <w:lang w:eastAsia="lv-LV"/>
              </w:rPr>
              <w:t xml:space="preserve"> un Finanšu ministrij</w:t>
            </w:r>
            <w:r>
              <w:rPr>
                <w:rFonts w:ascii="Times New Roman" w:hAnsi="Times New Roman" w:eastAsia="Times New Roman" w:cs="Times New Roman"/>
                <w:sz w:val="24"/>
                <w:szCs w:val="24"/>
                <w:lang w:eastAsia="lv-LV"/>
              </w:rPr>
              <w:t>u, tiesnešiem.</w:t>
            </w:r>
            <w:r w:rsidRPr="00A43A86" w:rsidR="00F049EA">
              <w:rPr>
                <w:rFonts w:ascii="Times New Roman" w:hAnsi="Times New Roman" w:eastAsia="Times New Roman" w:cs="Times New Roman"/>
                <w:sz w:val="24"/>
                <w:szCs w:val="24"/>
                <w:lang w:eastAsia="lv-LV"/>
              </w:rPr>
              <w:t xml:space="preserve"> </w:t>
            </w:r>
            <w:r w:rsidRPr="001851ED" w:rsidR="00F049EA">
              <w:rPr>
                <w:rFonts w:ascii="Times New Roman" w:hAnsi="Times New Roman" w:eastAsia="Times New Roman" w:cs="Times New Roman"/>
                <w:b/>
                <w:bCs/>
                <w:sz w:val="24"/>
                <w:szCs w:val="24"/>
                <w:lang w:eastAsia="lv-LV"/>
              </w:rPr>
              <w:t xml:space="preserve">Jautājums par iespējamo Ekonomisko lietu tiesas kompetenci skatīts Pastāvīgajā </w:t>
            </w:r>
            <w:r w:rsidR="009569EB">
              <w:rPr>
                <w:rFonts w:ascii="Times New Roman" w:hAnsi="Times New Roman" w:eastAsia="Times New Roman" w:cs="Times New Roman"/>
                <w:b/>
                <w:bCs/>
                <w:sz w:val="24"/>
                <w:szCs w:val="24"/>
                <w:lang w:eastAsia="lv-LV"/>
              </w:rPr>
              <w:t>Kriminālprocesa</w:t>
            </w:r>
            <w:r w:rsidRPr="001851ED" w:rsidR="009569EB">
              <w:rPr>
                <w:rFonts w:ascii="Times New Roman" w:hAnsi="Times New Roman" w:eastAsia="Times New Roman" w:cs="Times New Roman"/>
                <w:b/>
                <w:bCs/>
                <w:sz w:val="24"/>
                <w:szCs w:val="24"/>
                <w:lang w:eastAsia="lv-LV"/>
              </w:rPr>
              <w:t xml:space="preserve"> </w:t>
            </w:r>
            <w:r w:rsidRPr="001851ED" w:rsidR="00F049EA">
              <w:rPr>
                <w:rFonts w:ascii="Times New Roman" w:hAnsi="Times New Roman" w:eastAsia="Times New Roman" w:cs="Times New Roman"/>
                <w:b/>
                <w:bCs/>
                <w:sz w:val="24"/>
                <w:szCs w:val="24"/>
                <w:lang w:eastAsia="lv-LV"/>
              </w:rPr>
              <w:t>likuma grozījumu izstrādes darba grupā.</w:t>
            </w:r>
          </w:p>
        </w:tc>
      </w:tr>
      <w:tr w:rsidRPr="00BC2633" w:rsidR="00DA326E" w:rsidTr="006F7C53" w14:paraId="4416C82A" w14:textId="77777777">
        <w:trPr>
          <w:gridBefore w:val="1"/>
          <w:gridAfter w:val="1"/>
          <w:wBefore w:w="17" w:type="pct"/>
          <w:wAfter w:w="63" w:type="pct"/>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599" w:type="pct"/>
            <w:tcBorders>
              <w:top w:val="outset" w:color="414142" w:sz="6" w:space="0"/>
              <w:left w:val="outset" w:color="414142" w:sz="6" w:space="0"/>
              <w:bottom w:val="outset" w:color="414142" w:sz="6" w:space="0"/>
              <w:right w:val="outset" w:color="414142" w:sz="6" w:space="0"/>
            </w:tcBorders>
            <w:hideMark/>
          </w:tcPr>
          <w:p w:rsidR="004D15A9" w:rsidP="007F5CF3" w:rsidRDefault="004D15A9" w14:paraId="62D55FE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p w:rsidRPr="006F7C53" w:rsidR="006F7C53" w:rsidP="006F7C53" w:rsidRDefault="006F7C53" w14:paraId="30E107CF" w14:textId="77777777">
            <w:pPr>
              <w:rPr>
                <w:rFonts w:ascii="Times New Roman" w:hAnsi="Times New Roman" w:eastAsia="Times New Roman" w:cs="Times New Roman"/>
                <w:sz w:val="24"/>
                <w:szCs w:val="24"/>
                <w:lang w:eastAsia="lv-LV"/>
              </w:rPr>
            </w:pPr>
          </w:p>
          <w:p w:rsidRPr="006F7C53" w:rsidR="006F7C53" w:rsidP="006F7C53" w:rsidRDefault="006F7C53" w14:paraId="38AFB648" w14:textId="77777777">
            <w:pPr>
              <w:rPr>
                <w:rFonts w:ascii="Times New Roman" w:hAnsi="Times New Roman" w:eastAsia="Times New Roman" w:cs="Times New Roman"/>
                <w:sz w:val="24"/>
                <w:szCs w:val="24"/>
                <w:lang w:eastAsia="lv-LV"/>
              </w:rPr>
            </w:pPr>
          </w:p>
          <w:p w:rsidRPr="006F7C53" w:rsidR="006F7C53" w:rsidP="006F7C53" w:rsidRDefault="006F7C53" w14:paraId="7732E921" w14:textId="77777777">
            <w:pPr>
              <w:rPr>
                <w:rFonts w:ascii="Times New Roman" w:hAnsi="Times New Roman" w:eastAsia="Times New Roman" w:cs="Times New Roman"/>
                <w:sz w:val="24"/>
                <w:szCs w:val="24"/>
                <w:lang w:eastAsia="lv-LV"/>
              </w:rPr>
            </w:pPr>
          </w:p>
          <w:p w:rsidRPr="006F7C53" w:rsidR="006F7C53" w:rsidP="006F7C53" w:rsidRDefault="006F7C53" w14:paraId="1D0A756B" w14:textId="77777777">
            <w:pPr>
              <w:rPr>
                <w:rFonts w:ascii="Times New Roman" w:hAnsi="Times New Roman" w:eastAsia="Times New Roman" w:cs="Times New Roman"/>
                <w:sz w:val="24"/>
                <w:szCs w:val="24"/>
                <w:lang w:eastAsia="lv-LV"/>
              </w:rPr>
            </w:pPr>
          </w:p>
          <w:p w:rsidRPr="006F7C53" w:rsidR="006F7C53" w:rsidP="006F7C53" w:rsidRDefault="006F7C53" w14:paraId="09654CDE" w14:textId="77777777">
            <w:pPr>
              <w:rPr>
                <w:rFonts w:ascii="Times New Roman" w:hAnsi="Times New Roman" w:eastAsia="Times New Roman" w:cs="Times New Roman"/>
                <w:sz w:val="24"/>
                <w:szCs w:val="24"/>
                <w:lang w:eastAsia="lv-LV"/>
              </w:rPr>
            </w:pPr>
          </w:p>
          <w:p w:rsidRPr="006F7C53" w:rsidR="006F7C53" w:rsidP="006F7C53" w:rsidRDefault="006F7C53" w14:paraId="2E63FCD4" w14:textId="77777777">
            <w:pPr>
              <w:rPr>
                <w:rFonts w:ascii="Times New Roman" w:hAnsi="Times New Roman" w:eastAsia="Times New Roman" w:cs="Times New Roman"/>
                <w:sz w:val="24"/>
                <w:szCs w:val="24"/>
                <w:lang w:eastAsia="lv-LV"/>
              </w:rPr>
            </w:pPr>
          </w:p>
          <w:p w:rsidRPr="006F7C53" w:rsidR="006F7C53" w:rsidP="006F7C53" w:rsidRDefault="006F7C53" w14:paraId="59A37967" w14:textId="77777777">
            <w:pPr>
              <w:rPr>
                <w:rFonts w:ascii="Times New Roman" w:hAnsi="Times New Roman" w:eastAsia="Times New Roman" w:cs="Times New Roman"/>
                <w:sz w:val="24"/>
                <w:szCs w:val="24"/>
                <w:lang w:eastAsia="lv-LV"/>
              </w:rPr>
            </w:pPr>
          </w:p>
          <w:p w:rsidRPr="006F7C53" w:rsidR="006F7C53" w:rsidP="006F7C53" w:rsidRDefault="006F7C53" w14:paraId="042C4A40" w14:textId="77777777">
            <w:pPr>
              <w:rPr>
                <w:rFonts w:ascii="Times New Roman" w:hAnsi="Times New Roman" w:eastAsia="Times New Roman" w:cs="Times New Roman"/>
                <w:sz w:val="24"/>
                <w:szCs w:val="24"/>
                <w:lang w:eastAsia="lv-LV"/>
              </w:rPr>
            </w:pPr>
          </w:p>
          <w:p w:rsidRPr="006F7C53" w:rsidR="006F7C53" w:rsidP="006F7C53" w:rsidRDefault="006F7C53" w14:paraId="7060B058" w14:textId="77777777">
            <w:pPr>
              <w:rPr>
                <w:rFonts w:ascii="Times New Roman" w:hAnsi="Times New Roman" w:eastAsia="Times New Roman" w:cs="Times New Roman"/>
                <w:sz w:val="24"/>
                <w:szCs w:val="24"/>
                <w:lang w:eastAsia="lv-LV"/>
              </w:rPr>
            </w:pPr>
          </w:p>
          <w:p w:rsidRPr="006F7C53" w:rsidR="006F7C53" w:rsidP="006F7C53" w:rsidRDefault="006F7C53" w14:paraId="4212E671" w14:textId="77777777">
            <w:pPr>
              <w:rPr>
                <w:rFonts w:ascii="Times New Roman" w:hAnsi="Times New Roman" w:eastAsia="Times New Roman" w:cs="Times New Roman"/>
                <w:sz w:val="24"/>
                <w:szCs w:val="24"/>
                <w:lang w:eastAsia="lv-LV"/>
              </w:rPr>
            </w:pPr>
          </w:p>
          <w:p w:rsidRPr="006F7C53" w:rsidR="006F7C53" w:rsidP="006F7C53" w:rsidRDefault="006F7C53" w14:paraId="4F6F1956" w14:textId="77777777">
            <w:pPr>
              <w:rPr>
                <w:rFonts w:ascii="Times New Roman" w:hAnsi="Times New Roman" w:eastAsia="Times New Roman" w:cs="Times New Roman"/>
                <w:sz w:val="24"/>
                <w:szCs w:val="24"/>
                <w:lang w:eastAsia="lv-LV"/>
              </w:rPr>
            </w:pPr>
          </w:p>
          <w:p w:rsidRPr="006F7C53" w:rsidR="006F7C53" w:rsidP="006F7C53" w:rsidRDefault="006F7C53" w14:paraId="5046DFE1" w14:textId="77777777">
            <w:pPr>
              <w:rPr>
                <w:rFonts w:ascii="Times New Roman" w:hAnsi="Times New Roman" w:eastAsia="Times New Roman" w:cs="Times New Roman"/>
                <w:sz w:val="24"/>
                <w:szCs w:val="24"/>
                <w:lang w:eastAsia="lv-LV"/>
              </w:rPr>
            </w:pPr>
          </w:p>
          <w:p w:rsidRPr="006F7C53" w:rsidR="006F7C53" w:rsidP="006F7C53" w:rsidRDefault="006F7C53" w14:paraId="1EC2101D" w14:textId="77777777">
            <w:pPr>
              <w:rPr>
                <w:rFonts w:ascii="Times New Roman" w:hAnsi="Times New Roman" w:eastAsia="Times New Roman" w:cs="Times New Roman"/>
                <w:sz w:val="24"/>
                <w:szCs w:val="24"/>
                <w:lang w:eastAsia="lv-LV"/>
              </w:rPr>
            </w:pPr>
          </w:p>
          <w:p w:rsidRPr="006F7C53" w:rsidR="006F7C53" w:rsidP="006F7C53" w:rsidRDefault="006F7C53" w14:paraId="572C0E9E" w14:textId="77777777">
            <w:pPr>
              <w:rPr>
                <w:rFonts w:ascii="Times New Roman" w:hAnsi="Times New Roman" w:eastAsia="Times New Roman" w:cs="Times New Roman"/>
                <w:sz w:val="24"/>
                <w:szCs w:val="24"/>
                <w:lang w:eastAsia="lv-LV"/>
              </w:rPr>
            </w:pPr>
          </w:p>
          <w:p w:rsidRPr="006F7C53" w:rsidR="006F7C53" w:rsidP="006F7C53" w:rsidRDefault="006F7C53" w14:paraId="50EF9530" w14:textId="77777777">
            <w:pPr>
              <w:rPr>
                <w:rFonts w:ascii="Times New Roman" w:hAnsi="Times New Roman" w:eastAsia="Times New Roman" w:cs="Times New Roman"/>
                <w:sz w:val="24"/>
                <w:szCs w:val="24"/>
                <w:lang w:eastAsia="lv-LV"/>
              </w:rPr>
            </w:pPr>
          </w:p>
          <w:p w:rsidRPr="006F7C53" w:rsidR="006F7C53" w:rsidP="006F7C53" w:rsidRDefault="006F7C53" w14:paraId="0568D716" w14:textId="77777777">
            <w:pPr>
              <w:rPr>
                <w:rFonts w:ascii="Times New Roman" w:hAnsi="Times New Roman" w:eastAsia="Times New Roman" w:cs="Times New Roman"/>
                <w:sz w:val="24"/>
                <w:szCs w:val="24"/>
                <w:lang w:eastAsia="lv-LV"/>
              </w:rPr>
            </w:pPr>
          </w:p>
          <w:p w:rsidRPr="006F7C53" w:rsidR="006F7C53" w:rsidP="006F7C53" w:rsidRDefault="006F7C53" w14:paraId="5F417A5A" w14:textId="77777777">
            <w:pPr>
              <w:rPr>
                <w:rFonts w:ascii="Times New Roman" w:hAnsi="Times New Roman" w:eastAsia="Times New Roman" w:cs="Times New Roman"/>
                <w:sz w:val="24"/>
                <w:szCs w:val="24"/>
                <w:lang w:eastAsia="lv-LV"/>
              </w:rPr>
            </w:pPr>
          </w:p>
          <w:p w:rsidRPr="006F7C53" w:rsidR="006F7C53" w:rsidP="006F7C53" w:rsidRDefault="006F7C53" w14:paraId="036767A7" w14:textId="77777777">
            <w:pPr>
              <w:rPr>
                <w:rFonts w:ascii="Times New Roman" w:hAnsi="Times New Roman" w:eastAsia="Times New Roman" w:cs="Times New Roman"/>
                <w:sz w:val="24"/>
                <w:szCs w:val="24"/>
                <w:lang w:eastAsia="lv-LV"/>
              </w:rPr>
            </w:pPr>
          </w:p>
          <w:p w:rsidRPr="006F7C53" w:rsidR="006F7C53" w:rsidP="006F7C53" w:rsidRDefault="006F7C53" w14:paraId="6E784448" w14:textId="77777777">
            <w:pPr>
              <w:rPr>
                <w:rFonts w:ascii="Times New Roman" w:hAnsi="Times New Roman" w:eastAsia="Times New Roman" w:cs="Times New Roman"/>
                <w:sz w:val="24"/>
                <w:szCs w:val="24"/>
                <w:lang w:eastAsia="lv-LV"/>
              </w:rPr>
            </w:pPr>
          </w:p>
          <w:p w:rsidRPr="006F7C53" w:rsidR="006F7C53" w:rsidP="006F7C53" w:rsidRDefault="006F7C53" w14:paraId="3C59ACCF" w14:textId="77777777">
            <w:pPr>
              <w:rPr>
                <w:rFonts w:ascii="Times New Roman" w:hAnsi="Times New Roman" w:eastAsia="Times New Roman" w:cs="Times New Roman"/>
                <w:sz w:val="24"/>
                <w:szCs w:val="24"/>
                <w:lang w:eastAsia="lv-LV"/>
              </w:rPr>
            </w:pPr>
          </w:p>
          <w:p w:rsidR="006F7C53" w:rsidP="006F7C53" w:rsidRDefault="006F7C53" w14:paraId="668DCB09" w14:textId="77777777">
            <w:pPr>
              <w:rPr>
                <w:rFonts w:ascii="Times New Roman" w:hAnsi="Times New Roman" w:eastAsia="Times New Roman" w:cs="Times New Roman"/>
                <w:sz w:val="24"/>
                <w:szCs w:val="24"/>
                <w:lang w:eastAsia="lv-LV"/>
              </w:rPr>
            </w:pPr>
          </w:p>
          <w:p w:rsidRPr="006F7C53" w:rsidR="006F7C53" w:rsidP="006F7C53" w:rsidRDefault="006F7C53" w14:paraId="31AC9F60" w14:textId="574754D1">
            <w:pPr>
              <w:jc w:val="center"/>
              <w:rPr>
                <w:rFonts w:ascii="Times New Roman" w:hAnsi="Times New Roman" w:eastAsia="Times New Roman" w:cs="Times New Roman"/>
                <w:sz w:val="24"/>
                <w:szCs w:val="24"/>
                <w:lang w:eastAsia="lv-LV"/>
              </w:rPr>
            </w:pPr>
          </w:p>
        </w:tc>
        <w:tc>
          <w:tcPr>
            <w:tcW w:w="3121" w:type="pct"/>
            <w:tcBorders>
              <w:top w:val="outset" w:color="414142" w:sz="6" w:space="0"/>
              <w:left w:val="outset" w:color="414142" w:sz="6" w:space="0"/>
              <w:bottom w:val="outset" w:color="414142" w:sz="6" w:space="0"/>
              <w:right w:val="outset" w:color="414142" w:sz="6" w:space="0"/>
            </w:tcBorders>
            <w:hideMark/>
          </w:tcPr>
          <w:p w:rsidR="001A19CB" w:rsidP="007F5CF3" w:rsidRDefault="009F138F" w14:paraId="64031DDE" w14:textId="4C4B17B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Ziņojuma izstrādē, kā rezultātā izstrādāts Likumprojekts, ņemti vērā starptautiski un nacionā</w:t>
            </w:r>
            <w:r w:rsidR="00FA0F79">
              <w:rPr>
                <w:rFonts w:ascii="Times New Roman" w:hAnsi="Times New Roman" w:eastAsia="Times New Roman" w:cs="Times New Roman"/>
                <w:sz w:val="24"/>
                <w:szCs w:val="24"/>
                <w:lang w:eastAsia="lv-LV"/>
              </w:rPr>
              <w:t>l</w:t>
            </w:r>
            <w:r>
              <w:rPr>
                <w:rFonts w:ascii="Times New Roman" w:hAnsi="Times New Roman" w:eastAsia="Times New Roman" w:cs="Times New Roman"/>
                <w:sz w:val="24"/>
                <w:szCs w:val="24"/>
                <w:lang w:eastAsia="lv-LV"/>
              </w:rPr>
              <w:t xml:space="preserve">i tiesu sistēmas vērtējumi, piemēram, </w:t>
            </w:r>
            <w:r w:rsidRPr="009F138F">
              <w:rPr>
                <w:rFonts w:ascii="Times New Roman" w:hAnsi="Times New Roman" w:eastAsia="Times New Roman" w:cs="Times New Roman"/>
                <w:sz w:val="24"/>
                <w:szCs w:val="24"/>
                <w:lang w:eastAsia="lv-LV"/>
              </w:rPr>
              <w:t xml:space="preserve">2018. gada 23. augustā oficiāli publicēts Eiropas Padomes </w:t>
            </w:r>
            <w:proofErr w:type="spellStart"/>
            <w:r w:rsidRPr="009F138F">
              <w:rPr>
                <w:rFonts w:ascii="Times New Roman" w:hAnsi="Times New Roman" w:eastAsia="Times New Roman" w:cs="Times New Roman"/>
                <w:sz w:val="24"/>
                <w:szCs w:val="24"/>
                <w:lang w:eastAsia="lv-LV"/>
              </w:rPr>
              <w:t>Moneyval</w:t>
            </w:r>
            <w:proofErr w:type="spellEnd"/>
            <w:r w:rsidRPr="009F138F">
              <w:rPr>
                <w:rFonts w:ascii="Times New Roman" w:hAnsi="Times New Roman" w:eastAsia="Times New Roman" w:cs="Times New Roman"/>
                <w:sz w:val="24"/>
                <w:szCs w:val="24"/>
                <w:lang w:eastAsia="lv-LV"/>
              </w:rPr>
              <w:t xml:space="preserve"> komitejas savstarpējās novērtēšanas 5. kārtas ziņojums par Latviju</w:t>
            </w:r>
            <w:r>
              <w:rPr>
                <w:rFonts w:ascii="Times New Roman" w:hAnsi="Times New Roman" w:eastAsia="Times New Roman" w:cs="Times New Roman"/>
                <w:sz w:val="24"/>
                <w:szCs w:val="24"/>
                <w:lang w:eastAsia="lv-LV"/>
              </w:rPr>
              <w:t xml:space="preserve">, </w:t>
            </w:r>
            <w:r w:rsidRPr="009F138F">
              <w:rPr>
                <w:rFonts w:ascii="Times New Roman" w:hAnsi="Times New Roman" w:eastAsia="Times New Roman" w:cs="Times New Roman"/>
                <w:sz w:val="24"/>
                <w:szCs w:val="24"/>
                <w:lang w:eastAsia="lv-LV"/>
              </w:rPr>
              <w:t>Ekonomiskās sadarbības un attīstības organizācij</w:t>
            </w:r>
            <w:r>
              <w:rPr>
                <w:rFonts w:ascii="Times New Roman" w:hAnsi="Times New Roman" w:eastAsia="Times New Roman" w:cs="Times New Roman"/>
                <w:sz w:val="24"/>
                <w:szCs w:val="24"/>
                <w:lang w:eastAsia="lv-LV"/>
              </w:rPr>
              <w:t xml:space="preserve">as pētījums </w:t>
            </w:r>
            <w:r w:rsidRPr="009F138F">
              <w:rPr>
                <w:rFonts w:ascii="Times New Roman" w:hAnsi="Times New Roman" w:eastAsia="Times New Roman" w:cs="Times New Roman"/>
                <w:sz w:val="24"/>
                <w:szCs w:val="24"/>
                <w:lang w:eastAsia="lv-LV"/>
              </w:rPr>
              <w:t>"Tiesiskums komercdarbībai un iekļaujošai izaugsmei Latvijā"</w:t>
            </w:r>
            <w:r>
              <w:rPr>
                <w:rFonts w:ascii="Times New Roman" w:hAnsi="Times New Roman" w:eastAsia="Times New Roman" w:cs="Times New Roman"/>
                <w:sz w:val="24"/>
                <w:szCs w:val="24"/>
                <w:lang w:eastAsia="lv-LV"/>
              </w:rPr>
              <w:t xml:space="preserve">, </w:t>
            </w:r>
            <w:r w:rsidRPr="009F138F">
              <w:rPr>
                <w:rFonts w:ascii="Times New Roman" w:hAnsi="Times New Roman" w:eastAsia="Times New Roman" w:cs="Times New Roman"/>
                <w:sz w:val="24"/>
                <w:szCs w:val="24"/>
                <w:lang w:eastAsia="lv-LV"/>
              </w:rPr>
              <w:t>Eiropas Padomes Tieslietu sistēmu efektivitātes komisija</w:t>
            </w:r>
            <w:r>
              <w:rPr>
                <w:rFonts w:ascii="Times New Roman" w:hAnsi="Times New Roman" w:eastAsia="Times New Roman" w:cs="Times New Roman"/>
                <w:sz w:val="24"/>
                <w:szCs w:val="24"/>
                <w:lang w:eastAsia="lv-LV"/>
              </w:rPr>
              <w:t xml:space="preserve">s </w:t>
            </w:r>
            <w:r w:rsidRPr="009F138F">
              <w:rPr>
                <w:rFonts w:ascii="Times New Roman" w:hAnsi="Times New Roman" w:eastAsia="Times New Roman" w:cs="Times New Roman"/>
                <w:sz w:val="24"/>
                <w:szCs w:val="24"/>
                <w:lang w:eastAsia="lv-LV"/>
              </w:rPr>
              <w:t>ziņojums par Latvijas tieslietu sistēmas novērtējumu</w:t>
            </w:r>
            <w:r>
              <w:rPr>
                <w:rFonts w:ascii="Times New Roman" w:hAnsi="Times New Roman" w:eastAsia="Times New Roman" w:cs="Times New Roman"/>
                <w:sz w:val="24"/>
                <w:szCs w:val="24"/>
                <w:lang w:eastAsia="lv-LV"/>
              </w:rPr>
              <w:t xml:space="preserve">, </w:t>
            </w:r>
            <w:r w:rsidRPr="009F138F">
              <w:rPr>
                <w:rFonts w:ascii="Times New Roman" w:hAnsi="Times New Roman" w:eastAsia="Times New Roman" w:cs="Times New Roman"/>
                <w:sz w:val="24"/>
                <w:szCs w:val="24"/>
                <w:lang w:eastAsia="lv-LV"/>
              </w:rPr>
              <w:t>Starptautisk</w:t>
            </w:r>
            <w:r>
              <w:rPr>
                <w:rFonts w:ascii="Times New Roman" w:hAnsi="Times New Roman" w:eastAsia="Times New Roman" w:cs="Times New Roman"/>
                <w:sz w:val="24"/>
                <w:szCs w:val="24"/>
                <w:lang w:eastAsia="lv-LV"/>
              </w:rPr>
              <w:t>ā</w:t>
            </w:r>
            <w:r w:rsidRPr="009F138F">
              <w:rPr>
                <w:rFonts w:ascii="Times New Roman" w:hAnsi="Times New Roman" w:eastAsia="Times New Roman" w:cs="Times New Roman"/>
                <w:sz w:val="24"/>
                <w:szCs w:val="24"/>
                <w:lang w:eastAsia="lv-LV"/>
              </w:rPr>
              <w:t xml:space="preserve"> valūtas fond</w:t>
            </w:r>
            <w:r>
              <w:rPr>
                <w:rFonts w:ascii="Times New Roman" w:hAnsi="Times New Roman" w:eastAsia="Times New Roman" w:cs="Times New Roman"/>
                <w:sz w:val="24"/>
                <w:szCs w:val="24"/>
                <w:lang w:eastAsia="lv-LV"/>
              </w:rPr>
              <w:t xml:space="preserve">a </w:t>
            </w:r>
            <w:r w:rsidRPr="009F138F">
              <w:rPr>
                <w:rFonts w:ascii="Times New Roman" w:hAnsi="Times New Roman" w:eastAsia="Times New Roman" w:cs="Times New Roman"/>
                <w:sz w:val="24"/>
                <w:szCs w:val="24"/>
                <w:lang w:eastAsia="lv-LV"/>
              </w:rPr>
              <w:t>novērtējum</w:t>
            </w:r>
            <w:r>
              <w:rPr>
                <w:rFonts w:ascii="Times New Roman" w:hAnsi="Times New Roman" w:eastAsia="Times New Roman" w:cs="Times New Roman"/>
                <w:sz w:val="24"/>
                <w:szCs w:val="24"/>
                <w:lang w:eastAsia="lv-LV"/>
              </w:rPr>
              <w:t>s</w:t>
            </w:r>
            <w:r w:rsidR="00633CB1">
              <w:rPr>
                <w:rFonts w:ascii="Times New Roman" w:hAnsi="Times New Roman" w:eastAsia="Times New Roman" w:cs="Times New Roman"/>
                <w:sz w:val="24"/>
                <w:szCs w:val="24"/>
                <w:lang w:eastAsia="lv-LV"/>
              </w:rPr>
              <w:t xml:space="preserve">, kā arī </w:t>
            </w:r>
            <w:r>
              <w:rPr>
                <w:rFonts w:ascii="Times New Roman" w:hAnsi="Times New Roman" w:eastAsia="Times New Roman" w:cs="Times New Roman"/>
                <w:sz w:val="24"/>
                <w:szCs w:val="24"/>
                <w:lang w:eastAsia="lv-LV"/>
              </w:rPr>
              <w:t xml:space="preserve"> </w:t>
            </w:r>
            <w:r w:rsidR="00633CB1">
              <w:rPr>
                <w:rFonts w:ascii="Times New Roman" w:hAnsi="Times New Roman" w:eastAsia="Times New Roman" w:cs="Times New Roman"/>
                <w:sz w:val="24"/>
                <w:szCs w:val="24"/>
                <w:lang w:eastAsia="lv-LV"/>
              </w:rPr>
              <w:t xml:space="preserve">tiesnešu,  </w:t>
            </w:r>
            <w:r w:rsidRPr="00633CB1" w:rsidR="00633CB1">
              <w:rPr>
                <w:rFonts w:ascii="Times New Roman" w:hAnsi="Times New Roman" w:eastAsia="Times New Roman" w:cs="Times New Roman"/>
                <w:sz w:val="24"/>
                <w:szCs w:val="24"/>
                <w:lang w:eastAsia="lv-LV"/>
              </w:rPr>
              <w:t>Latvijas Tirdzniecības un rūpniecības kamera</w:t>
            </w:r>
            <w:r w:rsidR="00633CB1">
              <w:rPr>
                <w:rFonts w:ascii="Times New Roman" w:hAnsi="Times New Roman" w:eastAsia="Times New Roman" w:cs="Times New Roman"/>
                <w:sz w:val="24"/>
                <w:szCs w:val="24"/>
                <w:lang w:eastAsia="lv-LV"/>
              </w:rPr>
              <w:t xml:space="preserve">s, </w:t>
            </w:r>
            <w:r w:rsidRPr="00633CB1" w:rsidR="00633CB1">
              <w:rPr>
                <w:rFonts w:ascii="Times New Roman" w:hAnsi="Times New Roman" w:eastAsia="Times New Roman" w:cs="Times New Roman"/>
                <w:sz w:val="24"/>
                <w:szCs w:val="24"/>
                <w:lang w:eastAsia="lv-LV"/>
              </w:rPr>
              <w:t xml:space="preserve"> </w:t>
            </w:r>
            <w:proofErr w:type="spellStart"/>
            <w:r w:rsidRPr="00633CB1" w:rsidR="00633CB1">
              <w:rPr>
                <w:rFonts w:ascii="Times New Roman" w:hAnsi="Times New Roman" w:eastAsia="Times New Roman" w:cs="Times New Roman"/>
                <w:sz w:val="24"/>
                <w:szCs w:val="24"/>
                <w:lang w:eastAsia="lv-LV"/>
              </w:rPr>
              <w:t>Pārresoru</w:t>
            </w:r>
            <w:proofErr w:type="spellEnd"/>
            <w:r w:rsidRPr="00633CB1" w:rsidR="00633CB1">
              <w:rPr>
                <w:rFonts w:ascii="Times New Roman" w:hAnsi="Times New Roman" w:eastAsia="Times New Roman" w:cs="Times New Roman"/>
                <w:sz w:val="24"/>
                <w:szCs w:val="24"/>
                <w:lang w:eastAsia="lv-LV"/>
              </w:rPr>
              <w:t xml:space="preserve"> koordinācijas centr</w:t>
            </w:r>
            <w:r w:rsidR="00633CB1">
              <w:rPr>
                <w:rFonts w:ascii="Times New Roman" w:hAnsi="Times New Roman" w:eastAsia="Times New Roman" w:cs="Times New Roman"/>
                <w:sz w:val="24"/>
                <w:szCs w:val="24"/>
                <w:lang w:eastAsia="lv-LV"/>
              </w:rPr>
              <w:t>a un iesaistīto ministriju (Ekonomikas ministrija, Kultūras ministrija, Finanšu ministrija) paustie viedokļi.</w:t>
            </w:r>
          </w:p>
          <w:p w:rsidR="00BD31D9" w:rsidP="007F5CF3" w:rsidRDefault="00FA0F79" w14:paraId="79EEC58C" w14:textId="199750A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w:t>
            </w:r>
            <w:r w:rsidR="00BD31D9">
              <w:rPr>
                <w:rFonts w:ascii="Times New Roman" w:hAnsi="Times New Roman" w:eastAsia="Times New Roman" w:cs="Times New Roman"/>
                <w:sz w:val="24"/>
                <w:szCs w:val="24"/>
                <w:lang w:eastAsia="lv-LV"/>
              </w:rPr>
              <w:t>niciatīvas virzības laikā nereti ir izteikts viedoklis</w:t>
            </w:r>
            <w:r w:rsidRPr="00BD31D9" w:rsidR="00BD31D9">
              <w:rPr>
                <w:rFonts w:ascii="Times New Roman" w:hAnsi="Times New Roman" w:eastAsia="Times New Roman" w:cs="Times New Roman"/>
                <w:sz w:val="24"/>
                <w:szCs w:val="24"/>
                <w:lang w:eastAsia="lv-LV"/>
              </w:rPr>
              <w:t>, vai šādas specializētas tiesas izveide spēs atrisināt identificētās problēmas – pirmstiesas izmeklēšanas kvalitāt</w:t>
            </w:r>
            <w:r>
              <w:rPr>
                <w:rFonts w:ascii="Times New Roman" w:hAnsi="Times New Roman" w:eastAsia="Times New Roman" w:cs="Times New Roman"/>
                <w:sz w:val="24"/>
                <w:szCs w:val="24"/>
                <w:lang w:eastAsia="lv-LV"/>
              </w:rPr>
              <w:t>ē</w:t>
            </w:r>
            <w:r w:rsidRPr="00BD31D9" w:rsidR="00BD31D9">
              <w:rPr>
                <w:rFonts w:ascii="Times New Roman" w:hAnsi="Times New Roman" w:eastAsia="Times New Roman" w:cs="Times New Roman"/>
                <w:sz w:val="24"/>
                <w:szCs w:val="24"/>
                <w:lang w:eastAsia="lv-LV"/>
              </w:rPr>
              <w:t xml:space="preserve"> un procesa ātrum</w:t>
            </w:r>
            <w:r>
              <w:rPr>
                <w:rFonts w:ascii="Times New Roman" w:hAnsi="Times New Roman" w:eastAsia="Times New Roman" w:cs="Times New Roman"/>
                <w:sz w:val="24"/>
                <w:szCs w:val="24"/>
                <w:lang w:eastAsia="lv-LV"/>
              </w:rPr>
              <w:t>ā</w:t>
            </w:r>
            <w:r w:rsidRPr="00BD31D9" w:rsidR="00BD31D9">
              <w:rPr>
                <w:rFonts w:ascii="Times New Roman" w:hAnsi="Times New Roman" w:eastAsia="Times New Roman" w:cs="Times New Roman"/>
                <w:sz w:val="24"/>
                <w:szCs w:val="24"/>
                <w:lang w:eastAsia="lv-LV"/>
              </w:rPr>
              <w:t xml:space="preserve"> gan </w:t>
            </w:r>
            <w:proofErr w:type="spellStart"/>
            <w:r w:rsidRPr="00BD31D9" w:rsidR="00BD31D9">
              <w:rPr>
                <w:rFonts w:ascii="Times New Roman" w:hAnsi="Times New Roman" w:eastAsia="Times New Roman" w:cs="Times New Roman"/>
                <w:sz w:val="24"/>
                <w:szCs w:val="24"/>
                <w:lang w:eastAsia="lv-LV"/>
              </w:rPr>
              <w:t>pirmstiesā</w:t>
            </w:r>
            <w:proofErr w:type="spellEnd"/>
            <w:r w:rsidRPr="00BD31D9" w:rsidR="00BD31D9">
              <w:rPr>
                <w:rFonts w:ascii="Times New Roman" w:hAnsi="Times New Roman" w:eastAsia="Times New Roman" w:cs="Times New Roman"/>
                <w:sz w:val="24"/>
                <w:szCs w:val="24"/>
                <w:lang w:eastAsia="lv-LV"/>
              </w:rPr>
              <w:t>, gan iztiesāšanā.</w:t>
            </w:r>
          </w:p>
          <w:p w:rsidR="00FA0F79" w:rsidP="007F5CF3" w:rsidRDefault="00E66238" w14:paraId="5EE6E385" w14:textId="4B23A56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Norādāms</w:t>
            </w:r>
            <w:r w:rsidR="00581B9F">
              <w:rPr>
                <w:rFonts w:ascii="Times New Roman" w:hAnsi="Times New Roman" w:eastAsia="Times New Roman" w:cs="Times New Roman"/>
                <w:sz w:val="24"/>
                <w:szCs w:val="24"/>
                <w:lang w:eastAsia="lv-LV"/>
              </w:rPr>
              <w:t xml:space="preserve">, ka </w:t>
            </w:r>
            <w:r w:rsidRPr="00BD31D9" w:rsidR="00BD31D9">
              <w:rPr>
                <w:rFonts w:ascii="Times New Roman" w:hAnsi="Times New Roman" w:eastAsia="Times New Roman" w:cs="Times New Roman"/>
                <w:sz w:val="24"/>
                <w:szCs w:val="24"/>
                <w:lang w:eastAsia="lv-LV"/>
              </w:rPr>
              <w:t>līdzšinējā pieredze, piemēram, saistībā ar Administratīvās rajona tiesas izveidi, specializētas tiesas izveid</w:t>
            </w:r>
            <w:r w:rsidR="00FA0F79">
              <w:rPr>
                <w:rFonts w:ascii="Times New Roman" w:hAnsi="Times New Roman" w:eastAsia="Times New Roman" w:cs="Times New Roman"/>
                <w:sz w:val="24"/>
                <w:szCs w:val="24"/>
                <w:lang w:eastAsia="lv-LV"/>
              </w:rPr>
              <w:t>i</w:t>
            </w:r>
            <w:r w:rsidRPr="00BD31D9" w:rsidR="00BD31D9">
              <w:rPr>
                <w:rFonts w:ascii="Times New Roman" w:hAnsi="Times New Roman" w:eastAsia="Times New Roman" w:cs="Times New Roman"/>
                <w:sz w:val="24"/>
                <w:szCs w:val="24"/>
                <w:lang w:eastAsia="lv-LV"/>
              </w:rPr>
              <w:t xml:space="preserve"> rada nepieciešamos priekšnosacījumus, lai tiesa varētu uzņemties vadošo lomu attiecībā uz procesa kvalitātes standartu noteikšanu un tādējādi ietekmēt arī </w:t>
            </w:r>
            <w:r w:rsidRPr="00BD31D9" w:rsidR="00BD31D9">
              <w:rPr>
                <w:rFonts w:ascii="Times New Roman" w:hAnsi="Times New Roman" w:eastAsia="Times New Roman" w:cs="Times New Roman"/>
                <w:sz w:val="24"/>
                <w:szCs w:val="24"/>
                <w:lang w:eastAsia="lv-LV"/>
              </w:rPr>
              <w:lastRenderedPageBreak/>
              <w:t xml:space="preserve">izmeklēšanas un apsūdzības procesu kvalitāti. Tāpat izvirzītā mērķa sasniegšanai paralēli tiek meklēti efektīvi risinājumi izmeklēšanas un apsūdzības kvalitātes celšanai – Ministru kabinets 2019. gada 25. jūnija sēdē, izskatot Tieslietu ministrijas sagatavoto informatīvo ziņojumu "Par nepieciešamību īstenot revīziju par faktoriem, kas ietekmē efektīvu kriminālprocesu par noziedzīgiem nodarījumiem ekonomikas un finanšu jomā izmeklēšanu un iztiesāšanu" (prot. Nr. 30, 33. §), pieņēma to zināšanai un atbalstīja tajā ietverto risinājumu, </w:t>
            </w:r>
            <w:r w:rsidR="00F049EA">
              <w:rPr>
                <w:rFonts w:ascii="Times New Roman" w:hAnsi="Times New Roman" w:eastAsia="Times New Roman" w:cs="Times New Roman"/>
                <w:sz w:val="24"/>
                <w:szCs w:val="24"/>
                <w:lang w:eastAsia="lv-LV"/>
              </w:rPr>
              <w:t>uzdodot</w:t>
            </w:r>
            <w:r w:rsidRPr="00BD31D9" w:rsidR="00F049EA">
              <w:rPr>
                <w:rFonts w:ascii="Times New Roman" w:hAnsi="Times New Roman" w:eastAsia="Times New Roman" w:cs="Times New Roman"/>
                <w:sz w:val="24"/>
                <w:szCs w:val="24"/>
                <w:lang w:eastAsia="lv-LV"/>
              </w:rPr>
              <w:t xml:space="preserve"> </w:t>
            </w:r>
            <w:r w:rsidRPr="00BD31D9" w:rsidR="00BD31D9">
              <w:rPr>
                <w:rFonts w:ascii="Times New Roman" w:hAnsi="Times New Roman" w:eastAsia="Times New Roman" w:cs="Times New Roman"/>
                <w:sz w:val="24"/>
                <w:szCs w:val="24"/>
                <w:lang w:eastAsia="lv-LV"/>
              </w:rPr>
              <w:t xml:space="preserve">Tieslietu ministrijai aicināt Valsts kontroli izvērtēt iespēju veikt revīziju par faktoriem, kas ietekmē kriminālprocesu par noziedzīgiem nodarījumiem ekonomikas un finanšu jomā efektīvu izmeklēšanu un iztiesāšanu. </w:t>
            </w:r>
            <w:r w:rsidR="00FA0F79">
              <w:rPr>
                <w:rFonts w:ascii="Times New Roman" w:hAnsi="Times New Roman" w:eastAsia="Times New Roman" w:cs="Times New Roman"/>
                <w:sz w:val="24"/>
                <w:szCs w:val="24"/>
                <w:lang w:eastAsia="lv-LV"/>
              </w:rPr>
              <w:t xml:space="preserve">Revīzija jau ir uzsākta un tā tiek veikta par divu gadu laika posmu (2018.gada 1.janvāris – 2019.gada 31.decebris). Pēc revīzijas tiks īstenoti pasākumi izteikto ieteikumu ieviešanai. </w:t>
            </w:r>
          </w:p>
          <w:p w:rsidR="007C4703" w:rsidP="007F5CF3" w:rsidRDefault="007C4703" w14:paraId="0D1379E3" w14:textId="7C11854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Tāpat Tieslietu ministrija s</w:t>
            </w:r>
            <w:r w:rsidRPr="007C4703">
              <w:rPr>
                <w:rFonts w:ascii="Times New Roman" w:hAnsi="Times New Roman" w:eastAsia="Times New Roman" w:cs="Times New Roman"/>
                <w:sz w:val="24"/>
                <w:szCs w:val="24"/>
                <w:lang w:eastAsia="lv-LV"/>
              </w:rPr>
              <w:t xml:space="preserve">adarbībā ar Rīgas Juridisko augstskolu 2019. gada 17. jūlijā organizēja publisku diskusiju "Vai pienācis laiks specializētai tiesai?". Diskusiju panelī piedalījās uzņēmēju organizāciju pārstāvji (Latvijas Tirdzniecības un rūpniecības kameras priekšsēdētājs J.Endziņš, Ārvalstu investoru padomes Latvijā Investīciju aizsardzības un tiesu efektivitātes darba grupas vadītājs M. Vainovskis, kā arī Finanšu nozares asociācijas juridiskais padomnieks E. Pastars), kā arī tiesu varas un ar to saistīto institūciju pārstāvji </w:t>
            </w:r>
            <w:proofErr w:type="gramStart"/>
            <w:r w:rsidRPr="007C4703">
              <w:rPr>
                <w:rFonts w:ascii="Times New Roman" w:hAnsi="Times New Roman" w:eastAsia="Times New Roman" w:cs="Times New Roman"/>
                <w:sz w:val="24"/>
                <w:szCs w:val="24"/>
                <w:lang w:eastAsia="lv-LV"/>
              </w:rPr>
              <w:t>(</w:t>
            </w:r>
            <w:proofErr w:type="gramEnd"/>
            <w:r w:rsidRPr="007C4703">
              <w:rPr>
                <w:rFonts w:ascii="Times New Roman" w:hAnsi="Times New Roman" w:eastAsia="Times New Roman" w:cs="Times New Roman"/>
                <w:sz w:val="24"/>
                <w:szCs w:val="24"/>
                <w:lang w:eastAsia="lv-LV"/>
              </w:rPr>
              <w:t>Korupcijas novēršanas un apkarošanas biroja priekšnieks J.Straume, Ģenerālprokurors Ē. Kalnmeiers, Rīgas apgabaltiesas priekšsēdētāja D. Vilsone un Satversmes tiesas priekšsēdētāja I. Ziemele). Paneļa dalībnieki, kas pārstāv uzņēmēju vajadzības, pauda viennozīmīgu atbalstu specializētas tiesas izveidei, uzsverot, ka šis jautājums ir risināms nekavējoties. Arī paneļa dalībnieki, kas pārstāvēja tiesu varu un ar to saistītās institūcijas, pauda atbalstošu pozīciju specializētas tiesas – ekonomisko lietu tiesas izveidei</w:t>
            </w:r>
            <w:r w:rsidR="00763070">
              <w:rPr>
                <w:rFonts w:ascii="Times New Roman" w:hAnsi="Times New Roman" w:eastAsia="Times New Roman" w:cs="Times New Roman"/>
                <w:sz w:val="24"/>
                <w:szCs w:val="24"/>
                <w:lang w:eastAsia="lv-LV"/>
              </w:rPr>
              <w:t xml:space="preserve">. </w:t>
            </w:r>
          </w:p>
          <w:p w:rsidR="00581B9F" w:rsidP="007F5CF3" w:rsidRDefault="00BD31D9" w14:paraId="185E455E" w14:textId="77777777">
            <w:pPr>
              <w:spacing w:after="0" w:line="240" w:lineRule="auto"/>
              <w:jc w:val="both"/>
              <w:rPr>
                <w:rFonts w:ascii="Times New Roman" w:hAnsi="Times New Roman" w:eastAsia="Times New Roman" w:cs="Times New Roman"/>
                <w:sz w:val="24"/>
                <w:szCs w:val="24"/>
                <w:lang w:eastAsia="lv-LV"/>
              </w:rPr>
            </w:pPr>
            <w:r w:rsidRPr="00BD31D9">
              <w:rPr>
                <w:rFonts w:ascii="Times New Roman" w:hAnsi="Times New Roman" w:eastAsia="Times New Roman" w:cs="Times New Roman"/>
                <w:sz w:val="24"/>
                <w:szCs w:val="24"/>
                <w:lang w:eastAsia="lv-LV"/>
              </w:rPr>
              <w:t>Tieslietu ministrija</w:t>
            </w:r>
            <w:r w:rsidR="007C4703">
              <w:rPr>
                <w:rFonts w:ascii="Times New Roman" w:hAnsi="Times New Roman" w:eastAsia="Times New Roman" w:cs="Times New Roman"/>
                <w:sz w:val="24"/>
                <w:szCs w:val="24"/>
                <w:lang w:eastAsia="lv-LV"/>
              </w:rPr>
              <w:t>s</w:t>
            </w:r>
            <w:r w:rsidRPr="00BD31D9">
              <w:rPr>
                <w:rFonts w:ascii="Times New Roman" w:hAnsi="Times New Roman" w:eastAsia="Times New Roman" w:cs="Times New Roman"/>
                <w:sz w:val="24"/>
                <w:szCs w:val="24"/>
                <w:lang w:eastAsia="lv-LV"/>
              </w:rPr>
              <w:t xml:space="preserve"> sadarbībā ar Amerikas Savienoto Valstu vēstniecību 2019. gada 20. septembrī organizē</w:t>
            </w:r>
            <w:r w:rsidR="007C4703">
              <w:rPr>
                <w:rFonts w:ascii="Times New Roman" w:hAnsi="Times New Roman" w:eastAsia="Times New Roman" w:cs="Times New Roman"/>
                <w:sz w:val="24"/>
                <w:szCs w:val="24"/>
                <w:lang w:eastAsia="lv-LV"/>
              </w:rPr>
              <w:t>j</w:t>
            </w:r>
            <w:r w:rsidR="00246BD2">
              <w:rPr>
                <w:rFonts w:ascii="Times New Roman" w:hAnsi="Times New Roman" w:eastAsia="Times New Roman" w:cs="Times New Roman"/>
                <w:sz w:val="24"/>
                <w:szCs w:val="24"/>
                <w:lang w:eastAsia="lv-LV"/>
              </w:rPr>
              <w:t>a</w:t>
            </w:r>
            <w:r w:rsidRPr="00BD31D9">
              <w:rPr>
                <w:rFonts w:ascii="Times New Roman" w:hAnsi="Times New Roman" w:eastAsia="Times New Roman" w:cs="Times New Roman"/>
                <w:sz w:val="24"/>
                <w:szCs w:val="24"/>
                <w:lang w:eastAsia="lv-LV"/>
              </w:rPr>
              <w:t xml:space="preserve"> paneļdiskusij</w:t>
            </w:r>
            <w:r w:rsidR="00246BD2">
              <w:rPr>
                <w:rFonts w:ascii="Times New Roman" w:hAnsi="Times New Roman" w:eastAsia="Times New Roman" w:cs="Times New Roman"/>
                <w:sz w:val="24"/>
                <w:szCs w:val="24"/>
                <w:lang w:eastAsia="lv-LV"/>
              </w:rPr>
              <w:t>u</w:t>
            </w:r>
            <w:r w:rsidRPr="00BD31D9">
              <w:rPr>
                <w:rFonts w:ascii="Times New Roman" w:hAnsi="Times New Roman" w:eastAsia="Times New Roman" w:cs="Times New Roman"/>
                <w:sz w:val="24"/>
                <w:szCs w:val="24"/>
                <w:lang w:eastAsia="lv-LV"/>
              </w:rPr>
              <w:t xml:space="preserve"> "Procesuālā regulējuma efektivitāte </w:t>
            </w:r>
            <w:proofErr w:type="spellStart"/>
            <w:r w:rsidRPr="00BD31D9">
              <w:rPr>
                <w:rFonts w:ascii="Times New Roman" w:hAnsi="Times New Roman" w:eastAsia="Times New Roman" w:cs="Times New Roman"/>
                <w:sz w:val="24"/>
                <w:szCs w:val="24"/>
                <w:lang w:eastAsia="lv-LV"/>
              </w:rPr>
              <w:t>komercstrīdu</w:t>
            </w:r>
            <w:proofErr w:type="spellEnd"/>
            <w:r w:rsidRPr="00BD31D9">
              <w:rPr>
                <w:rFonts w:ascii="Times New Roman" w:hAnsi="Times New Roman" w:eastAsia="Times New Roman" w:cs="Times New Roman"/>
                <w:sz w:val="24"/>
                <w:szCs w:val="24"/>
                <w:lang w:eastAsia="lv-LV"/>
              </w:rPr>
              <w:t xml:space="preserve"> un ekonomisko noziegumu lietu izskatīšanā"</w:t>
            </w:r>
            <w:r w:rsidR="00246BD2">
              <w:rPr>
                <w:rFonts w:ascii="Times New Roman" w:hAnsi="Times New Roman" w:eastAsia="Times New Roman" w:cs="Times New Roman"/>
                <w:sz w:val="24"/>
                <w:szCs w:val="24"/>
                <w:lang w:eastAsia="lv-LV"/>
              </w:rPr>
              <w:t xml:space="preserve"> ar mērķi </w:t>
            </w:r>
            <w:r w:rsidRPr="00BD31D9">
              <w:rPr>
                <w:rFonts w:ascii="Times New Roman" w:hAnsi="Times New Roman" w:eastAsia="Times New Roman" w:cs="Times New Roman"/>
                <w:sz w:val="24"/>
                <w:szCs w:val="24"/>
                <w:lang w:eastAsia="lv-LV"/>
              </w:rPr>
              <w:t xml:space="preserve">starpdisciplinārā formātā uzklausīt un apkopot pēc iespējas vairāk un pēc iespējas </w:t>
            </w:r>
            <w:r w:rsidRPr="00FB27FF">
              <w:rPr>
                <w:rFonts w:ascii="Times New Roman" w:hAnsi="Times New Roman" w:eastAsia="Times New Roman" w:cs="Times New Roman"/>
                <w:sz w:val="24"/>
                <w:szCs w:val="24"/>
                <w:lang w:eastAsia="lv-LV"/>
              </w:rPr>
              <w:t>dažād</w:t>
            </w:r>
            <w:r w:rsidRPr="00FB27FF" w:rsidR="00246BD2">
              <w:rPr>
                <w:rFonts w:ascii="Times New Roman" w:hAnsi="Times New Roman" w:eastAsia="Times New Roman" w:cs="Times New Roman"/>
                <w:sz w:val="24"/>
                <w:szCs w:val="24"/>
                <w:lang w:eastAsia="lv-LV"/>
              </w:rPr>
              <w:t>us</w:t>
            </w:r>
            <w:r w:rsidRPr="00FB27FF">
              <w:rPr>
                <w:rFonts w:ascii="Times New Roman" w:hAnsi="Times New Roman" w:eastAsia="Times New Roman" w:cs="Times New Roman"/>
                <w:sz w:val="24"/>
                <w:szCs w:val="24"/>
                <w:lang w:eastAsia="lv-LV"/>
              </w:rPr>
              <w:t xml:space="preserve"> risinājum</w:t>
            </w:r>
            <w:r w:rsidRPr="00FB27FF" w:rsidR="00246BD2">
              <w:rPr>
                <w:rFonts w:ascii="Times New Roman" w:hAnsi="Times New Roman" w:eastAsia="Times New Roman" w:cs="Times New Roman"/>
                <w:sz w:val="24"/>
                <w:szCs w:val="24"/>
                <w:lang w:eastAsia="lv-LV"/>
              </w:rPr>
              <w:t>us</w:t>
            </w:r>
            <w:r w:rsidRPr="00FB27FF">
              <w:rPr>
                <w:rFonts w:ascii="Times New Roman" w:hAnsi="Times New Roman" w:eastAsia="Times New Roman" w:cs="Times New Roman"/>
                <w:sz w:val="24"/>
                <w:szCs w:val="24"/>
                <w:lang w:eastAsia="lv-LV"/>
              </w:rPr>
              <w:t xml:space="preserve"> gan attiecībā uz procesu likumu līdz šim neizmantotajām iespējām, gan attiecībā uz jau</w:t>
            </w:r>
            <w:r w:rsidRPr="00BD31D9">
              <w:rPr>
                <w:rFonts w:ascii="Times New Roman" w:hAnsi="Times New Roman" w:eastAsia="Times New Roman" w:cs="Times New Roman"/>
                <w:sz w:val="24"/>
                <w:szCs w:val="24"/>
                <w:lang w:eastAsia="lv-LV"/>
              </w:rPr>
              <w:t>niem procesuāliem instrumentiem un jauniem procesa vadības rīkiem, gan iespējams arī attiecībā uz mācību vajadzībām procesā iesaistītajiem profesionāļiem.</w:t>
            </w:r>
            <w:r w:rsidR="00F62F29">
              <w:rPr>
                <w:rFonts w:ascii="Times New Roman" w:hAnsi="Times New Roman" w:eastAsia="Times New Roman" w:cs="Times New Roman"/>
                <w:sz w:val="24"/>
                <w:szCs w:val="24"/>
                <w:lang w:eastAsia="lv-LV"/>
              </w:rPr>
              <w:t xml:space="preserve"> </w:t>
            </w:r>
            <w:r w:rsidR="00FB27FF">
              <w:rPr>
                <w:rFonts w:ascii="Times New Roman" w:hAnsi="Times New Roman" w:eastAsia="Times New Roman" w:cs="Times New Roman"/>
                <w:sz w:val="24"/>
                <w:szCs w:val="24"/>
                <w:lang w:eastAsia="lv-LV"/>
              </w:rPr>
              <w:t xml:space="preserve">Diskusijas dalībnieki </w:t>
            </w:r>
            <w:r w:rsidRPr="00FB27FF" w:rsidR="00246BD2">
              <w:rPr>
                <w:rFonts w:ascii="Times New Roman" w:hAnsi="Times New Roman" w:eastAsia="Times New Roman" w:cs="Times New Roman"/>
                <w:sz w:val="24"/>
                <w:szCs w:val="24"/>
                <w:lang w:eastAsia="lv-LV"/>
              </w:rPr>
              <w:t>pauda viedokli, ka esošais regulējums  satur labus instrumentus, lai lietu izskatīšana noritētu efektīvi</w:t>
            </w:r>
            <w:r w:rsidR="00FB27FF">
              <w:rPr>
                <w:rFonts w:ascii="Times New Roman" w:hAnsi="Times New Roman" w:eastAsia="Times New Roman" w:cs="Times New Roman"/>
                <w:sz w:val="24"/>
                <w:szCs w:val="24"/>
                <w:lang w:eastAsia="lv-LV"/>
              </w:rPr>
              <w:t xml:space="preserve">, atzīmējot, ka </w:t>
            </w:r>
            <w:r w:rsidRPr="00FB27FF" w:rsidR="00FB27FF">
              <w:rPr>
                <w:rFonts w:ascii="Times New Roman" w:hAnsi="Times New Roman" w:eastAsia="Times New Roman" w:cs="Times New Roman"/>
                <w:sz w:val="24"/>
                <w:szCs w:val="24"/>
                <w:lang w:eastAsia="lv-LV"/>
              </w:rPr>
              <w:t xml:space="preserve">ne vienmēr procesuālā regulējumā ietvertās iespējas tiek </w:t>
            </w:r>
            <w:r w:rsidRPr="00FB27FF" w:rsidR="00FB27FF">
              <w:rPr>
                <w:rFonts w:ascii="Times New Roman" w:hAnsi="Times New Roman" w:eastAsia="Times New Roman" w:cs="Times New Roman"/>
                <w:sz w:val="24"/>
                <w:szCs w:val="24"/>
                <w:lang w:eastAsia="lv-LV"/>
              </w:rPr>
              <w:lastRenderedPageBreak/>
              <w:t>pietiekami plaši izmantotas</w:t>
            </w:r>
            <w:r w:rsidR="00FB27FF">
              <w:rPr>
                <w:rFonts w:ascii="Times New Roman" w:hAnsi="Times New Roman" w:eastAsia="Times New Roman" w:cs="Times New Roman"/>
                <w:sz w:val="24"/>
                <w:szCs w:val="24"/>
                <w:lang w:eastAsia="lv-LV"/>
              </w:rPr>
              <w:t>. Diskusijā tika akcentēts, ka lietas izskatīšanā būtiska nozīme ir tam, cik efektīvi tiesnesis izmanto procesuālajā regulējumā esošos instrumentus</w:t>
            </w:r>
            <w:r w:rsidR="000A2960">
              <w:rPr>
                <w:rFonts w:ascii="Times New Roman" w:hAnsi="Times New Roman" w:eastAsia="Times New Roman" w:cs="Times New Roman"/>
                <w:sz w:val="24"/>
                <w:szCs w:val="24"/>
                <w:lang w:eastAsia="lv-LV"/>
              </w:rPr>
              <w:t xml:space="preserve"> un ka</w:t>
            </w:r>
            <w:r w:rsidR="00FB27FF">
              <w:rPr>
                <w:rFonts w:ascii="Times New Roman" w:hAnsi="Times New Roman" w:eastAsia="Times New Roman" w:cs="Times New Roman"/>
                <w:sz w:val="24"/>
                <w:szCs w:val="24"/>
                <w:lang w:eastAsia="lv-LV"/>
              </w:rPr>
              <w:t xml:space="preserve"> </w:t>
            </w:r>
            <w:r w:rsidR="00FB27FF">
              <w:rPr>
                <w:rFonts w:ascii="Times New Roman" w:hAnsi="Times New Roman"/>
                <w:sz w:val="24"/>
                <w:szCs w:val="24"/>
              </w:rPr>
              <w:t>kopumā par lietas virzību atbildība jāuzņemas tiesnesis un tiesas priekšsēdētājam.</w:t>
            </w:r>
            <w:r w:rsidRPr="00FB27FF" w:rsidR="00246BD2">
              <w:rPr>
                <w:rFonts w:ascii="Times New Roman" w:hAnsi="Times New Roman" w:eastAsia="Times New Roman" w:cs="Times New Roman"/>
                <w:sz w:val="24"/>
                <w:szCs w:val="24"/>
                <w:lang w:eastAsia="lv-LV"/>
              </w:rPr>
              <w:t xml:space="preserve"> </w:t>
            </w:r>
          </w:p>
          <w:p w:rsidRPr="00B2476B" w:rsidR="001E6F28" w:rsidP="007F5CF3" w:rsidRDefault="001E6F28" w14:paraId="1182056C" w14:textId="250DE2E1">
            <w:pPr>
              <w:spacing w:after="0" w:line="240" w:lineRule="auto"/>
              <w:jc w:val="both"/>
              <w:rPr>
                <w:rFonts w:ascii="Arial" w:hAnsi="Arial" w:eastAsia="Times New Roman" w:cs="Arial"/>
                <w:color w:val="414142"/>
                <w:sz w:val="20"/>
                <w:szCs w:val="20"/>
                <w:lang w:eastAsia="lv-LV"/>
              </w:rPr>
            </w:pPr>
          </w:p>
        </w:tc>
      </w:tr>
      <w:tr w:rsidRPr="00BC2633" w:rsidR="005D4E8A" w:rsidTr="006F7C53" w14:paraId="4A35F0EC" w14:textId="77777777">
        <w:trPr>
          <w:gridBefore w:val="1"/>
          <w:gridAfter w:val="1"/>
          <w:wBefore w:w="17" w:type="pct"/>
          <w:wAfter w:w="63" w:type="pct"/>
          <w:trHeight w:val="128"/>
        </w:trPr>
        <w:tc>
          <w:tcPr>
            <w:tcW w:w="4920" w:type="pct"/>
            <w:gridSpan w:val="3"/>
            <w:tcBorders>
              <w:top w:val="outset" w:color="414142" w:sz="6" w:space="0"/>
              <w:left w:val="nil"/>
              <w:bottom w:val="outset" w:color="414142" w:sz="6" w:space="0"/>
              <w:right w:val="nil"/>
            </w:tcBorders>
          </w:tcPr>
          <w:p w:rsidR="00031256" w:rsidP="007F5CF3" w:rsidRDefault="0081203F" w14:paraId="1A0A971E"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ab/>
            </w:r>
          </w:p>
          <w:p w:rsidRPr="00BC2633" w:rsidR="006F7C53" w:rsidP="007F5CF3" w:rsidRDefault="006F7C53" w14:paraId="3909DB7C" w14:textId="4772CC0B">
            <w:pPr>
              <w:tabs>
                <w:tab w:val="left" w:pos="990"/>
              </w:tabs>
              <w:spacing w:after="0" w:line="240" w:lineRule="auto"/>
              <w:rPr>
                <w:rFonts w:ascii="Times New Roman" w:hAnsi="Times New Roman" w:eastAsia="Times New Roman" w:cs="Times New Roman"/>
                <w:sz w:val="24"/>
                <w:szCs w:val="24"/>
                <w:lang w:eastAsia="lv-LV"/>
              </w:rPr>
            </w:pPr>
          </w:p>
        </w:tc>
      </w:tr>
      <w:tr w:rsidRPr="00BC2633" w:rsidR="00BC2633" w:rsidTr="006F7C53" w14:paraId="231B55F5" w14:textId="77777777">
        <w:trPr>
          <w:gridBefore w:val="1"/>
          <w:gridAfter w:val="1"/>
          <w:wBefore w:w="17" w:type="pct"/>
          <w:wAfter w:w="63" w:type="pct"/>
          <w:trHeight w:val="555"/>
        </w:trPr>
        <w:tc>
          <w:tcPr>
            <w:tcW w:w="4920" w:type="pct"/>
            <w:gridSpan w:val="3"/>
            <w:tcBorders>
              <w:top w:val="nil"/>
              <w:left w:val="outset" w:color="414142" w:sz="6" w:space="0"/>
              <w:bottom w:val="outset" w:color="414142" w:sz="6" w:space="0"/>
              <w:right w:val="outset" w:color="414142" w:sz="6" w:space="0"/>
            </w:tcBorders>
            <w:vAlign w:val="center"/>
            <w:hideMark/>
          </w:tcPr>
          <w:p w:rsidRPr="00BC2633" w:rsidR="004D15A9" w:rsidP="007F5CF3"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A326E" w:rsidTr="006F7C53" w14:paraId="2C9F3255" w14:textId="77777777">
        <w:trPr>
          <w:gridBefore w:val="1"/>
          <w:gridAfter w:val="1"/>
          <w:wBefore w:w="17" w:type="pct"/>
          <w:wAfter w:w="63" w:type="pct"/>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59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w:t>
            </w:r>
            <w:proofErr w:type="gramStart"/>
            <w:r w:rsidRPr="00BC2633">
              <w:rPr>
                <w:rFonts w:ascii="Times New Roman" w:hAnsi="Times New Roman" w:eastAsia="Times New Roman" w:cs="Times New Roman"/>
                <w:sz w:val="24"/>
                <w:szCs w:val="24"/>
                <w:lang w:eastAsia="lv-LV"/>
              </w:rPr>
              <w:t xml:space="preserve"> vai varētu ietekmēt</w:t>
            </w:r>
            <w:proofErr w:type="gramEnd"/>
          </w:p>
        </w:tc>
        <w:tc>
          <w:tcPr>
            <w:tcW w:w="3121" w:type="pct"/>
            <w:tcBorders>
              <w:top w:val="outset" w:color="414142" w:sz="6" w:space="0"/>
              <w:left w:val="outset" w:color="414142" w:sz="6" w:space="0"/>
              <w:bottom w:val="outset" w:color="414142" w:sz="6" w:space="0"/>
              <w:right w:val="outset" w:color="414142" w:sz="6" w:space="0"/>
            </w:tcBorders>
            <w:hideMark/>
          </w:tcPr>
          <w:p w:rsidRPr="00BC2633" w:rsidR="00FD3830" w:rsidP="007F5CF3" w:rsidRDefault="007A6DF5" w14:paraId="674A68B1" w14:textId="2A2FC925">
            <w:pPr>
              <w:spacing w:after="0" w:line="240" w:lineRule="auto"/>
              <w:jc w:val="both"/>
              <w:rPr>
                <w:rFonts w:ascii="Times New Roman" w:hAnsi="Times New Roman" w:eastAsia="Times New Roman" w:cs="Times New Roman"/>
                <w:sz w:val="24"/>
                <w:szCs w:val="24"/>
                <w:lang w:eastAsia="lv-LV"/>
              </w:rPr>
            </w:pPr>
            <w:r w:rsidRPr="007A6DF5">
              <w:rPr>
                <w:rFonts w:ascii="Times New Roman" w:hAnsi="Times New Roman" w:eastAsia="Times New Roman" w:cs="Times New Roman"/>
                <w:sz w:val="24"/>
                <w:szCs w:val="24"/>
                <w:lang w:eastAsia="lv-LV"/>
              </w:rPr>
              <w:t xml:space="preserve">Likumprojekta regulējums </w:t>
            </w:r>
            <w:r w:rsidR="001F5406">
              <w:rPr>
                <w:rFonts w:ascii="Times New Roman" w:hAnsi="Times New Roman" w:eastAsia="Times New Roman" w:cs="Times New Roman"/>
                <w:sz w:val="24"/>
                <w:szCs w:val="24"/>
                <w:lang w:eastAsia="lv-LV"/>
              </w:rPr>
              <w:t xml:space="preserve">ietekmē tiesnešus, </w:t>
            </w:r>
            <w:r w:rsidR="005654B4">
              <w:rPr>
                <w:rFonts w:ascii="Times New Roman" w:hAnsi="Times New Roman" w:eastAsia="Times New Roman" w:cs="Times New Roman"/>
                <w:sz w:val="24"/>
                <w:szCs w:val="24"/>
                <w:lang w:eastAsia="lv-LV"/>
              </w:rPr>
              <w:t>prokurorus</w:t>
            </w:r>
            <w:r w:rsidR="001F5406">
              <w:rPr>
                <w:rFonts w:ascii="Times New Roman" w:hAnsi="Times New Roman" w:eastAsia="Times New Roman" w:cs="Times New Roman"/>
                <w:sz w:val="24"/>
                <w:szCs w:val="24"/>
                <w:lang w:eastAsia="lv-LV"/>
              </w:rPr>
              <w:t>,</w:t>
            </w:r>
            <w:r w:rsidR="005654B4">
              <w:rPr>
                <w:rFonts w:ascii="Times New Roman" w:hAnsi="Times New Roman" w:eastAsia="Times New Roman" w:cs="Times New Roman"/>
                <w:sz w:val="24"/>
                <w:szCs w:val="24"/>
                <w:lang w:eastAsia="lv-LV"/>
              </w:rPr>
              <w:t xml:space="preserve"> advokātus</w:t>
            </w:r>
            <w:r w:rsidR="001F5406">
              <w:rPr>
                <w:rFonts w:ascii="Times New Roman" w:hAnsi="Times New Roman" w:eastAsia="Times New Roman" w:cs="Times New Roman"/>
                <w:sz w:val="24"/>
                <w:szCs w:val="24"/>
                <w:lang w:eastAsia="lv-LV"/>
              </w:rPr>
              <w:t xml:space="preserve"> </w:t>
            </w:r>
            <w:r w:rsidR="005654B4">
              <w:rPr>
                <w:rFonts w:ascii="Times New Roman" w:hAnsi="Times New Roman" w:eastAsia="Times New Roman" w:cs="Times New Roman"/>
                <w:sz w:val="24"/>
                <w:szCs w:val="24"/>
                <w:lang w:eastAsia="lv-LV"/>
              </w:rPr>
              <w:t>un citas</w:t>
            </w:r>
            <w:r w:rsidR="001F5406">
              <w:rPr>
                <w:rFonts w:ascii="Times New Roman" w:hAnsi="Times New Roman" w:eastAsia="Times New Roman" w:cs="Times New Roman"/>
                <w:sz w:val="24"/>
                <w:szCs w:val="24"/>
                <w:lang w:eastAsia="lv-LV"/>
              </w:rPr>
              <w:t xml:space="preserve"> personas, kurām</w:t>
            </w:r>
            <w:r w:rsidR="005654B4">
              <w:rPr>
                <w:rFonts w:ascii="Times New Roman" w:hAnsi="Times New Roman" w:eastAsia="Times New Roman" w:cs="Times New Roman"/>
                <w:sz w:val="24"/>
                <w:szCs w:val="24"/>
                <w:lang w:eastAsia="lv-LV"/>
              </w:rPr>
              <w:t xml:space="preserve"> būs</w:t>
            </w:r>
            <w:r w:rsidR="001F5406">
              <w:rPr>
                <w:rFonts w:ascii="Times New Roman" w:hAnsi="Times New Roman" w:eastAsia="Times New Roman" w:cs="Times New Roman"/>
                <w:sz w:val="24"/>
                <w:szCs w:val="24"/>
                <w:lang w:eastAsia="lv-LV"/>
              </w:rPr>
              <w:t xml:space="preserve"> nepieciešams </w:t>
            </w:r>
            <w:r w:rsidR="005654B4">
              <w:rPr>
                <w:rFonts w:ascii="Times New Roman" w:hAnsi="Times New Roman" w:eastAsia="Times New Roman" w:cs="Times New Roman"/>
                <w:sz w:val="24"/>
                <w:szCs w:val="24"/>
                <w:lang w:eastAsia="lv-LV"/>
              </w:rPr>
              <w:t xml:space="preserve">piedalīties procesā </w:t>
            </w:r>
            <w:r w:rsidR="001F5406">
              <w:rPr>
                <w:rFonts w:ascii="Times New Roman" w:hAnsi="Times New Roman" w:eastAsia="Times New Roman" w:cs="Times New Roman"/>
                <w:sz w:val="24"/>
                <w:szCs w:val="24"/>
                <w:lang w:eastAsia="lv-LV"/>
              </w:rPr>
              <w:t>Ekonomisko lietu tiesā.</w:t>
            </w:r>
          </w:p>
        </w:tc>
      </w:tr>
      <w:tr w:rsidRPr="00BC2633" w:rsidR="00DA326E" w:rsidTr="006F7C53" w14:paraId="135FDA25" w14:textId="77777777">
        <w:trPr>
          <w:gridBefore w:val="1"/>
          <w:gridAfter w:val="1"/>
          <w:wBefore w:w="17" w:type="pct"/>
          <w:wAfter w:w="63" w:type="pct"/>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59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121" w:type="pct"/>
            <w:tcBorders>
              <w:top w:val="outset" w:color="414142" w:sz="6" w:space="0"/>
              <w:left w:val="outset" w:color="414142" w:sz="6" w:space="0"/>
              <w:bottom w:val="outset" w:color="414142" w:sz="6" w:space="0"/>
              <w:right w:val="outset" w:color="414142" w:sz="6" w:space="0"/>
            </w:tcBorders>
            <w:hideMark/>
          </w:tcPr>
          <w:p w:rsidR="00FD3830" w:rsidP="007F5CF3" w:rsidRDefault="001F5406" w14:paraId="79DFB51B" w14:textId="77777777">
            <w:pPr>
              <w:spacing w:after="0" w:line="240" w:lineRule="auto"/>
              <w:jc w:val="both"/>
            </w:pPr>
            <w:r>
              <w:rPr>
                <w:rFonts w:ascii="Times New Roman" w:hAnsi="Times New Roman" w:eastAsia="Times New Roman" w:cs="Times New Roman"/>
                <w:sz w:val="24"/>
                <w:szCs w:val="24"/>
                <w:lang w:eastAsia="lv-LV"/>
              </w:rPr>
              <w:t>Likumprojekts veicina tautsaimniecības attīstību.</w:t>
            </w:r>
            <w:r>
              <w:t xml:space="preserve"> </w:t>
            </w:r>
          </w:p>
          <w:p w:rsidR="001A19CB" w:rsidP="007F5CF3" w:rsidRDefault="000875A1" w14:paraId="3A84F8EB" w14:textId="1792DC12">
            <w:pPr>
              <w:spacing w:after="0" w:line="240" w:lineRule="auto"/>
              <w:jc w:val="both"/>
              <w:rPr>
                <w:rFonts w:ascii="Times New Roman" w:hAnsi="Times New Roman" w:eastAsia="Times New Roman" w:cs="Times New Roman"/>
                <w:sz w:val="24"/>
                <w:szCs w:val="24"/>
                <w:lang w:eastAsia="lv-LV"/>
              </w:rPr>
            </w:pPr>
            <w:r w:rsidRPr="000875A1">
              <w:rPr>
                <w:rFonts w:ascii="Times New Roman" w:hAnsi="Times New Roman" w:eastAsia="Times New Roman" w:cs="Times New Roman"/>
                <w:sz w:val="24"/>
                <w:szCs w:val="24"/>
                <w:lang w:eastAsia="lv-LV"/>
              </w:rPr>
              <w:t>Specializētā tiesa būs ilgtermiņa ieguldījums ekonomiski attīstītas un tiesiski sakārtotas valsts izveidē, kas ilgtermiņā atmaksāsies, padarot Latviju par uzņēmējdarbībai un investīcijām ekonomiski labvēlīgu valsti. Tādējādi minētā risinājuma īstenošanai ilgtermiņā būs pozitīva ietekme uz valsts budžeta ieņēmumiem, kas saistīti ar uzņēmējdarbības vides uzlabošanu un investīciju piesaisti.</w:t>
            </w:r>
          </w:p>
          <w:p w:rsidR="000A2960" w:rsidP="007F5CF3" w:rsidRDefault="007F5B03" w14:paraId="2931F881" w14:textId="2A3989CE">
            <w:pPr>
              <w:spacing w:after="0" w:line="240" w:lineRule="auto"/>
              <w:jc w:val="both"/>
              <w:rPr>
                <w:rFonts w:ascii="Times New Roman" w:hAnsi="Times New Roman" w:eastAsia="Times New Roman" w:cs="Times New Roman"/>
                <w:sz w:val="24"/>
                <w:szCs w:val="24"/>
                <w:lang w:eastAsia="lv-LV"/>
              </w:rPr>
            </w:pPr>
            <w:r w:rsidRPr="007F5B03">
              <w:rPr>
                <w:rFonts w:ascii="Times New Roman" w:hAnsi="Times New Roman" w:eastAsia="Times New Roman" w:cs="Times New Roman"/>
                <w:sz w:val="24"/>
                <w:szCs w:val="24"/>
                <w:lang w:eastAsia="lv-LV"/>
              </w:rPr>
              <w:t xml:space="preserve">Ņemot vērā Rīgas ģeogrāfisko atrašanās vietu, Ekonomisko lietu tiesas </w:t>
            </w:r>
            <w:r>
              <w:rPr>
                <w:rFonts w:ascii="Times New Roman" w:hAnsi="Times New Roman" w:eastAsia="Times New Roman" w:cs="Times New Roman"/>
                <w:sz w:val="24"/>
                <w:szCs w:val="24"/>
                <w:lang w:eastAsia="lv-LV"/>
              </w:rPr>
              <w:t>atrašanās</w:t>
            </w:r>
            <w:r w:rsidRPr="007F5B03">
              <w:rPr>
                <w:rFonts w:ascii="Times New Roman" w:hAnsi="Times New Roman" w:eastAsia="Times New Roman" w:cs="Times New Roman"/>
                <w:sz w:val="24"/>
                <w:szCs w:val="24"/>
                <w:lang w:eastAsia="lv-LV"/>
              </w:rPr>
              <w:t xml:space="preserve"> Rīgā ir atbalstāma no tiesas pieejamības aspekta. </w:t>
            </w:r>
          </w:p>
          <w:p w:rsidR="000A2960" w:rsidP="007F5CF3" w:rsidRDefault="000A2960" w14:paraId="19F7726E" w14:textId="318E45AE">
            <w:pPr>
              <w:spacing w:after="0" w:line="240" w:lineRule="auto"/>
              <w:jc w:val="both"/>
              <w:rPr>
                <w:rFonts w:ascii="Times New Roman" w:hAnsi="Times New Roman" w:eastAsia="Times New Roman" w:cs="Times New Roman"/>
                <w:sz w:val="24"/>
                <w:szCs w:val="24"/>
                <w:lang w:eastAsia="lv-LV"/>
              </w:rPr>
            </w:pPr>
            <w:r w:rsidRPr="007F5B03">
              <w:rPr>
                <w:rFonts w:ascii="Times New Roman" w:hAnsi="Times New Roman" w:eastAsia="Times New Roman" w:cs="Times New Roman"/>
                <w:sz w:val="24"/>
                <w:szCs w:val="24"/>
                <w:lang w:eastAsia="lv-LV"/>
              </w:rPr>
              <w:t xml:space="preserve">Attiecībā uz administratīvo slogu, kas radīsies, lai ierastos uz tiesas sēdēm, jānorāda, ka tas atsevišķos gadījumos palielināsies, ja lietas dalībnieks objektīvu (no lietas rakstura vai videokonferenču iekārtas noslogotības) iemeslu dēļ nevarēs piedalīties lietas izskatīšanā ar videokonferences starpniecību no tās tiesas atrašanās vietas, kura tam ir vistuvāk. </w:t>
            </w:r>
            <w:r w:rsidRPr="001851ED" w:rsidR="00233C02">
              <w:rPr>
                <w:rFonts w:ascii="Times New Roman" w:hAnsi="Times New Roman" w:eastAsia="Times New Roman" w:cs="Times New Roman"/>
                <w:sz w:val="24"/>
                <w:szCs w:val="24"/>
                <w:lang w:eastAsia="lv-LV"/>
              </w:rPr>
              <w:t xml:space="preserve">Arī prokuroriem ir </w:t>
            </w:r>
            <w:r w:rsidRPr="001851ED" w:rsidR="00233C02">
              <w:rPr>
                <w:rFonts w:ascii="Times New Roman" w:hAnsi="Times New Roman" w:cs="Times New Roman"/>
                <w:sz w:val="24"/>
                <w:szCs w:val="24"/>
              </w:rPr>
              <w:t>iespējas izmantot tiesās esošās un uz konkrēto laiku nenoslogotās videokonferenču iekārtas, lai piedalīt</w:t>
            </w:r>
            <w:r w:rsidRPr="001851ED" w:rsidR="00F049EA">
              <w:rPr>
                <w:rFonts w:ascii="Times New Roman" w:hAnsi="Times New Roman" w:cs="Times New Roman"/>
                <w:sz w:val="24"/>
                <w:szCs w:val="24"/>
              </w:rPr>
              <w:t>o</w:t>
            </w:r>
            <w:r w:rsidRPr="001851ED" w:rsidR="00233C02">
              <w:rPr>
                <w:rFonts w:ascii="Times New Roman" w:hAnsi="Times New Roman" w:cs="Times New Roman"/>
                <w:sz w:val="24"/>
                <w:szCs w:val="24"/>
              </w:rPr>
              <w:t>s tiesas sēdēs.</w:t>
            </w:r>
            <w:r w:rsidR="00233C02">
              <w:t xml:space="preserve"> </w:t>
            </w:r>
            <w:r>
              <w:rPr>
                <w:rFonts w:ascii="Times New Roman" w:hAnsi="Times New Roman" w:eastAsia="Times New Roman" w:cs="Times New Roman"/>
                <w:sz w:val="24"/>
                <w:szCs w:val="24"/>
                <w:lang w:eastAsia="lv-LV"/>
              </w:rPr>
              <w:t xml:space="preserve">Savukārt, radītais finansiālais slogs tiks kompensēts </w:t>
            </w:r>
            <w:r w:rsidRPr="00B63A38" w:rsidR="00B63A38">
              <w:rPr>
                <w:rFonts w:ascii="Times New Roman" w:hAnsi="Times New Roman" w:eastAsia="Times New Roman" w:cs="Times New Roman"/>
                <w:sz w:val="24"/>
                <w:szCs w:val="24"/>
                <w:lang w:eastAsia="lv-LV"/>
              </w:rPr>
              <w:t>Atbilstoši Ministru kabineta 2005.</w:t>
            </w:r>
            <w:r w:rsidR="00615B7B">
              <w:rPr>
                <w:rFonts w:ascii="Times New Roman" w:hAnsi="Times New Roman" w:eastAsia="Times New Roman" w:cs="Times New Roman"/>
                <w:sz w:val="24"/>
                <w:szCs w:val="24"/>
                <w:lang w:eastAsia="lv-LV"/>
              </w:rPr>
              <w:t>g</w:t>
            </w:r>
            <w:r w:rsidRPr="00B63A38" w:rsidR="00B63A38">
              <w:rPr>
                <w:rFonts w:ascii="Times New Roman" w:hAnsi="Times New Roman" w:eastAsia="Times New Roman" w:cs="Times New Roman"/>
                <w:sz w:val="24"/>
                <w:szCs w:val="24"/>
                <w:lang w:eastAsia="lv-LV"/>
              </w:rPr>
              <w:t>ada 4.</w:t>
            </w:r>
            <w:r w:rsidR="00C022F7">
              <w:rPr>
                <w:rFonts w:ascii="Times New Roman" w:hAnsi="Times New Roman" w:eastAsia="Times New Roman" w:cs="Times New Roman"/>
                <w:sz w:val="24"/>
                <w:szCs w:val="24"/>
                <w:lang w:eastAsia="lv-LV"/>
              </w:rPr>
              <w:t xml:space="preserve"> </w:t>
            </w:r>
            <w:r w:rsidRPr="00B63A38" w:rsidR="00B63A38">
              <w:rPr>
                <w:rFonts w:ascii="Times New Roman" w:hAnsi="Times New Roman" w:eastAsia="Times New Roman" w:cs="Times New Roman"/>
                <w:sz w:val="24"/>
                <w:szCs w:val="24"/>
                <w:lang w:eastAsia="lv-LV"/>
              </w:rPr>
              <w:t xml:space="preserve">oktobra noteikumiem Nr.754 </w:t>
            </w:r>
            <w:r w:rsidR="00B63A38">
              <w:rPr>
                <w:rFonts w:ascii="Times New Roman" w:hAnsi="Times New Roman" w:eastAsia="Times New Roman" w:cs="Times New Roman"/>
                <w:sz w:val="24"/>
                <w:szCs w:val="24"/>
                <w:lang w:eastAsia="lv-LV"/>
              </w:rPr>
              <w:t>"</w:t>
            </w:r>
            <w:r w:rsidRPr="00B63A38" w:rsidR="00B63A38">
              <w:rPr>
                <w:rFonts w:ascii="Times New Roman" w:hAnsi="Times New Roman" w:eastAsia="Times New Roman" w:cs="Times New Roman"/>
                <w:sz w:val="24"/>
                <w:szCs w:val="24"/>
                <w:lang w:eastAsia="lv-LV"/>
              </w:rPr>
              <w:t>Noteikumi par kriminālprocesuālo izdevumu atlīdzināšanas kārtību un apmēru</w:t>
            </w:r>
            <w:r w:rsidR="00B63A38">
              <w:rPr>
                <w:rFonts w:ascii="Times New Roman" w:hAnsi="Times New Roman" w:eastAsia="Times New Roman" w:cs="Times New Roman"/>
                <w:sz w:val="24"/>
                <w:szCs w:val="24"/>
                <w:lang w:eastAsia="lv-LV"/>
              </w:rPr>
              <w:t>".</w:t>
            </w:r>
          </w:p>
          <w:p w:rsidRPr="00BC2633" w:rsidR="000875A1" w:rsidP="007F5CF3" w:rsidRDefault="000875A1" w14:paraId="12DBBFF5" w14:textId="30FCF14D">
            <w:pPr>
              <w:spacing w:after="0" w:line="240" w:lineRule="auto"/>
              <w:jc w:val="both"/>
              <w:rPr>
                <w:rFonts w:ascii="Times New Roman" w:hAnsi="Times New Roman" w:eastAsia="Times New Roman" w:cs="Times New Roman"/>
                <w:sz w:val="24"/>
                <w:szCs w:val="24"/>
                <w:lang w:eastAsia="lv-LV"/>
              </w:rPr>
            </w:pPr>
          </w:p>
        </w:tc>
      </w:tr>
      <w:tr w:rsidRPr="00BC2633" w:rsidR="00DA326E" w:rsidTr="006F7C53" w14:paraId="5245BA7A" w14:textId="77777777">
        <w:trPr>
          <w:gridBefore w:val="1"/>
          <w:gridAfter w:val="1"/>
          <w:wBefore w:w="17" w:type="pct"/>
          <w:wAfter w:w="63" w:type="pct"/>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59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121" w:type="pct"/>
            <w:tcBorders>
              <w:top w:val="outset" w:color="414142" w:sz="6" w:space="0"/>
              <w:left w:val="outset" w:color="414142" w:sz="6" w:space="0"/>
              <w:bottom w:val="outset" w:color="414142" w:sz="6" w:space="0"/>
              <w:right w:val="outset" w:color="414142" w:sz="6" w:space="0"/>
            </w:tcBorders>
            <w:hideMark/>
          </w:tcPr>
          <w:p w:rsidRPr="00BC2633" w:rsidR="00FD3830" w:rsidP="007F5CF3" w:rsidRDefault="000875A1" w14:paraId="5D564945" w14:textId="72C1E439">
            <w:pPr>
              <w:spacing w:after="0" w:line="240" w:lineRule="auto"/>
              <w:jc w:val="both"/>
              <w:rPr>
                <w:rFonts w:ascii="Times New Roman" w:hAnsi="Times New Roman" w:eastAsia="Times New Roman" w:cs="Times New Roman"/>
                <w:sz w:val="24"/>
                <w:szCs w:val="24"/>
                <w:lang w:eastAsia="lv-LV"/>
              </w:rPr>
            </w:pPr>
            <w:r w:rsidRPr="000875A1">
              <w:rPr>
                <w:rFonts w:ascii="Times New Roman" w:hAnsi="Times New Roman" w:eastAsia="Times New Roman" w:cs="Times New Roman"/>
                <w:sz w:val="24"/>
                <w:szCs w:val="24"/>
                <w:lang w:eastAsia="lv-LV"/>
              </w:rPr>
              <w:t>Administratīvo izmaksu monetāru novērtējumu nav iespējams precīzi noteikt, jo tas ir atkarīgs no vairākiem apstākļiem.</w:t>
            </w:r>
          </w:p>
        </w:tc>
      </w:tr>
      <w:tr w:rsidRPr="00BC2633" w:rsidR="00DA326E" w:rsidTr="006F7C53" w14:paraId="2C02878A" w14:textId="77777777">
        <w:trPr>
          <w:gridBefore w:val="1"/>
          <w:gridAfter w:val="1"/>
          <w:wBefore w:w="17" w:type="pct"/>
          <w:wAfter w:w="63" w:type="pct"/>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A1552F" w:rsidP="007F5CF3" w:rsidRDefault="00A1552F"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599" w:type="pct"/>
            <w:tcBorders>
              <w:top w:val="outset" w:color="414142" w:sz="6" w:space="0"/>
              <w:left w:val="outset" w:color="414142" w:sz="6" w:space="0"/>
              <w:bottom w:val="outset" w:color="414142" w:sz="6" w:space="0"/>
              <w:right w:val="outset" w:color="414142" w:sz="6" w:space="0"/>
            </w:tcBorders>
          </w:tcPr>
          <w:p w:rsidRPr="00BC2633" w:rsidR="00A1552F" w:rsidP="007F5CF3" w:rsidRDefault="00A1552F"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121" w:type="pct"/>
            <w:tcBorders>
              <w:top w:val="outset" w:color="414142" w:sz="6" w:space="0"/>
              <w:left w:val="outset" w:color="414142" w:sz="6" w:space="0"/>
              <w:bottom w:val="outset" w:color="414142" w:sz="6" w:space="0"/>
              <w:right w:val="outset" w:color="414142" w:sz="6" w:space="0"/>
            </w:tcBorders>
          </w:tcPr>
          <w:p w:rsidRPr="00BC2633" w:rsidR="000875A1" w:rsidP="007F5CF3" w:rsidRDefault="000875A1" w14:paraId="0C5B7775" w14:textId="135D42F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 šo jomu neskar</w:t>
            </w:r>
            <w:r w:rsidR="002E54E6">
              <w:rPr>
                <w:rFonts w:ascii="Times New Roman" w:hAnsi="Times New Roman" w:eastAsia="Times New Roman" w:cs="Times New Roman"/>
                <w:sz w:val="24"/>
                <w:szCs w:val="24"/>
                <w:lang w:eastAsia="lv-LV"/>
              </w:rPr>
              <w:t>.</w:t>
            </w:r>
          </w:p>
        </w:tc>
      </w:tr>
      <w:tr w:rsidRPr="00BC2633" w:rsidR="00DA326E" w:rsidTr="006F7C53" w14:paraId="058C8E07" w14:textId="77777777">
        <w:trPr>
          <w:gridBefore w:val="1"/>
          <w:gridAfter w:val="1"/>
          <w:wBefore w:w="17" w:type="pct"/>
          <w:wAfter w:w="63" w:type="pct"/>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7F5CF3" w:rsidRDefault="00A1552F"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599" w:type="pct"/>
            <w:tcBorders>
              <w:top w:val="outset" w:color="414142" w:sz="6" w:space="0"/>
              <w:left w:val="outset" w:color="414142" w:sz="6" w:space="0"/>
              <w:bottom w:val="single" w:color="auto" w:sz="4" w:space="0"/>
              <w:right w:val="outset" w:color="414142" w:sz="6" w:space="0"/>
            </w:tcBorders>
            <w:hideMark/>
          </w:tcPr>
          <w:p w:rsidRPr="00BC2633" w:rsidR="004D15A9" w:rsidP="007F5CF3"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21" w:type="pct"/>
            <w:tcBorders>
              <w:top w:val="outset" w:color="414142" w:sz="6" w:space="0"/>
              <w:left w:val="outset" w:color="414142" w:sz="6" w:space="0"/>
              <w:bottom w:val="single" w:color="auto" w:sz="4" w:space="0"/>
              <w:right w:val="outset" w:color="414142" w:sz="6" w:space="0"/>
            </w:tcBorders>
            <w:hideMark/>
          </w:tcPr>
          <w:p w:rsidRPr="00BC2633" w:rsidR="004D15A9" w:rsidP="007F5CF3" w:rsidRDefault="004D15A9" w14:paraId="5CC17AB0" w14:textId="242C76FC">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59057E" w:rsidTr="006F7C53" w14:paraId="347A5AC7" w14:textId="77777777">
        <w:trPr>
          <w:gridBefore w:val="1"/>
          <w:gridAfter w:val="1"/>
          <w:wBefore w:w="17" w:type="pct"/>
          <w:wAfter w:w="63" w:type="pct"/>
          <w:trHeight w:val="360"/>
        </w:trPr>
        <w:tc>
          <w:tcPr>
            <w:tcW w:w="4920" w:type="pct"/>
            <w:gridSpan w:val="3"/>
            <w:tcBorders>
              <w:top w:val="single" w:color="auto" w:sz="4" w:space="0"/>
              <w:left w:val="nil"/>
              <w:bottom w:val="nil"/>
              <w:right w:val="nil"/>
            </w:tcBorders>
            <w:vAlign w:val="center"/>
          </w:tcPr>
          <w:p w:rsidR="00504BE1" w:rsidP="007F5CF3" w:rsidRDefault="00504BE1" w14:paraId="41A8FBFA" w14:textId="77777777">
            <w:pPr>
              <w:spacing w:after="0" w:line="240" w:lineRule="auto"/>
              <w:rPr>
                <w:rFonts w:ascii="Times New Roman" w:hAnsi="Times New Roman" w:eastAsia="Times New Roman" w:cs="Times New Roman"/>
                <w:sz w:val="24"/>
                <w:szCs w:val="24"/>
                <w:lang w:eastAsia="lv-LV"/>
              </w:rPr>
            </w:pPr>
          </w:p>
          <w:p w:rsidRPr="00504BE1" w:rsidR="006F7C53" w:rsidP="007F5CF3" w:rsidRDefault="006F7C53" w14:paraId="541E9657" w14:textId="4394E1D8">
            <w:pPr>
              <w:spacing w:after="0" w:line="240" w:lineRule="auto"/>
              <w:rPr>
                <w:rFonts w:ascii="Times New Roman" w:hAnsi="Times New Roman" w:eastAsia="Times New Roman" w:cs="Times New Roman"/>
                <w:sz w:val="24"/>
                <w:szCs w:val="24"/>
                <w:lang w:eastAsia="lv-LV"/>
              </w:rPr>
            </w:pPr>
          </w:p>
        </w:tc>
      </w:tr>
      <w:tr w:rsidRPr="00FE282F" w:rsidR="008E3C68" w:rsidTr="006F7C53" w14:paraId="507D92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5000" w:type="pct"/>
            <w:gridSpan w:val="5"/>
            <w:tcBorders>
              <w:top w:val="single" w:color="auto" w:sz="4" w:space="0"/>
              <w:left w:val="single" w:color="auto" w:sz="4" w:space="0"/>
              <w:bottom w:val="single" w:color="auto" w:sz="4" w:space="0"/>
              <w:right w:val="single" w:color="auto" w:sz="4" w:space="0"/>
            </w:tcBorders>
            <w:vAlign w:val="center"/>
            <w:hideMark/>
          </w:tcPr>
          <w:p w:rsidRPr="00FE282F" w:rsidR="008E3C68" w:rsidP="007F5CF3" w:rsidRDefault="008E3C68" w14:paraId="011CFF5F" w14:textId="77777777">
            <w:pPr>
              <w:spacing w:after="0" w:line="240" w:lineRule="auto"/>
              <w:jc w:val="center"/>
              <w:rPr>
                <w:rFonts w:ascii="Times New Roman" w:hAnsi="Times New Roman" w:eastAsia="Times New Roman" w:cs="Times New Roman"/>
                <w:b/>
                <w:bCs/>
                <w:sz w:val="24"/>
                <w:szCs w:val="24"/>
              </w:rPr>
            </w:pPr>
            <w:r w:rsidRPr="00FE282F">
              <w:rPr>
                <w:rFonts w:ascii="Times New Roman" w:hAnsi="Times New Roman" w:eastAsia="Times New Roman" w:cs="Times New Roman"/>
                <w:b/>
                <w:bCs/>
                <w:sz w:val="24"/>
                <w:szCs w:val="24"/>
              </w:rPr>
              <w:t>III. Tiesību akta projekta ietekme uz valsts budžetu un pašvaldību budžetiem</w:t>
            </w:r>
          </w:p>
        </w:tc>
      </w:tr>
      <w:tr w:rsidRPr="00FE282F" w:rsidR="00805F85" w:rsidTr="006F7C53" w14:paraId="541F2E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2"/>
        </w:trPr>
        <w:tc>
          <w:tcPr>
            <w:tcW w:w="5000" w:type="pct"/>
            <w:gridSpan w:val="5"/>
            <w:tcBorders>
              <w:top w:val="single" w:color="auto" w:sz="4" w:space="0"/>
              <w:left w:val="single" w:color="auto" w:sz="4" w:space="0"/>
              <w:right w:val="single" w:color="auto" w:sz="4" w:space="0"/>
            </w:tcBorders>
            <w:vAlign w:val="center"/>
          </w:tcPr>
          <w:p w:rsidRPr="00FE282F" w:rsidR="00805F85" w:rsidP="007F5CF3" w:rsidRDefault="00805F85" w14:paraId="1B3B7C60" w14:textId="504F75C1">
            <w:pPr>
              <w:spacing w:after="0" w:line="240" w:lineRule="auto"/>
              <w:jc w:val="center"/>
              <w:rPr>
                <w:rFonts w:ascii="Times New Roman" w:hAnsi="Times New Roman" w:eastAsia="Times New Roman" w:cs="Times New Roman"/>
                <w:bCs/>
                <w:sz w:val="24"/>
                <w:szCs w:val="24"/>
              </w:rPr>
            </w:pPr>
            <w:r w:rsidRPr="00805F85">
              <w:rPr>
                <w:rFonts w:ascii="Times New Roman" w:hAnsi="Times New Roman" w:eastAsia="Times New Roman" w:cs="Times New Roman"/>
                <w:bCs/>
                <w:sz w:val="24"/>
                <w:szCs w:val="24"/>
              </w:rPr>
              <w:t>Projekts šo jomu neskar.</w:t>
            </w:r>
          </w:p>
        </w:tc>
      </w:tr>
    </w:tbl>
    <w:p w:rsidR="004D15A9" w:rsidP="007F5CF3" w:rsidRDefault="004D15A9" w14:paraId="717F7F2B" w14:textId="4769DECB">
      <w:pPr>
        <w:spacing w:after="0" w:line="240" w:lineRule="auto"/>
        <w:rPr>
          <w:rFonts w:ascii="Times New Roman" w:hAnsi="Times New Roman" w:eastAsia="Times New Roman" w:cs="Times New Roman"/>
          <w:sz w:val="24"/>
          <w:szCs w:val="24"/>
          <w:lang w:eastAsia="lv-LV"/>
        </w:rPr>
      </w:pPr>
    </w:p>
    <w:p w:rsidR="006F7C53" w:rsidP="007F5CF3" w:rsidRDefault="006F7C53" w14:paraId="564F9DE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C2633" w:rsidR="00BC2633"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7F5CF3"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lastRenderedPageBreak/>
              <w:t>IV. Tiesību akta projekta ietekme uz spēkā esošo tiesību normu sistēmu</w:t>
            </w:r>
          </w:p>
        </w:tc>
      </w:tr>
      <w:tr w:rsidRPr="00BC2633" w:rsidR="00BC2633"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4FA8C30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A1552F" w14:paraId="184E9FDD" w14:textId="6D154F0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Pr="00BC2633"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0875A1" w:rsidP="007F5CF3" w:rsidRDefault="00841588" w14:paraId="1B579D3B" w14:textId="0263C64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Likumprojekts </w:t>
            </w:r>
            <w:r w:rsidRPr="00841588">
              <w:rPr>
                <w:rFonts w:ascii="Times New Roman" w:hAnsi="Times New Roman" w:eastAsia="Times New Roman" w:cs="Times New Roman"/>
                <w:sz w:val="24"/>
                <w:szCs w:val="24"/>
                <w:lang w:eastAsia="lv-LV"/>
              </w:rPr>
              <w:t>"</w:t>
            </w:r>
            <w:r w:rsidR="00B70E1A">
              <w:rPr>
                <w:rFonts w:ascii="Times New Roman" w:hAnsi="Times New Roman" w:eastAsia="Times New Roman" w:cs="Times New Roman"/>
                <w:sz w:val="24"/>
                <w:szCs w:val="24"/>
                <w:lang w:eastAsia="lv-LV"/>
              </w:rPr>
              <w:t>G</w:t>
            </w:r>
            <w:r>
              <w:rPr>
                <w:rFonts w:ascii="Times New Roman" w:hAnsi="Times New Roman" w:eastAsia="Times New Roman" w:cs="Times New Roman"/>
                <w:sz w:val="24"/>
                <w:szCs w:val="24"/>
                <w:lang w:eastAsia="lv-LV"/>
              </w:rPr>
              <w:t xml:space="preserve">rozījumi likumā </w:t>
            </w:r>
            <w:r w:rsidRPr="0084158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Par tiesu varu</w:t>
            </w:r>
            <w:r w:rsidRPr="0084158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ar kurā</w:t>
            </w:r>
            <w:r w:rsidRPr="00841588">
              <w:rPr>
                <w:rFonts w:ascii="Times New Roman" w:hAnsi="Times New Roman" w:eastAsia="Times New Roman" w:cs="Times New Roman"/>
                <w:sz w:val="24"/>
                <w:szCs w:val="24"/>
                <w:lang w:eastAsia="lv-LV"/>
              </w:rPr>
              <w:t xml:space="preserve"> paredzēto regulējumu institucionāli noteikta Ekonomisko lietu tiesa un dots uzdevums Tieslietu padomei </w:t>
            </w:r>
            <w:proofErr w:type="gramStart"/>
            <w:r w:rsidRPr="00841588">
              <w:rPr>
                <w:rFonts w:ascii="Times New Roman" w:hAnsi="Times New Roman" w:eastAsia="Times New Roman" w:cs="Times New Roman"/>
                <w:sz w:val="24"/>
                <w:szCs w:val="24"/>
                <w:lang w:eastAsia="lv-LV"/>
              </w:rPr>
              <w:t>noteikt tiesnešu skaitu Ekonomisko lietu tiesā</w:t>
            </w:r>
            <w:r w:rsidR="00382B0B">
              <w:rPr>
                <w:rFonts w:ascii="Times New Roman" w:hAnsi="Times New Roman" w:eastAsia="Times New Roman" w:cs="Times New Roman"/>
                <w:sz w:val="24"/>
                <w:szCs w:val="24"/>
                <w:lang w:eastAsia="lv-LV"/>
              </w:rPr>
              <w:t xml:space="preserve">, </w:t>
            </w:r>
            <w:r w:rsidRPr="00841588">
              <w:rPr>
                <w:rFonts w:ascii="Times New Roman" w:hAnsi="Times New Roman" w:eastAsia="Times New Roman" w:cs="Times New Roman"/>
                <w:sz w:val="24"/>
                <w:szCs w:val="24"/>
                <w:lang w:eastAsia="lv-LV"/>
              </w:rPr>
              <w:t>tiesas darbības teritoriju</w:t>
            </w:r>
            <w:proofErr w:type="gramEnd"/>
            <w:r w:rsidRPr="00841588">
              <w:rPr>
                <w:rFonts w:ascii="Times New Roman" w:hAnsi="Times New Roman" w:eastAsia="Times New Roman" w:cs="Times New Roman"/>
                <w:sz w:val="24"/>
                <w:szCs w:val="24"/>
                <w:lang w:eastAsia="lv-LV"/>
              </w:rPr>
              <w:t xml:space="preserve"> un atrašanā vietu.</w:t>
            </w:r>
            <w:r>
              <w:rPr>
                <w:rFonts w:ascii="Times New Roman" w:hAnsi="Times New Roman" w:eastAsia="Times New Roman" w:cs="Times New Roman"/>
                <w:sz w:val="24"/>
                <w:szCs w:val="24"/>
                <w:lang w:eastAsia="lv-LV"/>
              </w:rPr>
              <w:t xml:space="preserve"> </w:t>
            </w:r>
          </w:p>
        </w:tc>
      </w:tr>
      <w:tr w:rsidRPr="00BC2633" w:rsidR="00BC2633"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6FFE0E9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0083E25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633CB1" w14:paraId="5E8E47AB" w14:textId="3C98079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w:t>
            </w:r>
            <w:r w:rsidR="00EF5863">
              <w:rPr>
                <w:rFonts w:ascii="Times New Roman" w:hAnsi="Times New Roman" w:eastAsia="Times New Roman" w:cs="Times New Roman"/>
                <w:sz w:val="24"/>
                <w:szCs w:val="24"/>
                <w:lang w:eastAsia="lv-LV"/>
              </w:rPr>
              <w:t xml:space="preserve"> ministrija</w:t>
            </w:r>
          </w:p>
        </w:tc>
      </w:tr>
      <w:tr w:rsidRPr="00BC2633" w:rsidR="004D15A9"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6FFD461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6276FF2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0B7282" w:rsidP="007F5CF3" w:rsidRDefault="000F0436" w14:paraId="7EE11369" w14:textId="0260792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4D15A9" w:rsidP="007F5CF3" w:rsidRDefault="004D15A9" w14:paraId="2CBEBB46" w14:textId="0AD77DDD">
      <w:pPr>
        <w:spacing w:after="0" w:line="240" w:lineRule="auto"/>
        <w:rPr>
          <w:rFonts w:ascii="Times New Roman" w:hAnsi="Times New Roman" w:eastAsia="Times New Roman" w:cs="Times New Roman"/>
          <w:sz w:val="24"/>
          <w:szCs w:val="24"/>
          <w:lang w:eastAsia="lv-LV"/>
        </w:rPr>
      </w:pPr>
    </w:p>
    <w:p w:rsidRPr="00BC2633" w:rsidR="006F7C53" w:rsidP="007F5CF3" w:rsidRDefault="006F7C53" w14:paraId="08044B2D"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7F5CF3"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E45ECD" w:rsidTr="00E45ECD" w14:paraId="3D3E697F" w14:textId="77777777">
        <w:tc>
          <w:tcPr>
            <w:tcW w:w="5000" w:type="pct"/>
            <w:tcBorders>
              <w:top w:val="outset" w:color="414142" w:sz="6" w:space="0"/>
              <w:left w:val="outset" w:color="414142" w:sz="6" w:space="0"/>
              <w:bottom w:val="outset" w:color="414142" w:sz="6" w:space="0"/>
              <w:right w:val="outset" w:color="414142" w:sz="6" w:space="0"/>
            </w:tcBorders>
            <w:hideMark/>
          </w:tcPr>
          <w:p w:rsidRPr="00BC2633" w:rsidR="00E45ECD" w:rsidP="007F5CF3" w:rsidRDefault="00676236" w14:paraId="46F4ED3F" w14:textId="44675A9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004D15A9" w:rsidP="007F5CF3" w:rsidRDefault="004D15A9" w14:paraId="31665CF8" w14:textId="27C4A031">
      <w:pPr>
        <w:spacing w:after="0" w:line="240" w:lineRule="auto"/>
        <w:rPr>
          <w:rFonts w:ascii="Times New Roman" w:hAnsi="Times New Roman" w:eastAsia="Times New Roman" w:cs="Times New Roman"/>
          <w:sz w:val="24"/>
          <w:szCs w:val="24"/>
          <w:lang w:eastAsia="lv-LV"/>
        </w:rPr>
      </w:pPr>
    </w:p>
    <w:p w:rsidRPr="00BC2633" w:rsidR="006F7C53" w:rsidP="007F5CF3" w:rsidRDefault="006F7C53" w14:paraId="3D423D09" w14:textId="77777777">
      <w:pPr>
        <w:spacing w:after="0" w:line="240" w:lineRule="auto"/>
        <w:rPr>
          <w:rFonts w:ascii="Times New Roman" w:hAnsi="Times New Roman" w:eastAsia="Times New Roman" w:cs="Times New Roman"/>
          <w:vanish/>
          <w:sz w:val="24"/>
          <w:szCs w:val="24"/>
          <w:lang w:eastAsia="lv-LV"/>
        </w:rPr>
      </w:pPr>
    </w:p>
    <w:p w:rsidRPr="00BC2633" w:rsidR="004D15A9" w:rsidP="007F5CF3"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7F5CF3"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8220AE" w:rsidR="00091FFD" w:rsidP="007266EA" w:rsidRDefault="00091FFD" w14:paraId="298F5795" w14:textId="27330299">
            <w:pPr>
              <w:widowControl w:val="0"/>
              <w:spacing w:after="0" w:line="240" w:lineRule="auto"/>
              <w:jc w:val="both"/>
              <w:rPr>
                <w:rFonts w:ascii="Times New Roman" w:hAnsi="Times New Roman" w:eastAsia="Times New Roman"/>
                <w:sz w:val="24"/>
                <w:szCs w:val="24"/>
                <w:lang w:eastAsia="lv-LV"/>
              </w:rPr>
            </w:pPr>
            <w:r w:rsidRPr="00131B2A">
              <w:rPr>
                <w:rFonts w:ascii="Times New Roman" w:hAnsi="Times New Roman" w:eastAsia="Times New Roman"/>
                <w:sz w:val="24"/>
                <w:szCs w:val="24"/>
                <w:lang w:eastAsia="lv-LV"/>
              </w:rPr>
              <w:t xml:space="preserve">Atbilstoši Ministru kabineta 2009. gada 25. augusta noteikumiem Nr. 970 "Sabiedrības līdzdalības kārtība attīstības plānošanas procesā", lai informētu sabiedrību par projektu un dotu iespēju izteikt viedokli, </w:t>
            </w:r>
            <w:r w:rsidR="00BD03A6">
              <w:rPr>
                <w:rFonts w:ascii="Times New Roman" w:hAnsi="Times New Roman" w:eastAsia="Times New Roman"/>
                <w:sz w:val="24"/>
                <w:szCs w:val="24"/>
                <w:lang w:eastAsia="lv-LV"/>
              </w:rPr>
              <w:t xml:space="preserve">informācija par Likumprojektu </w:t>
            </w:r>
            <w:r w:rsidRPr="00131B2A" w:rsidR="00BD03A6">
              <w:rPr>
                <w:rFonts w:ascii="Times New Roman" w:hAnsi="Times New Roman" w:eastAsia="Times New Roman"/>
                <w:sz w:val="24"/>
                <w:szCs w:val="24"/>
                <w:lang w:eastAsia="lv-LV"/>
              </w:rPr>
              <w:t>ievietot</w:t>
            </w:r>
            <w:r w:rsidR="00BD03A6">
              <w:rPr>
                <w:rFonts w:ascii="Times New Roman" w:hAnsi="Times New Roman" w:eastAsia="Times New Roman"/>
                <w:sz w:val="24"/>
                <w:szCs w:val="24"/>
                <w:lang w:eastAsia="lv-LV"/>
              </w:rPr>
              <w:t>a</w:t>
            </w:r>
            <w:r w:rsidRPr="00131B2A" w:rsidR="00BD03A6">
              <w:rPr>
                <w:rFonts w:ascii="Times New Roman" w:hAnsi="Times New Roman" w:eastAsia="Times New Roman"/>
                <w:sz w:val="24"/>
                <w:szCs w:val="24"/>
                <w:lang w:eastAsia="lv-LV"/>
              </w:rPr>
              <w:t xml:space="preserve"> </w:t>
            </w:r>
            <w:r w:rsidRPr="00131B2A">
              <w:rPr>
                <w:rFonts w:ascii="Times New Roman" w:hAnsi="Times New Roman" w:eastAsia="Times New Roman"/>
                <w:sz w:val="24"/>
                <w:szCs w:val="24"/>
                <w:lang w:eastAsia="lv-LV"/>
              </w:rPr>
              <w:t>Tieslietu ministrijas un Valsts kancelejas mājaslapā.</w:t>
            </w:r>
            <w:r w:rsidR="00264A5A">
              <w:rPr>
                <w:rFonts w:ascii="Times New Roman" w:hAnsi="Times New Roman" w:eastAsia="Times New Roman" w:cs="Times New Roman"/>
                <w:sz w:val="24"/>
                <w:szCs w:val="24"/>
                <w:lang w:eastAsia="lv-LV"/>
              </w:rPr>
              <w:t xml:space="preserve"> </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1851ED" w:rsidR="00F049EA" w:rsidP="00F049EA" w:rsidRDefault="00F049EA" w14:paraId="0D8769D9" w14:textId="77777777">
            <w:pPr>
              <w:spacing w:after="0" w:line="240" w:lineRule="auto"/>
              <w:jc w:val="both"/>
              <w:rPr>
                <w:rFonts w:ascii="Times New Roman" w:hAnsi="Times New Roman" w:eastAsia="Times New Roman" w:cs="Times New Roman"/>
                <w:b/>
                <w:bCs/>
                <w:sz w:val="24"/>
                <w:szCs w:val="24"/>
                <w:lang w:eastAsia="lv-LV"/>
              </w:rPr>
            </w:pPr>
            <w:r w:rsidRPr="001851ED">
              <w:rPr>
                <w:rFonts w:ascii="Times New Roman" w:hAnsi="Times New Roman" w:eastAsia="Times New Roman" w:cs="Times New Roman"/>
                <w:b/>
                <w:bCs/>
                <w:sz w:val="24"/>
                <w:szCs w:val="24"/>
                <w:lang w:eastAsia="lv-LV"/>
              </w:rPr>
              <w:t xml:space="preserve">Sadarbībā ar Rīgas Juridisko augstskolu Tieslietu ministrija 2019. gada 17. jūlijā organizēja publisku diskusiju "Vai pienācis laiks specializētai tiesai?". Diskusiju panelī piedalījās uzņēmēju organizāciju pārstāvji (Latvijas Tirdzniecības un rūpniecības kameras priekšsēdētājs J. Endziņš, Ārvalstu investoru padomes Latvijā Investīciju aizsardzības un tiesu efektivitātes darba grupas vadītājs M. Vainovskis, kā arī Finanšu nozares asociācijas juridiskais padomnieks E. Pastars), kā arī tiesu varas un ar to saistīto institūciju pārstāvji </w:t>
            </w:r>
            <w:proofErr w:type="gramStart"/>
            <w:r w:rsidRPr="001851ED">
              <w:rPr>
                <w:rFonts w:ascii="Times New Roman" w:hAnsi="Times New Roman" w:eastAsia="Times New Roman" w:cs="Times New Roman"/>
                <w:b/>
                <w:bCs/>
                <w:sz w:val="24"/>
                <w:szCs w:val="24"/>
                <w:lang w:eastAsia="lv-LV"/>
              </w:rPr>
              <w:t>(</w:t>
            </w:r>
            <w:proofErr w:type="gramEnd"/>
            <w:r w:rsidRPr="001851ED">
              <w:rPr>
                <w:rFonts w:ascii="Times New Roman" w:hAnsi="Times New Roman" w:eastAsia="Times New Roman" w:cs="Times New Roman"/>
                <w:b/>
                <w:bCs/>
                <w:sz w:val="24"/>
                <w:szCs w:val="24"/>
                <w:lang w:eastAsia="lv-LV"/>
              </w:rPr>
              <w:t xml:space="preserve">Korupcijas novēršanas un apkarošanas biroja priekšnieks J.Straume, Ģenerālprokurors Ē. Kalnmeiers, Rīgas apgabaltiesas priekšsēdētāja D. Vilsone un Satversmes tiesas priekšsēdētāja I. Ziemele). Paneļa dalībnieki, kas pārstāv uzņēmēju vajadzības, pauda viennozīmīgu atbalstu specializētas tiesas izveidei, uzsverot, ka šis jautājums ir risināms nekavējoties. Arī paneļa dalībnieki, kas pārstāvēja tiesu varu un ar to saistītās institūcijas, pauda atbalstošu pozīciju specializētas tiesas – ekonomisko lietu tiesas izveidei. </w:t>
            </w:r>
          </w:p>
          <w:p w:rsidRPr="001851ED" w:rsidR="00F049EA" w:rsidP="00F049EA" w:rsidRDefault="00F049EA" w14:paraId="1EF45E5C" w14:textId="77777777">
            <w:pPr>
              <w:spacing w:after="0" w:line="240" w:lineRule="auto"/>
              <w:ind w:firstLine="685"/>
              <w:jc w:val="both"/>
              <w:rPr>
                <w:b/>
                <w:bCs/>
              </w:rPr>
            </w:pPr>
            <w:r w:rsidRPr="001851ED">
              <w:rPr>
                <w:rFonts w:ascii="Times New Roman" w:hAnsi="Times New Roman" w:eastAsia="Times New Roman" w:cs="Times New Roman"/>
                <w:b/>
                <w:bCs/>
                <w:sz w:val="24"/>
                <w:szCs w:val="24"/>
                <w:lang w:eastAsia="lv-LV"/>
              </w:rPr>
              <w:t xml:space="preserve">2019. gada 20. augustā, izskatot Ziņojumu, Ministru kabinets atbalstīja tajā ietvertos pasākumus, </w:t>
            </w:r>
            <w:proofErr w:type="gramStart"/>
            <w:r w:rsidRPr="001851ED">
              <w:rPr>
                <w:rFonts w:ascii="Times New Roman" w:hAnsi="Times New Roman" w:eastAsia="Times New Roman" w:cs="Times New Roman"/>
                <w:b/>
                <w:bCs/>
                <w:sz w:val="24"/>
                <w:szCs w:val="24"/>
                <w:lang w:eastAsia="lv-LV"/>
              </w:rPr>
              <w:t>līdz ar ko tika izstrādāts Likumprojekts</w:t>
            </w:r>
            <w:proofErr w:type="gramEnd"/>
            <w:r w:rsidRPr="001851ED">
              <w:rPr>
                <w:rFonts w:ascii="Times New Roman" w:hAnsi="Times New Roman" w:eastAsia="Times New Roman" w:cs="Times New Roman"/>
                <w:b/>
                <w:bCs/>
                <w:sz w:val="24"/>
                <w:szCs w:val="24"/>
                <w:lang w:eastAsia="lv-LV"/>
              </w:rPr>
              <w:t xml:space="preserve">. Minētais Ziņojums ir publiski pieejams interneta vietnē: </w:t>
            </w:r>
            <w:hyperlink w:history="1" r:id="rId10">
              <w:r w:rsidRPr="001851ED">
                <w:rPr>
                  <w:rStyle w:val="Hipersaite"/>
                  <w:rFonts w:ascii="Times New Roman" w:hAnsi="Times New Roman" w:eastAsia="Times New Roman" w:cs="Times New Roman"/>
                  <w:b/>
                  <w:bCs/>
                  <w:sz w:val="24"/>
                  <w:szCs w:val="24"/>
                  <w:lang w:eastAsia="lv-LV"/>
                </w:rPr>
                <w:t>https://likumi.lv/ta/id/308908-par-konceptualo-zinojumu-par-ekonomisko-lietu-tiesas-izveidi</w:t>
              </w:r>
            </w:hyperlink>
            <w:proofErr w:type="gramStart"/>
            <w:r w:rsidRPr="001851ED">
              <w:rPr>
                <w:rFonts w:ascii="Times New Roman" w:hAnsi="Times New Roman" w:eastAsia="Times New Roman" w:cs="Times New Roman"/>
                <w:b/>
                <w:bCs/>
                <w:sz w:val="24"/>
                <w:szCs w:val="24"/>
                <w:lang w:eastAsia="lv-LV"/>
              </w:rPr>
              <w:t xml:space="preserve">   </w:t>
            </w:r>
            <w:proofErr w:type="gramEnd"/>
          </w:p>
          <w:p w:rsidRPr="00F82B77" w:rsidR="008220AE" w:rsidP="007266EA" w:rsidRDefault="000A2CF6" w14:paraId="1EE08E29" w14:textId="78827866">
            <w:pPr>
              <w:spacing w:after="0" w:line="240" w:lineRule="auto"/>
              <w:jc w:val="both"/>
              <w:rPr>
                <w:rFonts w:ascii="Times New Roman" w:hAnsi="Times New Roman" w:eastAsia="Times New Roman"/>
                <w:sz w:val="24"/>
                <w:szCs w:val="24"/>
                <w:lang w:eastAsia="lv-LV"/>
              </w:rPr>
            </w:pPr>
            <w:r w:rsidRPr="000A2CF6">
              <w:rPr>
                <w:rFonts w:ascii="Times New Roman" w:hAnsi="Times New Roman" w:eastAsia="Times New Roman"/>
                <w:sz w:val="24"/>
                <w:szCs w:val="24"/>
                <w:lang w:eastAsia="lv-LV"/>
              </w:rPr>
              <w:lastRenderedPageBreak/>
              <w:t xml:space="preserve">Lai informētu sabiedrību par </w:t>
            </w:r>
            <w:r>
              <w:rPr>
                <w:rFonts w:ascii="Times New Roman" w:hAnsi="Times New Roman" w:eastAsia="Times New Roman"/>
                <w:sz w:val="24"/>
                <w:szCs w:val="24"/>
                <w:lang w:eastAsia="lv-LV"/>
              </w:rPr>
              <w:t>L</w:t>
            </w:r>
            <w:r w:rsidRPr="000A2CF6">
              <w:rPr>
                <w:rFonts w:ascii="Times New Roman" w:hAnsi="Times New Roman" w:eastAsia="Times New Roman"/>
                <w:sz w:val="24"/>
                <w:szCs w:val="24"/>
                <w:lang w:eastAsia="lv-LV"/>
              </w:rPr>
              <w:t xml:space="preserve">ikumprojektu un dotu iespēju izteikt viedokli, 2019. gada </w:t>
            </w:r>
            <w:r w:rsidR="00457660">
              <w:rPr>
                <w:rFonts w:ascii="Times New Roman" w:hAnsi="Times New Roman" w:eastAsia="Times New Roman"/>
                <w:sz w:val="24"/>
                <w:szCs w:val="24"/>
                <w:lang w:eastAsia="lv-LV"/>
              </w:rPr>
              <w:t>10. decembrī</w:t>
            </w:r>
            <w:r w:rsidRPr="00457660">
              <w:rPr>
                <w:rFonts w:ascii="Times New Roman" w:hAnsi="Times New Roman" w:eastAsia="Times New Roman"/>
                <w:sz w:val="24"/>
                <w:szCs w:val="24"/>
                <w:lang w:eastAsia="lv-LV"/>
              </w:rPr>
              <w:t xml:space="preserve"> informācija par likumprojektu ievietota Tieslietu ministrijas tīmekļa vietnē un iesniegts Valsts kancelejā publicēšanai </w:t>
            </w:r>
            <w:proofErr w:type="gramStart"/>
            <w:r w:rsidRPr="00457660">
              <w:rPr>
                <w:rFonts w:ascii="Times New Roman" w:hAnsi="Times New Roman" w:eastAsia="Times New Roman"/>
                <w:sz w:val="24"/>
                <w:szCs w:val="24"/>
                <w:lang w:eastAsia="lv-LV"/>
              </w:rPr>
              <w:t>mājas lapā</w:t>
            </w:r>
            <w:proofErr w:type="gramEnd"/>
            <w:r w:rsidRPr="00457660">
              <w:rPr>
                <w:rFonts w:ascii="Times New Roman" w:hAnsi="Times New Roman" w:eastAsia="Times New Roman"/>
                <w:sz w:val="24"/>
                <w:szCs w:val="24"/>
                <w:lang w:eastAsia="lv-LV"/>
              </w:rPr>
              <w:t xml:space="preserve">, aicinot viedokļus par likumprojektu sniegt līdz </w:t>
            </w:r>
            <w:r w:rsidR="00457660">
              <w:rPr>
                <w:rFonts w:ascii="Times New Roman" w:hAnsi="Times New Roman" w:eastAsia="Times New Roman"/>
                <w:sz w:val="24"/>
                <w:szCs w:val="24"/>
                <w:lang w:eastAsia="lv-LV"/>
              </w:rPr>
              <w:t>13. decembrim pl</w:t>
            </w:r>
            <w:r w:rsidR="007266EA">
              <w:rPr>
                <w:rFonts w:ascii="Times New Roman" w:hAnsi="Times New Roman" w:eastAsia="Times New Roman"/>
                <w:sz w:val="24"/>
                <w:szCs w:val="24"/>
                <w:lang w:eastAsia="lv-LV"/>
              </w:rPr>
              <w:t>kst</w:t>
            </w:r>
            <w:r w:rsidR="00457660">
              <w:rPr>
                <w:rFonts w:ascii="Times New Roman" w:hAnsi="Times New Roman" w:eastAsia="Times New Roman"/>
                <w:sz w:val="24"/>
                <w:szCs w:val="24"/>
                <w:lang w:eastAsia="lv-LV"/>
              </w:rPr>
              <w:t>.10</w:t>
            </w:r>
            <w:r w:rsidR="007266EA">
              <w:rPr>
                <w:rFonts w:ascii="Times New Roman" w:hAnsi="Times New Roman" w:eastAsia="Times New Roman"/>
                <w:sz w:val="24"/>
                <w:szCs w:val="24"/>
                <w:lang w:eastAsia="lv-LV"/>
              </w:rPr>
              <w:t>:</w:t>
            </w:r>
            <w:r w:rsidR="00457660">
              <w:rPr>
                <w:rFonts w:ascii="Times New Roman" w:hAnsi="Times New Roman" w:eastAsia="Times New Roman"/>
                <w:sz w:val="24"/>
                <w:szCs w:val="24"/>
                <w:lang w:eastAsia="lv-LV"/>
              </w:rPr>
              <w:t>00</w:t>
            </w:r>
            <w:r w:rsidRPr="00457660">
              <w:rPr>
                <w:rFonts w:ascii="Times New Roman" w:hAnsi="Times New Roman" w:eastAsia="Times New Roman"/>
                <w:sz w:val="24"/>
                <w:szCs w:val="24"/>
                <w:lang w:eastAsia="lv-LV"/>
              </w:rPr>
              <w:t>.</w:t>
            </w:r>
          </w:p>
        </w:tc>
      </w:tr>
      <w:tr w:rsidRPr="00BC2633" w:rsidR="00BC2633"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F049EA" w:rsidR="001515F7" w:rsidP="00C50933" w:rsidRDefault="00C50933" w14:paraId="37778D96" w14:textId="77777777">
            <w:pPr>
              <w:spacing w:after="0" w:line="240" w:lineRule="auto"/>
              <w:jc w:val="both"/>
              <w:rPr>
                <w:rFonts w:ascii="Times New Roman" w:hAnsi="Times New Roman" w:eastAsia="Times New Roman"/>
                <w:sz w:val="24"/>
                <w:szCs w:val="24"/>
                <w:lang w:eastAsia="lv-LV"/>
              </w:rPr>
            </w:pPr>
            <w:r w:rsidRPr="00C50933">
              <w:rPr>
                <w:rFonts w:ascii="Times New Roman" w:hAnsi="Times New Roman" w:eastAsia="Times New Roman"/>
                <w:sz w:val="24"/>
                <w:szCs w:val="24"/>
                <w:lang w:eastAsia="lv-LV"/>
              </w:rPr>
              <w:t xml:space="preserve">Pēc likumprojekta ievietošanas Tieslietu ministrijas un Valsts kancelejas mājaslapā sabiedrības līdzdalības nodrošināšanai </w:t>
            </w:r>
            <w:r w:rsidRPr="00F049EA">
              <w:rPr>
                <w:rFonts w:ascii="Times New Roman" w:hAnsi="Times New Roman" w:eastAsia="Times New Roman"/>
                <w:sz w:val="24"/>
                <w:szCs w:val="24"/>
                <w:lang w:eastAsia="lv-LV"/>
              </w:rPr>
              <w:t>par likumprojektu saņemti vairāki priekšlikumi.</w:t>
            </w:r>
          </w:p>
          <w:p w:rsidRPr="001851ED" w:rsidR="001515F7" w:rsidP="00C50933" w:rsidRDefault="001515F7" w14:paraId="05195207" w14:textId="0F3A5030">
            <w:pPr>
              <w:spacing w:after="0" w:line="240" w:lineRule="auto"/>
              <w:jc w:val="both"/>
              <w:rPr>
                <w:rFonts w:ascii="Times New Roman" w:hAnsi="Times New Roman" w:eastAsia="Times New Roman"/>
                <w:sz w:val="24"/>
                <w:szCs w:val="24"/>
                <w:lang w:eastAsia="lv-LV"/>
              </w:rPr>
            </w:pPr>
            <w:r w:rsidRPr="001851ED">
              <w:rPr>
                <w:rFonts w:ascii="Times New Roman" w:hAnsi="Times New Roman" w:eastAsia="Times New Roman"/>
                <w:sz w:val="24"/>
                <w:szCs w:val="24"/>
                <w:lang w:eastAsia="lv-LV"/>
              </w:rPr>
              <w:t>Kurzemes</w:t>
            </w:r>
            <w:r w:rsidRPr="001851ED" w:rsidR="00C50933">
              <w:rPr>
                <w:rFonts w:ascii="Times New Roman" w:hAnsi="Times New Roman" w:eastAsia="Times New Roman"/>
                <w:sz w:val="24"/>
                <w:szCs w:val="24"/>
                <w:lang w:eastAsia="lv-LV"/>
              </w:rPr>
              <w:t xml:space="preserve"> apgabaltiesas priekšsēdētāja norādījusi uz </w:t>
            </w:r>
            <w:r w:rsidRPr="001851ED">
              <w:rPr>
                <w:rFonts w:ascii="Times New Roman" w:hAnsi="Times New Roman" w:eastAsia="Times New Roman"/>
                <w:sz w:val="24"/>
                <w:szCs w:val="24"/>
                <w:lang w:eastAsia="lv-LV"/>
              </w:rPr>
              <w:t xml:space="preserve">vairākiem apstākļiem: </w:t>
            </w:r>
          </w:p>
          <w:p w:rsidRPr="001851ED" w:rsidR="001515F7" w:rsidP="001515F7" w:rsidRDefault="001515F7" w14:paraId="338F2D08" w14:textId="19021174">
            <w:pPr>
              <w:spacing w:after="0" w:line="240" w:lineRule="auto"/>
              <w:jc w:val="both"/>
              <w:rPr>
                <w:rFonts w:ascii="Times New Roman" w:hAnsi="Times New Roman" w:eastAsia="Times New Roman"/>
                <w:sz w:val="24"/>
                <w:szCs w:val="24"/>
                <w:lang w:eastAsia="lv-LV"/>
              </w:rPr>
            </w:pPr>
            <w:r w:rsidRPr="001851ED">
              <w:rPr>
                <w:rFonts w:ascii="Times New Roman" w:hAnsi="Times New Roman" w:eastAsia="Times New Roman"/>
                <w:sz w:val="24"/>
                <w:szCs w:val="24"/>
                <w:lang w:eastAsia="lv-LV"/>
              </w:rPr>
              <w:t xml:space="preserve">Pārskatot plānotos grozījumus par Ekonomisko lietu tiesai piekritīgajām krimināllietu kategorijām, redzams, ka tās ir lietas ar kvalificētiem noziegumu sastāviem, pārsvarā ar pazīmi - lielā apmērā. Tas nozīmē, ka lietas ar pamata noziegumu sastāviem arī turpmāk izskatīs jebkura pirmās instances tiesa. Ja konkrētais noziedzīgais nodarījums ir kopumā atzīts par tādu, kura iztiesāšana veicama specializētajā tiesā, tad loģiski būtu noteikt visu grozījumu projektā minēto lietu nodošanu specializētajai tiesai, neatkarīgi no apmēra un panta daļas.  Priekšlikums daļēji ņemts vērā, anotācija sniedzot skaidrojumu, kādēļ Ekonomisko lietu tiesai tiek nodotas smagāka rakstura lietas. Tāpat anotācija papildināta ar norādi, </w:t>
            </w:r>
            <w:proofErr w:type="gramStart"/>
            <w:r w:rsidRPr="001851ED">
              <w:rPr>
                <w:rFonts w:ascii="Times New Roman" w:hAnsi="Times New Roman" w:eastAsia="Times New Roman"/>
                <w:sz w:val="24"/>
                <w:szCs w:val="24"/>
                <w:lang w:eastAsia="lv-LV"/>
              </w:rPr>
              <w:t>ka</w:t>
            </w:r>
            <w:proofErr w:type="gramEnd"/>
            <w:r w:rsidRPr="001851ED">
              <w:rPr>
                <w:rFonts w:ascii="Times New Roman" w:hAnsi="Times New Roman" w:eastAsia="Times New Roman"/>
                <w:sz w:val="24"/>
                <w:szCs w:val="24"/>
                <w:lang w:eastAsia="lv-LV"/>
              </w:rPr>
              <w:t xml:space="preserve"> vērtējot Ekonomisko lietu tiesas kapacitāti, nākotnē tā varētu skatīt visu grozījumu projektā minēt</w:t>
            </w:r>
            <w:r w:rsidRPr="001851ED" w:rsidR="00F049EA">
              <w:rPr>
                <w:rFonts w:ascii="Times New Roman" w:hAnsi="Times New Roman" w:eastAsia="Times New Roman"/>
                <w:sz w:val="24"/>
                <w:szCs w:val="24"/>
                <w:lang w:eastAsia="lv-LV"/>
              </w:rPr>
              <w:t>ās lietas</w:t>
            </w:r>
            <w:r w:rsidRPr="001851ED">
              <w:rPr>
                <w:rFonts w:ascii="Times New Roman" w:hAnsi="Times New Roman" w:eastAsia="Times New Roman"/>
                <w:sz w:val="24"/>
                <w:szCs w:val="24"/>
                <w:lang w:eastAsia="lv-LV"/>
              </w:rPr>
              <w:t>, neatkarīgi no apmēra un panta daļas, lai nodrošinātu, ka tie noziedzīgie nodarījumi, kas būtiski ietekmē investīciju vidi, tiek izskatīti tiesās ātri un profesionāli.</w:t>
            </w:r>
          </w:p>
          <w:p w:rsidRPr="001851ED" w:rsidR="001515F7" w:rsidP="001515F7" w:rsidRDefault="00F049EA" w14:paraId="16BF6141" w14:textId="117F9EDC">
            <w:pPr>
              <w:spacing w:after="0" w:line="240" w:lineRule="auto"/>
              <w:jc w:val="both"/>
              <w:rPr>
                <w:rFonts w:ascii="Times New Roman" w:hAnsi="Times New Roman" w:eastAsia="Times New Roman"/>
                <w:sz w:val="24"/>
                <w:szCs w:val="24"/>
                <w:lang w:eastAsia="lv-LV"/>
              </w:rPr>
            </w:pPr>
            <w:r w:rsidRPr="001851ED">
              <w:rPr>
                <w:rFonts w:ascii="Times New Roman" w:hAnsi="Times New Roman" w:eastAsia="Times New Roman"/>
                <w:sz w:val="24"/>
                <w:szCs w:val="24"/>
                <w:lang w:eastAsia="lv-LV"/>
              </w:rPr>
              <w:t xml:space="preserve">Tāpat izteiktas bažas, vai saistībā ar </w:t>
            </w:r>
            <w:r w:rsidRPr="001851ED" w:rsidR="00126667">
              <w:rPr>
                <w:rFonts w:ascii="Times New Roman" w:hAnsi="Times New Roman" w:eastAsia="Times New Roman"/>
                <w:sz w:val="24"/>
                <w:szCs w:val="24"/>
                <w:lang w:eastAsia="lv-LV"/>
              </w:rPr>
              <w:t>Kriminālprocesa likuma</w:t>
            </w:r>
            <w:r w:rsidRPr="001851ED" w:rsidR="001515F7">
              <w:rPr>
                <w:rFonts w:ascii="Times New Roman" w:hAnsi="Times New Roman" w:eastAsia="Times New Roman"/>
                <w:sz w:val="24"/>
                <w:szCs w:val="24"/>
                <w:lang w:eastAsia="lv-LV"/>
              </w:rPr>
              <w:t xml:space="preserve"> 442.</w:t>
            </w:r>
            <w:r w:rsidRPr="001851ED" w:rsidR="00126667">
              <w:rPr>
                <w:rFonts w:ascii="Times New Roman" w:hAnsi="Times New Roman" w:eastAsia="Times New Roman"/>
                <w:sz w:val="24"/>
                <w:szCs w:val="24"/>
                <w:lang w:eastAsia="lv-LV"/>
              </w:rPr>
              <w:t xml:space="preserve"> </w:t>
            </w:r>
            <w:r w:rsidRPr="001851ED" w:rsidR="001515F7">
              <w:rPr>
                <w:rFonts w:ascii="Times New Roman" w:hAnsi="Times New Roman" w:eastAsia="Times New Roman"/>
                <w:sz w:val="24"/>
                <w:szCs w:val="24"/>
                <w:lang w:eastAsia="lv-LV"/>
              </w:rPr>
              <w:t>panta grozījumu pēdēj</w:t>
            </w:r>
            <w:r w:rsidRPr="001851ED" w:rsidR="00126667">
              <w:rPr>
                <w:rFonts w:ascii="Times New Roman" w:hAnsi="Times New Roman" w:eastAsia="Times New Roman"/>
                <w:sz w:val="24"/>
                <w:szCs w:val="24"/>
                <w:lang w:eastAsia="lv-LV"/>
              </w:rPr>
              <w:t xml:space="preserve">o </w:t>
            </w:r>
            <w:r w:rsidRPr="001851ED" w:rsidR="001515F7">
              <w:rPr>
                <w:rFonts w:ascii="Times New Roman" w:hAnsi="Times New Roman" w:eastAsia="Times New Roman"/>
                <w:sz w:val="24"/>
                <w:szCs w:val="24"/>
                <w:lang w:eastAsia="lv-LV"/>
              </w:rPr>
              <w:t>teikum</w:t>
            </w:r>
            <w:r w:rsidRPr="001851ED" w:rsidR="00126667">
              <w:rPr>
                <w:rFonts w:ascii="Times New Roman" w:hAnsi="Times New Roman" w:eastAsia="Times New Roman"/>
                <w:sz w:val="24"/>
                <w:szCs w:val="24"/>
                <w:lang w:eastAsia="lv-LV"/>
              </w:rPr>
              <w:t>u</w:t>
            </w:r>
            <w:r w:rsidRPr="001851ED" w:rsidR="001515F7">
              <w:rPr>
                <w:rFonts w:ascii="Times New Roman" w:hAnsi="Times New Roman" w:eastAsia="Times New Roman"/>
                <w:sz w:val="24"/>
                <w:szCs w:val="24"/>
                <w:lang w:eastAsia="lv-LV"/>
              </w:rPr>
              <w:t xml:space="preserve">, saskaņā ar kuru, ja smagākais noziegums būs piekritīgs </w:t>
            </w:r>
            <w:r w:rsidRPr="001851ED" w:rsidR="00126667">
              <w:rPr>
                <w:rFonts w:ascii="Times New Roman" w:hAnsi="Times New Roman" w:eastAsia="Times New Roman"/>
                <w:sz w:val="24"/>
                <w:szCs w:val="24"/>
                <w:lang w:eastAsia="lv-LV"/>
              </w:rPr>
              <w:t>rajona (pilsētas)</w:t>
            </w:r>
            <w:r w:rsidRPr="001851ED" w:rsidR="001515F7">
              <w:rPr>
                <w:rFonts w:ascii="Times New Roman" w:hAnsi="Times New Roman" w:eastAsia="Times New Roman"/>
                <w:sz w:val="24"/>
                <w:szCs w:val="24"/>
                <w:lang w:eastAsia="lv-LV"/>
              </w:rPr>
              <w:t xml:space="preserve"> tiesai, tad tā skatīs arī Ekonomisko lietu tiesas kompetencē ietilpstošu noziegumu</w:t>
            </w:r>
            <w:r w:rsidRPr="001851ED">
              <w:rPr>
                <w:rFonts w:ascii="Times New Roman" w:hAnsi="Times New Roman" w:eastAsia="Times New Roman"/>
                <w:sz w:val="24"/>
                <w:szCs w:val="24"/>
                <w:lang w:eastAsia="lv-LV"/>
              </w:rPr>
              <w:t xml:space="preserve">, </w:t>
            </w:r>
            <w:r w:rsidRPr="001851ED" w:rsidR="001515F7">
              <w:rPr>
                <w:rFonts w:ascii="Times New Roman" w:hAnsi="Times New Roman" w:eastAsia="Times New Roman"/>
                <w:sz w:val="24"/>
                <w:szCs w:val="24"/>
                <w:lang w:eastAsia="lv-LV"/>
              </w:rPr>
              <w:t>netiks pārkāpta likumā noteiktā kompetence lietu izskatīšanā</w:t>
            </w:r>
            <w:r w:rsidRPr="001851ED">
              <w:rPr>
                <w:rFonts w:ascii="Times New Roman" w:hAnsi="Times New Roman" w:eastAsia="Times New Roman"/>
                <w:sz w:val="24"/>
                <w:szCs w:val="24"/>
                <w:lang w:eastAsia="lv-LV"/>
              </w:rPr>
              <w:t xml:space="preserve">. </w:t>
            </w:r>
            <w:r w:rsidRPr="001851ED" w:rsidR="005E5ECE">
              <w:rPr>
                <w:rFonts w:ascii="Times New Roman" w:hAnsi="Times New Roman" w:eastAsia="Times New Roman"/>
                <w:sz w:val="24"/>
                <w:szCs w:val="24"/>
                <w:lang w:eastAsia="lv-LV"/>
              </w:rPr>
              <w:t>Priekšlikums daļēji ņemts vērā, attiecīgi papildinot anotāciju ar skaidrojumu, kādēļ izvēlēts tieši šāds kritērijs.</w:t>
            </w:r>
          </w:p>
          <w:p w:rsidRPr="001851ED" w:rsidR="001515F7" w:rsidP="001515F7" w:rsidRDefault="00F049EA" w14:paraId="4702A9D1" w14:textId="67FE1AD6">
            <w:pPr>
              <w:spacing w:after="0" w:line="240" w:lineRule="auto"/>
              <w:jc w:val="both"/>
              <w:rPr>
                <w:rFonts w:ascii="Times New Roman" w:hAnsi="Times New Roman" w:eastAsia="Times New Roman"/>
                <w:sz w:val="24"/>
                <w:szCs w:val="24"/>
                <w:lang w:eastAsia="lv-LV"/>
              </w:rPr>
            </w:pPr>
            <w:r w:rsidRPr="001851ED">
              <w:rPr>
                <w:rFonts w:ascii="Times New Roman" w:hAnsi="Times New Roman" w:eastAsia="Times New Roman"/>
                <w:sz w:val="24"/>
                <w:szCs w:val="24"/>
                <w:lang w:eastAsia="lv-LV"/>
              </w:rPr>
              <w:t>Norādīts, ka n</w:t>
            </w:r>
            <w:r w:rsidRPr="001851ED" w:rsidR="001515F7">
              <w:rPr>
                <w:rFonts w:ascii="Times New Roman" w:hAnsi="Times New Roman" w:eastAsia="Times New Roman"/>
                <w:sz w:val="24"/>
                <w:szCs w:val="24"/>
                <w:lang w:eastAsia="lv-LV"/>
              </w:rPr>
              <w:t>e anotācijā, ne grozījumos nekas nav minēts par Krimināllikuma VIII</w:t>
            </w:r>
            <w:r w:rsidRPr="001851ED" w:rsidR="001515F7">
              <w:rPr>
                <w:rFonts w:ascii="Times New Roman" w:hAnsi="Times New Roman" w:eastAsia="Times New Roman"/>
                <w:sz w:val="24"/>
                <w:szCs w:val="24"/>
                <w:vertAlign w:val="superscript"/>
                <w:lang w:eastAsia="lv-LV"/>
              </w:rPr>
              <w:t>1</w:t>
            </w:r>
            <w:r w:rsidRPr="001851ED" w:rsidR="001515F7">
              <w:rPr>
                <w:rFonts w:ascii="Times New Roman" w:hAnsi="Times New Roman" w:eastAsia="Times New Roman"/>
                <w:sz w:val="24"/>
                <w:szCs w:val="24"/>
                <w:lang w:eastAsia="lv-LV"/>
              </w:rPr>
              <w:t xml:space="preserve"> nodaļas "Juridiskajām personām piemērojamie piespiedu ietekmēšanas līdzekļi</w:t>
            </w:r>
            <w:r w:rsidRPr="001851ED" w:rsidR="00126667">
              <w:rPr>
                <w:rFonts w:ascii="Times New Roman" w:hAnsi="Times New Roman" w:eastAsia="Times New Roman"/>
                <w:sz w:val="24"/>
                <w:szCs w:val="24"/>
                <w:lang w:eastAsia="lv-LV"/>
              </w:rPr>
              <w:t>"</w:t>
            </w:r>
            <w:r w:rsidRPr="001851ED" w:rsidR="001515F7">
              <w:rPr>
                <w:rFonts w:ascii="Times New Roman" w:hAnsi="Times New Roman" w:eastAsia="Times New Roman"/>
                <w:sz w:val="24"/>
                <w:szCs w:val="24"/>
                <w:lang w:eastAsia="lv-LV"/>
              </w:rPr>
              <w:t xml:space="preserve"> piemērošanas kompetenci, kas būtu iekļaujama Ekonomisko lietu tiesas kompetencē saistībā ar tiesai piekritīgajiem noziegumiem</w:t>
            </w:r>
            <w:r w:rsidRPr="001851ED" w:rsidR="00126667">
              <w:rPr>
                <w:rFonts w:ascii="Times New Roman" w:hAnsi="Times New Roman" w:eastAsia="Times New Roman"/>
                <w:sz w:val="24"/>
                <w:szCs w:val="24"/>
                <w:lang w:eastAsia="lv-LV"/>
              </w:rPr>
              <w:t xml:space="preserve">. Priekšlikums ņemts vērā, attiecīgi papildinot anotāciju. </w:t>
            </w:r>
            <w:r w:rsidRPr="001851ED" w:rsidR="001515F7">
              <w:rPr>
                <w:rFonts w:ascii="Times New Roman" w:hAnsi="Times New Roman" w:eastAsia="Times New Roman"/>
                <w:sz w:val="24"/>
                <w:szCs w:val="24"/>
                <w:lang w:eastAsia="lv-LV"/>
              </w:rPr>
              <w:t xml:space="preserve"> </w:t>
            </w:r>
          </w:p>
          <w:p w:rsidRPr="001851ED" w:rsidR="001515F7" w:rsidP="001515F7" w:rsidRDefault="00F049EA" w14:paraId="5BB53F71" w14:textId="4EEAA22F">
            <w:pPr>
              <w:spacing w:after="0" w:line="240" w:lineRule="auto"/>
              <w:jc w:val="both"/>
              <w:rPr>
                <w:rFonts w:ascii="Times New Roman" w:hAnsi="Times New Roman" w:eastAsia="Times New Roman"/>
                <w:sz w:val="24"/>
                <w:szCs w:val="24"/>
                <w:lang w:eastAsia="lv-LV"/>
              </w:rPr>
            </w:pPr>
            <w:r w:rsidRPr="001851ED">
              <w:rPr>
                <w:rFonts w:ascii="Times New Roman" w:hAnsi="Times New Roman" w:eastAsia="Times New Roman"/>
                <w:sz w:val="24"/>
                <w:szCs w:val="24"/>
                <w:lang w:eastAsia="lv-LV"/>
              </w:rPr>
              <w:t>Vērsta uzmanība, ka a</w:t>
            </w:r>
            <w:r w:rsidRPr="001851ED" w:rsidR="001515F7">
              <w:rPr>
                <w:rFonts w:ascii="Times New Roman" w:hAnsi="Times New Roman" w:eastAsia="Times New Roman"/>
                <w:sz w:val="24"/>
                <w:szCs w:val="24"/>
                <w:lang w:eastAsia="lv-LV"/>
              </w:rPr>
              <w:t>notācija un grozījumi nedod atbildi, kurai tiesai - Rīgas apgabala vai atbilstoši pirmās instances tiesas atrašanās vietai - būs piekritīgas izskatīšanai lietas apelācijas kārtībā, kuras saskaņā ar papildinājumiem Pārejas noteikumo</w:t>
            </w:r>
            <w:r w:rsidRPr="001851ED" w:rsidR="00415D34">
              <w:rPr>
                <w:rFonts w:ascii="Times New Roman" w:hAnsi="Times New Roman" w:eastAsia="Times New Roman"/>
                <w:sz w:val="24"/>
                <w:szCs w:val="24"/>
                <w:lang w:eastAsia="lv-LV"/>
              </w:rPr>
              <w:t>s</w:t>
            </w:r>
            <w:r w:rsidRPr="001851ED" w:rsidR="001515F7">
              <w:rPr>
                <w:rFonts w:ascii="Times New Roman" w:hAnsi="Times New Roman" w:eastAsia="Times New Roman"/>
                <w:sz w:val="24"/>
                <w:szCs w:val="24"/>
                <w:lang w:eastAsia="lv-LV"/>
              </w:rPr>
              <w:t>-</w:t>
            </w:r>
            <w:proofErr w:type="gramStart"/>
            <w:r w:rsidRPr="001851ED" w:rsidR="001515F7">
              <w:rPr>
                <w:rFonts w:ascii="Times New Roman" w:hAnsi="Times New Roman" w:eastAsia="Times New Roman"/>
                <w:sz w:val="24"/>
                <w:szCs w:val="24"/>
                <w:lang w:eastAsia="lv-LV"/>
              </w:rPr>
              <w:t xml:space="preserve">  </w:t>
            </w:r>
            <w:proofErr w:type="gramEnd"/>
            <w:r w:rsidRPr="001851ED" w:rsidR="001515F7">
              <w:rPr>
                <w:rFonts w:ascii="Times New Roman" w:hAnsi="Times New Roman" w:eastAsia="Times New Roman"/>
                <w:sz w:val="24"/>
                <w:szCs w:val="24"/>
                <w:lang w:eastAsia="lv-LV"/>
              </w:rPr>
              <w:t xml:space="preserve">71.punktu – tiks pabeigtas vispārējās jurisdikcijas </w:t>
            </w:r>
            <w:r w:rsidRPr="001851ED" w:rsidR="00415D34">
              <w:rPr>
                <w:rFonts w:ascii="Times New Roman" w:hAnsi="Times New Roman" w:eastAsia="Times New Roman"/>
                <w:sz w:val="24"/>
                <w:szCs w:val="24"/>
                <w:lang w:eastAsia="lv-LV"/>
              </w:rPr>
              <w:t xml:space="preserve">pirmās </w:t>
            </w:r>
            <w:r w:rsidRPr="001851ED" w:rsidR="001515F7">
              <w:rPr>
                <w:rFonts w:ascii="Times New Roman" w:hAnsi="Times New Roman" w:eastAsia="Times New Roman"/>
                <w:sz w:val="24"/>
                <w:szCs w:val="24"/>
                <w:lang w:eastAsia="lv-LV"/>
              </w:rPr>
              <w:t>instances tiesā pēc 2021.</w:t>
            </w:r>
            <w:r w:rsidRPr="001851ED" w:rsidR="00415D34">
              <w:rPr>
                <w:rFonts w:ascii="Times New Roman" w:hAnsi="Times New Roman" w:eastAsia="Times New Roman"/>
                <w:sz w:val="24"/>
                <w:szCs w:val="24"/>
                <w:lang w:eastAsia="lv-LV"/>
              </w:rPr>
              <w:t xml:space="preserve"> </w:t>
            </w:r>
            <w:r w:rsidRPr="001851ED" w:rsidR="001515F7">
              <w:rPr>
                <w:rFonts w:ascii="Times New Roman" w:hAnsi="Times New Roman" w:eastAsia="Times New Roman"/>
                <w:sz w:val="24"/>
                <w:szCs w:val="24"/>
                <w:lang w:eastAsia="lv-LV"/>
              </w:rPr>
              <w:t>gada 1.</w:t>
            </w:r>
            <w:r w:rsidRPr="001851ED" w:rsidR="00415D34">
              <w:rPr>
                <w:rFonts w:ascii="Times New Roman" w:hAnsi="Times New Roman" w:eastAsia="Times New Roman"/>
                <w:sz w:val="24"/>
                <w:szCs w:val="24"/>
                <w:lang w:eastAsia="lv-LV"/>
              </w:rPr>
              <w:t xml:space="preserve"> </w:t>
            </w:r>
            <w:r w:rsidRPr="001851ED" w:rsidR="001515F7">
              <w:rPr>
                <w:rFonts w:ascii="Times New Roman" w:hAnsi="Times New Roman" w:eastAsia="Times New Roman"/>
                <w:sz w:val="24"/>
                <w:szCs w:val="24"/>
                <w:lang w:eastAsia="lv-LV"/>
              </w:rPr>
              <w:t>janvāra.</w:t>
            </w:r>
            <w:r w:rsidRPr="001851ED" w:rsidR="00126667">
              <w:rPr>
                <w:rFonts w:ascii="Times New Roman" w:hAnsi="Times New Roman" w:eastAsia="Times New Roman"/>
                <w:sz w:val="24"/>
                <w:szCs w:val="24"/>
                <w:lang w:eastAsia="lv-LV"/>
              </w:rPr>
              <w:t xml:space="preserve"> </w:t>
            </w:r>
            <w:r w:rsidRPr="001851ED" w:rsidR="00DF1070">
              <w:rPr>
                <w:rFonts w:ascii="Times New Roman" w:hAnsi="Times New Roman" w:eastAsia="Times New Roman"/>
                <w:sz w:val="24"/>
                <w:szCs w:val="24"/>
                <w:lang w:eastAsia="lv-LV"/>
              </w:rPr>
              <w:t>P</w:t>
            </w:r>
            <w:r w:rsidRPr="001851ED" w:rsidR="00126667">
              <w:rPr>
                <w:rFonts w:ascii="Times New Roman" w:hAnsi="Times New Roman" w:eastAsia="Times New Roman"/>
                <w:sz w:val="24"/>
                <w:szCs w:val="24"/>
                <w:lang w:eastAsia="lv-LV"/>
              </w:rPr>
              <w:t>riekšlikums ņemts vērā, papildinot attiecīgi Likumprojekt</w:t>
            </w:r>
            <w:r w:rsidRPr="001851ED">
              <w:rPr>
                <w:rFonts w:ascii="Times New Roman" w:hAnsi="Times New Roman" w:eastAsia="Times New Roman"/>
                <w:sz w:val="24"/>
                <w:szCs w:val="24"/>
                <w:lang w:eastAsia="lv-LV"/>
              </w:rPr>
              <w:t xml:space="preserve">ā ietverto pārejas noteikumu 71.punktu. </w:t>
            </w:r>
          </w:p>
          <w:p w:rsidRPr="001851ED" w:rsidR="00F049EA" w:rsidP="00763070" w:rsidRDefault="00C50933" w14:paraId="43EEE892" w14:textId="72AA8D76">
            <w:pPr>
              <w:spacing w:after="0" w:line="240" w:lineRule="auto"/>
              <w:jc w:val="both"/>
              <w:rPr>
                <w:rFonts w:ascii="Times New Roman" w:hAnsi="Times New Roman" w:eastAsia="Times New Roman"/>
                <w:sz w:val="24"/>
                <w:szCs w:val="24"/>
                <w:lang w:eastAsia="lv-LV"/>
              </w:rPr>
            </w:pPr>
            <w:r w:rsidRPr="001851ED">
              <w:rPr>
                <w:rFonts w:ascii="Times New Roman" w:hAnsi="Times New Roman" w:eastAsia="Times New Roman"/>
                <w:sz w:val="24"/>
                <w:szCs w:val="24"/>
                <w:lang w:eastAsia="lv-LV"/>
              </w:rPr>
              <w:t>Latgales apgabaltiesas priekšsēdētājs paudis viedokli,</w:t>
            </w:r>
            <w:r w:rsidRPr="001851ED" w:rsidR="00763070">
              <w:rPr>
                <w:rFonts w:ascii="Times New Roman" w:hAnsi="Times New Roman" w:eastAsia="Times New Roman"/>
                <w:sz w:val="24"/>
                <w:szCs w:val="24"/>
                <w:lang w:eastAsia="lv-LV"/>
              </w:rPr>
              <w:t xml:space="preserve"> ka, ja likumdevējs atzīst, ka vispārējās jurisdikcijas tiesas ir spējīgas </w:t>
            </w:r>
            <w:r w:rsidRPr="001851ED" w:rsidR="00763070">
              <w:rPr>
                <w:rFonts w:ascii="Times New Roman" w:hAnsi="Times New Roman" w:eastAsia="Times New Roman"/>
                <w:sz w:val="24"/>
                <w:szCs w:val="24"/>
                <w:lang w:eastAsia="lv-LV"/>
              </w:rPr>
              <w:lastRenderedPageBreak/>
              <w:t xml:space="preserve">izskatīt likumprojektā norādīto lietu kategoriju pamatsastāvus, tad nav nepieciešamības ekonomiskajām tiesām nodot lietas ar otrajā un trešajā daļā paredzētajiem kvalificējošiem apstākļiem. Profesionalitāte un </w:t>
            </w:r>
            <w:r w:rsidRPr="001851ED" w:rsidR="00A07B05">
              <w:rPr>
                <w:rFonts w:ascii="Times New Roman" w:hAnsi="Times New Roman" w:eastAsia="Times New Roman"/>
                <w:sz w:val="24"/>
                <w:szCs w:val="24"/>
                <w:lang w:eastAsia="lv-LV"/>
              </w:rPr>
              <w:t xml:space="preserve">kompetence </w:t>
            </w:r>
            <w:r w:rsidRPr="001851ED" w:rsidR="00763070">
              <w:rPr>
                <w:rFonts w:ascii="Times New Roman" w:hAnsi="Times New Roman" w:eastAsia="Times New Roman"/>
                <w:sz w:val="24"/>
                <w:szCs w:val="24"/>
                <w:lang w:eastAsia="lv-LV"/>
              </w:rPr>
              <w:t xml:space="preserve">nepieciešama, lai pareizi konstatētu pamatsastāvu veidojošos </w:t>
            </w:r>
            <w:r w:rsidRPr="001851ED" w:rsidR="00A07B05">
              <w:rPr>
                <w:rFonts w:ascii="Times New Roman" w:hAnsi="Times New Roman" w:eastAsia="Times New Roman"/>
                <w:sz w:val="24"/>
                <w:szCs w:val="24"/>
                <w:lang w:eastAsia="lv-LV"/>
              </w:rPr>
              <w:t>apstākļus</w:t>
            </w:r>
            <w:r w:rsidRPr="001851ED" w:rsidR="00763070">
              <w:rPr>
                <w:rFonts w:ascii="Times New Roman" w:hAnsi="Times New Roman" w:eastAsia="Times New Roman"/>
                <w:sz w:val="24"/>
                <w:szCs w:val="24"/>
                <w:lang w:eastAsia="lv-LV"/>
              </w:rPr>
              <w:t>, nevis kvalificējošos. Tāpēc tiek piedāvāts Ekonomisko lietu tiesai noteikt piekritību par visu noziedzīgā nodarījuma sastāvu. Priekšlikums daļēji ņemt vērā, papildinot anotāciju ar skaidrojumu, kādēļ Ekonomisko lietu tiesai tiek nodotas smagāka rakstura lietas.</w:t>
            </w:r>
            <w:r w:rsidRPr="001851ED" w:rsidR="00A07B05">
              <w:rPr>
                <w:rFonts w:ascii="Times New Roman" w:hAnsi="Times New Roman" w:eastAsia="Times New Roman"/>
                <w:sz w:val="24"/>
                <w:szCs w:val="24"/>
                <w:lang w:eastAsia="lv-LV"/>
              </w:rPr>
              <w:t xml:space="preserve"> </w:t>
            </w:r>
          </w:p>
          <w:p w:rsidRPr="00F049EA" w:rsidR="00763070" w:rsidP="00763070" w:rsidRDefault="00763070" w14:paraId="3E3C15CE" w14:textId="645C4C7B">
            <w:pPr>
              <w:spacing w:after="0" w:line="240" w:lineRule="auto"/>
              <w:jc w:val="both"/>
              <w:rPr>
                <w:rFonts w:ascii="Times New Roman" w:hAnsi="Times New Roman" w:eastAsia="Times New Roman" w:cs="Times New Roman"/>
                <w:sz w:val="24"/>
                <w:szCs w:val="24"/>
                <w:lang w:eastAsia="lv-LV"/>
              </w:rPr>
            </w:pPr>
            <w:r w:rsidRPr="001851ED">
              <w:rPr>
                <w:rFonts w:ascii="Times New Roman" w:hAnsi="Times New Roman" w:eastAsia="Times New Roman" w:cs="Times New Roman"/>
                <w:sz w:val="24"/>
                <w:szCs w:val="24"/>
                <w:lang w:eastAsia="lv-LV"/>
              </w:rPr>
              <w:t>Ārvalstu investoru padomes Latvijā darba grupas vadītājs kopumā Likumprojektu vērtē kā kvalitatīvi sagatavotu, norādot uz redakcionāliem precizējumiem, kas ņemti vērā.</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053F0FFC" w14:textId="11ADA017">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7047F3">
              <w:rPr>
                <w:rFonts w:ascii="Times New Roman" w:hAnsi="Times New Roman" w:eastAsia="Times New Roman" w:cs="Times New Roman"/>
                <w:sz w:val="24"/>
                <w:szCs w:val="24"/>
                <w:lang w:eastAsia="lv-LV"/>
              </w:rPr>
              <w:t>.</w:t>
            </w:r>
          </w:p>
        </w:tc>
      </w:tr>
    </w:tbl>
    <w:p w:rsidR="004D15A9" w:rsidP="007F5CF3" w:rsidRDefault="004D15A9" w14:paraId="569A45C0" w14:textId="312C55D1">
      <w:pPr>
        <w:spacing w:after="0" w:line="240" w:lineRule="auto"/>
        <w:rPr>
          <w:rFonts w:ascii="Times New Roman" w:hAnsi="Times New Roman" w:eastAsia="Times New Roman" w:cs="Times New Roman"/>
          <w:sz w:val="24"/>
          <w:szCs w:val="24"/>
          <w:lang w:eastAsia="lv-LV"/>
        </w:rPr>
      </w:pPr>
    </w:p>
    <w:p w:rsidRPr="00BC2633" w:rsidR="006F7C53" w:rsidP="007F5CF3" w:rsidRDefault="006F7C53" w14:paraId="0CE4FAB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7F5CF3"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0F0436" w14:paraId="1AEBB4A0" w14:textId="6858489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Tiesu administrācija, </w:t>
            </w:r>
            <w:r w:rsidR="001F5406">
              <w:rPr>
                <w:rFonts w:ascii="Times New Roman" w:hAnsi="Times New Roman" w:eastAsia="Times New Roman" w:cs="Times New Roman"/>
                <w:sz w:val="24"/>
                <w:szCs w:val="24"/>
                <w:lang w:eastAsia="lv-LV"/>
              </w:rPr>
              <w:t>Tieslietu ministrija</w:t>
            </w:r>
            <w:r w:rsidR="00FB27FF">
              <w:rPr>
                <w:rFonts w:ascii="Times New Roman" w:hAnsi="Times New Roman" w:eastAsia="Times New Roman" w:cs="Times New Roman"/>
                <w:sz w:val="24"/>
                <w:szCs w:val="24"/>
                <w:lang w:eastAsia="lv-LV"/>
              </w:rPr>
              <w:t>.</w:t>
            </w:r>
            <w:r w:rsidR="001F5406">
              <w:rPr>
                <w:rFonts w:ascii="Times New Roman" w:hAnsi="Times New Roman" w:eastAsia="Times New Roman" w:cs="Times New Roman"/>
                <w:sz w:val="24"/>
                <w:szCs w:val="24"/>
                <w:lang w:eastAsia="lv-LV"/>
              </w:rPr>
              <w:t xml:space="preserve"> </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7F5CF3"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0875A1" w:rsidR="000875A1" w:rsidP="007F5CF3" w:rsidRDefault="000875A1" w14:paraId="40D957EF" w14:textId="48BB7E18">
            <w:pPr>
              <w:spacing w:after="0" w:line="240" w:lineRule="auto"/>
              <w:jc w:val="both"/>
              <w:rPr>
                <w:rFonts w:ascii="Times New Roman" w:hAnsi="Times New Roman" w:eastAsia="Times New Roman" w:cs="Times New Roman"/>
                <w:sz w:val="24"/>
                <w:szCs w:val="24"/>
                <w:lang w:eastAsia="lv-LV"/>
              </w:rPr>
            </w:pPr>
            <w:r w:rsidRPr="000875A1">
              <w:rPr>
                <w:rFonts w:ascii="Times New Roman" w:hAnsi="Times New Roman" w:eastAsia="Times New Roman" w:cs="Times New Roman"/>
                <w:sz w:val="24"/>
                <w:szCs w:val="24"/>
                <w:lang w:eastAsia="lv-LV"/>
              </w:rPr>
              <w:t>Jaunas pirmās instances tiesas – Ekonomisko lietu tiesas izveidošana, atslogos vispārējās jurisdikcijas tiesas</w:t>
            </w:r>
            <w:r w:rsidR="005654B4">
              <w:rPr>
                <w:rFonts w:ascii="Times New Roman" w:hAnsi="Times New Roman" w:eastAsia="Times New Roman" w:cs="Times New Roman"/>
                <w:sz w:val="24"/>
                <w:szCs w:val="24"/>
                <w:lang w:eastAsia="lv-LV"/>
              </w:rPr>
              <w:t xml:space="preserve"> no attiecīgu lietu </w:t>
            </w:r>
            <w:r w:rsidR="003F2482">
              <w:rPr>
                <w:rFonts w:ascii="Times New Roman" w:hAnsi="Times New Roman" w:eastAsia="Times New Roman" w:cs="Times New Roman"/>
                <w:sz w:val="24"/>
                <w:szCs w:val="24"/>
                <w:lang w:eastAsia="lv-LV"/>
              </w:rPr>
              <w:t>izskatīšanas</w:t>
            </w:r>
            <w:r w:rsidRPr="000875A1">
              <w:rPr>
                <w:rFonts w:ascii="Times New Roman" w:hAnsi="Times New Roman" w:eastAsia="Times New Roman" w:cs="Times New Roman"/>
                <w:sz w:val="24"/>
                <w:szCs w:val="24"/>
                <w:lang w:eastAsia="lv-LV"/>
              </w:rPr>
              <w:t xml:space="preserve">. </w:t>
            </w:r>
          </w:p>
          <w:p w:rsidRPr="00BC2633" w:rsidR="000875A1" w:rsidP="007F5CF3" w:rsidRDefault="000875A1" w14:paraId="020A7F09" w14:textId="6D0F412A">
            <w:pPr>
              <w:spacing w:after="0" w:line="240" w:lineRule="auto"/>
              <w:jc w:val="both"/>
              <w:rPr>
                <w:rFonts w:ascii="Times New Roman" w:hAnsi="Times New Roman" w:eastAsia="Times New Roman" w:cs="Times New Roman"/>
                <w:sz w:val="24"/>
                <w:szCs w:val="24"/>
                <w:lang w:eastAsia="lv-LV"/>
              </w:rPr>
            </w:pPr>
            <w:r w:rsidRPr="000875A1">
              <w:rPr>
                <w:rFonts w:ascii="Times New Roman" w:hAnsi="Times New Roman" w:eastAsia="Times New Roman" w:cs="Times New Roman"/>
                <w:sz w:val="24"/>
                <w:szCs w:val="24"/>
                <w:lang w:eastAsia="lv-LV"/>
              </w:rPr>
              <w:t>Ekonomisko lietu tiesa tiks izveidota, novirzot vakantās amata vietas specializētās tiesas kapacitātes nodrošināšanai.</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7F5CF3"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1851ED" w:rsidR="004D15A9" w:rsidP="007F5CF3" w:rsidRDefault="00163B8E" w14:paraId="5BD54AC6" w14:textId="4A60292B">
            <w:pPr>
              <w:spacing w:after="0" w:line="240" w:lineRule="auto"/>
              <w:jc w:val="both"/>
              <w:rPr>
                <w:rFonts w:ascii="Times New Roman" w:hAnsi="Times New Roman" w:eastAsia="Times New Roman" w:cs="Times New Roman"/>
                <w:sz w:val="24"/>
                <w:szCs w:val="24"/>
                <w:lang w:eastAsia="lv-LV"/>
              </w:rPr>
            </w:pPr>
            <w:r w:rsidRPr="001851ED">
              <w:rPr>
                <w:rFonts w:ascii="Times New Roman" w:hAnsi="Times New Roman" w:eastAsia="Times New Roman" w:cs="Times New Roman"/>
                <w:sz w:val="24"/>
                <w:szCs w:val="24"/>
                <w:lang w:eastAsia="lv-LV"/>
              </w:rPr>
              <w:t>Tieslietu ministrija likumprojekta īstenošanu nodrošinās tai paredzēto budžeta līdzekļu ietvaros.</w:t>
            </w:r>
          </w:p>
        </w:tc>
      </w:tr>
    </w:tbl>
    <w:p w:rsidR="00B424A5" w:rsidP="007F5CF3" w:rsidRDefault="00B424A5" w14:paraId="235E8DB6" w14:textId="77777777">
      <w:pPr>
        <w:spacing w:after="0" w:line="240" w:lineRule="auto"/>
        <w:rPr>
          <w:rFonts w:ascii="Times New Roman" w:hAnsi="Times New Roman" w:cs="Times New Roman"/>
          <w:sz w:val="24"/>
          <w:szCs w:val="24"/>
        </w:rPr>
      </w:pPr>
    </w:p>
    <w:p w:rsidRPr="005719DE" w:rsidR="005719DE" w:rsidP="007F5CF3" w:rsidRDefault="005719DE" w14:paraId="6C15C433" w14:textId="77777777">
      <w:pPr>
        <w:pStyle w:val="StyleRight"/>
        <w:spacing w:after="0"/>
        <w:jc w:val="both"/>
        <w:rPr>
          <w:rFonts w:eastAsiaTheme="minorHAnsi"/>
          <w:sz w:val="24"/>
          <w:szCs w:val="24"/>
        </w:rPr>
      </w:pPr>
      <w:r w:rsidRPr="005719DE">
        <w:rPr>
          <w:rFonts w:eastAsiaTheme="minorHAnsi"/>
          <w:sz w:val="24"/>
          <w:szCs w:val="24"/>
        </w:rPr>
        <w:t xml:space="preserve"> </w:t>
      </w:r>
    </w:p>
    <w:p w:rsidRPr="005719DE" w:rsidR="005719DE" w:rsidP="007F5CF3" w:rsidRDefault="005719DE" w14:paraId="1A14CC98" w14:textId="77777777">
      <w:pPr>
        <w:pStyle w:val="StyleRight"/>
        <w:spacing w:after="0"/>
        <w:jc w:val="both"/>
        <w:rPr>
          <w:rFonts w:eastAsiaTheme="minorHAnsi"/>
          <w:sz w:val="24"/>
          <w:szCs w:val="24"/>
        </w:rPr>
      </w:pPr>
    </w:p>
    <w:p w:rsidR="00610B49" w:rsidP="007F5CF3" w:rsidRDefault="00610B49" w14:paraId="0D5DB2B5" w14:textId="0C047487">
      <w:pPr>
        <w:pStyle w:val="StyleRight"/>
        <w:spacing w:after="0"/>
        <w:ind w:firstLine="0"/>
        <w:jc w:val="both"/>
        <w:rPr>
          <w:sz w:val="24"/>
          <w:szCs w:val="24"/>
        </w:rPr>
      </w:pPr>
      <w:r w:rsidRPr="00610B49">
        <w:rPr>
          <w:sz w:val="24"/>
          <w:szCs w:val="24"/>
        </w:rPr>
        <w:t>Iesniedzējs:</w:t>
      </w:r>
    </w:p>
    <w:p w:rsidRPr="00610B49" w:rsidR="004D2FE6" w:rsidP="007F5CF3" w:rsidRDefault="004D2FE6" w14:paraId="21F70B7A" w14:textId="14D6996D">
      <w:pPr>
        <w:pStyle w:val="StyleRight"/>
        <w:spacing w:after="0"/>
        <w:ind w:firstLine="0"/>
        <w:jc w:val="both"/>
        <w:rPr>
          <w:sz w:val="24"/>
          <w:szCs w:val="24"/>
        </w:rPr>
      </w:pPr>
      <w:r>
        <w:rPr>
          <w:sz w:val="24"/>
          <w:szCs w:val="24"/>
        </w:rPr>
        <w:t>Ministru prezidenta biedrs,</w:t>
      </w:r>
    </w:p>
    <w:p w:rsidR="004D15A9" w:rsidP="007F5CF3" w:rsidRDefault="00610B49" w14:paraId="2AD6EF98" w14:textId="4D3A16D9">
      <w:pPr>
        <w:pStyle w:val="StyleRight"/>
        <w:spacing w:after="0"/>
        <w:ind w:firstLine="0"/>
        <w:jc w:val="both"/>
        <w:rPr>
          <w:sz w:val="24"/>
          <w:szCs w:val="24"/>
        </w:rPr>
      </w:pPr>
      <w:r w:rsidRPr="00610B49">
        <w:rPr>
          <w:sz w:val="24"/>
          <w:szCs w:val="24"/>
        </w:rPr>
        <w:t>tieslietu ministrs</w:t>
      </w:r>
      <w:r w:rsidRPr="00610B49">
        <w:rPr>
          <w:sz w:val="24"/>
          <w:szCs w:val="24"/>
        </w:rPr>
        <w:tab/>
      </w:r>
      <w:r w:rsidRPr="00610B49">
        <w:rPr>
          <w:sz w:val="24"/>
          <w:szCs w:val="24"/>
        </w:rPr>
        <w:tab/>
      </w:r>
      <w:r w:rsidRPr="00610B49">
        <w:rPr>
          <w:sz w:val="24"/>
          <w:szCs w:val="24"/>
        </w:rPr>
        <w:tab/>
      </w:r>
      <w:r w:rsidRPr="00610B49">
        <w:rPr>
          <w:sz w:val="24"/>
          <w:szCs w:val="24"/>
        </w:rPr>
        <w:tab/>
      </w:r>
      <w:r w:rsidRPr="00610B49">
        <w:rPr>
          <w:sz w:val="24"/>
          <w:szCs w:val="24"/>
        </w:rPr>
        <w:tab/>
      </w:r>
      <w:r w:rsidRPr="00610B49">
        <w:rPr>
          <w:sz w:val="24"/>
          <w:szCs w:val="24"/>
        </w:rPr>
        <w:tab/>
      </w:r>
      <w:r w:rsidRPr="00610B49">
        <w:rPr>
          <w:sz w:val="24"/>
          <w:szCs w:val="24"/>
        </w:rPr>
        <w:tab/>
      </w:r>
      <w:r w:rsidRPr="00610B49">
        <w:rPr>
          <w:sz w:val="24"/>
          <w:szCs w:val="24"/>
        </w:rPr>
        <w:tab/>
      </w:r>
      <w:r w:rsidR="00E50B43">
        <w:rPr>
          <w:sz w:val="24"/>
          <w:szCs w:val="24"/>
        </w:rPr>
        <w:t>Jānis Bordāns</w:t>
      </w:r>
    </w:p>
    <w:p w:rsidR="004D15A9" w:rsidP="007F5CF3" w:rsidRDefault="004D15A9" w14:paraId="63071606" w14:textId="58E86AEA">
      <w:pPr>
        <w:pStyle w:val="StyleRight"/>
        <w:spacing w:after="0"/>
        <w:ind w:firstLine="0"/>
        <w:jc w:val="both"/>
        <w:rPr>
          <w:sz w:val="22"/>
          <w:szCs w:val="22"/>
        </w:rPr>
      </w:pPr>
    </w:p>
    <w:p w:rsidRPr="00220682" w:rsidR="00BB1D7F" w:rsidP="007F5CF3" w:rsidRDefault="00BB1D7F" w14:paraId="675A7E74" w14:textId="77777777">
      <w:pPr>
        <w:pStyle w:val="StyleRight"/>
        <w:spacing w:after="0"/>
        <w:ind w:firstLine="0"/>
        <w:jc w:val="both"/>
        <w:rPr>
          <w:sz w:val="22"/>
          <w:szCs w:val="22"/>
        </w:rPr>
      </w:pPr>
    </w:p>
    <w:p w:rsidR="00BB1D7F" w:rsidP="00BB1D7F" w:rsidRDefault="00BB1D7F" w14:paraId="796ECAFB" w14:textId="77777777">
      <w:pPr>
        <w:spacing w:after="0" w:line="240" w:lineRule="auto"/>
        <w:rPr>
          <w:rFonts w:ascii="Times New Roman" w:hAnsi="Times New Roman" w:cs="Times New Roman"/>
        </w:rPr>
      </w:pPr>
      <w:r>
        <w:rPr>
          <w:rFonts w:ascii="Times New Roman" w:hAnsi="Times New Roman" w:cs="Times New Roman"/>
        </w:rPr>
        <w:t>Miļevska 67036813</w:t>
      </w:r>
    </w:p>
    <w:p w:rsidR="00BB1D7F" w:rsidP="00BB1D7F" w:rsidRDefault="00F57320" w14:paraId="2A6DFF50" w14:textId="77777777">
      <w:pPr>
        <w:spacing w:after="0" w:line="240" w:lineRule="auto"/>
        <w:rPr>
          <w:rFonts w:ascii="Times New Roman" w:hAnsi="Times New Roman" w:cs="Times New Roman"/>
        </w:rPr>
      </w:pPr>
      <w:hyperlink w:history="1" r:id="rId11">
        <w:r w:rsidRPr="003025CE" w:rsidR="00BB1D7F">
          <w:rPr>
            <w:rStyle w:val="Hipersaite"/>
            <w:rFonts w:ascii="Times New Roman" w:hAnsi="Times New Roman" w:cs="Times New Roman"/>
          </w:rPr>
          <w:t>Kristine.Milevska@tm.gov.lv</w:t>
        </w:r>
      </w:hyperlink>
    </w:p>
    <w:p w:rsidRPr="00220682" w:rsidR="003A2A0B" w:rsidP="007F5CF3" w:rsidRDefault="003A2A0B" w14:paraId="21E4DA6B" w14:textId="77777777">
      <w:pPr>
        <w:pStyle w:val="StyleRight"/>
        <w:spacing w:after="0"/>
        <w:ind w:firstLine="0"/>
        <w:jc w:val="both"/>
        <w:rPr>
          <w:sz w:val="22"/>
          <w:szCs w:val="22"/>
        </w:rPr>
      </w:pPr>
    </w:p>
    <w:p w:rsidRPr="00220682" w:rsidR="00BC2633" w:rsidP="007F5CF3" w:rsidRDefault="00142C6D" w14:paraId="639C0679" w14:textId="214A6ACE">
      <w:pPr>
        <w:spacing w:after="0" w:line="240" w:lineRule="auto"/>
        <w:rPr>
          <w:rFonts w:ascii="Times New Roman" w:hAnsi="Times New Roman" w:cs="Times New Roman"/>
        </w:rPr>
      </w:pPr>
      <w:r>
        <w:rPr>
          <w:rFonts w:ascii="Times New Roman" w:hAnsi="Times New Roman" w:cs="Times New Roman"/>
        </w:rPr>
        <w:t>Š</w:t>
      </w:r>
      <w:r w:rsidR="00E50B43">
        <w:rPr>
          <w:rFonts w:ascii="Times New Roman" w:hAnsi="Times New Roman" w:cs="Times New Roman"/>
        </w:rPr>
        <w:t>lisere</w:t>
      </w:r>
      <w:r w:rsidRPr="00220682" w:rsidR="00BC2633">
        <w:rPr>
          <w:rFonts w:ascii="Times New Roman" w:hAnsi="Times New Roman" w:cs="Times New Roman"/>
        </w:rPr>
        <w:t xml:space="preserve"> 670368</w:t>
      </w:r>
      <w:r w:rsidR="00610B49">
        <w:rPr>
          <w:rFonts w:ascii="Times New Roman" w:hAnsi="Times New Roman" w:cs="Times New Roman"/>
        </w:rPr>
        <w:t>3</w:t>
      </w:r>
      <w:r w:rsidR="00E50B43">
        <w:rPr>
          <w:rFonts w:ascii="Times New Roman" w:hAnsi="Times New Roman" w:cs="Times New Roman"/>
        </w:rPr>
        <w:t>9</w:t>
      </w:r>
    </w:p>
    <w:p w:rsidR="00E50B43" w:rsidP="007F5CF3" w:rsidRDefault="00F57320" w14:paraId="1E822777" w14:textId="319D48CC">
      <w:pPr>
        <w:spacing w:after="0" w:line="240" w:lineRule="auto"/>
        <w:rPr>
          <w:rFonts w:ascii="Times New Roman" w:hAnsi="Times New Roman" w:cs="Times New Roman"/>
        </w:rPr>
      </w:pPr>
      <w:hyperlink w:history="1" r:id="rId12">
        <w:r w:rsidRPr="003025CE" w:rsidR="00E50B43">
          <w:rPr>
            <w:rStyle w:val="Hipersaite"/>
            <w:rFonts w:ascii="Times New Roman" w:hAnsi="Times New Roman" w:cs="Times New Roman"/>
          </w:rPr>
          <w:t>Lelde.Slisere@tm.gov.lv</w:t>
        </w:r>
      </w:hyperlink>
    </w:p>
    <w:p w:rsidR="00BB1D7F" w:rsidRDefault="00BB1D7F" w14:paraId="26103980" w14:textId="77777777">
      <w:pPr>
        <w:spacing w:after="0" w:line="240" w:lineRule="auto"/>
        <w:rPr>
          <w:rFonts w:ascii="Times New Roman" w:hAnsi="Times New Roman" w:cs="Times New Roman"/>
        </w:rPr>
      </w:pPr>
    </w:p>
    <w:sectPr w:rsidR="00BB1D7F"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FC03" w14:textId="77777777" w:rsidR="004860CF" w:rsidRDefault="004860CF" w:rsidP="004D15A9">
      <w:pPr>
        <w:spacing w:after="0" w:line="240" w:lineRule="auto"/>
      </w:pPr>
      <w:r>
        <w:separator/>
      </w:r>
    </w:p>
  </w:endnote>
  <w:endnote w:type="continuationSeparator" w:id="0">
    <w:p w14:paraId="7666B5FF" w14:textId="77777777" w:rsidR="004860CF" w:rsidRDefault="004860C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7A3414" w:rsidRDefault="007A3414" w:rsidP="0042645D">
    <w:pPr>
      <w:pStyle w:val="Kjene"/>
      <w:rPr>
        <w:rFonts w:ascii="Times New Roman" w:hAnsi="Times New Roman" w:cs="Times New Roman"/>
        <w:sz w:val="20"/>
        <w:szCs w:val="20"/>
      </w:rPr>
    </w:pPr>
  </w:p>
  <w:p w14:paraId="6A190106" w14:textId="02A2949A" w:rsidR="007A3414" w:rsidRPr="0042645D" w:rsidRDefault="007A3414" w:rsidP="006C3827">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F57320">
      <w:rPr>
        <w:rFonts w:ascii="Times New Roman" w:hAnsi="Times New Roman" w:cs="Times New Roman"/>
        <w:noProof/>
        <w:sz w:val="20"/>
        <w:szCs w:val="20"/>
      </w:rPr>
      <w:t>30</w:t>
    </w:r>
    <w:r>
      <w:rPr>
        <w:rFonts w:ascii="Times New Roman" w:hAnsi="Times New Roman" w:cs="Times New Roman"/>
        <w:noProof/>
        <w:sz w:val="20"/>
        <w:szCs w:val="20"/>
      </w:rPr>
      <w:t>1219_KPL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24962404"/>
  <w:bookmarkStart w:id="6" w:name="_Hlk524962405"/>
  <w:bookmarkStart w:id="7" w:name="_Hlk524962423"/>
  <w:bookmarkStart w:id="8" w:name="_Hlk524962424"/>
  <w:p w14:paraId="0854F658" w14:textId="631BED73" w:rsidR="007A3414" w:rsidRPr="0042645D" w:rsidRDefault="007A3414"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F57320">
      <w:rPr>
        <w:rFonts w:ascii="Times New Roman" w:hAnsi="Times New Roman" w:cs="Times New Roman"/>
        <w:noProof/>
        <w:sz w:val="20"/>
        <w:szCs w:val="20"/>
      </w:rPr>
      <w:t>30</w:t>
    </w:r>
    <w:r>
      <w:rPr>
        <w:rFonts w:ascii="Times New Roman" w:hAnsi="Times New Roman" w:cs="Times New Roman"/>
        <w:noProof/>
        <w:sz w:val="20"/>
        <w:szCs w:val="20"/>
      </w:rPr>
      <w:t>1219_KPL</w:t>
    </w:r>
    <w:r w:rsidRPr="0042645D">
      <w:rPr>
        <w:rFonts w:ascii="Times New Roman" w:hAnsi="Times New Roman" w:cs="Times New Roman"/>
        <w:sz w:val="20"/>
        <w:szCs w:val="20"/>
      </w:rPr>
      <w:fldChar w:fldCharType="end"/>
    </w:r>
    <w:bookmarkEnd w:id="5"/>
    <w:bookmarkEnd w:id="6"/>
    <w:bookmarkEnd w:id="7"/>
    <w:bookmarkEnd w:id="8"/>
    <w:r w:rsidRPr="0042645D">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3199" w14:textId="77777777" w:rsidR="004860CF" w:rsidRDefault="004860CF" w:rsidP="004D15A9">
      <w:pPr>
        <w:spacing w:after="0" w:line="240" w:lineRule="auto"/>
      </w:pPr>
      <w:r>
        <w:separator/>
      </w:r>
    </w:p>
  </w:footnote>
  <w:footnote w:type="continuationSeparator" w:id="0">
    <w:p w14:paraId="516F32BE" w14:textId="77777777" w:rsidR="004860CF" w:rsidRDefault="004860CF" w:rsidP="004D15A9">
      <w:pPr>
        <w:spacing w:after="0" w:line="240" w:lineRule="auto"/>
      </w:pPr>
      <w:r>
        <w:continuationSeparator/>
      </w:r>
    </w:p>
  </w:footnote>
  <w:footnote w:id="1">
    <w:p w14:paraId="0762DCA9" w14:textId="2ADB03B2" w:rsidR="0091500E" w:rsidRPr="0091500E" w:rsidRDefault="0091500E" w:rsidP="0091500E">
      <w:pPr>
        <w:pStyle w:val="Vresteksts"/>
        <w:jc w:val="both"/>
        <w:rPr>
          <w:b/>
          <w:bCs/>
        </w:rPr>
      </w:pPr>
      <w:r w:rsidRPr="0091500E">
        <w:rPr>
          <w:rStyle w:val="Vresatsauce"/>
          <w:b/>
          <w:bCs/>
        </w:rPr>
        <w:footnoteRef/>
      </w:r>
      <w:r w:rsidRPr="0091500E">
        <w:rPr>
          <w:b/>
          <w:bCs/>
        </w:rPr>
        <w:t xml:space="preserve"> </w:t>
      </w:r>
      <w:r w:rsidRPr="0091500E">
        <w:rPr>
          <w:rFonts w:ascii="Times New Roman" w:eastAsia="Times New Roman" w:hAnsi="Times New Roman" w:cs="Times New Roman"/>
          <w:b/>
          <w:bCs/>
          <w:color w:val="000000" w:themeColor="text1"/>
        </w:rPr>
        <w:t xml:space="preserve">Atbilstoši </w:t>
      </w:r>
      <w:proofErr w:type="gramStart"/>
      <w:r w:rsidRPr="0091500E">
        <w:rPr>
          <w:rFonts w:ascii="Times New Roman" w:eastAsia="Times New Roman" w:hAnsi="Times New Roman" w:cs="Times New Roman"/>
          <w:b/>
          <w:bCs/>
          <w:color w:val="000000" w:themeColor="text1"/>
        </w:rPr>
        <w:t>2019.gada</w:t>
      </w:r>
      <w:proofErr w:type="gramEnd"/>
      <w:r w:rsidRPr="0091500E">
        <w:rPr>
          <w:rFonts w:ascii="Times New Roman" w:eastAsia="Times New Roman" w:hAnsi="Times New Roman" w:cs="Times New Roman"/>
          <w:b/>
          <w:bCs/>
          <w:color w:val="000000" w:themeColor="text1"/>
        </w:rPr>
        <w:t xml:space="preserve"> 11.decembrī publicētajā izdevumā par Latvijas finanšu sektora jaunumiem</w:t>
      </w:r>
      <w:r w:rsidRPr="0091500E">
        <w:rPr>
          <w:rStyle w:val="Vresatsauce"/>
          <w:rFonts w:ascii="Times New Roman" w:eastAsia="Times New Roman" w:hAnsi="Times New Roman" w:cs="Times New Roman"/>
          <w:b/>
          <w:bCs/>
          <w:color w:val="000000" w:themeColor="text1"/>
        </w:rPr>
        <w:footnoteRef/>
      </w:r>
      <w:r w:rsidRPr="0091500E">
        <w:rPr>
          <w:rFonts w:ascii="Times New Roman" w:eastAsia="Times New Roman" w:hAnsi="Times New Roman" w:cs="Times New Roman"/>
          <w:b/>
          <w:bCs/>
          <w:color w:val="000000" w:themeColor="text1"/>
        </w:rPr>
        <w:t xml:space="preserve"> 2019. gada deviņos mēnešos ierosināto kriminālprocesu skaits par noziedzīgi iegūtu līdzekļu legalizāciju (neatšifrējot pieaugumu par attiecīgā panta daļām) pieaudzis par 158 %, salīdzinot ar 2017. gadu. Savukārt kriminālvajāšanai nodoto kriminālprocesu skaits 2019. gada deviņos mēnešos pieaudzis par 255 %, salīdzinot ar 2017. gadu.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7A3414" w:rsidRDefault="007A3414"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19</w:t>
        </w:r>
        <w:r w:rsidRPr="004D15A9">
          <w:rPr>
            <w:rFonts w:ascii="Times New Roman" w:hAnsi="Times New Roman" w:cs="Times New Roman"/>
            <w:sz w:val="24"/>
            <w:szCs w:val="24"/>
          </w:rPr>
          <w:fldChar w:fldCharType="end"/>
        </w:r>
      </w:p>
    </w:sdtContent>
  </w:sdt>
  <w:p w:rsidR="007A3414" w:rsidRDefault="007A3414"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FF"/>
    <w:multiLevelType w:val="hybridMultilevel"/>
    <w:tmpl w:val="2C2AC9F8"/>
    <w:lvl w:ilvl="0" w:tplc="0BBA40D2">
      <w:start w:val="1"/>
      <w:numFmt w:val="decimal"/>
      <w:lvlText w:val="%1."/>
      <w:lvlJc w:val="left"/>
      <w:pPr>
        <w:ind w:left="635" w:hanging="360"/>
      </w:pPr>
      <w:rPr>
        <w:rFonts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 w15:restartNumberingAfterBreak="0">
    <w:nsid w:val="2EDA2EF5"/>
    <w:multiLevelType w:val="hybridMultilevel"/>
    <w:tmpl w:val="8C7AAC1A"/>
    <w:lvl w:ilvl="0" w:tplc="2AC2A3C0">
      <w:start w:val="1"/>
      <w:numFmt w:val="decimal"/>
      <w:lvlText w:val="%1."/>
      <w:lvlJc w:val="left"/>
      <w:pPr>
        <w:ind w:left="675" w:hanging="37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303A5F28"/>
    <w:multiLevelType w:val="hybridMultilevel"/>
    <w:tmpl w:val="7C94A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0D3787"/>
    <w:multiLevelType w:val="hybridMultilevel"/>
    <w:tmpl w:val="B08EC6D8"/>
    <w:lvl w:ilvl="0" w:tplc="2C621644">
      <w:start w:val="1"/>
      <w:numFmt w:val="decimal"/>
      <w:lvlText w:val="%1."/>
      <w:lvlJc w:val="left"/>
      <w:pPr>
        <w:ind w:left="720" w:hanging="360"/>
      </w:pPr>
      <w:rPr>
        <w:rFonts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CE19CE"/>
    <w:multiLevelType w:val="hybridMultilevel"/>
    <w:tmpl w:val="4F747002"/>
    <w:lvl w:ilvl="0" w:tplc="87E86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830DD1"/>
    <w:multiLevelType w:val="hybridMultilevel"/>
    <w:tmpl w:val="68C83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131FE8"/>
    <w:multiLevelType w:val="hybridMultilevel"/>
    <w:tmpl w:val="BC0485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C27B24"/>
    <w:multiLevelType w:val="hybridMultilevel"/>
    <w:tmpl w:val="D1009ACC"/>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EA6737"/>
    <w:multiLevelType w:val="hybridMultilevel"/>
    <w:tmpl w:val="A1E08A7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AFC193A"/>
    <w:multiLevelType w:val="hybridMultilevel"/>
    <w:tmpl w:val="9B2A1814"/>
    <w:lvl w:ilvl="0" w:tplc="CDD8855C">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EA61A2D"/>
    <w:multiLevelType w:val="hybridMultilevel"/>
    <w:tmpl w:val="8DFEC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075836"/>
    <w:multiLevelType w:val="hybridMultilevel"/>
    <w:tmpl w:val="C6625328"/>
    <w:lvl w:ilvl="0" w:tplc="6CBABD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20D2012"/>
    <w:multiLevelType w:val="hybridMultilevel"/>
    <w:tmpl w:val="E8BE76A4"/>
    <w:lvl w:ilvl="0" w:tplc="2E863D66">
      <w:start w:val="1"/>
      <w:numFmt w:val="decimal"/>
      <w:lvlText w:val="%1."/>
      <w:lvlJc w:val="left"/>
      <w:pPr>
        <w:ind w:left="635" w:hanging="360"/>
      </w:pPr>
      <w:rPr>
        <w:rFonts w:eastAsia="Times New Roman"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8"/>
  </w:num>
  <w:num w:numId="2">
    <w:abstractNumId w:val="6"/>
  </w:num>
  <w:num w:numId="3">
    <w:abstractNumId w:val="12"/>
  </w:num>
  <w:num w:numId="4">
    <w:abstractNumId w:val="13"/>
  </w:num>
  <w:num w:numId="5">
    <w:abstractNumId w:val="3"/>
  </w:num>
  <w:num w:numId="6">
    <w:abstractNumId w:val="0"/>
  </w:num>
  <w:num w:numId="7">
    <w:abstractNumId w:val="10"/>
  </w:num>
  <w:num w:numId="8">
    <w:abstractNumId w:val="4"/>
  </w:num>
  <w:num w:numId="9">
    <w:abstractNumId w:val="7"/>
  </w:num>
  <w:num w:numId="10">
    <w:abstractNumId w:val="2"/>
  </w:num>
  <w:num w:numId="11">
    <w:abstractNumId w:val="1"/>
  </w:num>
  <w:num w:numId="12">
    <w:abstractNumId w:val="1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806"/>
    <w:rsid w:val="000222A1"/>
    <w:rsid w:val="00026CD8"/>
    <w:rsid w:val="00031256"/>
    <w:rsid w:val="000324A2"/>
    <w:rsid w:val="0005198E"/>
    <w:rsid w:val="000531FE"/>
    <w:rsid w:val="0006053F"/>
    <w:rsid w:val="00084207"/>
    <w:rsid w:val="000853CF"/>
    <w:rsid w:val="00085EDC"/>
    <w:rsid w:val="000875A1"/>
    <w:rsid w:val="00091D7F"/>
    <w:rsid w:val="00091FFD"/>
    <w:rsid w:val="000A2960"/>
    <w:rsid w:val="000A2CF6"/>
    <w:rsid w:val="000A58EF"/>
    <w:rsid w:val="000B2CB7"/>
    <w:rsid w:val="000B7282"/>
    <w:rsid w:val="000C14DB"/>
    <w:rsid w:val="000C2EF8"/>
    <w:rsid w:val="000C3078"/>
    <w:rsid w:val="000D16C3"/>
    <w:rsid w:val="000E3461"/>
    <w:rsid w:val="000E42FD"/>
    <w:rsid w:val="000F0436"/>
    <w:rsid w:val="001016D6"/>
    <w:rsid w:val="00101CD5"/>
    <w:rsid w:val="00112B33"/>
    <w:rsid w:val="0011578A"/>
    <w:rsid w:val="001221D9"/>
    <w:rsid w:val="001222A4"/>
    <w:rsid w:val="00126667"/>
    <w:rsid w:val="00131BCD"/>
    <w:rsid w:val="00133773"/>
    <w:rsid w:val="001359EE"/>
    <w:rsid w:val="00136AC0"/>
    <w:rsid w:val="00142C6D"/>
    <w:rsid w:val="00150915"/>
    <w:rsid w:val="00150F9F"/>
    <w:rsid w:val="001515F7"/>
    <w:rsid w:val="001526B4"/>
    <w:rsid w:val="00153950"/>
    <w:rsid w:val="00163B8E"/>
    <w:rsid w:val="0016658D"/>
    <w:rsid w:val="0018115F"/>
    <w:rsid w:val="00182A7C"/>
    <w:rsid w:val="001851ED"/>
    <w:rsid w:val="001A19CB"/>
    <w:rsid w:val="001A5927"/>
    <w:rsid w:val="001B3B77"/>
    <w:rsid w:val="001C0A02"/>
    <w:rsid w:val="001C5969"/>
    <w:rsid w:val="001D1E5F"/>
    <w:rsid w:val="001D3ECD"/>
    <w:rsid w:val="001E2EFD"/>
    <w:rsid w:val="001E6F28"/>
    <w:rsid w:val="001E7877"/>
    <w:rsid w:val="001F5406"/>
    <w:rsid w:val="001F68D7"/>
    <w:rsid w:val="001F75A3"/>
    <w:rsid w:val="002045CD"/>
    <w:rsid w:val="00220682"/>
    <w:rsid w:val="00233C02"/>
    <w:rsid w:val="002342F0"/>
    <w:rsid w:val="002346C5"/>
    <w:rsid w:val="00242964"/>
    <w:rsid w:val="002457F7"/>
    <w:rsid w:val="00245C84"/>
    <w:rsid w:val="00246BD2"/>
    <w:rsid w:val="00251CBD"/>
    <w:rsid w:val="0025276E"/>
    <w:rsid w:val="00264A5A"/>
    <w:rsid w:val="0027477F"/>
    <w:rsid w:val="00283F8D"/>
    <w:rsid w:val="00296C72"/>
    <w:rsid w:val="002B1972"/>
    <w:rsid w:val="002B3ADC"/>
    <w:rsid w:val="002D0D3B"/>
    <w:rsid w:val="002D7BB2"/>
    <w:rsid w:val="002E54E6"/>
    <w:rsid w:val="002F2C80"/>
    <w:rsid w:val="002F3504"/>
    <w:rsid w:val="002F4FC7"/>
    <w:rsid w:val="002F64A3"/>
    <w:rsid w:val="00312E51"/>
    <w:rsid w:val="0031637D"/>
    <w:rsid w:val="00320185"/>
    <w:rsid w:val="003364E2"/>
    <w:rsid w:val="0036751A"/>
    <w:rsid w:val="00367C63"/>
    <w:rsid w:val="003803BC"/>
    <w:rsid w:val="00380FDD"/>
    <w:rsid w:val="00382B0B"/>
    <w:rsid w:val="003922B0"/>
    <w:rsid w:val="00392DB9"/>
    <w:rsid w:val="003A2A0B"/>
    <w:rsid w:val="003A6338"/>
    <w:rsid w:val="003A6C75"/>
    <w:rsid w:val="003B6C9B"/>
    <w:rsid w:val="003C788E"/>
    <w:rsid w:val="003E1648"/>
    <w:rsid w:val="003F2482"/>
    <w:rsid w:val="003F3244"/>
    <w:rsid w:val="003F715F"/>
    <w:rsid w:val="004022D2"/>
    <w:rsid w:val="00403804"/>
    <w:rsid w:val="004136A8"/>
    <w:rsid w:val="00415A63"/>
    <w:rsid w:val="00415D34"/>
    <w:rsid w:val="0042466B"/>
    <w:rsid w:val="0042645D"/>
    <w:rsid w:val="0043541A"/>
    <w:rsid w:val="00437DB1"/>
    <w:rsid w:val="00453CCC"/>
    <w:rsid w:val="00457660"/>
    <w:rsid w:val="00461275"/>
    <w:rsid w:val="0046239A"/>
    <w:rsid w:val="00463769"/>
    <w:rsid w:val="004668B5"/>
    <w:rsid w:val="004707CD"/>
    <w:rsid w:val="004727F1"/>
    <w:rsid w:val="00480DF6"/>
    <w:rsid w:val="00484760"/>
    <w:rsid w:val="004860CF"/>
    <w:rsid w:val="00491357"/>
    <w:rsid w:val="00492985"/>
    <w:rsid w:val="00494D84"/>
    <w:rsid w:val="004953F3"/>
    <w:rsid w:val="004A21B4"/>
    <w:rsid w:val="004A22FF"/>
    <w:rsid w:val="004B19C3"/>
    <w:rsid w:val="004C0D3E"/>
    <w:rsid w:val="004C3B12"/>
    <w:rsid w:val="004C4875"/>
    <w:rsid w:val="004D15A9"/>
    <w:rsid w:val="004D2FE6"/>
    <w:rsid w:val="004D6115"/>
    <w:rsid w:val="004D6838"/>
    <w:rsid w:val="004F3A25"/>
    <w:rsid w:val="00504BE1"/>
    <w:rsid w:val="00512F96"/>
    <w:rsid w:val="00515CEE"/>
    <w:rsid w:val="0052033D"/>
    <w:rsid w:val="00522E8B"/>
    <w:rsid w:val="005417CC"/>
    <w:rsid w:val="00545A23"/>
    <w:rsid w:val="00552FD8"/>
    <w:rsid w:val="00555F45"/>
    <w:rsid w:val="0056459F"/>
    <w:rsid w:val="005654B4"/>
    <w:rsid w:val="005719DE"/>
    <w:rsid w:val="00571F4C"/>
    <w:rsid w:val="00581B9F"/>
    <w:rsid w:val="00582D9A"/>
    <w:rsid w:val="00587A72"/>
    <w:rsid w:val="0059057E"/>
    <w:rsid w:val="00596C3C"/>
    <w:rsid w:val="005C0266"/>
    <w:rsid w:val="005C2DDA"/>
    <w:rsid w:val="005C4637"/>
    <w:rsid w:val="005C6B7F"/>
    <w:rsid w:val="005C7139"/>
    <w:rsid w:val="005D3F2B"/>
    <w:rsid w:val="005D46F2"/>
    <w:rsid w:val="005D4E8A"/>
    <w:rsid w:val="005E3C32"/>
    <w:rsid w:val="005E5ECE"/>
    <w:rsid w:val="00604FFD"/>
    <w:rsid w:val="006073D0"/>
    <w:rsid w:val="00610B49"/>
    <w:rsid w:val="00612A92"/>
    <w:rsid w:val="0061337F"/>
    <w:rsid w:val="00615B7B"/>
    <w:rsid w:val="00620AEA"/>
    <w:rsid w:val="00623574"/>
    <w:rsid w:val="00633CB1"/>
    <w:rsid w:val="006436A1"/>
    <w:rsid w:val="006519B9"/>
    <w:rsid w:val="00654C98"/>
    <w:rsid w:val="0066248F"/>
    <w:rsid w:val="006641E1"/>
    <w:rsid w:val="00676236"/>
    <w:rsid w:val="00696656"/>
    <w:rsid w:val="006A41F4"/>
    <w:rsid w:val="006B06A0"/>
    <w:rsid w:val="006C3827"/>
    <w:rsid w:val="006C418F"/>
    <w:rsid w:val="006C4297"/>
    <w:rsid w:val="006D5E64"/>
    <w:rsid w:val="006F7C53"/>
    <w:rsid w:val="007047F3"/>
    <w:rsid w:val="0071597B"/>
    <w:rsid w:val="007266EA"/>
    <w:rsid w:val="0073730D"/>
    <w:rsid w:val="007411FA"/>
    <w:rsid w:val="0074572A"/>
    <w:rsid w:val="00763070"/>
    <w:rsid w:val="007659B8"/>
    <w:rsid w:val="00767F40"/>
    <w:rsid w:val="0077589F"/>
    <w:rsid w:val="00792711"/>
    <w:rsid w:val="00794B59"/>
    <w:rsid w:val="007951F9"/>
    <w:rsid w:val="00795375"/>
    <w:rsid w:val="007A3414"/>
    <w:rsid w:val="007A6DF5"/>
    <w:rsid w:val="007B5C0E"/>
    <w:rsid w:val="007B6354"/>
    <w:rsid w:val="007C4703"/>
    <w:rsid w:val="007C66CC"/>
    <w:rsid w:val="007C76FD"/>
    <w:rsid w:val="007E2C43"/>
    <w:rsid w:val="007F5B03"/>
    <w:rsid w:val="007F5CF3"/>
    <w:rsid w:val="00805F85"/>
    <w:rsid w:val="00810E09"/>
    <w:rsid w:val="0081203F"/>
    <w:rsid w:val="00815342"/>
    <w:rsid w:val="008220AE"/>
    <w:rsid w:val="00823F0E"/>
    <w:rsid w:val="008259D9"/>
    <w:rsid w:val="008350DD"/>
    <w:rsid w:val="00841588"/>
    <w:rsid w:val="00841836"/>
    <w:rsid w:val="00844102"/>
    <w:rsid w:val="0084558F"/>
    <w:rsid w:val="00852B0B"/>
    <w:rsid w:val="00863EA6"/>
    <w:rsid w:val="0086545E"/>
    <w:rsid w:val="008711B8"/>
    <w:rsid w:val="008826E9"/>
    <w:rsid w:val="00883762"/>
    <w:rsid w:val="0088662E"/>
    <w:rsid w:val="00891776"/>
    <w:rsid w:val="008A15D4"/>
    <w:rsid w:val="008A2096"/>
    <w:rsid w:val="008B32AA"/>
    <w:rsid w:val="008B67E4"/>
    <w:rsid w:val="008C0779"/>
    <w:rsid w:val="008C4C08"/>
    <w:rsid w:val="008C6953"/>
    <w:rsid w:val="008E23E1"/>
    <w:rsid w:val="008E3C68"/>
    <w:rsid w:val="008E4E93"/>
    <w:rsid w:val="008E78B2"/>
    <w:rsid w:val="008F1335"/>
    <w:rsid w:val="008F6C20"/>
    <w:rsid w:val="0091500E"/>
    <w:rsid w:val="009160CE"/>
    <w:rsid w:val="00926383"/>
    <w:rsid w:val="00932ABE"/>
    <w:rsid w:val="00941557"/>
    <w:rsid w:val="009520C9"/>
    <w:rsid w:val="009569EB"/>
    <w:rsid w:val="00964EA7"/>
    <w:rsid w:val="00967CC8"/>
    <w:rsid w:val="0097690A"/>
    <w:rsid w:val="0099242F"/>
    <w:rsid w:val="00997954"/>
    <w:rsid w:val="009A074E"/>
    <w:rsid w:val="009A5E0F"/>
    <w:rsid w:val="009A709C"/>
    <w:rsid w:val="009A7FE1"/>
    <w:rsid w:val="009C6894"/>
    <w:rsid w:val="009E1BF0"/>
    <w:rsid w:val="009E6F2C"/>
    <w:rsid w:val="009F09A5"/>
    <w:rsid w:val="009F138F"/>
    <w:rsid w:val="009F630B"/>
    <w:rsid w:val="009F7B57"/>
    <w:rsid w:val="00A005F6"/>
    <w:rsid w:val="00A011EC"/>
    <w:rsid w:val="00A04BEA"/>
    <w:rsid w:val="00A07B05"/>
    <w:rsid w:val="00A1552F"/>
    <w:rsid w:val="00A16001"/>
    <w:rsid w:val="00A1798F"/>
    <w:rsid w:val="00A17BF7"/>
    <w:rsid w:val="00A33F72"/>
    <w:rsid w:val="00A5099B"/>
    <w:rsid w:val="00A60E57"/>
    <w:rsid w:val="00A63F9A"/>
    <w:rsid w:val="00A668D6"/>
    <w:rsid w:val="00A679AB"/>
    <w:rsid w:val="00A732F2"/>
    <w:rsid w:val="00A740E1"/>
    <w:rsid w:val="00A81C5B"/>
    <w:rsid w:val="00A848F1"/>
    <w:rsid w:val="00A939B5"/>
    <w:rsid w:val="00AA51FA"/>
    <w:rsid w:val="00AB2BBC"/>
    <w:rsid w:val="00AB51A1"/>
    <w:rsid w:val="00AB6562"/>
    <w:rsid w:val="00AB6D5A"/>
    <w:rsid w:val="00AC71C3"/>
    <w:rsid w:val="00AF63A8"/>
    <w:rsid w:val="00B0440D"/>
    <w:rsid w:val="00B171D9"/>
    <w:rsid w:val="00B23BA2"/>
    <w:rsid w:val="00B2476B"/>
    <w:rsid w:val="00B31CF8"/>
    <w:rsid w:val="00B32892"/>
    <w:rsid w:val="00B36AFC"/>
    <w:rsid w:val="00B424A5"/>
    <w:rsid w:val="00B4466B"/>
    <w:rsid w:val="00B63A38"/>
    <w:rsid w:val="00B70E1A"/>
    <w:rsid w:val="00B81AD3"/>
    <w:rsid w:val="00B81C6E"/>
    <w:rsid w:val="00B83AD8"/>
    <w:rsid w:val="00B83C87"/>
    <w:rsid w:val="00B944D4"/>
    <w:rsid w:val="00B949D3"/>
    <w:rsid w:val="00BA7AE2"/>
    <w:rsid w:val="00BB1D7F"/>
    <w:rsid w:val="00BB1F46"/>
    <w:rsid w:val="00BB65A5"/>
    <w:rsid w:val="00BC1D76"/>
    <w:rsid w:val="00BC2633"/>
    <w:rsid w:val="00BC658A"/>
    <w:rsid w:val="00BC7948"/>
    <w:rsid w:val="00BD03A6"/>
    <w:rsid w:val="00BD2323"/>
    <w:rsid w:val="00BD31D9"/>
    <w:rsid w:val="00BF00B0"/>
    <w:rsid w:val="00BF327D"/>
    <w:rsid w:val="00BF3A34"/>
    <w:rsid w:val="00C022F7"/>
    <w:rsid w:val="00C038F3"/>
    <w:rsid w:val="00C11A96"/>
    <w:rsid w:val="00C23B03"/>
    <w:rsid w:val="00C300CC"/>
    <w:rsid w:val="00C505FE"/>
    <w:rsid w:val="00C50933"/>
    <w:rsid w:val="00C5221B"/>
    <w:rsid w:val="00C543AB"/>
    <w:rsid w:val="00C54AD0"/>
    <w:rsid w:val="00C6273E"/>
    <w:rsid w:val="00C63A6F"/>
    <w:rsid w:val="00C67670"/>
    <w:rsid w:val="00C71AB0"/>
    <w:rsid w:val="00C72CD3"/>
    <w:rsid w:val="00C819D8"/>
    <w:rsid w:val="00CF61F3"/>
    <w:rsid w:val="00D00369"/>
    <w:rsid w:val="00D01B06"/>
    <w:rsid w:val="00D1107A"/>
    <w:rsid w:val="00D11EC5"/>
    <w:rsid w:val="00D145CF"/>
    <w:rsid w:val="00D17A1A"/>
    <w:rsid w:val="00D20609"/>
    <w:rsid w:val="00D312D4"/>
    <w:rsid w:val="00D313D5"/>
    <w:rsid w:val="00D34BCC"/>
    <w:rsid w:val="00D36918"/>
    <w:rsid w:val="00D54EDA"/>
    <w:rsid w:val="00D57486"/>
    <w:rsid w:val="00D77571"/>
    <w:rsid w:val="00D873AF"/>
    <w:rsid w:val="00D90C31"/>
    <w:rsid w:val="00DA1E44"/>
    <w:rsid w:val="00DA326E"/>
    <w:rsid w:val="00DA52AC"/>
    <w:rsid w:val="00DA596D"/>
    <w:rsid w:val="00DC5155"/>
    <w:rsid w:val="00DE2714"/>
    <w:rsid w:val="00DE5F8C"/>
    <w:rsid w:val="00DE78C6"/>
    <w:rsid w:val="00DF1070"/>
    <w:rsid w:val="00DF2149"/>
    <w:rsid w:val="00DF4DB1"/>
    <w:rsid w:val="00E003C6"/>
    <w:rsid w:val="00E048B0"/>
    <w:rsid w:val="00E30FF9"/>
    <w:rsid w:val="00E32863"/>
    <w:rsid w:val="00E34FCE"/>
    <w:rsid w:val="00E4200D"/>
    <w:rsid w:val="00E43CBE"/>
    <w:rsid w:val="00E44C94"/>
    <w:rsid w:val="00E45ECD"/>
    <w:rsid w:val="00E46ABA"/>
    <w:rsid w:val="00E50B43"/>
    <w:rsid w:val="00E557CC"/>
    <w:rsid w:val="00E5586E"/>
    <w:rsid w:val="00E55CB2"/>
    <w:rsid w:val="00E57651"/>
    <w:rsid w:val="00E66238"/>
    <w:rsid w:val="00E81661"/>
    <w:rsid w:val="00E822D6"/>
    <w:rsid w:val="00E846FC"/>
    <w:rsid w:val="00E9181C"/>
    <w:rsid w:val="00E963A2"/>
    <w:rsid w:val="00EB1F06"/>
    <w:rsid w:val="00EB21C8"/>
    <w:rsid w:val="00EB3EC4"/>
    <w:rsid w:val="00EB4830"/>
    <w:rsid w:val="00EB7EA0"/>
    <w:rsid w:val="00ED1447"/>
    <w:rsid w:val="00ED50F3"/>
    <w:rsid w:val="00ED573E"/>
    <w:rsid w:val="00ED5EDB"/>
    <w:rsid w:val="00EE3E7C"/>
    <w:rsid w:val="00EF3D0A"/>
    <w:rsid w:val="00EF5863"/>
    <w:rsid w:val="00F049EA"/>
    <w:rsid w:val="00F05D1F"/>
    <w:rsid w:val="00F22C05"/>
    <w:rsid w:val="00F42485"/>
    <w:rsid w:val="00F51274"/>
    <w:rsid w:val="00F571A2"/>
    <w:rsid w:val="00F57320"/>
    <w:rsid w:val="00F62F29"/>
    <w:rsid w:val="00F64FE5"/>
    <w:rsid w:val="00F7108F"/>
    <w:rsid w:val="00F752B6"/>
    <w:rsid w:val="00F82B77"/>
    <w:rsid w:val="00F82E6D"/>
    <w:rsid w:val="00F878DE"/>
    <w:rsid w:val="00F87F05"/>
    <w:rsid w:val="00F91583"/>
    <w:rsid w:val="00F9616A"/>
    <w:rsid w:val="00FA0F79"/>
    <w:rsid w:val="00FA377F"/>
    <w:rsid w:val="00FA43B6"/>
    <w:rsid w:val="00FB27FF"/>
    <w:rsid w:val="00FB2959"/>
    <w:rsid w:val="00FB5FA4"/>
    <w:rsid w:val="00FC27FD"/>
    <w:rsid w:val="00FD26F9"/>
    <w:rsid w:val="00FD3830"/>
    <w:rsid w:val="00FE0A1F"/>
    <w:rsid w:val="00FE15DD"/>
    <w:rsid w:val="00FF4A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unhideWhenUsed/>
    <w:rsid w:val="00FF4A43"/>
    <w:pPr>
      <w:spacing w:after="0" w:line="240" w:lineRule="auto"/>
    </w:pPr>
    <w:rPr>
      <w:sz w:val="20"/>
      <w:szCs w:val="20"/>
    </w:rPr>
  </w:style>
  <w:style w:type="character" w:customStyle="1" w:styleId="VrestekstsRakstz">
    <w:name w:val="Vēres teksts Rakstz."/>
    <w:basedOn w:val="Noklusjumarindkopasfonts"/>
    <w:link w:val="Vresteksts"/>
    <w:uiPriority w:val="99"/>
    <w:rsid w:val="00FF4A43"/>
    <w:rPr>
      <w:sz w:val="20"/>
      <w:szCs w:val="20"/>
    </w:rPr>
  </w:style>
  <w:style w:type="character" w:styleId="Vresatsauce">
    <w:name w:val="footnote reference"/>
    <w:aliases w:val="Footnotes refss,Fussnota,Footnote symbol,Footnote reference number,Times 10 Point,Exposant 3 Point,EN Footnote Reference,note TESI,Footnote,Footnote Reference Superscript"/>
    <w:basedOn w:val="Noklusjumarindkopasfonts"/>
    <w:uiPriority w:val="99"/>
    <w:unhideWhenUsed/>
    <w:rsid w:val="00FF4A43"/>
    <w:rPr>
      <w:vertAlign w:val="superscript"/>
    </w:rPr>
  </w:style>
  <w:style w:type="character" w:customStyle="1" w:styleId="Neatrisintapieminana1">
    <w:name w:val="Neatrisināta pieminēšana1"/>
    <w:basedOn w:val="Noklusjumarindkopasfonts"/>
    <w:uiPriority w:val="99"/>
    <w:semiHidden/>
    <w:unhideWhenUsed/>
    <w:rsid w:val="00C5221B"/>
    <w:rPr>
      <w:color w:val="605E5C"/>
      <w:shd w:val="clear" w:color="auto" w:fill="E1DFDD"/>
    </w:rPr>
  </w:style>
  <w:style w:type="paragraph" w:styleId="Prskatjums">
    <w:name w:val="Revision"/>
    <w:hidden/>
    <w:uiPriority w:val="99"/>
    <w:semiHidden/>
    <w:rsid w:val="000A2960"/>
    <w:pPr>
      <w:spacing w:after="0" w:line="240" w:lineRule="auto"/>
    </w:pPr>
  </w:style>
  <w:style w:type="paragraph" w:customStyle="1" w:styleId="tv2132">
    <w:name w:val="tv2132"/>
    <w:basedOn w:val="Parasts"/>
    <w:rsid w:val="00283F8D"/>
    <w:pPr>
      <w:spacing w:after="0" w:line="360" w:lineRule="auto"/>
      <w:ind w:firstLine="300"/>
    </w:pPr>
    <w:rPr>
      <w:rFonts w:ascii="Times New Roman" w:eastAsia="Times New Roman" w:hAnsi="Times New Roman" w:cs="Times New Roman"/>
      <w:color w:val="414142"/>
      <w:sz w:val="20"/>
      <w:szCs w:val="20"/>
      <w:lang w:eastAsia="lv-LV"/>
    </w:rPr>
  </w:style>
  <w:style w:type="paragraph" w:styleId="Bezatstarpm">
    <w:name w:val="No Spacing"/>
    <w:uiPriority w:val="1"/>
    <w:qFormat/>
    <w:rsid w:val="00F049E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78390837">
      <w:bodyDiv w:val="1"/>
      <w:marLeft w:val="0"/>
      <w:marRight w:val="0"/>
      <w:marTop w:val="0"/>
      <w:marBottom w:val="0"/>
      <w:divBdr>
        <w:top w:val="none" w:sz="0" w:space="0" w:color="auto"/>
        <w:left w:val="none" w:sz="0" w:space="0" w:color="auto"/>
        <w:bottom w:val="none" w:sz="0" w:space="0" w:color="auto"/>
        <w:right w:val="none" w:sz="0" w:space="0" w:color="auto"/>
      </w:divBdr>
    </w:div>
    <w:div w:id="1055468507">
      <w:bodyDiv w:val="1"/>
      <w:marLeft w:val="0"/>
      <w:marRight w:val="0"/>
      <w:marTop w:val="0"/>
      <w:marBottom w:val="0"/>
      <w:divBdr>
        <w:top w:val="none" w:sz="0" w:space="0" w:color="auto"/>
        <w:left w:val="none" w:sz="0" w:space="0" w:color="auto"/>
        <w:bottom w:val="none" w:sz="0" w:space="0" w:color="auto"/>
        <w:right w:val="none" w:sz="0" w:space="0" w:color="auto"/>
      </w:divBdr>
    </w:div>
    <w:div w:id="1067340525">
      <w:bodyDiv w:val="1"/>
      <w:marLeft w:val="0"/>
      <w:marRight w:val="0"/>
      <w:marTop w:val="0"/>
      <w:marBottom w:val="0"/>
      <w:divBdr>
        <w:top w:val="none" w:sz="0" w:space="0" w:color="auto"/>
        <w:left w:val="none" w:sz="0" w:space="0" w:color="auto"/>
        <w:bottom w:val="none" w:sz="0" w:space="0" w:color="auto"/>
        <w:right w:val="none" w:sz="0" w:space="0" w:color="auto"/>
      </w:divBdr>
    </w:div>
    <w:div w:id="1386375753">
      <w:bodyDiv w:val="1"/>
      <w:marLeft w:val="0"/>
      <w:marRight w:val="0"/>
      <w:marTop w:val="0"/>
      <w:marBottom w:val="0"/>
      <w:divBdr>
        <w:top w:val="none" w:sz="0" w:space="0" w:color="auto"/>
        <w:left w:val="none" w:sz="0" w:space="0" w:color="auto"/>
        <w:bottom w:val="none" w:sz="0" w:space="0" w:color="auto"/>
        <w:right w:val="none" w:sz="0" w:space="0" w:color="auto"/>
      </w:divBdr>
    </w:div>
    <w:div w:id="139804651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896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lde.Slisere@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Milevska@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08908-par-konceptualo-zinojumu-par-ekonomisko-lietu-tiesas-izveidi" TargetMode="External"/><Relationship Id="rId4" Type="http://schemas.openxmlformats.org/officeDocument/2006/relationships/settings" Target="settings.xml"/><Relationship Id="rId9" Type="http://schemas.openxmlformats.org/officeDocument/2006/relationships/hyperlink" Target="https://likumi.lv/ta/id/88966"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08B2-2D85-42B8-B94D-B09EBF38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32574</Words>
  <Characters>18568</Characters>
  <Application>Microsoft Office Word</Application>
  <DocSecurity>0</DocSecurity>
  <Lines>154</Lines>
  <Paragraphs>102</Paragraphs>
  <ScaleCrop>false</ScaleCrop>
  <HeadingPairs>
    <vt:vector size="2" baseType="variant">
      <vt:variant>
        <vt:lpstr>Nosaukums</vt:lpstr>
      </vt:variant>
      <vt:variant>
        <vt:i4>1</vt:i4>
      </vt:variant>
    </vt:vector>
  </HeadingPairs>
  <TitlesOfParts>
    <vt:vector size="1" baseType="lpstr">
      <vt:lpstr>Likumprojekta "Grozījumi Kriminālprocesa likumā" sākotnējās ietekmes novērtējuma ziņojums (anotācija)</vt:lpstr>
    </vt:vector>
  </TitlesOfParts>
  <Company>Tieslietu ministrija</Company>
  <LinksUpToDate>false</LinksUpToDate>
  <CharactersWithSpaces>51040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Lelde Šlisere;Kristine.Milevska@TM.GOV.LV</dc:creator>
  <dc:description>67036839, Lelde.Slisere@tm.gov.lv</dc:description>
  <cp:lastModifiedBy>Kristīne Miļevska</cp:lastModifiedBy>
  <cp:revision>3</cp:revision>
  <cp:lastPrinted>2019-12-09T09:30:00Z</cp:lastPrinted>
  <dcterms:created xsi:type="dcterms:W3CDTF">2019-12-30T07:15:00Z</dcterms:created>
  <dcterms:modified xsi:type="dcterms:W3CDTF">2019-12-30T07:15:00Z</dcterms:modified>
</cp:coreProperties>
</file>