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9A0" w:rsidRPr="00B55FCB" w:rsidRDefault="005F19A0" w:rsidP="005F19A0">
      <w:pPr>
        <w:jc w:val="center"/>
        <w:rPr>
          <w:b/>
        </w:rPr>
      </w:pPr>
      <w:bookmarkStart w:id="0" w:name="_GoBack"/>
      <w:bookmarkEnd w:id="0"/>
      <w:r w:rsidRPr="003E1F78">
        <w:rPr>
          <w:b/>
        </w:rPr>
        <w:t xml:space="preserve">Izziņa par atzinumos sniegtajiem iebildumiem </w:t>
      </w:r>
      <w:r w:rsidRPr="007020C2">
        <w:rPr>
          <w:b/>
          <w:szCs w:val="26"/>
        </w:rPr>
        <w:t>par Ministru kabineta noteikumu projektu</w:t>
      </w:r>
    </w:p>
    <w:p w:rsidR="005F19A0" w:rsidRPr="007020C2" w:rsidRDefault="005F19A0" w:rsidP="005F19A0">
      <w:pPr>
        <w:jc w:val="center"/>
        <w:rPr>
          <w:b/>
          <w:sz w:val="22"/>
        </w:rPr>
      </w:pPr>
      <w:r w:rsidRPr="002D4E2F">
        <w:rPr>
          <w:b/>
          <w:szCs w:val="26"/>
        </w:rPr>
        <w:t>“</w:t>
      </w:r>
      <w:r w:rsidRPr="002D4E2F">
        <w:rPr>
          <w:b/>
        </w:rPr>
        <w:t>Grozījumi Ministru kabineta 2011.</w:t>
      </w:r>
      <w:r w:rsidR="00825990">
        <w:rPr>
          <w:b/>
        </w:rPr>
        <w:t> </w:t>
      </w:r>
      <w:r w:rsidRPr="002D4E2F">
        <w:rPr>
          <w:b/>
        </w:rPr>
        <w:t>gada 21. jūnija noteikumos Nr.</w:t>
      </w:r>
      <w:r w:rsidR="00825990">
        <w:rPr>
          <w:b/>
        </w:rPr>
        <w:t> </w:t>
      </w:r>
      <w:r w:rsidRPr="002D4E2F">
        <w:rPr>
          <w:b/>
        </w:rPr>
        <w:t xml:space="preserve">485 </w:t>
      </w:r>
      <w:r w:rsidR="00825990">
        <w:rPr>
          <w:b/>
        </w:rPr>
        <w:t>“</w:t>
      </w:r>
      <w:r w:rsidRPr="002D4E2F">
        <w:rPr>
          <w:b/>
        </w:rPr>
        <w:t>Atsevišķu veidu bīstamo atkritumu apsaimniekošanas kārtība un prasības titāna dioksīda ražošanas iekārtu radīto emisiju ierobežošanai, kontrolei un monitoringam</w:t>
      </w:r>
      <w:r>
        <w:rPr>
          <w:b/>
          <w:szCs w:val="26"/>
        </w:rPr>
        <w:t>”” (VSS-962</w:t>
      </w:r>
      <w:r w:rsidRPr="007020C2">
        <w:rPr>
          <w:b/>
          <w:szCs w:val="26"/>
        </w:rPr>
        <w:t>)</w:t>
      </w:r>
    </w:p>
    <w:p w:rsidR="005F19A0" w:rsidRPr="003E1F78" w:rsidRDefault="005F19A0" w:rsidP="005F19A0">
      <w:pPr>
        <w:jc w:val="center"/>
        <w:rPr>
          <w:b/>
        </w:rPr>
      </w:pPr>
    </w:p>
    <w:p w:rsidR="005F19A0" w:rsidRPr="003E1F78" w:rsidRDefault="005F19A0" w:rsidP="005F19A0">
      <w:pPr>
        <w:pStyle w:val="naisf"/>
        <w:spacing w:before="0" w:after="0"/>
        <w:ind w:firstLine="720"/>
      </w:pPr>
    </w:p>
    <w:p w:rsidR="005F19A0" w:rsidRPr="003E1F78" w:rsidRDefault="005F19A0" w:rsidP="005F19A0">
      <w:pPr>
        <w:pStyle w:val="naisf"/>
        <w:spacing w:before="0" w:after="0"/>
        <w:ind w:firstLine="0"/>
        <w:jc w:val="center"/>
        <w:outlineLvl w:val="0"/>
        <w:rPr>
          <w:b/>
        </w:rPr>
      </w:pPr>
      <w:r w:rsidRPr="003E1F78">
        <w:rPr>
          <w:b/>
        </w:rPr>
        <w:t>I. Jautājumi, par kuriem saskaņošanā vienošanās nav panākta</w:t>
      </w:r>
    </w:p>
    <w:p w:rsidR="005F19A0" w:rsidRPr="003E1F78" w:rsidRDefault="005F19A0" w:rsidP="005F19A0">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3600"/>
        <w:gridCol w:w="3360"/>
        <w:gridCol w:w="2280"/>
        <w:gridCol w:w="1920"/>
      </w:tblGrid>
      <w:tr w:rsidR="005F19A0" w:rsidRPr="003E1F78" w:rsidTr="00AB22F5">
        <w:tc>
          <w:tcPr>
            <w:tcW w:w="708" w:type="dxa"/>
            <w:tcBorders>
              <w:top w:val="single" w:sz="6" w:space="0" w:color="000000"/>
              <w:left w:val="single" w:sz="6" w:space="0" w:color="000000"/>
              <w:bottom w:val="single" w:sz="6" w:space="0" w:color="000000"/>
              <w:right w:val="single" w:sz="6" w:space="0" w:color="000000"/>
            </w:tcBorders>
            <w:vAlign w:val="center"/>
          </w:tcPr>
          <w:p w:rsidR="005F19A0" w:rsidRPr="003E1F78" w:rsidRDefault="005F19A0" w:rsidP="00AB22F5">
            <w:pPr>
              <w:pStyle w:val="naisc"/>
              <w:spacing w:before="0" w:after="0"/>
            </w:pPr>
            <w:r w:rsidRPr="003E1F78">
              <w:t>Nr. p.k.</w:t>
            </w:r>
          </w:p>
        </w:tc>
        <w:tc>
          <w:tcPr>
            <w:tcW w:w="2400" w:type="dxa"/>
            <w:tcBorders>
              <w:top w:val="single" w:sz="6" w:space="0" w:color="000000"/>
              <w:left w:val="single" w:sz="6" w:space="0" w:color="000000"/>
              <w:bottom w:val="single" w:sz="6" w:space="0" w:color="000000"/>
              <w:right w:val="single" w:sz="6" w:space="0" w:color="000000"/>
            </w:tcBorders>
            <w:vAlign w:val="center"/>
          </w:tcPr>
          <w:p w:rsidR="005F19A0" w:rsidRPr="003E1F78" w:rsidRDefault="005F19A0" w:rsidP="00AB22F5">
            <w:pPr>
              <w:pStyle w:val="naisc"/>
              <w:spacing w:before="0" w:after="0"/>
              <w:ind w:firstLine="12"/>
            </w:pPr>
            <w:r w:rsidRPr="003E1F78">
              <w:t>Saskaņošanai nosūtītā projekta redakcija (konkrēta punkta (panta) redakcija)</w:t>
            </w:r>
          </w:p>
        </w:tc>
        <w:tc>
          <w:tcPr>
            <w:tcW w:w="3600" w:type="dxa"/>
            <w:tcBorders>
              <w:top w:val="single" w:sz="6" w:space="0" w:color="000000"/>
              <w:left w:val="single" w:sz="6" w:space="0" w:color="000000"/>
              <w:bottom w:val="single" w:sz="6" w:space="0" w:color="000000"/>
              <w:right w:val="single" w:sz="6" w:space="0" w:color="000000"/>
            </w:tcBorders>
            <w:vAlign w:val="center"/>
          </w:tcPr>
          <w:p w:rsidR="005F19A0" w:rsidRPr="003E1F78" w:rsidRDefault="005F19A0" w:rsidP="00AB22F5">
            <w:pPr>
              <w:pStyle w:val="naisc"/>
              <w:spacing w:before="0" w:after="0"/>
              <w:ind w:right="3"/>
            </w:pPr>
            <w:r w:rsidRPr="003E1F78">
              <w:t>Atzinumā norādītais ministrijas (citas institūcijas) iebildums, kā arī saskaņošanā papildus izteiktais iebildums par projekta konkrēto punktu (pantu)</w:t>
            </w:r>
          </w:p>
        </w:tc>
        <w:tc>
          <w:tcPr>
            <w:tcW w:w="3360" w:type="dxa"/>
            <w:tcBorders>
              <w:top w:val="single" w:sz="6" w:space="0" w:color="000000"/>
              <w:left w:val="single" w:sz="6" w:space="0" w:color="000000"/>
              <w:bottom w:val="single" w:sz="6" w:space="0" w:color="000000"/>
              <w:right w:val="single" w:sz="6" w:space="0" w:color="000000"/>
            </w:tcBorders>
            <w:vAlign w:val="center"/>
          </w:tcPr>
          <w:p w:rsidR="005F19A0" w:rsidRPr="003E1F78" w:rsidRDefault="005F19A0" w:rsidP="00AB22F5">
            <w:pPr>
              <w:pStyle w:val="naisc"/>
              <w:spacing w:before="0" w:after="0"/>
              <w:ind w:firstLine="21"/>
            </w:pPr>
            <w:r w:rsidRPr="003E1F78">
              <w:t>Atbildīgās ministrijas pamatojums iebilduma noraidījumam</w:t>
            </w:r>
          </w:p>
        </w:tc>
        <w:tc>
          <w:tcPr>
            <w:tcW w:w="2280" w:type="dxa"/>
            <w:tcBorders>
              <w:top w:val="single" w:sz="4" w:space="0" w:color="auto"/>
              <w:left w:val="single" w:sz="4" w:space="0" w:color="auto"/>
              <w:bottom w:val="single" w:sz="4" w:space="0" w:color="auto"/>
              <w:right w:val="single" w:sz="4" w:space="0" w:color="auto"/>
            </w:tcBorders>
            <w:vAlign w:val="center"/>
          </w:tcPr>
          <w:p w:rsidR="005F19A0" w:rsidRPr="003E1F78" w:rsidRDefault="005F19A0" w:rsidP="00AB22F5">
            <w:pPr>
              <w:jc w:val="center"/>
            </w:pPr>
            <w:r w:rsidRPr="003E1F78">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19A0" w:rsidRPr="003E1F78" w:rsidRDefault="005F19A0" w:rsidP="00AB22F5">
            <w:pPr>
              <w:jc w:val="center"/>
            </w:pPr>
            <w:r w:rsidRPr="003E1F78">
              <w:t>Projekta attiecīgā punkta (panta) galīgā redakcija</w:t>
            </w:r>
          </w:p>
        </w:tc>
      </w:tr>
      <w:tr w:rsidR="005F19A0" w:rsidRPr="003E1F78" w:rsidTr="00AB22F5">
        <w:tc>
          <w:tcPr>
            <w:tcW w:w="708" w:type="dxa"/>
            <w:tcBorders>
              <w:left w:val="single" w:sz="6" w:space="0" w:color="000000"/>
              <w:bottom w:val="single" w:sz="4" w:space="0" w:color="auto"/>
              <w:right w:val="single" w:sz="6" w:space="0" w:color="000000"/>
            </w:tcBorders>
          </w:tcPr>
          <w:p w:rsidR="005F19A0" w:rsidRPr="003E1F78" w:rsidRDefault="005F19A0" w:rsidP="00AB22F5">
            <w:pPr>
              <w:pStyle w:val="naisc"/>
              <w:spacing w:before="0" w:after="0"/>
              <w:ind w:firstLine="720"/>
            </w:pPr>
            <w:r w:rsidRPr="003E1F78">
              <w:t>-</w:t>
            </w:r>
          </w:p>
        </w:tc>
        <w:tc>
          <w:tcPr>
            <w:tcW w:w="2400" w:type="dxa"/>
            <w:tcBorders>
              <w:left w:val="single" w:sz="6" w:space="0" w:color="000000"/>
              <w:bottom w:val="single" w:sz="4" w:space="0" w:color="auto"/>
              <w:right w:val="single" w:sz="6" w:space="0" w:color="000000"/>
            </w:tcBorders>
          </w:tcPr>
          <w:p w:rsidR="005F19A0" w:rsidRPr="003E1F78" w:rsidRDefault="005F19A0" w:rsidP="00AB22F5">
            <w:pPr>
              <w:pStyle w:val="naisc"/>
              <w:spacing w:before="0" w:after="0"/>
            </w:pPr>
          </w:p>
        </w:tc>
        <w:tc>
          <w:tcPr>
            <w:tcW w:w="3600" w:type="dxa"/>
            <w:tcBorders>
              <w:left w:val="single" w:sz="6" w:space="0" w:color="000000"/>
              <w:bottom w:val="single" w:sz="4" w:space="0" w:color="auto"/>
              <w:right w:val="single" w:sz="6" w:space="0" w:color="000000"/>
            </w:tcBorders>
          </w:tcPr>
          <w:p w:rsidR="005F19A0" w:rsidRPr="003E1F78" w:rsidRDefault="005F19A0" w:rsidP="00AB22F5">
            <w:pPr>
              <w:autoSpaceDE w:val="0"/>
              <w:autoSpaceDN w:val="0"/>
              <w:adjustRightInd w:val="0"/>
              <w:jc w:val="center"/>
              <w:rPr>
                <w:b/>
              </w:rPr>
            </w:pPr>
          </w:p>
        </w:tc>
        <w:tc>
          <w:tcPr>
            <w:tcW w:w="3360" w:type="dxa"/>
            <w:tcBorders>
              <w:left w:val="single" w:sz="6" w:space="0" w:color="000000"/>
              <w:bottom w:val="single" w:sz="4" w:space="0" w:color="auto"/>
              <w:right w:val="single" w:sz="6" w:space="0" w:color="000000"/>
            </w:tcBorders>
          </w:tcPr>
          <w:p w:rsidR="005F19A0" w:rsidRPr="003E1F78" w:rsidRDefault="005F19A0" w:rsidP="00AB22F5">
            <w:pPr>
              <w:pStyle w:val="naisc"/>
              <w:spacing w:before="0" w:after="0"/>
              <w:ind w:firstLine="720"/>
              <w:rPr>
                <w:b/>
              </w:rPr>
            </w:pPr>
          </w:p>
        </w:tc>
        <w:tc>
          <w:tcPr>
            <w:tcW w:w="2280" w:type="dxa"/>
            <w:tcBorders>
              <w:top w:val="single" w:sz="4" w:space="0" w:color="auto"/>
              <w:left w:val="single" w:sz="4" w:space="0" w:color="auto"/>
              <w:bottom w:val="single" w:sz="4" w:space="0" w:color="auto"/>
              <w:right w:val="single" w:sz="4" w:space="0" w:color="auto"/>
            </w:tcBorders>
          </w:tcPr>
          <w:p w:rsidR="005F19A0" w:rsidRPr="003E1F78" w:rsidRDefault="005F19A0" w:rsidP="00AB22F5">
            <w:pPr>
              <w:jc w:val="center"/>
            </w:pPr>
          </w:p>
        </w:tc>
        <w:tc>
          <w:tcPr>
            <w:tcW w:w="1920" w:type="dxa"/>
            <w:tcBorders>
              <w:top w:val="single" w:sz="4" w:space="0" w:color="auto"/>
              <w:left w:val="single" w:sz="4" w:space="0" w:color="auto"/>
              <w:bottom w:val="single" w:sz="4" w:space="0" w:color="auto"/>
              <w:right w:val="single" w:sz="4" w:space="0" w:color="auto"/>
            </w:tcBorders>
          </w:tcPr>
          <w:p w:rsidR="005F19A0" w:rsidRPr="003E1F78" w:rsidRDefault="005F19A0" w:rsidP="00AB22F5">
            <w:pPr>
              <w:jc w:val="center"/>
            </w:pPr>
          </w:p>
        </w:tc>
      </w:tr>
    </w:tbl>
    <w:p w:rsidR="005F19A0" w:rsidRPr="003E1F78" w:rsidRDefault="005F19A0" w:rsidP="005F19A0">
      <w:pPr>
        <w:pStyle w:val="naisf"/>
        <w:spacing w:before="0" w:after="0"/>
        <w:ind w:firstLine="0"/>
        <w:outlineLvl w:val="0"/>
        <w:rPr>
          <w:b/>
        </w:rPr>
      </w:pPr>
    </w:p>
    <w:p w:rsidR="005F19A0" w:rsidRPr="003E1F78" w:rsidRDefault="005F19A0" w:rsidP="005F19A0">
      <w:pPr>
        <w:pStyle w:val="naisf"/>
        <w:spacing w:before="0" w:after="0"/>
        <w:ind w:firstLine="0"/>
        <w:outlineLvl w:val="0"/>
        <w:rPr>
          <w:b/>
        </w:rPr>
      </w:pPr>
      <w:r w:rsidRPr="003E1F78">
        <w:rPr>
          <w:b/>
        </w:rPr>
        <w:t>Informācija par starpministriju (starpinstitūciju) sanāksmi vai elektronisko saskaņošanu</w:t>
      </w:r>
    </w:p>
    <w:p w:rsidR="005F19A0" w:rsidRPr="003E1F78" w:rsidRDefault="005F19A0" w:rsidP="005F19A0">
      <w:pPr>
        <w:pStyle w:val="naisf"/>
        <w:spacing w:before="0" w:after="0"/>
        <w:ind w:firstLine="0"/>
        <w:rPr>
          <w:b/>
        </w:rPr>
      </w:pPr>
    </w:p>
    <w:tbl>
      <w:tblPr>
        <w:tblW w:w="13908" w:type="dxa"/>
        <w:tblLook w:val="00A0" w:firstRow="1" w:lastRow="0" w:firstColumn="1" w:lastColumn="0" w:noHBand="0" w:noVBand="0"/>
      </w:tblPr>
      <w:tblGrid>
        <w:gridCol w:w="6708"/>
        <w:gridCol w:w="7200"/>
      </w:tblGrid>
      <w:tr w:rsidR="005F19A0" w:rsidRPr="003E1F78" w:rsidTr="00AB22F5">
        <w:tc>
          <w:tcPr>
            <w:tcW w:w="6708" w:type="dxa"/>
          </w:tcPr>
          <w:p w:rsidR="005F19A0" w:rsidRPr="003E1F78" w:rsidRDefault="005F19A0" w:rsidP="00AB22F5">
            <w:pPr>
              <w:pStyle w:val="naisf"/>
              <w:spacing w:before="0" w:after="0"/>
              <w:ind w:firstLine="0"/>
            </w:pPr>
            <w:r w:rsidRPr="003E1F78">
              <w:t>Datums</w:t>
            </w:r>
          </w:p>
        </w:tc>
        <w:tc>
          <w:tcPr>
            <w:tcW w:w="7200" w:type="dxa"/>
            <w:tcBorders>
              <w:bottom w:val="single" w:sz="4" w:space="0" w:color="auto"/>
            </w:tcBorders>
          </w:tcPr>
          <w:p w:rsidR="005F19A0" w:rsidRPr="003E1F78" w:rsidRDefault="005F19A0" w:rsidP="00AB22F5">
            <w:pPr>
              <w:pStyle w:val="NormalWeb"/>
              <w:spacing w:before="0" w:beforeAutospacing="0" w:after="0" w:afterAutospacing="0"/>
              <w:ind w:firstLine="720"/>
            </w:pPr>
            <w:r>
              <w:t>Elektroniskā saskaņošana 2019</w:t>
            </w:r>
            <w:r w:rsidRPr="003E1F78">
              <w:t>.</w:t>
            </w:r>
            <w:r w:rsidR="002D4E2F">
              <w:t> gada 14</w:t>
            </w:r>
            <w:r>
              <w:t>.novembrī</w:t>
            </w:r>
          </w:p>
        </w:tc>
      </w:tr>
      <w:tr w:rsidR="005F19A0" w:rsidRPr="003E1F78" w:rsidTr="00AB22F5">
        <w:tc>
          <w:tcPr>
            <w:tcW w:w="6708" w:type="dxa"/>
          </w:tcPr>
          <w:p w:rsidR="005F19A0" w:rsidRPr="003E1F78" w:rsidRDefault="005F19A0" w:rsidP="00AB22F5">
            <w:pPr>
              <w:pStyle w:val="naisf"/>
              <w:spacing w:before="0" w:after="0"/>
              <w:ind w:firstLine="0"/>
            </w:pPr>
          </w:p>
        </w:tc>
        <w:tc>
          <w:tcPr>
            <w:tcW w:w="7200" w:type="dxa"/>
            <w:tcBorders>
              <w:top w:val="single" w:sz="4" w:space="0" w:color="auto"/>
            </w:tcBorders>
          </w:tcPr>
          <w:p w:rsidR="005F19A0" w:rsidRPr="003E1F78" w:rsidRDefault="005F19A0" w:rsidP="00AB22F5">
            <w:pPr>
              <w:pStyle w:val="NormalWeb"/>
              <w:spacing w:before="0" w:beforeAutospacing="0" w:after="0" w:afterAutospacing="0"/>
              <w:ind w:firstLine="720"/>
            </w:pPr>
          </w:p>
        </w:tc>
      </w:tr>
      <w:tr w:rsidR="005F19A0" w:rsidRPr="003E1F78" w:rsidTr="00AB22F5">
        <w:tc>
          <w:tcPr>
            <w:tcW w:w="6708" w:type="dxa"/>
          </w:tcPr>
          <w:p w:rsidR="005F19A0" w:rsidRPr="003E1F78" w:rsidRDefault="005F19A0" w:rsidP="00AB22F5">
            <w:pPr>
              <w:pStyle w:val="naiskr"/>
              <w:spacing w:before="0" w:after="0"/>
            </w:pPr>
            <w:r w:rsidRPr="003E1F78">
              <w:t>Saskaņošanas dalībnieki</w:t>
            </w:r>
          </w:p>
        </w:tc>
        <w:tc>
          <w:tcPr>
            <w:tcW w:w="7200" w:type="dxa"/>
          </w:tcPr>
          <w:p w:rsidR="005F19A0" w:rsidRPr="003E1F78" w:rsidRDefault="005F19A0" w:rsidP="005F19A0">
            <w:pPr>
              <w:pStyle w:val="naiskr"/>
              <w:spacing w:before="0" w:after="0"/>
              <w:ind w:firstLine="12"/>
              <w:jc w:val="both"/>
            </w:pPr>
            <w:r>
              <w:t>Tieslietu ministrija, Finanšu ministrija, Ekonomikas ministrija, Veselības ministrija, Latvijas Pašvaldību savienība</w:t>
            </w:r>
          </w:p>
        </w:tc>
      </w:tr>
      <w:tr w:rsidR="005F19A0" w:rsidRPr="003E1F78" w:rsidTr="00AB22F5">
        <w:trPr>
          <w:trHeight w:val="285"/>
        </w:trPr>
        <w:tc>
          <w:tcPr>
            <w:tcW w:w="6708" w:type="dxa"/>
          </w:tcPr>
          <w:p w:rsidR="005F19A0" w:rsidRPr="003E1F78" w:rsidRDefault="005F19A0" w:rsidP="00AB22F5">
            <w:pPr>
              <w:pStyle w:val="naiskr"/>
              <w:spacing w:before="0" w:after="0"/>
            </w:pPr>
          </w:p>
        </w:tc>
        <w:tc>
          <w:tcPr>
            <w:tcW w:w="7200" w:type="dxa"/>
          </w:tcPr>
          <w:p w:rsidR="005F19A0" w:rsidRPr="003E1F78" w:rsidRDefault="005F19A0" w:rsidP="00AB22F5">
            <w:pPr>
              <w:pStyle w:val="naiskr"/>
              <w:spacing w:before="0" w:after="0"/>
              <w:ind w:firstLine="12"/>
              <w:jc w:val="both"/>
            </w:pPr>
          </w:p>
        </w:tc>
      </w:tr>
      <w:tr w:rsidR="005F19A0" w:rsidRPr="003E1F78" w:rsidTr="00AB22F5">
        <w:trPr>
          <w:trHeight w:val="285"/>
        </w:trPr>
        <w:tc>
          <w:tcPr>
            <w:tcW w:w="6708" w:type="dxa"/>
          </w:tcPr>
          <w:p w:rsidR="005F19A0" w:rsidRPr="003E1F78" w:rsidRDefault="005F19A0" w:rsidP="00AB22F5">
            <w:pPr>
              <w:pStyle w:val="naiskr"/>
              <w:spacing w:before="0" w:after="0"/>
              <w:jc w:val="both"/>
            </w:pPr>
            <w:r w:rsidRPr="003E1F78">
              <w:t>Saskaņošanas dalībnieki izskatīja šādu ministriju (citu institūciju) iebildumus</w:t>
            </w:r>
          </w:p>
        </w:tc>
        <w:tc>
          <w:tcPr>
            <w:tcW w:w="7200" w:type="dxa"/>
          </w:tcPr>
          <w:p w:rsidR="005F19A0" w:rsidRPr="003E1F78" w:rsidRDefault="005F19A0" w:rsidP="00AB22F5">
            <w:pPr>
              <w:pStyle w:val="naiskr"/>
              <w:spacing w:before="0" w:after="0"/>
              <w:ind w:firstLine="12"/>
              <w:jc w:val="both"/>
              <w:rPr>
                <w:color w:val="000000"/>
              </w:rPr>
            </w:pPr>
            <w:r w:rsidRPr="003E1F78">
              <w:rPr>
                <w:color w:val="000000"/>
              </w:rPr>
              <w:t>Tieslietu ministrija</w:t>
            </w:r>
          </w:p>
        </w:tc>
      </w:tr>
      <w:tr w:rsidR="005F19A0" w:rsidRPr="003E1F78" w:rsidTr="00AB22F5">
        <w:trPr>
          <w:trHeight w:val="465"/>
        </w:trPr>
        <w:tc>
          <w:tcPr>
            <w:tcW w:w="6708" w:type="dxa"/>
          </w:tcPr>
          <w:p w:rsidR="005F19A0" w:rsidRPr="003E1F78" w:rsidRDefault="005F19A0" w:rsidP="00AB22F5">
            <w:pPr>
              <w:pStyle w:val="naiskr"/>
              <w:spacing w:before="0" w:after="0"/>
              <w:jc w:val="both"/>
            </w:pPr>
          </w:p>
        </w:tc>
        <w:tc>
          <w:tcPr>
            <w:tcW w:w="7200" w:type="dxa"/>
            <w:tcBorders>
              <w:top w:val="single" w:sz="6" w:space="0" w:color="000000"/>
              <w:bottom w:val="single" w:sz="6" w:space="0" w:color="000000"/>
            </w:tcBorders>
          </w:tcPr>
          <w:p w:rsidR="005F19A0" w:rsidRPr="003E1F78" w:rsidRDefault="005F19A0" w:rsidP="00AB22F5">
            <w:pPr>
              <w:pStyle w:val="NormalWeb"/>
              <w:spacing w:before="0" w:beforeAutospacing="0" w:after="0" w:afterAutospacing="0"/>
              <w:jc w:val="both"/>
            </w:pPr>
          </w:p>
        </w:tc>
      </w:tr>
      <w:tr w:rsidR="005F19A0" w:rsidRPr="003E1F78" w:rsidTr="00AB22F5">
        <w:trPr>
          <w:gridAfter w:val="1"/>
          <w:wAfter w:w="7200" w:type="dxa"/>
        </w:trPr>
        <w:tc>
          <w:tcPr>
            <w:tcW w:w="6708" w:type="dxa"/>
          </w:tcPr>
          <w:p w:rsidR="005F19A0" w:rsidRDefault="005F19A0" w:rsidP="00AB22F5">
            <w:pPr>
              <w:pStyle w:val="naiskr"/>
              <w:spacing w:before="0" w:after="0"/>
              <w:jc w:val="both"/>
            </w:pPr>
            <w:r w:rsidRPr="003E1F78">
              <w:t>Ministrijas (citas institūcijas), kuras nav ieradušās uz sanāksmi vai kuras nav atbildējušas uz uzaicinājumu piedalīties elektroniskajā saskaņošanā</w:t>
            </w:r>
          </w:p>
          <w:p w:rsidR="005F19A0" w:rsidRPr="003E1F78" w:rsidRDefault="005F19A0" w:rsidP="00AB22F5">
            <w:pPr>
              <w:pStyle w:val="naiskr"/>
              <w:spacing w:before="0" w:after="0"/>
              <w:jc w:val="both"/>
            </w:pPr>
          </w:p>
        </w:tc>
      </w:tr>
    </w:tbl>
    <w:p w:rsidR="005F19A0" w:rsidRDefault="005F19A0" w:rsidP="005F19A0"/>
    <w:p w:rsidR="005F19A0" w:rsidRPr="003E1F78" w:rsidRDefault="005F19A0" w:rsidP="005F19A0">
      <w:pPr>
        <w:pStyle w:val="naisf"/>
        <w:spacing w:before="0" w:after="0"/>
        <w:ind w:firstLine="0"/>
        <w:jc w:val="center"/>
        <w:outlineLvl w:val="0"/>
        <w:rPr>
          <w:b/>
        </w:rPr>
      </w:pPr>
      <w:r w:rsidRPr="003E1F78">
        <w:rPr>
          <w:b/>
        </w:rPr>
        <w:t>II. Jautājumi, par kuriem saskaņošanā vienošanās ir panākta</w:t>
      </w:r>
    </w:p>
    <w:p w:rsidR="005F19A0" w:rsidRPr="003E1F78" w:rsidRDefault="005F19A0" w:rsidP="005F19A0">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977"/>
        <w:gridCol w:w="4394"/>
        <w:gridCol w:w="2835"/>
        <w:gridCol w:w="3686"/>
      </w:tblGrid>
      <w:tr w:rsidR="005F19A0" w:rsidRPr="003E1F78" w:rsidTr="00AB22F5">
        <w:tc>
          <w:tcPr>
            <w:tcW w:w="675" w:type="dxa"/>
            <w:tcBorders>
              <w:top w:val="single" w:sz="6" w:space="0" w:color="000000"/>
              <w:left w:val="single" w:sz="6" w:space="0" w:color="000000"/>
              <w:bottom w:val="single" w:sz="6" w:space="0" w:color="000000"/>
              <w:right w:val="single" w:sz="6" w:space="0" w:color="000000"/>
            </w:tcBorders>
          </w:tcPr>
          <w:p w:rsidR="005F19A0" w:rsidRPr="003E1F78" w:rsidRDefault="005F19A0" w:rsidP="00AB22F5">
            <w:pPr>
              <w:pStyle w:val="naisc"/>
              <w:spacing w:before="0" w:after="0"/>
              <w:jc w:val="both"/>
              <w:rPr>
                <w:b/>
              </w:rPr>
            </w:pPr>
            <w:r w:rsidRPr="003E1F78">
              <w:rPr>
                <w:b/>
              </w:rPr>
              <w:t>Nr. p.k.</w:t>
            </w:r>
          </w:p>
        </w:tc>
        <w:tc>
          <w:tcPr>
            <w:tcW w:w="2977" w:type="dxa"/>
            <w:tcBorders>
              <w:top w:val="single" w:sz="6" w:space="0" w:color="000000"/>
              <w:left w:val="single" w:sz="6" w:space="0" w:color="000000"/>
              <w:bottom w:val="single" w:sz="6" w:space="0" w:color="000000"/>
              <w:right w:val="single" w:sz="6" w:space="0" w:color="000000"/>
            </w:tcBorders>
            <w:vAlign w:val="center"/>
          </w:tcPr>
          <w:p w:rsidR="005F19A0" w:rsidRPr="00CE33D2" w:rsidRDefault="005F19A0" w:rsidP="00AB22F5">
            <w:pPr>
              <w:pStyle w:val="naisc"/>
              <w:spacing w:before="0" w:after="0"/>
              <w:ind w:firstLine="12"/>
              <w:jc w:val="both"/>
              <w:rPr>
                <w:b/>
              </w:rPr>
            </w:pPr>
            <w:r w:rsidRPr="00CE33D2">
              <w:rPr>
                <w:b/>
              </w:rPr>
              <w:t>Saskaņošanai nosūtītā projekta redakcija (konkrēta punkta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5F19A0" w:rsidRPr="00DF5371" w:rsidRDefault="005F19A0" w:rsidP="00AB22F5">
            <w:pPr>
              <w:pStyle w:val="naisc"/>
              <w:spacing w:before="0" w:after="0"/>
              <w:ind w:right="3"/>
              <w:jc w:val="both"/>
              <w:rPr>
                <w:b/>
              </w:rPr>
            </w:pPr>
            <w:r w:rsidRPr="00DF5371">
              <w:rPr>
                <w:b/>
              </w:rPr>
              <w:t xml:space="preserve">Atzinumā norādītais ministrijas (citas institūcijas) iebildums, kā arī saskaņošanā papildus izteiktais iebildums par projekta konkrēto punktu </w:t>
            </w:r>
          </w:p>
        </w:tc>
        <w:tc>
          <w:tcPr>
            <w:tcW w:w="2835" w:type="dxa"/>
            <w:tcBorders>
              <w:top w:val="single" w:sz="6" w:space="0" w:color="000000"/>
              <w:left w:val="single" w:sz="6" w:space="0" w:color="000000"/>
              <w:bottom w:val="single" w:sz="6" w:space="0" w:color="000000"/>
              <w:right w:val="single" w:sz="6" w:space="0" w:color="000000"/>
            </w:tcBorders>
            <w:vAlign w:val="center"/>
          </w:tcPr>
          <w:p w:rsidR="005F19A0" w:rsidRPr="00DF5371" w:rsidRDefault="005F19A0" w:rsidP="00AB22F5">
            <w:pPr>
              <w:pStyle w:val="naisc"/>
              <w:spacing w:before="0" w:after="0"/>
              <w:ind w:firstLine="21"/>
              <w:jc w:val="both"/>
              <w:rPr>
                <w:b/>
              </w:rPr>
            </w:pPr>
            <w:r w:rsidRPr="00DF5371">
              <w:rPr>
                <w:b/>
              </w:rPr>
              <w:t>Atbildīgās ministrijas norāde par to, ka iebildums ir ņemts vērā, vai informācija par saskaņošanā panākto alternatīvo risinājumu</w:t>
            </w:r>
          </w:p>
        </w:tc>
        <w:tc>
          <w:tcPr>
            <w:tcW w:w="3686" w:type="dxa"/>
            <w:tcBorders>
              <w:top w:val="single" w:sz="4" w:space="0" w:color="auto"/>
              <w:left w:val="single" w:sz="4" w:space="0" w:color="auto"/>
              <w:bottom w:val="single" w:sz="4" w:space="0" w:color="auto"/>
            </w:tcBorders>
            <w:vAlign w:val="center"/>
          </w:tcPr>
          <w:p w:rsidR="005F19A0" w:rsidRPr="00DF5371" w:rsidRDefault="005F19A0" w:rsidP="00AB22F5">
            <w:pPr>
              <w:jc w:val="both"/>
              <w:rPr>
                <w:b/>
              </w:rPr>
            </w:pPr>
            <w:r w:rsidRPr="00DF5371">
              <w:rPr>
                <w:b/>
              </w:rPr>
              <w:t>Projekta attiecīgā punkta galīgā redakcija</w:t>
            </w:r>
          </w:p>
        </w:tc>
      </w:tr>
      <w:tr w:rsidR="005F19A0" w:rsidRPr="003E1F78" w:rsidTr="00D52CF7">
        <w:tc>
          <w:tcPr>
            <w:tcW w:w="675" w:type="dxa"/>
            <w:tcBorders>
              <w:top w:val="single" w:sz="6" w:space="0" w:color="000000"/>
              <w:left w:val="single" w:sz="6" w:space="0" w:color="000000"/>
              <w:bottom w:val="single" w:sz="6" w:space="0" w:color="000000"/>
              <w:right w:val="single" w:sz="6" w:space="0" w:color="000000"/>
            </w:tcBorders>
          </w:tcPr>
          <w:p w:rsidR="005F19A0" w:rsidRPr="005F19A0" w:rsidRDefault="005F19A0" w:rsidP="00D52CF7">
            <w:pPr>
              <w:pStyle w:val="naisc"/>
              <w:spacing w:before="0" w:after="0"/>
              <w:jc w:val="left"/>
            </w:pPr>
            <w:r w:rsidRPr="005F19A0">
              <w:t>1.</w:t>
            </w:r>
          </w:p>
        </w:tc>
        <w:tc>
          <w:tcPr>
            <w:tcW w:w="2977" w:type="dxa"/>
            <w:tcBorders>
              <w:top w:val="single" w:sz="6" w:space="0" w:color="000000"/>
              <w:left w:val="single" w:sz="6" w:space="0" w:color="000000"/>
              <w:bottom w:val="single" w:sz="6" w:space="0" w:color="000000"/>
              <w:right w:val="single" w:sz="6" w:space="0" w:color="000000"/>
            </w:tcBorders>
          </w:tcPr>
          <w:p w:rsidR="00D52CF7" w:rsidRPr="00D52CF7" w:rsidRDefault="00D52CF7" w:rsidP="00D52CF7">
            <w:pPr>
              <w:pStyle w:val="modref"/>
              <w:jc w:val="both"/>
              <w:rPr>
                <w:szCs w:val="28"/>
              </w:rPr>
            </w:pPr>
            <w:r w:rsidRPr="00D52CF7">
              <w:rPr>
                <w:szCs w:val="28"/>
              </w:rPr>
              <w:t>“9.2. netiek sajaukti naftas produktu atkritumi ar cita veida atkritumiem vai vielām, ja šāda sajaukšana traucē to turpmāko reģenerāciju vai pārstrādi citā veidā, kas no vides aizsardzības viedokļa ir līdzvērtīga vai efektīvāka nekā reģenerācija.</w:t>
            </w:r>
          </w:p>
          <w:p w:rsidR="00D52CF7" w:rsidRPr="00D52CF7" w:rsidRDefault="00D52CF7" w:rsidP="00D52CF7">
            <w:pPr>
              <w:pStyle w:val="norm"/>
              <w:jc w:val="both"/>
              <w:rPr>
                <w:szCs w:val="28"/>
              </w:rPr>
            </w:pPr>
            <w:r w:rsidRPr="00D52CF7" w:rsidDel="00B84D13">
              <w:rPr>
                <w:szCs w:val="28"/>
              </w:rPr>
              <w:t xml:space="preserve"> </w:t>
            </w:r>
            <w:r w:rsidRPr="00D52CF7">
              <w:rPr>
                <w:szCs w:val="28"/>
              </w:rPr>
              <w:t>9.3. tiek veikta naftas produktu atkritumu reģenerācija vai pārstrāde citā veidā, kas no vides aizsardzības viedokļa ir līdzvērtīga vai efektīvāka nekā reģenerācija.”</w:t>
            </w:r>
          </w:p>
          <w:p w:rsidR="005F19A0" w:rsidRPr="00D52CF7" w:rsidRDefault="00D52CF7" w:rsidP="00D52CF7">
            <w:pPr>
              <w:pStyle w:val="norm"/>
              <w:jc w:val="both"/>
              <w:rPr>
                <w:sz w:val="28"/>
                <w:szCs w:val="28"/>
              </w:rPr>
            </w:pPr>
            <w:r w:rsidRPr="00D52CF7" w:rsidDel="00B84D13">
              <w:rPr>
                <w:szCs w:val="28"/>
              </w:rPr>
              <w:lastRenderedPageBreak/>
              <w:t xml:space="preserve"> </w:t>
            </w:r>
            <w:r w:rsidRPr="00D52CF7">
              <w:rPr>
                <w:szCs w:val="28"/>
              </w:rPr>
              <w:t>9.4. tiek veikta naftas produktu atkritumu pārstrāde tādā veidā, kas no vides aizsardzības viedokļa nav līdzvērtīga vai efektīvāka nekā reģenerācija.”</w:t>
            </w:r>
          </w:p>
        </w:tc>
        <w:tc>
          <w:tcPr>
            <w:tcW w:w="4394" w:type="dxa"/>
            <w:tcBorders>
              <w:top w:val="single" w:sz="6" w:space="0" w:color="000000"/>
              <w:left w:val="single" w:sz="6" w:space="0" w:color="000000"/>
              <w:bottom w:val="single" w:sz="6" w:space="0" w:color="000000"/>
              <w:right w:val="single" w:sz="6" w:space="0" w:color="000000"/>
            </w:tcBorders>
          </w:tcPr>
          <w:p w:rsidR="005F19A0" w:rsidRPr="005F19A0" w:rsidRDefault="005F19A0" w:rsidP="00D52CF7">
            <w:pPr>
              <w:ind w:firstLine="709"/>
              <w:jc w:val="both"/>
              <w:rPr>
                <w:b/>
              </w:rPr>
            </w:pPr>
            <w:r w:rsidRPr="005F19A0">
              <w:rPr>
                <w:b/>
              </w:rPr>
              <w:lastRenderedPageBreak/>
              <w:t>Tieslietu ministrija:</w:t>
            </w:r>
          </w:p>
          <w:p w:rsidR="005F19A0" w:rsidRPr="005F19A0" w:rsidRDefault="005F19A0" w:rsidP="00D52CF7">
            <w:pPr>
              <w:ind w:firstLine="709"/>
              <w:jc w:val="both"/>
            </w:pPr>
            <w:r>
              <w:t xml:space="preserve">1. </w:t>
            </w:r>
            <w:r w:rsidRPr="005470D0">
              <w:t>Lūdzam projekta anotācijas V sadaļas 1. tabulā norādīt atbilstošas projekta vienības, kurās ir pārņemtas Direktīvas 21. panta 1. punkta “b” apakšpunkta prasības, lai būtu iespējams pārliecināties par Direktīvas prasību atbilstošu pārņemšanu projektā. Vienlaikus lūdzam skaidrot projekta 1. punktā izteiktajā 9.2., 9.3. un 9.4. apakšpunktā lietoto norādi “no vides aizsardzības viedokļa” un precizēt to, ņemot vērā, ka minētā norāde nav viennozīmīgi skaidra.</w:t>
            </w:r>
          </w:p>
        </w:tc>
        <w:tc>
          <w:tcPr>
            <w:tcW w:w="2835" w:type="dxa"/>
            <w:tcBorders>
              <w:top w:val="single" w:sz="6" w:space="0" w:color="000000"/>
              <w:left w:val="single" w:sz="6" w:space="0" w:color="000000"/>
              <w:bottom w:val="single" w:sz="6" w:space="0" w:color="000000"/>
              <w:right w:val="single" w:sz="6" w:space="0" w:color="000000"/>
            </w:tcBorders>
          </w:tcPr>
          <w:p w:rsidR="005F19A0" w:rsidRPr="00DF5371" w:rsidRDefault="00D52CF7" w:rsidP="00D52CF7">
            <w:pPr>
              <w:pStyle w:val="naisc"/>
              <w:spacing w:before="0" w:after="0"/>
              <w:ind w:firstLine="21"/>
              <w:jc w:val="left"/>
              <w:rPr>
                <w:b/>
              </w:rPr>
            </w:pPr>
            <w:r>
              <w:rPr>
                <w:b/>
              </w:rPr>
              <w:t>Iebildums ir ņemts vērā.</w:t>
            </w:r>
          </w:p>
        </w:tc>
        <w:tc>
          <w:tcPr>
            <w:tcW w:w="3686" w:type="dxa"/>
            <w:tcBorders>
              <w:top w:val="single" w:sz="4" w:space="0" w:color="auto"/>
              <w:left w:val="single" w:sz="4" w:space="0" w:color="auto"/>
              <w:bottom w:val="single" w:sz="4" w:space="0" w:color="auto"/>
            </w:tcBorders>
          </w:tcPr>
          <w:p w:rsidR="00D87047" w:rsidRPr="002D4E2F" w:rsidRDefault="00D87047" w:rsidP="00825990">
            <w:pPr>
              <w:pStyle w:val="modref"/>
              <w:numPr>
                <w:ilvl w:val="0"/>
                <w:numId w:val="1"/>
              </w:numPr>
              <w:ind w:left="0" w:firstLine="0"/>
            </w:pPr>
            <w:r w:rsidRPr="002D4E2F">
              <w:t>Izteikt 9.2. un 9.3. apakšpunktu šādā redakcijā:</w:t>
            </w:r>
          </w:p>
          <w:p w:rsidR="00D87047" w:rsidRPr="002D4E2F" w:rsidRDefault="00D87047" w:rsidP="00D87047">
            <w:pPr>
              <w:pStyle w:val="modref"/>
              <w:jc w:val="both"/>
              <w:rPr>
                <w:b/>
              </w:rPr>
            </w:pPr>
            <w:r w:rsidRPr="002D4E2F">
              <w:t>“</w:t>
            </w:r>
            <w:r w:rsidRPr="002D4E2F">
              <w:rPr>
                <w:b/>
              </w:rPr>
              <w:t>9.2.</w:t>
            </w:r>
            <w:r w:rsidR="00825990">
              <w:rPr>
                <w:b/>
              </w:rPr>
              <w:t> </w:t>
            </w:r>
            <w:r w:rsidRPr="002D4E2F">
              <w:rPr>
                <w:b/>
              </w:rPr>
              <w:t>netiek sajaukti naftas produktu atkritumi ar cita veida atkritumiem vai vielām, ja šāda sajaukšana traucē to turpmāko reģenerāciju vai pārstrādi citā veidā, kas ir līdzvērtīga vai efektīvāka nekā reģenerācija, ņemot vērā normatīvajos aktos par atkritumu apsaimniekošanu noteiktās prasības atkritumu apsaimniekošanai.</w:t>
            </w:r>
          </w:p>
          <w:p w:rsidR="00D87047" w:rsidRPr="002D4E2F" w:rsidRDefault="00D87047" w:rsidP="00D87047">
            <w:pPr>
              <w:pStyle w:val="norm"/>
              <w:jc w:val="both"/>
              <w:rPr>
                <w:b/>
              </w:rPr>
            </w:pPr>
            <w:r w:rsidRPr="002D4E2F">
              <w:rPr>
                <w:b/>
              </w:rPr>
              <w:t>9.3.</w:t>
            </w:r>
            <w:r w:rsidR="00825990">
              <w:rPr>
                <w:b/>
              </w:rPr>
              <w:t> </w:t>
            </w:r>
            <w:r w:rsidRPr="002D4E2F">
              <w:rPr>
                <w:b/>
              </w:rPr>
              <w:t xml:space="preserve">tiek veikta naftas produktu atkritumu reģenerācija vai pārstrāde citā veidā, kas ir līdzvērtīga vai efektīvāka nekā reģenerācija, ņemot vērā </w:t>
            </w:r>
            <w:r w:rsidRPr="002D4E2F">
              <w:rPr>
                <w:b/>
              </w:rPr>
              <w:lastRenderedPageBreak/>
              <w:t>normatīvajos aktos par atkritumu apsaimniekošanu noteiktās prasības atkritumu apsaimniekošanai un atkritumu apsaimniekošanas darbību prioritāro secību.”</w:t>
            </w:r>
          </w:p>
          <w:p w:rsidR="005F19A0" w:rsidRPr="002D4E2F" w:rsidRDefault="00D87047" w:rsidP="00C4723F">
            <w:pPr>
              <w:pStyle w:val="norm"/>
              <w:ind w:firstLine="360"/>
              <w:jc w:val="both"/>
              <w:rPr>
                <w:b/>
              </w:rPr>
            </w:pPr>
            <w:r w:rsidRPr="002D4E2F">
              <w:rPr>
                <w:b/>
              </w:rPr>
              <w:t>2. Svītrot 9.4.</w:t>
            </w:r>
            <w:r w:rsidR="00825990">
              <w:rPr>
                <w:b/>
              </w:rPr>
              <w:t> </w:t>
            </w:r>
            <w:r w:rsidRPr="002D4E2F">
              <w:rPr>
                <w:b/>
              </w:rPr>
              <w:t>apakšpunktu.</w:t>
            </w:r>
          </w:p>
        </w:tc>
      </w:tr>
      <w:tr w:rsidR="005F19A0" w:rsidRPr="003E1F78" w:rsidTr="00D52CF7">
        <w:tc>
          <w:tcPr>
            <w:tcW w:w="675" w:type="dxa"/>
            <w:tcBorders>
              <w:top w:val="single" w:sz="6" w:space="0" w:color="000000"/>
              <w:left w:val="single" w:sz="6" w:space="0" w:color="000000"/>
              <w:bottom w:val="single" w:sz="6" w:space="0" w:color="000000"/>
              <w:right w:val="single" w:sz="6" w:space="0" w:color="000000"/>
            </w:tcBorders>
          </w:tcPr>
          <w:p w:rsidR="005F19A0" w:rsidRPr="005F19A0" w:rsidRDefault="005F19A0" w:rsidP="00D52CF7">
            <w:pPr>
              <w:pStyle w:val="naisc"/>
              <w:spacing w:before="0" w:after="0"/>
              <w:jc w:val="left"/>
            </w:pPr>
            <w:r w:rsidRPr="005F19A0">
              <w:lastRenderedPageBreak/>
              <w:t>2.</w:t>
            </w:r>
          </w:p>
        </w:tc>
        <w:tc>
          <w:tcPr>
            <w:tcW w:w="2977" w:type="dxa"/>
            <w:tcBorders>
              <w:top w:val="single" w:sz="6" w:space="0" w:color="000000"/>
              <w:left w:val="single" w:sz="6" w:space="0" w:color="000000"/>
              <w:bottom w:val="single" w:sz="6" w:space="0" w:color="000000"/>
              <w:right w:val="single" w:sz="6" w:space="0" w:color="000000"/>
            </w:tcBorders>
          </w:tcPr>
          <w:p w:rsidR="00D52CF7" w:rsidRPr="00D52CF7" w:rsidRDefault="00D52CF7" w:rsidP="00D52CF7">
            <w:pPr>
              <w:ind w:left="360"/>
              <w:jc w:val="both"/>
            </w:pPr>
            <w:r w:rsidRPr="00D52CF7">
              <w:t>2. Papildināt noteikumus ar 44.</w:t>
            </w:r>
            <w:r w:rsidRPr="00D52CF7">
              <w:rPr>
                <w:vertAlign w:val="superscript"/>
              </w:rPr>
              <w:t>11</w:t>
            </w:r>
            <w:r w:rsidRPr="00D52CF7">
              <w:t xml:space="preserve"> punktu šādā redakcijā:</w:t>
            </w:r>
          </w:p>
          <w:p w:rsidR="00D52CF7" w:rsidRPr="00D52CF7" w:rsidRDefault="00D52CF7" w:rsidP="00D52CF7">
            <w:pPr>
              <w:jc w:val="both"/>
            </w:pPr>
            <w:r w:rsidRPr="00D52CF7">
              <w:t>“44.</w:t>
            </w:r>
            <w:r w:rsidRPr="00D52CF7">
              <w:rPr>
                <w:vertAlign w:val="superscript"/>
              </w:rPr>
              <w:t>11</w:t>
            </w:r>
            <w:r w:rsidRPr="00D52CF7">
              <w:t xml:space="preserve"> Operatori nodrošina Eiropas Parlamenta un Padomes 2017. gada 17. maija Regulas Nr.2017/852/ES par dzīvsudrabu un ar ko atceļ Regulu (EK) Nr. 1102/2008 (turpmāk – Regula Nr.2017/852/ES) 14.1.punktā vai 14.2.punktā minētā reģistra iesniegšanu Valsts vides dienestā Regulas Nr.2017/852/ES 14. panta 4. punktā noteiktajā term</w:t>
            </w:r>
            <w:r>
              <w:t>iņā.”</w:t>
            </w:r>
          </w:p>
          <w:p w:rsidR="005F19A0" w:rsidRPr="00CE33D2" w:rsidRDefault="005F19A0" w:rsidP="00D52CF7">
            <w:pPr>
              <w:pStyle w:val="naisc"/>
              <w:spacing w:before="0" w:after="0"/>
              <w:ind w:firstLine="12"/>
              <w:jc w:val="left"/>
              <w:rPr>
                <w:b/>
              </w:rPr>
            </w:pPr>
          </w:p>
        </w:tc>
        <w:tc>
          <w:tcPr>
            <w:tcW w:w="4394" w:type="dxa"/>
            <w:tcBorders>
              <w:top w:val="single" w:sz="6" w:space="0" w:color="000000"/>
              <w:left w:val="single" w:sz="6" w:space="0" w:color="000000"/>
              <w:bottom w:val="single" w:sz="6" w:space="0" w:color="000000"/>
              <w:right w:val="single" w:sz="6" w:space="0" w:color="000000"/>
            </w:tcBorders>
          </w:tcPr>
          <w:p w:rsidR="005F19A0" w:rsidRPr="005F19A0" w:rsidRDefault="005F19A0" w:rsidP="00D52CF7">
            <w:pPr>
              <w:ind w:firstLine="709"/>
              <w:jc w:val="both"/>
              <w:rPr>
                <w:b/>
              </w:rPr>
            </w:pPr>
            <w:r w:rsidRPr="005F19A0">
              <w:rPr>
                <w:b/>
              </w:rPr>
              <w:t>Tieslietu ministrija:</w:t>
            </w:r>
          </w:p>
          <w:p w:rsidR="005F19A0" w:rsidRPr="005470D0" w:rsidRDefault="005F19A0" w:rsidP="00D52CF7">
            <w:pPr>
              <w:ind w:firstLine="709"/>
              <w:jc w:val="both"/>
            </w:pPr>
            <w:r>
              <w:t xml:space="preserve">2. </w:t>
            </w:r>
            <w:r w:rsidRPr="005470D0">
              <w:t>Lūdzam izvērtēt projekta 2. punktā izteiktā 44.</w:t>
            </w:r>
            <w:r w:rsidRPr="005470D0">
              <w:rPr>
                <w:vertAlign w:val="superscript"/>
              </w:rPr>
              <w:t>11</w:t>
            </w:r>
            <w:r w:rsidRPr="005470D0">
              <w:t xml:space="preserve"> punkta nosacījumu atbilstību Eiropas Parlamenta un Padomes 2017. gada 17. maija Regulas Nr. 2017/852/ES par dzīvsudrabu un ar ko atceļ Regulu (EK) Nr. 1102/2008 (turpmāk – Regula) 14. panta 4. punktam, kas cita starpā noteic, ka “katru gadu līdz 31. janvārim 1. un 2. punktā minētie iekārtu operatori </w:t>
            </w:r>
            <w:r w:rsidRPr="005470D0">
              <w:rPr>
                <w:u w:val="single"/>
              </w:rPr>
              <w:t>nosūta iepriekšējā kalendārā gada reģistru</w:t>
            </w:r>
            <w:r w:rsidRPr="005470D0">
              <w:t xml:space="preserve"> attiecīgo dalībvalstu kompetentajām iestādēm”. Tādējādi iesakām izteikt minēto 44.</w:t>
            </w:r>
            <w:r w:rsidRPr="005470D0">
              <w:rPr>
                <w:vertAlign w:val="superscript"/>
              </w:rPr>
              <w:t>11</w:t>
            </w:r>
            <w:r w:rsidRPr="005470D0">
              <w:t xml:space="preserve"> punktu, piemēram, šādā redakcijā: “Operatori iesniedz Eiropas Parlamenta un Padomes 2017. gada 17. maija Regulas Nr.2017/852/ES par dzīvsudrabu un ar ko atceļ Regulu (EK) Nr. 1102/2008 (turpmāk – Regula Nr. 2017/852/ES) 14. panta 1. punktā vai 14. panta 2. punktā minēto </w:t>
            </w:r>
            <w:r w:rsidRPr="005470D0">
              <w:lastRenderedPageBreak/>
              <w:t>reģistru Valsts vides dienestā atbilstoši Regulas Nr. 2017/852/ES 14. panta 4. punktā noteiktajam.“</w:t>
            </w:r>
          </w:p>
          <w:p w:rsidR="005F19A0" w:rsidRPr="00DF5371" w:rsidRDefault="005F19A0" w:rsidP="00D52CF7">
            <w:pPr>
              <w:pStyle w:val="naisc"/>
              <w:spacing w:before="0" w:after="0"/>
              <w:ind w:right="3"/>
              <w:jc w:val="left"/>
              <w:rPr>
                <w:b/>
              </w:rPr>
            </w:pPr>
          </w:p>
        </w:tc>
        <w:tc>
          <w:tcPr>
            <w:tcW w:w="2835" w:type="dxa"/>
            <w:tcBorders>
              <w:top w:val="single" w:sz="6" w:space="0" w:color="000000"/>
              <w:left w:val="single" w:sz="6" w:space="0" w:color="000000"/>
              <w:bottom w:val="single" w:sz="6" w:space="0" w:color="000000"/>
              <w:right w:val="single" w:sz="6" w:space="0" w:color="000000"/>
            </w:tcBorders>
          </w:tcPr>
          <w:p w:rsidR="005F19A0" w:rsidRPr="00DF5371" w:rsidRDefault="00D52CF7" w:rsidP="00C4723F">
            <w:pPr>
              <w:pStyle w:val="naisc"/>
              <w:spacing w:before="0" w:after="0"/>
              <w:ind w:firstLine="21"/>
              <w:jc w:val="both"/>
              <w:rPr>
                <w:b/>
              </w:rPr>
            </w:pPr>
            <w:r>
              <w:rPr>
                <w:b/>
              </w:rPr>
              <w:lastRenderedPageBreak/>
              <w:t>Iebildums ir ņemts vērā.</w:t>
            </w:r>
            <w:r w:rsidR="00D87047">
              <w:rPr>
                <w:b/>
              </w:rPr>
              <w:t xml:space="preserve"> Veikto grozījumu rezultātā ir mainījusies noteikumu projekta normu numerācija.</w:t>
            </w:r>
          </w:p>
        </w:tc>
        <w:tc>
          <w:tcPr>
            <w:tcW w:w="3686" w:type="dxa"/>
            <w:tcBorders>
              <w:top w:val="single" w:sz="4" w:space="0" w:color="auto"/>
              <w:left w:val="single" w:sz="4" w:space="0" w:color="auto"/>
              <w:bottom w:val="single" w:sz="4" w:space="0" w:color="auto"/>
            </w:tcBorders>
          </w:tcPr>
          <w:p w:rsidR="006F4B42" w:rsidRPr="002D4E2F" w:rsidRDefault="00D87047" w:rsidP="00825990">
            <w:pPr>
              <w:jc w:val="both"/>
            </w:pPr>
            <w:r w:rsidRPr="002D4E2F">
              <w:t>3</w:t>
            </w:r>
            <w:r w:rsidR="006F4B42" w:rsidRPr="002D4E2F">
              <w:t>.</w:t>
            </w:r>
            <w:r w:rsidR="00825990">
              <w:t> </w:t>
            </w:r>
            <w:r w:rsidR="006F4B42" w:rsidRPr="002D4E2F">
              <w:t>Papildināt noteikumus ar 44.</w:t>
            </w:r>
            <w:r w:rsidR="006F4B42" w:rsidRPr="002D4E2F">
              <w:rPr>
                <w:vertAlign w:val="superscript"/>
              </w:rPr>
              <w:t>11</w:t>
            </w:r>
            <w:r w:rsidR="00825990">
              <w:t> </w:t>
            </w:r>
            <w:r w:rsidR="006F4B42" w:rsidRPr="002D4E2F">
              <w:t>punktu šādā redakcijā:</w:t>
            </w:r>
          </w:p>
          <w:p w:rsidR="006F4B42" w:rsidRPr="002D4E2F" w:rsidRDefault="006F4B42" w:rsidP="006F4B42">
            <w:pPr>
              <w:jc w:val="both"/>
              <w:rPr>
                <w:b/>
              </w:rPr>
            </w:pPr>
            <w:r w:rsidRPr="002D4E2F">
              <w:rPr>
                <w:b/>
              </w:rPr>
              <w:t>“Operatori iesniedz Eiropas Parlamenta un Padomes 2017. gada 17. maija Regulas Nr.2017/852/ES par dzīvsudrabu un ar ko atceļ Regulu (EK) Nr. 1102/2008 (turpmāk – Regula Nr. 2017/852/ES) 14.</w:t>
            </w:r>
            <w:r w:rsidR="00825990">
              <w:rPr>
                <w:b/>
              </w:rPr>
              <w:t> </w:t>
            </w:r>
            <w:r w:rsidRPr="002D4E2F">
              <w:rPr>
                <w:b/>
              </w:rPr>
              <w:t>panta 1. punktā vai 14.</w:t>
            </w:r>
            <w:r w:rsidR="00825990">
              <w:rPr>
                <w:b/>
              </w:rPr>
              <w:t> </w:t>
            </w:r>
            <w:r w:rsidRPr="002D4E2F">
              <w:rPr>
                <w:b/>
              </w:rPr>
              <w:t>panta 2. punktā minēto reģistru Valsts vides dienestā atbilstoši Regulas Nr. 2017/852/ES 14. panta 4. punktā noteiktajam.”</w:t>
            </w:r>
          </w:p>
          <w:p w:rsidR="005F19A0" w:rsidRPr="002D4E2F" w:rsidRDefault="005F19A0" w:rsidP="00D52CF7">
            <w:pPr>
              <w:rPr>
                <w:b/>
              </w:rPr>
            </w:pPr>
          </w:p>
        </w:tc>
      </w:tr>
      <w:tr w:rsidR="005F19A0" w:rsidRPr="003E1F78" w:rsidTr="00D52CF7">
        <w:tc>
          <w:tcPr>
            <w:tcW w:w="675" w:type="dxa"/>
            <w:tcBorders>
              <w:top w:val="single" w:sz="6" w:space="0" w:color="000000"/>
              <w:left w:val="single" w:sz="6" w:space="0" w:color="000000"/>
              <w:bottom w:val="single" w:sz="6" w:space="0" w:color="000000"/>
              <w:right w:val="single" w:sz="6" w:space="0" w:color="000000"/>
            </w:tcBorders>
          </w:tcPr>
          <w:p w:rsidR="005F19A0" w:rsidRPr="005F19A0" w:rsidRDefault="005F19A0" w:rsidP="00D52CF7">
            <w:pPr>
              <w:pStyle w:val="naisc"/>
              <w:spacing w:before="0" w:after="0"/>
              <w:jc w:val="left"/>
            </w:pPr>
            <w:r w:rsidRPr="005F19A0">
              <w:t>3.</w:t>
            </w:r>
          </w:p>
        </w:tc>
        <w:tc>
          <w:tcPr>
            <w:tcW w:w="2977" w:type="dxa"/>
            <w:tcBorders>
              <w:top w:val="single" w:sz="6" w:space="0" w:color="000000"/>
              <w:left w:val="single" w:sz="6" w:space="0" w:color="000000"/>
              <w:bottom w:val="single" w:sz="6" w:space="0" w:color="000000"/>
              <w:right w:val="single" w:sz="6" w:space="0" w:color="000000"/>
            </w:tcBorders>
          </w:tcPr>
          <w:p w:rsidR="005F19A0" w:rsidRPr="00CE33D2" w:rsidRDefault="005F19A0" w:rsidP="00D52CF7">
            <w:pPr>
              <w:pStyle w:val="naisc"/>
              <w:spacing w:before="0" w:after="0"/>
              <w:ind w:firstLine="12"/>
              <w:jc w:val="left"/>
              <w:rPr>
                <w:b/>
              </w:rPr>
            </w:pPr>
          </w:p>
        </w:tc>
        <w:tc>
          <w:tcPr>
            <w:tcW w:w="4394" w:type="dxa"/>
            <w:tcBorders>
              <w:top w:val="single" w:sz="6" w:space="0" w:color="000000"/>
              <w:left w:val="single" w:sz="6" w:space="0" w:color="000000"/>
              <w:bottom w:val="single" w:sz="6" w:space="0" w:color="000000"/>
              <w:right w:val="single" w:sz="6" w:space="0" w:color="000000"/>
            </w:tcBorders>
          </w:tcPr>
          <w:p w:rsidR="005F19A0" w:rsidRPr="005F19A0" w:rsidRDefault="005F19A0" w:rsidP="00D52CF7">
            <w:pPr>
              <w:ind w:firstLine="709"/>
              <w:jc w:val="both"/>
              <w:rPr>
                <w:b/>
              </w:rPr>
            </w:pPr>
            <w:r w:rsidRPr="005F19A0">
              <w:rPr>
                <w:b/>
              </w:rPr>
              <w:t>Tieslietu ministrija:</w:t>
            </w:r>
          </w:p>
          <w:p w:rsidR="005F19A0" w:rsidRPr="005F19A0" w:rsidRDefault="005F19A0" w:rsidP="00D52CF7">
            <w:pPr>
              <w:pStyle w:val="ListParagraph"/>
              <w:tabs>
                <w:tab w:val="left" w:pos="851"/>
                <w:tab w:val="left" w:pos="993"/>
              </w:tabs>
              <w:ind w:left="0" w:firstLine="709"/>
              <w:rPr>
                <w:szCs w:val="24"/>
              </w:rPr>
            </w:pPr>
            <w:r w:rsidRPr="005470D0">
              <w:rPr>
                <w:szCs w:val="24"/>
              </w:rPr>
              <w:t xml:space="preserve">3. Ņemot vērā, ka projektā tiek ieviestas Regulas Nr. 2017/852/ES normas, lūdzam precizēt projekta anotācijas V sadaļu atbilstoši </w:t>
            </w:r>
            <w:r w:rsidRPr="005470D0">
              <w:rPr>
                <w:bCs/>
                <w:iCs/>
                <w:szCs w:val="24"/>
              </w:rPr>
              <w:t xml:space="preserve">Ministru kabineta 2009. gada 15. decembra instrukcijas Nr. 19 “Tiesību akta projekta sākotnējās ietekmes izvērtēšanas kārtība” 55. un 56. punktam. </w:t>
            </w:r>
          </w:p>
        </w:tc>
        <w:tc>
          <w:tcPr>
            <w:tcW w:w="2835" w:type="dxa"/>
            <w:tcBorders>
              <w:top w:val="single" w:sz="6" w:space="0" w:color="000000"/>
              <w:left w:val="single" w:sz="6" w:space="0" w:color="000000"/>
              <w:bottom w:val="single" w:sz="6" w:space="0" w:color="000000"/>
              <w:right w:val="single" w:sz="6" w:space="0" w:color="000000"/>
            </w:tcBorders>
          </w:tcPr>
          <w:p w:rsidR="005F19A0" w:rsidRPr="00DF5371" w:rsidRDefault="00D52CF7" w:rsidP="00D52CF7">
            <w:pPr>
              <w:pStyle w:val="naisc"/>
              <w:spacing w:before="0" w:after="0"/>
              <w:ind w:firstLine="21"/>
              <w:jc w:val="left"/>
              <w:rPr>
                <w:b/>
              </w:rPr>
            </w:pPr>
            <w:r>
              <w:rPr>
                <w:b/>
              </w:rPr>
              <w:t>Iebildums ir ņemts vērā.</w:t>
            </w:r>
          </w:p>
        </w:tc>
        <w:tc>
          <w:tcPr>
            <w:tcW w:w="3686" w:type="dxa"/>
            <w:tcBorders>
              <w:top w:val="single" w:sz="4" w:space="0" w:color="auto"/>
              <w:left w:val="single" w:sz="4" w:space="0" w:color="auto"/>
              <w:bottom w:val="single" w:sz="4" w:space="0" w:color="auto"/>
            </w:tcBorders>
          </w:tcPr>
          <w:p w:rsidR="005F19A0" w:rsidRPr="00DF5371" w:rsidRDefault="002A7C42" w:rsidP="00C4723F">
            <w:pPr>
              <w:jc w:val="both"/>
              <w:rPr>
                <w:b/>
              </w:rPr>
            </w:pPr>
            <w:r>
              <w:rPr>
                <w:b/>
              </w:rPr>
              <w:t>Precizēta noteikumu projekta anotācijas V</w:t>
            </w:r>
            <w:r w:rsidR="00825990">
              <w:rPr>
                <w:b/>
              </w:rPr>
              <w:t> </w:t>
            </w:r>
            <w:r>
              <w:rPr>
                <w:b/>
              </w:rPr>
              <w:t xml:space="preserve">sadaļa. </w:t>
            </w:r>
          </w:p>
        </w:tc>
      </w:tr>
    </w:tbl>
    <w:p w:rsidR="0059243D" w:rsidRDefault="0059243D"/>
    <w:p w:rsidR="00825990" w:rsidRDefault="00825990" w:rsidP="00825990">
      <w:r>
        <w:t>Atbildīgā amatpersona</w:t>
      </w:r>
      <w:r>
        <w:tab/>
      </w:r>
      <w:r>
        <w:tab/>
      </w:r>
      <w:r>
        <w:tab/>
      </w:r>
      <w:r>
        <w:tab/>
      </w:r>
      <w:r>
        <w:tab/>
      </w:r>
      <w:r>
        <w:tab/>
      </w:r>
      <w:r>
        <w:tab/>
      </w:r>
      <w:r>
        <w:tab/>
      </w:r>
      <w:r>
        <w:tab/>
      </w:r>
      <w:r>
        <w:tab/>
      </w:r>
      <w:r>
        <w:tab/>
        <w:t>Ilze Doniņa</w:t>
      </w:r>
    </w:p>
    <w:p w:rsidR="00825990" w:rsidRDefault="00825990"/>
    <w:sectPr w:rsidR="00825990" w:rsidSect="002D4E2F">
      <w:headerReference w:type="default" r:id="rId7"/>
      <w:footerReference w:type="default" r:id="rId8"/>
      <w:footerReference w:type="first" r:id="rId9"/>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AB5" w:rsidRDefault="009E6AB5" w:rsidP="002A7C42">
      <w:r>
        <w:separator/>
      </w:r>
    </w:p>
  </w:endnote>
  <w:endnote w:type="continuationSeparator" w:id="0">
    <w:p w:rsidR="009E6AB5" w:rsidRDefault="009E6AB5" w:rsidP="002A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C42" w:rsidRDefault="002A7C42">
    <w:pPr>
      <w:pStyle w:val="Footer"/>
    </w:pPr>
    <w:r>
      <w:t>VARAMIzz_131119_groz485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2F" w:rsidRDefault="002D4E2F">
    <w:pPr>
      <w:pStyle w:val="Footer"/>
    </w:pPr>
    <w:r>
      <w:t>VARAMIzz_131119_grozz485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AB5" w:rsidRDefault="009E6AB5" w:rsidP="002A7C42">
      <w:r>
        <w:separator/>
      </w:r>
    </w:p>
  </w:footnote>
  <w:footnote w:type="continuationSeparator" w:id="0">
    <w:p w:rsidR="009E6AB5" w:rsidRDefault="009E6AB5" w:rsidP="002A7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86147"/>
      <w:docPartObj>
        <w:docPartGallery w:val="Page Numbers (Top of Page)"/>
        <w:docPartUnique/>
      </w:docPartObj>
    </w:sdtPr>
    <w:sdtEndPr>
      <w:rPr>
        <w:noProof/>
      </w:rPr>
    </w:sdtEndPr>
    <w:sdtContent>
      <w:p w:rsidR="002D4E2F" w:rsidRDefault="002D4E2F">
        <w:pPr>
          <w:pStyle w:val="Header"/>
          <w:jc w:val="center"/>
        </w:pPr>
        <w:r>
          <w:fldChar w:fldCharType="begin"/>
        </w:r>
        <w:r>
          <w:instrText xml:space="preserve"> PAGE   \* MERGEFORMAT </w:instrText>
        </w:r>
        <w:r>
          <w:fldChar w:fldCharType="separate"/>
        </w:r>
        <w:r w:rsidR="00C4723F">
          <w:rPr>
            <w:noProof/>
          </w:rPr>
          <w:t>3</w:t>
        </w:r>
        <w:r>
          <w:rPr>
            <w:noProof/>
          </w:rPr>
          <w:fldChar w:fldCharType="end"/>
        </w:r>
      </w:p>
    </w:sdtContent>
  </w:sdt>
  <w:p w:rsidR="002A7C42" w:rsidRDefault="002A7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A355B"/>
    <w:multiLevelType w:val="hybridMultilevel"/>
    <w:tmpl w:val="5A40E0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A0"/>
    <w:rsid w:val="002A7C42"/>
    <w:rsid w:val="002D4E2F"/>
    <w:rsid w:val="0059243D"/>
    <w:rsid w:val="005F19A0"/>
    <w:rsid w:val="006F4B42"/>
    <w:rsid w:val="007368FF"/>
    <w:rsid w:val="00736E28"/>
    <w:rsid w:val="00825990"/>
    <w:rsid w:val="009E6AB5"/>
    <w:rsid w:val="00C4723F"/>
    <w:rsid w:val="00D52CF7"/>
    <w:rsid w:val="00D87047"/>
    <w:rsid w:val="00D96FC4"/>
    <w:rsid w:val="00F464D5"/>
    <w:rsid w:val="00F770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8C09D1-C985-4696-8E31-A8831769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9A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F19A0"/>
    <w:pPr>
      <w:spacing w:before="100" w:beforeAutospacing="1" w:after="100" w:afterAutospacing="1"/>
    </w:pPr>
  </w:style>
  <w:style w:type="paragraph" w:customStyle="1" w:styleId="naisf">
    <w:name w:val="naisf"/>
    <w:basedOn w:val="Normal"/>
    <w:rsid w:val="005F19A0"/>
    <w:pPr>
      <w:spacing w:before="75" w:after="75"/>
      <w:ind w:firstLine="375"/>
      <w:jc w:val="both"/>
    </w:pPr>
  </w:style>
  <w:style w:type="paragraph" w:customStyle="1" w:styleId="naiskr">
    <w:name w:val="naiskr"/>
    <w:basedOn w:val="Normal"/>
    <w:rsid w:val="005F19A0"/>
    <w:pPr>
      <w:spacing w:before="75" w:after="75"/>
    </w:pPr>
  </w:style>
  <w:style w:type="paragraph" w:customStyle="1" w:styleId="naisc">
    <w:name w:val="naisc"/>
    <w:basedOn w:val="Normal"/>
    <w:rsid w:val="005F19A0"/>
    <w:pPr>
      <w:spacing w:before="75" w:after="75"/>
      <w:jc w:val="center"/>
    </w:pPr>
  </w:style>
  <w:style w:type="paragraph" w:styleId="ListParagraph">
    <w:name w:val="List Paragraph"/>
    <w:basedOn w:val="Normal"/>
    <w:uiPriority w:val="34"/>
    <w:qFormat/>
    <w:rsid w:val="005F19A0"/>
    <w:pPr>
      <w:widowControl w:val="0"/>
      <w:ind w:left="720"/>
      <w:contextualSpacing/>
      <w:jc w:val="both"/>
    </w:pPr>
    <w:rPr>
      <w:rFonts w:eastAsia="Calibri"/>
      <w:szCs w:val="22"/>
      <w:lang w:eastAsia="en-US"/>
    </w:rPr>
  </w:style>
  <w:style w:type="paragraph" w:customStyle="1" w:styleId="norm">
    <w:name w:val="norm"/>
    <w:basedOn w:val="Normal"/>
    <w:rsid w:val="00D52CF7"/>
    <w:pPr>
      <w:spacing w:before="100" w:beforeAutospacing="1" w:after="100" w:afterAutospacing="1"/>
    </w:pPr>
  </w:style>
  <w:style w:type="paragraph" w:customStyle="1" w:styleId="modref">
    <w:name w:val="modref"/>
    <w:basedOn w:val="Normal"/>
    <w:rsid w:val="00D52CF7"/>
    <w:pPr>
      <w:spacing w:before="100" w:beforeAutospacing="1" w:after="100" w:afterAutospacing="1"/>
    </w:pPr>
  </w:style>
  <w:style w:type="paragraph" w:styleId="Header">
    <w:name w:val="header"/>
    <w:basedOn w:val="Normal"/>
    <w:link w:val="HeaderChar"/>
    <w:uiPriority w:val="99"/>
    <w:unhideWhenUsed/>
    <w:rsid w:val="002A7C42"/>
    <w:pPr>
      <w:tabs>
        <w:tab w:val="center" w:pos="4153"/>
        <w:tab w:val="right" w:pos="8306"/>
      </w:tabs>
    </w:pPr>
  </w:style>
  <w:style w:type="character" w:customStyle="1" w:styleId="HeaderChar">
    <w:name w:val="Header Char"/>
    <w:basedOn w:val="DefaultParagraphFont"/>
    <w:link w:val="Header"/>
    <w:uiPriority w:val="99"/>
    <w:rsid w:val="002A7C4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A7C42"/>
    <w:pPr>
      <w:tabs>
        <w:tab w:val="center" w:pos="4153"/>
        <w:tab w:val="right" w:pos="8306"/>
      </w:tabs>
    </w:pPr>
  </w:style>
  <w:style w:type="character" w:customStyle="1" w:styleId="FooterChar">
    <w:name w:val="Footer Char"/>
    <w:basedOn w:val="DefaultParagraphFont"/>
    <w:link w:val="Footer"/>
    <w:uiPriority w:val="99"/>
    <w:rsid w:val="002A7C4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259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990"/>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3712</Words>
  <Characters>2116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projektu“Grozījumi Ministru kabineta 2011. gada 21. jūnija noteikumos Nr. 485 “Atsevišķu veidu bīstamo atkritumu apsaimniekošanas kārtība un prasības titāna dioksīda ražošanas iekārtu radīto emisiju ierobežošanai, kontrolei un monitoringam”” (VSS-962)</dc:title>
  <dc:subject>Izziņa</dc:subject>
  <dc:creator>Ilze Doniņa</dc:creator>
  <cp:keywords/>
  <dc:description>Doniņa 67026515
Ilze.Donina@varam.gov.lv</dc:description>
  <cp:lastModifiedBy>Ilze Doniņa</cp:lastModifiedBy>
  <cp:revision>2</cp:revision>
  <dcterms:created xsi:type="dcterms:W3CDTF">2019-12-12T07:22:00Z</dcterms:created>
  <dcterms:modified xsi:type="dcterms:W3CDTF">2019-12-12T07:22:00Z</dcterms:modified>
  <cp:category>Vides politika</cp:category>
</cp:coreProperties>
</file>