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C274" w14:textId="77777777" w:rsidR="005953EF" w:rsidRPr="008B62CE" w:rsidRDefault="005953EF" w:rsidP="005953EF">
      <w:pPr>
        <w:pStyle w:val="naislab"/>
        <w:spacing w:before="0" w:beforeAutospacing="0" w:after="0" w:afterAutospacing="0"/>
        <w:jc w:val="center"/>
        <w:rPr>
          <w:b/>
          <w:sz w:val="28"/>
          <w:szCs w:val="28"/>
          <w:lang w:val="lv-LV"/>
        </w:rPr>
      </w:pPr>
      <w:r w:rsidRPr="008B62CE">
        <w:rPr>
          <w:b/>
          <w:sz w:val="28"/>
          <w:szCs w:val="28"/>
          <w:lang w:val="lv-LV"/>
        </w:rPr>
        <w:t>Ministru kabineta noteikumu projekta</w:t>
      </w:r>
    </w:p>
    <w:p w14:paraId="02FADFB8" w14:textId="77777777" w:rsidR="005953EF" w:rsidRPr="008B62CE" w:rsidRDefault="005953EF" w:rsidP="005953EF">
      <w:pPr>
        <w:jc w:val="center"/>
        <w:rPr>
          <w:sz w:val="28"/>
          <w:szCs w:val="28"/>
          <w:lang w:val="lv-LV"/>
        </w:rPr>
      </w:pPr>
      <w:r w:rsidRPr="008B62CE">
        <w:rPr>
          <w:b/>
          <w:bCs/>
          <w:sz w:val="28"/>
          <w:szCs w:val="28"/>
          <w:lang w:val="lv-LV"/>
        </w:rPr>
        <w:t>“</w:t>
      </w:r>
      <w:bookmarkStart w:id="0" w:name="OLE_LINK7"/>
      <w:bookmarkStart w:id="1" w:name="OLE_LINK8"/>
      <w:r w:rsidRPr="008B62CE">
        <w:rPr>
          <w:b/>
          <w:bCs/>
          <w:sz w:val="28"/>
          <w:szCs w:val="28"/>
          <w:lang w:val="lv-LV"/>
        </w:rPr>
        <w:t xml:space="preserve">Grozījumi Ministru kabineta 2016. gada </w:t>
      </w:r>
      <w:r w:rsidRPr="008B62CE">
        <w:rPr>
          <w:b/>
          <w:sz w:val="28"/>
          <w:szCs w:val="28"/>
          <w:lang w:val="lv-LV"/>
        </w:rPr>
        <w:t>1. novembra noteikumos Nr. 695</w:t>
      </w:r>
      <w:r w:rsidRPr="008B62CE">
        <w:rPr>
          <w:b/>
          <w:bCs/>
          <w:sz w:val="28"/>
          <w:szCs w:val="28"/>
          <w:lang w:val="lv-LV"/>
        </w:rPr>
        <w:t xml:space="preserve"> „Digitālās drošības uzraudzības komitejas nolikums””</w:t>
      </w:r>
    </w:p>
    <w:p w14:paraId="6D6547D2" w14:textId="77777777" w:rsidR="005953EF" w:rsidRPr="008B62CE" w:rsidRDefault="005953EF" w:rsidP="005953EF">
      <w:pPr>
        <w:pStyle w:val="naisf"/>
        <w:spacing w:before="0" w:beforeAutospacing="0" w:after="0" w:afterAutospacing="0"/>
        <w:jc w:val="center"/>
        <w:rPr>
          <w:b/>
          <w:sz w:val="28"/>
          <w:szCs w:val="28"/>
          <w:lang w:val="lv-LV"/>
        </w:rPr>
      </w:pPr>
      <w:r w:rsidRPr="008B62CE">
        <w:rPr>
          <w:b/>
          <w:sz w:val="28"/>
          <w:szCs w:val="28"/>
          <w:lang w:val="lv-LV"/>
        </w:rPr>
        <w:t>sākotnējās ietekmes novērtējuma ziņojums</w:t>
      </w:r>
      <w:r w:rsidRPr="008B62CE">
        <w:rPr>
          <w:b/>
          <w:bCs/>
          <w:sz w:val="28"/>
          <w:szCs w:val="28"/>
          <w:lang w:val="lv-LV"/>
        </w:rPr>
        <w:t xml:space="preserve"> (anotācija)</w:t>
      </w:r>
    </w:p>
    <w:p w14:paraId="6181230C" w14:textId="77777777" w:rsidR="005953EF" w:rsidRPr="008B62CE" w:rsidRDefault="005953EF" w:rsidP="005953EF">
      <w:pPr>
        <w:pStyle w:val="naisf"/>
        <w:spacing w:before="0" w:beforeAutospacing="0" w:after="0" w:afterAutospacing="0"/>
        <w:rPr>
          <w:sz w:val="28"/>
          <w:szCs w:val="28"/>
          <w:lang w:val="lv-LV"/>
        </w:rPr>
      </w:pPr>
    </w:p>
    <w:tbl>
      <w:tblPr>
        <w:tblStyle w:val="TableGrid"/>
        <w:tblW w:w="5006" w:type="pct"/>
        <w:tblInd w:w="-5" w:type="dxa"/>
        <w:tblLook w:val="04A0" w:firstRow="1" w:lastRow="0" w:firstColumn="1" w:lastColumn="0" w:noHBand="0" w:noVBand="1"/>
      </w:tblPr>
      <w:tblGrid>
        <w:gridCol w:w="2734"/>
        <w:gridCol w:w="6338"/>
      </w:tblGrid>
      <w:tr w:rsidR="00F07C1C" w:rsidRPr="00691584" w14:paraId="2284CE51" w14:textId="77777777" w:rsidTr="00AC795D">
        <w:tc>
          <w:tcPr>
            <w:tcW w:w="5000" w:type="pct"/>
            <w:gridSpan w:val="2"/>
            <w:hideMark/>
          </w:tcPr>
          <w:p w14:paraId="322A7986" w14:textId="77777777" w:rsidR="005953EF" w:rsidRPr="00F07C1C" w:rsidRDefault="005953EF" w:rsidP="00AC795D">
            <w:pPr>
              <w:ind w:firstLine="300"/>
              <w:jc w:val="center"/>
              <w:rPr>
                <w:b/>
                <w:bCs/>
                <w:sz w:val="28"/>
                <w:szCs w:val="28"/>
                <w:lang w:val="lv-LV"/>
              </w:rPr>
            </w:pPr>
            <w:r w:rsidRPr="008B62CE">
              <w:rPr>
                <w:b/>
                <w:bCs/>
                <w:lang w:val="lv-LV"/>
              </w:rPr>
              <w:t>Tiesību akta projekta anotācijas kopsavilkums</w:t>
            </w:r>
          </w:p>
        </w:tc>
      </w:tr>
      <w:tr w:rsidR="00F07C1C" w:rsidRPr="00691584" w14:paraId="71C7EBD0" w14:textId="77777777" w:rsidTr="00AC795D">
        <w:tc>
          <w:tcPr>
            <w:tcW w:w="1507" w:type="pct"/>
            <w:hideMark/>
          </w:tcPr>
          <w:p w14:paraId="5BEBBB96" w14:textId="77777777" w:rsidR="005953EF" w:rsidRPr="008B62CE" w:rsidRDefault="005953EF" w:rsidP="00AC795D">
            <w:pPr>
              <w:rPr>
                <w:lang w:val="lv-LV"/>
              </w:rPr>
            </w:pPr>
            <w:r w:rsidRPr="008B62CE">
              <w:rPr>
                <w:lang w:val="lv-LV"/>
              </w:rPr>
              <w:t>Mērķis, risinājums un projekta spēkā stāšanās laiks</w:t>
            </w:r>
          </w:p>
        </w:tc>
        <w:tc>
          <w:tcPr>
            <w:tcW w:w="3493" w:type="pct"/>
            <w:hideMark/>
          </w:tcPr>
          <w:p w14:paraId="7D88523D" w14:textId="4FA0D698" w:rsidR="005953EF" w:rsidRPr="008B62CE" w:rsidRDefault="00E1624B" w:rsidP="00ED4B02">
            <w:pPr>
              <w:ind w:firstLine="720"/>
              <w:jc w:val="both"/>
              <w:rPr>
                <w:lang w:val="lv-LV"/>
              </w:rPr>
            </w:pPr>
            <w:r w:rsidRPr="008B62CE">
              <w:rPr>
                <w:bCs/>
                <w:lang w:val="lv-LV"/>
              </w:rPr>
              <w:t>Netiek aizpildīts, pamatojoties uz M</w:t>
            </w:r>
            <w:r w:rsidR="001B0E6E">
              <w:rPr>
                <w:bCs/>
                <w:lang w:val="lv-LV"/>
              </w:rPr>
              <w:t>inistru kabineta 2009. gada 15. decembra instrukcijas Nr. </w:t>
            </w:r>
            <w:r w:rsidRPr="008B62CE">
              <w:rPr>
                <w:bCs/>
                <w:lang w:val="lv-LV"/>
              </w:rPr>
              <w:t>19 “Tiesību akta projekta sākotnējās iete</w:t>
            </w:r>
            <w:r w:rsidR="00177355">
              <w:rPr>
                <w:bCs/>
                <w:lang w:val="lv-LV"/>
              </w:rPr>
              <w:t>kmes izvērtēšanas kārtība” 5.1. </w:t>
            </w:r>
            <w:r w:rsidR="001C5E60" w:rsidRPr="008B62CE">
              <w:rPr>
                <w:bCs/>
                <w:lang w:val="lv-LV"/>
              </w:rPr>
              <w:t>apakš</w:t>
            </w:r>
            <w:r w:rsidRPr="008B62CE">
              <w:rPr>
                <w:bCs/>
                <w:lang w:val="lv-LV"/>
              </w:rPr>
              <w:t>punktu.</w:t>
            </w:r>
          </w:p>
        </w:tc>
      </w:tr>
    </w:tbl>
    <w:p w14:paraId="1DAE7BEE" w14:textId="77777777" w:rsidR="005953EF" w:rsidRPr="00F07C1C" w:rsidRDefault="005953EF" w:rsidP="005953EF">
      <w:pPr>
        <w:pStyle w:val="naisf"/>
        <w:spacing w:before="0" w:beforeAutospacing="0" w:after="0" w:afterAutospacing="0"/>
        <w:rPr>
          <w:sz w:val="28"/>
          <w:szCs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1"/>
        <w:gridCol w:w="2297"/>
        <w:gridCol w:w="6375"/>
      </w:tblGrid>
      <w:tr w:rsidR="00F07C1C" w:rsidRPr="00691584" w14:paraId="121B2E49" w14:textId="77777777" w:rsidTr="00AC795D">
        <w:tc>
          <w:tcPr>
            <w:tcW w:w="0" w:type="auto"/>
            <w:gridSpan w:val="3"/>
            <w:vAlign w:val="center"/>
          </w:tcPr>
          <w:bookmarkEnd w:id="0"/>
          <w:bookmarkEnd w:id="1"/>
          <w:p w14:paraId="49D52C8E" w14:textId="77777777" w:rsidR="005953EF" w:rsidRPr="008B62CE" w:rsidRDefault="005953EF" w:rsidP="00AC795D">
            <w:pPr>
              <w:jc w:val="center"/>
              <w:rPr>
                <w:b/>
                <w:bCs/>
                <w:lang w:val="lv-LV" w:eastAsia="lv-LV"/>
              </w:rPr>
            </w:pPr>
            <w:r w:rsidRPr="008B62CE">
              <w:rPr>
                <w:b/>
                <w:bCs/>
                <w:lang w:val="lv-LV" w:eastAsia="lv-LV"/>
              </w:rPr>
              <w:t>I. Tiesību akta projekta izstrādes nepieciešamība</w:t>
            </w:r>
          </w:p>
        </w:tc>
      </w:tr>
      <w:tr w:rsidR="00F07C1C" w:rsidRPr="00691584" w14:paraId="59090CDD" w14:textId="77777777" w:rsidTr="00AC795D">
        <w:tc>
          <w:tcPr>
            <w:tcW w:w="216" w:type="pct"/>
          </w:tcPr>
          <w:p w14:paraId="37CB732C" w14:textId="77777777" w:rsidR="005953EF" w:rsidRPr="008B62CE" w:rsidRDefault="005953EF" w:rsidP="00AC795D">
            <w:pPr>
              <w:jc w:val="center"/>
              <w:rPr>
                <w:lang w:val="lv-LV" w:eastAsia="lv-LV"/>
              </w:rPr>
            </w:pPr>
            <w:r w:rsidRPr="008B62CE">
              <w:rPr>
                <w:lang w:val="lv-LV" w:eastAsia="lv-LV"/>
              </w:rPr>
              <w:t>1.</w:t>
            </w:r>
          </w:p>
        </w:tc>
        <w:tc>
          <w:tcPr>
            <w:tcW w:w="1267" w:type="pct"/>
          </w:tcPr>
          <w:p w14:paraId="130E31DC" w14:textId="77777777" w:rsidR="005953EF" w:rsidRPr="008B62CE" w:rsidRDefault="005953EF" w:rsidP="00AC795D">
            <w:pPr>
              <w:jc w:val="both"/>
              <w:rPr>
                <w:lang w:val="lv-LV" w:eastAsia="lv-LV"/>
              </w:rPr>
            </w:pPr>
            <w:r w:rsidRPr="008B62CE">
              <w:rPr>
                <w:lang w:val="lv-LV" w:eastAsia="lv-LV"/>
              </w:rPr>
              <w:t>Pamatojums</w:t>
            </w:r>
          </w:p>
        </w:tc>
        <w:tc>
          <w:tcPr>
            <w:tcW w:w="3516" w:type="pct"/>
          </w:tcPr>
          <w:p w14:paraId="40CB79B6" w14:textId="582085AE" w:rsidR="005953EF" w:rsidRPr="009379CF" w:rsidRDefault="005953EF" w:rsidP="009379CF">
            <w:pPr>
              <w:ind w:firstLine="720"/>
              <w:jc w:val="both"/>
              <w:rPr>
                <w:bCs/>
                <w:lang w:val="lv-LV"/>
              </w:rPr>
            </w:pPr>
            <w:r w:rsidRPr="008B62CE">
              <w:rPr>
                <w:bCs/>
                <w:lang w:val="lv-LV"/>
              </w:rPr>
              <w:t>Ministru kabineta noteikumu projekts</w:t>
            </w:r>
            <w:r w:rsidR="003003B2" w:rsidRPr="008B62CE">
              <w:rPr>
                <w:bCs/>
                <w:lang w:val="lv-LV"/>
              </w:rPr>
              <w:t xml:space="preserve"> “Grozījumi Ministru kabineta 2016.</w:t>
            </w:r>
            <w:r w:rsidR="00177355">
              <w:rPr>
                <w:bCs/>
                <w:lang w:val="lv-LV"/>
              </w:rPr>
              <w:t> </w:t>
            </w:r>
            <w:r w:rsidR="003003B2" w:rsidRPr="008B62CE">
              <w:rPr>
                <w:bCs/>
                <w:lang w:val="lv-LV"/>
              </w:rPr>
              <w:t>gada 1.</w:t>
            </w:r>
            <w:r w:rsidR="00177355">
              <w:rPr>
                <w:bCs/>
                <w:lang w:val="lv-LV"/>
              </w:rPr>
              <w:t> </w:t>
            </w:r>
            <w:r w:rsidR="003003B2" w:rsidRPr="008B62CE">
              <w:rPr>
                <w:bCs/>
                <w:lang w:val="lv-LV"/>
              </w:rPr>
              <w:t>novembra noteikumos Nr.</w:t>
            </w:r>
            <w:r w:rsidR="00F53A0C" w:rsidRPr="008B62CE">
              <w:rPr>
                <w:bCs/>
                <w:lang w:val="lv-LV"/>
              </w:rPr>
              <w:t> </w:t>
            </w:r>
            <w:r w:rsidR="003003B2" w:rsidRPr="008B62CE">
              <w:rPr>
                <w:bCs/>
                <w:lang w:val="lv-LV"/>
              </w:rPr>
              <w:t>695 “Digitālās drošības uzraudzības komitejas nolikums”” (turpmāk – noteikumu projekts)</w:t>
            </w:r>
            <w:r w:rsidRPr="008B62CE">
              <w:rPr>
                <w:bCs/>
                <w:lang w:val="lv-LV"/>
              </w:rPr>
              <w:t xml:space="preserve"> </w:t>
            </w:r>
            <w:r w:rsidR="00B05198" w:rsidRPr="001B0E6E">
              <w:rPr>
                <w:bCs/>
                <w:lang w:val="lv-LV"/>
              </w:rPr>
              <w:t xml:space="preserve">ir </w:t>
            </w:r>
            <w:r w:rsidRPr="001B0E6E">
              <w:rPr>
                <w:bCs/>
                <w:lang w:val="lv-LV"/>
              </w:rPr>
              <w:t>izstrādāts, pamatojoties uz</w:t>
            </w:r>
            <w:r w:rsidR="009379CF">
              <w:rPr>
                <w:bCs/>
                <w:lang w:val="lv-LV"/>
              </w:rPr>
              <w:t xml:space="preserve"> </w:t>
            </w:r>
            <w:r w:rsidR="00A653C0" w:rsidRPr="009379CF">
              <w:rPr>
                <w:bCs/>
                <w:lang w:val="lv-LV"/>
              </w:rPr>
              <w:t>Elektronisko dokumentu likuma (turpmāk – EDL)</w:t>
            </w:r>
            <w:r w:rsidR="001B0E6E" w:rsidRPr="009379CF">
              <w:rPr>
                <w:bCs/>
                <w:lang w:val="lv-LV"/>
              </w:rPr>
              <w:t xml:space="preserve"> </w:t>
            </w:r>
            <w:r w:rsidR="00FC6568" w:rsidRPr="009379CF">
              <w:rPr>
                <w:bCs/>
                <w:lang w:val="lv-LV"/>
              </w:rPr>
              <w:t>19. panta trešo daļu.</w:t>
            </w:r>
          </w:p>
        </w:tc>
      </w:tr>
      <w:tr w:rsidR="00F07C1C" w:rsidRPr="00691584" w14:paraId="7F5CE3CA" w14:textId="77777777" w:rsidTr="00AC795D">
        <w:tc>
          <w:tcPr>
            <w:tcW w:w="216" w:type="pct"/>
          </w:tcPr>
          <w:p w14:paraId="4B3F5AA5" w14:textId="77777777" w:rsidR="005953EF" w:rsidRPr="008B62CE" w:rsidRDefault="005953EF" w:rsidP="00AC795D">
            <w:pPr>
              <w:jc w:val="center"/>
              <w:rPr>
                <w:lang w:val="lv-LV" w:eastAsia="lv-LV"/>
              </w:rPr>
            </w:pPr>
            <w:r w:rsidRPr="008B62CE">
              <w:rPr>
                <w:lang w:val="lv-LV" w:eastAsia="lv-LV"/>
              </w:rPr>
              <w:t>2.</w:t>
            </w:r>
          </w:p>
        </w:tc>
        <w:tc>
          <w:tcPr>
            <w:tcW w:w="1267" w:type="pct"/>
          </w:tcPr>
          <w:p w14:paraId="5885360B" w14:textId="77777777" w:rsidR="005953EF" w:rsidRPr="008B62CE" w:rsidRDefault="005953EF" w:rsidP="008D2249">
            <w:pPr>
              <w:rPr>
                <w:lang w:val="lv-LV" w:eastAsia="lv-LV"/>
              </w:rPr>
            </w:pPr>
            <w:r w:rsidRPr="008B62CE">
              <w:rPr>
                <w:lang w:val="lv-LV" w:eastAsia="lv-LV"/>
              </w:rPr>
              <w:t xml:space="preserve">Pašreizējā situācija </w:t>
            </w:r>
            <w:r w:rsidRPr="008B62CE">
              <w:rPr>
                <w:lang w:val="lv-LV"/>
              </w:rPr>
              <w:t>un problēmas, kuru risināšanai tiesību akta projekts izstrādāts, tiesiskā regulējuma mērķis un būtība</w:t>
            </w:r>
          </w:p>
        </w:tc>
        <w:tc>
          <w:tcPr>
            <w:tcW w:w="3516" w:type="pct"/>
          </w:tcPr>
          <w:p w14:paraId="575B92D2" w14:textId="5D0D9031" w:rsidR="007229A7" w:rsidRDefault="000B4BB7" w:rsidP="00E72EE0">
            <w:pPr>
              <w:ind w:firstLine="720"/>
              <w:jc w:val="both"/>
              <w:rPr>
                <w:bCs/>
                <w:lang w:val="lv-LV"/>
              </w:rPr>
            </w:pPr>
            <w:r>
              <w:rPr>
                <w:bCs/>
                <w:lang w:val="lv-LV"/>
              </w:rPr>
              <w:t>P</w:t>
            </w:r>
            <w:r w:rsidR="00EA4506" w:rsidRPr="006842BF">
              <w:rPr>
                <w:bCs/>
                <w:lang w:val="lv-LV"/>
              </w:rPr>
              <w:t>a</w:t>
            </w:r>
            <w:r w:rsidR="003829E1" w:rsidRPr="006842BF">
              <w:rPr>
                <w:bCs/>
                <w:lang w:val="lv-LV"/>
              </w:rPr>
              <w:t>šlaik</w:t>
            </w:r>
            <w:r w:rsidR="00786E83">
              <w:rPr>
                <w:bCs/>
                <w:lang w:val="lv-LV"/>
              </w:rPr>
              <w:t xml:space="preserve"> viena no</w:t>
            </w:r>
            <w:r w:rsidR="003829E1" w:rsidRPr="006842BF">
              <w:rPr>
                <w:bCs/>
                <w:lang w:val="lv-LV"/>
              </w:rPr>
              <w:t xml:space="preserve"> </w:t>
            </w:r>
            <w:r w:rsidR="00CE76A1">
              <w:rPr>
                <w:bCs/>
                <w:lang w:val="lv-LV"/>
              </w:rPr>
              <w:t xml:space="preserve">Digitālās drošības uzraudzības </w:t>
            </w:r>
            <w:r w:rsidR="00EA4506" w:rsidRPr="006842BF">
              <w:rPr>
                <w:bCs/>
                <w:lang w:val="lv-LV"/>
              </w:rPr>
              <w:t>komiteja</w:t>
            </w:r>
            <w:r w:rsidR="007229A7">
              <w:rPr>
                <w:bCs/>
                <w:lang w:val="lv-LV"/>
              </w:rPr>
              <w:t>s</w:t>
            </w:r>
            <w:r w:rsidR="00CE76A1">
              <w:rPr>
                <w:bCs/>
                <w:lang w:val="lv-LV"/>
              </w:rPr>
              <w:t xml:space="preserve"> (turpmāk – komiteja)</w:t>
            </w:r>
            <w:r w:rsidR="00EA4506" w:rsidRPr="006842BF">
              <w:rPr>
                <w:bCs/>
                <w:lang w:val="lv-LV"/>
              </w:rPr>
              <w:t xml:space="preserve"> </w:t>
            </w:r>
            <w:r w:rsidR="00786E83">
              <w:rPr>
                <w:bCs/>
                <w:lang w:val="lv-LV"/>
              </w:rPr>
              <w:t>funkcijām</w:t>
            </w:r>
            <w:r w:rsidR="002614B3">
              <w:rPr>
                <w:bCs/>
                <w:lang w:val="lv-LV"/>
              </w:rPr>
              <w:t xml:space="preserve">, kas </w:t>
            </w:r>
            <w:r w:rsidR="00CE76A1">
              <w:rPr>
                <w:bCs/>
                <w:lang w:val="lv-LV"/>
              </w:rPr>
              <w:t xml:space="preserve">noteikta tās </w:t>
            </w:r>
            <w:r w:rsidR="002614B3">
              <w:rPr>
                <w:bCs/>
                <w:lang w:val="lv-LV"/>
              </w:rPr>
              <w:t>nolikumā</w:t>
            </w:r>
            <w:r w:rsidR="00C06F67">
              <w:rPr>
                <w:bCs/>
                <w:lang w:val="lv-LV"/>
              </w:rPr>
              <w:t>,</w:t>
            </w:r>
            <w:r w:rsidR="00786E83">
              <w:rPr>
                <w:bCs/>
                <w:lang w:val="lv-LV"/>
              </w:rPr>
              <w:t xml:space="preserve"> ir </w:t>
            </w:r>
            <w:r>
              <w:rPr>
                <w:bCs/>
                <w:lang w:val="lv-LV"/>
              </w:rPr>
              <w:t>veikt Eiropas Parlamenta un Padomes 2014. gada 23. jūlija Regulā (ES) Nr. 910/2014 par elektronisk</w:t>
            </w:r>
            <w:r w:rsidR="007229A7">
              <w:rPr>
                <w:bCs/>
                <w:lang w:val="lv-LV"/>
              </w:rPr>
              <w:t>ajiem</w:t>
            </w:r>
            <w:r>
              <w:rPr>
                <w:bCs/>
                <w:lang w:val="lv-LV"/>
              </w:rPr>
              <w:t xml:space="preserve"> identifikācijas un uzticamības pakalpojumiem elektronisko darījumu veikšanai iekšējā tirgū un ar ko atceļ Direktīvu 1999/93/EK un </w:t>
            </w:r>
            <w:r w:rsidR="002C3917">
              <w:rPr>
                <w:bCs/>
                <w:lang w:val="lv-LV"/>
              </w:rPr>
              <w:t>EDL</w:t>
            </w:r>
            <w:r>
              <w:rPr>
                <w:bCs/>
                <w:lang w:val="lv-LV"/>
              </w:rPr>
              <w:t xml:space="preserve"> noteiktās uzraudzības iestādes funkcij</w:t>
            </w:r>
            <w:r w:rsidR="00786E83">
              <w:rPr>
                <w:bCs/>
                <w:lang w:val="lv-LV"/>
              </w:rPr>
              <w:t>as un uzdevumus</w:t>
            </w:r>
            <w:r w:rsidR="0040683D">
              <w:rPr>
                <w:bCs/>
                <w:lang w:val="lv-LV"/>
              </w:rPr>
              <w:t xml:space="preserve">. </w:t>
            </w:r>
          </w:p>
          <w:p w14:paraId="44F87316" w14:textId="77777777" w:rsidR="007229A7" w:rsidRDefault="00C06F67" w:rsidP="00E72EE0">
            <w:pPr>
              <w:ind w:firstLine="720"/>
              <w:jc w:val="both"/>
              <w:rPr>
                <w:bCs/>
                <w:lang w:val="lv-LV"/>
              </w:rPr>
            </w:pPr>
            <w:r>
              <w:rPr>
                <w:bCs/>
                <w:lang w:val="lv-LV"/>
              </w:rPr>
              <w:t>Līdz grozījumu veikša</w:t>
            </w:r>
            <w:r w:rsidR="007A5B69">
              <w:rPr>
                <w:bCs/>
                <w:lang w:val="lv-LV"/>
              </w:rPr>
              <w:t>nai EDL, kas stājās spēkā 2019. gada 31. decembrī, 10. </w:t>
            </w:r>
            <w:r>
              <w:rPr>
                <w:bCs/>
                <w:lang w:val="lv-LV"/>
              </w:rPr>
              <w:t>panta pirmā daļa (pēc grozījumu veikšanas svītrota) paredzēja, ka s</w:t>
            </w:r>
            <w:r w:rsidRPr="00E72EE0">
              <w:rPr>
                <w:bCs/>
                <w:lang w:val="lv-LV"/>
              </w:rPr>
              <w:t>ertifikācijas pakalpojumu sniedzēj</w:t>
            </w:r>
            <w:r>
              <w:rPr>
                <w:bCs/>
                <w:lang w:val="lv-LV"/>
              </w:rPr>
              <w:t>u</w:t>
            </w:r>
            <w:r w:rsidR="00426948">
              <w:rPr>
                <w:bCs/>
                <w:lang w:val="lv-LV"/>
              </w:rPr>
              <w:t xml:space="preserve"> </w:t>
            </w:r>
            <w:r>
              <w:rPr>
                <w:bCs/>
                <w:lang w:val="lv-LV"/>
              </w:rPr>
              <w:t>darbības apstiprināšanu un uzraudzību nodrošina</w:t>
            </w:r>
            <w:r w:rsidRPr="00E72EE0">
              <w:rPr>
                <w:bCs/>
                <w:lang w:val="lv-LV"/>
              </w:rPr>
              <w:t xml:space="preserve"> aizsar</w:t>
            </w:r>
            <w:r w:rsidRPr="00C06F67">
              <w:rPr>
                <w:bCs/>
                <w:lang w:val="lv-LV"/>
              </w:rPr>
              <w:t>dzības ministra pakļautībā esoš</w:t>
            </w:r>
            <w:r>
              <w:rPr>
                <w:bCs/>
                <w:lang w:val="lv-LV"/>
              </w:rPr>
              <w:t>ā</w:t>
            </w:r>
            <w:r w:rsidRPr="00E72EE0">
              <w:rPr>
                <w:bCs/>
                <w:lang w:val="lv-LV"/>
              </w:rPr>
              <w:t xml:space="preserve"> uzraudzības institūcij</w:t>
            </w:r>
            <w:r>
              <w:rPr>
                <w:bCs/>
                <w:lang w:val="lv-LV"/>
              </w:rPr>
              <w:t>a.</w:t>
            </w:r>
            <w:r w:rsidRPr="00E72EE0">
              <w:rPr>
                <w:bCs/>
                <w:lang w:val="lv-LV"/>
              </w:rPr>
              <w:t xml:space="preserve"> </w:t>
            </w:r>
            <w:r w:rsidR="004D3BF7">
              <w:rPr>
                <w:bCs/>
                <w:lang w:val="lv-LV"/>
              </w:rPr>
              <w:t>Ar</w:t>
            </w:r>
            <w:r w:rsidR="004D30C1">
              <w:rPr>
                <w:bCs/>
                <w:lang w:val="lv-LV"/>
              </w:rPr>
              <w:t xml:space="preserve"> </w:t>
            </w:r>
            <w:r w:rsidR="0027192D">
              <w:rPr>
                <w:bCs/>
                <w:lang w:val="lv-LV"/>
              </w:rPr>
              <w:t xml:space="preserve">grozījumiem </w:t>
            </w:r>
            <w:r w:rsidR="004D3BF7">
              <w:rPr>
                <w:bCs/>
                <w:lang w:val="lv-LV"/>
              </w:rPr>
              <w:t>EDL</w:t>
            </w:r>
            <w:r w:rsidR="0027192D">
              <w:rPr>
                <w:bCs/>
                <w:lang w:val="lv-LV"/>
              </w:rPr>
              <w:t xml:space="preserve"> 19. panta trešajā daļā</w:t>
            </w:r>
            <w:r w:rsidR="004D3BF7">
              <w:rPr>
                <w:bCs/>
                <w:lang w:val="lv-LV"/>
              </w:rPr>
              <w:t xml:space="preserve"> tika noteikts deleģējums Ministru kabinetam noteikt uzticamu sertifikācijas pakalpojumu sniedzēju un to sniegto p</w:t>
            </w:r>
            <w:r w:rsidR="00FD4968">
              <w:rPr>
                <w:bCs/>
                <w:lang w:val="lv-LV"/>
              </w:rPr>
              <w:t>akalpojumu uzraudzības iestādi, kā arī</w:t>
            </w:r>
            <w:r w:rsidR="004D3BF7">
              <w:rPr>
                <w:bCs/>
                <w:lang w:val="lv-LV"/>
              </w:rPr>
              <w:t xml:space="preserve"> tās darba kārtību. </w:t>
            </w:r>
          </w:p>
          <w:p w14:paraId="575C3DAF" w14:textId="5BA7A14E" w:rsidR="005953EF" w:rsidRDefault="004D3BF7" w:rsidP="00E72EE0">
            <w:pPr>
              <w:ind w:firstLine="720"/>
              <w:jc w:val="both"/>
              <w:rPr>
                <w:bCs/>
                <w:lang w:val="lv-LV"/>
              </w:rPr>
            </w:pPr>
            <w:r w:rsidRPr="006842BF">
              <w:rPr>
                <w:bCs/>
                <w:lang w:val="lv-LV"/>
              </w:rPr>
              <w:t xml:space="preserve">Attiecīgi grozījumi komitejas nolikumā tiek veikti, lai </w:t>
            </w:r>
            <w:r w:rsidR="008855E2">
              <w:rPr>
                <w:bCs/>
                <w:lang w:val="lv-LV"/>
              </w:rPr>
              <w:t>komitejas nolikuma norādē</w:t>
            </w:r>
            <w:r w:rsidR="007229A7" w:rsidRPr="006842BF">
              <w:rPr>
                <w:bCs/>
                <w:lang w:val="lv-LV"/>
              </w:rPr>
              <w:t xml:space="preserve"> ietver</w:t>
            </w:r>
            <w:r w:rsidR="007229A7">
              <w:rPr>
                <w:bCs/>
                <w:lang w:val="lv-LV"/>
              </w:rPr>
              <w:t>tu likumā noteikto deleģējumu</w:t>
            </w:r>
            <w:r w:rsidR="008855E2">
              <w:rPr>
                <w:bCs/>
                <w:lang w:val="lv-LV"/>
              </w:rPr>
              <w:t xml:space="preserve">, uz kura likuma pamata noteikumi izdoti. </w:t>
            </w:r>
          </w:p>
          <w:p w14:paraId="0B0FFCAB" w14:textId="39BE5F56" w:rsidR="009A5181" w:rsidRPr="008B62CE" w:rsidRDefault="009A5181" w:rsidP="00E72EE0">
            <w:pPr>
              <w:ind w:firstLine="720"/>
              <w:jc w:val="both"/>
              <w:rPr>
                <w:bCs/>
                <w:lang w:val="lv-LV"/>
              </w:rPr>
            </w:pPr>
          </w:p>
        </w:tc>
      </w:tr>
      <w:tr w:rsidR="00F07C1C" w:rsidRPr="008B62CE" w14:paraId="05175230" w14:textId="77777777" w:rsidTr="00AC795D">
        <w:tc>
          <w:tcPr>
            <w:tcW w:w="216" w:type="pct"/>
          </w:tcPr>
          <w:p w14:paraId="299BBB03" w14:textId="77777777" w:rsidR="005953EF" w:rsidRPr="008B62CE" w:rsidRDefault="005953EF" w:rsidP="00AC795D">
            <w:pPr>
              <w:jc w:val="center"/>
              <w:rPr>
                <w:lang w:val="lv-LV" w:eastAsia="lv-LV"/>
              </w:rPr>
            </w:pPr>
            <w:r w:rsidRPr="008B62CE">
              <w:rPr>
                <w:lang w:val="lv-LV" w:eastAsia="lv-LV"/>
              </w:rPr>
              <w:t>3.</w:t>
            </w:r>
          </w:p>
        </w:tc>
        <w:tc>
          <w:tcPr>
            <w:tcW w:w="1267" w:type="pct"/>
          </w:tcPr>
          <w:p w14:paraId="56623B07" w14:textId="77777777" w:rsidR="005953EF" w:rsidRPr="008B62CE" w:rsidRDefault="005953EF" w:rsidP="008D2249">
            <w:pPr>
              <w:rPr>
                <w:lang w:val="lv-LV" w:eastAsia="lv-LV"/>
              </w:rPr>
            </w:pPr>
            <w:r w:rsidRPr="008B62CE">
              <w:rPr>
                <w:lang w:val="lv-LV" w:eastAsia="lv-LV"/>
              </w:rPr>
              <w:t xml:space="preserve">Projekta izstrādē iesaistītās institūcijas </w:t>
            </w:r>
            <w:r w:rsidRPr="008B62CE">
              <w:rPr>
                <w:lang w:val="lv-LV"/>
              </w:rPr>
              <w:t>un publiskas personas kapitālsabiedrības</w:t>
            </w:r>
          </w:p>
        </w:tc>
        <w:tc>
          <w:tcPr>
            <w:tcW w:w="3516" w:type="pct"/>
          </w:tcPr>
          <w:p w14:paraId="60795A0D" w14:textId="0DD58965" w:rsidR="005953EF" w:rsidRPr="008B62CE" w:rsidRDefault="005953EF" w:rsidP="00CA070B">
            <w:pPr>
              <w:jc w:val="both"/>
              <w:rPr>
                <w:lang w:val="lv-LV" w:eastAsia="lv-LV"/>
              </w:rPr>
            </w:pPr>
            <w:r w:rsidRPr="008B62CE">
              <w:rPr>
                <w:lang w:val="lv-LV" w:eastAsia="lv-LV"/>
              </w:rPr>
              <w:t>Aizsardzības ministrija</w:t>
            </w:r>
            <w:r w:rsidR="00E7158B">
              <w:rPr>
                <w:lang w:val="lv-LV" w:eastAsia="lv-LV"/>
              </w:rPr>
              <w:t>.</w:t>
            </w:r>
          </w:p>
          <w:p w14:paraId="27C67F88" w14:textId="4E433CF0" w:rsidR="005953EF" w:rsidRPr="008B62CE" w:rsidRDefault="005953EF" w:rsidP="00CA070B">
            <w:pPr>
              <w:ind w:left="174"/>
              <w:rPr>
                <w:lang w:val="lv-LV" w:eastAsia="lv-LV"/>
              </w:rPr>
            </w:pPr>
            <w:r w:rsidRPr="008B62CE">
              <w:rPr>
                <w:lang w:val="lv-LV"/>
              </w:rPr>
              <w:t xml:space="preserve"> </w:t>
            </w:r>
          </w:p>
        </w:tc>
      </w:tr>
      <w:tr w:rsidR="00F07C1C" w:rsidRPr="00691584" w14:paraId="538C26B9" w14:textId="77777777" w:rsidTr="00AC795D">
        <w:tc>
          <w:tcPr>
            <w:tcW w:w="216" w:type="pct"/>
          </w:tcPr>
          <w:p w14:paraId="6AB89D61" w14:textId="77777777" w:rsidR="005953EF" w:rsidRPr="008B62CE" w:rsidRDefault="005953EF" w:rsidP="00AC795D">
            <w:pPr>
              <w:jc w:val="center"/>
              <w:rPr>
                <w:lang w:val="lv-LV" w:eastAsia="lv-LV"/>
              </w:rPr>
            </w:pPr>
            <w:r w:rsidRPr="008B62CE">
              <w:rPr>
                <w:lang w:val="lv-LV" w:eastAsia="lv-LV"/>
              </w:rPr>
              <w:t>4.</w:t>
            </w:r>
          </w:p>
        </w:tc>
        <w:tc>
          <w:tcPr>
            <w:tcW w:w="1267" w:type="pct"/>
          </w:tcPr>
          <w:p w14:paraId="477A76F1" w14:textId="77777777" w:rsidR="005953EF" w:rsidRPr="008B62CE" w:rsidRDefault="005953EF" w:rsidP="00AC795D">
            <w:pPr>
              <w:jc w:val="both"/>
              <w:rPr>
                <w:lang w:val="lv-LV" w:eastAsia="lv-LV"/>
              </w:rPr>
            </w:pPr>
            <w:r w:rsidRPr="008B62CE">
              <w:rPr>
                <w:lang w:val="lv-LV" w:eastAsia="lv-LV"/>
              </w:rPr>
              <w:t>Cita informācija</w:t>
            </w:r>
          </w:p>
        </w:tc>
        <w:tc>
          <w:tcPr>
            <w:tcW w:w="3516" w:type="pct"/>
          </w:tcPr>
          <w:p w14:paraId="5737772D" w14:textId="77777777" w:rsidR="005953EF" w:rsidRDefault="005953EF" w:rsidP="009379CF">
            <w:pPr>
              <w:ind w:firstLine="720"/>
              <w:jc w:val="both"/>
              <w:rPr>
                <w:lang w:val="lv-LV"/>
              </w:rPr>
            </w:pPr>
            <w:r w:rsidRPr="008B62CE">
              <w:rPr>
                <w:lang w:val="lv-LV"/>
              </w:rPr>
              <w:t xml:space="preserve">Komiteja tai </w:t>
            </w:r>
            <w:r w:rsidR="004C2DDB" w:rsidRPr="008B62CE">
              <w:rPr>
                <w:lang w:val="lv-LV"/>
              </w:rPr>
              <w:t>uzticētos</w:t>
            </w:r>
            <w:r w:rsidRPr="008B62CE">
              <w:rPr>
                <w:lang w:val="lv-LV"/>
              </w:rPr>
              <w:t xml:space="preserve"> pienākumus un funkcijas veic un turpinās veikt esošo cilvēkresursu un finanšu resursu ietvaros.</w:t>
            </w:r>
          </w:p>
          <w:p w14:paraId="4031DA2F" w14:textId="4803DCB9" w:rsidR="009A5181" w:rsidRPr="008B62CE" w:rsidRDefault="009A5181" w:rsidP="009379CF">
            <w:pPr>
              <w:ind w:firstLine="720"/>
              <w:jc w:val="both"/>
              <w:rPr>
                <w:lang w:val="lv-LV"/>
              </w:rPr>
            </w:pPr>
          </w:p>
        </w:tc>
      </w:tr>
    </w:tbl>
    <w:p w14:paraId="42B66564" w14:textId="5E122666" w:rsidR="005953EF" w:rsidRDefault="005953EF" w:rsidP="005953EF">
      <w:pPr>
        <w:rPr>
          <w:lang w:val="lv-LV"/>
        </w:rPr>
      </w:pPr>
    </w:p>
    <w:p w14:paraId="7957FCBB" w14:textId="5871703A" w:rsidR="00B665DB" w:rsidRDefault="00B665DB" w:rsidP="005953EF">
      <w:pPr>
        <w:rPr>
          <w:lang w:val="lv-LV"/>
        </w:rPr>
      </w:pPr>
    </w:p>
    <w:p w14:paraId="12EB3704" w14:textId="1EFD0394" w:rsidR="00B665DB" w:rsidRDefault="00B665DB" w:rsidP="005953EF">
      <w:pPr>
        <w:rPr>
          <w:lang w:val="lv-LV"/>
        </w:rPr>
      </w:pPr>
    </w:p>
    <w:p w14:paraId="6B7F10F7" w14:textId="77777777" w:rsidR="00B665DB" w:rsidRPr="008B62CE" w:rsidRDefault="00B665DB" w:rsidP="005953EF">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10"/>
        <w:gridCol w:w="2278"/>
        <w:gridCol w:w="6375"/>
      </w:tblGrid>
      <w:tr w:rsidR="00F07C1C" w:rsidRPr="00691584" w14:paraId="7C9498F3" w14:textId="77777777" w:rsidTr="00AC795D">
        <w:tc>
          <w:tcPr>
            <w:tcW w:w="0" w:type="auto"/>
            <w:gridSpan w:val="3"/>
            <w:vAlign w:val="center"/>
          </w:tcPr>
          <w:p w14:paraId="6A5C9387" w14:textId="77777777" w:rsidR="005953EF" w:rsidRPr="008B62CE" w:rsidRDefault="005953EF" w:rsidP="00AC795D">
            <w:pPr>
              <w:jc w:val="center"/>
              <w:rPr>
                <w:b/>
                <w:bCs/>
                <w:lang w:val="lv-LV" w:eastAsia="lv-LV"/>
              </w:rPr>
            </w:pPr>
            <w:r w:rsidRPr="008B62CE">
              <w:rPr>
                <w:b/>
                <w:lang w:val="lv-LV"/>
              </w:rPr>
              <w:lastRenderedPageBreak/>
              <w:t>II. Tiesību akta projekta ietekme uz sabiedrību,</w:t>
            </w:r>
            <w:r w:rsidRPr="008B62CE">
              <w:rPr>
                <w:b/>
                <w:bCs/>
                <w:lang w:val="lv-LV"/>
              </w:rPr>
              <w:t xml:space="preserve"> tautsaimniecības attīstību un administratīvo slogu</w:t>
            </w:r>
          </w:p>
        </w:tc>
      </w:tr>
      <w:tr w:rsidR="00F07C1C" w:rsidRPr="00691584" w14:paraId="0B6BBBEE" w14:textId="77777777" w:rsidTr="00160DF1">
        <w:tc>
          <w:tcPr>
            <w:tcW w:w="226" w:type="pct"/>
          </w:tcPr>
          <w:p w14:paraId="6BBCAC98" w14:textId="77777777" w:rsidR="005953EF" w:rsidRPr="008B62CE" w:rsidRDefault="005953EF" w:rsidP="00AC795D">
            <w:pPr>
              <w:jc w:val="center"/>
              <w:rPr>
                <w:lang w:val="lv-LV" w:eastAsia="lv-LV"/>
              </w:rPr>
            </w:pPr>
            <w:r w:rsidRPr="008B62CE">
              <w:rPr>
                <w:lang w:val="lv-LV" w:eastAsia="lv-LV"/>
              </w:rPr>
              <w:t>1.</w:t>
            </w:r>
          </w:p>
        </w:tc>
        <w:tc>
          <w:tcPr>
            <w:tcW w:w="1257" w:type="pct"/>
          </w:tcPr>
          <w:p w14:paraId="4036290C" w14:textId="77777777" w:rsidR="005953EF" w:rsidRPr="008B62CE" w:rsidRDefault="005953EF" w:rsidP="00CC5D0D">
            <w:pPr>
              <w:rPr>
                <w:lang w:val="lv-LV"/>
              </w:rPr>
            </w:pPr>
            <w:r w:rsidRPr="008B62CE">
              <w:rPr>
                <w:lang w:val="lv-LV"/>
              </w:rPr>
              <w:t>Sabiedrības mērķgrupas, kuras tiesiskais regulējums ietekmē vai varētu ietekmēt</w:t>
            </w:r>
          </w:p>
        </w:tc>
        <w:tc>
          <w:tcPr>
            <w:tcW w:w="3517" w:type="pct"/>
          </w:tcPr>
          <w:p w14:paraId="03450F61" w14:textId="214A907B" w:rsidR="005953EF" w:rsidRPr="009379CF" w:rsidRDefault="005953EF" w:rsidP="00B665DB">
            <w:pPr>
              <w:spacing w:after="120"/>
              <w:ind w:firstLine="720"/>
              <w:jc w:val="both"/>
              <w:rPr>
                <w:lang w:val="lv-LV"/>
              </w:rPr>
            </w:pPr>
            <w:r w:rsidRPr="008B62CE">
              <w:rPr>
                <w:lang w:val="lv-LV"/>
              </w:rPr>
              <w:t>Noteikumu projekta tiesiskais regulējums ietekmēs</w:t>
            </w:r>
            <w:r w:rsidR="009379CF">
              <w:rPr>
                <w:lang w:val="lv-LV"/>
              </w:rPr>
              <w:t xml:space="preserve"> k</w:t>
            </w:r>
            <w:r w:rsidRPr="009379CF">
              <w:rPr>
                <w:lang w:val="lv-LV"/>
              </w:rPr>
              <w:t>omiteju,</w:t>
            </w:r>
            <w:r w:rsidR="001D101A" w:rsidRPr="009379CF">
              <w:rPr>
                <w:lang w:val="lv-LV"/>
              </w:rPr>
              <w:t xml:space="preserve"> kuras sastāvā ir Aizsardzības ministrijas valsts sekretārs, Satiksmes ministrijas valsts sekretārs, Tieslietu ministrijas valsts sekretārs, Iekšlietu ministrijas valsts sekretārs, Vides aizsardzības un reģionālās attīstības ministrijas valsts sekretārs, Datu valsts inspekcijas vadītājs, Latvijas Universitātes un informātikas institūta struktūrvienības </w:t>
            </w:r>
            <w:r w:rsidR="0004259D" w:rsidRPr="009379CF">
              <w:rPr>
                <w:lang w:val="lv-LV"/>
              </w:rPr>
              <w:t>CERT.LV</w:t>
            </w:r>
            <w:r w:rsidR="001D101A" w:rsidRPr="009379CF">
              <w:rPr>
                <w:lang w:val="lv-LV"/>
              </w:rPr>
              <w:t xml:space="preserve"> vadītājs un komitejas sekretariāta vadītājs</w:t>
            </w:r>
            <w:r w:rsidR="00C02ED2" w:rsidRPr="009379CF">
              <w:rPr>
                <w:lang w:val="lv-LV"/>
              </w:rPr>
              <w:t xml:space="preserve">, kā arī </w:t>
            </w:r>
            <w:r w:rsidR="00F84AE3" w:rsidRPr="009379CF">
              <w:rPr>
                <w:lang w:val="lv-LV"/>
              </w:rPr>
              <w:t>speciālist</w:t>
            </w:r>
            <w:r w:rsidR="007229A7">
              <w:rPr>
                <w:lang w:val="lv-LV"/>
              </w:rPr>
              <w:t>i</w:t>
            </w:r>
            <w:r w:rsidR="00F84AE3" w:rsidRPr="009379CF">
              <w:rPr>
                <w:lang w:val="lv-LV"/>
              </w:rPr>
              <w:t xml:space="preserve"> vai ekspert</w:t>
            </w:r>
            <w:r w:rsidR="007229A7">
              <w:rPr>
                <w:lang w:val="lv-LV"/>
              </w:rPr>
              <w:t>i</w:t>
            </w:r>
            <w:r w:rsidR="00F84AE3" w:rsidRPr="009379CF">
              <w:rPr>
                <w:lang w:val="lv-LV"/>
              </w:rPr>
              <w:t xml:space="preserve">, </w:t>
            </w:r>
            <w:r w:rsidRPr="009379CF">
              <w:rPr>
                <w:lang w:val="lv-LV"/>
              </w:rPr>
              <w:t xml:space="preserve">kurus var </w:t>
            </w:r>
            <w:r w:rsidR="001D101A" w:rsidRPr="009379CF">
              <w:rPr>
                <w:lang w:val="lv-LV"/>
              </w:rPr>
              <w:t>piea</w:t>
            </w:r>
            <w:r w:rsidR="00C02ED2" w:rsidRPr="009379CF">
              <w:rPr>
                <w:lang w:val="lv-LV"/>
              </w:rPr>
              <w:t>i</w:t>
            </w:r>
            <w:r w:rsidR="001D101A" w:rsidRPr="009379CF">
              <w:rPr>
                <w:lang w:val="lv-LV"/>
              </w:rPr>
              <w:t>ci</w:t>
            </w:r>
            <w:r w:rsidRPr="009379CF">
              <w:rPr>
                <w:lang w:val="lv-LV"/>
              </w:rPr>
              <w:t>nāt piedalīties komitejas sēdē.</w:t>
            </w:r>
          </w:p>
        </w:tc>
      </w:tr>
      <w:tr w:rsidR="00F07C1C" w:rsidRPr="00691584" w14:paraId="7E56DBAF" w14:textId="77777777" w:rsidTr="00160DF1">
        <w:tc>
          <w:tcPr>
            <w:tcW w:w="226" w:type="pct"/>
          </w:tcPr>
          <w:p w14:paraId="3F155C13" w14:textId="77777777" w:rsidR="005953EF" w:rsidRPr="008B62CE" w:rsidRDefault="005953EF" w:rsidP="00AC795D">
            <w:pPr>
              <w:jc w:val="center"/>
              <w:rPr>
                <w:lang w:val="lv-LV" w:eastAsia="lv-LV"/>
              </w:rPr>
            </w:pPr>
            <w:r w:rsidRPr="008B62CE">
              <w:rPr>
                <w:lang w:val="lv-LV" w:eastAsia="lv-LV"/>
              </w:rPr>
              <w:t>2.</w:t>
            </w:r>
          </w:p>
        </w:tc>
        <w:tc>
          <w:tcPr>
            <w:tcW w:w="1257" w:type="pct"/>
          </w:tcPr>
          <w:p w14:paraId="317A21BB" w14:textId="77777777" w:rsidR="005953EF" w:rsidRPr="008B62CE" w:rsidRDefault="005953EF" w:rsidP="00E06193">
            <w:pPr>
              <w:widowControl w:val="0"/>
              <w:rPr>
                <w:lang w:val="lv-LV"/>
              </w:rPr>
            </w:pPr>
            <w:r w:rsidRPr="008B62CE">
              <w:rPr>
                <w:lang w:val="lv-LV"/>
              </w:rPr>
              <w:t>Tiesiskā regulējuma ietekme uz tautsaimniecību un administratīvo slogu</w:t>
            </w:r>
          </w:p>
        </w:tc>
        <w:tc>
          <w:tcPr>
            <w:tcW w:w="3517" w:type="pct"/>
          </w:tcPr>
          <w:p w14:paraId="356CCF83" w14:textId="54E0BB56" w:rsidR="005953EF" w:rsidRPr="008B62CE" w:rsidRDefault="005953EF" w:rsidP="009379CF">
            <w:pPr>
              <w:ind w:firstLine="720"/>
              <w:jc w:val="both"/>
              <w:rPr>
                <w:lang w:val="lv-LV"/>
              </w:rPr>
            </w:pPr>
            <w:r w:rsidRPr="008B62CE">
              <w:rPr>
                <w:lang w:val="lv-LV"/>
              </w:rPr>
              <w:t>Tiesiskajam regulējumam nav ietekme</w:t>
            </w:r>
            <w:r w:rsidR="009C01AC" w:rsidRPr="008B62CE">
              <w:rPr>
                <w:lang w:val="lv-LV"/>
              </w:rPr>
              <w:t>s</w:t>
            </w:r>
            <w:r w:rsidRPr="008B62CE">
              <w:rPr>
                <w:lang w:val="lv-LV"/>
              </w:rPr>
              <w:t xml:space="preserve"> uz tautsaimniecību</w:t>
            </w:r>
            <w:r w:rsidR="00384806" w:rsidRPr="008B62CE">
              <w:rPr>
                <w:lang w:val="lv-LV"/>
              </w:rPr>
              <w:t>.</w:t>
            </w:r>
            <w:r w:rsidR="00801C79" w:rsidRPr="008B62CE">
              <w:rPr>
                <w:lang w:val="lv-LV"/>
              </w:rPr>
              <w:t xml:space="preserve"> Komitejai </w:t>
            </w:r>
            <w:r w:rsidR="00691584">
              <w:rPr>
                <w:lang w:val="lv-LV"/>
              </w:rPr>
              <w:t>ne</w:t>
            </w:r>
            <w:r w:rsidR="00801C79" w:rsidRPr="008B62CE">
              <w:rPr>
                <w:lang w:val="lv-LV"/>
              </w:rPr>
              <w:t xml:space="preserve">tiek uzlikti </w:t>
            </w:r>
            <w:r w:rsidR="00691584">
              <w:rPr>
                <w:lang w:val="lv-LV"/>
              </w:rPr>
              <w:t>papildu pienākumi, kas palielinātu</w:t>
            </w:r>
            <w:bookmarkStart w:id="2" w:name="_GoBack"/>
            <w:bookmarkEnd w:id="2"/>
            <w:r w:rsidR="00801C79" w:rsidRPr="008B62CE">
              <w:rPr>
                <w:lang w:val="lv-LV"/>
              </w:rPr>
              <w:t xml:space="preserve"> tās administratīvo slogu. Funkcijas tiks veiktas esošo cilvēkresursu un finanšu resursu ietvaros. </w:t>
            </w:r>
          </w:p>
          <w:p w14:paraId="2A61A07E" w14:textId="77777777" w:rsidR="005953EF" w:rsidRPr="008B62CE" w:rsidRDefault="005953EF" w:rsidP="00AC795D">
            <w:pPr>
              <w:jc w:val="both"/>
              <w:rPr>
                <w:lang w:val="lv-LV"/>
              </w:rPr>
            </w:pPr>
          </w:p>
        </w:tc>
      </w:tr>
      <w:tr w:rsidR="00F07C1C" w:rsidRPr="008B62CE" w14:paraId="26A10623" w14:textId="77777777" w:rsidTr="00160DF1">
        <w:tc>
          <w:tcPr>
            <w:tcW w:w="226" w:type="pct"/>
          </w:tcPr>
          <w:p w14:paraId="6536C793" w14:textId="77777777" w:rsidR="005953EF" w:rsidRPr="008B62CE" w:rsidRDefault="005953EF" w:rsidP="00AC795D">
            <w:pPr>
              <w:jc w:val="center"/>
              <w:rPr>
                <w:lang w:val="lv-LV" w:eastAsia="lv-LV"/>
              </w:rPr>
            </w:pPr>
            <w:r w:rsidRPr="008B62CE">
              <w:rPr>
                <w:lang w:val="lv-LV" w:eastAsia="lv-LV"/>
              </w:rPr>
              <w:t>3.</w:t>
            </w:r>
          </w:p>
        </w:tc>
        <w:tc>
          <w:tcPr>
            <w:tcW w:w="1257" w:type="pct"/>
          </w:tcPr>
          <w:p w14:paraId="01934E1D" w14:textId="77777777" w:rsidR="005953EF" w:rsidRPr="008B62CE" w:rsidRDefault="005953EF" w:rsidP="00485EB1">
            <w:pPr>
              <w:pStyle w:val="NormalWeb"/>
              <w:spacing w:before="0" w:beforeAutospacing="0" w:after="0" w:afterAutospacing="0"/>
              <w:rPr>
                <w:lang w:val="lv-LV"/>
              </w:rPr>
            </w:pPr>
            <w:r w:rsidRPr="008B62CE">
              <w:rPr>
                <w:lang w:val="lv-LV"/>
              </w:rPr>
              <w:t>Administratīvo izmaksu monetārs novērtējums</w:t>
            </w:r>
          </w:p>
        </w:tc>
        <w:tc>
          <w:tcPr>
            <w:tcW w:w="3517" w:type="pct"/>
          </w:tcPr>
          <w:p w14:paraId="0B285DBE" w14:textId="77777777" w:rsidR="005953EF" w:rsidRPr="008B62CE" w:rsidRDefault="005953EF" w:rsidP="00AC795D">
            <w:pPr>
              <w:jc w:val="both"/>
              <w:rPr>
                <w:lang w:val="lv-LV" w:eastAsia="lv-LV"/>
              </w:rPr>
            </w:pPr>
            <w:r w:rsidRPr="008B62CE">
              <w:rPr>
                <w:lang w:val="lv-LV" w:eastAsia="lv-LV"/>
              </w:rPr>
              <w:t xml:space="preserve">Projekts šo jomu neskar. </w:t>
            </w:r>
          </w:p>
        </w:tc>
      </w:tr>
      <w:tr w:rsidR="00F07C1C" w:rsidRPr="008B62CE" w14:paraId="56401733" w14:textId="77777777" w:rsidTr="00160DF1">
        <w:tc>
          <w:tcPr>
            <w:tcW w:w="226" w:type="pct"/>
          </w:tcPr>
          <w:p w14:paraId="0A752FF7" w14:textId="77777777" w:rsidR="005953EF" w:rsidRPr="008B62CE" w:rsidRDefault="005953EF" w:rsidP="00AC795D">
            <w:pPr>
              <w:jc w:val="center"/>
              <w:rPr>
                <w:lang w:val="lv-LV" w:eastAsia="lv-LV"/>
              </w:rPr>
            </w:pPr>
            <w:r w:rsidRPr="008B62CE">
              <w:rPr>
                <w:lang w:val="lv-LV" w:eastAsia="lv-LV"/>
              </w:rPr>
              <w:t>4.</w:t>
            </w:r>
          </w:p>
        </w:tc>
        <w:tc>
          <w:tcPr>
            <w:tcW w:w="1257" w:type="pct"/>
          </w:tcPr>
          <w:p w14:paraId="4CBDDE40" w14:textId="77777777" w:rsidR="005953EF" w:rsidRPr="008B62CE" w:rsidRDefault="005953EF" w:rsidP="00485EB1">
            <w:pPr>
              <w:pStyle w:val="NormalWeb"/>
              <w:spacing w:before="0" w:beforeAutospacing="0" w:after="0" w:afterAutospacing="0"/>
              <w:rPr>
                <w:lang w:val="lv-LV"/>
              </w:rPr>
            </w:pPr>
            <w:r w:rsidRPr="008B62CE">
              <w:rPr>
                <w:lang w:val="lv-LV"/>
              </w:rPr>
              <w:t>Atbilstības izmaksu monetārs novērtējums</w:t>
            </w:r>
          </w:p>
        </w:tc>
        <w:tc>
          <w:tcPr>
            <w:tcW w:w="3517" w:type="pct"/>
          </w:tcPr>
          <w:p w14:paraId="2B041255" w14:textId="77777777" w:rsidR="005953EF" w:rsidRPr="008B62CE" w:rsidRDefault="005953EF" w:rsidP="00AC795D">
            <w:pPr>
              <w:jc w:val="both"/>
              <w:rPr>
                <w:lang w:val="lv-LV" w:eastAsia="lv-LV"/>
              </w:rPr>
            </w:pPr>
            <w:r w:rsidRPr="008B62CE">
              <w:rPr>
                <w:lang w:val="lv-LV" w:eastAsia="lv-LV"/>
              </w:rPr>
              <w:t>Projekts šo jomu neskar.</w:t>
            </w:r>
          </w:p>
        </w:tc>
      </w:tr>
      <w:tr w:rsidR="00F07C1C" w:rsidRPr="008B62CE" w14:paraId="35A30203" w14:textId="77777777" w:rsidTr="00160DF1">
        <w:tc>
          <w:tcPr>
            <w:tcW w:w="226" w:type="pct"/>
          </w:tcPr>
          <w:p w14:paraId="73C6F4F0" w14:textId="77777777" w:rsidR="005953EF" w:rsidRPr="008B62CE" w:rsidRDefault="005953EF" w:rsidP="00AC795D">
            <w:pPr>
              <w:jc w:val="center"/>
              <w:rPr>
                <w:lang w:val="lv-LV" w:eastAsia="lv-LV"/>
              </w:rPr>
            </w:pPr>
            <w:r w:rsidRPr="008B62CE">
              <w:rPr>
                <w:lang w:val="lv-LV" w:eastAsia="lv-LV"/>
              </w:rPr>
              <w:t>5.</w:t>
            </w:r>
          </w:p>
        </w:tc>
        <w:tc>
          <w:tcPr>
            <w:tcW w:w="1257" w:type="pct"/>
          </w:tcPr>
          <w:p w14:paraId="32AF8D3B" w14:textId="77777777" w:rsidR="005953EF" w:rsidRPr="008B62CE" w:rsidRDefault="005953EF" w:rsidP="00485EB1">
            <w:pPr>
              <w:rPr>
                <w:lang w:val="lv-LV"/>
              </w:rPr>
            </w:pPr>
            <w:r w:rsidRPr="008B62CE">
              <w:rPr>
                <w:lang w:val="lv-LV"/>
              </w:rPr>
              <w:t>Cita informācija</w:t>
            </w:r>
          </w:p>
        </w:tc>
        <w:tc>
          <w:tcPr>
            <w:tcW w:w="3517" w:type="pct"/>
          </w:tcPr>
          <w:p w14:paraId="4113F4CC" w14:textId="34359978" w:rsidR="008D2249" w:rsidRPr="008B62CE" w:rsidRDefault="005953EF" w:rsidP="00AC795D">
            <w:pPr>
              <w:jc w:val="both"/>
              <w:rPr>
                <w:lang w:val="lv-LV"/>
              </w:rPr>
            </w:pPr>
            <w:r w:rsidRPr="008B62CE">
              <w:rPr>
                <w:lang w:val="lv-LV"/>
              </w:rPr>
              <w:t>Nav.</w:t>
            </w:r>
          </w:p>
        </w:tc>
      </w:tr>
    </w:tbl>
    <w:p w14:paraId="49910701" w14:textId="2EFB6794" w:rsidR="008D2249" w:rsidRPr="008B62CE" w:rsidRDefault="008D2249" w:rsidP="005953EF">
      <w:pPr>
        <w:jc w:val="both"/>
        <w:rPr>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B7F48" w:rsidRPr="00691584" w14:paraId="6E51E718" w14:textId="77777777" w:rsidTr="00B54F60">
        <w:trPr>
          <w:trHeight w:val="148"/>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748C8F2" w14:textId="2D10C51F" w:rsidR="002B7F48" w:rsidRPr="008B62CE" w:rsidRDefault="002B7F48" w:rsidP="000B5D35">
            <w:pPr>
              <w:spacing w:after="120"/>
              <w:jc w:val="center"/>
              <w:rPr>
                <w:b/>
                <w:bCs/>
                <w:lang w:val="lv-LV"/>
              </w:rPr>
            </w:pPr>
            <w:r w:rsidRPr="008B62CE">
              <w:rPr>
                <w:rFonts w:cstheme="minorBidi"/>
                <w:b/>
                <w:bCs/>
                <w:lang w:val="lv-LV" w:eastAsia="lv-LV"/>
              </w:rPr>
              <w:t>III. Tiesību akta projekta ietekme uz valsts budžetu un pašvaldību budžetiem</w:t>
            </w:r>
          </w:p>
        </w:tc>
      </w:tr>
      <w:tr w:rsidR="002B7F48" w:rsidRPr="008B62CE" w14:paraId="65740432" w14:textId="77777777" w:rsidTr="00B54F60">
        <w:trPr>
          <w:trHeight w:val="98"/>
        </w:trPr>
        <w:tc>
          <w:tcPr>
            <w:tcW w:w="5000" w:type="pct"/>
            <w:tcBorders>
              <w:top w:val="outset" w:sz="6" w:space="0" w:color="414142"/>
              <w:left w:val="outset" w:sz="6" w:space="0" w:color="414142"/>
              <w:bottom w:val="outset" w:sz="6" w:space="0" w:color="414142"/>
              <w:right w:val="outset" w:sz="6" w:space="0" w:color="414142"/>
            </w:tcBorders>
            <w:hideMark/>
          </w:tcPr>
          <w:p w14:paraId="53866240" w14:textId="39C534E1" w:rsidR="002B7F48" w:rsidRPr="008B62CE" w:rsidRDefault="002B7F48" w:rsidP="002B7F48">
            <w:pPr>
              <w:pStyle w:val="ListParagraph"/>
              <w:tabs>
                <w:tab w:val="left" w:pos="399"/>
              </w:tabs>
              <w:ind w:left="113"/>
              <w:contextualSpacing w:val="0"/>
              <w:jc w:val="center"/>
              <w:rPr>
                <w:lang w:val="lv-LV"/>
              </w:rPr>
            </w:pPr>
            <w:r w:rsidRPr="008B62CE">
              <w:rPr>
                <w:bCs/>
                <w:iCs/>
                <w:lang w:val="lv-LV" w:eastAsia="lv-LV"/>
              </w:rPr>
              <w:t>Projekts šo jomu neskar</w:t>
            </w:r>
            <w:r w:rsidR="00BA5D7F">
              <w:rPr>
                <w:bCs/>
                <w:iCs/>
                <w:lang w:val="lv-LV" w:eastAsia="lv-LV"/>
              </w:rPr>
              <w:t>.</w:t>
            </w:r>
          </w:p>
        </w:tc>
      </w:tr>
    </w:tbl>
    <w:p w14:paraId="306EDF48" w14:textId="72DA9A4C" w:rsidR="002B7F48" w:rsidRPr="008B62CE" w:rsidRDefault="002B7F48" w:rsidP="005953EF">
      <w:pPr>
        <w:jc w:val="both"/>
        <w:rPr>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B7F48" w:rsidRPr="00691584" w14:paraId="530E76E4" w14:textId="77777777" w:rsidTr="00B54F60">
        <w:trPr>
          <w:trHeight w:val="143"/>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667B16E" w14:textId="73A15CBA" w:rsidR="002B7F48" w:rsidRPr="008B62CE" w:rsidRDefault="002B7F48" w:rsidP="000B5D35">
            <w:pPr>
              <w:spacing w:after="120"/>
              <w:jc w:val="center"/>
              <w:rPr>
                <w:b/>
                <w:bCs/>
                <w:lang w:val="lv-LV"/>
              </w:rPr>
            </w:pPr>
            <w:r w:rsidRPr="008B62CE">
              <w:rPr>
                <w:b/>
                <w:bCs/>
                <w:iCs/>
                <w:lang w:val="lv-LV" w:eastAsia="lv-LV"/>
              </w:rPr>
              <w:t>IV. Tiesību akta projekta ietekme uz spēkā esošo tiesību normu sistēmu</w:t>
            </w:r>
          </w:p>
        </w:tc>
      </w:tr>
      <w:tr w:rsidR="002B7F48" w:rsidRPr="008B62CE" w14:paraId="654854E6" w14:textId="77777777" w:rsidTr="00B54F60">
        <w:trPr>
          <w:trHeight w:val="252"/>
        </w:trPr>
        <w:tc>
          <w:tcPr>
            <w:tcW w:w="5000" w:type="pct"/>
            <w:tcBorders>
              <w:top w:val="outset" w:sz="6" w:space="0" w:color="414142"/>
              <w:left w:val="outset" w:sz="6" w:space="0" w:color="414142"/>
              <w:bottom w:val="outset" w:sz="6" w:space="0" w:color="414142"/>
              <w:right w:val="outset" w:sz="6" w:space="0" w:color="414142"/>
            </w:tcBorders>
            <w:hideMark/>
          </w:tcPr>
          <w:p w14:paraId="6CF3EFED" w14:textId="0FBC0D21" w:rsidR="002B7F48" w:rsidRPr="008B62CE" w:rsidRDefault="002B7F48" w:rsidP="000B5D35">
            <w:pPr>
              <w:pStyle w:val="ListParagraph"/>
              <w:tabs>
                <w:tab w:val="left" w:pos="399"/>
              </w:tabs>
              <w:ind w:left="113"/>
              <w:contextualSpacing w:val="0"/>
              <w:jc w:val="center"/>
              <w:rPr>
                <w:lang w:val="lv-LV"/>
              </w:rPr>
            </w:pPr>
            <w:r w:rsidRPr="008B62CE">
              <w:rPr>
                <w:bCs/>
                <w:iCs/>
                <w:lang w:val="lv-LV" w:eastAsia="lv-LV"/>
              </w:rPr>
              <w:t>Projekts šo jomu neskar</w:t>
            </w:r>
            <w:r w:rsidR="00BA5D7F">
              <w:rPr>
                <w:bCs/>
                <w:iCs/>
                <w:lang w:val="lv-LV" w:eastAsia="lv-LV"/>
              </w:rPr>
              <w:t>.</w:t>
            </w:r>
          </w:p>
        </w:tc>
      </w:tr>
    </w:tbl>
    <w:p w14:paraId="077CCF5B" w14:textId="166A9752" w:rsidR="003003B2" w:rsidRPr="008B62CE" w:rsidRDefault="003003B2" w:rsidP="005953EF">
      <w:pPr>
        <w:jc w:val="both"/>
        <w:rPr>
          <w:lang w:val="lv-LV" w:eastAsia="lv-LV"/>
        </w:rPr>
      </w:pPr>
    </w:p>
    <w:tbl>
      <w:tblPr>
        <w:tblW w:w="9087"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9087"/>
      </w:tblGrid>
      <w:tr w:rsidR="00F07C1C" w:rsidRPr="00691584" w14:paraId="6F0C6770" w14:textId="77777777" w:rsidTr="0058029E">
        <w:tc>
          <w:tcPr>
            <w:tcW w:w="9087" w:type="dxa"/>
            <w:tcBorders>
              <w:top w:val="outset" w:sz="6" w:space="0" w:color="414142"/>
              <w:left w:val="outset" w:sz="6" w:space="0" w:color="414142"/>
              <w:bottom w:val="outset" w:sz="6" w:space="0" w:color="414142"/>
              <w:right w:val="outset" w:sz="6" w:space="0" w:color="414142"/>
            </w:tcBorders>
            <w:vAlign w:val="center"/>
            <w:hideMark/>
          </w:tcPr>
          <w:p w14:paraId="3D61E148" w14:textId="77777777" w:rsidR="005953EF" w:rsidRPr="008B62CE" w:rsidRDefault="005953EF" w:rsidP="00AC795D">
            <w:pPr>
              <w:spacing w:before="100" w:beforeAutospacing="1" w:after="100" w:afterAutospacing="1" w:line="293" w:lineRule="atLeast"/>
              <w:jc w:val="center"/>
              <w:rPr>
                <w:b/>
                <w:bCs/>
                <w:lang w:val="lv-LV" w:eastAsia="lv-LV"/>
              </w:rPr>
            </w:pPr>
            <w:r w:rsidRPr="008B62CE">
              <w:rPr>
                <w:b/>
                <w:bCs/>
                <w:lang w:val="lv-LV" w:eastAsia="lv-LV"/>
              </w:rPr>
              <w:t>V. Tiesību akta projekta atbilstība Latvijas Republikas starptautiskajām saistībām</w:t>
            </w:r>
          </w:p>
        </w:tc>
      </w:tr>
      <w:tr w:rsidR="007C1057" w:rsidRPr="008B62CE" w14:paraId="41B97F08" w14:textId="77777777" w:rsidTr="002079E2">
        <w:tc>
          <w:tcPr>
            <w:tcW w:w="9087" w:type="dxa"/>
            <w:tcBorders>
              <w:top w:val="outset" w:sz="6" w:space="0" w:color="414142"/>
              <w:left w:val="outset" w:sz="6" w:space="0" w:color="414142"/>
              <w:bottom w:val="outset" w:sz="6" w:space="0" w:color="414142"/>
              <w:right w:val="outset" w:sz="6" w:space="0" w:color="414142"/>
            </w:tcBorders>
            <w:hideMark/>
          </w:tcPr>
          <w:p w14:paraId="05DE719E" w14:textId="27BD019C" w:rsidR="007C1057" w:rsidRPr="008B62CE" w:rsidRDefault="007C1057" w:rsidP="007C1057">
            <w:pPr>
              <w:jc w:val="center"/>
              <w:rPr>
                <w:lang w:val="lv-LV" w:eastAsia="lv-LV"/>
              </w:rPr>
            </w:pPr>
            <w:r>
              <w:rPr>
                <w:lang w:val="lv-LV" w:eastAsia="lv-LV"/>
              </w:rPr>
              <w:t>Projekts šo jomu neskar</w:t>
            </w:r>
            <w:r w:rsidR="00BA5D7F">
              <w:rPr>
                <w:lang w:val="lv-LV" w:eastAsia="lv-LV"/>
              </w:rPr>
              <w:t>.</w:t>
            </w:r>
          </w:p>
        </w:tc>
      </w:tr>
    </w:tbl>
    <w:p w14:paraId="67FA1072" w14:textId="55AB63B0" w:rsidR="00A01928" w:rsidRPr="008B62CE" w:rsidRDefault="00A01928" w:rsidP="007C1057">
      <w:pPr>
        <w:jc w:val="both"/>
        <w:rPr>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2"/>
        <w:gridCol w:w="2733"/>
        <w:gridCol w:w="5792"/>
      </w:tblGrid>
      <w:tr w:rsidR="00F07C1C" w:rsidRPr="00691584" w14:paraId="004AE491" w14:textId="77777777" w:rsidTr="00F72048">
        <w:trPr>
          <w:cantSplit/>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176E5F4E" w14:textId="77777777" w:rsidR="005953EF" w:rsidRPr="008B62CE" w:rsidRDefault="005953EF" w:rsidP="00AC795D">
            <w:pPr>
              <w:spacing w:line="276" w:lineRule="auto"/>
              <w:jc w:val="center"/>
              <w:rPr>
                <w:b/>
                <w:bCs/>
                <w:lang w:val="lv-LV"/>
              </w:rPr>
            </w:pPr>
            <w:r w:rsidRPr="008B62CE">
              <w:rPr>
                <w:b/>
                <w:bCs/>
                <w:lang w:val="lv-LV"/>
              </w:rPr>
              <w:t>VI. Sabiedrības līdzdalība un komunikācijas aktivitātes</w:t>
            </w:r>
          </w:p>
        </w:tc>
      </w:tr>
      <w:tr w:rsidR="00F07C1C" w:rsidRPr="00691584" w14:paraId="7DA7189B" w14:textId="77777777" w:rsidTr="00F72048">
        <w:trPr>
          <w:cantSplit/>
        </w:trPr>
        <w:tc>
          <w:tcPr>
            <w:tcW w:w="542" w:type="dxa"/>
            <w:tcBorders>
              <w:top w:val="single" w:sz="4" w:space="0" w:color="auto"/>
              <w:left w:val="single" w:sz="4" w:space="0" w:color="auto"/>
              <w:bottom w:val="single" w:sz="4" w:space="0" w:color="auto"/>
              <w:right w:val="single" w:sz="4" w:space="0" w:color="auto"/>
            </w:tcBorders>
            <w:hideMark/>
          </w:tcPr>
          <w:p w14:paraId="542F4F1D" w14:textId="77777777" w:rsidR="005953EF" w:rsidRPr="008B62CE" w:rsidRDefault="005953EF" w:rsidP="00AC795D">
            <w:pPr>
              <w:spacing w:line="276" w:lineRule="auto"/>
              <w:jc w:val="center"/>
              <w:rPr>
                <w:lang w:val="lv-LV"/>
              </w:rPr>
            </w:pPr>
            <w:r w:rsidRPr="008B62CE">
              <w:rPr>
                <w:lang w:val="lv-LV"/>
              </w:rPr>
              <w:t>1.</w:t>
            </w:r>
          </w:p>
        </w:tc>
        <w:tc>
          <w:tcPr>
            <w:tcW w:w="2733" w:type="dxa"/>
            <w:tcBorders>
              <w:top w:val="single" w:sz="4" w:space="0" w:color="auto"/>
              <w:left w:val="single" w:sz="4" w:space="0" w:color="auto"/>
              <w:bottom w:val="single" w:sz="4" w:space="0" w:color="auto"/>
              <w:right w:val="single" w:sz="4" w:space="0" w:color="auto"/>
            </w:tcBorders>
            <w:hideMark/>
          </w:tcPr>
          <w:p w14:paraId="35FAED78" w14:textId="77777777" w:rsidR="005953EF" w:rsidRPr="008B62CE" w:rsidRDefault="005953EF" w:rsidP="00AC795D">
            <w:pPr>
              <w:spacing w:line="276" w:lineRule="auto"/>
              <w:rPr>
                <w:lang w:val="lv-LV"/>
              </w:rPr>
            </w:pPr>
            <w:r w:rsidRPr="008B62CE">
              <w:rPr>
                <w:lang w:val="lv-LV"/>
              </w:rPr>
              <w:t>Plānotās sabiedrības līdzdalības un komunikācijas aktivitātes saistībā ar projektu</w:t>
            </w:r>
          </w:p>
        </w:tc>
        <w:tc>
          <w:tcPr>
            <w:tcW w:w="5792" w:type="dxa"/>
            <w:tcBorders>
              <w:top w:val="single" w:sz="4" w:space="0" w:color="auto"/>
              <w:left w:val="single" w:sz="4" w:space="0" w:color="auto"/>
              <w:bottom w:val="single" w:sz="4" w:space="0" w:color="auto"/>
              <w:right w:val="single" w:sz="4" w:space="0" w:color="auto"/>
            </w:tcBorders>
            <w:hideMark/>
          </w:tcPr>
          <w:p w14:paraId="7674E5F6" w14:textId="5CB80D5C" w:rsidR="005953EF" w:rsidRPr="008B62CE" w:rsidRDefault="00A1341D" w:rsidP="009379CF">
            <w:pPr>
              <w:snapToGrid w:val="0"/>
              <w:ind w:firstLine="720"/>
              <w:jc w:val="both"/>
              <w:rPr>
                <w:lang w:val="lv-LV"/>
              </w:rPr>
            </w:pPr>
            <w:r w:rsidRPr="008B62CE">
              <w:rPr>
                <w:lang w:val="lv-LV"/>
              </w:rPr>
              <w:t>Atb</w:t>
            </w:r>
            <w:r w:rsidR="007C1057">
              <w:rPr>
                <w:lang w:val="lv-LV"/>
              </w:rPr>
              <w:t>ilstoši Ministru kabineta 2009. </w:t>
            </w:r>
            <w:r w:rsidRPr="008B62CE">
              <w:rPr>
                <w:lang w:val="lv-LV"/>
              </w:rPr>
              <w:t>gada 2</w:t>
            </w:r>
            <w:r w:rsidR="007C1057">
              <w:rPr>
                <w:lang w:val="lv-LV"/>
              </w:rPr>
              <w:t>5. augusta noteikumiem Nr. </w:t>
            </w:r>
            <w:r w:rsidR="00B6333A" w:rsidRPr="008B62CE">
              <w:rPr>
                <w:lang w:val="lv-LV"/>
              </w:rPr>
              <w:t>970 “</w:t>
            </w:r>
            <w:r w:rsidRPr="008B62CE">
              <w:rPr>
                <w:lang w:val="lv-LV"/>
              </w:rPr>
              <w:t xml:space="preserve">Sabiedrības līdzdalības kārtība attīstības </w:t>
            </w:r>
            <w:r w:rsidR="00B6333A" w:rsidRPr="008B62CE">
              <w:rPr>
                <w:lang w:val="lv-LV"/>
              </w:rPr>
              <w:t>plānošanas procesā”</w:t>
            </w:r>
            <w:r w:rsidRPr="008B62CE">
              <w:rPr>
                <w:lang w:val="lv-LV"/>
              </w:rPr>
              <w:t xml:space="preserve">, lai informētu sabiedrību par projektu un dotu iespēju izteikt viedokli, projekts pirms tā iesniegšanas Valsts sekretāru sanāksmē ievietots Aizsardzības ministrijas </w:t>
            </w:r>
            <w:r w:rsidR="0076789E">
              <w:rPr>
                <w:lang w:val="lv-LV"/>
              </w:rPr>
              <w:t>tīmekļvietnē</w:t>
            </w:r>
            <w:r w:rsidRPr="008B62CE">
              <w:rPr>
                <w:lang w:val="lv-LV"/>
              </w:rPr>
              <w:t>.</w:t>
            </w:r>
          </w:p>
        </w:tc>
      </w:tr>
      <w:tr w:rsidR="00F07C1C" w:rsidRPr="00691584" w14:paraId="2197676F" w14:textId="77777777" w:rsidTr="00F72048">
        <w:trPr>
          <w:cantSplit/>
        </w:trPr>
        <w:tc>
          <w:tcPr>
            <w:tcW w:w="542" w:type="dxa"/>
            <w:tcBorders>
              <w:top w:val="single" w:sz="4" w:space="0" w:color="auto"/>
              <w:left w:val="single" w:sz="4" w:space="0" w:color="auto"/>
              <w:bottom w:val="single" w:sz="4" w:space="0" w:color="auto"/>
              <w:right w:val="single" w:sz="4" w:space="0" w:color="auto"/>
            </w:tcBorders>
            <w:hideMark/>
          </w:tcPr>
          <w:p w14:paraId="0E67F776" w14:textId="77777777" w:rsidR="005953EF" w:rsidRPr="008B62CE" w:rsidRDefault="005953EF" w:rsidP="00AC795D">
            <w:pPr>
              <w:spacing w:line="276" w:lineRule="auto"/>
              <w:jc w:val="center"/>
              <w:rPr>
                <w:lang w:val="lv-LV"/>
              </w:rPr>
            </w:pPr>
            <w:r w:rsidRPr="008B62CE">
              <w:rPr>
                <w:lang w:val="lv-LV"/>
              </w:rPr>
              <w:t>2.</w:t>
            </w:r>
          </w:p>
        </w:tc>
        <w:tc>
          <w:tcPr>
            <w:tcW w:w="2733" w:type="dxa"/>
            <w:tcBorders>
              <w:top w:val="single" w:sz="4" w:space="0" w:color="auto"/>
              <w:left w:val="single" w:sz="4" w:space="0" w:color="auto"/>
              <w:bottom w:val="single" w:sz="4" w:space="0" w:color="auto"/>
              <w:right w:val="single" w:sz="4" w:space="0" w:color="auto"/>
            </w:tcBorders>
            <w:hideMark/>
          </w:tcPr>
          <w:p w14:paraId="458D14CD" w14:textId="77777777" w:rsidR="005953EF" w:rsidRPr="008B62CE" w:rsidRDefault="005953EF" w:rsidP="00AC795D">
            <w:pPr>
              <w:spacing w:line="276" w:lineRule="auto"/>
              <w:rPr>
                <w:lang w:val="lv-LV"/>
              </w:rPr>
            </w:pPr>
            <w:r w:rsidRPr="008B62CE">
              <w:rPr>
                <w:lang w:val="lv-LV"/>
              </w:rPr>
              <w:t>Sabiedrības līdzdalība projekta izstrādē</w:t>
            </w:r>
          </w:p>
        </w:tc>
        <w:tc>
          <w:tcPr>
            <w:tcW w:w="5792" w:type="dxa"/>
            <w:tcBorders>
              <w:top w:val="single" w:sz="4" w:space="0" w:color="auto"/>
              <w:left w:val="single" w:sz="4" w:space="0" w:color="auto"/>
              <w:bottom w:val="single" w:sz="4" w:space="0" w:color="auto"/>
              <w:right w:val="single" w:sz="4" w:space="0" w:color="auto"/>
            </w:tcBorders>
            <w:hideMark/>
          </w:tcPr>
          <w:p w14:paraId="7C04E492" w14:textId="77777777" w:rsidR="005953EF" w:rsidRDefault="00A1341D" w:rsidP="009379CF">
            <w:pPr>
              <w:ind w:firstLine="720"/>
              <w:jc w:val="both"/>
              <w:rPr>
                <w:lang w:val="lv-LV"/>
              </w:rPr>
            </w:pPr>
            <w:r w:rsidRPr="008B62CE">
              <w:rPr>
                <w:lang w:val="lv-LV"/>
              </w:rPr>
              <w:t xml:space="preserve">Lai informētu sabiedrību par projektu un dotu iespēju izteikt viedokli, projekts pirms tā iesniegšanas </w:t>
            </w:r>
            <w:r w:rsidR="007C1057">
              <w:rPr>
                <w:lang w:val="lv-LV"/>
              </w:rPr>
              <w:t xml:space="preserve">Valsts sekretāru </w:t>
            </w:r>
            <w:r w:rsidR="007C1057" w:rsidRPr="009379CF">
              <w:rPr>
                <w:lang w:val="lv-LV"/>
              </w:rPr>
              <w:t>sanāksmē 20</w:t>
            </w:r>
            <w:r w:rsidR="00A27AD5" w:rsidRPr="009379CF">
              <w:rPr>
                <w:lang w:val="lv-LV"/>
              </w:rPr>
              <w:t>20</w:t>
            </w:r>
            <w:r w:rsidR="007C1057" w:rsidRPr="009379CF">
              <w:rPr>
                <w:lang w:val="lv-LV"/>
              </w:rPr>
              <w:t xml:space="preserve">. gada </w:t>
            </w:r>
            <w:r w:rsidR="009379CF" w:rsidRPr="009379CF">
              <w:rPr>
                <w:lang w:val="lv-LV"/>
              </w:rPr>
              <w:t>16</w:t>
            </w:r>
            <w:r w:rsidR="007C1057" w:rsidRPr="009379CF">
              <w:rPr>
                <w:lang w:val="lv-LV"/>
              </w:rPr>
              <w:t>. </w:t>
            </w:r>
            <w:r w:rsidR="009379CF" w:rsidRPr="009379CF">
              <w:rPr>
                <w:lang w:val="lv-LV"/>
              </w:rPr>
              <w:t xml:space="preserve">janvārī </w:t>
            </w:r>
            <w:r w:rsidRPr="009379CF">
              <w:rPr>
                <w:lang w:val="lv-LV"/>
              </w:rPr>
              <w:t>iev</w:t>
            </w:r>
            <w:r w:rsidR="007C1057" w:rsidRPr="009379CF">
              <w:rPr>
                <w:lang w:val="lv-LV"/>
              </w:rPr>
              <w:t>ietots Aizsardzība</w:t>
            </w:r>
            <w:r w:rsidR="00FD4968" w:rsidRPr="009379CF">
              <w:rPr>
                <w:lang w:val="lv-LV"/>
              </w:rPr>
              <w:t>s ministrijas tīmekļvietnē.</w:t>
            </w:r>
          </w:p>
          <w:p w14:paraId="5063D962" w14:textId="12072A42" w:rsidR="007A5B69" w:rsidRPr="008B62CE" w:rsidRDefault="007A5B69" w:rsidP="007A5B69">
            <w:pPr>
              <w:jc w:val="both"/>
              <w:rPr>
                <w:lang w:val="lv-LV"/>
              </w:rPr>
            </w:pPr>
            <w:r>
              <w:rPr>
                <w:lang w:val="lv-LV"/>
              </w:rPr>
              <w:t>Saite: </w:t>
            </w:r>
            <w:r w:rsidRPr="007A5B69">
              <w:rPr>
                <w:lang w:val="lv-LV"/>
              </w:rPr>
              <w:t>https://www.mod.gov.lv/sites/mod/files/document/AIMNot_160120_DDUK_nolikuma.pdf</w:t>
            </w:r>
          </w:p>
        </w:tc>
      </w:tr>
      <w:tr w:rsidR="00F07C1C" w:rsidRPr="00691584" w14:paraId="2DECD43C" w14:textId="77777777" w:rsidTr="00F72048">
        <w:trPr>
          <w:cantSplit/>
        </w:trPr>
        <w:tc>
          <w:tcPr>
            <w:tcW w:w="542" w:type="dxa"/>
            <w:tcBorders>
              <w:top w:val="single" w:sz="4" w:space="0" w:color="auto"/>
              <w:left w:val="single" w:sz="4" w:space="0" w:color="auto"/>
              <w:bottom w:val="single" w:sz="4" w:space="0" w:color="auto"/>
              <w:right w:val="single" w:sz="4" w:space="0" w:color="auto"/>
            </w:tcBorders>
            <w:hideMark/>
          </w:tcPr>
          <w:p w14:paraId="4867D734" w14:textId="77777777" w:rsidR="005953EF" w:rsidRPr="008B62CE" w:rsidRDefault="005953EF" w:rsidP="00AC795D">
            <w:pPr>
              <w:spacing w:line="276" w:lineRule="auto"/>
              <w:jc w:val="center"/>
              <w:rPr>
                <w:lang w:val="lv-LV"/>
              </w:rPr>
            </w:pPr>
            <w:r w:rsidRPr="008B62CE">
              <w:rPr>
                <w:lang w:val="lv-LV"/>
              </w:rPr>
              <w:lastRenderedPageBreak/>
              <w:t>3.</w:t>
            </w:r>
          </w:p>
        </w:tc>
        <w:tc>
          <w:tcPr>
            <w:tcW w:w="2733" w:type="dxa"/>
            <w:tcBorders>
              <w:top w:val="single" w:sz="4" w:space="0" w:color="auto"/>
              <w:left w:val="single" w:sz="4" w:space="0" w:color="auto"/>
              <w:bottom w:val="single" w:sz="4" w:space="0" w:color="auto"/>
              <w:right w:val="single" w:sz="4" w:space="0" w:color="auto"/>
            </w:tcBorders>
            <w:hideMark/>
          </w:tcPr>
          <w:p w14:paraId="52B7C37A" w14:textId="77777777" w:rsidR="005953EF" w:rsidRPr="008B62CE" w:rsidRDefault="005953EF" w:rsidP="00AC795D">
            <w:pPr>
              <w:spacing w:line="276" w:lineRule="auto"/>
              <w:rPr>
                <w:lang w:val="lv-LV"/>
              </w:rPr>
            </w:pPr>
            <w:r w:rsidRPr="008B62CE">
              <w:rPr>
                <w:lang w:val="lv-LV"/>
              </w:rPr>
              <w:t>Sabiedrības līdzdalības rezultāti</w:t>
            </w:r>
          </w:p>
        </w:tc>
        <w:tc>
          <w:tcPr>
            <w:tcW w:w="5792" w:type="dxa"/>
            <w:tcBorders>
              <w:top w:val="single" w:sz="4" w:space="0" w:color="auto"/>
              <w:left w:val="single" w:sz="4" w:space="0" w:color="auto"/>
              <w:bottom w:val="single" w:sz="4" w:space="0" w:color="auto"/>
              <w:right w:val="single" w:sz="4" w:space="0" w:color="auto"/>
            </w:tcBorders>
            <w:shd w:val="clear" w:color="auto" w:fill="auto"/>
            <w:hideMark/>
          </w:tcPr>
          <w:p w14:paraId="6ED2F423" w14:textId="5A7BCDE5" w:rsidR="005953EF" w:rsidRPr="008B62CE" w:rsidRDefault="007A5B69" w:rsidP="008D2249">
            <w:pPr>
              <w:jc w:val="both"/>
              <w:rPr>
                <w:lang w:val="lv-LV"/>
              </w:rPr>
            </w:pPr>
            <w:r w:rsidRPr="00421556">
              <w:rPr>
                <w:iCs/>
                <w:lang w:val="lv-LV" w:eastAsia="lv-LV"/>
              </w:rPr>
              <w:t>Priekšlikumi noteiktajā laika periodā netika sniegti.</w:t>
            </w:r>
          </w:p>
        </w:tc>
      </w:tr>
      <w:tr w:rsidR="00F07C1C" w:rsidRPr="0076789E" w14:paraId="3913492D" w14:textId="77777777" w:rsidTr="00F72048">
        <w:trPr>
          <w:cantSplit/>
        </w:trPr>
        <w:tc>
          <w:tcPr>
            <w:tcW w:w="542" w:type="dxa"/>
            <w:tcBorders>
              <w:top w:val="single" w:sz="4" w:space="0" w:color="auto"/>
              <w:left w:val="single" w:sz="4" w:space="0" w:color="auto"/>
              <w:bottom w:val="single" w:sz="4" w:space="0" w:color="auto"/>
              <w:right w:val="single" w:sz="4" w:space="0" w:color="auto"/>
            </w:tcBorders>
            <w:hideMark/>
          </w:tcPr>
          <w:p w14:paraId="7196BC77" w14:textId="77777777" w:rsidR="005953EF" w:rsidRPr="008B62CE" w:rsidRDefault="005953EF" w:rsidP="00AC795D">
            <w:pPr>
              <w:spacing w:line="276" w:lineRule="auto"/>
              <w:jc w:val="center"/>
              <w:rPr>
                <w:lang w:val="lv-LV"/>
              </w:rPr>
            </w:pPr>
            <w:r w:rsidRPr="008B62CE">
              <w:rPr>
                <w:lang w:val="lv-LV"/>
              </w:rPr>
              <w:t>4.</w:t>
            </w:r>
          </w:p>
        </w:tc>
        <w:tc>
          <w:tcPr>
            <w:tcW w:w="2733" w:type="dxa"/>
            <w:tcBorders>
              <w:top w:val="single" w:sz="4" w:space="0" w:color="auto"/>
              <w:left w:val="single" w:sz="4" w:space="0" w:color="auto"/>
              <w:bottom w:val="single" w:sz="4" w:space="0" w:color="auto"/>
              <w:right w:val="single" w:sz="4" w:space="0" w:color="auto"/>
            </w:tcBorders>
            <w:hideMark/>
          </w:tcPr>
          <w:p w14:paraId="3EC903B0" w14:textId="77777777" w:rsidR="005953EF" w:rsidRPr="008B62CE" w:rsidRDefault="005953EF" w:rsidP="00AC795D">
            <w:pPr>
              <w:spacing w:line="276" w:lineRule="auto"/>
              <w:rPr>
                <w:lang w:val="lv-LV"/>
              </w:rPr>
            </w:pPr>
            <w:r w:rsidRPr="008B62CE">
              <w:rPr>
                <w:lang w:val="lv-LV"/>
              </w:rPr>
              <w:t>Cita informācija</w:t>
            </w:r>
          </w:p>
        </w:tc>
        <w:tc>
          <w:tcPr>
            <w:tcW w:w="5792" w:type="dxa"/>
            <w:tcBorders>
              <w:top w:val="single" w:sz="4" w:space="0" w:color="auto"/>
              <w:left w:val="single" w:sz="4" w:space="0" w:color="auto"/>
              <w:bottom w:val="single" w:sz="4" w:space="0" w:color="auto"/>
              <w:right w:val="single" w:sz="4" w:space="0" w:color="auto"/>
            </w:tcBorders>
            <w:hideMark/>
          </w:tcPr>
          <w:p w14:paraId="409F447D" w14:textId="77777777" w:rsidR="005953EF" w:rsidRPr="008B62CE" w:rsidRDefault="005953EF" w:rsidP="00AC795D">
            <w:pPr>
              <w:spacing w:line="276" w:lineRule="auto"/>
              <w:rPr>
                <w:lang w:val="lv-LV"/>
              </w:rPr>
            </w:pPr>
            <w:r w:rsidRPr="008B62CE">
              <w:rPr>
                <w:lang w:val="lv-LV"/>
              </w:rPr>
              <w:t>Nav.</w:t>
            </w:r>
          </w:p>
        </w:tc>
      </w:tr>
    </w:tbl>
    <w:p w14:paraId="6C484165" w14:textId="55EEE910" w:rsidR="007C1057" w:rsidRPr="008B62CE" w:rsidRDefault="007C1057" w:rsidP="005953EF">
      <w:pPr>
        <w:jc w:val="both"/>
        <w:rPr>
          <w:lang w:val="lv-LV"/>
        </w:rPr>
      </w:pPr>
    </w:p>
    <w:tbl>
      <w:tblPr>
        <w:tblW w:w="9072" w:type="dxa"/>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605"/>
        <w:gridCol w:w="3444"/>
        <w:gridCol w:w="5023"/>
      </w:tblGrid>
      <w:tr w:rsidR="00F07C1C" w:rsidRPr="00691584" w14:paraId="613B59A5" w14:textId="77777777" w:rsidTr="008148F7">
        <w:tc>
          <w:tcPr>
            <w:tcW w:w="9072" w:type="dxa"/>
            <w:gridSpan w:val="3"/>
            <w:tcBorders>
              <w:top w:val="outset" w:sz="6" w:space="0" w:color="000000"/>
              <w:left w:val="outset" w:sz="6" w:space="0" w:color="000000"/>
              <w:bottom w:val="outset" w:sz="6" w:space="0" w:color="000000"/>
              <w:right w:val="outset" w:sz="6" w:space="0" w:color="000000"/>
            </w:tcBorders>
          </w:tcPr>
          <w:p w14:paraId="5B86E63B" w14:textId="77777777" w:rsidR="005953EF" w:rsidRPr="008B62CE" w:rsidRDefault="005953EF" w:rsidP="00AC795D">
            <w:pPr>
              <w:jc w:val="center"/>
              <w:rPr>
                <w:b/>
                <w:bCs/>
                <w:lang w:val="lv-LV" w:eastAsia="lv-LV"/>
              </w:rPr>
            </w:pPr>
            <w:r w:rsidRPr="008B62CE">
              <w:rPr>
                <w:b/>
                <w:bCs/>
                <w:lang w:val="lv-LV" w:eastAsia="lv-LV"/>
              </w:rPr>
              <w:t>VII. Tiesību akta projekta izpildes nodrošināšana un tās ietekme uz institūcijām</w:t>
            </w:r>
          </w:p>
        </w:tc>
      </w:tr>
      <w:tr w:rsidR="00F07C1C" w:rsidRPr="008B62CE" w14:paraId="7967D5A0" w14:textId="77777777" w:rsidTr="008148F7">
        <w:tc>
          <w:tcPr>
            <w:tcW w:w="605" w:type="dxa"/>
            <w:tcBorders>
              <w:top w:val="outset" w:sz="6" w:space="0" w:color="000000"/>
              <w:left w:val="outset" w:sz="6" w:space="0" w:color="000000"/>
              <w:bottom w:val="outset" w:sz="6" w:space="0" w:color="000000"/>
              <w:right w:val="outset" w:sz="6" w:space="0" w:color="000000"/>
            </w:tcBorders>
          </w:tcPr>
          <w:p w14:paraId="3CEB0494" w14:textId="77777777" w:rsidR="005953EF" w:rsidRPr="008B62CE" w:rsidRDefault="005953EF" w:rsidP="00AC795D">
            <w:pPr>
              <w:rPr>
                <w:lang w:val="lv-LV" w:eastAsia="lv-LV"/>
              </w:rPr>
            </w:pPr>
            <w:r w:rsidRPr="008B62CE">
              <w:rPr>
                <w:lang w:val="lv-LV" w:eastAsia="lv-LV"/>
              </w:rPr>
              <w:t>1.</w:t>
            </w:r>
          </w:p>
        </w:tc>
        <w:tc>
          <w:tcPr>
            <w:tcW w:w="3444" w:type="dxa"/>
            <w:tcBorders>
              <w:top w:val="outset" w:sz="6" w:space="0" w:color="000000"/>
              <w:left w:val="outset" w:sz="6" w:space="0" w:color="000000"/>
              <w:bottom w:val="outset" w:sz="6" w:space="0" w:color="000000"/>
              <w:right w:val="outset" w:sz="6" w:space="0" w:color="000000"/>
            </w:tcBorders>
          </w:tcPr>
          <w:p w14:paraId="1F1B825A" w14:textId="77777777" w:rsidR="005953EF" w:rsidRPr="008B62CE" w:rsidRDefault="005953EF" w:rsidP="008D2249">
            <w:pPr>
              <w:rPr>
                <w:lang w:val="lv-LV" w:eastAsia="lv-LV"/>
              </w:rPr>
            </w:pPr>
            <w:r w:rsidRPr="008B62CE">
              <w:rPr>
                <w:lang w:val="lv-LV" w:eastAsia="lv-LV"/>
              </w:rPr>
              <w:t>Projekta izpildē iesaistītās institūcijas</w:t>
            </w:r>
          </w:p>
        </w:tc>
        <w:tc>
          <w:tcPr>
            <w:tcW w:w="5023" w:type="dxa"/>
            <w:tcBorders>
              <w:top w:val="outset" w:sz="6" w:space="0" w:color="000000"/>
              <w:left w:val="outset" w:sz="6" w:space="0" w:color="000000"/>
              <w:bottom w:val="outset" w:sz="6" w:space="0" w:color="000000"/>
              <w:right w:val="outset" w:sz="6" w:space="0" w:color="000000"/>
            </w:tcBorders>
          </w:tcPr>
          <w:p w14:paraId="7D646F56" w14:textId="77777777" w:rsidR="005953EF" w:rsidRPr="008B62CE" w:rsidRDefault="005953EF" w:rsidP="00AC795D">
            <w:pPr>
              <w:pStyle w:val="Footer"/>
              <w:tabs>
                <w:tab w:val="clear" w:pos="4153"/>
                <w:tab w:val="clear" w:pos="8306"/>
              </w:tabs>
              <w:snapToGrid/>
              <w:jc w:val="both"/>
              <w:rPr>
                <w:rFonts w:ascii="Times New Roman" w:hAnsi="Times New Roman"/>
                <w:sz w:val="24"/>
                <w:szCs w:val="24"/>
              </w:rPr>
            </w:pPr>
            <w:r w:rsidRPr="008B62CE">
              <w:rPr>
                <w:rFonts w:ascii="Times New Roman" w:hAnsi="Times New Roman"/>
                <w:sz w:val="24"/>
                <w:szCs w:val="24"/>
              </w:rPr>
              <w:t>Komitejas sastāvā esošās institūcijas:</w:t>
            </w:r>
          </w:p>
          <w:p w14:paraId="111042BC" w14:textId="77777777" w:rsidR="005953EF" w:rsidRPr="008B62CE" w:rsidRDefault="005953EF" w:rsidP="00922D7C">
            <w:pPr>
              <w:pStyle w:val="Footer"/>
              <w:numPr>
                <w:ilvl w:val="0"/>
                <w:numId w:val="11"/>
              </w:numPr>
              <w:tabs>
                <w:tab w:val="clear" w:pos="4153"/>
                <w:tab w:val="clear" w:pos="8306"/>
              </w:tabs>
              <w:snapToGrid/>
              <w:jc w:val="both"/>
              <w:rPr>
                <w:rFonts w:ascii="Times New Roman" w:hAnsi="Times New Roman"/>
                <w:sz w:val="24"/>
                <w:szCs w:val="24"/>
              </w:rPr>
            </w:pPr>
            <w:r w:rsidRPr="008B62CE">
              <w:rPr>
                <w:rFonts w:ascii="Times New Roman" w:hAnsi="Times New Roman"/>
                <w:sz w:val="24"/>
                <w:szCs w:val="24"/>
              </w:rPr>
              <w:t>Aizsardzības ministrija;</w:t>
            </w:r>
          </w:p>
          <w:p w14:paraId="37DCEFF4" w14:textId="77777777" w:rsidR="005953EF" w:rsidRPr="008B62CE" w:rsidRDefault="005953EF" w:rsidP="00922D7C">
            <w:pPr>
              <w:pStyle w:val="Footer"/>
              <w:numPr>
                <w:ilvl w:val="0"/>
                <w:numId w:val="11"/>
              </w:numPr>
              <w:tabs>
                <w:tab w:val="clear" w:pos="4153"/>
                <w:tab w:val="clear" w:pos="8306"/>
              </w:tabs>
              <w:snapToGrid/>
              <w:jc w:val="both"/>
              <w:rPr>
                <w:rFonts w:ascii="Times New Roman" w:hAnsi="Times New Roman"/>
                <w:sz w:val="24"/>
                <w:szCs w:val="24"/>
              </w:rPr>
            </w:pPr>
            <w:r w:rsidRPr="008B62CE">
              <w:rPr>
                <w:rFonts w:ascii="Times New Roman" w:hAnsi="Times New Roman"/>
                <w:sz w:val="24"/>
                <w:szCs w:val="24"/>
              </w:rPr>
              <w:t xml:space="preserve">Satiksmes ministrija; </w:t>
            </w:r>
          </w:p>
          <w:p w14:paraId="31EE2C52" w14:textId="77777777" w:rsidR="005953EF" w:rsidRPr="008B62CE" w:rsidRDefault="005953EF" w:rsidP="00922D7C">
            <w:pPr>
              <w:pStyle w:val="Footer"/>
              <w:numPr>
                <w:ilvl w:val="0"/>
                <w:numId w:val="11"/>
              </w:numPr>
              <w:tabs>
                <w:tab w:val="clear" w:pos="4153"/>
                <w:tab w:val="clear" w:pos="8306"/>
              </w:tabs>
              <w:snapToGrid/>
              <w:jc w:val="both"/>
              <w:rPr>
                <w:rFonts w:ascii="Times New Roman" w:hAnsi="Times New Roman"/>
                <w:sz w:val="24"/>
                <w:szCs w:val="24"/>
              </w:rPr>
            </w:pPr>
            <w:r w:rsidRPr="008B62CE">
              <w:rPr>
                <w:rFonts w:ascii="Times New Roman" w:hAnsi="Times New Roman"/>
                <w:sz w:val="24"/>
                <w:szCs w:val="24"/>
              </w:rPr>
              <w:t xml:space="preserve">Tieslietu ministrija; </w:t>
            </w:r>
          </w:p>
          <w:p w14:paraId="192726F9" w14:textId="77777777" w:rsidR="005953EF" w:rsidRPr="008B62CE" w:rsidRDefault="005953EF" w:rsidP="00922D7C">
            <w:pPr>
              <w:pStyle w:val="Footer"/>
              <w:numPr>
                <w:ilvl w:val="0"/>
                <w:numId w:val="11"/>
              </w:numPr>
              <w:tabs>
                <w:tab w:val="clear" w:pos="4153"/>
                <w:tab w:val="clear" w:pos="8306"/>
              </w:tabs>
              <w:snapToGrid/>
              <w:jc w:val="both"/>
              <w:rPr>
                <w:rFonts w:ascii="Times New Roman" w:hAnsi="Times New Roman"/>
                <w:sz w:val="24"/>
                <w:szCs w:val="24"/>
              </w:rPr>
            </w:pPr>
            <w:r w:rsidRPr="008B62CE">
              <w:rPr>
                <w:rFonts w:ascii="Times New Roman" w:hAnsi="Times New Roman"/>
                <w:sz w:val="24"/>
                <w:szCs w:val="24"/>
              </w:rPr>
              <w:t>Iekšlietu ministrija;</w:t>
            </w:r>
          </w:p>
          <w:p w14:paraId="0E0EE87D" w14:textId="77777777" w:rsidR="005953EF" w:rsidRPr="008B62CE" w:rsidRDefault="005953EF" w:rsidP="00922D7C">
            <w:pPr>
              <w:pStyle w:val="Footer"/>
              <w:numPr>
                <w:ilvl w:val="0"/>
                <w:numId w:val="11"/>
              </w:numPr>
              <w:tabs>
                <w:tab w:val="clear" w:pos="4153"/>
                <w:tab w:val="clear" w:pos="8306"/>
              </w:tabs>
              <w:snapToGrid/>
              <w:jc w:val="both"/>
              <w:rPr>
                <w:rFonts w:ascii="Times New Roman" w:hAnsi="Times New Roman"/>
                <w:sz w:val="24"/>
                <w:szCs w:val="24"/>
              </w:rPr>
            </w:pPr>
            <w:r w:rsidRPr="008B62CE">
              <w:rPr>
                <w:rFonts w:ascii="Times New Roman" w:hAnsi="Times New Roman"/>
                <w:sz w:val="24"/>
                <w:szCs w:val="24"/>
              </w:rPr>
              <w:t>Vides aizsardzības un reģionālās attīstības ministrija;</w:t>
            </w:r>
          </w:p>
          <w:p w14:paraId="6CF9C891" w14:textId="77777777" w:rsidR="005953EF" w:rsidRPr="008B62CE" w:rsidRDefault="005953EF" w:rsidP="00922D7C">
            <w:pPr>
              <w:pStyle w:val="Footer"/>
              <w:numPr>
                <w:ilvl w:val="0"/>
                <w:numId w:val="11"/>
              </w:numPr>
              <w:tabs>
                <w:tab w:val="clear" w:pos="4153"/>
                <w:tab w:val="clear" w:pos="8306"/>
              </w:tabs>
              <w:snapToGrid/>
              <w:jc w:val="both"/>
              <w:rPr>
                <w:rFonts w:ascii="Times New Roman" w:hAnsi="Times New Roman"/>
                <w:sz w:val="24"/>
                <w:szCs w:val="24"/>
              </w:rPr>
            </w:pPr>
            <w:r w:rsidRPr="008B62CE">
              <w:rPr>
                <w:rFonts w:ascii="Times New Roman" w:hAnsi="Times New Roman"/>
                <w:sz w:val="24"/>
                <w:szCs w:val="24"/>
              </w:rPr>
              <w:t>Datu valsts inspekcija;</w:t>
            </w:r>
          </w:p>
          <w:p w14:paraId="4590559E" w14:textId="366AA93E" w:rsidR="005953EF" w:rsidRPr="008B62CE" w:rsidRDefault="00973600" w:rsidP="00922D7C">
            <w:pPr>
              <w:pStyle w:val="Footer"/>
              <w:numPr>
                <w:ilvl w:val="0"/>
                <w:numId w:val="11"/>
              </w:numPr>
              <w:tabs>
                <w:tab w:val="clear" w:pos="4153"/>
                <w:tab w:val="clear" w:pos="8306"/>
              </w:tabs>
              <w:snapToGrid/>
              <w:jc w:val="both"/>
              <w:rPr>
                <w:rFonts w:ascii="Times New Roman" w:hAnsi="Times New Roman"/>
                <w:sz w:val="24"/>
                <w:szCs w:val="24"/>
              </w:rPr>
            </w:pPr>
            <w:r>
              <w:rPr>
                <w:rFonts w:ascii="Times New Roman" w:hAnsi="Times New Roman"/>
                <w:sz w:val="24"/>
                <w:szCs w:val="24"/>
              </w:rPr>
              <w:t>CERT.LV</w:t>
            </w:r>
            <w:r w:rsidR="005953EF" w:rsidRPr="008B62CE">
              <w:rPr>
                <w:rFonts w:ascii="Times New Roman" w:hAnsi="Times New Roman"/>
                <w:sz w:val="24"/>
                <w:szCs w:val="24"/>
              </w:rPr>
              <w:t>.</w:t>
            </w:r>
          </w:p>
          <w:p w14:paraId="4D315A73" w14:textId="77777777" w:rsidR="005953EF" w:rsidRPr="008B62CE" w:rsidRDefault="005953EF" w:rsidP="00AC795D">
            <w:pPr>
              <w:pStyle w:val="Footer"/>
              <w:tabs>
                <w:tab w:val="clear" w:pos="4153"/>
                <w:tab w:val="clear" w:pos="8306"/>
              </w:tabs>
              <w:snapToGrid/>
              <w:jc w:val="both"/>
              <w:rPr>
                <w:rFonts w:ascii="Times New Roman" w:hAnsi="Times New Roman"/>
                <w:sz w:val="24"/>
                <w:szCs w:val="24"/>
              </w:rPr>
            </w:pPr>
          </w:p>
        </w:tc>
      </w:tr>
      <w:tr w:rsidR="00F07C1C" w:rsidRPr="007229A7" w14:paraId="65051AED" w14:textId="77777777" w:rsidTr="008148F7">
        <w:tc>
          <w:tcPr>
            <w:tcW w:w="605" w:type="dxa"/>
            <w:tcBorders>
              <w:top w:val="outset" w:sz="6" w:space="0" w:color="000000"/>
              <w:left w:val="outset" w:sz="6" w:space="0" w:color="000000"/>
              <w:bottom w:val="outset" w:sz="6" w:space="0" w:color="000000"/>
              <w:right w:val="outset" w:sz="6" w:space="0" w:color="000000"/>
            </w:tcBorders>
          </w:tcPr>
          <w:p w14:paraId="1F7B51E3" w14:textId="77777777" w:rsidR="005953EF" w:rsidRPr="008B62CE" w:rsidRDefault="005953EF" w:rsidP="00AC795D">
            <w:pPr>
              <w:rPr>
                <w:lang w:val="lv-LV" w:eastAsia="lv-LV"/>
              </w:rPr>
            </w:pPr>
            <w:r w:rsidRPr="008B62CE">
              <w:rPr>
                <w:lang w:val="lv-LV" w:eastAsia="lv-LV"/>
              </w:rPr>
              <w:t>2.</w:t>
            </w:r>
          </w:p>
        </w:tc>
        <w:tc>
          <w:tcPr>
            <w:tcW w:w="3444" w:type="dxa"/>
            <w:tcBorders>
              <w:top w:val="outset" w:sz="6" w:space="0" w:color="000000"/>
              <w:left w:val="outset" w:sz="6" w:space="0" w:color="000000"/>
              <w:bottom w:val="outset" w:sz="6" w:space="0" w:color="000000"/>
              <w:right w:val="outset" w:sz="6" w:space="0" w:color="000000"/>
            </w:tcBorders>
          </w:tcPr>
          <w:p w14:paraId="5901478E" w14:textId="77777777" w:rsidR="005953EF" w:rsidRPr="008B62CE" w:rsidRDefault="005953EF" w:rsidP="008D2249">
            <w:pPr>
              <w:rPr>
                <w:lang w:val="lv-LV"/>
              </w:rPr>
            </w:pPr>
            <w:r w:rsidRPr="008B62CE">
              <w:rPr>
                <w:lang w:val="lv-LV"/>
              </w:rPr>
              <w:t xml:space="preserve">Projekta izpildes ietekme uz pārvaldes funkcijām un institucionālo struktūru. </w:t>
            </w:r>
          </w:p>
          <w:p w14:paraId="2123077A" w14:textId="77777777" w:rsidR="005953EF" w:rsidRPr="008B62CE" w:rsidRDefault="005953EF" w:rsidP="008D2249">
            <w:pPr>
              <w:rPr>
                <w:lang w:val="lv-LV"/>
              </w:rPr>
            </w:pPr>
            <w:r w:rsidRPr="008B62CE">
              <w:rPr>
                <w:lang w:val="lv-LV"/>
              </w:rPr>
              <w:t>Jaunu institūciju izveide, esošu institūciju likvidācija vai reorganizācija, to ietekme uz institūcijas cilvēkresursiem</w:t>
            </w:r>
          </w:p>
        </w:tc>
        <w:tc>
          <w:tcPr>
            <w:tcW w:w="5023" w:type="dxa"/>
            <w:tcBorders>
              <w:top w:val="outset" w:sz="6" w:space="0" w:color="000000"/>
              <w:left w:val="outset" w:sz="6" w:space="0" w:color="000000"/>
              <w:bottom w:val="outset" w:sz="6" w:space="0" w:color="000000"/>
              <w:right w:val="outset" w:sz="6" w:space="0" w:color="000000"/>
            </w:tcBorders>
          </w:tcPr>
          <w:p w14:paraId="3396D549" w14:textId="44957741" w:rsidR="005953EF" w:rsidRPr="008B62CE" w:rsidRDefault="00681E88" w:rsidP="009379CF">
            <w:pPr>
              <w:pStyle w:val="naiskr"/>
              <w:spacing w:before="0" w:beforeAutospacing="0" w:after="0" w:afterAutospacing="0"/>
              <w:ind w:firstLine="720"/>
              <w:jc w:val="both"/>
              <w:rPr>
                <w:iCs/>
              </w:rPr>
            </w:pPr>
            <w:r w:rsidRPr="008B62CE">
              <w:rPr>
                <w:iCs/>
              </w:rPr>
              <w:t>Noteikumu projekta izpilde neietekmēs pārvaldes funkcijas vai institucionālo struktūru. Jaunu institūciju izveide, esoš</w:t>
            </w:r>
            <w:r w:rsidR="007229A7">
              <w:rPr>
                <w:iCs/>
              </w:rPr>
              <w:t>o</w:t>
            </w:r>
            <w:r w:rsidRPr="008B62CE">
              <w:rPr>
                <w:iCs/>
              </w:rPr>
              <w:t xml:space="preserve"> institūciju likvidācija vai reorganizācija nav nepieciešama. Noteikumu projekts tiks īstenots esošo cilvēkresursu ietvaros.</w:t>
            </w:r>
            <w:r w:rsidRPr="008B62CE" w:rsidDel="00681E88">
              <w:rPr>
                <w:iCs/>
              </w:rPr>
              <w:t xml:space="preserve"> </w:t>
            </w:r>
          </w:p>
          <w:p w14:paraId="2A6AF9FD" w14:textId="492BE256" w:rsidR="00FC3F94" w:rsidRPr="008B62CE" w:rsidRDefault="00FC3F94" w:rsidP="00AC795D">
            <w:pPr>
              <w:pStyle w:val="naiskr"/>
              <w:spacing w:before="0" w:beforeAutospacing="0" w:after="0" w:afterAutospacing="0"/>
              <w:jc w:val="both"/>
            </w:pPr>
          </w:p>
        </w:tc>
      </w:tr>
      <w:tr w:rsidR="00F07C1C" w:rsidRPr="008B62CE" w14:paraId="5D5E0E96" w14:textId="77777777" w:rsidTr="008148F7">
        <w:tc>
          <w:tcPr>
            <w:tcW w:w="605" w:type="dxa"/>
            <w:tcBorders>
              <w:top w:val="outset" w:sz="6" w:space="0" w:color="000000"/>
              <w:left w:val="outset" w:sz="6" w:space="0" w:color="000000"/>
              <w:bottom w:val="outset" w:sz="6" w:space="0" w:color="000000"/>
              <w:right w:val="outset" w:sz="6" w:space="0" w:color="000000"/>
            </w:tcBorders>
          </w:tcPr>
          <w:p w14:paraId="0FE6E2E6" w14:textId="77777777" w:rsidR="005953EF" w:rsidRPr="008B62CE" w:rsidRDefault="005953EF" w:rsidP="00AC795D">
            <w:pPr>
              <w:rPr>
                <w:lang w:val="lv-LV" w:eastAsia="lv-LV"/>
              </w:rPr>
            </w:pPr>
            <w:r w:rsidRPr="008B62CE">
              <w:rPr>
                <w:lang w:val="lv-LV" w:eastAsia="lv-LV"/>
              </w:rPr>
              <w:t>3.</w:t>
            </w:r>
          </w:p>
        </w:tc>
        <w:tc>
          <w:tcPr>
            <w:tcW w:w="3444" w:type="dxa"/>
            <w:tcBorders>
              <w:top w:val="outset" w:sz="6" w:space="0" w:color="000000"/>
              <w:left w:val="outset" w:sz="6" w:space="0" w:color="000000"/>
              <w:bottom w:val="outset" w:sz="6" w:space="0" w:color="000000"/>
              <w:right w:val="outset" w:sz="6" w:space="0" w:color="000000"/>
            </w:tcBorders>
          </w:tcPr>
          <w:p w14:paraId="279B3B24" w14:textId="77777777" w:rsidR="005953EF" w:rsidRPr="008B62CE" w:rsidRDefault="005953EF" w:rsidP="00AC795D">
            <w:pPr>
              <w:jc w:val="both"/>
              <w:rPr>
                <w:lang w:val="lv-LV" w:eastAsia="lv-LV"/>
              </w:rPr>
            </w:pPr>
            <w:r w:rsidRPr="008B62CE">
              <w:rPr>
                <w:lang w:val="lv-LV" w:eastAsia="lv-LV"/>
              </w:rPr>
              <w:t>Cita informācija</w:t>
            </w:r>
          </w:p>
        </w:tc>
        <w:tc>
          <w:tcPr>
            <w:tcW w:w="5023" w:type="dxa"/>
            <w:tcBorders>
              <w:top w:val="outset" w:sz="6" w:space="0" w:color="000000"/>
              <w:left w:val="outset" w:sz="6" w:space="0" w:color="000000"/>
              <w:bottom w:val="outset" w:sz="6" w:space="0" w:color="000000"/>
              <w:right w:val="outset" w:sz="6" w:space="0" w:color="000000"/>
            </w:tcBorders>
          </w:tcPr>
          <w:p w14:paraId="0938A6A7" w14:textId="77777777" w:rsidR="005953EF" w:rsidRPr="008B62CE" w:rsidRDefault="005953EF" w:rsidP="00AC795D">
            <w:pPr>
              <w:pStyle w:val="Footer"/>
              <w:tabs>
                <w:tab w:val="clear" w:pos="4153"/>
                <w:tab w:val="clear" w:pos="8306"/>
              </w:tabs>
              <w:snapToGrid/>
              <w:jc w:val="both"/>
              <w:rPr>
                <w:rFonts w:ascii="Times New Roman" w:hAnsi="Times New Roman"/>
                <w:sz w:val="24"/>
                <w:szCs w:val="24"/>
              </w:rPr>
            </w:pPr>
            <w:r w:rsidRPr="008B62CE">
              <w:rPr>
                <w:rFonts w:ascii="Times New Roman" w:hAnsi="Times New Roman"/>
                <w:sz w:val="24"/>
                <w:szCs w:val="24"/>
              </w:rPr>
              <w:t>Nav.</w:t>
            </w:r>
          </w:p>
        </w:tc>
      </w:tr>
    </w:tbl>
    <w:p w14:paraId="7C6279FD" w14:textId="77777777" w:rsidR="005953EF" w:rsidRPr="008B62CE" w:rsidRDefault="005953EF" w:rsidP="005953EF">
      <w:pPr>
        <w:pStyle w:val="naisf"/>
        <w:spacing w:before="0" w:beforeAutospacing="0" w:after="0" w:afterAutospacing="0"/>
        <w:rPr>
          <w:lang w:val="lv-LV"/>
        </w:rPr>
      </w:pPr>
    </w:p>
    <w:p w14:paraId="68EED585" w14:textId="77777777" w:rsidR="005953EF" w:rsidRPr="008B62CE" w:rsidRDefault="005953EF" w:rsidP="005953EF">
      <w:pPr>
        <w:pStyle w:val="naisf"/>
        <w:spacing w:before="0" w:beforeAutospacing="0" w:after="0" w:afterAutospacing="0"/>
        <w:rPr>
          <w:lang w:val="lv-LV"/>
        </w:rPr>
      </w:pPr>
    </w:p>
    <w:p w14:paraId="03860510" w14:textId="022E7099" w:rsidR="00FE4F89" w:rsidRPr="008B62CE" w:rsidRDefault="00FE4F89" w:rsidP="00F85D99">
      <w:pPr>
        <w:pStyle w:val="naisf"/>
        <w:spacing w:before="0" w:beforeAutospacing="0" w:after="0" w:afterAutospacing="0"/>
        <w:rPr>
          <w:lang w:val="lv-LV"/>
        </w:rPr>
      </w:pPr>
      <w:r w:rsidRPr="008B62CE">
        <w:rPr>
          <w:lang w:val="lv-LV"/>
        </w:rPr>
        <w:t xml:space="preserve">Ministru prezidenta biedrs, </w:t>
      </w:r>
    </w:p>
    <w:p w14:paraId="788B1182" w14:textId="30FC96B2" w:rsidR="005953EF" w:rsidRPr="008B62CE" w:rsidRDefault="00FE4F89" w:rsidP="00F85D99">
      <w:pPr>
        <w:pStyle w:val="naisf"/>
        <w:spacing w:before="0" w:beforeAutospacing="0" w:after="0" w:afterAutospacing="0"/>
        <w:rPr>
          <w:lang w:val="lv-LV"/>
        </w:rPr>
      </w:pPr>
      <w:r w:rsidRPr="008B62CE">
        <w:rPr>
          <w:lang w:val="lv-LV"/>
        </w:rPr>
        <w:t>a</w:t>
      </w:r>
      <w:r w:rsidR="005953EF" w:rsidRPr="008B62CE">
        <w:rPr>
          <w:lang w:val="lv-LV"/>
        </w:rPr>
        <w:t>izsardzības ministrs</w:t>
      </w:r>
      <w:r w:rsidR="005953EF" w:rsidRPr="008B62CE">
        <w:rPr>
          <w:lang w:val="lv-LV"/>
        </w:rPr>
        <w:tab/>
      </w:r>
      <w:r w:rsidR="005953EF" w:rsidRPr="008B62CE">
        <w:rPr>
          <w:lang w:val="lv-LV"/>
        </w:rPr>
        <w:tab/>
      </w:r>
      <w:r w:rsidR="005953EF" w:rsidRPr="008B62CE">
        <w:rPr>
          <w:lang w:val="lv-LV"/>
        </w:rPr>
        <w:tab/>
      </w:r>
      <w:r w:rsidR="005953EF" w:rsidRPr="008B62CE">
        <w:rPr>
          <w:lang w:val="lv-LV"/>
        </w:rPr>
        <w:tab/>
      </w:r>
      <w:r w:rsidR="005953EF" w:rsidRPr="008B62CE">
        <w:rPr>
          <w:lang w:val="lv-LV"/>
        </w:rPr>
        <w:tab/>
      </w:r>
      <w:r w:rsidR="009379CF">
        <w:rPr>
          <w:lang w:val="lv-LV"/>
        </w:rPr>
        <w:t xml:space="preserve">                       </w:t>
      </w:r>
      <w:r w:rsidR="00A653C0" w:rsidRPr="008B62CE">
        <w:rPr>
          <w:lang w:val="lv-LV"/>
        </w:rPr>
        <w:t xml:space="preserve">Artis Pabriks </w:t>
      </w:r>
    </w:p>
    <w:p w14:paraId="0A2B8F1B" w14:textId="77777777" w:rsidR="005953EF" w:rsidRPr="008B62CE" w:rsidRDefault="005953EF" w:rsidP="005953EF">
      <w:pPr>
        <w:pStyle w:val="naisf"/>
        <w:spacing w:before="0" w:beforeAutospacing="0" w:after="0" w:afterAutospacing="0"/>
        <w:rPr>
          <w:lang w:val="lv-LV"/>
        </w:rPr>
      </w:pPr>
    </w:p>
    <w:p w14:paraId="7A6CE814" w14:textId="77777777" w:rsidR="00426948" w:rsidRPr="00426948" w:rsidRDefault="00426948" w:rsidP="00426948">
      <w:pPr>
        <w:pStyle w:val="naisf"/>
        <w:rPr>
          <w:lang w:val="lv-LV"/>
        </w:rPr>
      </w:pPr>
      <w:r w:rsidRPr="00426948">
        <w:rPr>
          <w:lang w:val="lv-LV"/>
        </w:rPr>
        <w:t>Vīza:</w:t>
      </w:r>
    </w:p>
    <w:p w14:paraId="3F10320B" w14:textId="47813242" w:rsidR="00426948" w:rsidRPr="00426948" w:rsidRDefault="00426948" w:rsidP="00426948">
      <w:pPr>
        <w:pStyle w:val="naisf"/>
        <w:rPr>
          <w:lang w:val="lv-LV"/>
        </w:rPr>
      </w:pPr>
      <w:r w:rsidRPr="00426948">
        <w:rPr>
          <w:lang w:val="lv-LV"/>
        </w:rPr>
        <w:t>Aizsardzības ministrijas valsts sekretārs</w:t>
      </w:r>
      <w:r w:rsidRPr="00426948">
        <w:rPr>
          <w:lang w:val="lv-LV"/>
        </w:rPr>
        <w:tab/>
      </w:r>
      <w:r w:rsidRPr="00426948">
        <w:rPr>
          <w:lang w:val="lv-LV"/>
        </w:rPr>
        <w:tab/>
      </w:r>
      <w:r w:rsidRPr="00426948">
        <w:rPr>
          <w:lang w:val="lv-LV"/>
        </w:rPr>
        <w:tab/>
      </w:r>
      <w:r w:rsidRPr="00426948">
        <w:rPr>
          <w:lang w:val="lv-LV"/>
        </w:rPr>
        <w:tab/>
        <w:t>J</w:t>
      </w:r>
      <w:r w:rsidR="009379CF">
        <w:rPr>
          <w:lang w:val="lv-LV"/>
        </w:rPr>
        <w:t xml:space="preserve">ānis </w:t>
      </w:r>
      <w:r w:rsidRPr="00426948">
        <w:rPr>
          <w:lang w:val="lv-LV"/>
        </w:rPr>
        <w:t>Garisons</w:t>
      </w:r>
    </w:p>
    <w:p w14:paraId="6B5C9441" w14:textId="77777777" w:rsidR="00426948" w:rsidRPr="00426948" w:rsidRDefault="00426948" w:rsidP="00426948">
      <w:pPr>
        <w:pStyle w:val="naisf"/>
        <w:rPr>
          <w:lang w:val="lv-LV"/>
        </w:rPr>
      </w:pPr>
    </w:p>
    <w:p w14:paraId="441DC16C" w14:textId="77777777" w:rsidR="005953EF" w:rsidRPr="008B62CE" w:rsidRDefault="005953EF" w:rsidP="005953EF">
      <w:pPr>
        <w:pStyle w:val="naisf"/>
        <w:spacing w:before="0" w:beforeAutospacing="0" w:after="0" w:afterAutospacing="0"/>
        <w:rPr>
          <w:lang w:val="lv-LV"/>
        </w:rPr>
      </w:pPr>
    </w:p>
    <w:p w14:paraId="44921211" w14:textId="333D471F" w:rsidR="004D04E4" w:rsidRDefault="004D04E4" w:rsidP="005953EF">
      <w:pPr>
        <w:jc w:val="both"/>
        <w:rPr>
          <w:sz w:val="18"/>
          <w:szCs w:val="18"/>
          <w:lang w:val="lv-LV"/>
        </w:rPr>
      </w:pPr>
    </w:p>
    <w:p w14:paraId="50DE36B2" w14:textId="09A1D9BF" w:rsidR="008148F7" w:rsidRDefault="008148F7" w:rsidP="005953EF">
      <w:pPr>
        <w:jc w:val="both"/>
        <w:rPr>
          <w:sz w:val="18"/>
          <w:szCs w:val="18"/>
          <w:lang w:val="lv-LV"/>
        </w:rPr>
      </w:pPr>
    </w:p>
    <w:p w14:paraId="212B1F19" w14:textId="6DA68FF6" w:rsidR="008148F7" w:rsidRDefault="008148F7" w:rsidP="005953EF">
      <w:pPr>
        <w:jc w:val="both"/>
        <w:rPr>
          <w:sz w:val="18"/>
          <w:szCs w:val="18"/>
          <w:lang w:val="lv-LV"/>
        </w:rPr>
      </w:pPr>
    </w:p>
    <w:p w14:paraId="29EDBDC4" w14:textId="77777777" w:rsidR="008148F7" w:rsidRPr="00CE1CC8" w:rsidRDefault="008148F7" w:rsidP="005953EF">
      <w:pPr>
        <w:jc w:val="both"/>
        <w:rPr>
          <w:sz w:val="18"/>
          <w:szCs w:val="18"/>
          <w:lang w:val="lv-LV"/>
        </w:rPr>
      </w:pPr>
    </w:p>
    <w:p w14:paraId="32CBFB1B" w14:textId="56377FE1" w:rsidR="005953EF" w:rsidRPr="00CE1CC8" w:rsidRDefault="00986DF3" w:rsidP="005953EF">
      <w:pPr>
        <w:jc w:val="both"/>
        <w:rPr>
          <w:sz w:val="20"/>
          <w:szCs w:val="20"/>
          <w:lang w:val="lv-LV"/>
        </w:rPr>
      </w:pPr>
      <w:r w:rsidRPr="00CE1CC8">
        <w:rPr>
          <w:sz w:val="20"/>
          <w:szCs w:val="20"/>
          <w:lang w:val="lv-LV"/>
        </w:rPr>
        <w:t xml:space="preserve">M. </w:t>
      </w:r>
      <w:r w:rsidR="005953EF" w:rsidRPr="00CE1CC8">
        <w:rPr>
          <w:sz w:val="20"/>
          <w:szCs w:val="20"/>
          <w:lang w:val="lv-LV"/>
        </w:rPr>
        <w:t>Stalte, 67335349</w:t>
      </w:r>
    </w:p>
    <w:p w14:paraId="566D07FC" w14:textId="37CF746F" w:rsidR="005953EF" w:rsidRPr="003D70F9" w:rsidRDefault="00691584" w:rsidP="005953EF">
      <w:pPr>
        <w:jc w:val="both"/>
        <w:rPr>
          <w:sz w:val="20"/>
          <w:szCs w:val="20"/>
          <w:lang w:val="lv-LV"/>
        </w:rPr>
      </w:pPr>
      <w:hyperlink r:id="rId8" w:history="1">
        <w:r w:rsidR="009F798E" w:rsidRPr="003D70F9">
          <w:rPr>
            <w:rStyle w:val="Hyperlink"/>
            <w:color w:val="auto"/>
            <w:sz w:val="20"/>
            <w:szCs w:val="20"/>
            <w:u w:val="none"/>
            <w:lang w:val="lv-LV"/>
          </w:rPr>
          <w:t>Madara.Stalte@mod.gov.lv</w:t>
        </w:r>
      </w:hyperlink>
      <w:r w:rsidR="009F798E" w:rsidRPr="003D70F9">
        <w:rPr>
          <w:sz w:val="20"/>
          <w:szCs w:val="20"/>
          <w:lang w:val="lv-LV"/>
        </w:rPr>
        <w:t xml:space="preserve"> </w:t>
      </w:r>
    </w:p>
    <w:p w14:paraId="2FD82BD5" w14:textId="58CCC64A" w:rsidR="007074E3" w:rsidRPr="008B62CE" w:rsidRDefault="00604C27" w:rsidP="00604C27">
      <w:pPr>
        <w:tabs>
          <w:tab w:val="left" w:pos="3990"/>
        </w:tabs>
        <w:ind w:left="1701" w:right="1134"/>
      </w:pPr>
      <w:r>
        <w:tab/>
      </w:r>
    </w:p>
    <w:sectPr w:rsidR="007074E3" w:rsidRPr="008B62CE" w:rsidSect="00806932">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3F526" w14:textId="77777777" w:rsidR="005953EF" w:rsidRDefault="005953EF" w:rsidP="005953EF">
      <w:r>
        <w:separator/>
      </w:r>
    </w:p>
  </w:endnote>
  <w:endnote w:type="continuationSeparator" w:id="0">
    <w:p w14:paraId="403F6EDB" w14:textId="77777777" w:rsidR="005953EF" w:rsidRDefault="005953EF" w:rsidP="0059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Arial Unicode MS">
    <w:panose1 w:val="020B0604020202020204"/>
    <w:charset w:val="80"/>
    <w:family w:val="swiss"/>
    <w:pitch w:val="variable"/>
    <w:sig w:usb0="00000000" w:usb1="E9DFFFFF" w:usb2="0000003F" w:usb3="00000000" w:csb0="003F01FF" w:csb1="00000000"/>
  </w:font>
  <w:font w:name="RimTimes">
    <w:altName w:val="Calibri"/>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CBB6" w14:textId="739A85F9" w:rsidR="008D0C98" w:rsidRPr="007D7B0D" w:rsidRDefault="00133C83" w:rsidP="00133C83">
    <w:pPr>
      <w:pStyle w:val="Footer"/>
      <w:rPr>
        <w:rFonts w:ascii="Times New Roman" w:hAnsi="Times New Roman"/>
        <w:sz w:val="20"/>
      </w:rPr>
    </w:pPr>
    <w:r w:rsidRPr="007D7B0D">
      <w:rPr>
        <w:rFonts w:ascii="Times New Roman" w:hAnsi="Times New Roman"/>
        <w:sz w:val="20"/>
      </w:rPr>
      <w:fldChar w:fldCharType="begin"/>
    </w:r>
    <w:r w:rsidRPr="007D7B0D">
      <w:rPr>
        <w:rFonts w:ascii="Times New Roman" w:hAnsi="Times New Roman"/>
        <w:sz w:val="20"/>
      </w:rPr>
      <w:instrText xml:space="preserve"> FILENAME   \* MERGEFORMAT </w:instrText>
    </w:r>
    <w:r w:rsidRPr="007D7B0D">
      <w:rPr>
        <w:rFonts w:ascii="Times New Roman" w:hAnsi="Times New Roman"/>
        <w:sz w:val="20"/>
      </w:rPr>
      <w:fldChar w:fldCharType="separate"/>
    </w:r>
    <w:r w:rsidR="000D5A89">
      <w:rPr>
        <w:rFonts w:ascii="Times New Roman" w:hAnsi="Times New Roman"/>
        <w:noProof/>
        <w:sz w:val="20"/>
      </w:rPr>
      <w:t>AIMAnot_110220_DDUK_nolikuma_g.docx</w:t>
    </w:r>
    <w:r w:rsidRPr="007D7B0D">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2B85" w14:textId="684AB82B" w:rsidR="008D0C98" w:rsidRPr="007D7B0D" w:rsidRDefault="00133C83" w:rsidP="00270141">
    <w:pPr>
      <w:pStyle w:val="Footer"/>
      <w:rPr>
        <w:rFonts w:ascii="Times New Roman" w:hAnsi="Times New Roman"/>
        <w:sz w:val="20"/>
      </w:rPr>
    </w:pPr>
    <w:r w:rsidRPr="007D7B0D">
      <w:rPr>
        <w:rFonts w:ascii="Times New Roman" w:hAnsi="Times New Roman"/>
        <w:noProof/>
        <w:sz w:val="20"/>
      </w:rPr>
      <w:fldChar w:fldCharType="begin"/>
    </w:r>
    <w:r w:rsidRPr="007D7B0D">
      <w:rPr>
        <w:rFonts w:ascii="Times New Roman" w:hAnsi="Times New Roman"/>
        <w:noProof/>
        <w:sz w:val="20"/>
      </w:rPr>
      <w:instrText xml:space="preserve"> FILENAME   \* MERGEFORMAT </w:instrText>
    </w:r>
    <w:r w:rsidRPr="007D7B0D">
      <w:rPr>
        <w:rFonts w:ascii="Times New Roman" w:hAnsi="Times New Roman"/>
        <w:noProof/>
        <w:sz w:val="20"/>
      </w:rPr>
      <w:fldChar w:fldCharType="separate"/>
    </w:r>
    <w:r w:rsidR="000D5A89">
      <w:rPr>
        <w:rFonts w:ascii="Times New Roman" w:hAnsi="Times New Roman"/>
        <w:noProof/>
        <w:sz w:val="20"/>
      </w:rPr>
      <w:t>AIMAnot_110220_DDUK_nolikuma_g.docx</w:t>
    </w:r>
    <w:r w:rsidRPr="007D7B0D">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394F8" w14:textId="77777777" w:rsidR="005953EF" w:rsidRDefault="005953EF" w:rsidP="005953EF">
      <w:r>
        <w:separator/>
      </w:r>
    </w:p>
  </w:footnote>
  <w:footnote w:type="continuationSeparator" w:id="0">
    <w:p w14:paraId="4B8485CF" w14:textId="77777777" w:rsidR="005953EF" w:rsidRDefault="005953EF" w:rsidP="0059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5778" w14:textId="77777777" w:rsidR="008D0C98" w:rsidRDefault="00F07C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E67BE" w14:textId="77777777" w:rsidR="008D0C98" w:rsidRDefault="00691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22878"/>
      <w:docPartObj>
        <w:docPartGallery w:val="Page Numbers (Top of Page)"/>
        <w:docPartUnique/>
      </w:docPartObj>
    </w:sdtPr>
    <w:sdtEndPr>
      <w:rPr>
        <w:noProof/>
      </w:rPr>
    </w:sdtEndPr>
    <w:sdtContent>
      <w:p w14:paraId="6139C9FE" w14:textId="7A6F2359" w:rsidR="007D7B0D" w:rsidRDefault="007D7B0D">
        <w:pPr>
          <w:pStyle w:val="Header"/>
          <w:jc w:val="center"/>
        </w:pPr>
        <w:r>
          <w:fldChar w:fldCharType="begin"/>
        </w:r>
        <w:r>
          <w:instrText xml:space="preserve"> PAGE   \* MERGEFORMAT </w:instrText>
        </w:r>
        <w:r>
          <w:fldChar w:fldCharType="separate"/>
        </w:r>
        <w:r w:rsidR="00691584">
          <w:rPr>
            <w:noProof/>
          </w:rPr>
          <w:t>3</w:t>
        </w:r>
        <w:r>
          <w:rPr>
            <w:noProof/>
          </w:rPr>
          <w:fldChar w:fldCharType="end"/>
        </w:r>
      </w:p>
    </w:sdtContent>
  </w:sdt>
  <w:p w14:paraId="3881FE4A" w14:textId="77777777" w:rsidR="007D7B0D" w:rsidRDefault="007D7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C7E"/>
    <w:multiLevelType w:val="hybridMultilevel"/>
    <w:tmpl w:val="E3F84B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D96C68"/>
    <w:multiLevelType w:val="hybridMultilevel"/>
    <w:tmpl w:val="8DB271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296965"/>
    <w:multiLevelType w:val="hybridMultilevel"/>
    <w:tmpl w:val="E7321C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8E5500"/>
    <w:multiLevelType w:val="hybridMultilevel"/>
    <w:tmpl w:val="B9102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8B580C"/>
    <w:multiLevelType w:val="hybridMultilevel"/>
    <w:tmpl w:val="2E2A493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2B1660"/>
    <w:multiLevelType w:val="hybridMultilevel"/>
    <w:tmpl w:val="CA6A019E"/>
    <w:lvl w:ilvl="0" w:tplc="9FBEB776">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2570BA"/>
    <w:multiLevelType w:val="hybridMultilevel"/>
    <w:tmpl w:val="B02AB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9E1087"/>
    <w:multiLevelType w:val="hybridMultilevel"/>
    <w:tmpl w:val="535C46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874118"/>
    <w:multiLevelType w:val="hybridMultilevel"/>
    <w:tmpl w:val="4E0EEEE6"/>
    <w:lvl w:ilvl="0" w:tplc="61987AD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9B1068F"/>
    <w:multiLevelType w:val="hybridMultilevel"/>
    <w:tmpl w:val="8A60EDF2"/>
    <w:lvl w:ilvl="0" w:tplc="40320EA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606A77"/>
    <w:multiLevelType w:val="hybridMultilevel"/>
    <w:tmpl w:val="5A84F2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7"/>
  </w:num>
  <w:num w:numId="5">
    <w:abstractNumId w:val="6"/>
  </w:num>
  <w:num w:numId="6">
    <w:abstractNumId w:val="3"/>
  </w:num>
  <w:num w:numId="7">
    <w:abstractNumId w:val="10"/>
  </w:num>
  <w:num w:numId="8">
    <w:abstractNumId w:val="4"/>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EF"/>
    <w:rsid w:val="00015F6D"/>
    <w:rsid w:val="00033179"/>
    <w:rsid w:val="0004259D"/>
    <w:rsid w:val="00047E06"/>
    <w:rsid w:val="00096291"/>
    <w:rsid w:val="000966E4"/>
    <w:rsid w:val="000A14DB"/>
    <w:rsid w:val="000B3F8B"/>
    <w:rsid w:val="000B4BB7"/>
    <w:rsid w:val="000B7CBD"/>
    <w:rsid w:val="000D2B92"/>
    <w:rsid w:val="000D5A89"/>
    <w:rsid w:val="000F7AA8"/>
    <w:rsid w:val="00133C83"/>
    <w:rsid w:val="00160DF1"/>
    <w:rsid w:val="00167C5B"/>
    <w:rsid w:val="00177355"/>
    <w:rsid w:val="001B0852"/>
    <w:rsid w:val="001B0E6E"/>
    <w:rsid w:val="001B3A30"/>
    <w:rsid w:val="001C5E60"/>
    <w:rsid w:val="001D09CA"/>
    <w:rsid w:val="001D101A"/>
    <w:rsid w:val="001F21C2"/>
    <w:rsid w:val="00202510"/>
    <w:rsid w:val="002040CD"/>
    <w:rsid w:val="0020621C"/>
    <w:rsid w:val="00253D5E"/>
    <w:rsid w:val="002614B3"/>
    <w:rsid w:val="00270141"/>
    <w:rsid w:val="0027192D"/>
    <w:rsid w:val="00293C3E"/>
    <w:rsid w:val="002B7F48"/>
    <w:rsid w:val="002C3917"/>
    <w:rsid w:val="002C7EDB"/>
    <w:rsid w:val="002D26B9"/>
    <w:rsid w:val="002F6E11"/>
    <w:rsid w:val="0030037C"/>
    <w:rsid w:val="003003B2"/>
    <w:rsid w:val="0030393B"/>
    <w:rsid w:val="0031124F"/>
    <w:rsid w:val="00314765"/>
    <w:rsid w:val="0035673F"/>
    <w:rsid w:val="00363B2B"/>
    <w:rsid w:val="003829E1"/>
    <w:rsid w:val="00384806"/>
    <w:rsid w:val="00384A75"/>
    <w:rsid w:val="003C5DCB"/>
    <w:rsid w:val="003D70F9"/>
    <w:rsid w:val="003F2EA7"/>
    <w:rsid w:val="003F6380"/>
    <w:rsid w:val="004034FA"/>
    <w:rsid w:val="0040683D"/>
    <w:rsid w:val="004213E5"/>
    <w:rsid w:val="00426948"/>
    <w:rsid w:val="00456538"/>
    <w:rsid w:val="00485EB1"/>
    <w:rsid w:val="004A56D3"/>
    <w:rsid w:val="004B5AF4"/>
    <w:rsid w:val="004B7102"/>
    <w:rsid w:val="004C2DDB"/>
    <w:rsid w:val="004D001B"/>
    <w:rsid w:val="004D04E4"/>
    <w:rsid w:val="004D15FA"/>
    <w:rsid w:val="004D30C1"/>
    <w:rsid w:val="004D3BF7"/>
    <w:rsid w:val="004E3F3D"/>
    <w:rsid w:val="00537A2C"/>
    <w:rsid w:val="00546334"/>
    <w:rsid w:val="0058029E"/>
    <w:rsid w:val="005809F9"/>
    <w:rsid w:val="00587ACC"/>
    <w:rsid w:val="00587F77"/>
    <w:rsid w:val="00590F46"/>
    <w:rsid w:val="005953EF"/>
    <w:rsid w:val="00597A3D"/>
    <w:rsid w:val="005A718E"/>
    <w:rsid w:val="005D6353"/>
    <w:rsid w:val="005F3CD9"/>
    <w:rsid w:val="00604C27"/>
    <w:rsid w:val="00610645"/>
    <w:rsid w:val="00643AA1"/>
    <w:rsid w:val="006539B7"/>
    <w:rsid w:val="0065587E"/>
    <w:rsid w:val="00681E88"/>
    <w:rsid w:val="006842BF"/>
    <w:rsid w:val="00691584"/>
    <w:rsid w:val="00693D22"/>
    <w:rsid w:val="006C2A6E"/>
    <w:rsid w:val="006C778B"/>
    <w:rsid w:val="006F70B9"/>
    <w:rsid w:val="007074E3"/>
    <w:rsid w:val="007229A7"/>
    <w:rsid w:val="00726A80"/>
    <w:rsid w:val="0073522D"/>
    <w:rsid w:val="0076789E"/>
    <w:rsid w:val="00786215"/>
    <w:rsid w:val="00786E83"/>
    <w:rsid w:val="007A5B24"/>
    <w:rsid w:val="007A5B69"/>
    <w:rsid w:val="007C1057"/>
    <w:rsid w:val="007C63F3"/>
    <w:rsid w:val="007D2A78"/>
    <w:rsid w:val="007D4AC5"/>
    <w:rsid w:val="007D7B0D"/>
    <w:rsid w:val="007F4639"/>
    <w:rsid w:val="00801C79"/>
    <w:rsid w:val="008046D0"/>
    <w:rsid w:val="00806932"/>
    <w:rsid w:val="008148F7"/>
    <w:rsid w:val="00826825"/>
    <w:rsid w:val="0084301B"/>
    <w:rsid w:val="00872A03"/>
    <w:rsid w:val="008855E2"/>
    <w:rsid w:val="0089015D"/>
    <w:rsid w:val="008B62CE"/>
    <w:rsid w:val="008D2249"/>
    <w:rsid w:val="009125EF"/>
    <w:rsid w:val="00922D7C"/>
    <w:rsid w:val="009379CF"/>
    <w:rsid w:val="0094397A"/>
    <w:rsid w:val="00957848"/>
    <w:rsid w:val="00961045"/>
    <w:rsid w:val="00971B68"/>
    <w:rsid w:val="00973600"/>
    <w:rsid w:val="00975E32"/>
    <w:rsid w:val="00986DF3"/>
    <w:rsid w:val="00987637"/>
    <w:rsid w:val="00991914"/>
    <w:rsid w:val="009A5181"/>
    <w:rsid w:val="009B4DF3"/>
    <w:rsid w:val="009C01AC"/>
    <w:rsid w:val="009F1859"/>
    <w:rsid w:val="009F3F14"/>
    <w:rsid w:val="009F798E"/>
    <w:rsid w:val="00A01928"/>
    <w:rsid w:val="00A022C8"/>
    <w:rsid w:val="00A1341D"/>
    <w:rsid w:val="00A27AD5"/>
    <w:rsid w:val="00A3346A"/>
    <w:rsid w:val="00A653C0"/>
    <w:rsid w:val="00A7259F"/>
    <w:rsid w:val="00A74DBD"/>
    <w:rsid w:val="00B05198"/>
    <w:rsid w:val="00B30F4C"/>
    <w:rsid w:val="00B54F60"/>
    <w:rsid w:val="00B6333A"/>
    <w:rsid w:val="00B665DB"/>
    <w:rsid w:val="00B84D7A"/>
    <w:rsid w:val="00BA5D7F"/>
    <w:rsid w:val="00BE76D8"/>
    <w:rsid w:val="00BE7DC6"/>
    <w:rsid w:val="00BF6B33"/>
    <w:rsid w:val="00BF7AD6"/>
    <w:rsid w:val="00C02ED2"/>
    <w:rsid w:val="00C06F67"/>
    <w:rsid w:val="00C11E98"/>
    <w:rsid w:val="00C307F0"/>
    <w:rsid w:val="00C33DAB"/>
    <w:rsid w:val="00C44AA3"/>
    <w:rsid w:val="00CA070B"/>
    <w:rsid w:val="00CA7D88"/>
    <w:rsid w:val="00CC5D0D"/>
    <w:rsid w:val="00CE1CC8"/>
    <w:rsid w:val="00CE76A1"/>
    <w:rsid w:val="00CF562B"/>
    <w:rsid w:val="00D27863"/>
    <w:rsid w:val="00D35CF7"/>
    <w:rsid w:val="00D73520"/>
    <w:rsid w:val="00D905CB"/>
    <w:rsid w:val="00DC335E"/>
    <w:rsid w:val="00DC3542"/>
    <w:rsid w:val="00DE207F"/>
    <w:rsid w:val="00DE2973"/>
    <w:rsid w:val="00DF2E44"/>
    <w:rsid w:val="00DF4E0F"/>
    <w:rsid w:val="00E06193"/>
    <w:rsid w:val="00E13763"/>
    <w:rsid w:val="00E1624B"/>
    <w:rsid w:val="00E7158B"/>
    <w:rsid w:val="00E72EE0"/>
    <w:rsid w:val="00EA4506"/>
    <w:rsid w:val="00ED4B02"/>
    <w:rsid w:val="00F07C1C"/>
    <w:rsid w:val="00F2464F"/>
    <w:rsid w:val="00F35CA2"/>
    <w:rsid w:val="00F53A0C"/>
    <w:rsid w:val="00F558D3"/>
    <w:rsid w:val="00F72048"/>
    <w:rsid w:val="00F73B9E"/>
    <w:rsid w:val="00F84AE3"/>
    <w:rsid w:val="00F85D99"/>
    <w:rsid w:val="00F9528C"/>
    <w:rsid w:val="00FB191D"/>
    <w:rsid w:val="00FC3F94"/>
    <w:rsid w:val="00FC6568"/>
    <w:rsid w:val="00FD1E00"/>
    <w:rsid w:val="00FD4968"/>
    <w:rsid w:val="00FE4F8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FCE11B4"/>
  <w15:chartTrackingRefBased/>
  <w15:docId w15:val="{59D652AA-88DC-4C2B-8E15-C96907F6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E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953EF"/>
    <w:pPr>
      <w:spacing w:before="100" w:beforeAutospacing="1" w:after="100" w:afterAutospacing="1"/>
      <w:jc w:val="both"/>
    </w:pPr>
    <w:rPr>
      <w:rFonts w:eastAsia="Arial Unicode MS"/>
    </w:rPr>
  </w:style>
  <w:style w:type="paragraph" w:styleId="NormalWeb">
    <w:name w:val="Normal (Web)"/>
    <w:basedOn w:val="Normal"/>
    <w:uiPriority w:val="99"/>
    <w:rsid w:val="005953EF"/>
    <w:pPr>
      <w:spacing w:before="100" w:beforeAutospacing="1" w:after="100" w:afterAutospacing="1"/>
    </w:pPr>
    <w:rPr>
      <w:rFonts w:eastAsia="Arial Unicode MS"/>
    </w:rPr>
  </w:style>
  <w:style w:type="paragraph" w:styleId="Footer">
    <w:name w:val="footer"/>
    <w:basedOn w:val="Normal"/>
    <w:link w:val="FooterChar"/>
    <w:rsid w:val="005953EF"/>
    <w:pPr>
      <w:tabs>
        <w:tab w:val="center" w:pos="4153"/>
        <w:tab w:val="right" w:pos="8306"/>
      </w:tabs>
      <w:snapToGrid w:val="0"/>
    </w:pPr>
    <w:rPr>
      <w:rFonts w:ascii="RimTimes" w:hAnsi="RimTimes"/>
      <w:sz w:val="28"/>
      <w:szCs w:val="20"/>
      <w:lang w:val="lv-LV"/>
    </w:rPr>
  </w:style>
  <w:style w:type="character" w:customStyle="1" w:styleId="FooterChar">
    <w:name w:val="Footer Char"/>
    <w:basedOn w:val="DefaultParagraphFont"/>
    <w:link w:val="Footer"/>
    <w:rsid w:val="005953EF"/>
    <w:rPr>
      <w:rFonts w:ascii="RimTimes" w:eastAsia="Times New Roman" w:hAnsi="RimTimes" w:cs="Times New Roman"/>
      <w:sz w:val="28"/>
      <w:szCs w:val="20"/>
    </w:rPr>
  </w:style>
  <w:style w:type="paragraph" w:customStyle="1" w:styleId="naislab">
    <w:name w:val="naislab"/>
    <w:basedOn w:val="Normal"/>
    <w:rsid w:val="005953EF"/>
    <w:pPr>
      <w:spacing w:before="100" w:beforeAutospacing="1" w:after="100" w:afterAutospacing="1"/>
      <w:jc w:val="right"/>
    </w:pPr>
    <w:rPr>
      <w:rFonts w:eastAsia="Arial Unicode MS"/>
    </w:rPr>
  </w:style>
  <w:style w:type="paragraph" w:styleId="Header">
    <w:name w:val="header"/>
    <w:basedOn w:val="Normal"/>
    <w:link w:val="HeaderChar"/>
    <w:uiPriority w:val="99"/>
    <w:rsid w:val="005953EF"/>
    <w:pPr>
      <w:tabs>
        <w:tab w:val="center" w:pos="4153"/>
        <w:tab w:val="right" w:pos="8306"/>
      </w:tabs>
    </w:pPr>
  </w:style>
  <w:style w:type="character" w:customStyle="1" w:styleId="HeaderChar">
    <w:name w:val="Header Char"/>
    <w:basedOn w:val="DefaultParagraphFont"/>
    <w:link w:val="Header"/>
    <w:uiPriority w:val="99"/>
    <w:rsid w:val="005953EF"/>
    <w:rPr>
      <w:rFonts w:ascii="Times New Roman" w:eastAsia="Times New Roman" w:hAnsi="Times New Roman" w:cs="Times New Roman"/>
      <w:sz w:val="24"/>
      <w:szCs w:val="24"/>
      <w:lang w:val="en-GB"/>
    </w:rPr>
  </w:style>
  <w:style w:type="character" w:styleId="PageNumber">
    <w:name w:val="page number"/>
    <w:basedOn w:val="DefaultParagraphFont"/>
    <w:rsid w:val="005953EF"/>
  </w:style>
  <w:style w:type="paragraph" w:customStyle="1" w:styleId="naiskr">
    <w:name w:val="naiskr"/>
    <w:basedOn w:val="Normal"/>
    <w:rsid w:val="005953EF"/>
    <w:pPr>
      <w:spacing w:before="100" w:beforeAutospacing="1" w:after="100" w:afterAutospacing="1"/>
    </w:pPr>
    <w:rPr>
      <w:lang w:val="lv-LV" w:eastAsia="lv-LV"/>
    </w:rPr>
  </w:style>
  <w:style w:type="paragraph" w:styleId="ListParagraph">
    <w:name w:val="List Paragraph"/>
    <w:basedOn w:val="Normal"/>
    <w:uiPriority w:val="34"/>
    <w:qFormat/>
    <w:rsid w:val="005953EF"/>
    <w:pPr>
      <w:ind w:left="720"/>
      <w:contextualSpacing/>
    </w:pPr>
  </w:style>
  <w:style w:type="table" w:styleId="TableGrid">
    <w:name w:val="Table Grid"/>
    <w:basedOn w:val="TableNormal"/>
    <w:rsid w:val="005953E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B2"/>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3003B2"/>
    <w:rPr>
      <w:sz w:val="16"/>
      <w:szCs w:val="16"/>
    </w:rPr>
  </w:style>
  <w:style w:type="paragraph" w:styleId="CommentText">
    <w:name w:val="annotation text"/>
    <w:basedOn w:val="Normal"/>
    <w:link w:val="CommentTextChar"/>
    <w:uiPriority w:val="99"/>
    <w:semiHidden/>
    <w:unhideWhenUsed/>
    <w:rsid w:val="003003B2"/>
    <w:rPr>
      <w:sz w:val="20"/>
      <w:szCs w:val="20"/>
    </w:rPr>
  </w:style>
  <w:style w:type="character" w:customStyle="1" w:styleId="CommentTextChar">
    <w:name w:val="Comment Text Char"/>
    <w:basedOn w:val="DefaultParagraphFont"/>
    <w:link w:val="CommentText"/>
    <w:uiPriority w:val="99"/>
    <w:semiHidden/>
    <w:rsid w:val="003003B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03B2"/>
    <w:rPr>
      <w:b/>
      <w:bCs/>
    </w:rPr>
  </w:style>
  <w:style w:type="character" w:customStyle="1" w:styleId="CommentSubjectChar">
    <w:name w:val="Comment Subject Char"/>
    <w:basedOn w:val="CommentTextChar"/>
    <w:link w:val="CommentSubject"/>
    <w:uiPriority w:val="99"/>
    <w:semiHidden/>
    <w:rsid w:val="003003B2"/>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9F79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0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Stalte@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1B9D9-53CC-4353-A37A-F622971A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3715</Words>
  <Characters>2118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 novembra noteikumos Nr. 695 „Digitālās drošības uzraudzības komitejas nolikums”” sākotnējās ietekmes novērtējuma ziņojums (anotācija)</vt:lpstr>
    </vt:vector>
  </TitlesOfParts>
  <Company>Aizsardzības ministrija</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 novembra noteikumos Nr. 695 „Digitālās drošības uzraudzības komitejas nolikums”” sākotnējās ietekmes novērtējuma ziņojums (anotācija)</dc:title>
  <dc:subject>Noteikumu projekta sākotnējās ietekmes novērtējuma ziņojums (anotācija)</dc:subject>
  <dc:creator>Madara Stalte</dc:creator>
  <cp:keywords/>
  <dc:description>67335349, madara.stalte@mod.gov.lv</dc:description>
  <cp:lastModifiedBy>Madara Stalte</cp:lastModifiedBy>
  <cp:revision>7</cp:revision>
  <dcterms:created xsi:type="dcterms:W3CDTF">2020-02-06T10:11:00Z</dcterms:created>
  <dcterms:modified xsi:type="dcterms:W3CDTF">2020-02-11T12:30:00Z</dcterms:modified>
</cp:coreProperties>
</file>