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EFB44" w14:textId="1A5050CA" w:rsidR="00894C55" w:rsidRPr="0001268A" w:rsidRDefault="005B0804"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01268A">
        <w:rPr>
          <w:rFonts w:ascii="Times New Roman" w:eastAsia="Times New Roman" w:hAnsi="Times New Roman" w:cs="Times New Roman"/>
          <w:b/>
          <w:bCs/>
          <w:sz w:val="24"/>
          <w:szCs w:val="24"/>
          <w:lang w:eastAsia="lv-LV"/>
        </w:rPr>
        <w:t xml:space="preserve">Likumprojekta “Grozījumi Sauszemes transportlīdzekļu īpašnieku civiltiesiskās atbildības </w:t>
      </w:r>
      <w:r w:rsidR="00503C1E">
        <w:rPr>
          <w:rFonts w:ascii="Times New Roman" w:eastAsia="Times New Roman" w:hAnsi="Times New Roman" w:cs="Times New Roman"/>
          <w:b/>
          <w:bCs/>
          <w:sz w:val="24"/>
          <w:szCs w:val="24"/>
          <w:lang w:eastAsia="lv-LV"/>
        </w:rPr>
        <w:t xml:space="preserve">obligātās </w:t>
      </w:r>
      <w:r w:rsidRPr="0001268A">
        <w:rPr>
          <w:rFonts w:ascii="Times New Roman" w:eastAsia="Times New Roman" w:hAnsi="Times New Roman" w:cs="Times New Roman"/>
          <w:b/>
          <w:bCs/>
          <w:sz w:val="24"/>
          <w:szCs w:val="24"/>
          <w:lang w:eastAsia="lv-LV"/>
        </w:rPr>
        <w:t xml:space="preserve">apdrošināšanas likumā” </w:t>
      </w:r>
      <w:r w:rsidR="00894C55" w:rsidRPr="0001268A">
        <w:rPr>
          <w:rFonts w:ascii="Times New Roman" w:eastAsia="Times New Roman" w:hAnsi="Times New Roman" w:cs="Times New Roman"/>
          <w:b/>
          <w:bCs/>
          <w:sz w:val="24"/>
          <w:szCs w:val="24"/>
          <w:lang w:eastAsia="lv-LV"/>
        </w:rPr>
        <w:t>sākotnējās ietekmes novērtējuma ziņojums (anotācija)</w:t>
      </w:r>
    </w:p>
    <w:p w14:paraId="7EEA2622" w14:textId="77777777" w:rsidR="00E5323B" w:rsidRPr="0001268A"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8"/>
        <w:gridCol w:w="5765"/>
      </w:tblGrid>
      <w:tr w:rsidR="0001268A" w:rsidRPr="0001268A" w14:paraId="7CAF386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7C5DCA9" w14:textId="77777777" w:rsidR="00655F2C" w:rsidRPr="0001268A" w:rsidRDefault="00E5323B" w:rsidP="00E5323B">
            <w:pPr>
              <w:spacing w:after="0" w:line="240" w:lineRule="auto"/>
              <w:rPr>
                <w:rFonts w:ascii="Times New Roman" w:eastAsia="Times New Roman" w:hAnsi="Times New Roman" w:cs="Times New Roman"/>
                <w:b/>
                <w:bCs/>
                <w:iCs/>
                <w:sz w:val="24"/>
                <w:szCs w:val="24"/>
                <w:lang w:val="sv-SE" w:eastAsia="lv-LV"/>
              </w:rPr>
            </w:pPr>
            <w:r w:rsidRPr="0001268A">
              <w:rPr>
                <w:rFonts w:ascii="Times New Roman" w:eastAsia="Times New Roman" w:hAnsi="Times New Roman" w:cs="Times New Roman"/>
                <w:b/>
                <w:bCs/>
                <w:iCs/>
                <w:sz w:val="24"/>
                <w:szCs w:val="24"/>
                <w:lang w:val="sv-SE" w:eastAsia="lv-LV"/>
              </w:rPr>
              <w:t>Tiesību akta projekta anotācijas kopsavilkums</w:t>
            </w:r>
          </w:p>
        </w:tc>
      </w:tr>
      <w:tr w:rsidR="0001268A" w:rsidRPr="003A01DF" w14:paraId="780F37E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913AEBE" w14:textId="77777777" w:rsidR="00E5323B" w:rsidRPr="003A01DF" w:rsidRDefault="00E5323B" w:rsidP="00E5323B">
            <w:pPr>
              <w:spacing w:after="0" w:line="240" w:lineRule="auto"/>
              <w:rPr>
                <w:rFonts w:ascii="Times New Roman" w:eastAsia="Times New Roman" w:hAnsi="Times New Roman" w:cs="Times New Roman"/>
                <w:iCs/>
                <w:sz w:val="24"/>
                <w:szCs w:val="24"/>
                <w:lang w:val="sv-SE" w:eastAsia="lv-LV"/>
              </w:rPr>
            </w:pPr>
            <w:r w:rsidRPr="003A01DF">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0AE2B0A" w14:textId="4F15BDBC" w:rsidR="0041431F" w:rsidRPr="003A01DF" w:rsidRDefault="0041431F" w:rsidP="0041431F">
            <w:pPr>
              <w:jc w:val="both"/>
              <w:rPr>
                <w:rFonts w:ascii="Times New Roman" w:hAnsi="Times New Roman" w:cs="Times New Roman"/>
                <w:bCs/>
                <w:sz w:val="24"/>
                <w:szCs w:val="24"/>
              </w:rPr>
            </w:pPr>
            <w:r w:rsidRPr="003A01DF">
              <w:rPr>
                <w:rFonts w:ascii="Times New Roman" w:eastAsia="Times New Roman" w:hAnsi="Times New Roman" w:cs="Times New Roman"/>
                <w:iCs/>
                <w:sz w:val="24"/>
                <w:szCs w:val="24"/>
                <w:lang w:eastAsia="lv-LV"/>
              </w:rPr>
              <w:t xml:space="preserve">Likumprojekta mērķis ir atbilstoši </w:t>
            </w:r>
            <w:r w:rsidRPr="003A01DF">
              <w:rPr>
                <w:rFonts w:ascii="Times New Roman" w:hAnsi="Times New Roman" w:cs="Times New Roman"/>
                <w:bCs/>
                <w:sz w:val="24"/>
                <w:szCs w:val="24"/>
              </w:rPr>
              <w:t xml:space="preserve">Eiropas Parlamenta un Padomes 2009. gada 16. septembra direktīvas 2009/103/EK </w:t>
            </w:r>
            <w:r w:rsidR="009E4A8B" w:rsidRPr="003A01DF">
              <w:rPr>
                <w:rFonts w:ascii="Times New Roman" w:hAnsi="Times New Roman"/>
                <w:bCs/>
                <w:i/>
                <w:sz w:val="24"/>
                <w:szCs w:val="24"/>
              </w:rPr>
              <w:t>par civiltiesiskās atbildības apdrošināšanu saistībā ar mehānisko transportlīdzekļu izmantošanu un kontroli saistībā ar pienākumu apdrošināt šādu atbildību</w:t>
            </w:r>
            <w:r w:rsidR="009E4A8B" w:rsidRPr="003A01DF">
              <w:rPr>
                <w:rFonts w:ascii="Times New Roman" w:hAnsi="Times New Roman"/>
                <w:bCs/>
                <w:sz w:val="24"/>
                <w:szCs w:val="24"/>
              </w:rPr>
              <w:t xml:space="preserve"> </w:t>
            </w:r>
            <w:r w:rsidR="009E4A8B" w:rsidRPr="003A01DF">
              <w:rPr>
                <w:rFonts w:ascii="Times New Roman" w:hAnsi="Times New Roman" w:cs="Times New Roman"/>
                <w:bCs/>
                <w:sz w:val="24"/>
                <w:szCs w:val="24"/>
              </w:rPr>
              <w:t xml:space="preserve">(turpmāk – Direktīva) </w:t>
            </w:r>
            <w:r w:rsidRPr="003A01DF">
              <w:rPr>
                <w:rFonts w:ascii="Times New Roman" w:hAnsi="Times New Roman" w:cs="Times New Roman"/>
                <w:bCs/>
                <w:sz w:val="24"/>
                <w:szCs w:val="24"/>
              </w:rPr>
              <w:t>5.</w:t>
            </w:r>
            <w:r w:rsidR="005E125B" w:rsidRPr="003A01DF">
              <w:rPr>
                <w:rFonts w:ascii="Times New Roman" w:hAnsi="Times New Roman" w:cs="Times New Roman"/>
                <w:bCs/>
                <w:sz w:val="24"/>
                <w:szCs w:val="24"/>
              </w:rPr>
              <w:t xml:space="preserve"> </w:t>
            </w:r>
            <w:r w:rsidRPr="003A01DF">
              <w:rPr>
                <w:rFonts w:ascii="Times New Roman" w:hAnsi="Times New Roman" w:cs="Times New Roman"/>
                <w:bCs/>
                <w:sz w:val="24"/>
                <w:szCs w:val="24"/>
              </w:rPr>
              <w:t xml:space="preserve">panta </w:t>
            </w:r>
            <w:r w:rsidR="009E4A8B" w:rsidRPr="003A01DF">
              <w:rPr>
                <w:rFonts w:ascii="Times New Roman" w:hAnsi="Times New Roman" w:cs="Times New Roman"/>
                <w:bCs/>
                <w:sz w:val="24"/>
                <w:szCs w:val="24"/>
              </w:rPr>
              <w:t>2.</w:t>
            </w:r>
            <w:r w:rsidR="005E125B" w:rsidRPr="003A01DF">
              <w:rPr>
                <w:rFonts w:ascii="Times New Roman" w:hAnsi="Times New Roman" w:cs="Times New Roman"/>
                <w:bCs/>
                <w:sz w:val="24"/>
                <w:szCs w:val="24"/>
              </w:rPr>
              <w:t xml:space="preserve"> </w:t>
            </w:r>
            <w:r w:rsidR="009E4A8B" w:rsidRPr="003A01DF">
              <w:rPr>
                <w:rFonts w:ascii="Times New Roman" w:hAnsi="Times New Roman" w:cs="Times New Roman"/>
                <w:bCs/>
                <w:sz w:val="24"/>
                <w:szCs w:val="24"/>
              </w:rPr>
              <w:t>punktā</w:t>
            </w:r>
            <w:r w:rsidRPr="003A01DF">
              <w:rPr>
                <w:rFonts w:ascii="Times New Roman" w:hAnsi="Times New Roman" w:cs="Times New Roman"/>
                <w:bCs/>
                <w:sz w:val="24"/>
                <w:szCs w:val="24"/>
              </w:rPr>
              <w:t xml:space="preserve"> paredzētajai rīcības brīvībai </w:t>
            </w:r>
            <w:r w:rsidRPr="003A01DF">
              <w:rPr>
                <w:rFonts w:ascii="Times New Roman" w:eastAsia="Times New Roman" w:hAnsi="Times New Roman" w:cs="Times New Roman"/>
                <w:iCs/>
                <w:sz w:val="24"/>
                <w:szCs w:val="24"/>
                <w:lang w:eastAsia="lv-LV"/>
              </w:rPr>
              <w:t xml:space="preserve">noteikt izņēmumu no sauszemes transportlīdzekļu īpašnieku civiltiesiskās atbildības </w:t>
            </w:r>
            <w:r w:rsidRPr="003A01DF">
              <w:rPr>
                <w:rFonts w:ascii="Times New Roman" w:hAnsi="Times New Roman" w:cs="Times New Roman"/>
                <w:bCs/>
                <w:sz w:val="24"/>
                <w:szCs w:val="24"/>
              </w:rPr>
              <w:t xml:space="preserve">obligātās apdrošināšanas </w:t>
            </w:r>
            <w:r w:rsidRPr="003A01DF">
              <w:rPr>
                <w:rFonts w:ascii="Times New Roman" w:eastAsia="Times New Roman" w:hAnsi="Times New Roman" w:cs="Times New Roman"/>
                <w:iCs/>
                <w:sz w:val="24"/>
                <w:szCs w:val="24"/>
                <w:lang w:eastAsia="lv-LV"/>
              </w:rPr>
              <w:t xml:space="preserve">attiecībā uz </w:t>
            </w:r>
            <w:r w:rsidR="008E6954" w:rsidRPr="003A01DF">
              <w:rPr>
                <w:rFonts w:ascii="Times New Roman" w:eastAsia="Times New Roman" w:hAnsi="Times New Roman" w:cs="Times New Roman"/>
                <w:iCs/>
                <w:sz w:val="24"/>
                <w:szCs w:val="24"/>
                <w:lang w:eastAsia="lv-LV"/>
              </w:rPr>
              <w:t xml:space="preserve">Nacionālo bruņoto spēku </w:t>
            </w:r>
            <w:r w:rsidRPr="003A01DF">
              <w:rPr>
                <w:rFonts w:ascii="Times New Roman" w:eastAsia="Times New Roman" w:hAnsi="Times New Roman" w:cs="Times New Roman"/>
                <w:iCs/>
                <w:sz w:val="24"/>
                <w:szCs w:val="24"/>
                <w:lang w:eastAsia="lv-LV"/>
              </w:rPr>
              <w:t>speciālo militāro tehniku</w:t>
            </w:r>
            <w:r w:rsidRPr="003A01DF">
              <w:rPr>
                <w:rFonts w:ascii="Times New Roman" w:hAnsi="Times New Roman" w:cs="Times New Roman"/>
                <w:bCs/>
                <w:sz w:val="24"/>
                <w:szCs w:val="24"/>
              </w:rPr>
              <w:t>. Latvijas Republikai par to jāinformē Eiropas Komisija.</w:t>
            </w:r>
          </w:p>
          <w:p w14:paraId="33239B72" w14:textId="207A6843" w:rsidR="0041431F" w:rsidRPr="003A01DF" w:rsidRDefault="00743177" w:rsidP="00743177">
            <w:pPr>
              <w:tabs>
                <w:tab w:val="left" w:pos="874"/>
              </w:tabs>
              <w:spacing w:after="0" w:line="240" w:lineRule="auto"/>
              <w:jc w:val="both"/>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sz w:val="24"/>
                <w:szCs w:val="24"/>
                <w:lang w:eastAsia="lv-LV"/>
              </w:rPr>
              <w:t>Likumam jā</w:t>
            </w:r>
            <w:r w:rsidR="0041431F" w:rsidRPr="003A01DF">
              <w:rPr>
                <w:rFonts w:ascii="Times New Roman" w:eastAsia="Times New Roman" w:hAnsi="Times New Roman" w:cs="Times New Roman"/>
                <w:sz w:val="24"/>
                <w:szCs w:val="24"/>
                <w:lang w:eastAsia="lv-LV"/>
              </w:rPr>
              <w:t xml:space="preserve">stājas spēkā </w:t>
            </w:r>
            <w:r w:rsidR="00493883" w:rsidRPr="003A01DF">
              <w:rPr>
                <w:rFonts w:ascii="Times New Roman" w:eastAsia="Times New Roman" w:hAnsi="Times New Roman" w:cs="Times New Roman"/>
                <w:sz w:val="24"/>
                <w:szCs w:val="24"/>
                <w:lang w:eastAsia="lv-LV"/>
              </w:rPr>
              <w:t xml:space="preserve">2020. gada 1. </w:t>
            </w:r>
            <w:r w:rsidRPr="003A01DF">
              <w:rPr>
                <w:rFonts w:ascii="Times New Roman" w:eastAsia="Times New Roman" w:hAnsi="Times New Roman" w:cs="Times New Roman"/>
                <w:sz w:val="24"/>
                <w:szCs w:val="24"/>
                <w:lang w:eastAsia="lv-LV"/>
              </w:rPr>
              <w:t>jūlijā</w:t>
            </w:r>
            <w:r w:rsidR="0041431F" w:rsidRPr="003A01DF">
              <w:rPr>
                <w:rFonts w:ascii="Times New Roman" w:eastAsia="Times New Roman" w:hAnsi="Times New Roman" w:cs="Times New Roman"/>
                <w:sz w:val="24"/>
                <w:szCs w:val="24"/>
                <w:lang w:eastAsia="lv-LV"/>
              </w:rPr>
              <w:t>.</w:t>
            </w:r>
          </w:p>
        </w:tc>
      </w:tr>
    </w:tbl>
    <w:p w14:paraId="7ADFC046" w14:textId="77777777" w:rsidR="00E5323B" w:rsidRPr="003A01DF" w:rsidRDefault="00E5323B" w:rsidP="00E5323B">
      <w:pPr>
        <w:spacing w:after="0" w:line="240" w:lineRule="auto"/>
        <w:rPr>
          <w:rFonts w:ascii="Times New Roman" w:eastAsia="Times New Roman" w:hAnsi="Times New Roman" w:cs="Times New Roman"/>
          <w:iCs/>
          <w:sz w:val="24"/>
          <w:szCs w:val="24"/>
          <w:lang w:val="sv-SE" w:eastAsia="lv-LV"/>
        </w:rPr>
      </w:pPr>
      <w:r w:rsidRPr="003A01DF">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7"/>
      </w:tblGrid>
      <w:tr w:rsidR="0001268A" w:rsidRPr="003A01DF" w14:paraId="5A5B799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E04246" w14:textId="77777777" w:rsidR="00655F2C" w:rsidRPr="003A01DF" w:rsidRDefault="00E5323B" w:rsidP="00E5323B">
            <w:pPr>
              <w:spacing w:after="0" w:line="240" w:lineRule="auto"/>
              <w:rPr>
                <w:rFonts w:ascii="Times New Roman" w:eastAsia="Times New Roman" w:hAnsi="Times New Roman" w:cs="Times New Roman"/>
                <w:b/>
                <w:bCs/>
                <w:iCs/>
                <w:sz w:val="24"/>
                <w:szCs w:val="24"/>
                <w:lang w:val="sv-SE" w:eastAsia="lv-LV"/>
              </w:rPr>
            </w:pPr>
            <w:r w:rsidRPr="003A01DF">
              <w:rPr>
                <w:rFonts w:ascii="Times New Roman" w:eastAsia="Times New Roman" w:hAnsi="Times New Roman" w:cs="Times New Roman"/>
                <w:b/>
                <w:bCs/>
                <w:iCs/>
                <w:sz w:val="24"/>
                <w:szCs w:val="24"/>
                <w:lang w:val="sv-SE" w:eastAsia="lv-LV"/>
              </w:rPr>
              <w:t>I. Tiesību akta projekta izstrādes nepieciešamība</w:t>
            </w:r>
          </w:p>
        </w:tc>
      </w:tr>
      <w:tr w:rsidR="0001268A" w:rsidRPr="003A01DF" w14:paraId="57056E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54103D"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FFB618"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5F9B0EF" w14:textId="44F37542" w:rsidR="0041431F" w:rsidRPr="003A01DF" w:rsidRDefault="00E255C6" w:rsidP="00C42317">
            <w:pPr>
              <w:spacing w:after="0" w:line="240" w:lineRule="auto"/>
              <w:ind w:firstLine="395"/>
              <w:jc w:val="both"/>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xml:space="preserve">Aizsardzības ministrijas </w:t>
            </w:r>
            <w:r w:rsidR="000A7D4F" w:rsidRPr="003A01DF">
              <w:rPr>
                <w:rFonts w:ascii="Times New Roman" w:eastAsia="Times New Roman" w:hAnsi="Times New Roman" w:cs="Times New Roman"/>
                <w:iCs/>
                <w:sz w:val="24"/>
                <w:szCs w:val="24"/>
                <w:lang w:eastAsia="lv-LV"/>
              </w:rPr>
              <w:t xml:space="preserve">iniciatīva. Aizsardzības ministrijas </w:t>
            </w:r>
            <w:r w:rsidRPr="003A01DF">
              <w:rPr>
                <w:rFonts w:ascii="Times New Roman" w:eastAsia="Times New Roman" w:hAnsi="Times New Roman" w:cs="Times New Roman"/>
                <w:iCs/>
                <w:sz w:val="24"/>
                <w:szCs w:val="24"/>
                <w:lang w:eastAsia="lv-LV"/>
              </w:rPr>
              <w:t xml:space="preserve">Militāri tehniskās attīstības padomē </w:t>
            </w:r>
            <w:r w:rsidR="00123347" w:rsidRPr="003A01DF">
              <w:rPr>
                <w:rFonts w:ascii="Times New Roman" w:eastAsia="Times New Roman" w:hAnsi="Times New Roman" w:cs="Times New Roman"/>
                <w:iCs/>
                <w:sz w:val="24"/>
                <w:szCs w:val="24"/>
                <w:lang w:eastAsia="lv-LV"/>
              </w:rPr>
              <w:t xml:space="preserve">2017. gada </w:t>
            </w:r>
            <w:r w:rsidR="00610828" w:rsidRPr="003A01DF">
              <w:rPr>
                <w:rFonts w:ascii="Times New Roman" w:eastAsia="Times New Roman" w:hAnsi="Times New Roman" w:cs="Times New Roman"/>
                <w:iCs/>
                <w:sz w:val="24"/>
                <w:szCs w:val="24"/>
                <w:lang w:eastAsia="lv-LV"/>
              </w:rPr>
              <w:t xml:space="preserve">20. </w:t>
            </w:r>
            <w:r w:rsidR="00C42317" w:rsidRPr="003A01DF">
              <w:rPr>
                <w:rFonts w:ascii="Times New Roman" w:eastAsia="Times New Roman" w:hAnsi="Times New Roman" w:cs="Times New Roman"/>
                <w:iCs/>
                <w:sz w:val="24"/>
                <w:szCs w:val="24"/>
                <w:lang w:eastAsia="lv-LV"/>
              </w:rPr>
              <w:t>oktobrī</w:t>
            </w:r>
            <w:r w:rsidR="00123347" w:rsidRPr="003A01DF">
              <w:rPr>
                <w:rFonts w:ascii="Times New Roman" w:eastAsia="Times New Roman" w:hAnsi="Times New Roman" w:cs="Times New Roman"/>
                <w:iCs/>
                <w:sz w:val="24"/>
                <w:szCs w:val="24"/>
                <w:lang w:eastAsia="lv-LV"/>
              </w:rPr>
              <w:t xml:space="preserve"> </w:t>
            </w:r>
            <w:r w:rsidR="00E73D7A" w:rsidRPr="003A01DF">
              <w:rPr>
                <w:rFonts w:ascii="Times New Roman" w:eastAsia="Times New Roman" w:hAnsi="Times New Roman" w:cs="Times New Roman"/>
                <w:iCs/>
                <w:sz w:val="24"/>
                <w:szCs w:val="24"/>
                <w:lang w:eastAsia="lv-LV"/>
              </w:rPr>
              <w:t>pieņemt</w:t>
            </w:r>
            <w:r w:rsidRPr="003A01DF">
              <w:rPr>
                <w:rFonts w:ascii="Times New Roman" w:eastAsia="Times New Roman" w:hAnsi="Times New Roman" w:cs="Times New Roman"/>
                <w:iCs/>
                <w:sz w:val="24"/>
                <w:szCs w:val="24"/>
                <w:lang w:eastAsia="lv-LV"/>
              </w:rPr>
              <w:t xml:space="preserve">s lēmums izmantot </w:t>
            </w:r>
            <w:r w:rsidR="009E4A8B" w:rsidRPr="003A01DF">
              <w:rPr>
                <w:rFonts w:ascii="Times New Roman" w:hAnsi="Times New Roman"/>
                <w:bCs/>
                <w:sz w:val="24"/>
                <w:szCs w:val="24"/>
              </w:rPr>
              <w:t>Direktīvas</w:t>
            </w:r>
            <w:r w:rsidRPr="003A01DF">
              <w:rPr>
                <w:rFonts w:ascii="Times New Roman" w:hAnsi="Times New Roman"/>
                <w:bCs/>
                <w:sz w:val="24"/>
                <w:szCs w:val="24"/>
              </w:rPr>
              <w:t xml:space="preserve"> </w:t>
            </w:r>
            <w:r w:rsidRPr="003A01DF">
              <w:rPr>
                <w:rFonts w:ascii="Times New Roman" w:hAnsi="Times New Roman" w:cs="Times New Roman"/>
                <w:bCs/>
                <w:sz w:val="24"/>
                <w:szCs w:val="24"/>
              </w:rPr>
              <w:t xml:space="preserve">5. panta </w:t>
            </w:r>
            <w:r w:rsidR="009E4A8B" w:rsidRPr="003A01DF">
              <w:rPr>
                <w:rFonts w:ascii="Times New Roman" w:hAnsi="Times New Roman" w:cs="Times New Roman"/>
                <w:bCs/>
                <w:sz w:val="24"/>
                <w:szCs w:val="24"/>
              </w:rPr>
              <w:t>2.punktā</w:t>
            </w:r>
            <w:r w:rsidRPr="003A01DF">
              <w:rPr>
                <w:rFonts w:ascii="Times New Roman" w:hAnsi="Times New Roman" w:cs="Times New Roman"/>
                <w:bCs/>
                <w:sz w:val="24"/>
                <w:szCs w:val="24"/>
              </w:rPr>
              <w:t xml:space="preserve"> noteikto rīcības brīvību.</w:t>
            </w:r>
          </w:p>
        </w:tc>
      </w:tr>
      <w:tr w:rsidR="0001268A" w:rsidRPr="003A01DF" w14:paraId="2031BB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76C938"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6121A6D" w14:textId="4D113F25" w:rsidR="006B5160"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B8C5154" w14:textId="77777777" w:rsidR="006B5160" w:rsidRPr="003A01DF" w:rsidRDefault="006B5160" w:rsidP="006B5160">
            <w:pPr>
              <w:rPr>
                <w:rFonts w:ascii="Times New Roman" w:eastAsia="Times New Roman" w:hAnsi="Times New Roman" w:cs="Times New Roman"/>
                <w:sz w:val="24"/>
                <w:szCs w:val="24"/>
                <w:lang w:eastAsia="lv-LV"/>
              </w:rPr>
            </w:pPr>
          </w:p>
          <w:p w14:paraId="0144457E" w14:textId="77777777" w:rsidR="006B5160" w:rsidRPr="003A01DF" w:rsidRDefault="006B5160" w:rsidP="006B5160">
            <w:pPr>
              <w:rPr>
                <w:rFonts w:ascii="Times New Roman" w:eastAsia="Times New Roman" w:hAnsi="Times New Roman" w:cs="Times New Roman"/>
                <w:sz w:val="24"/>
                <w:szCs w:val="24"/>
                <w:lang w:eastAsia="lv-LV"/>
              </w:rPr>
            </w:pPr>
          </w:p>
          <w:p w14:paraId="08B6DA37" w14:textId="77777777" w:rsidR="006B5160" w:rsidRPr="003A01DF" w:rsidRDefault="006B5160" w:rsidP="006B5160">
            <w:pPr>
              <w:rPr>
                <w:rFonts w:ascii="Times New Roman" w:eastAsia="Times New Roman" w:hAnsi="Times New Roman" w:cs="Times New Roman"/>
                <w:sz w:val="24"/>
                <w:szCs w:val="24"/>
                <w:lang w:eastAsia="lv-LV"/>
              </w:rPr>
            </w:pPr>
          </w:p>
          <w:p w14:paraId="0C8B4404" w14:textId="77777777" w:rsidR="006B5160" w:rsidRPr="003A01DF" w:rsidRDefault="006B5160" w:rsidP="006B5160">
            <w:pPr>
              <w:rPr>
                <w:rFonts w:ascii="Times New Roman" w:eastAsia="Times New Roman" w:hAnsi="Times New Roman" w:cs="Times New Roman"/>
                <w:sz w:val="24"/>
                <w:szCs w:val="24"/>
                <w:lang w:eastAsia="lv-LV"/>
              </w:rPr>
            </w:pPr>
          </w:p>
          <w:p w14:paraId="505D8AAC" w14:textId="77777777" w:rsidR="006B5160" w:rsidRPr="003A01DF" w:rsidRDefault="006B5160" w:rsidP="006B5160">
            <w:pPr>
              <w:rPr>
                <w:rFonts w:ascii="Times New Roman" w:eastAsia="Times New Roman" w:hAnsi="Times New Roman" w:cs="Times New Roman"/>
                <w:sz w:val="24"/>
                <w:szCs w:val="24"/>
                <w:lang w:eastAsia="lv-LV"/>
              </w:rPr>
            </w:pPr>
          </w:p>
          <w:p w14:paraId="55007B9F" w14:textId="77777777" w:rsidR="006B5160" w:rsidRPr="003A01DF" w:rsidRDefault="006B5160" w:rsidP="006B5160">
            <w:pPr>
              <w:rPr>
                <w:rFonts w:ascii="Times New Roman" w:eastAsia="Times New Roman" w:hAnsi="Times New Roman" w:cs="Times New Roman"/>
                <w:sz w:val="24"/>
                <w:szCs w:val="24"/>
                <w:lang w:eastAsia="lv-LV"/>
              </w:rPr>
            </w:pPr>
          </w:p>
          <w:p w14:paraId="47B5E1B6" w14:textId="77777777" w:rsidR="006B5160" w:rsidRPr="003A01DF" w:rsidRDefault="006B5160" w:rsidP="006B5160">
            <w:pPr>
              <w:rPr>
                <w:rFonts w:ascii="Times New Roman" w:eastAsia="Times New Roman" w:hAnsi="Times New Roman" w:cs="Times New Roman"/>
                <w:sz w:val="24"/>
                <w:szCs w:val="24"/>
                <w:lang w:eastAsia="lv-LV"/>
              </w:rPr>
            </w:pPr>
          </w:p>
          <w:p w14:paraId="5FFEE38C" w14:textId="77777777" w:rsidR="006B5160" w:rsidRPr="003A01DF" w:rsidRDefault="006B5160" w:rsidP="006B5160">
            <w:pPr>
              <w:rPr>
                <w:rFonts w:ascii="Times New Roman" w:eastAsia="Times New Roman" w:hAnsi="Times New Roman" w:cs="Times New Roman"/>
                <w:sz w:val="24"/>
                <w:szCs w:val="24"/>
                <w:lang w:eastAsia="lv-LV"/>
              </w:rPr>
            </w:pPr>
          </w:p>
          <w:p w14:paraId="6797ED11" w14:textId="77777777" w:rsidR="006B5160" w:rsidRPr="003A01DF" w:rsidRDefault="006B5160" w:rsidP="006B5160">
            <w:pPr>
              <w:rPr>
                <w:rFonts w:ascii="Times New Roman" w:eastAsia="Times New Roman" w:hAnsi="Times New Roman" w:cs="Times New Roman"/>
                <w:sz w:val="24"/>
                <w:szCs w:val="24"/>
                <w:lang w:eastAsia="lv-LV"/>
              </w:rPr>
            </w:pPr>
          </w:p>
          <w:p w14:paraId="0D226195" w14:textId="77777777" w:rsidR="006B5160" w:rsidRPr="003A01DF" w:rsidRDefault="006B5160" w:rsidP="006B5160">
            <w:pPr>
              <w:rPr>
                <w:rFonts w:ascii="Times New Roman" w:eastAsia="Times New Roman" w:hAnsi="Times New Roman" w:cs="Times New Roman"/>
                <w:sz w:val="24"/>
                <w:szCs w:val="24"/>
                <w:lang w:eastAsia="lv-LV"/>
              </w:rPr>
            </w:pPr>
          </w:p>
          <w:p w14:paraId="3DC73A59" w14:textId="77777777" w:rsidR="006B5160" w:rsidRPr="003A01DF" w:rsidRDefault="006B5160" w:rsidP="006B5160">
            <w:pPr>
              <w:rPr>
                <w:rFonts w:ascii="Times New Roman" w:eastAsia="Times New Roman" w:hAnsi="Times New Roman" w:cs="Times New Roman"/>
                <w:sz w:val="24"/>
                <w:szCs w:val="24"/>
                <w:lang w:eastAsia="lv-LV"/>
              </w:rPr>
            </w:pPr>
          </w:p>
          <w:p w14:paraId="3268B581" w14:textId="77777777" w:rsidR="006B5160" w:rsidRPr="003A01DF" w:rsidRDefault="006B5160" w:rsidP="006B5160">
            <w:pPr>
              <w:rPr>
                <w:rFonts w:ascii="Times New Roman" w:eastAsia="Times New Roman" w:hAnsi="Times New Roman" w:cs="Times New Roman"/>
                <w:sz w:val="24"/>
                <w:szCs w:val="24"/>
                <w:lang w:eastAsia="lv-LV"/>
              </w:rPr>
            </w:pPr>
          </w:p>
          <w:p w14:paraId="29B049B5" w14:textId="1F1637D5" w:rsidR="00E5323B" w:rsidRPr="003A01DF" w:rsidRDefault="00E5323B" w:rsidP="006B5160">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6"/>
            </w:tblGrid>
            <w:tr w:rsidR="0001268A" w:rsidRPr="003A01DF" w14:paraId="6261332D" w14:textId="77777777" w:rsidTr="007B3532">
              <w:trPr>
                <w:tblCellSpacing w:w="15" w:type="dxa"/>
              </w:trPr>
              <w:tc>
                <w:tcPr>
                  <w:tcW w:w="3000" w:type="pct"/>
                  <w:tcBorders>
                    <w:top w:val="outset" w:sz="6" w:space="0" w:color="auto"/>
                    <w:left w:val="outset" w:sz="6" w:space="0" w:color="auto"/>
                    <w:bottom w:val="outset" w:sz="6" w:space="0" w:color="auto"/>
                    <w:right w:val="outset" w:sz="6" w:space="0" w:color="auto"/>
                  </w:tcBorders>
                  <w:hideMark/>
                </w:tcPr>
                <w:p w14:paraId="35B3C636" w14:textId="77777777" w:rsidR="008F59EE" w:rsidRPr="003A01DF" w:rsidRDefault="008F59EE" w:rsidP="008F59EE">
                  <w:pPr>
                    <w:spacing w:after="0" w:line="240" w:lineRule="auto"/>
                    <w:ind w:firstLine="537"/>
                    <w:jc w:val="both"/>
                    <w:rPr>
                      <w:rFonts w:ascii="Times New Roman" w:hAnsi="Times New Roman" w:cs="Times New Roman"/>
                      <w:bCs/>
                      <w:sz w:val="24"/>
                      <w:szCs w:val="24"/>
                    </w:rPr>
                  </w:pPr>
                  <w:r w:rsidRPr="003A01DF">
                    <w:rPr>
                      <w:rFonts w:ascii="Times New Roman" w:hAnsi="Times New Roman" w:cs="Times New Roman"/>
                      <w:bCs/>
                      <w:sz w:val="24"/>
                      <w:szCs w:val="24"/>
                    </w:rPr>
                    <w:t>Ar 2015. gada 10. decembra grozījumiem Ceļu satiksmes likumā speciālā militārā tehnika ir izdalīta kā atsevišķs transportlīdzekļu veids. Ceļu satiksmes likuma 1. panta 19.</w:t>
                  </w:r>
                  <w:r w:rsidRPr="003A01DF">
                    <w:rPr>
                      <w:rFonts w:ascii="Times New Roman" w:hAnsi="Times New Roman" w:cs="Times New Roman"/>
                      <w:bCs/>
                      <w:sz w:val="24"/>
                      <w:szCs w:val="24"/>
                      <w:vertAlign w:val="superscript"/>
                    </w:rPr>
                    <w:t>3</w:t>
                  </w:r>
                  <w:r w:rsidRPr="003A01DF">
                    <w:rPr>
                      <w:rFonts w:ascii="Times New Roman" w:hAnsi="Times New Roman" w:cs="Times New Roman"/>
                      <w:bCs/>
                      <w:sz w:val="24"/>
                      <w:szCs w:val="24"/>
                    </w:rPr>
                    <w:t xml:space="preserve"> punktā noteikts, ka speciālā militārā tehnika ir bruņutehnika, inženiertehnika un cita speciāla pašgājēja tehnika ar iekšdedzes motoru, ja tā nav būvēta uz automobiļa bāzes un pēc konstrukcijas ir paredzēta izmantošanai mācību kaujās un kaujas apstākļos. </w:t>
                  </w:r>
                </w:p>
                <w:p w14:paraId="4CC7CA40" w14:textId="77777777" w:rsidR="008F59EE" w:rsidRPr="003A01DF" w:rsidRDefault="008F59EE" w:rsidP="008F59EE">
                  <w:pPr>
                    <w:spacing w:after="0" w:line="240" w:lineRule="auto"/>
                    <w:ind w:firstLine="537"/>
                    <w:jc w:val="both"/>
                    <w:rPr>
                      <w:rFonts w:ascii="Times New Roman" w:hAnsi="Times New Roman" w:cs="Times New Roman"/>
                      <w:bCs/>
                      <w:sz w:val="24"/>
                      <w:szCs w:val="24"/>
                    </w:rPr>
                  </w:pPr>
                  <w:r w:rsidRPr="003A01DF">
                    <w:rPr>
                      <w:rFonts w:ascii="Times New Roman" w:hAnsi="Times New Roman" w:cs="Times New Roman"/>
                      <w:bCs/>
                      <w:sz w:val="24"/>
                      <w:szCs w:val="24"/>
                    </w:rPr>
                    <w:t>Nacionālie bruņotie spēki ir kompetentā institūcija, kas nosaka, vai konkrētais transportlīdzeklis ir speciālā militārā tehnika. Pamatojoties uz Ceļu satiksmes likuma 10. panta pirmās daļas 2.</w:t>
                  </w:r>
                  <w:r w:rsidRPr="003A01DF">
                    <w:rPr>
                      <w:rFonts w:ascii="Times New Roman" w:hAnsi="Times New Roman" w:cs="Times New Roman"/>
                      <w:bCs/>
                      <w:sz w:val="24"/>
                      <w:szCs w:val="24"/>
                      <w:vertAlign w:val="superscript"/>
                    </w:rPr>
                    <w:t>1</w:t>
                  </w:r>
                  <w:r w:rsidRPr="003A01DF">
                    <w:rPr>
                      <w:rFonts w:ascii="Times New Roman" w:hAnsi="Times New Roman" w:cs="Times New Roman"/>
                      <w:bCs/>
                      <w:sz w:val="24"/>
                      <w:szCs w:val="24"/>
                    </w:rPr>
                    <w:t xml:space="preserve">  punktu un 16. panta ceturto daļu, Nacionālie bruņotie spēki reģistrē speciālo militāro tehniku un veic tās tehnisko kontroli.</w:t>
                  </w:r>
                </w:p>
                <w:p w14:paraId="27A6E1C7" w14:textId="3B569407" w:rsidR="008F59EE" w:rsidRPr="003A01DF" w:rsidRDefault="008F59EE" w:rsidP="008F59EE">
                  <w:pPr>
                    <w:spacing w:after="0" w:line="240" w:lineRule="auto"/>
                    <w:ind w:firstLine="411"/>
                    <w:jc w:val="both"/>
                    <w:rPr>
                      <w:rFonts w:ascii="Times New Roman" w:hAnsi="Times New Roman" w:cs="Times New Roman"/>
                      <w:bCs/>
                      <w:sz w:val="24"/>
                      <w:szCs w:val="24"/>
                    </w:rPr>
                  </w:pPr>
                  <w:r w:rsidRPr="003A01DF">
                    <w:rPr>
                      <w:rFonts w:ascii="Times New Roman" w:hAnsi="Times New Roman" w:cs="Times New Roman"/>
                      <w:bCs/>
                      <w:sz w:val="24"/>
                      <w:szCs w:val="24"/>
                    </w:rPr>
                    <w:t xml:space="preserve">Kaut arī </w:t>
                  </w:r>
                  <w:r w:rsidRPr="003A01DF">
                    <w:rPr>
                      <w:rFonts w:ascii="Times New Roman" w:eastAsia="Times New Roman" w:hAnsi="Times New Roman" w:cs="Times New Roman"/>
                      <w:bCs/>
                      <w:sz w:val="24"/>
                      <w:szCs w:val="24"/>
                      <w:lang w:eastAsia="lv-LV"/>
                    </w:rPr>
                    <w:t xml:space="preserve">Sauszemes transportlīdzekļu īpašnieku civiltiesiskās atbildības </w:t>
                  </w:r>
                  <w:r w:rsidR="00DB7F05" w:rsidRPr="003A01DF">
                    <w:rPr>
                      <w:rFonts w:ascii="Times New Roman" w:eastAsia="Times New Roman" w:hAnsi="Times New Roman" w:cs="Times New Roman"/>
                      <w:bCs/>
                      <w:sz w:val="24"/>
                      <w:szCs w:val="24"/>
                      <w:lang w:eastAsia="lv-LV"/>
                    </w:rPr>
                    <w:t xml:space="preserve">obligātās </w:t>
                  </w:r>
                  <w:r w:rsidRPr="003A01DF">
                    <w:rPr>
                      <w:rFonts w:ascii="Times New Roman" w:eastAsia="Times New Roman" w:hAnsi="Times New Roman" w:cs="Times New Roman"/>
                      <w:bCs/>
                      <w:sz w:val="24"/>
                      <w:szCs w:val="24"/>
                      <w:lang w:eastAsia="lv-LV"/>
                    </w:rPr>
                    <w:t>apdrošināšanas likums (turpmāk - Likums) nenosaka, ka speciālajai militārajai tehnikai ir jāveic tr</w:t>
                  </w:r>
                  <w:r w:rsidRPr="003A01DF">
                    <w:rPr>
                      <w:rFonts w:ascii="Times New Roman" w:hAnsi="Times New Roman" w:cs="Times New Roman"/>
                      <w:sz w:val="24"/>
                      <w:szCs w:val="24"/>
                    </w:rPr>
                    <w:t xml:space="preserve">ansportlīdzekļu īpašnieku civiltiesiskās atbildības obligātā apdrošināšana (turpmāk </w:t>
                  </w:r>
                  <w:r w:rsidR="007C7FCD" w:rsidRPr="003A01DF">
                    <w:rPr>
                      <w:rFonts w:ascii="Times New Roman" w:hAnsi="Times New Roman" w:cs="Times New Roman"/>
                      <w:sz w:val="24"/>
                      <w:szCs w:val="24"/>
                    </w:rPr>
                    <w:t>–</w:t>
                  </w:r>
                  <w:r w:rsidRPr="003A01DF">
                    <w:rPr>
                      <w:rFonts w:ascii="Times New Roman" w:hAnsi="Times New Roman" w:cs="Times New Roman"/>
                      <w:sz w:val="24"/>
                      <w:szCs w:val="24"/>
                    </w:rPr>
                    <w:t xml:space="preserve"> apdrošināšana</w:t>
                  </w:r>
                  <w:r w:rsidR="007C7FCD" w:rsidRPr="003A01DF">
                    <w:rPr>
                      <w:rFonts w:ascii="Times New Roman" w:hAnsi="Times New Roman" w:cs="Times New Roman"/>
                      <w:sz w:val="24"/>
                      <w:szCs w:val="24"/>
                    </w:rPr>
                    <w:t>, arī OCTA</w:t>
                  </w:r>
                  <w:r w:rsidRPr="003A01DF">
                    <w:rPr>
                      <w:rFonts w:ascii="Times New Roman" w:hAnsi="Times New Roman" w:cs="Times New Roman"/>
                      <w:sz w:val="24"/>
                      <w:szCs w:val="24"/>
                    </w:rPr>
                    <w:t>)</w:t>
                  </w:r>
                  <w:r w:rsidRPr="003A01DF">
                    <w:rPr>
                      <w:rFonts w:ascii="Times New Roman" w:eastAsia="Times New Roman" w:hAnsi="Times New Roman" w:cs="Times New Roman"/>
                      <w:bCs/>
                      <w:sz w:val="24"/>
                      <w:szCs w:val="24"/>
                      <w:lang w:eastAsia="lv-LV"/>
                    </w:rPr>
                    <w:t>, jo speciālā militārā tehnika neatbilst Likuma 1. panta 12. punktā noteiktajai transportlīdzekļa definīcijai, Nacionālie bruņotie spēki veic speciālās militārās tehnikas apdrošināšanu</w:t>
                  </w:r>
                  <w:r w:rsidRPr="003A01DF">
                    <w:rPr>
                      <w:rFonts w:ascii="Times New Roman" w:hAnsi="Times New Roman" w:cs="Times New Roman"/>
                      <w:bCs/>
                      <w:sz w:val="24"/>
                      <w:szCs w:val="24"/>
                    </w:rPr>
                    <w:t>. Šādu pienākumu uzliek Direktīvas 3. pants</w:t>
                  </w:r>
                  <w:r w:rsidR="00FC004A" w:rsidRPr="003A01DF">
                    <w:rPr>
                      <w:rFonts w:ascii="Times New Roman" w:hAnsi="Times New Roman" w:cs="Times New Roman"/>
                      <w:bCs/>
                      <w:sz w:val="24"/>
                      <w:szCs w:val="24"/>
                    </w:rPr>
                    <w:t>,</w:t>
                  </w:r>
                  <w:r w:rsidRPr="003A01DF">
                    <w:rPr>
                      <w:rFonts w:ascii="Times New Roman" w:hAnsi="Times New Roman" w:cs="Times New Roman"/>
                      <w:bCs/>
                      <w:sz w:val="24"/>
                      <w:szCs w:val="24"/>
                    </w:rPr>
                    <w:t xml:space="preserve"> nosakot, ka katrai dalībvalstij, ievērojot 5. pantu, jāveic visi vajadzīgie </w:t>
                  </w:r>
                  <w:r w:rsidRPr="003A01DF">
                    <w:rPr>
                      <w:rFonts w:ascii="Times New Roman" w:hAnsi="Times New Roman" w:cs="Times New Roman"/>
                      <w:bCs/>
                      <w:sz w:val="24"/>
                      <w:szCs w:val="24"/>
                    </w:rPr>
                    <w:lastRenderedPageBreak/>
                    <w:t xml:space="preserve">pasākumi, lai nodrošinātu transportlīdzekļu, kas parasti atrodas tās teritorijā, </w:t>
                  </w:r>
                  <w:r w:rsidRPr="003A01DF">
                    <w:rPr>
                      <w:rFonts w:ascii="Times New Roman" w:eastAsia="Times New Roman" w:hAnsi="Times New Roman" w:cs="Times New Roman"/>
                      <w:bCs/>
                      <w:sz w:val="24"/>
                      <w:szCs w:val="24"/>
                      <w:lang w:eastAsia="lv-LV"/>
                    </w:rPr>
                    <w:t>apdrošināšan</w:t>
                  </w:r>
                  <w:r w:rsidR="00DB7F05" w:rsidRPr="003A01DF">
                    <w:rPr>
                      <w:rFonts w:ascii="Times New Roman" w:eastAsia="Times New Roman" w:hAnsi="Times New Roman" w:cs="Times New Roman"/>
                      <w:bCs/>
                      <w:sz w:val="24"/>
                      <w:szCs w:val="24"/>
                      <w:lang w:eastAsia="lv-LV"/>
                    </w:rPr>
                    <w:t>u</w:t>
                  </w:r>
                  <w:r w:rsidRPr="003A01DF">
                    <w:rPr>
                      <w:rFonts w:ascii="Times New Roman" w:hAnsi="Times New Roman" w:cs="Times New Roman"/>
                      <w:bCs/>
                      <w:sz w:val="24"/>
                      <w:szCs w:val="24"/>
                    </w:rPr>
                    <w:t xml:space="preserve">. </w:t>
                  </w:r>
                </w:p>
                <w:p w14:paraId="483051AE" w14:textId="45F3C336" w:rsidR="008F59EE" w:rsidRPr="003A01DF" w:rsidRDefault="008F59EE" w:rsidP="008F59EE">
                  <w:pPr>
                    <w:spacing w:after="0" w:line="240" w:lineRule="auto"/>
                    <w:ind w:firstLine="411"/>
                    <w:jc w:val="both"/>
                    <w:rPr>
                      <w:rFonts w:ascii="Times New Roman" w:hAnsi="Times New Roman" w:cs="Times New Roman"/>
                      <w:bCs/>
                      <w:sz w:val="24"/>
                      <w:szCs w:val="24"/>
                    </w:rPr>
                  </w:pPr>
                  <w:r w:rsidRPr="003A01DF">
                    <w:rPr>
                      <w:rFonts w:ascii="Times New Roman" w:hAnsi="Times New Roman" w:cs="Times New Roman"/>
                      <w:bCs/>
                      <w:sz w:val="24"/>
                      <w:szCs w:val="24"/>
                    </w:rPr>
                    <w:t>Aizsardzības ministrija ir vērsusies Eiropas Komisijā ar jautājumu</w:t>
                  </w:r>
                  <w:r w:rsidR="00DB7F05" w:rsidRPr="003A01DF">
                    <w:rPr>
                      <w:rFonts w:ascii="Times New Roman" w:hAnsi="Times New Roman" w:cs="Times New Roman"/>
                      <w:bCs/>
                      <w:sz w:val="24"/>
                      <w:szCs w:val="24"/>
                    </w:rPr>
                    <w:t>,</w:t>
                  </w:r>
                  <w:r w:rsidRPr="003A01DF">
                    <w:rPr>
                      <w:rFonts w:ascii="Times New Roman" w:hAnsi="Times New Roman" w:cs="Times New Roman"/>
                      <w:bCs/>
                      <w:sz w:val="24"/>
                      <w:szCs w:val="24"/>
                    </w:rPr>
                    <w:t xml:space="preserve"> vai Latvijas speciālā militārā tehnika ir uzskatāma par transportlīdzekli Direktīvas 1. panta 1. punkta izpratnē. Eiropas Komisija 2018. gada 14. jūnija vēstulē DG FISMA/D4/ML/1h/ARES (2018) 3516420 norādīja, ka uzskata speciālo militāro tehniku par transportlīdzekli Direktīvas 1. panta 1. punktā izpratnē. Proti, Direktīvas 1. panta 1. punktā ir noteikts, ka transportlīdzeklis ir jebkurš mehānisks transportlīdzeklis, kas paredzēts braukšanai pa sauszemi un ko dzen uz priekšu mehāniskā enerģija, un kas nav sliežu transports, jebkura piekabe, neatkarīgi no tā, vai tā ir piekabināta.</w:t>
                  </w:r>
                </w:p>
                <w:p w14:paraId="00BA5782" w14:textId="3394BDD1" w:rsidR="008F59EE" w:rsidRPr="003A01DF" w:rsidRDefault="008F59EE" w:rsidP="008F59EE">
                  <w:pPr>
                    <w:spacing w:after="0" w:line="240" w:lineRule="auto"/>
                    <w:ind w:firstLine="411"/>
                    <w:jc w:val="both"/>
                    <w:rPr>
                      <w:rFonts w:ascii="Times New Roman" w:hAnsi="Times New Roman" w:cs="Times New Roman"/>
                      <w:bCs/>
                      <w:sz w:val="24"/>
                      <w:szCs w:val="24"/>
                    </w:rPr>
                  </w:pPr>
                  <w:r w:rsidRPr="003A01DF">
                    <w:rPr>
                      <w:rFonts w:ascii="Times New Roman" w:hAnsi="Times New Roman" w:cs="Times New Roman"/>
                      <w:bCs/>
                      <w:sz w:val="24"/>
                      <w:szCs w:val="24"/>
                    </w:rPr>
                    <w:t xml:space="preserve">Tādējādi atbilstoši  Direktīvas 3. un 5. pantā noteiktajam, speciālajai militārajai tehnikai ir jāveic apdrošināšana. </w:t>
                  </w:r>
                </w:p>
                <w:p w14:paraId="07BBBACC" w14:textId="5AE09543" w:rsidR="008F59EE" w:rsidRPr="003A01DF" w:rsidRDefault="008F59EE" w:rsidP="008F59EE">
                  <w:pPr>
                    <w:spacing w:after="0" w:line="240" w:lineRule="auto"/>
                    <w:ind w:firstLine="411"/>
                    <w:jc w:val="both"/>
                    <w:rPr>
                      <w:rFonts w:ascii="Times New Roman" w:hAnsi="Times New Roman" w:cs="Times New Roman"/>
                      <w:bCs/>
                      <w:sz w:val="24"/>
                      <w:szCs w:val="24"/>
                    </w:rPr>
                  </w:pPr>
                  <w:r w:rsidRPr="003A01DF">
                    <w:rPr>
                      <w:rFonts w:ascii="Times New Roman" w:hAnsi="Times New Roman" w:cs="Times New Roman"/>
                      <w:bCs/>
                      <w:sz w:val="24"/>
                      <w:szCs w:val="24"/>
                    </w:rPr>
                    <w:t xml:space="preserve">Līdz 2018. gadam bija spēkā Nacionālo bruņoto spēku un apdrošināšanas sabiedrības līgums par apdrošināšanu speciālajai militārajai tehnikai. Apdrošināšanas polise vienai speciālās militārās tehnikas kā speciālās traktortehnikas vienībai izmaksāja aptuveni piecus </w:t>
                  </w:r>
                  <w:proofErr w:type="spellStart"/>
                  <w:r w:rsidRPr="003A01DF">
                    <w:rPr>
                      <w:rFonts w:ascii="Times New Roman" w:hAnsi="Times New Roman" w:cs="Times New Roman"/>
                      <w:bCs/>
                      <w:i/>
                      <w:sz w:val="24"/>
                      <w:szCs w:val="24"/>
                    </w:rPr>
                    <w:t>euro</w:t>
                  </w:r>
                  <w:proofErr w:type="spellEnd"/>
                  <w:r w:rsidRPr="003A01DF">
                    <w:rPr>
                      <w:rFonts w:ascii="Times New Roman" w:hAnsi="Times New Roman" w:cs="Times New Roman"/>
                      <w:bCs/>
                      <w:sz w:val="24"/>
                      <w:szCs w:val="24"/>
                    </w:rPr>
                    <w:t xml:space="preserve"> gadā. </w:t>
                  </w:r>
                </w:p>
                <w:p w14:paraId="47F9C9CD" w14:textId="0379B733" w:rsidR="008F59EE" w:rsidRPr="003A01DF" w:rsidRDefault="008F59EE" w:rsidP="008F59EE">
                  <w:pPr>
                    <w:spacing w:after="0" w:line="240" w:lineRule="auto"/>
                    <w:ind w:firstLine="709"/>
                    <w:jc w:val="both"/>
                    <w:rPr>
                      <w:rFonts w:ascii="Times New Roman" w:hAnsi="Times New Roman" w:cs="Times New Roman"/>
                      <w:bCs/>
                      <w:sz w:val="24"/>
                      <w:szCs w:val="24"/>
                    </w:rPr>
                  </w:pPr>
                  <w:r w:rsidRPr="003A01DF">
                    <w:rPr>
                      <w:rFonts w:ascii="Times New Roman" w:hAnsi="Times New Roman" w:cs="Times New Roman"/>
                      <w:bCs/>
                      <w:sz w:val="24"/>
                      <w:szCs w:val="24"/>
                    </w:rPr>
                    <w:t xml:space="preserve">Rīkojot iepirkumu par apdrošināšanas iegādi no 2018. gada, tikai viena apdrošināšanas sabiedrība piekrita veikt apdrošināšanu speciālajai militārajai tehnikai. Ņemot vērā apdrošināšanas polišu sadārdzinājumu, konkurences trūkumu un to, ka tiek apdrošināta speciālā militārā tehnika, nevis speciālā traktortehnika, apdrošināšanas polises  cena pieauga </w:t>
                  </w:r>
                  <w:r w:rsidR="00E73D7A" w:rsidRPr="003A01DF">
                    <w:rPr>
                      <w:rFonts w:ascii="Times New Roman" w:hAnsi="Times New Roman" w:cs="Times New Roman"/>
                      <w:bCs/>
                      <w:sz w:val="24"/>
                      <w:szCs w:val="24"/>
                    </w:rPr>
                    <w:t xml:space="preserve">vidēji </w:t>
                  </w:r>
                  <w:r w:rsidRPr="003A01DF">
                    <w:rPr>
                      <w:rFonts w:ascii="Times New Roman" w:hAnsi="Times New Roman" w:cs="Times New Roman"/>
                      <w:bCs/>
                      <w:sz w:val="24"/>
                      <w:szCs w:val="24"/>
                    </w:rPr>
                    <w:t>simt</w:t>
                  </w:r>
                  <w:r w:rsidR="00E73D7A" w:rsidRPr="003A01DF">
                    <w:rPr>
                      <w:rFonts w:ascii="Times New Roman" w:hAnsi="Times New Roman" w:cs="Times New Roman"/>
                      <w:bCs/>
                      <w:sz w:val="24"/>
                      <w:szCs w:val="24"/>
                    </w:rPr>
                    <w:t>s reizes</w:t>
                  </w:r>
                  <w:r w:rsidRPr="003A01DF">
                    <w:rPr>
                      <w:rFonts w:ascii="Times New Roman" w:hAnsi="Times New Roman" w:cs="Times New Roman"/>
                      <w:bCs/>
                      <w:sz w:val="24"/>
                      <w:szCs w:val="24"/>
                    </w:rPr>
                    <w:t>.</w:t>
                  </w:r>
                </w:p>
                <w:p w14:paraId="54BF8A76" w14:textId="0701BDB3" w:rsidR="008F59EE" w:rsidRPr="003A01DF" w:rsidRDefault="00096D80" w:rsidP="008F59EE">
                  <w:pPr>
                    <w:spacing w:after="0" w:line="240" w:lineRule="auto"/>
                    <w:ind w:firstLine="411"/>
                    <w:jc w:val="both"/>
                    <w:rPr>
                      <w:rFonts w:ascii="Times New Roman" w:hAnsi="Times New Roman" w:cs="Times New Roman"/>
                      <w:bCs/>
                      <w:sz w:val="24"/>
                      <w:szCs w:val="24"/>
                    </w:rPr>
                  </w:pPr>
                  <w:r w:rsidRPr="003A01DF">
                    <w:rPr>
                      <w:rFonts w:ascii="Times New Roman" w:hAnsi="Times New Roman" w:cs="Times New Roman"/>
                      <w:bCs/>
                      <w:sz w:val="24"/>
                      <w:szCs w:val="24"/>
                    </w:rPr>
                    <w:t>S</w:t>
                  </w:r>
                  <w:r w:rsidR="008F59EE" w:rsidRPr="003A01DF">
                    <w:rPr>
                      <w:rFonts w:ascii="Times New Roman" w:hAnsi="Times New Roman" w:cs="Times New Roman"/>
                      <w:bCs/>
                      <w:sz w:val="24"/>
                      <w:szCs w:val="24"/>
                    </w:rPr>
                    <w:t xml:space="preserve">peciālās militārās tehnikas apdrošināšanas iegādei 2018. gadā tika piešķirts finansējums 142 000 </w:t>
                  </w:r>
                  <w:proofErr w:type="spellStart"/>
                  <w:r w:rsidR="008F59EE" w:rsidRPr="003A01DF">
                    <w:rPr>
                      <w:rFonts w:ascii="Times New Roman" w:hAnsi="Times New Roman" w:cs="Times New Roman"/>
                      <w:bCs/>
                      <w:i/>
                      <w:sz w:val="24"/>
                      <w:szCs w:val="24"/>
                    </w:rPr>
                    <w:t>euro</w:t>
                  </w:r>
                  <w:proofErr w:type="spellEnd"/>
                  <w:r w:rsidRPr="003A01DF">
                    <w:rPr>
                      <w:rFonts w:ascii="Times New Roman" w:hAnsi="Times New Roman" w:cs="Times New Roman"/>
                      <w:bCs/>
                      <w:sz w:val="24"/>
                      <w:szCs w:val="24"/>
                    </w:rPr>
                    <w:t xml:space="preserve"> apmērā</w:t>
                  </w:r>
                  <w:r w:rsidR="008F59EE" w:rsidRPr="003A01DF">
                    <w:rPr>
                      <w:rFonts w:ascii="Times New Roman" w:hAnsi="Times New Roman" w:cs="Times New Roman"/>
                      <w:bCs/>
                      <w:sz w:val="24"/>
                      <w:szCs w:val="24"/>
                    </w:rPr>
                    <w:t xml:space="preserve">. Savukārt, ņemot vērā Nacionālo bruņoto spēku speciālās militārās tehnikas skaita pieaugumu, 2019. gadā </w:t>
                  </w:r>
                  <w:r w:rsidR="00493271" w:rsidRPr="003A01DF">
                    <w:rPr>
                      <w:rFonts w:ascii="Times New Roman" w:hAnsi="Times New Roman" w:cs="Times New Roman"/>
                      <w:bCs/>
                      <w:sz w:val="24"/>
                      <w:szCs w:val="24"/>
                    </w:rPr>
                    <w:t>piešķirts</w:t>
                  </w:r>
                  <w:r w:rsidR="008F59EE" w:rsidRPr="003A01DF">
                    <w:rPr>
                      <w:rFonts w:ascii="Times New Roman" w:hAnsi="Times New Roman" w:cs="Times New Roman"/>
                      <w:bCs/>
                      <w:sz w:val="24"/>
                      <w:szCs w:val="24"/>
                    </w:rPr>
                    <w:t xml:space="preserve"> finansējums apdrošināšanas iegādei līdz 300 000 </w:t>
                  </w:r>
                  <w:proofErr w:type="spellStart"/>
                  <w:r w:rsidR="008F59EE" w:rsidRPr="003A01DF">
                    <w:rPr>
                      <w:rFonts w:ascii="Times New Roman" w:hAnsi="Times New Roman" w:cs="Times New Roman"/>
                      <w:bCs/>
                      <w:i/>
                      <w:sz w:val="24"/>
                      <w:szCs w:val="24"/>
                    </w:rPr>
                    <w:t>euro</w:t>
                  </w:r>
                  <w:proofErr w:type="spellEnd"/>
                  <w:r w:rsidR="008F59EE" w:rsidRPr="003A01DF">
                    <w:rPr>
                      <w:rFonts w:ascii="Times New Roman" w:hAnsi="Times New Roman" w:cs="Times New Roman"/>
                      <w:bCs/>
                      <w:sz w:val="24"/>
                      <w:szCs w:val="24"/>
                    </w:rPr>
                    <w:t xml:space="preserve">. </w:t>
                  </w:r>
                </w:p>
                <w:p w14:paraId="1AA25A86" w14:textId="6B377B2D" w:rsidR="00096D80" w:rsidRPr="003A01DF" w:rsidRDefault="00096D80" w:rsidP="00096D80">
                  <w:pPr>
                    <w:spacing w:after="0" w:line="240" w:lineRule="auto"/>
                    <w:ind w:firstLine="709"/>
                    <w:jc w:val="both"/>
                    <w:rPr>
                      <w:rFonts w:ascii="Times New Roman" w:hAnsi="Times New Roman" w:cs="Times New Roman"/>
                      <w:bCs/>
                      <w:sz w:val="24"/>
                      <w:szCs w:val="24"/>
                    </w:rPr>
                  </w:pPr>
                  <w:r w:rsidRPr="003A01DF">
                    <w:rPr>
                      <w:rFonts w:ascii="Times New Roman" w:hAnsi="Times New Roman" w:cs="Times New Roman"/>
                      <w:bCs/>
                      <w:sz w:val="24"/>
                      <w:szCs w:val="24"/>
                    </w:rPr>
                    <w:t>Izvērtējot dažu valstu pieredzi bruņoto spēku transportlīdzekļu apdrošināšanas jomā, secināts, ka Igaunija, Zviedrija, Austrija un Ungārija ir paziņojusi par atkāpšanos no transportlīdzekļu obligātās apdrošināšanas</w:t>
                  </w:r>
                  <w:r w:rsidRPr="003A01DF">
                    <w:rPr>
                      <w:rFonts w:ascii="Times New Roman" w:hAnsi="Times New Roman" w:cs="Times New Roman"/>
                      <w:sz w:val="24"/>
                      <w:szCs w:val="24"/>
                      <w:vertAlign w:val="superscript"/>
                    </w:rPr>
                    <w:footnoteReference w:id="1"/>
                  </w:r>
                  <w:r w:rsidRPr="003A01DF">
                    <w:rPr>
                      <w:rFonts w:ascii="Times New Roman" w:hAnsi="Times New Roman" w:cs="Times New Roman"/>
                      <w:bCs/>
                      <w:sz w:val="24"/>
                      <w:szCs w:val="24"/>
                    </w:rPr>
                    <w:t xml:space="preserve"> attiecībā uz noteiktajām personām (piemēram, valsts) vai attiecībā uz dažu veidu transportlīdzekļiem vai konkrētiem transportlīdzekļiem ar speciālu zīmi</w:t>
                  </w:r>
                  <w:r w:rsidRPr="003A01DF">
                    <w:rPr>
                      <w:rFonts w:ascii="Times New Roman" w:hAnsi="Times New Roman" w:cs="Times New Roman"/>
                      <w:sz w:val="24"/>
                      <w:szCs w:val="24"/>
                    </w:rPr>
                    <w:t xml:space="preserve"> (piemēram, </w:t>
                  </w:r>
                  <w:r w:rsidRPr="003A01DF">
                    <w:rPr>
                      <w:rFonts w:ascii="Times New Roman" w:hAnsi="Times New Roman" w:cs="Times New Roman"/>
                      <w:bCs/>
                      <w:sz w:val="24"/>
                      <w:szCs w:val="24"/>
                    </w:rPr>
                    <w:t>bruņotiem militāriem transportlīdzekļiem (</w:t>
                  </w:r>
                  <w:proofErr w:type="spellStart"/>
                  <w:r w:rsidRPr="003A01DF">
                    <w:rPr>
                      <w:rFonts w:ascii="Times New Roman" w:hAnsi="Times New Roman" w:cs="Times New Roman"/>
                      <w:bCs/>
                      <w:i/>
                      <w:sz w:val="24"/>
                      <w:szCs w:val="24"/>
                    </w:rPr>
                    <w:t>armoured</w:t>
                  </w:r>
                  <w:proofErr w:type="spellEnd"/>
                  <w:r w:rsidRPr="003A01DF">
                    <w:rPr>
                      <w:rFonts w:ascii="Times New Roman" w:hAnsi="Times New Roman" w:cs="Times New Roman"/>
                      <w:bCs/>
                      <w:i/>
                      <w:sz w:val="24"/>
                      <w:szCs w:val="24"/>
                    </w:rPr>
                    <w:t xml:space="preserve"> </w:t>
                  </w:r>
                  <w:proofErr w:type="spellStart"/>
                  <w:r w:rsidRPr="003A01DF">
                    <w:rPr>
                      <w:rFonts w:ascii="Times New Roman" w:hAnsi="Times New Roman" w:cs="Times New Roman"/>
                      <w:bCs/>
                      <w:i/>
                      <w:sz w:val="24"/>
                      <w:szCs w:val="24"/>
                    </w:rPr>
                    <w:t>mil</w:t>
                  </w:r>
                  <w:r w:rsidR="002843E7" w:rsidRPr="003A01DF">
                    <w:rPr>
                      <w:rFonts w:ascii="Times New Roman" w:hAnsi="Times New Roman" w:cs="Times New Roman"/>
                      <w:bCs/>
                      <w:i/>
                      <w:sz w:val="24"/>
                      <w:szCs w:val="24"/>
                    </w:rPr>
                    <w:t>i</w:t>
                  </w:r>
                  <w:r w:rsidRPr="003A01DF">
                    <w:rPr>
                      <w:rFonts w:ascii="Times New Roman" w:hAnsi="Times New Roman" w:cs="Times New Roman"/>
                      <w:bCs/>
                      <w:i/>
                      <w:sz w:val="24"/>
                      <w:szCs w:val="24"/>
                    </w:rPr>
                    <w:t>tary</w:t>
                  </w:r>
                  <w:proofErr w:type="spellEnd"/>
                  <w:r w:rsidRPr="003A01DF">
                    <w:rPr>
                      <w:rFonts w:ascii="Times New Roman" w:hAnsi="Times New Roman" w:cs="Times New Roman"/>
                      <w:bCs/>
                      <w:i/>
                      <w:sz w:val="24"/>
                      <w:szCs w:val="24"/>
                    </w:rPr>
                    <w:t xml:space="preserve"> </w:t>
                  </w:r>
                  <w:proofErr w:type="spellStart"/>
                  <w:r w:rsidRPr="003A01DF">
                    <w:rPr>
                      <w:rFonts w:ascii="Times New Roman" w:hAnsi="Times New Roman" w:cs="Times New Roman"/>
                      <w:bCs/>
                      <w:i/>
                      <w:sz w:val="24"/>
                      <w:szCs w:val="24"/>
                    </w:rPr>
                    <w:t>vehicles</w:t>
                  </w:r>
                  <w:proofErr w:type="spellEnd"/>
                  <w:r w:rsidRPr="003A01DF">
                    <w:rPr>
                      <w:rFonts w:ascii="Times New Roman" w:hAnsi="Times New Roman" w:cs="Times New Roman"/>
                      <w:bCs/>
                      <w:sz w:val="24"/>
                      <w:szCs w:val="24"/>
                    </w:rPr>
                    <w:t xml:space="preserve">)). Pēc Aizsardzības ministrijas rīcībā esošās informācijas </w:t>
                  </w:r>
                  <w:r w:rsidRPr="003A01DF">
                    <w:rPr>
                      <w:rFonts w:ascii="Times New Roman" w:hAnsi="Times New Roman" w:cs="Times New Roman"/>
                      <w:bCs/>
                      <w:sz w:val="24"/>
                      <w:szCs w:val="24"/>
                    </w:rPr>
                    <w:lastRenderedPageBreak/>
                    <w:t>Lietuva arī plāno atteikties no Lietuvas bruņoto spēku transportlīdzekļu apdrošināšanas.</w:t>
                  </w:r>
                </w:p>
                <w:p w14:paraId="677B0A80" w14:textId="77777777" w:rsidR="008F59EE" w:rsidRPr="003A01DF" w:rsidRDefault="008F59EE" w:rsidP="008F59EE">
                  <w:pPr>
                    <w:spacing w:after="0" w:line="240" w:lineRule="auto"/>
                    <w:ind w:firstLine="709"/>
                    <w:jc w:val="both"/>
                    <w:rPr>
                      <w:rFonts w:ascii="Times New Roman" w:hAnsi="Times New Roman" w:cs="Times New Roman"/>
                      <w:bCs/>
                      <w:sz w:val="24"/>
                      <w:szCs w:val="24"/>
                    </w:rPr>
                  </w:pPr>
                  <w:r w:rsidRPr="003A01DF">
                    <w:rPr>
                      <w:rFonts w:ascii="Times New Roman" w:hAnsi="Times New Roman" w:cs="Times New Roman"/>
                      <w:bCs/>
                      <w:sz w:val="24"/>
                      <w:szCs w:val="24"/>
                    </w:rPr>
                    <w:t xml:space="preserve">Ņemot vērā speciālās militārās tehnikas apdrošināšanas iegādei nepieciešamā finansējuma būtisku pieaugumu katrai tehnikas vienībai, ieplānoto speciālās militāras tehnikas vienību pieaugumu Nacionālajos bruņotajos spēkos, citu valstu pieredzi, Aizsardzības ministrija sadarbībā ar Nacionālajiem bruņotajiem spēkiem pieņēma lēmumu atteikties no apdrošināšanas veikšanas speciālajai militārajai tehnikai. </w:t>
                  </w:r>
                </w:p>
                <w:p w14:paraId="764EC071" w14:textId="57FEAB74" w:rsidR="008F59EE" w:rsidRPr="003A01DF" w:rsidRDefault="008F59EE" w:rsidP="008F59EE">
                  <w:pPr>
                    <w:spacing w:after="0" w:line="240" w:lineRule="auto"/>
                    <w:ind w:firstLine="535"/>
                    <w:jc w:val="both"/>
                    <w:rPr>
                      <w:rFonts w:ascii="Times New Roman" w:hAnsi="Times New Roman" w:cs="Times New Roman"/>
                      <w:bCs/>
                      <w:sz w:val="24"/>
                      <w:szCs w:val="24"/>
                    </w:rPr>
                  </w:pPr>
                  <w:r w:rsidRPr="003A01DF">
                    <w:rPr>
                      <w:rFonts w:ascii="Times New Roman" w:hAnsi="Times New Roman" w:cs="Times New Roman"/>
                      <w:bCs/>
                      <w:sz w:val="24"/>
                      <w:szCs w:val="24"/>
                    </w:rPr>
                    <w:t xml:space="preserve">Direktīvas 5. panta 2. punktā ir noteikts, ka katra dalībvalsts var atkāpties no 3. panta noteikumiem attiecībā uz dažu veidu transportlīdzekļiem vai konkrētiem transportlīdzekļiem ar speciālu zīmi. Attiecīgā valsts informē pārējās dalībvalstis un Eiropas Komisiju. </w:t>
                  </w:r>
                </w:p>
                <w:p w14:paraId="46399720" w14:textId="63D42CB9" w:rsidR="008F59EE" w:rsidRPr="003A01DF" w:rsidRDefault="008F59EE" w:rsidP="008F59EE">
                  <w:pPr>
                    <w:spacing w:after="0" w:line="240" w:lineRule="auto"/>
                    <w:ind w:firstLine="535"/>
                    <w:jc w:val="both"/>
                    <w:rPr>
                      <w:rFonts w:ascii="Times New Roman" w:hAnsi="Times New Roman" w:cs="Times New Roman"/>
                      <w:bCs/>
                      <w:sz w:val="24"/>
                      <w:szCs w:val="24"/>
                    </w:rPr>
                  </w:pPr>
                  <w:r w:rsidRPr="003A01DF">
                    <w:rPr>
                      <w:rFonts w:ascii="Times New Roman" w:hAnsi="Times New Roman" w:cs="Times New Roman"/>
                      <w:bCs/>
                      <w:sz w:val="24"/>
                      <w:szCs w:val="24"/>
                    </w:rPr>
                    <w:t>Papildus Direktīvas 5. panta 2. punktā noteikts, ka šajā gadījumā katra dalībvalsts nodrošina, ka attiecībā uz šiem transportlīdzekļiem piemēro tādu pašu režīmu kā transportlīdzekļiem, kuriem nav veikta apdrošināšana.  Direktīvas 10. panta 1. punkts nosaka, ka katra dalībvalsts izveido vai pilnvaro iestādi, kas sniegtu kompensāciju obligātās apdrošināšanas līmenī par kaitējumu īpašumam vai miesas bojājumiem negadījumos, kurus izraisījis transportlīdzeklis, kam nav veikta apdrošināšana.</w:t>
                  </w:r>
                </w:p>
                <w:p w14:paraId="2A678C01" w14:textId="622A5EED" w:rsidR="008F59EE" w:rsidRPr="003A01DF" w:rsidRDefault="008F59EE" w:rsidP="007272DC">
                  <w:pPr>
                    <w:pStyle w:val="ListParagraph"/>
                    <w:spacing w:after="0" w:line="240" w:lineRule="auto"/>
                    <w:ind w:left="0" w:firstLine="713"/>
                    <w:jc w:val="both"/>
                    <w:rPr>
                      <w:rFonts w:ascii="Times New Roman" w:hAnsi="Times New Roman" w:cs="Times New Roman"/>
                      <w:bCs/>
                      <w:sz w:val="24"/>
                      <w:szCs w:val="24"/>
                    </w:rPr>
                  </w:pPr>
                  <w:r w:rsidRPr="003A01DF">
                    <w:rPr>
                      <w:rFonts w:ascii="Times New Roman" w:eastAsia="Times New Roman" w:hAnsi="Times New Roman" w:cs="Times New Roman"/>
                      <w:iCs/>
                      <w:sz w:val="24"/>
                      <w:szCs w:val="24"/>
                      <w:lang w:eastAsia="lv-LV"/>
                    </w:rPr>
                    <w:t xml:space="preserve">Direktīvas </w:t>
                  </w:r>
                  <w:r w:rsidRPr="003A01DF">
                    <w:rPr>
                      <w:rFonts w:ascii="Times New Roman" w:hAnsi="Times New Roman" w:cs="Times New Roman"/>
                      <w:bCs/>
                      <w:sz w:val="24"/>
                      <w:szCs w:val="24"/>
                    </w:rPr>
                    <w:t xml:space="preserve">9. panta 1. </w:t>
                  </w:r>
                  <w:r w:rsidR="0025045F" w:rsidRPr="003A01DF">
                    <w:rPr>
                      <w:rFonts w:ascii="Times New Roman" w:hAnsi="Times New Roman" w:cs="Times New Roman"/>
                      <w:bCs/>
                      <w:sz w:val="24"/>
                      <w:szCs w:val="24"/>
                    </w:rPr>
                    <w:t xml:space="preserve">punkts nosaka, ka  </w:t>
                  </w:r>
                  <w:r w:rsidR="00EC69BF" w:rsidRPr="003A01DF">
                    <w:rPr>
                      <w:rFonts w:ascii="Times New Roman" w:hAnsi="Times New Roman" w:cs="Times New Roman"/>
                      <w:bCs/>
                      <w:sz w:val="24"/>
                      <w:szCs w:val="24"/>
                    </w:rPr>
                    <w:t>dalībvalstij jānodrošina</w:t>
                  </w:r>
                  <w:r w:rsidR="0025045F" w:rsidRPr="003A01DF">
                    <w:rPr>
                      <w:rFonts w:ascii="Times New Roman" w:hAnsi="Times New Roman" w:cs="Times New Roman"/>
                      <w:bCs/>
                      <w:sz w:val="24"/>
                      <w:szCs w:val="24"/>
                    </w:rPr>
                    <w:t xml:space="preserve"> kompensācijas vismaz šādā apmērā</w:t>
                  </w:r>
                  <w:r w:rsidRPr="003A01DF">
                    <w:rPr>
                      <w:rFonts w:ascii="Times New Roman" w:hAnsi="Times New Roman" w:cs="Times New Roman"/>
                      <w:bCs/>
                      <w:sz w:val="24"/>
                      <w:szCs w:val="24"/>
                    </w:rPr>
                    <w:t>:</w:t>
                  </w:r>
                </w:p>
                <w:p w14:paraId="490A9EA9" w14:textId="0E888DD5" w:rsidR="007272DC" w:rsidRPr="003A01DF" w:rsidRDefault="008F59EE" w:rsidP="008F59EE">
                  <w:pPr>
                    <w:pStyle w:val="ListParagraph"/>
                    <w:numPr>
                      <w:ilvl w:val="0"/>
                      <w:numId w:val="3"/>
                    </w:numPr>
                    <w:spacing w:after="0" w:line="240" w:lineRule="auto"/>
                    <w:ind w:left="0" w:firstLine="709"/>
                    <w:jc w:val="both"/>
                    <w:rPr>
                      <w:rFonts w:ascii="Times New Roman" w:eastAsia="Times New Roman" w:hAnsi="Times New Roman" w:cs="Times New Roman"/>
                      <w:iCs/>
                      <w:sz w:val="24"/>
                      <w:szCs w:val="24"/>
                      <w:lang w:eastAsia="lv-LV"/>
                    </w:rPr>
                  </w:pPr>
                  <w:r w:rsidRPr="003A01DF">
                    <w:rPr>
                      <w:rFonts w:ascii="Times New Roman" w:hAnsi="Times New Roman" w:cs="Times New Roman"/>
                      <w:bCs/>
                      <w:sz w:val="24"/>
                      <w:szCs w:val="24"/>
                    </w:rPr>
                    <w:t>kompensācijas izmaksa par nodarītajiem miesas bojājumiem 1 000</w:t>
                  </w:r>
                  <w:r w:rsidR="00C01205" w:rsidRPr="003A01DF">
                    <w:rPr>
                      <w:rFonts w:ascii="Times New Roman" w:hAnsi="Times New Roman" w:cs="Times New Roman"/>
                      <w:bCs/>
                      <w:sz w:val="24"/>
                      <w:szCs w:val="24"/>
                    </w:rPr>
                    <w:t> </w:t>
                  </w:r>
                  <w:r w:rsidRPr="003A01DF">
                    <w:rPr>
                      <w:rFonts w:ascii="Times New Roman" w:hAnsi="Times New Roman" w:cs="Times New Roman"/>
                      <w:bCs/>
                      <w:sz w:val="24"/>
                      <w:szCs w:val="24"/>
                    </w:rPr>
                    <w:t>000</w:t>
                  </w:r>
                  <w:r w:rsidR="00C01205" w:rsidRPr="003A01DF">
                    <w:rPr>
                      <w:rFonts w:ascii="Times New Roman" w:hAnsi="Times New Roman" w:cs="Times New Roman"/>
                      <w:bCs/>
                      <w:sz w:val="24"/>
                      <w:szCs w:val="24"/>
                    </w:rPr>
                    <w:t xml:space="preserve"> </w:t>
                  </w:r>
                  <w:proofErr w:type="spellStart"/>
                  <w:r w:rsidR="00C01205" w:rsidRPr="003A01DF">
                    <w:rPr>
                      <w:rFonts w:ascii="Times New Roman" w:hAnsi="Times New Roman" w:cs="Times New Roman"/>
                      <w:bCs/>
                      <w:i/>
                      <w:sz w:val="24"/>
                      <w:szCs w:val="24"/>
                    </w:rPr>
                    <w:t>euro</w:t>
                  </w:r>
                  <w:proofErr w:type="spellEnd"/>
                  <w:r w:rsidRPr="003A01DF">
                    <w:rPr>
                      <w:rFonts w:ascii="Times New Roman" w:hAnsi="Times New Roman" w:cs="Times New Roman"/>
                      <w:bCs/>
                      <w:sz w:val="24"/>
                      <w:szCs w:val="24"/>
                    </w:rPr>
                    <w:t xml:space="preserve"> katram cietušajam vai 5 000 000 </w:t>
                  </w:r>
                  <w:proofErr w:type="spellStart"/>
                  <w:r w:rsidRPr="003A01DF">
                    <w:rPr>
                      <w:rFonts w:ascii="Times New Roman" w:hAnsi="Times New Roman" w:cs="Times New Roman"/>
                      <w:bCs/>
                      <w:i/>
                      <w:sz w:val="24"/>
                      <w:szCs w:val="24"/>
                    </w:rPr>
                    <w:t>euro</w:t>
                  </w:r>
                  <w:proofErr w:type="spellEnd"/>
                  <w:r w:rsidRPr="003A01DF">
                    <w:rPr>
                      <w:rFonts w:ascii="Times New Roman" w:hAnsi="Times New Roman" w:cs="Times New Roman"/>
                      <w:bCs/>
                      <w:sz w:val="24"/>
                      <w:szCs w:val="24"/>
                    </w:rPr>
                    <w:t xml:space="preserve"> par prasījumu neatkarīgi no cietušo skaita;</w:t>
                  </w:r>
                </w:p>
                <w:p w14:paraId="1BA809A6" w14:textId="77777777" w:rsidR="0025045F" w:rsidRPr="003A01DF" w:rsidRDefault="008F59EE" w:rsidP="00D27185">
                  <w:pPr>
                    <w:pStyle w:val="ListParagraph"/>
                    <w:numPr>
                      <w:ilvl w:val="0"/>
                      <w:numId w:val="3"/>
                    </w:numPr>
                    <w:spacing w:after="0" w:line="240" w:lineRule="auto"/>
                    <w:ind w:left="0" w:firstLine="709"/>
                    <w:jc w:val="both"/>
                    <w:rPr>
                      <w:rFonts w:ascii="Times New Roman" w:hAnsi="Times New Roman" w:cs="Times New Roman"/>
                      <w:bCs/>
                      <w:sz w:val="24"/>
                      <w:szCs w:val="24"/>
                    </w:rPr>
                  </w:pPr>
                  <w:r w:rsidRPr="003A01DF">
                    <w:rPr>
                      <w:rFonts w:ascii="Times New Roman" w:hAnsi="Times New Roman" w:cs="Times New Roman"/>
                      <w:bCs/>
                      <w:sz w:val="24"/>
                      <w:szCs w:val="24"/>
                    </w:rPr>
                    <w:t xml:space="preserve">kompensācijas izmaksa par nodarītajiem zaudējumiem īpašumam - 1 000 000 </w:t>
                  </w:r>
                  <w:proofErr w:type="spellStart"/>
                  <w:r w:rsidRPr="003A01DF">
                    <w:rPr>
                      <w:rFonts w:ascii="Times New Roman" w:hAnsi="Times New Roman" w:cs="Times New Roman"/>
                      <w:bCs/>
                      <w:i/>
                      <w:sz w:val="24"/>
                      <w:szCs w:val="24"/>
                    </w:rPr>
                    <w:t>euro</w:t>
                  </w:r>
                  <w:proofErr w:type="spellEnd"/>
                  <w:r w:rsidRPr="003A01DF">
                    <w:rPr>
                      <w:rFonts w:ascii="Times New Roman" w:hAnsi="Times New Roman" w:cs="Times New Roman"/>
                      <w:bCs/>
                      <w:sz w:val="24"/>
                      <w:szCs w:val="24"/>
                    </w:rPr>
                    <w:t xml:space="preserve"> par prasījumu neatkarīgi no cietušo skaita.</w:t>
                  </w:r>
                </w:p>
                <w:p w14:paraId="5892282E" w14:textId="09A81BB4" w:rsidR="006A03CF" w:rsidRPr="003A01DF" w:rsidRDefault="0082797D" w:rsidP="00D27185">
                  <w:pPr>
                    <w:pStyle w:val="tv213"/>
                    <w:spacing w:before="0" w:beforeAutospacing="0" w:after="0" w:afterAutospacing="0"/>
                    <w:ind w:firstLine="713"/>
                    <w:jc w:val="both"/>
                  </w:pPr>
                  <w:r w:rsidRPr="003A01DF">
                    <w:rPr>
                      <w:iCs/>
                    </w:rPr>
                    <w:t xml:space="preserve">Ar </w:t>
                  </w:r>
                  <w:r w:rsidR="00F40F5A" w:rsidRPr="003A01DF">
                    <w:rPr>
                      <w:iCs/>
                    </w:rPr>
                    <w:t>g</w:t>
                  </w:r>
                  <w:r w:rsidRPr="003A01DF">
                    <w:rPr>
                      <w:iCs/>
                    </w:rPr>
                    <w:t>rozījumi</w:t>
                  </w:r>
                  <w:r w:rsidR="00F40F5A" w:rsidRPr="003A01DF">
                    <w:rPr>
                      <w:iCs/>
                    </w:rPr>
                    <w:t>em</w:t>
                  </w:r>
                  <w:r w:rsidRPr="003A01DF">
                    <w:rPr>
                      <w:iCs/>
                    </w:rPr>
                    <w:t xml:space="preserve"> </w:t>
                  </w:r>
                  <w:r w:rsidR="0050327B" w:rsidRPr="003A01DF">
                    <w:rPr>
                      <w:iCs/>
                    </w:rPr>
                    <w:t>L</w:t>
                  </w:r>
                  <w:r w:rsidRPr="003A01DF">
                    <w:rPr>
                      <w:iCs/>
                    </w:rPr>
                    <w:t>ikumā</w:t>
                  </w:r>
                  <w:r w:rsidR="005E125B" w:rsidRPr="003A01DF">
                    <w:rPr>
                      <w:iCs/>
                    </w:rPr>
                    <w:t xml:space="preserve">, </w:t>
                  </w:r>
                  <w:r w:rsidR="00F40F5A" w:rsidRPr="003A01DF">
                    <w:rPr>
                      <w:iCs/>
                    </w:rPr>
                    <w:t xml:space="preserve">kas spēkā </w:t>
                  </w:r>
                  <w:r w:rsidR="0099107B" w:rsidRPr="003A01DF">
                    <w:rPr>
                      <w:iCs/>
                    </w:rPr>
                    <w:t xml:space="preserve">no </w:t>
                  </w:r>
                  <w:r w:rsidR="00F40F5A" w:rsidRPr="003A01DF">
                    <w:rPr>
                      <w:iCs/>
                    </w:rPr>
                    <w:t>2019.</w:t>
                  </w:r>
                  <w:r w:rsidR="005E125B" w:rsidRPr="003A01DF">
                    <w:rPr>
                      <w:iCs/>
                    </w:rPr>
                    <w:t xml:space="preserve"> </w:t>
                  </w:r>
                  <w:r w:rsidR="00F40F5A" w:rsidRPr="003A01DF">
                    <w:rPr>
                      <w:iCs/>
                    </w:rPr>
                    <w:t>gada 1.</w:t>
                  </w:r>
                  <w:r w:rsidR="005E125B" w:rsidRPr="003A01DF">
                    <w:rPr>
                      <w:iCs/>
                    </w:rPr>
                    <w:t xml:space="preserve"> </w:t>
                  </w:r>
                  <w:r w:rsidR="00F40F5A" w:rsidRPr="003A01DF">
                    <w:rPr>
                      <w:iCs/>
                    </w:rPr>
                    <w:t>maija, tik</w:t>
                  </w:r>
                  <w:r w:rsidR="005E125B" w:rsidRPr="003A01DF">
                    <w:rPr>
                      <w:iCs/>
                    </w:rPr>
                    <w:t>a</w:t>
                  </w:r>
                  <w:r w:rsidR="00F40F5A" w:rsidRPr="003A01DF">
                    <w:rPr>
                      <w:iCs/>
                    </w:rPr>
                    <w:t xml:space="preserve"> </w:t>
                  </w:r>
                  <w:r w:rsidR="007272DC" w:rsidRPr="003A01DF">
                    <w:rPr>
                      <w:bCs/>
                    </w:rPr>
                    <w:t>precizēt</w:t>
                  </w:r>
                  <w:r w:rsidR="00F40F5A" w:rsidRPr="003A01DF">
                    <w:rPr>
                      <w:bCs/>
                    </w:rPr>
                    <w:t>i</w:t>
                  </w:r>
                  <w:r w:rsidR="007272DC" w:rsidRPr="003A01DF">
                    <w:rPr>
                      <w:bCs/>
                    </w:rPr>
                    <w:t xml:space="preserve"> apdrošinātāja atbildības limit</w:t>
                  </w:r>
                  <w:r w:rsidR="00F40F5A" w:rsidRPr="003A01DF">
                    <w:rPr>
                      <w:bCs/>
                    </w:rPr>
                    <w:t>i</w:t>
                  </w:r>
                  <w:r w:rsidR="0050327B" w:rsidRPr="003A01DF">
                    <w:rPr>
                      <w:bCs/>
                    </w:rPr>
                    <w:t xml:space="preserve"> (piemērojami no 2019.gada 1.janvāra)</w:t>
                  </w:r>
                  <w:r w:rsidR="007272DC" w:rsidRPr="003A01DF">
                    <w:t>,</w:t>
                  </w:r>
                  <w:r w:rsidRPr="003A01DF">
                    <w:t xml:space="preserve"> </w:t>
                  </w:r>
                  <w:r w:rsidR="007272DC" w:rsidRPr="003A01DF">
                    <w:rPr>
                      <w:bCs/>
                    </w:rPr>
                    <w:t xml:space="preserve">ņemot vērā </w:t>
                  </w:r>
                  <w:r w:rsidR="007272DC" w:rsidRPr="003A01DF">
                    <w:t xml:space="preserve">Eiropas </w:t>
                  </w:r>
                  <w:r w:rsidR="007272DC" w:rsidRPr="003A01DF">
                    <w:rPr>
                      <w:shd w:val="clear" w:color="auto" w:fill="FFFFFF"/>
                    </w:rPr>
                    <w:t>saskaņoto patēriņa cenu indeksu</w:t>
                  </w:r>
                  <w:r w:rsidR="007272DC" w:rsidRPr="003A01DF">
                    <w:t xml:space="preserve">, </w:t>
                  </w:r>
                  <w:r w:rsidR="007272DC" w:rsidRPr="003A01DF">
                    <w:rPr>
                      <w:bCs/>
                    </w:rPr>
                    <w:t xml:space="preserve">atbilstoši </w:t>
                  </w:r>
                  <w:r w:rsidR="007272DC" w:rsidRPr="003A01DF">
                    <w:t> Direktīvas 9.</w:t>
                  </w:r>
                  <w:r w:rsidR="005E125B" w:rsidRPr="003A01DF">
                    <w:t xml:space="preserve"> </w:t>
                  </w:r>
                  <w:r w:rsidR="007272DC" w:rsidRPr="003A01DF">
                    <w:t>panta 2.</w:t>
                  </w:r>
                  <w:r w:rsidR="005E125B" w:rsidRPr="003A01DF">
                    <w:t xml:space="preserve"> </w:t>
                  </w:r>
                  <w:r w:rsidR="007272DC" w:rsidRPr="003A01DF">
                    <w:t xml:space="preserve">punktam  un </w:t>
                  </w:r>
                  <w:r w:rsidR="007272DC" w:rsidRPr="003A01DF">
                    <w:rPr>
                      <w:rStyle w:val="Strong"/>
                      <w:b w:val="0"/>
                      <w:bdr w:val="none" w:sz="0" w:space="0" w:color="auto" w:frame="1"/>
                      <w:shd w:val="clear" w:color="auto" w:fill="FFFFFF"/>
                    </w:rPr>
                    <w:t xml:space="preserve">Eiropas Parlamenta un Padomes Regulai (ES) 2016/792 </w:t>
                  </w:r>
                  <w:r w:rsidR="007272DC" w:rsidRPr="003A01DF">
                    <w:rPr>
                      <w:bCs/>
                    </w:rPr>
                    <w:t xml:space="preserve">(2016. gada 11. maijs) par saskaņotajiem patēriņa cenu indeksiem un mājokļu cenu indeksu un ar ko atceļ Padomes Regulu (EK) Nr. 2494/95  </w:t>
                  </w:r>
                  <w:r w:rsidR="006A03CF" w:rsidRPr="003A01DF">
                    <w:rPr>
                      <w:bCs/>
                    </w:rPr>
                    <w:t>un noteikt</w:t>
                  </w:r>
                  <w:r w:rsidR="005E125B" w:rsidRPr="003A01DF">
                    <w:rPr>
                      <w:bCs/>
                    </w:rPr>
                    <w:t>s</w:t>
                  </w:r>
                  <w:r w:rsidR="006A03CF" w:rsidRPr="003A01DF">
                    <w:rPr>
                      <w:bCs/>
                    </w:rPr>
                    <w:t xml:space="preserve">, ka </w:t>
                  </w:r>
                  <w:r w:rsidR="006A03CF" w:rsidRPr="003A01DF">
                    <w:t xml:space="preserve">iestājoties apdrošināšanas gadījumam, apdrošinātājs, kurš apdrošinājis zaudējumu nodarījušā transportlīdzekļa īpašnieka civiltiesisko atbildību, vai Transportlīdzekļu apdrošinātāju birojs </w:t>
                  </w:r>
                  <w:r w:rsidR="003B18A4" w:rsidRPr="003A01DF">
                    <w:t xml:space="preserve">(turpmāk – LTAB) </w:t>
                  </w:r>
                  <w:r w:rsidR="006A03CF" w:rsidRPr="003A01DF">
                    <w:t xml:space="preserve">(ja apdrošināšanas atlīdzība izmaksājama no Garantijas </w:t>
                  </w:r>
                  <w:r w:rsidR="006A03CF" w:rsidRPr="003A01DF">
                    <w:lastRenderedPageBreak/>
                    <w:t>fonda) sedz zaudējumus, nepārsniedzot noteikto apdrošinātāja atbildības limitu:</w:t>
                  </w:r>
                </w:p>
                <w:p w14:paraId="7A1C5648" w14:textId="6F0533B9" w:rsidR="006A03CF" w:rsidRPr="003A01DF" w:rsidRDefault="006A03CF" w:rsidP="00D27185">
                  <w:pPr>
                    <w:spacing w:after="0" w:line="240" w:lineRule="auto"/>
                    <w:ind w:firstLine="713"/>
                    <w:jc w:val="both"/>
                    <w:rPr>
                      <w:rFonts w:ascii="Times New Roman" w:eastAsia="Times New Roman" w:hAnsi="Times New Roman" w:cs="Times New Roman"/>
                      <w:sz w:val="24"/>
                      <w:szCs w:val="24"/>
                      <w:lang w:eastAsia="lv-LV"/>
                    </w:rPr>
                  </w:pPr>
                  <w:r w:rsidRPr="003A01DF">
                    <w:rPr>
                      <w:rFonts w:ascii="Times New Roman" w:eastAsia="Times New Roman" w:hAnsi="Times New Roman" w:cs="Times New Roman"/>
                      <w:sz w:val="24"/>
                      <w:szCs w:val="24"/>
                      <w:lang w:eastAsia="lv-LV"/>
                    </w:rPr>
                    <w:t xml:space="preserve">1) personai nodarīto zaudējumu atlīdzināšanai — līdz 5 210 000 </w:t>
                  </w:r>
                  <w:proofErr w:type="spellStart"/>
                  <w:r w:rsidRPr="003A01DF">
                    <w:rPr>
                      <w:rFonts w:ascii="Times New Roman" w:eastAsia="Times New Roman" w:hAnsi="Times New Roman" w:cs="Times New Roman"/>
                      <w:i/>
                      <w:iCs/>
                      <w:sz w:val="24"/>
                      <w:szCs w:val="24"/>
                      <w:lang w:eastAsia="lv-LV"/>
                    </w:rPr>
                    <w:t>euro</w:t>
                  </w:r>
                  <w:proofErr w:type="spellEnd"/>
                  <w:r w:rsidRPr="003A01DF">
                    <w:rPr>
                      <w:rFonts w:ascii="Times New Roman" w:eastAsia="Times New Roman" w:hAnsi="Times New Roman" w:cs="Times New Roman"/>
                      <w:sz w:val="24"/>
                      <w:szCs w:val="24"/>
                      <w:lang w:eastAsia="lv-LV"/>
                    </w:rPr>
                    <w:t xml:space="preserve"> neatkarīgi no cietušo personu skaita;</w:t>
                  </w:r>
                </w:p>
                <w:p w14:paraId="1C81AC37" w14:textId="76C1843E" w:rsidR="007272DC" w:rsidRPr="003A01DF" w:rsidRDefault="006A03CF" w:rsidP="00D27185">
                  <w:pPr>
                    <w:spacing w:after="0" w:line="240" w:lineRule="auto"/>
                    <w:ind w:firstLine="713"/>
                    <w:jc w:val="both"/>
                    <w:rPr>
                      <w:rFonts w:ascii="Times New Roman" w:eastAsia="Times New Roman" w:hAnsi="Times New Roman" w:cs="Times New Roman"/>
                      <w:sz w:val="24"/>
                      <w:szCs w:val="24"/>
                      <w:lang w:eastAsia="lv-LV"/>
                    </w:rPr>
                  </w:pPr>
                  <w:r w:rsidRPr="003A01DF">
                    <w:rPr>
                      <w:rFonts w:ascii="Times New Roman" w:eastAsia="Times New Roman" w:hAnsi="Times New Roman" w:cs="Times New Roman"/>
                      <w:sz w:val="24"/>
                      <w:szCs w:val="24"/>
                      <w:lang w:eastAsia="lv-LV"/>
                    </w:rPr>
                    <w:t xml:space="preserve">2) mantai nodarīto zaudējumu atlīdzināšanai — līdz 1 050 000 </w:t>
                  </w:r>
                  <w:proofErr w:type="spellStart"/>
                  <w:r w:rsidRPr="003A01DF">
                    <w:rPr>
                      <w:rFonts w:ascii="Times New Roman" w:eastAsia="Times New Roman" w:hAnsi="Times New Roman" w:cs="Times New Roman"/>
                      <w:i/>
                      <w:iCs/>
                      <w:sz w:val="24"/>
                      <w:szCs w:val="24"/>
                      <w:lang w:eastAsia="lv-LV"/>
                    </w:rPr>
                    <w:t>euro</w:t>
                  </w:r>
                  <w:proofErr w:type="spellEnd"/>
                  <w:r w:rsidRPr="003A01DF">
                    <w:rPr>
                      <w:rFonts w:ascii="Times New Roman" w:eastAsia="Times New Roman" w:hAnsi="Times New Roman" w:cs="Times New Roman"/>
                      <w:sz w:val="24"/>
                      <w:szCs w:val="24"/>
                      <w:lang w:eastAsia="lv-LV"/>
                    </w:rPr>
                    <w:t xml:space="preserve"> neatkarīgi no trešo personu skaita.</w:t>
                  </w:r>
                </w:p>
                <w:p w14:paraId="7E42CDE8" w14:textId="2F9C100C" w:rsidR="00E41CB3" w:rsidRPr="003A01DF" w:rsidRDefault="008F59EE" w:rsidP="00D27185">
                  <w:pPr>
                    <w:spacing w:after="0" w:line="240" w:lineRule="auto"/>
                    <w:ind w:firstLine="535"/>
                    <w:jc w:val="both"/>
                    <w:rPr>
                      <w:rFonts w:ascii="Times New Roman" w:hAnsi="Times New Roman" w:cs="Times New Roman"/>
                      <w:sz w:val="24"/>
                      <w:szCs w:val="24"/>
                    </w:rPr>
                  </w:pPr>
                  <w:r w:rsidRPr="003A01DF">
                    <w:rPr>
                      <w:rFonts w:ascii="Times New Roman" w:hAnsi="Times New Roman" w:cs="Times New Roman"/>
                      <w:bCs/>
                      <w:sz w:val="24"/>
                      <w:szCs w:val="24"/>
                    </w:rPr>
                    <w:t xml:space="preserve">Lai ieviestu Direktīvas 5. panta  </w:t>
                  </w:r>
                  <w:r w:rsidR="00A92493" w:rsidRPr="003A01DF">
                    <w:rPr>
                      <w:rFonts w:ascii="Times New Roman" w:hAnsi="Times New Roman" w:cs="Times New Roman"/>
                      <w:bCs/>
                      <w:sz w:val="24"/>
                      <w:szCs w:val="24"/>
                    </w:rPr>
                    <w:t>2.</w:t>
                  </w:r>
                  <w:r w:rsidR="005E125B" w:rsidRPr="003A01DF">
                    <w:rPr>
                      <w:rFonts w:ascii="Times New Roman" w:hAnsi="Times New Roman" w:cs="Times New Roman"/>
                      <w:bCs/>
                      <w:sz w:val="24"/>
                      <w:szCs w:val="24"/>
                    </w:rPr>
                    <w:t xml:space="preserve"> </w:t>
                  </w:r>
                  <w:r w:rsidR="00A92493" w:rsidRPr="003A01DF">
                    <w:rPr>
                      <w:rFonts w:ascii="Times New Roman" w:hAnsi="Times New Roman" w:cs="Times New Roman"/>
                      <w:bCs/>
                      <w:sz w:val="24"/>
                      <w:szCs w:val="24"/>
                    </w:rPr>
                    <w:t>punktā</w:t>
                  </w:r>
                  <w:r w:rsidRPr="003A01DF">
                    <w:rPr>
                      <w:rFonts w:ascii="Times New Roman" w:hAnsi="Times New Roman" w:cs="Times New Roman"/>
                      <w:bCs/>
                      <w:sz w:val="24"/>
                      <w:szCs w:val="24"/>
                    </w:rPr>
                    <w:t xml:space="preserve"> noteikto izņēmumu no apdrošināšanas pienākuma, ir jāveic attiecīgi grozījumi Likumā</w:t>
                  </w:r>
                  <w:r w:rsidR="00A92493" w:rsidRPr="003A01DF">
                    <w:rPr>
                      <w:rFonts w:ascii="Times New Roman" w:hAnsi="Times New Roman" w:cs="Times New Roman"/>
                      <w:bCs/>
                      <w:sz w:val="24"/>
                      <w:szCs w:val="24"/>
                    </w:rPr>
                    <w:t>,</w:t>
                  </w:r>
                  <w:r w:rsidRPr="003A01DF">
                    <w:rPr>
                      <w:rFonts w:ascii="Times New Roman" w:hAnsi="Times New Roman" w:cs="Times New Roman"/>
                      <w:bCs/>
                      <w:sz w:val="24"/>
                      <w:szCs w:val="24"/>
                    </w:rPr>
                    <w:t xml:space="preserve"> un atbilstoši Direktīvas 5. panta </w:t>
                  </w:r>
                  <w:r w:rsidR="001B5049" w:rsidRPr="003A01DF">
                    <w:rPr>
                      <w:rFonts w:ascii="Times New Roman" w:hAnsi="Times New Roman" w:cs="Times New Roman"/>
                      <w:bCs/>
                      <w:sz w:val="24"/>
                      <w:szCs w:val="24"/>
                    </w:rPr>
                    <w:t>2</w:t>
                  </w:r>
                  <w:r w:rsidR="00A92493" w:rsidRPr="003A01DF">
                    <w:rPr>
                      <w:rFonts w:ascii="Times New Roman" w:hAnsi="Times New Roman" w:cs="Times New Roman"/>
                      <w:bCs/>
                      <w:sz w:val="24"/>
                      <w:szCs w:val="24"/>
                    </w:rPr>
                    <w:t>.</w:t>
                  </w:r>
                  <w:r w:rsidR="009752F5" w:rsidRPr="003A01DF">
                    <w:rPr>
                      <w:rFonts w:ascii="Times New Roman" w:hAnsi="Times New Roman" w:cs="Times New Roman"/>
                      <w:bCs/>
                      <w:sz w:val="24"/>
                      <w:szCs w:val="24"/>
                    </w:rPr>
                    <w:t xml:space="preserve"> </w:t>
                  </w:r>
                  <w:r w:rsidR="00A92493" w:rsidRPr="003A01DF">
                    <w:rPr>
                      <w:rFonts w:ascii="Times New Roman" w:hAnsi="Times New Roman" w:cs="Times New Roman"/>
                      <w:bCs/>
                      <w:sz w:val="24"/>
                      <w:szCs w:val="24"/>
                    </w:rPr>
                    <w:t>punktā</w:t>
                  </w:r>
                  <w:r w:rsidRPr="003A01DF">
                    <w:rPr>
                      <w:rFonts w:ascii="Times New Roman" w:hAnsi="Times New Roman" w:cs="Times New Roman"/>
                      <w:bCs/>
                      <w:sz w:val="24"/>
                      <w:szCs w:val="24"/>
                    </w:rPr>
                    <w:t xml:space="preserve"> noteiktajam par to jāinformē dalībvalstis un Eiropas Komisija. Par atteikšanos no speciālās militārās tehnikas apdrošināšanas </w:t>
                  </w:r>
                  <w:r w:rsidRPr="003A01DF">
                    <w:rPr>
                      <w:rFonts w:ascii="Times New Roman" w:hAnsi="Times New Roman" w:cs="Times New Roman"/>
                      <w:sz w:val="24"/>
                      <w:szCs w:val="24"/>
                    </w:rPr>
                    <w:t>Eiropas Komisijai</w:t>
                  </w:r>
                  <w:r w:rsidR="00E41CB3" w:rsidRPr="003A01DF">
                    <w:rPr>
                      <w:rFonts w:ascii="Times New Roman" w:hAnsi="Times New Roman" w:cs="Times New Roman"/>
                      <w:sz w:val="24"/>
                      <w:szCs w:val="24"/>
                    </w:rPr>
                    <w:t xml:space="preserve"> un dalībvalstīm</w:t>
                  </w:r>
                  <w:r w:rsidRPr="003A01DF">
                    <w:rPr>
                      <w:rFonts w:ascii="Times New Roman" w:hAnsi="Times New Roman" w:cs="Times New Roman"/>
                      <w:bCs/>
                      <w:sz w:val="24"/>
                      <w:szCs w:val="24"/>
                    </w:rPr>
                    <w:t xml:space="preserve"> tiks paziņots pēc attiecīgo grozījumu Likumā spēkā stāšanās</w:t>
                  </w:r>
                  <w:r w:rsidRPr="003A01DF">
                    <w:rPr>
                      <w:rFonts w:ascii="Times New Roman" w:hAnsi="Times New Roman" w:cs="Times New Roman"/>
                      <w:sz w:val="24"/>
                      <w:szCs w:val="24"/>
                    </w:rPr>
                    <w:t>, Tieslietu ministrijai izdarot attiecīgu ierakstu Valsts izpildes pasākumu paziņošanas sistēmā.  </w:t>
                  </w:r>
                </w:p>
                <w:p w14:paraId="70486927" w14:textId="113B72E1" w:rsidR="00E10EFA" w:rsidRPr="003A01DF" w:rsidRDefault="008F59EE" w:rsidP="0099107B">
                  <w:pPr>
                    <w:spacing w:after="0" w:line="240" w:lineRule="auto"/>
                    <w:ind w:firstLine="535"/>
                    <w:jc w:val="both"/>
                    <w:rPr>
                      <w:rFonts w:ascii="Times New Roman" w:hAnsi="Times New Roman" w:cs="Times New Roman"/>
                      <w:bCs/>
                      <w:sz w:val="24"/>
                      <w:szCs w:val="24"/>
                    </w:rPr>
                  </w:pPr>
                  <w:r w:rsidRPr="003A01DF">
                    <w:rPr>
                      <w:rFonts w:ascii="Times New Roman" w:hAnsi="Times New Roman" w:cs="Times New Roman"/>
                      <w:bCs/>
                      <w:sz w:val="24"/>
                      <w:szCs w:val="24"/>
                    </w:rPr>
                    <w:t xml:space="preserve">Ņemot vērā Likumā noteikto LTAB kompetenci, kapacitāti un pieredzi apdrošināšanas lietās, ir panākta vienošanās ar LTAB, ka LTAB veiks speciālās militārās tehnikas </w:t>
                  </w:r>
                  <w:r w:rsidR="00BB09C4" w:rsidRPr="003A01DF">
                    <w:rPr>
                      <w:rFonts w:ascii="Times New Roman" w:hAnsi="Times New Roman" w:cs="Times New Roman"/>
                      <w:bCs/>
                      <w:sz w:val="24"/>
                      <w:szCs w:val="24"/>
                    </w:rPr>
                    <w:t>Latvijas Republikā</w:t>
                  </w:r>
                  <w:r w:rsidR="005E125B" w:rsidRPr="003A01DF">
                    <w:rPr>
                      <w:rFonts w:ascii="Times New Roman" w:hAnsi="Times New Roman" w:cs="Times New Roman"/>
                      <w:bCs/>
                      <w:sz w:val="24"/>
                      <w:szCs w:val="24"/>
                    </w:rPr>
                    <w:t xml:space="preserve">, </w:t>
                  </w:r>
                  <w:r w:rsidR="00BB09C4" w:rsidRPr="003A01DF">
                    <w:rPr>
                      <w:rFonts w:ascii="Times New Roman" w:hAnsi="Times New Roman" w:cs="Times New Roman"/>
                      <w:bCs/>
                      <w:sz w:val="24"/>
                      <w:szCs w:val="24"/>
                    </w:rPr>
                    <w:t>citā Eiropas Ekonomikas zonas valstī</w:t>
                  </w:r>
                  <w:r w:rsidR="00C91B89" w:rsidRPr="003A01DF">
                    <w:rPr>
                      <w:rFonts w:ascii="Times New Roman" w:hAnsi="Times New Roman" w:cs="Times New Roman"/>
                      <w:bCs/>
                      <w:sz w:val="24"/>
                      <w:szCs w:val="24"/>
                    </w:rPr>
                    <w:t xml:space="preserve"> vai Šveices Konfederācijā</w:t>
                  </w:r>
                  <w:r w:rsidR="00BB09C4" w:rsidRPr="003A01DF">
                    <w:rPr>
                      <w:rFonts w:ascii="Times New Roman" w:hAnsi="Times New Roman" w:cs="Times New Roman"/>
                      <w:bCs/>
                      <w:sz w:val="24"/>
                      <w:szCs w:val="24"/>
                    </w:rPr>
                    <w:t xml:space="preserve">  </w:t>
                  </w:r>
                  <w:r w:rsidRPr="003A01DF">
                    <w:rPr>
                      <w:rFonts w:ascii="Times New Roman" w:hAnsi="Times New Roman" w:cs="Times New Roman"/>
                      <w:bCs/>
                      <w:sz w:val="24"/>
                      <w:szCs w:val="24"/>
                    </w:rPr>
                    <w:t>izraisītā negadījumā nodarīto zaudējumu administrēšanu</w:t>
                  </w:r>
                  <w:r w:rsidR="000B5339" w:rsidRPr="003A01DF">
                    <w:rPr>
                      <w:rFonts w:ascii="Times New Roman" w:hAnsi="Times New Roman" w:cs="Times New Roman"/>
                      <w:bCs/>
                      <w:sz w:val="24"/>
                      <w:szCs w:val="24"/>
                    </w:rPr>
                    <w:t xml:space="preserve"> (izskatīs pieteikumus sakarā ar speciālās militārās tehnikas nodarītajiem zaudējumiem, novērtēs nodarītos zaudējumus un pieņems lēmumu par apdrošināšanas atlīdzības izmaksu vai atteikumu izmaksāt aprosināšanas atlīdzību). Savukārt Aizsardzības ministrija veiks apdrošināšanas atlīdzības izmaksu</w:t>
                  </w:r>
                  <w:r w:rsidR="005C3C2B" w:rsidRPr="003A01DF">
                    <w:rPr>
                      <w:rFonts w:ascii="Times New Roman" w:hAnsi="Times New Roman" w:cs="Times New Roman"/>
                      <w:bCs/>
                      <w:sz w:val="24"/>
                      <w:szCs w:val="24"/>
                    </w:rPr>
                    <w:t xml:space="preserve"> pieteikuma iesniedzējam</w:t>
                  </w:r>
                  <w:r w:rsidR="0099107B" w:rsidRPr="003A01DF">
                    <w:rPr>
                      <w:rFonts w:ascii="Times New Roman" w:hAnsi="Times New Roman" w:cs="Times New Roman"/>
                      <w:bCs/>
                      <w:sz w:val="24"/>
                      <w:szCs w:val="24"/>
                    </w:rPr>
                    <w:t>.</w:t>
                  </w:r>
                  <w:r w:rsidR="000B5339" w:rsidRPr="003A01DF">
                    <w:rPr>
                      <w:rFonts w:ascii="Times New Roman" w:hAnsi="Times New Roman" w:cs="Times New Roman"/>
                      <w:bCs/>
                      <w:sz w:val="24"/>
                      <w:szCs w:val="24"/>
                    </w:rPr>
                    <w:t xml:space="preserve"> </w:t>
                  </w:r>
                </w:p>
                <w:p w14:paraId="2546E038" w14:textId="675137B1" w:rsidR="008F59EE" w:rsidRPr="003A01DF" w:rsidRDefault="008F59EE" w:rsidP="008F59EE">
                  <w:pPr>
                    <w:spacing w:after="0" w:line="240" w:lineRule="auto"/>
                    <w:ind w:firstLine="411"/>
                    <w:jc w:val="both"/>
                    <w:rPr>
                      <w:rFonts w:ascii="Times New Roman" w:hAnsi="Times New Roman" w:cs="Times New Roman"/>
                      <w:bCs/>
                      <w:sz w:val="24"/>
                      <w:szCs w:val="24"/>
                    </w:rPr>
                  </w:pPr>
                  <w:r w:rsidRPr="003A01DF">
                    <w:rPr>
                      <w:rFonts w:ascii="Times New Roman" w:hAnsi="Times New Roman" w:cs="Times New Roman"/>
                      <w:bCs/>
                      <w:sz w:val="24"/>
                      <w:szCs w:val="24"/>
                    </w:rPr>
                    <w:t xml:space="preserve">Atbilstoši Nacionālo bruņoto spēku apkopotajai statistikai pēdējos </w:t>
                  </w:r>
                  <w:r w:rsidR="007B3532" w:rsidRPr="003A01DF">
                    <w:rPr>
                      <w:rFonts w:ascii="Times New Roman" w:hAnsi="Times New Roman" w:cs="Times New Roman"/>
                      <w:bCs/>
                      <w:sz w:val="24"/>
                      <w:szCs w:val="24"/>
                    </w:rPr>
                    <w:t>piecos</w:t>
                  </w:r>
                  <w:r w:rsidRPr="003A01DF">
                    <w:rPr>
                      <w:rFonts w:ascii="Times New Roman" w:hAnsi="Times New Roman" w:cs="Times New Roman"/>
                      <w:bCs/>
                      <w:sz w:val="24"/>
                      <w:szCs w:val="24"/>
                    </w:rPr>
                    <w:t xml:space="preserve"> gados nav bijuši negadījumi, kuru izraisīšanā būtu vainojama speciālā militārā tehnika</w:t>
                  </w:r>
                  <w:r w:rsidR="001B1987" w:rsidRPr="003A01DF">
                    <w:rPr>
                      <w:rFonts w:ascii="Times New Roman" w:hAnsi="Times New Roman" w:cs="Times New Roman"/>
                      <w:bCs/>
                      <w:sz w:val="24"/>
                      <w:szCs w:val="24"/>
                    </w:rPr>
                    <w:t>, kas reģistrēta Latvijā</w:t>
                  </w:r>
                  <w:r w:rsidRPr="003A01DF">
                    <w:rPr>
                      <w:rFonts w:ascii="Times New Roman" w:hAnsi="Times New Roman" w:cs="Times New Roman"/>
                      <w:bCs/>
                      <w:sz w:val="24"/>
                      <w:szCs w:val="24"/>
                    </w:rPr>
                    <w:t xml:space="preserve">. </w:t>
                  </w:r>
                </w:p>
                <w:p w14:paraId="24077691" w14:textId="579C114C" w:rsidR="00B85A7A" w:rsidRPr="003A01DF" w:rsidRDefault="00B6656A" w:rsidP="0016464F">
                  <w:pPr>
                    <w:spacing w:after="0" w:line="240" w:lineRule="auto"/>
                    <w:ind w:firstLine="393"/>
                    <w:jc w:val="both"/>
                    <w:rPr>
                      <w:rFonts w:ascii="Times New Roman" w:hAnsi="Times New Roman" w:cs="Times New Roman"/>
                      <w:sz w:val="24"/>
                      <w:szCs w:val="24"/>
                    </w:rPr>
                  </w:pPr>
                  <w:r w:rsidRPr="003A01DF">
                    <w:rPr>
                      <w:rFonts w:ascii="Times New Roman" w:hAnsi="Times New Roman" w:cs="Times New Roman"/>
                      <w:bCs/>
                      <w:sz w:val="24"/>
                      <w:szCs w:val="24"/>
                    </w:rPr>
                    <w:t>A</w:t>
                  </w:r>
                  <w:r w:rsidR="008F59EE" w:rsidRPr="003A01DF">
                    <w:rPr>
                      <w:rFonts w:ascii="Times New Roman" w:hAnsi="Times New Roman" w:cs="Times New Roman"/>
                      <w:bCs/>
                      <w:sz w:val="24"/>
                      <w:szCs w:val="24"/>
                    </w:rPr>
                    <w:t xml:space="preserve">tbilstoši LTAB </w:t>
                  </w:r>
                  <w:r w:rsidR="0016464F" w:rsidRPr="003A01DF">
                    <w:rPr>
                      <w:rFonts w:ascii="Times New Roman" w:hAnsi="Times New Roman" w:cs="Times New Roman"/>
                      <w:bCs/>
                      <w:sz w:val="24"/>
                      <w:szCs w:val="24"/>
                    </w:rPr>
                    <w:t xml:space="preserve">sniegtajai informācijai - </w:t>
                  </w:r>
                  <w:r w:rsidR="0016464F" w:rsidRPr="003A01DF">
                    <w:rPr>
                      <w:rFonts w:ascii="Times New Roman" w:hAnsi="Times New Roman" w:cs="Times New Roman"/>
                      <w:sz w:val="24"/>
                      <w:szCs w:val="24"/>
                    </w:rPr>
                    <w:t xml:space="preserve"> ņemot vērā to, ka speciālā militārā tehnika nepiedalās ikdienas ceļu satiksmē, OCTA vidējo apdrošināšanas atlīdzību rādītāji uz to nebūtu attiecināmi. Tomēr, tā kā speciālā militārā tehnika ir ar ievērojamu masu, bet ar diezgan ierobežotām aktīvajām un pasīvajām drošības sistēmām, kas ceļu satiksmes negadījumā varētu pasargāt cietušās personas, iespējamo zaudējumu apmēra noteikšanā būtu jāsummē izmaksas, kas attiecas tieši uz personu zaudējumiem, kas tiek atlīdzināti gan par personu bojāeju, gan invaliditāti, gan nemateriālie zaudējumi</w:t>
                  </w:r>
                  <w:r w:rsidR="00C044E0" w:rsidRPr="003A01DF">
                    <w:rPr>
                      <w:rFonts w:ascii="Times New Roman" w:hAnsi="Times New Roman" w:cs="Times New Roman"/>
                      <w:sz w:val="24"/>
                      <w:szCs w:val="24"/>
                    </w:rPr>
                    <w:t xml:space="preserve"> (morālais kaitējums)</w:t>
                  </w:r>
                  <w:r w:rsidR="0016464F" w:rsidRPr="003A01DF">
                    <w:rPr>
                      <w:rFonts w:ascii="Times New Roman" w:hAnsi="Times New Roman" w:cs="Times New Roman"/>
                      <w:sz w:val="24"/>
                      <w:szCs w:val="24"/>
                    </w:rPr>
                    <w:t xml:space="preserve">. </w:t>
                  </w:r>
                  <w:r w:rsidR="004F02CA" w:rsidRPr="003A01DF">
                    <w:rPr>
                      <w:rFonts w:ascii="Times New Roman" w:hAnsi="Times New Roman" w:cs="Times New Roman"/>
                      <w:sz w:val="24"/>
                      <w:szCs w:val="24"/>
                    </w:rPr>
                    <w:t>P</w:t>
                  </w:r>
                  <w:r w:rsidR="0016464F" w:rsidRPr="003A01DF">
                    <w:rPr>
                      <w:rFonts w:ascii="Times New Roman" w:hAnsi="Times New Roman" w:cs="Times New Roman"/>
                      <w:sz w:val="24"/>
                      <w:szCs w:val="24"/>
                    </w:rPr>
                    <w:t xml:space="preserve">iemēram,  </w:t>
                  </w:r>
                  <w:r w:rsidR="004F02CA" w:rsidRPr="003A01DF">
                    <w:rPr>
                      <w:rFonts w:ascii="Times New Roman" w:hAnsi="Times New Roman" w:cs="Times New Roman"/>
                      <w:sz w:val="24"/>
                      <w:szCs w:val="24"/>
                    </w:rPr>
                    <w:t>lai saprastu, kādas atlīdzības tiek maksātas par vienu bojā gājušo, k</w:t>
                  </w:r>
                  <w:r w:rsidR="00C044E0" w:rsidRPr="003A01DF">
                    <w:rPr>
                      <w:rFonts w:ascii="Times New Roman" w:hAnsi="Times New Roman" w:cs="Times New Roman"/>
                      <w:sz w:val="24"/>
                      <w:szCs w:val="24"/>
                    </w:rPr>
                    <w:t>uram</w:t>
                  </w:r>
                  <w:r w:rsidR="004F02CA" w:rsidRPr="003A01DF">
                    <w:rPr>
                      <w:rFonts w:ascii="Times New Roman" w:hAnsi="Times New Roman" w:cs="Times New Roman"/>
                      <w:sz w:val="24"/>
                      <w:szCs w:val="24"/>
                    </w:rPr>
                    <w:t xml:space="preserve"> ir palicis viens apgādājamais - </w:t>
                  </w:r>
                  <w:r w:rsidR="0016464F" w:rsidRPr="003A01DF">
                    <w:rPr>
                      <w:rFonts w:ascii="Times New Roman" w:hAnsi="Times New Roman" w:cs="Times New Roman"/>
                      <w:sz w:val="24"/>
                      <w:szCs w:val="24"/>
                    </w:rPr>
                    <w:t xml:space="preserve">2017.gadā par apbedīšanas izdevumiem vidēji izmaksāts 2 317 </w:t>
                  </w:r>
                  <w:proofErr w:type="spellStart"/>
                  <w:r w:rsidR="00D728D7" w:rsidRPr="003A01DF">
                    <w:rPr>
                      <w:rFonts w:ascii="Times New Roman" w:hAnsi="Times New Roman" w:cs="Times New Roman"/>
                      <w:i/>
                      <w:sz w:val="24"/>
                      <w:szCs w:val="24"/>
                    </w:rPr>
                    <w:t>euro</w:t>
                  </w:r>
                  <w:proofErr w:type="spellEnd"/>
                  <w:r w:rsidR="004F02CA" w:rsidRPr="003A01DF">
                    <w:rPr>
                      <w:rFonts w:ascii="Times New Roman" w:hAnsi="Times New Roman" w:cs="Times New Roman"/>
                      <w:sz w:val="24"/>
                      <w:szCs w:val="24"/>
                    </w:rPr>
                    <w:t xml:space="preserve"> (par gadījumu)</w:t>
                  </w:r>
                  <w:r w:rsidR="0016464F" w:rsidRPr="003A01DF">
                    <w:rPr>
                      <w:rFonts w:ascii="Times New Roman" w:hAnsi="Times New Roman" w:cs="Times New Roman"/>
                      <w:sz w:val="24"/>
                      <w:szCs w:val="24"/>
                    </w:rPr>
                    <w:t>, kas papildinām</w:t>
                  </w:r>
                  <w:r w:rsidR="004F02CA" w:rsidRPr="003A01DF">
                    <w:rPr>
                      <w:rFonts w:ascii="Times New Roman" w:hAnsi="Times New Roman" w:cs="Times New Roman"/>
                      <w:sz w:val="24"/>
                      <w:szCs w:val="24"/>
                    </w:rPr>
                    <w:t>s</w:t>
                  </w:r>
                  <w:r w:rsidR="0016464F" w:rsidRPr="003A01DF">
                    <w:rPr>
                      <w:rFonts w:ascii="Times New Roman" w:hAnsi="Times New Roman" w:cs="Times New Roman"/>
                      <w:sz w:val="24"/>
                      <w:szCs w:val="24"/>
                    </w:rPr>
                    <w:t xml:space="preserve"> ar</w:t>
                  </w:r>
                  <w:r w:rsidR="004F02CA" w:rsidRPr="003A01DF">
                    <w:rPr>
                      <w:rFonts w:ascii="Times New Roman" w:hAnsi="Times New Roman" w:cs="Times New Roman"/>
                      <w:sz w:val="24"/>
                      <w:szCs w:val="24"/>
                    </w:rPr>
                    <w:t xml:space="preserve"> atlīdzībām par</w:t>
                  </w:r>
                  <w:r w:rsidR="0016464F" w:rsidRPr="003A01DF">
                    <w:rPr>
                      <w:rFonts w:ascii="Times New Roman" w:hAnsi="Times New Roman" w:cs="Times New Roman"/>
                      <w:sz w:val="24"/>
                      <w:szCs w:val="24"/>
                    </w:rPr>
                    <w:t xml:space="preserve"> nemateriālajiem zaudējumiem par  apgādnieka, apgādājamā vai laulātā </w:t>
                  </w:r>
                  <w:r w:rsidR="0016464F" w:rsidRPr="003A01DF">
                    <w:rPr>
                      <w:rFonts w:ascii="Times New Roman" w:hAnsi="Times New Roman" w:cs="Times New Roman"/>
                      <w:sz w:val="24"/>
                      <w:szCs w:val="24"/>
                    </w:rPr>
                    <w:lastRenderedPageBreak/>
                    <w:t xml:space="preserve">nāvi – 10 143 </w:t>
                  </w:r>
                  <w:proofErr w:type="spellStart"/>
                  <w:r w:rsidR="00D728D7" w:rsidRPr="003A01DF">
                    <w:rPr>
                      <w:rFonts w:ascii="Times New Roman" w:hAnsi="Times New Roman" w:cs="Times New Roman"/>
                      <w:i/>
                      <w:sz w:val="24"/>
                      <w:szCs w:val="24"/>
                    </w:rPr>
                    <w:t>euro</w:t>
                  </w:r>
                  <w:proofErr w:type="spellEnd"/>
                  <w:r w:rsidR="004F02CA" w:rsidRPr="003A01DF">
                    <w:rPr>
                      <w:rFonts w:ascii="Times New Roman" w:hAnsi="Times New Roman" w:cs="Times New Roman"/>
                      <w:sz w:val="24"/>
                      <w:szCs w:val="24"/>
                    </w:rPr>
                    <w:t xml:space="preserve"> (pieņemot, ka palicis 1 apgādājamais)</w:t>
                  </w:r>
                  <w:r w:rsidR="0016464F" w:rsidRPr="003A01DF">
                    <w:rPr>
                      <w:rFonts w:ascii="Times New Roman" w:hAnsi="Times New Roman" w:cs="Times New Roman"/>
                      <w:sz w:val="24"/>
                      <w:szCs w:val="24"/>
                    </w:rPr>
                    <w:t xml:space="preserve"> un atlīdzību Valsts sociālās apdrošināšanas aģentūrai par pensijām un pabalstiem apg</w:t>
                  </w:r>
                  <w:r w:rsidR="004F02CA" w:rsidRPr="003A01DF">
                    <w:rPr>
                      <w:rFonts w:ascii="Times New Roman" w:hAnsi="Times New Roman" w:cs="Times New Roman"/>
                      <w:sz w:val="24"/>
                      <w:szCs w:val="24"/>
                    </w:rPr>
                    <w:t>ādājama</w:t>
                  </w:r>
                  <w:r w:rsidR="0016464F" w:rsidRPr="003A01DF">
                    <w:rPr>
                      <w:rFonts w:ascii="Times New Roman" w:hAnsi="Times New Roman" w:cs="Times New Roman"/>
                      <w:sz w:val="24"/>
                      <w:szCs w:val="24"/>
                    </w:rPr>
                    <w:t xml:space="preserve">m, kas gadā sastāda vidēji 1 058 </w:t>
                  </w:r>
                  <w:proofErr w:type="spellStart"/>
                  <w:r w:rsidR="00D728D7" w:rsidRPr="003A01DF">
                    <w:rPr>
                      <w:rFonts w:ascii="Times New Roman" w:hAnsi="Times New Roman" w:cs="Times New Roman"/>
                      <w:i/>
                      <w:sz w:val="24"/>
                      <w:szCs w:val="24"/>
                    </w:rPr>
                    <w:t>euro</w:t>
                  </w:r>
                  <w:proofErr w:type="spellEnd"/>
                  <w:r w:rsidR="0016464F" w:rsidRPr="003A01DF">
                    <w:rPr>
                      <w:rFonts w:ascii="Times New Roman" w:hAnsi="Times New Roman" w:cs="Times New Roman"/>
                      <w:sz w:val="24"/>
                      <w:szCs w:val="24"/>
                    </w:rPr>
                    <w:t>. Šie pabalsti</w:t>
                  </w:r>
                  <w:r w:rsidR="00B85A7A" w:rsidRPr="003A01DF">
                    <w:rPr>
                      <w:rFonts w:ascii="Times New Roman" w:hAnsi="Times New Roman" w:cs="Times New Roman"/>
                      <w:sz w:val="24"/>
                      <w:szCs w:val="24"/>
                    </w:rPr>
                    <w:t xml:space="preserve"> ir jāsedz vairāku gadu garumā.</w:t>
                  </w:r>
                </w:p>
                <w:p w14:paraId="4D258F5D" w14:textId="3DDF63DB" w:rsidR="008F59EE" w:rsidRPr="003A01DF" w:rsidRDefault="004F02CA" w:rsidP="0016464F">
                  <w:pPr>
                    <w:spacing w:after="0" w:line="240" w:lineRule="auto"/>
                    <w:ind w:firstLine="393"/>
                    <w:jc w:val="both"/>
                    <w:rPr>
                      <w:rFonts w:ascii="Times New Roman" w:hAnsi="Times New Roman" w:cs="Times New Roman"/>
                      <w:sz w:val="24"/>
                      <w:szCs w:val="24"/>
                    </w:rPr>
                  </w:pPr>
                  <w:r w:rsidRPr="003A01DF">
                    <w:rPr>
                      <w:rFonts w:ascii="Times New Roman" w:hAnsi="Times New Roman" w:cs="Times New Roman"/>
                      <w:sz w:val="24"/>
                      <w:szCs w:val="24"/>
                    </w:rPr>
                    <w:t xml:space="preserve">Ņemot vērā minēto, </w:t>
                  </w:r>
                  <w:r w:rsidR="0016464F" w:rsidRPr="003A01DF">
                    <w:rPr>
                      <w:rFonts w:ascii="Times New Roman" w:hAnsi="Times New Roman" w:cs="Times New Roman"/>
                      <w:sz w:val="24"/>
                      <w:szCs w:val="24"/>
                    </w:rPr>
                    <w:t>var paredzēt, ka ceļu satiksmes negadījumā radītais zaudējumu apmērs</w:t>
                  </w:r>
                  <w:r w:rsidRPr="003A01DF">
                    <w:rPr>
                      <w:rFonts w:ascii="Times New Roman" w:hAnsi="Times New Roman" w:cs="Times New Roman"/>
                      <w:sz w:val="24"/>
                      <w:szCs w:val="24"/>
                    </w:rPr>
                    <w:t xml:space="preserve"> par vienu bojāgājušo personu vidēji</w:t>
                  </w:r>
                  <w:r w:rsidR="0016464F" w:rsidRPr="003A01DF">
                    <w:rPr>
                      <w:rFonts w:ascii="Times New Roman" w:hAnsi="Times New Roman" w:cs="Times New Roman"/>
                      <w:sz w:val="24"/>
                      <w:szCs w:val="24"/>
                    </w:rPr>
                    <w:t xml:space="preserve"> sastādīs vismaz</w:t>
                  </w:r>
                  <w:r w:rsidR="00C044E0" w:rsidRPr="003A01DF">
                    <w:rPr>
                      <w:rFonts w:ascii="Times New Roman" w:hAnsi="Times New Roman" w:cs="Times New Roman"/>
                      <w:sz w:val="24"/>
                      <w:szCs w:val="24"/>
                    </w:rPr>
                    <w:t xml:space="preserve"> </w:t>
                  </w:r>
                  <w:r w:rsidR="0016464F" w:rsidRPr="003A01DF">
                    <w:rPr>
                      <w:rFonts w:ascii="Times New Roman" w:hAnsi="Times New Roman" w:cs="Times New Roman"/>
                      <w:sz w:val="24"/>
                      <w:szCs w:val="24"/>
                    </w:rPr>
                    <w:t>2,3</w:t>
                  </w:r>
                  <w:r w:rsidRPr="003A01DF">
                    <w:rPr>
                      <w:rFonts w:ascii="Times New Roman" w:hAnsi="Times New Roman" w:cs="Times New Roman"/>
                      <w:sz w:val="24"/>
                      <w:szCs w:val="24"/>
                    </w:rPr>
                    <w:t xml:space="preserve"> tūkstoši </w:t>
                  </w:r>
                  <w:proofErr w:type="spellStart"/>
                  <w:r w:rsidR="00D728D7" w:rsidRPr="003A01DF">
                    <w:rPr>
                      <w:rFonts w:ascii="Times New Roman" w:hAnsi="Times New Roman" w:cs="Times New Roman"/>
                      <w:sz w:val="24"/>
                      <w:szCs w:val="24"/>
                    </w:rPr>
                    <w:t>euro</w:t>
                  </w:r>
                  <w:proofErr w:type="spellEnd"/>
                  <w:r w:rsidR="000F55F1" w:rsidRPr="003A01DF">
                    <w:rPr>
                      <w:rFonts w:ascii="Times New Roman" w:hAnsi="Times New Roman" w:cs="Times New Roman"/>
                      <w:sz w:val="24"/>
                      <w:szCs w:val="24"/>
                    </w:rPr>
                    <w:t xml:space="preserve"> </w:t>
                  </w:r>
                  <w:r w:rsidR="0016464F" w:rsidRPr="003A01DF">
                    <w:rPr>
                      <w:rFonts w:ascii="Times New Roman" w:hAnsi="Times New Roman" w:cs="Times New Roman"/>
                      <w:sz w:val="24"/>
                      <w:szCs w:val="24"/>
                    </w:rPr>
                    <w:t>+</w:t>
                  </w:r>
                  <w:r w:rsidR="00B85A7A" w:rsidRPr="003A01DF">
                    <w:rPr>
                      <w:rFonts w:ascii="Times New Roman" w:hAnsi="Times New Roman" w:cs="Times New Roman"/>
                      <w:sz w:val="24"/>
                      <w:szCs w:val="24"/>
                    </w:rPr>
                    <w:t xml:space="preserve"> (</w:t>
                  </w:r>
                  <w:r w:rsidR="0016464F" w:rsidRPr="003A01DF">
                    <w:rPr>
                      <w:rFonts w:ascii="Times New Roman" w:hAnsi="Times New Roman" w:cs="Times New Roman"/>
                      <w:sz w:val="24"/>
                      <w:szCs w:val="24"/>
                    </w:rPr>
                    <w:t>10,1</w:t>
                  </w:r>
                  <w:r w:rsidRPr="003A01DF">
                    <w:rPr>
                      <w:rFonts w:ascii="Times New Roman" w:hAnsi="Times New Roman" w:cs="Times New Roman"/>
                      <w:sz w:val="24"/>
                      <w:szCs w:val="24"/>
                    </w:rPr>
                    <w:t xml:space="preserve"> tūkstoši </w:t>
                  </w:r>
                  <w:proofErr w:type="spellStart"/>
                  <w:r w:rsidR="00D728D7" w:rsidRPr="003A01DF">
                    <w:rPr>
                      <w:rFonts w:ascii="Times New Roman" w:hAnsi="Times New Roman" w:cs="Times New Roman"/>
                      <w:sz w:val="24"/>
                      <w:szCs w:val="24"/>
                    </w:rPr>
                    <w:t>euro</w:t>
                  </w:r>
                  <w:proofErr w:type="spellEnd"/>
                  <w:r w:rsidRPr="003A01DF">
                    <w:rPr>
                      <w:rFonts w:ascii="Times New Roman" w:hAnsi="Times New Roman" w:cs="Times New Roman"/>
                      <w:sz w:val="24"/>
                      <w:szCs w:val="24"/>
                    </w:rPr>
                    <w:t xml:space="preserve"> </w:t>
                  </w:r>
                  <w:r w:rsidR="0016464F" w:rsidRPr="003A01DF">
                    <w:rPr>
                      <w:rFonts w:ascii="Times New Roman" w:hAnsi="Times New Roman" w:cs="Times New Roman"/>
                      <w:sz w:val="24"/>
                      <w:szCs w:val="24"/>
                    </w:rPr>
                    <w:t>+1,05</w:t>
                  </w:r>
                  <w:r w:rsidRPr="003A01DF">
                    <w:rPr>
                      <w:rFonts w:ascii="Times New Roman" w:hAnsi="Times New Roman" w:cs="Times New Roman"/>
                      <w:sz w:val="24"/>
                      <w:szCs w:val="24"/>
                    </w:rPr>
                    <w:t xml:space="preserve"> tūkstoši </w:t>
                  </w:r>
                  <w:proofErr w:type="spellStart"/>
                  <w:r w:rsidR="00D728D7" w:rsidRPr="003A01DF">
                    <w:rPr>
                      <w:rFonts w:ascii="Times New Roman" w:hAnsi="Times New Roman" w:cs="Times New Roman"/>
                      <w:sz w:val="24"/>
                      <w:szCs w:val="24"/>
                    </w:rPr>
                    <w:t>euro</w:t>
                  </w:r>
                  <w:proofErr w:type="spellEnd"/>
                  <w:r w:rsidR="00B85A7A" w:rsidRPr="003A01DF">
                    <w:rPr>
                      <w:rFonts w:ascii="Times New Roman" w:hAnsi="Times New Roman" w:cs="Times New Roman"/>
                      <w:sz w:val="24"/>
                      <w:szCs w:val="24"/>
                    </w:rPr>
                    <w:t>)</w:t>
                  </w:r>
                  <w:r w:rsidR="00C044E0" w:rsidRPr="003A01DF">
                    <w:rPr>
                      <w:rFonts w:ascii="Times New Roman" w:hAnsi="Times New Roman" w:cs="Times New Roman"/>
                      <w:sz w:val="24"/>
                      <w:szCs w:val="24"/>
                    </w:rPr>
                    <w:t xml:space="preserve">, </w:t>
                  </w:r>
                  <w:r w:rsidR="00B85A7A" w:rsidRPr="003A01DF">
                    <w:rPr>
                      <w:rFonts w:ascii="Times New Roman" w:hAnsi="Times New Roman" w:cs="Times New Roman"/>
                      <w:sz w:val="24"/>
                      <w:szCs w:val="24"/>
                    </w:rPr>
                    <w:t>reizin</w:t>
                  </w:r>
                  <w:r w:rsidR="00C044E0" w:rsidRPr="003A01DF">
                    <w:rPr>
                      <w:rFonts w:ascii="Times New Roman" w:hAnsi="Times New Roman" w:cs="Times New Roman"/>
                      <w:sz w:val="24"/>
                      <w:szCs w:val="24"/>
                    </w:rPr>
                    <w:t>ot</w:t>
                  </w:r>
                  <w:r w:rsidR="00B85A7A" w:rsidRPr="003A01DF">
                    <w:rPr>
                      <w:rFonts w:ascii="Times New Roman" w:hAnsi="Times New Roman" w:cs="Times New Roman"/>
                      <w:sz w:val="24"/>
                      <w:szCs w:val="24"/>
                    </w:rPr>
                    <w:t xml:space="preserve"> ar</w:t>
                  </w:r>
                  <w:r w:rsidRPr="003A01DF">
                    <w:rPr>
                      <w:rFonts w:ascii="Times New Roman" w:hAnsi="Times New Roman" w:cs="Times New Roman"/>
                      <w:sz w:val="24"/>
                      <w:szCs w:val="24"/>
                    </w:rPr>
                    <w:t xml:space="preserve"> </w:t>
                  </w:r>
                  <w:r w:rsidR="0016464F" w:rsidRPr="003A01DF">
                    <w:rPr>
                      <w:rFonts w:ascii="Times New Roman" w:hAnsi="Times New Roman" w:cs="Times New Roman"/>
                      <w:sz w:val="24"/>
                      <w:szCs w:val="24"/>
                    </w:rPr>
                    <w:t>gadu skait</w:t>
                  </w:r>
                  <w:r w:rsidR="00B85A7A" w:rsidRPr="003A01DF">
                    <w:rPr>
                      <w:rFonts w:ascii="Times New Roman" w:hAnsi="Times New Roman" w:cs="Times New Roman"/>
                      <w:sz w:val="24"/>
                      <w:szCs w:val="24"/>
                    </w:rPr>
                    <w:t>u</w:t>
                  </w:r>
                  <w:r w:rsidR="0016464F" w:rsidRPr="003A01DF">
                    <w:rPr>
                      <w:rFonts w:ascii="Times New Roman" w:hAnsi="Times New Roman" w:cs="Times New Roman"/>
                      <w:sz w:val="24"/>
                      <w:szCs w:val="24"/>
                    </w:rPr>
                    <w:t>, cik ilgi būs jāsedz pensiju un pabalst</w:t>
                  </w:r>
                  <w:r w:rsidRPr="003A01DF">
                    <w:rPr>
                      <w:rFonts w:ascii="Times New Roman" w:hAnsi="Times New Roman" w:cs="Times New Roman"/>
                      <w:sz w:val="24"/>
                      <w:szCs w:val="24"/>
                    </w:rPr>
                    <w:t>u maksājumi apgādājamajai personai</w:t>
                  </w:r>
                  <w:r w:rsidR="00B85A7A" w:rsidRPr="003A01DF">
                    <w:rPr>
                      <w:rFonts w:ascii="Times New Roman" w:hAnsi="Times New Roman" w:cs="Times New Roman"/>
                      <w:sz w:val="24"/>
                      <w:szCs w:val="24"/>
                    </w:rPr>
                    <w:t xml:space="preserve"> (</w:t>
                  </w:r>
                  <w:r w:rsidR="0016464F" w:rsidRPr="003A01DF">
                    <w:rPr>
                      <w:rFonts w:ascii="Times New Roman" w:hAnsi="Times New Roman" w:cs="Times New Roman"/>
                      <w:sz w:val="24"/>
                      <w:szCs w:val="24"/>
                    </w:rPr>
                    <w:t xml:space="preserve">piem., 10 gadi), </w:t>
                  </w:r>
                  <w:r w:rsidR="00B85A7A" w:rsidRPr="003A01DF">
                    <w:rPr>
                      <w:rFonts w:ascii="Times New Roman" w:hAnsi="Times New Roman" w:cs="Times New Roman"/>
                      <w:sz w:val="24"/>
                      <w:szCs w:val="24"/>
                    </w:rPr>
                    <w:t>sanāk</w:t>
                  </w:r>
                  <w:r w:rsidR="0016464F" w:rsidRPr="003A01DF">
                    <w:rPr>
                      <w:rFonts w:ascii="Times New Roman" w:hAnsi="Times New Roman" w:cs="Times New Roman"/>
                      <w:sz w:val="24"/>
                      <w:szCs w:val="24"/>
                    </w:rPr>
                    <w:t xml:space="preserve"> vairāk kā 20 </w:t>
                  </w:r>
                  <w:r w:rsidR="00493883" w:rsidRPr="003A01DF">
                    <w:rPr>
                      <w:rFonts w:ascii="Times New Roman" w:hAnsi="Times New Roman" w:cs="Times New Roman"/>
                      <w:sz w:val="24"/>
                      <w:szCs w:val="24"/>
                    </w:rPr>
                    <w:t xml:space="preserve">000 </w:t>
                  </w:r>
                  <w:proofErr w:type="spellStart"/>
                  <w:r w:rsidR="00B85A7A" w:rsidRPr="003A01DF">
                    <w:rPr>
                      <w:rFonts w:ascii="Times New Roman" w:hAnsi="Times New Roman" w:cs="Times New Roman"/>
                      <w:sz w:val="24"/>
                      <w:szCs w:val="24"/>
                    </w:rPr>
                    <w:t>euro</w:t>
                  </w:r>
                  <w:proofErr w:type="spellEnd"/>
                  <w:r w:rsidR="00B85A7A" w:rsidRPr="003A01DF">
                    <w:rPr>
                      <w:rFonts w:ascii="Times New Roman" w:hAnsi="Times New Roman" w:cs="Times New Roman"/>
                      <w:sz w:val="24"/>
                      <w:szCs w:val="24"/>
                    </w:rPr>
                    <w:t>. T</w:t>
                  </w:r>
                  <w:r w:rsidR="0016464F" w:rsidRPr="003A01DF">
                    <w:rPr>
                      <w:rFonts w:ascii="Times New Roman" w:hAnsi="Times New Roman" w:cs="Times New Roman"/>
                      <w:sz w:val="24"/>
                      <w:szCs w:val="24"/>
                    </w:rPr>
                    <w:t>omēr  patiesās izmaksas varētu būt arī krietni lielākas, jo to apmērs ir atkarīgs no ceļu satiksmes negadījumā cietušo personu skaita un nodarīto zaudējumu smaguma pakāpes</w:t>
                  </w:r>
                  <w:r w:rsidR="00504396" w:rsidRPr="003A01DF">
                    <w:rPr>
                      <w:rFonts w:ascii="Times New Roman" w:hAnsi="Times New Roman" w:cs="Times New Roman"/>
                      <w:sz w:val="24"/>
                      <w:szCs w:val="24"/>
                    </w:rPr>
                    <w:t>.</w:t>
                  </w:r>
                  <w:r w:rsidR="006B5160" w:rsidRPr="003A01DF">
                    <w:rPr>
                      <w:rFonts w:ascii="Times New Roman" w:hAnsi="Times New Roman" w:cs="Times New Roman"/>
                      <w:sz w:val="24"/>
                      <w:szCs w:val="24"/>
                    </w:rPr>
                    <w:t xml:space="preserve"> </w:t>
                  </w:r>
                  <w:r w:rsidR="006B5160" w:rsidRPr="003A01DF">
                    <w:rPr>
                      <w:rFonts w:ascii="Times New Roman" w:hAnsi="Times New Roman" w:cs="Times New Roman"/>
                      <w:iCs/>
                      <w:sz w:val="24"/>
                      <w:szCs w:val="24"/>
                    </w:rPr>
                    <w:t xml:space="preserve">Lai nodrošinātos pret lielām izmaksām, katru gadu gan apdrošinātāju, gan Garantijas fonda saistības tiek pārapdrošinātas, lai ceļu satiksmes negadījumā cietušajiem tiktu nodrošināta iespēja OCTA likumā noteiktajos termiņos saņemt apdrošināšanas atlīdzību par nodarītajiem zaudējumiem pilnā apmērā. Piemēram, Garantijas fonda saistības tiek pārapdrošinātas par negadījumiem, kuros zaudējumu  apmērs pārsniedz 400 000 </w:t>
                  </w:r>
                  <w:proofErr w:type="spellStart"/>
                  <w:r w:rsidR="006B5160" w:rsidRPr="003A01DF">
                    <w:rPr>
                      <w:rFonts w:ascii="Times New Roman" w:hAnsi="Times New Roman" w:cs="Times New Roman"/>
                      <w:i/>
                      <w:iCs/>
                      <w:sz w:val="24"/>
                      <w:szCs w:val="24"/>
                    </w:rPr>
                    <w:t>euro</w:t>
                  </w:r>
                  <w:proofErr w:type="spellEnd"/>
                  <w:r w:rsidR="006B5160" w:rsidRPr="003A01DF">
                    <w:rPr>
                      <w:rFonts w:ascii="Times New Roman" w:hAnsi="Times New Roman" w:cs="Times New Roman"/>
                      <w:iCs/>
                      <w:sz w:val="24"/>
                      <w:szCs w:val="24"/>
                    </w:rPr>
                    <w:t xml:space="preserve">,   nodrošinot neierobežotu pārapdrošināšanas segumu, kā rezultātā tiek izlīdzināts iespējamais finansiālais slogs uz Garantijas fondu. Garantijas fonda darbības periodā līdz šim ir bijis viens gadījums, kurā nācies segt zaudējumus lielā apmērā (kopējā zaudējumu summa ~ 500 000 </w:t>
                  </w:r>
                  <w:proofErr w:type="spellStart"/>
                  <w:r w:rsidR="006B5160" w:rsidRPr="003A01DF">
                    <w:rPr>
                      <w:rFonts w:ascii="Times New Roman" w:hAnsi="Times New Roman" w:cs="Times New Roman"/>
                      <w:i/>
                      <w:iCs/>
                      <w:sz w:val="24"/>
                      <w:szCs w:val="24"/>
                    </w:rPr>
                    <w:t>euro</w:t>
                  </w:r>
                  <w:proofErr w:type="spellEnd"/>
                  <w:r w:rsidR="006B5160" w:rsidRPr="003A01DF">
                    <w:rPr>
                      <w:rFonts w:ascii="Times New Roman" w:hAnsi="Times New Roman" w:cs="Times New Roman"/>
                      <w:iCs/>
                      <w:sz w:val="24"/>
                      <w:szCs w:val="24"/>
                    </w:rPr>
                    <w:t xml:space="preserve">), pieslēdzot pārapdrošinātāju segumu, bet OCTA apdrošinātājiem gan ir bijuši vairāki šādi gadījumi, kur zaudējumu summa sasniegusi pat 5 un 8 miljonus </w:t>
                  </w:r>
                  <w:proofErr w:type="spellStart"/>
                  <w:r w:rsidR="006B5160" w:rsidRPr="003A01DF">
                    <w:rPr>
                      <w:rFonts w:ascii="Times New Roman" w:hAnsi="Times New Roman" w:cs="Times New Roman"/>
                      <w:i/>
                      <w:iCs/>
                      <w:sz w:val="24"/>
                      <w:szCs w:val="24"/>
                    </w:rPr>
                    <w:t>euro</w:t>
                  </w:r>
                  <w:proofErr w:type="spellEnd"/>
                  <w:r w:rsidR="006B5160" w:rsidRPr="003A01DF">
                    <w:rPr>
                      <w:rFonts w:ascii="Times New Roman" w:hAnsi="Times New Roman" w:cs="Times New Roman"/>
                      <w:iCs/>
                      <w:sz w:val="24"/>
                      <w:szCs w:val="24"/>
                    </w:rPr>
                    <w:t>.</w:t>
                  </w:r>
                </w:p>
                <w:p w14:paraId="7874C089" w14:textId="5DB7D55A" w:rsidR="00327CF4" w:rsidRPr="003A01DF" w:rsidRDefault="008F59EE" w:rsidP="008F59EE">
                  <w:pPr>
                    <w:spacing w:after="0" w:line="240" w:lineRule="auto"/>
                    <w:ind w:firstLine="411"/>
                    <w:jc w:val="both"/>
                    <w:rPr>
                      <w:rFonts w:ascii="Times New Roman" w:hAnsi="Times New Roman" w:cs="Times New Roman"/>
                      <w:bCs/>
                      <w:sz w:val="24"/>
                      <w:szCs w:val="24"/>
                    </w:rPr>
                  </w:pPr>
                  <w:r w:rsidRPr="003A01DF">
                    <w:rPr>
                      <w:rFonts w:ascii="Times New Roman" w:hAnsi="Times New Roman" w:cs="Times New Roman"/>
                      <w:bCs/>
                      <w:sz w:val="24"/>
                      <w:szCs w:val="24"/>
                    </w:rPr>
                    <w:t>Tādējādi, lai Latvija</w:t>
                  </w:r>
                  <w:r w:rsidR="00A851B4" w:rsidRPr="003A01DF">
                    <w:rPr>
                      <w:rFonts w:ascii="Times New Roman" w:hAnsi="Times New Roman" w:cs="Times New Roman"/>
                      <w:bCs/>
                      <w:sz w:val="24"/>
                      <w:szCs w:val="24"/>
                    </w:rPr>
                    <w:t>s Republika</w:t>
                  </w:r>
                  <w:r w:rsidRPr="003A01DF">
                    <w:rPr>
                      <w:rFonts w:ascii="Times New Roman" w:hAnsi="Times New Roman" w:cs="Times New Roman"/>
                      <w:bCs/>
                      <w:sz w:val="24"/>
                      <w:szCs w:val="24"/>
                    </w:rPr>
                    <w:t xml:space="preserve"> noteiktu izņēmumu no Direktīvas 3. pantā noteiktā pienākuma veikt apdrošināšanu Nacionālo bruņoto spēku speciālajai militārajai tehnikai</w:t>
                  </w:r>
                  <w:r w:rsidR="00E41CB3" w:rsidRPr="003A01DF">
                    <w:rPr>
                      <w:rFonts w:ascii="Times New Roman" w:hAnsi="Times New Roman" w:cs="Times New Roman"/>
                      <w:bCs/>
                      <w:sz w:val="24"/>
                      <w:szCs w:val="24"/>
                    </w:rPr>
                    <w:t xml:space="preserve">, Aizsardzības ministrija, konsultējoties </w:t>
                  </w:r>
                  <w:r w:rsidRPr="003A01DF">
                    <w:rPr>
                      <w:rFonts w:ascii="Times New Roman" w:hAnsi="Times New Roman" w:cs="Times New Roman"/>
                      <w:bCs/>
                      <w:sz w:val="24"/>
                      <w:szCs w:val="24"/>
                    </w:rPr>
                    <w:t>ar LTAB</w:t>
                  </w:r>
                  <w:r w:rsidR="00E41CB3" w:rsidRPr="003A01DF">
                    <w:rPr>
                      <w:rFonts w:ascii="Times New Roman" w:hAnsi="Times New Roman" w:cs="Times New Roman"/>
                      <w:bCs/>
                      <w:sz w:val="24"/>
                      <w:szCs w:val="24"/>
                    </w:rPr>
                    <w:t>,</w:t>
                  </w:r>
                  <w:r w:rsidRPr="003A01DF">
                    <w:rPr>
                      <w:rFonts w:ascii="Times New Roman" w:hAnsi="Times New Roman" w:cs="Times New Roman"/>
                      <w:bCs/>
                      <w:sz w:val="24"/>
                      <w:szCs w:val="24"/>
                    </w:rPr>
                    <w:t xml:space="preserve"> ir izstrādājusi grozījumus Likumā, kas </w:t>
                  </w:r>
                  <w:r w:rsidRPr="003A01DF">
                    <w:rPr>
                      <w:rFonts w:ascii="Times New Roman" w:hAnsi="Times New Roman" w:cs="Times New Roman"/>
                      <w:b/>
                      <w:bCs/>
                      <w:sz w:val="24"/>
                      <w:szCs w:val="24"/>
                    </w:rPr>
                    <w:t>paredz noteikt</w:t>
                  </w:r>
                  <w:r w:rsidRPr="003A01DF">
                    <w:rPr>
                      <w:rFonts w:ascii="Times New Roman" w:hAnsi="Times New Roman" w:cs="Times New Roman"/>
                      <w:bCs/>
                      <w:sz w:val="24"/>
                      <w:szCs w:val="24"/>
                    </w:rPr>
                    <w:t xml:space="preserve">: </w:t>
                  </w:r>
                </w:p>
                <w:p w14:paraId="38AE9C37" w14:textId="77777777" w:rsidR="00327CF4" w:rsidRPr="003A01DF" w:rsidRDefault="008F59EE" w:rsidP="00284111">
                  <w:pPr>
                    <w:spacing w:after="0" w:line="240" w:lineRule="auto"/>
                    <w:ind w:firstLine="706"/>
                    <w:jc w:val="both"/>
                    <w:rPr>
                      <w:rFonts w:ascii="Times New Roman" w:hAnsi="Times New Roman" w:cs="Times New Roman"/>
                      <w:bCs/>
                      <w:sz w:val="24"/>
                      <w:szCs w:val="24"/>
                    </w:rPr>
                  </w:pPr>
                  <w:r w:rsidRPr="003A01DF">
                    <w:rPr>
                      <w:rFonts w:ascii="Times New Roman" w:hAnsi="Times New Roman" w:cs="Times New Roman"/>
                      <w:b/>
                      <w:bCs/>
                      <w:sz w:val="24"/>
                      <w:szCs w:val="24"/>
                    </w:rPr>
                    <w:t>1)</w:t>
                  </w:r>
                  <w:r w:rsidRPr="003A01DF">
                    <w:rPr>
                      <w:rFonts w:ascii="Times New Roman" w:hAnsi="Times New Roman" w:cs="Times New Roman"/>
                      <w:bCs/>
                      <w:sz w:val="24"/>
                      <w:szCs w:val="24"/>
                    </w:rPr>
                    <w:t xml:space="preserve"> izņēmumu no apdrošināšanas pienākuma attiecībā uz Latvijas Nacionālo bruņoto spēku speciālo militāro tehniku, kas reģistrēta Nacionālo bruņoto spēku reģistrā; </w:t>
                  </w:r>
                </w:p>
                <w:p w14:paraId="162AE92B" w14:textId="2E6CE259" w:rsidR="00EA7CA1" w:rsidRPr="003A01DF" w:rsidRDefault="008F59EE" w:rsidP="00EA7CA1">
                  <w:pPr>
                    <w:spacing w:after="0" w:line="240" w:lineRule="auto"/>
                    <w:ind w:firstLine="706"/>
                    <w:jc w:val="both"/>
                    <w:rPr>
                      <w:rFonts w:ascii="Times New Roman" w:hAnsi="Times New Roman" w:cs="Times New Roman"/>
                      <w:bCs/>
                      <w:sz w:val="24"/>
                      <w:szCs w:val="24"/>
                    </w:rPr>
                  </w:pPr>
                  <w:r w:rsidRPr="003A01DF">
                    <w:rPr>
                      <w:rFonts w:ascii="Times New Roman" w:hAnsi="Times New Roman" w:cs="Times New Roman"/>
                      <w:b/>
                      <w:bCs/>
                      <w:sz w:val="24"/>
                      <w:szCs w:val="24"/>
                    </w:rPr>
                    <w:t>2)</w:t>
                  </w:r>
                  <w:r w:rsidRPr="003A01DF">
                    <w:rPr>
                      <w:rFonts w:ascii="Times New Roman" w:hAnsi="Times New Roman" w:cs="Times New Roman"/>
                      <w:bCs/>
                      <w:sz w:val="24"/>
                      <w:szCs w:val="24"/>
                    </w:rPr>
                    <w:t xml:space="preserve"> </w:t>
                  </w:r>
                  <w:r w:rsidR="00327CF4" w:rsidRPr="003A01DF">
                    <w:rPr>
                      <w:rFonts w:ascii="Times New Roman" w:hAnsi="Times New Roman" w:cs="Times New Roman"/>
                      <w:bCs/>
                      <w:sz w:val="24"/>
                      <w:szCs w:val="24"/>
                    </w:rPr>
                    <w:t xml:space="preserve">LTAB pienākumu izskatīt pieteikumus sakarā ar speciālās militārās tehnikas nodarītajiem zaudējumiem, kas radušies ceļu satiksmes negadījumā Latvijas Republikā, citā Eiropas Ekonomikas zonas valstī vai Šveices Konfederācijā, novērtēt nodarītos zaudējumus un </w:t>
                  </w:r>
                  <w:r w:rsidR="00EA7CA1" w:rsidRPr="003A01DF">
                    <w:rPr>
                      <w:rFonts w:ascii="Times New Roman" w:hAnsi="Times New Roman" w:cs="Times New Roman"/>
                      <w:bCs/>
                      <w:sz w:val="24"/>
                      <w:szCs w:val="24"/>
                    </w:rPr>
                    <w:t>pieņemt lēmumu par apdrošināšanas atlīdzības izmaksu</w:t>
                  </w:r>
                  <w:r w:rsidR="003C2FF4" w:rsidRPr="003A01DF">
                    <w:rPr>
                      <w:rFonts w:ascii="Times New Roman" w:hAnsi="Times New Roman" w:cs="Times New Roman"/>
                      <w:bCs/>
                      <w:sz w:val="24"/>
                      <w:szCs w:val="24"/>
                    </w:rPr>
                    <w:t xml:space="preserve"> 70 dienu laikā no pieteikuma saņemšanas dienas,  bet ne vēlāk kā mēneša laikā pēc visu </w:t>
                  </w:r>
                  <w:r w:rsidR="003C2FF4" w:rsidRPr="003A01DF">
                    <w:rPr>
                      <w:rFonts w:ascii="Times New Roman" w:hAnsi="Times New Roman" w:cs="Times New Roman"/>
                      <w:bCs/>
                      <w:sz w:val="24"/>
                      <w:szCs w:val="24"/>
                    </w:rPr>
                    <w:lastRenderedPageBreak/>
                    <w:t xml:space="preserve">nepieciešamo dokumentu saņemšanas, pieņem lēmumu par apdrošināšanas atlīdzības izmaksu </w:t>
                  </w:r>
                  <w:r w:rsidR="003C2FF4" w:rsidRPr="003A01DF">
                    <w:rPr>
                      <w:rFonts w:ascii="Times New Roman" w:hAnsi="Times New Roman" w:cs="Times New Roman"/>
                      <w:sz w:val="24"/>
                      <w:szCs w:val="24"/>
                    </w:rPr>
                    <w:t>vai atteikumu</w:t>
                  </w:r>
                  <w:r w:rsidR="00327CF4" w:rsidRPr="003A01DF">
                    <w:rPr>
                      <w:rFonts w:ascii="Times New Roman" w:hAnsi="Times New Roman" w:cs="Times New Roman"/>
                      <w:bCs/>
                      <w:sz w:val="24"/>
                      <w:szCs w:val="24"/>
                    </w:rPr>
                    <w:t>;</w:t>
                  </w:r>
                </w:p>
                <w:p w14:paraId="16A1A83F" w14:textId="77777777" w:rsidR="00743177" w:rsidRPr="003A01DF" w:rsidRDefault="00EA7CA1" w:rsidP="007F2F22">
                  <w:pPr>
                    <w:ind w:firstLine="706"/>
                    <w:jc w:val="both"/>
                    <w:rPr>
                      <w:rFonts w:ascii="Times New Roman" w:hAnsi="Times New Roman" w:cs="Times New Roman"/>
                      <w:color w:val="000000"/>
                      <w:sz w:val="24"/>
                      <w:szCs w:val="24"/>
                    </w:rPr>
                  </w:pPr>
                  <w:r w:rsidRPr="003A01DF">
                    <w:rPr>
                      <w:rFonts w:ascii="Times New Roman" w:hAnsi="Times New Roman" w:cs="Times New Roman"/>
                      <w:bCs/>
                      <w:sz w:val="24"/>
                      <w:szCs w:val="24"/>
                    </w:rPr>
                    <w:t>Direktīvas</w:t>
                  </w:r>
                  <w:r w:rsidRPr="003A01DF">
                    <w:rPr>
                      <w:rFonts w:ascii="Times New Roman" w:hAnsi="Times New Roman" w:cs="Times New Roman"/>
                      <w:sz w:val="24"/>
                      <w:szCs w:val="24"/>
                    </w:rPr>
                    <w:t xml:space="preserve"> </w:t>
                  </w:r>
                  <w:r w:rsidRPr="003A01DF">
                    <w:rPr>
                      <w:rFonts w:ascii="Times New Roman" w:hAnsi="Times New Roman" w:cs="Times New Roman"/>
                      <w:iCs/>
                      <w:color w:val="000000"/>
                      <w:sz w:val="24"/>
                      <w:szCs w:val="24"/>
                    </w:rPr>
                    <w:t>22. pants nosaka, ka “</w:t>
                  </w:r>
                  <w:r w:rsidRPr="003A01DF">
                    <w:rPr>
                      <w:rFonts w:ascii="Times New Roman" w:hAnsi="Times New Roman" w:cs="Times New Roman"/>
                      <w:color w:val="000000"/>
                      <w:sz w:val="24"/>
                      <w:szCs w:val="24"/>
                    </w:rPr>
                    <w:t xml:space="preserve">Dalībvalstis, nosakot attiecīgus efektīvus un sistemātiskus finansiālus vai līdzvērtīgus administratīvus sodus, triju mēnešu laikā pēc dienas, kad cietusī persona ir iesniegusi kompensācijas prasību vai nu tieši tās personas, kura ir izraisījusi negadījumu, apdrošināšanas sabiedrībai, vai tās atlīdzības prasību administrēšanas pārstāvim, paredz pienākumu: </w:t>
                  </w:r>
                </w:p>
                <w:p w14:paraId="238E5C17" w14:textId="0FCF1692" w:rsidR="00743177" w:rsidRPr="003A01DF" w:rsidRDefault="00EA7CA1" w:rsidP="007F2F22">
                  <w:pPr>
                    <w:ind w:firstLine="706"/>
                    <w:jc w:val="both"/>
                    <w:rPr>
                      <w:rFonts w:ascii="Times New Roman" w:hAnsi="Times New Roman" w:cs="Times New Roman"/>
                      <w:color w:val="000000"/>
                      <w:sz w:val="24"/>
                      <w:szCs w:val="24"/>
                    </w:rPr>
                  </w:pPr>
                  <w:r w:rsidRPr="003A01DF">
                    <w:rPr>
                      <w:rFonts w:ascii="Times New Roman" w:hAnsi="Times New Roman" w:cs="Times New Roman"/>
                      <w:color w:val="000000"/>
                      <w:sz w:val="24"/>
                      <w:szCs w:val="24"/>
                    </w:rPr>
                    <w:t>a) tās personas, kura ir izraisījusi negadījumu, apdrošināšanas sabiedrībai vai tās atlīdzības prasību administrēšanas pārstāvim piedāvāt pamatotu kompensāciju gadījumos, kad atbildība nav apstrīdama un radīto zaudējumu apmērs ir noteikts</w:t>
                  </w:r>
                  <w:r w:rsidR="00743177" w:rsidRPr="003A01DF">
                    <w:rPr>
                      <w:rFonts w:ascii="Times New Roman" w:hAnsi="Times New Roman" w:cs="Times New Roman"/>
                      <w:color w:val="000000"/>
                      <w:sz w:val="24"/>
                      <w:szCs w:val="24"/>
                    </w:rPr>
                    <w:t>; vai</w:t>
                  </w:r>
                </w:p>
                <w:p w14:paraId="2DB84660" w14:textId="47BFC8FD" w:rsidR="00EA7CA1" w:rsidRPr="003A01DF" w:rsidRDefault="00EA7CA1" w:rsidP="007F2F22">
                  <w:pPr>
                    <w:ind w:firstLine="706"/>
                    <w:jc w:val="both"/>
                    <w:rPr>
                      <w:rFonts w:ascii="Times New Roman" w:hAnsi="Times New Roman" w:cs="Times New Roman"/>
                      <w:color w:val="000000"/>
                      <w:sz w:val="24"/>
                      <w:szCs w:val="24"/>
                    </w:rPr>
                  </w:pPr>
                  <w:r w:rsidRPr="003A01DF">
                    <w:rPr>
                      <w:rFonts w:ascii="Times New Roman" w:hAnsi="Times New Roman" w:cs="Times New Roman"/>
                      <w:color w:val="000000"/>
                      <w:sz w:val="24"/>
                      <w:szCs w:val="24"/>
                    </w:rPr>
                    <w:t xml:space="preserve">b) apdrošināšanas sabiedrībai, kurai kompensācijas prasība adresēta, vai tās atlīdzības prasību administrēšanas pārstāvim sniegt pamatotu atbildi par prasības punktiem, ja atbildību noraida vai tā nav bijusi skaidri noteikta, vai radīto zaudējumu apmērs nav pilnībā noteikts. Dalībvalstis pieņem noteikumus, lai nodrošinātu, ka tad, ja piedāvājums nav sniegts triju mēnešu laikā, jāmaksā procenti par kompensācijas summu, ko cietušai personai piedāvājusi apdrošināšanas sabiedrība vai piespriedusi tiesa. </w:t>
                  </w:r>
                </w:p>
                <w:p w14:paraId="3B7A00AA" w14:textId="39D7285E" w:rsidR="00181434" w:rsidRPr="003A01DF" w:rsidRDefault="00EA7CA1" w:rsidP="007F2F22">
                  <w:pPr>
                    <w:ind w:firstLine="706"/>
                    <w:jc w:val="both"/>
                    <w:rPr>
                      <w:rFonts w:ascii="Times New Roman" w:hAnsi="Times New Roman" w:cs="Times New Roman"/>
                      <w:color w:val="000000"/>
                      <w:sz w:val="24"/>
                      <w:szCs w:val="24"/>
                    </w:rPr>
                  </w:pPr>
                  <w:r w:rsidRPr="003A01DF">
                    <w:rPr>
                      <w:rFonts w:ascii="Times New Roman" w:hAnsi="Times New Roman" w:cs="Times New Roman"/>
                      <w:bCs/>
                      <w:sz w:val="24"/>
                      <w:szCs w:val="24"/>
                    </w:rPr>
                    <w:t>LTAB</w:t>
                  </w:r>
                  <w:r w:rsidR="00181434" w:rsidRPr="003A01DF">
                    <w:rPr>
                      <w:rFonts w:ascii="Times New Roman" w:hAnsi="Times New Roman" w:cs="Times New Roman"/>
                      <w:bCs/>
                      <w:sz w:val="24"/>
                      <w:szCs w:val="24"/>
                    </w:rPr>
                    <w:t xml:space="preserve"> ir noteikts atšķirīgs lēmuma </w:t>
                  </w:r>
                  <w:r w:rsidRPr="003A01DF">
                    <w:rPr>
                      <w:rFonts w:ascii="Times New Roman" w:hAnsi="Times New Roman" w:cs="Times New Roman"/>
                      <w:bCs/>
                      <w:sz w:val="24"/>
                      <w:szCs w:val="24"/>
                    </w:rPr>
                    <w:t>pieņemšanas termiņš, ja tam jāpieņem lēmums attiecībā par speciālās militārās tehnikas nodarītajiem zaudējumiem, jo</w:t>
                  </w:r>
                  <w:r w:rsidRPr="003A01DF">
                    <w:rPr>
                      <w:rFonts w:ascii="Times New Roman" w:hAnsi="Times New Roman" w:cs="Times New Roman"/>
                      <w:sz w:val="24"/>
                      <w:szCs w:val="24"/>
                    </w:rPr>
                    <w:t xml:space="preserve"> speciālās militārās tehnikas nodarītos zaudējumus atlīdzinās Aizsardzības ministrija. Savukārt Aizsardzības ministrija objektīvu apsvērumu dēļ apdrošināšanas atlīdzī</w:t>
                  </w:r>
                  <w:r w:rsidR="00636328" w:rsidRPr="003A01DF">
                    <w:rPr>
                      <w:rFonts w:ascii="Times New Roman" w:hAnsi="Times New Roman" w:cs="Times New Roman"/>
                      <w:sz w:val="24"/>
                      <w:szCs w:val="24"/>
                    </w:rPr>
                    <w:t xml:space="preserve">bu spēs izmaksāt tikai 15 </w:t>
                  </w:r>
                  <w:r w:rsidR="00EC3234" w:rsidRPr="003A01DF">
                    <w:rPr>
                      <w:rFonts w:ascii="Times New Roman" w:hAnsi="Times New Roman" w:cs="Times New Roman"/>
                      <w:sz w:val="24"/>
                      <w:szCs w:val="24"/>
                    </w:rPr>
                    <w:t xml:space="preserve">kalendāra dienu </w:t>
                  </w:r>
                  <w:r w:rsidRPr="003A01DF">
                    <w:rPr>
                      <w:rFonts w:ascii="Times New Roman" w:hAnsi="Times New Roman" w:cs="Times New Roman"/>
                      <w:sz w:val="24"/>
                      <w:szCs w:val="24"/>
                    </w:rPr>
                    <w:t xml:space="preserve">laikā no LTAB lēmuma saņemšanas brīža, bet, ievērojot Direktīvas 22. pantā noteikto, valstij jānodrošina  </w:t>
                  </w:r>
                  <w:r w:rsidR="00EC3234" w:rsidRPr="003A01DF">
                    <w:rPr>
                      <w:rFonts w:ascii="Times New Roman" w:hAnsi="Times New Roman" w:cs="Times New Roman"/>
                      <w:sz w:val="24"/>
                      <w:szCs w:val="24"/>
                    </w:rPr>
                    <w:t xml:space="preserve">pamatotas </w:t>
                  </w:r>
                  <w:r w:rsidRPr="003A01DF">
                    <w:rPr>
                      <w:rFonts w:ascii="Times New Roman" w:hAnsi="Times New Roman" w:cs="Times New Roman"/>
                      <w:sz w:val="24"/>
                      <w:szCs w:val="24"/>
                    </w:rPr>
                    <w:t xml:space="preserve"> kompensācija</w:t>
                  </w:r>
                  <w:r w:rsidR="00EC3234" w:rsidRPr="003A01DF">
                    <w:rPr>
                      <w:rFonts w:ascii="Times New Roman" w:hAnsi="Times New Roman" w:cs="Times New Roman"/>
                      <w:sz w:val="24"/>
                      <w:szCs w:val="24"/>
                    </w:rPr>
                    <w:t>s sniegšana</w:t>
                  </w:r>
                  <w:r w:rsidRPr="003A01DF">
                    <w:rPr>
                      <w:rFonts w:ascii="Times New Roman" w:hAnsi="Times New Roman" w:cs="Times New Roman"/>
                      <w:sz w:val="24"/>
                      <w:szCs w:val="24"/>
                    </w:rPr>
                    <w:t xml:space="preserve"> triju mēnešu laikā.</w:t>
                  </w:r>
                </w:p>
                <w:p w14:paraId="5A26EF8D" w14:textId="547FDE78" w:rsidR="006368B4" w:rsidRPr="003A01DF" w:rsidRDefault="00327CF4" w:rsidP="007F2F22">
                  <w:pPr>
                    <w:spacing w:after="0" w:line="240" w:lineRule="auto"/>
                    <w:ind w:firstLine="706"/>
                    <w:jc w:val="both"/>
                    <w:rPr>
                      <w:rFonts w:ascii="Times New Roman" w:hAnsi="Times New Roman" w:cs="Times New Roman"/>
                      <w:bCs/>
                      <w:sz w:val="24"/>
                      <w:szCs w:val="24"/>
                    </w:rPr>
                  </w:pPr>
                  <w:r w:rsidRPr="003A01DF">
                    <w:rPr>
                      <w:rFonts w:ascii="Times New Roman" w:hAnsi="Times New Roman" w:cs="Times New Roman"/>
                      <w:b/>
                      <w:bCs/>
                      <w:sz w:val="24"/>
                      <w:szCs w:val="24"/>
                    </w:rPr>
                    <w:t>3)</w:t>
                  </w:r>
                  <w:r w:rsidRPr="003A01DF">
                    <w:rPr>
                      <w:rFonts w:ascii="Times New Roman" w:hAnsi="Times New Roman" w:cs="Times New Roman"/>
                      <w:bCs/>
                      <w:sz w:val="24"/>
                      <w:szCs w:val="24"/>
                    </w:rPr>
                    <w:t xml:space="preserve"> Aizsardzības ministrijas pienākumu veikt apdrošināšanas atlīdzības izmaksu</w:t>
                  </w:r>
                  <w:r w:rsidR="00697668" w:rsidRPr="003A01DF">
                    <w:rPr>
                      <w:rFonts w:ascii="Times New Roman" w:hAnsi="Times New Roman" w:cs="Times New Roman"/>
                      <w:bCs/>
                      <w:sz w:val="24"/>
                      <w:szCs w:val="24"/>
                    </w:rPr>
                    <w:t xml:space="preserve"> </w:t>
                  </w:r>
                  <w:r w:rsidRPr="003A01DF">
                    <w:rPr>
                      <w:rFonts w:ascii="Times New Roman" w:hAnsi="Times New Roman" w:cs="Times New Roman"/>
                      <w:bCs/>
                      <w:sz w:val="24"/>
                      <w:szCs w:val="24"/>
                    </w:rPr>
                    <w:t>apdrošināšanas atlīdzības pieprasītājam</w:t>
                  </w:r>
                  <w:r w:rsidR="00A851B4" w:rsidRPr="003A01DF">
                    <w:rPr>
                      <w:rFonts w:ascii="Times New Roman" w:hAnsi="Times New Roman" w:cs="Times New Roman"/>
                      <w:bCs/>
                      <w:sz w:val="24"/>
                      <w:szCs w:val="24"/>
                    </w:rPr>
                    <w:t xml:space="preserve"> (pieteikuma sakarā ar speciālās militārās tehnikas nodarītajiem zaudējumiem iesniedzējam) </w:t>
                  </w:r>
                  <w:r w:rsidR="00636328" w:rsidRPr="003A01DF">
                    <w:rPr>
                      <w:rFonts w:ascii="Times New Roman" w:hAnsi="Times New Roman" w:cs="Times New Roman"/>
                      <w:sz w:val="24"/>
                      <w:szCs w:val="24"/>
                    </w:rPr>
                    <w:t xml:space="preserve">15 </w:t>
                  </w:r>
                  <w:r w:rsidR="00EC3234" w:rsidRPr="003A01DF">
                    <w:rPr>
                      <w:rFonts w:ascii="Times New Roman" w:hAnsi="Times New Roman" w:cs="Times New Roman"/>
                      <w:sz w:val="24"/>
                      <w:szCs w:val="24"/>
                    </w:rPr>
                    <w:t xml:space="preserve">kalendāra dienu </w:t>
                  </w:r>
                  <w:r w:rsidR="004C01DA" w:rsidRPr="003A01DF">
                    <w:rPr>
                      <w:rFonts w:ascii="Times New Roman" w:hAnsi="Times New Roman" w:cs="Times New Roman"/>
                      <w:bCs/>
                      <w:sz w:val="24"/>
                      <w:szCs w:val="24"/>
                    </w:rPr>
                    <w:t xml:space="preserve">laikā no </w:t>
                  </w:r>
                  <w:r w:rsidR="004C01DA" w:rsidRPr="003A01DF">
                    <w:rPr>
                      <w:rFonts w:ascii="Times New Roman" w:hAnsi="Times New Roman" w:cs="Times New Roman"/>
                      <w:sz w:val="24"/>
                      <w:szCs w:val="24"/>
                    </w:rPr>
                    <w:t>Transportlīdzekļu apdrošinātāju biroja lēmuma</w:t>
                  </w:r>
                  <w:r w:rsidR="004C01DA" w:rsidRPr="003A01DF">
                    <w:rPr>
                      <w:rFonts w:ascii="Times New Roman" w:hAnsi="Times New Roman" w:cs="Times New Roman"/>
                      <w:bCs/>
                      <w:sz w:val="24"/>
                      <w:szCs w:val="24"/>
                    </w:rPr>
                    <w:t xml:space="preserve"> par </w:t>
                  </w:r>
                  <w:r w:rsidR="004C01DA" w:rsidRPr="003A01DF">
                    <w:rPr>
                      <w:rFonts w:ascii="Times New Roman" w:hAnsi="Times New Roman" w:cs="Times New Roman"/>
                      <w:sz w:val="24"/>
                      <w:szCs w:val="24"/>
                    </w:rPr>
                    <w:t>apdrošināšanas atlīdzības izmaksu saņemšanas</w:t>
                  </w:r>
                  <w:r w:rsidR="004C01DA" w:rsidRPr="003A01DF">
                    <w:rPr>
                      <w:rFonts w:ascii="Times New Roman" w:hAnsi="Times New Roman" w:cs="Times New Roman"/>
                      <w:bCs/>
                      <w:sz w:val="24"/>
                      <w:szCs w:val="24"/>
                    </w:rPr>
                    <w:t>;</w:t>
                  </w:r>
                  <w:r w:rsidR="000A4967" w:rsidRPr="003A01DF">
                    <w:rPr>
                      <w:rFonts w:ascii="Times New Roman" w:hAnsi="Times New Roman" w:cs="Times New Roman"/>
                      <w:bCs/>
                      <w:sz w:val="24"/>
                      <w:szCs w:val="24"/>
                    </w:rPr>
                    <w:t xml:space="preserve"> </w:t>
                  </w:r>
                </w:p>
                <w:p w14:paraId="5D621F16" w14:textId="48869702" w:rsidR="00743177" w:rsidRPr="003A01DF" w:rsidRDefault="006368B4" w:rsidP="004C5C4B">
                  <w:pPr>
                    <w:spacing w:after="0" w:line="240" w:lineRule="auto"/>
                    <w:ind w:firstLine="652"/>
                    <w:jc w:val="both"/>
                    <w:rPr>
                      <w:rFonts w:ascii="Times New Roman" w:hAnsi="Times New Roman" w:cs="Times New Roman"/>
                      <w:bCs/>
                      <w:sz w:val="24"/>
                      <w:szCs w:val="24"/>
                    </w:rPr>
                  </w:pPr>
                  <w:r w:rsidRPr="003A01DF">
                    <w:rPr>
                      <w:rFonts w:ascii="Times New Roman" w:hAnsi="Times New Roman" w:cs="Times New Roman"/>
                      <w:bCs/>
                      <w:sz w:val="24"/>
                      <w:szCs w:val="24"/>
                    </w:rPr>
                    <w:t>Likumprojektā Aizsardzības ministrijai noteikts garāks termiņš apdrošināšana</w:t>
                  </w:r>
                  <w:r w:rsidR="00636328" w:rsidRPr="003A01DF">
                    <w:rPr>
                      <w:rFonts w:ascii="Times New Roman" w:hAnsi="Times New Roman" w:cs="Times New Roman"/>
                      <w:bCs/>
                      <w:sz w:val="24"/>
                      <w:szCs w:val="24"/>
                    </w:rPr>
                    <w:t xml:space="preserve">s atlīdzības izmaksai (15 </w:t>
                  </w:r>
                  <w:r w:rsidR="00EC3234" w:rsidRPr="003A01DF">
                    <w:rPr>
                      <w:rFonts w:ascii="Times New Roman" w:hAnsi="Times New Roman" w:cs="Times New Roman"/>
                      <w:bCs/>
                      <w:sz w:val="24"/>
                      <w:szCs w:val="24"/>
                    </w:rPr>
                    <w:t xml:space="preserve">kalendāra </w:t>
                  </w:r>
                  <w:r w:rsidRPr="003A01DF">
                    <w:rPr>
                      <w:rFonts w:ascii="Times New Roman" w:hAnsi="Times New Roman" w:cs="Times New Roman"/>
                      <w:bCs/>
                      <w:sz w:val="24"/>
                      <w:szCs w:val="24"/>
                    </w:rPr>
                    <w:t xml:space="preserve">dienas), nekā LTAB. Aizsardzības ministrija  </w:t>
                  </w:r>
                  <w:r w:rsidRPr="003A01DF">
                    <w:rPr>
                      <w:rFonts w:ascii="Times New Roman" w:hAnsi="Times New Roman" w:cs="Times New Roman"/>
                      <w:bCs/>
                      <w:sz w:val="24"/>
                      <w:szCs w:val="24"/>
                    </w:rPr>
                    <w:lastRenderedPageBreak/>
                    <w:t xml:space="preserve">maksās apdrošināšanas atlīdzību no sava budžeta, bet </w:t>
                  </w:r>
                  <w:r w:rsidRPr="003A01DF">
                    <w:rPr>
                      <w:rFonts w:ascii="Times New Roman" w:eastAsia="Times New Roman" w:hAnsi="Times New Roman" w:cs="Times New Roman"/>
                      <w:iCs/>
                      <w:sz w:val="24"/>
                      <w:szCs w:val="24"/>
                      <w:lang w:eastAsia="lv-LV"/>
                    </w:rPr>
                    <w:t>līdzekļi šādu atlīdzinājumu izmaksai Aizsardzības ministrijas budžetā nav plānoti, jo speciālās militārās tehnikas izraisīto negadījumu rezultātā nodarīto zaudējumu apmērs iepriekš nav paredzams.</w:t>
                  </w:r>
                  <w:r w:rsidRPr="003A01DF">
                    <w:rPr>
                      <w:rFonts w:ascii="Times New Roman" w:hAnsi="Times New Roman" w:cs="Times New Roman"/>
                      <w:bCs/>
                      <w:sz w:val="24"/>
                      <w:szCs w:val="24"/>
                    </w:rPr>
                    <w:t xml:space="preserve">  </w:t>
                  </w:r>
                  <w:r w:rsidRPr="003A01DF">
                    <w:rPr>
                      <w:rFonts w:ascii="Times New Roman" w:eastAsia="Times New Roman" w:hAnsi="Times New Roman" w:cs="Times New Roman"/>
                      <w:iCs/>
                      <w:sz w:val="24"/>
                      <w:szCs w:val="24"/>
                      <w:lang w:eastAsia="lv-LV"/>
                    </w:rPr>
                    <w:t xml:space="preserve">Lai nodrošinātu maksājumu veikšanu, Aizsardzības ministrija, pārskatot kārtējā gadā plānoto budžeta līdzekļu apguvi, veiks nepieciešamo līdzekļu pārdali tai piešķirtās apropriācijas ietvaros. Savukārt </w:t>
                  </w:r>
                  <w:r w:rsidRPr="003A01DF">
                    <w:rPr>
                      <w:rFonts w:ascii="Times New Roman" w:eastAsia="Times New Roman" w:hAnsi="Times New Roman" w:cs="Times New Roman"/>
                      <w:bCs/>
                      <w:sz w:val="24"/>
                      <w:szCs w:val="24"/>
                      <w:lang w:eastAsia="lv-LV"/>
                    </w:rPr>
                    <w:t xml:space="preserve">Ministru kabineta </w:t>
                  </w:r>
                  <w:r w:rsidRPr="003A01DF">
                    <w:rPr>
                      <w:rFonts w:ascii="Times New Roman" w:eastAsia="Times New Roman" w:hAnsi="Times New Roman" w:cs="Times New Roman"/>
                      <w:sz w:val="24"/>
                      <w:szCs w:val="24"/>
                      <w:lang w:eastAsia="lv-LV"/>
                    </w:rPr>
                    <w:t xml:space="preserve">2018. gada 17. jūlijā </w:t>
                  </w:r>
                  <w:r w:rsidRPr="003A01DF">
                    <w:rPr>
                      <w:rFonts w:ascii="Times New Roman" w:eastAsia="Times New Roman" w:hAnsi="Times New Roman" w:cs="Times New Roman"/>
                      <w:bCs/>
                      <w:sz w:val="24"/>
                      <w:szCs w:val="24"/>
                      <w:lang w:eastAsia="lv-LV"/>
                    </w:rPr>
                    <w:t>noteikumi Nr. 421</w:t>
                  </w:r>
                  <w:r w:rsidRPr="003A01DF">
                    <w:rPr>
                      <w:rFonts w:ascii="Times New Roman" w:eastAsia="Times New Roman" w:hAnsi="Times New Roman" w:cs="Times New Roman"/>
                      <w:sz w:val="24"/>
                      <w:szCs w:val="24"/>
                      <w:lang w:eastAsia="lv-LV"/>
                    </w:rPr>
                    <w:t xml:space="preserve"> “</w:t>
                  </w:r>
                  <w:r w:rsidRPr="003A01DF">
                    <w:rPr>
                      <w:rFonts w:ascii="Times New Roman" w:eastAsia="Times New Roman" w:hAnsi="Times New Roman" w:cs="Times New Roman"/>
                      <w:bCs/>
                      <w:sz w:val="24"/>
                      <w:szCs w:val="24"/>
                      <w:lang w:eastAsia="lv-LV"/>
                    </w:rPr>
                    <w:t xml:space="preserve">Kārtība, kādā veic gadskārtējā valsts budžeta likumā noteiktās apropriācijas izmaiņas” (turpmāk - MK noteikumi Nr. 421) </w:t>
                  </w:r>
                  <w:r w:rsidRPr="003A01DF">
                    <w:rPr>
                      <w:rFonts w:ascii="Times New Roman" w:hAnsi="Times New Roman" w:cs="Times New Roman"/>
                      <w:sz w:val="24"/>
                      <w:szCs w:val="24"/>
                    </w:rPr>
                    <w:t xml:space="preserve">19. punkts nosaka, </w:t>
                  </w:r>
                  <w:r w:rsidRPr="003A01DF">
                    <w:rPr>
                      <w:rFonts w:ascii="Times New Roman" w:hAnsi="Times New Roman" w:cs="Times New Roman"/>
                      <w:i/>
                      <w:sz w:val="24"/>
                      <w:szCs w:val="24"/>
                    </w:rPr>
                    <w:t>ja ministrijas pieprasījums atbilst šo noteikumu prasībām un par pieprasījumu nav nepieciešams Ministru kabineta vai Saeimas Budžeta un finanšu (nodokļu) komisijas saskaņojums, finanšu ministrs rīkojumu par apropriācijas izmaiņām izdod 10 darbdienu laikā.</w:t>
                  </w:r>
                </w:p>
                <w:p w14:paraId="139EA7F3" w14:textId="0F8972C4" w:rsidR="000A4967" w:rsidRPr="003A01DF" w:rsidRDefault="006368B4" w:rsidP="007F2F22">
                  <w:pPr>
                    <w:spacing w:after="0" w:line="240" w:lineRule="auto"/>
                    <w:ind w:firstLine="428"/>
                    <w:jc w:val="both"/>
                    <w:rPr>
                      <w:rFonts w:ascii="Times New Roman" w:hAnsi="Times New Roman" w:cs="Times New Roman"/>
                      <w:bCs/>
                      <w:sz w:val="24"/>
                      <w:szCs w:val="24"/>
                    </w:rPr>
                  </w:pPr>
                  <w:r w:rsidRPr="003A01DF">
                    <w:rPr>
                      <w:rFonts w:ascii="Times New Roman" w:hAnsi="Times New Roman" w:cs="Times New Roman"/>
                      <w:sz w:val="24"/>
                      <w:szCs w:val="24"/>
                    </w:rPr>
                    <w:t>Ievērojot MK noteikumu 421 19. punktā noteikto un Aizsardzības ministrijai nepieciešamo laiku apdrošināšanas atlīdzības i</w:t>
                  </w:r>
                  <w:r w:rsidR="00636328" w:rsidRPr="003A01DF">
                    <w:rPr>
                      <w:rFonts w:ascii="Times New Roman" w:hAnsi="Times New Roman" w:cs="Times New Roman"/>
                      <w:sz w:val="24"/>
                      <w:szCs w:val="24"/>
                    </w:rPr>
                    <w:t xml:space="preserve">zmaksai, atzīstams, ka 15 </w:t>
                  </w:r>
                  <w:r w:rsidR="004D100F" w:rsidRPr="003A01DF">
                    <w:rPr>
                      <w:rFonts w:ascii="Times New Roman" w:hAnsi="Times New Roman" w:cs="Times New Roman"/>
                      <w:sz w:val="24"/>
                      <w:szCs w:val="24"/>
                    </w:rPr>
                    <w:t xml:space="preserve">kalendāra </w:t>
                  </w:r>
                  <w:r w:rsidRPr="003A01DF">
                    <w:rPr>
                      <w:rFonts w:ascii="Times New Roman" w:hAnsi="Times New Roman" w:cs="Times New Roman"/>
                      <w:sz w:val="24"/>
                      <w:szCs w:val="24"/>
                    </w:rPr>
                    <w:t xml:space="preserve">dienas apdrošināšanas atlīdzības izmaksai ir minimāli iespējamais termiņš, lai novērstu apdrošināšanas atlīdzības izmaksas kavējumu. </w:t>
                  </w:r>
                </w:p>
                <w:p w14:paraId="4D508BBD" w14:textId="53C259D4" w:rsidR="0099107B" w:rsidRPr="003A01DF" w:rsidRDefault="00E629A8" w:rsidP="0099107B">
                  <w:pPr>
                    <w:spacing w:after="0" w:line="240" w:lineRule="auto"/>
                    <w:ind w:firstLine="535"/>
                    <w:jc w:val="both"/>
                    <w:rPr>
                      <w:rFonts w:ascii="Times New Roman" w:hAnsi="Times New Roman" w:cs="Times New Roman"/>
                      <w:bCs/>
                      <w:sz w:val="24"/>
                      <w:szCs w:val="24"/>
                    </w:rPr>
                  </w:pPr>
                  <w:r w:rsidRPr="003A01DF">
                    <w:rPr>
                      <w:rFonts w:ascii="Times New Roman" w:hAnsi="Times New Roman" w:cs="Times New Roman"/>
                      <w:b/>
                      <w:bCs/>
                      <w:sz w:val="24"/>
                      <w:szCs w:val="24"/>
                    </w:rPr>
                    <w:t>4</w:t>
                  </w:r>
                  <w:r w:rsidR="0099107B" w:rsidRPr="003A01DF">
                    <w:rPr>
                      <w:rFonts w:ascii="Times New Roman" w:hAnsi="Times New Roman" w:cs="Times New Roman"/>
                      <w:b/>
                      <w:bCs/>
                      <w:sz w:val="24"/>
                      <w:szCs w:val="24"/>
                    </w:rPr>
                    <w:t>)</w:t>
                  </w:r>
                  <w:r w:rsidR="0099107B" w:rsidRPr="003A01DF">
                    <w:rPr>
                      <w:rFonts w:ascii="Times New Roman" w:hAnsi="Times New Roman" w:cs="Times New Roman"/>
                      <w:bCs/>
                      <w:sz w:val="24"/>
                      <w:szCs w:val="24"/>
                    </w:rPr>
                    <w:t xml:space="preserve"> Aizsardzības ministrijas pienākumu atlīdzinā</w:t>
                  </w:r>
                  <w:r w:rsidRPr="003A01DF">
                    <w:rPr>
                      <w:rFonts w:ascii="Times New Roman" w:hAnsi="Times New Roman" w:cs="Times New Roman"/>
                      <w:bCs/>
                      <w:sz w:val="24"/>
                      <w:szCs w:val="24"/>
                    </w:rPr>
                    <w:t>t</w:t>
                  </w:r>
                  <w:r w:rsidR="0099107B" w:rsidRPr="003A01DF">
                    <w:rPr>
                      <w:rFonts w:ascii="Times New Roman" w:hAnsi="Times New Roman" w:cs="Times New Roman"/>
                      <w:bCs/>
                      <w:sz w:val="24"/>
                      <w:szCs w:val="24"/>
                    </w:rPr>
                    <w:t xml:space="preserve"> LTAB Likuma 51. panta trešās daļas 1. punktā minētos izdevumus  (t.i.,  izdevumus par atlīdzības lietas administrēšanu vai citām prasības nokārtošanai nepieciešamajām darbībām, ja saskaņā ar Likumu LTAB pieņem lēmumu par apdrošināšanas atlīdzības izmaksu vai atteikumu); </w:t>
                  </w:r>
                </w:p>
                <w:p w14:paraId="115C5919" w14:textId="40380953" w:rsidR="00697668" w:rsidRPr="003A01DF" w:rsidRDefault="00E629A8">
                  <w:pPr>
                    <w:spacing w:after="0" w:line="240" w:lineRule="auto"/>
                    <w:ind w:firstLine="411"/>
                    <w:jc w:val="both"/>
                    <w:rPr>
                      <w:rFonts w:ascii="Times New Roman" w:hAnsi="Times New Roman" w:cs="Times New Roman"/>
                      <w:bCs/>
                      <w:sz w:val="24"/>
                      <w:szCs w:val="24"/>
                    </w:rPr>
                  </w:pPr>
                  <w:r w:rsidRPr="003A01DF">
                    <w:rPr>
                      <w:rFonts w:ascii="Times New Roman" w:hAnsi="Times New Roman" w:cs="Times New Roman"/>
                      <w:b/>
                      <w:bCs/>
                      <w:sz w:val="24"/>
                      <w:szCs w:val="24"/>
                    </w:rPr>
                    <w:t>5</w:t>
                  </w:r>
                  <w:r w:rsidR="00697668" w:rsidRPr="003A01DF">
                    <w:rPr>
                      <w:rFonts w:ascii="Times New Roman" w:hAnsi="Times New Roman" w:cs="Times New Roman"/>
                      <w:b/>
                      <w:bCs/>
                      <w:sz w:val="24"/>
                      <w:szCs w:val="24"/>
                    </w:rPr>
                    <w:t>)</w:t>
                  </w:r>
                  <w:r w:rsidR="00697668" w:rsidRPr="003A01DF">
                    <w:rPr>
                      <w:rFonts w:ascii="Times New Roman" w:hAnsi="Times New Roman" w:cs="Times New Roman"/>
                      <w:bCs/>
                      <w:sz w:val="24"/>
                      <w:szCs w:val="24"/>
                    </w:rPr>
                    <w:t xml:space="preserve"> </w:t>
                  </w:r>
                  <w:r w:rsidR="0099107B" w:rsidRPr="003A01DF">
                    <w:rPr>
                      <w:rFonts w:ascii="Times New Roman" w:hAnsi="Times New Roman" w:cs="Times New Roman"/>
                      <w:bCs/>
                      <w:sz w:val="24"/>
                      <w:szCs w:val="24"/>
                    </w:rPr>
                    <w:t>A</w:t>
                  </w:r>
                  <w:r w:rsidR="00697668" w:rsidRPr="003A01DF">
                    <w:rPr>
                      <w:rFonts w:ascii="Times New Roman" w:hAnsi="Times New Roman" w:cs="Times New Roman"/>
                      <w:bCs/>
                      <w:sz w:val="24"/>
                      <w:szCs w:val="24"/>
                    </w:rPr>
                    <w:t>izsardzības ministrija</w:t>
                  </w:r>
                  <w:r w:rsidR="0099107B" w:rsidRPr="003A01DF">
                    <w:rPr>
                      <w:rFonts w:ascii="Times New Roman" w:hAnsi="Times New Roman" w:cs="Times New Roman"/>
                      <w:bCs/>
                      <w:sz w:val="24"/>
                      <w:szCs w:val="24"/>
                    </w:rPr>
                    <w:t xml:space="preserve">s pienākumu </w:t>
                  </w:r>
                  <w:r w:rsidR="00697668" w:rsidRPr="003A01DF">
                    <w:rPr>
                      <w:rFonts w:ascii="Times New Roman" w:hAnsi="Times New Roman" w:cs="Times New Roman"/>
                      <w:bCs/>
                      <w:sz w:val="24"/>
                      <w:szCs w:val="24"/>
                    </w:rPr>
                    <w:t xml:space="preserve"> par maksājumu veikšanas nokavējumu maksā</w:t>
                  </w:r>
                  <w:r w:rsidR="0099107B" w:rsidRPr="003A01DF">
                    <w:rPr>
                      <w:rFonts w:ascii="Times New Roman" w:hAnsi="Times New Roman" w:cs="Times New Roman"/>
                      <w:bCs/>
                      <w:sz w:val="24"/>
                      <w:szCs w:val="24"/>
                    </w:rPr>
                    <w:t>t</w:t>
                  </w:r>
                  <w:r w:rsidR="00697668" w:rsidRPr="003A01DF">
                    <w:rPr>
                      <w:rFonts w:ascii="Times New Roman" w:hAnsi="Times New Roman" w:cs="Times New Roman"/>
                      <w:bCs/>
                      <w:sz w:val="24"/>
                      <w:szCs w:val="24"/>
                    </w:rPr>
                    <w:t xml:space="preserve"> 12 procentus gadā no izmaksājamās summas</w:t>
                  </w:r>
                  <w:r w:rsidR="0099107B" w:rsidRPr="003A01DF">
                    <w:rPr>
                      <w:rFonts w:ascii="Times New Roman" w:hAnsi="Times New Roman" w:cs="Times New Roman"/>
                      <w:bCs/>
                      <w:sz w:val="24"/>
                      <w:szCs w:val="24"/>
                    </w:rPr>
                    <w:t>;</w:t>
                  </w:r>
                </w:p>
                <w:p w14:paraId="0385B0E4" w14:textId="71F67377" w:rsidR="0099107B" w:rsidRPr="003A01DF" w:rsidRDefault="0099107B" w:rsidP="0001268A">
                  <w:pPr>
                    <w:spacing w:after="0" w:line="240" w:lineRule="auto"/>
                    <w:ind w:firstLine="393"/>
                    <w:jc w:val="both"/>
                    <w:rPr>
                      <w:rFonts w:ascii="Times New Roman" w:eastAsia="Times New Roman" w:hAnsi="Times New Roman" w:cs="Times New Roman"/>
                      <w:sz w:val="24"/>
                      <w:szCs w:val="24"/>
                      <w:lang w:eastAsia="lv-LV"/>
                    </w:rPr>
                  </w:pPr>
                  <w:r w:rsidRPr="003A01DF">
                    <w:rPr>
                      <w:rFonts w:ascii="Times New Roman" w:eastAsia="Times New Roman" w:hAnsi="Times New Roman" w:cs="Times New Roman"/>
                      <w:sz w:val="24"/>
                      <w:szCs w:val="24"/>
                      <w:lang w:eastAsia="lv-LV"/>
                    </w:rPr>
                    <w:t xml:space="preserve">Šāds regulējums ieviests līdzīgi kā šobrīd jau noteikts Likuma 40. panta otrajā daļā, kad apdrošinātājam vai LTAB papildus izmaksājamai apdrošināšanas atlīdzībai jāmaksā 12 procenti gadā no izmaksājamās apdrošināšanas atlīdzības summas, ja apdrošinātājs vai LTAB neievēro Likuma 40. panta pirmajā daļā noteikto 5 dienu termiņu apdrošināšanas atlīdzības izmaksai. </w:t>
                  </w:r>
                </w:p>
                <w:p w14:paraId="6BDDB0A3" w14:textId="4C4EBAD3" w:rsidR="00C87670" w:rsidRPr="003A01DF" w:rsidRDefault="00E629A8" w:rsidP="00E629A8">
                  <w:pPr>
                    <w:spacing w:after="0" w:line="240" w:lineRule="auto"/>
                    <w:ind w:firstLine="411"/>
                    <w:jc w:val="both"/>
                    <w:rPr>
                      <w:rFonts w:ascii="Times New Roman" w:hAnsi="Times New Roman" w:cs="Times New Roman"/>
                      <w:bCs/>
                      <w:sz w:val="24"/>
                      <w:szCs w:val="24"/>
                    </w:rPr>
                  </w:pPr>
                  <w:r w:rsidRPr="003A01DF">
                    <w:rPr>
                      <w:rFonts w:ascii="Times New Roman" w:hAnsi="Times New Roman" w:cs="Times New Roman"/>
                      <w:b/>
                      <w:bCs/>
                      <w:sz w:val="24"/>
                      <w:szCs w:val="24"/>
                    </w:rPr>
                    <w:t>6</w:t>
                  </w:r>
                  <w:r w:rsidR="008F59EE" w:rsidRPr="003A01DF">
                    <w:rPr>
                      <w:rFonts w:ascii="Times New Roman" w:hAnsi="Times New Roman" w:cs="Times New Roman"/>
                      <w:b/>
                      <w:bCs/>
                      <w:sz w:val="24"/>
                      <w:szCs w:val="24"/>
                    </w:rPr>
                    <w:t>)</w:t>
                  </w:r>
                  <w:r w:rsidR="008F59EE" w:rsidRPr="003A01DF">
                    <w:rPr>
                      <w:rFonts w:ascii="Times New Roman" w:hAnsi="Times New Roman" w:cs="Times New Roman"/>
                      <w:bCs/>
                      <w:sz w:val="24"/>
                      <w:szCs w:val="24"/>
                    </w:rPr>
                    <w:t xml:space="preserve"> </w:t>
                  </w:r>
                  <w:r w:rsidR="00591618" w:rsidRPr="003A01DF">
                    <w:rPr>
                      <w:rFonts w:ascii="Times New Roman" w:hAnsi="Times New Roman" w:cs="Times New Roman"/>
                      <w:bCs/>
                      <w:sz w:val="24"/>
                      <w:szCs w:val="24"/>
                    </w:rPr>
                    <w:t>Aizsardzības ministrija</w:t>
                  </w:r>
                  <w:r w:rsidRPr="003A01DF">
                    <w:rPr>
                      <w:rFonts w:ascii="Times New Roman" w:hAnsi="Times New Roman" w:cs="Times New Roman"/>
                      <w:bCs/>
                      <w:sz w:val="24"/>
                      <w:szCs w:val="24"/>
                    </w:rPr>
                    <w:t>s pienākumu</w:t>
                  </w:r>
                  <w:r w:rsidR="00591618" w:rsidRPr="003A01DF">
                    <w:rPr>
                      <w:rFonts w:ascii="Times New Roman" w:hAnsi="Times New Roman" w:cs="Times New Roman"/>
                      <w:bCs/>
                      <w:sz w:val="24"/>
                      <w:szCs w:val="24"/>
                    </w:rPr>
                    <w:t xml:space="preserve"> nodrošin</w:t>
                  </w:r>
                  <w:r w:rsidRPr="003A01DF">
                    <w:rPr>
                      <w:rFonts w:ascii="Times New Roman" w:hAnsi="Times New Roman" w:cs="Times New Roman"/>
                      <w:bCs/>
                      <w:sz w:val="24"/>
                      <w:szCs w:val="24"/>
                    </w:rPr>
                    <w:t>āt</w:t>
                  </w:r>
                  <w:r w:rsidR="00591618" w:rsidRPr="003A01DF">
                    <w:rPr>
                      <w:rFonts w:ascii="Times New Roman" w:hAnsi="Times New Roman" w:cs="Times New Roman"/>
                      <w:bCs/>
                      <w:sz w:val="24"/>
                      <w:szCs w:val="24"/>
                    </w:rPr>
                    <w:t xml:space="preserve"> zaudējumu atlīdzināšanu trešajai personai starptautiskajos līgumos</w:t>
                  </w:r>
                  <w:r w:rsidR="00FC4972" w:rsidRPr="003A01DF">
                    <w:rPr>
                      <w:rFonts w:ascii="Times New Roman" w:hAnsi="Times New Roman" w:cs="Times New Roman"/>
                      <w:bCs/>
                      <w:sz w:val="24"/>
                      <w:szCs w:val="24"/>
                    </w:rPr>
                    <w:t>, kas saistoši Aizsardzības ministrijai,</w:t>
                  </w:r>
                  <w:r w:rsidR="00591618" w:rsidRPr="003A01DF">
                    <w:rPr>
                      <w:rFonts w:ascii="Times New Roman" w:hAnsi="Times New Roman" w:cs="Times New Roman"/>
                      <w:bCs/>
                      <w:sz w:val="24"/>
                      <w:szCs w:val="24"/>
                    </w:rPr>
                    <w:t xml:space="preserve"> noteiktajā kārtībā</w:t>
                  </w:r>
                  <w:r w:rsidRPr="003A01DF">
                    <w:rPr>
                      <w:rFonts w:ascii="Times New Roman" w:hAnsi="Times New Roman" w:cs="Times New Roman"/>
                      <w:bCs/>
                      <w:sz w:val="24"/>
                      <w:szCs w:val="24"/>
                    </w:rPr>
                    <w:t>, ja speciālā militārā tehnika ceļu satiksmes negadījuma rezultātā nodarīs zaudējumus trešajai personai ārpus Ekonomiskas zonas valsts vai Šveices konfederācijas.</w:t>
                  </w:r>
                </w:p>
                <w:p w14:paraId="44BEBFF2" w14:textId="322B8B54" w:rsidR="008F59EE" w:rsidRPr="003A01DF" w:rsidRDefault="00435EC0" w:rsidP="008F59EE">
                  <w:pPr>
                    <w:pStyle w:val="NoSpacing"/>
                    <w:ind w:firstLine="720"/>
                    <w:jc w:val="both"/>
                    <w:rPr>
                      <w:rFonts w:ascii="Times New Roman" w:hAnsi="Times New Roman" w:cs="Times New Roman"/>
                      <w:sz w:val="24"/>
                      <w:szCs w:val="24"/>
                    </w:rPr>
                  </w:pPr>
                  <w:r w:rsidRPr="003A01DF">
                    <w:rPr>
                      <w:rFonts w:ascii="Times New Roman" w:hAnsi="Times New Roman" w:cs="Times New Roman"/>
                      <w:sz w:val="24"/>
                      <w:szCs w:val="24"/>
                    </w:rPr>
                    <w:t xml:space="preserve">Piemērojot Ziemeļatlantijas līguma organizācijas dalībvalstu līgumā par to bruņoto spēku statusu (turpmāk </w:t>
                  </w:r>
                  <w:r w:rsidRPr="003A01DF">
                    <w:rPr>
                      <w:rFonts w:ascii="Times New Roman" w:hAnsi="Times New Roman" w:cs="Times New Roman"/>
                      <w:sz w:val="24"/>
                      <w:szCs w:val="24"/>
                    </w:rPr>
                    <w:lastRenderedPageBreak/>
                    <w:t>– NATO SOFA), kas pieņemts Saeimā 2004. gada 17. jūnijā, noteikto</w:t>
                  </w:r>
                  <w:r w:rsidR="00096D80" w:rsidRPr="003A01DF">
                    <w:rPr>
                      <w:rFonts w:ascii="Times New Roman" w:hAnsi="Times New Roman" w:cs="Times New Roman"/>
                      <w:sz w:val="24"/>
                      <w:szCs w:val="24"/>
                    </w:rPr>
                    <w:t>s</w:t>
                  </w:r>
                  <w:r w:rsidRPr="003A01DF">
                    <w:rPr>
                      <w:rFonts w:ascii="Times New Roman" w:hAnsi="Times New Roman" w:cs="Times New Roman"/>
                      <w:sz w:val="24"/>
                      <w:szCs w:val="24"/>
                    </w:rPr>
                    <w:t xml:space="preserve"> vispārīgos principus, NATO piederošie transportlīdzekļi un Sūtītājas valsts militārie transportlīdzekļi ir </w:t>
                  </w:r>
                  <w:proofErr w:type="spellStart"/>
                  <w:r w:rsidRPr="003A01DF">
                    <w:rPr>
                      <w:rFonts w:ascii="Times New Roman" w:hAnsi="Times New Roman" w:cs="Times New Roman"/>
                      <w:sz w:val="24"/>
                      <w:szCs w:val="24"/>
                    </w:rPr>
                    <w:t>pašapdrošināti</w:t>
                  </w:r>
                  <w:proofErr w:type="spellEnd"/>
                  <w:r w:rsidRPr="003A01DF">
                    <w:rPr>
                      <w:rFonts w:ascii="Times New Roman" w:hAnsi="Times New Roman" w:cs="Times New Roman"/>
                      <w:sz w:val="24"/>
                      <w:szCs w:val="24"/>
                    </w:rPr>
                    <w:t xml:space="preserve"> un šādā statusā var tikt lietoti bez komerciālās apdrošināšanas. Sūtītāja valsts pati ir atbildīga par savu īpašumu un zaudējumiem, ko tā nodara savas darbības vai bezdarbības rezultātā. </w:t>
                  </w:r>
                </w:p>
                <w:p w14:paraId="64D6755D" w14:textId="5764F607" w:rsidR="008F59EE" w:rsidRPr="003A01DF" w:rsidRDefault="008F59EE" w:rsidP="008F59EE">
                  <w:pPr>
                    <w:pStyle w:val="NoSpacing"/>
                    <w:ind w:firstLine="720"/>
                    <w:jc w:val="both"/>
                    <w:rPr>
                      <w:rFonts w:ascii="Times New Roman" w:hAnsi="Times New Roman" w:cs="Times New Roman"/>
                      <w:sz w:val="24"/>
                      <w:szCs w:val="24"/>
                    </w:rPr>
                  </w:pPr>
                  <w:r w:rsidRPr="003A01DF">
                    <w:rPr>
                      <w:rFonts w:ascii="Times New Roman" w:hAnsi="Times New Roman" w:cs="Times New Roman"/>
                      <w:sz w:val="24"/>
                      <w:szCs w:val="24"/>
                    </w:rPr>
                    <w:t>NATO SOFA VIII pants regulē zaudējumu, kas radušies bruņoto spēku darbības rezultātā, atlīdzināšanas kārtību. Zaudējumu atlīdzināšanas kārtība ir atkarīga no tā, kam tiek nodarīti zaudējumi, proti, b</w:t>
                  </w:r>
                  <w:r w:rsidR="00096D80" w:rsidRPr="003A01DF">
                    <w:rPr>
                      <w:rFonts w:ascii="Times New Roman" w:hAnsi="Times New Roman" w:cs="Times New Roman"/>
                      <w:sz w:val="24"/>
                      <w:szCs w:val="24"/>
                    </w:rPr>
                    <w:t>ruņotajiem spēkiem, valstij vai</w:t>
                  </w:r>
                  <w:r w:rsidRPr="003A01DF">
                    <w:rPr>
                      <w:rFonts w:ascii="Times New Roman" w:hAnsi="Times New Roman" w:cs="Times New Roman"/>
                      <w:sz w:val="24"/>
                      <w:szCs w:val="24"/>
                    </w:rPr>
                    <w:t xml:space="preserve"> trešajai personai, kā arī no tā, vai zaudējumi tiek nodarīti pildot dienesta pienākumus vai ārpus dienesta pienākumu pildīšanas.</w:t>
                  </w:r>
                </w:p>
                <w:p w14:paraId="12615172" w14:textId="26F423BB" w:rsidR="008F59EE" w:rsidRPr="003A01DF" w:rsidRDefault="008F59EE" w:rsidP="008F59EE">
                  <w:pPr>
                    <w:pStyle w:val="NoSpacing"/>
                    <w:ind w:firstLine="720"/>
                    <w:jc w:val="both"/>
                    <w:rPr>
                      <w:rFonts w:ascii="Times New Roman" w:hAnsi="Times New Roman" w:cs="Times New Roman"/>
                      <w:sz w:val="24"/>
                      <w:szCs w:val="24"/>
                    </w:rPr>
                  </w:pPr>
                  <w:r w:rsidRPr="003A01DF">
                    <w:rPr>
                      <w:rFonts w:ascii="Times New Roman" w:hAnsi="Times New Roman" w:cs="Times New Roman"/>
                      <w:sz w:val="24"/>
                      <w:szCs w:val="24"/>
                    </w:rPr>
                    <w:t xml:space="preserve">NATO SOFA VIII panta 5. punkts nosaka zaudējumu atlīdzības kārtību gadījumos, kad Sūtītājas valsts spēki, pildot dienesta pienākumus, nodara zaudējumus  trešajai personai, t.i., atgadījums tiek fiksēts, izskatīts un nokārtots saskaņā ar Uzņemošās valsts likumiem. </w:t>
                  </w:r>
                  <w:r w:rsidR="00096D80" w:rsidRPr="003A01DF">
                    <w:rPr>
                      <w:rFonts w:ascii="Times New Roman" w:hAnsi="Times New Roman" w:cs="Times New Roman"/>
                      <w:sz w:val="24"/>
                      <w:szCs w:val="24"/>
                    </w:rPr>
                    <w:t xml:space="preserve">Piemēram, ja atbildīgā par nodarīto zaudējumu ir Sūtītāja valsts, tā sedz 75% no zaudējumiem, bet 25 % sedz  </w:t>
                  </w:r>
                  <w:r w:rsidRPr="003A01DF">
                    <w:rPr>
                      <w:rFonts w:ascii="Times New Roman" w:hAnsi="Times New Roman" w:cs="Times New Roman"/>
                      <w:sz w:val="24"/>
                      <w:szCs w:val="24"/>
                    </w:rPr>
                    <w:t>Uzņemošā valsts</w:t>
                  </w:r>
                  <w:r w:rsidR="00096D80" w:rsidRPr="003A01DF">
                    <w:rPr>
                      <w:rFonts w:ascii="Times New Roman" w:hAnsi="Times New Roman" w:cs="Times New Roman"/>
                      <w:sz w:val="24"/>
                      <w:szCs w:val="24"/>
                    </w:rPr>
                    <w:t>.</w:t>
                  </w:r>
                  <w:r w:rsidRPr="003A01DF">
                    <w:rPr>
                      <w:rFonts w:ascii="Times New Roman" w:hAnsi="Times New Roman" w:cs="Times New Roman"/>
                      <w:sz w:val="24"/>
                      <w:szCs w:val="24"/>
                    </w:rPr>
                    <w:t xml:space="preserve"> </w:t>
                  </w:r>
                </w:p>
                <w:p w14:paraId="3A7E4207" w14:textId="48B795E1" w:rsidR="008F59EE" w:rsidRPr="003A01DF" w:rsidRDefault="004270CE" w:rsidP="008F59EE">
                  <w:pPr>
                    <w:pStyle w:val="NoSpacing"/>
                    <w:ind w:firstLine="720"/>
                    <w:jc w:val="both"/>
                    <w:rPr>
                      <w:rFonts w:ascii="Times New Roman" w:hAnsi="Times New Roman" w:cs="Times New Roman"/>
                      <w:sz w:val="24"/>
                      <w:szCs w:val="24"/>
                    </w:rPr>
                  </w:pPr>
                  <w:r w:rsidRPr="003A01DF">
                    <w:rPr>
                      <w:rFonts w:ascii="Times New Roman" w:hAnsi="Times New Roman" w:cs="Times New Roman"/>
                      <w:sz w:val="24"/>
                      <w:szCs w:val="24"/>
                    </w:rPr>
                    <w:t xml:space="preserve">NATO SOFA VIII panta 2. punkts nosaka zaudējumu atlīdzības kārtību gadījumos, kad Sūtītājas valsts spēki, pildot dienesta pienākumus, nodara zaudējumus Uzņemošajai valstij, kas ir līdzīga NATO SOFA VIII panta 5. punktā noteiktajai ar šādiem būtiskiem izņēmumiem - svarīgu jautājumu izlemšanai var tikt iecelts arbitrs, kura lēmumi ir saistoši valstīm, un Uzņemošā valsts atsakās no zaudējumiem līdz 707 </w:t>
                  </w:r>
                  <w:proofErr w:type="spellStart"/>
                  <w:r w:rsidRPr="003A01DF">
                    <w:rPr>
                      <w:rFonts w:ascii="Times New Roman" w:hAnsi="Times New Roman" w:cs="Times New Roman"/>
                      <w:i/>
                      <w:sz w:val="24"/>
                      <w:szCs w:val="24"/>
                    </w:rPr>
                    <w:t>euro</w:t>
                  </w:r>
                  <w:proofErr w:type="spellEnd"/>
                  <w:r w:rsidR="000A7D4F" w:rsidRPr="003A01DF">
                    <w:rPr>
                      <w:rFonts w:ascii="Times New Roman" w:hAnsi="Times New Roman" w:cs="Times New Roman"/>
                      <w:sz w:val="24"/>
                      <w:szCs w:val="24"/>
                    </w:rPr>
                    <w:t>.</w:t>
                  </w:r>
                  <w:r w:rsidRPr="003A01DF">
                    <w:rPr>
                      <w:rStyle w:val="FootnoteReference"/>
                      <w:rFonts w:ascii="Times New Roman" w:hAnsi="Times New Roman" w:cs="Times New Roman"/>
                      <w:sz w:val="24"/>
                      <w:szCs w:val="24"/>
                    </w:rPr>
                    <w:footnoteReference w:id="2"/>
                  </w:r>
                  <w:r w:rsidRPr="003A01DF">
                    <w:rPr>
                      <w:rFonts w:ascii="Times New Roman" w:hAnsi="Times New Roman" w:cs="Times New Roman"/>
                      <w:sz w:val="24"/>
                      <w:szCs w:val="24"/>
                    </w:rPr>
                    <w:t xml:space="preserve"> </w:t>
                  </w:r>
                  <w:r w:rsidR="008F59EE" w:rsidRPr="003A01DF">
                    <w:rPr>
                      <w:rFonts w:ascii="Times New Roman" w:hAnsi="Times New Roman" w:cs="Times New Roman"/>
                      <w:sz w:val="24"/>
                      <w:szCs w:val="24"/>
                    </w:rPr>
                    <w:t xml:space="preserve">Praksē </w:t>
                  </w:r>
                  <w:r w:rsidR="00435EC0" w:rsidRPr="003A01DF">
                    <w:rPr>
                      <w:rFonts w:ascii="Times New Roman" w:hAnsi="Times New Roman" w:cs="Times New Roman"/>
                      <w:sz w:val="24"/>
                      <w:szCs w:val="24"/>
                    </w:rPr>
                    <w:t xml:space="preserve">un saskaņā ar NATO SOFA nosacījumiem, </w:t>
                  </w:r>
                  <w:r w:rsidR="008F59EE" w:rsidRPr="003A01DF">
                    <w:rPr>
                      <w:rFonts w:ascii="Times New Roman" w:hAnsi="Times New Roman" w:cs="Times New Roman"/>
                      <w:sz w:val="24"/>
                      <w:szCs w:val="24"/>
                    </w:rPr>
                    <w:t xml:space="preserve">Aizsardzības ministrija, pārstāvot Uzņemošo valsti, saņemot informāciju par negadījumiem, kurā iesaistīts ārvalstu militārais </w:t>
                  </w:r>
                  <w:r w:rsidR="00435EC0" w:rsidRPr="003A01DF">
                    <w:rPr>
                      <w:rFonts w:ascii="Times New Roman" w:hAnsi="Times New Roman" w:cs="Times New Roman"/>
                      <w:sz w:val="24"/>
                      <w:szCs w:val="24"/>
                    </w:rPr>
                    <w:t>transportlīdzeklis</w:t>
                  </w:r>
                  <w:r w:rsidR="008F59EE" w:rsidRPr="003A01DF">
                    <w:rPr>
                      <w:rFonts w:ascii="Times New Roman" w:hAnsi="Times New Roman" w:cs="Times New Roman"/>
                      <w:sz w:val="24"/>
                      <w:szCs w:val="24"/>
                    </w:rPr>
                    <w:t>, nokārto ikvienu prasību, kas vērsta pret ārvalstu bruņotajiem spēkiem. Aizsardzības ministrija, noskaidrojot negadījumā vainīgo, cietušajai personai izmaksā zaudējumu atlīdzību 100% apmērā, pēc kā 75% no šīs summas pieprasa Sūtītājai valstij</w:t>
                  </w:r>
                  <w:r w:rsidRPr="003A01DF">
                    <w:rPr>
                      <w:rFonts w:ascii="Times New Roman" w:hAnsi="Times New Roman" w:cs="Times New Roman"/>
                      <w:sz w:val="24"/>
                      <w:szCs w:val="24"/>
                    </w:rPr>
                    <w:t xml:space="preserve"> vai citu proporciju, atkarībā no tā, cik valstīs ir atbildīgas par nodarīto zaudējumu un vai Uzņemoša valsts ir viena no tām</w:t>
                  </w:r>
                  <w:r w:rsidR="008F59EE" w:rsidRPr="003A01DF">
                    <w:rPr>
                      <w:rFonts w:ascii="Times New Roman" w:hAnsi="Times New Roman" w:cs="Times New Roman"/>
                      <w:sz w:val="24"/>
                      <w:szCs w:val="24"/>
                    </w:rPr>
                    <w:t>.</w:t>
                  </w:r>
                </w:p>
                <w:p w14:paraId="3B1265CB" w14:textId="4BF40190" w:rsidR="000D6031" w:rsidRPr="003A01DF" w:rsidRDefault="008F59EE" w:rsidP="000D6031">
                  <w:pPr>
                    <w:pStyle w:val="NoSpacing"/>
                    <w:jc w:val="both"/>
                    <w:rPr>
                      <w:rFonts w:ascii="Times New Roman" w:eastAsia="Times New Roman" w:hAnsi="Times New Roman" w:cs="Times New Roman"/>
                      <w:bCs/>
                      <w:sz w:val="24"/>
                      <w:szCs w:val="24"/>
                    </w:rPr>
                  </w:pPr>
                  <w:r w:rsidRPr="003A01DF">
                    <w:rPr>
                      <w:rFonts w:ascii="Times New Roman" w:hAnsi="Times New Roman" w:cs="Times New Roman"/>
                      <w:sz w:val="24"/>
                      <w:szCs w:val="24"/>
                    </w:rPr>
                    <w:tab/>
                    <w:t xml:space="preserve">NATO SOFA VIII panta 6.punkts nosaka zaudējumu atlīdzības kārtību gadījumos, kad Sūtītāja valsts spēki, nepildot dienesta pienākumus, nodara zaudējumus, t.i., Uzņemošās valsts varas iestādes nosaka zaudējuma apmēru un sagatavo ziņojumu par atgadījumu. Ziņojums tiek nosūtīts Sūtītājas valsts varas iestādēm, kas izlemj vai piedāvās </w:t>
                  </w:r>
                  <w:proofErr w:type="spellStart"/>
                  <w:r w:rsidRPr="003A01DF">
                    <w:rPr>
                      <w:rFonts w:ascii="Times New Roman" w:hAnsi="Times New Roman" w:cs="Times New Roman"/>
                      <w:i/>
                      <w:sz w:val="24"/>
                      <w:szCs w:val="24"/>
                    </w:rPr>
                    <w:t>ex</w:t>
                  </w:r>
                  <w:proofErr w:type="spellEnd"/>
                  <w:r w:rsidRPr="003A01DF">
                    <w:rPr>
                      <w:rFonts w:ascii="Times New Roman" w:hAnsi="Times New Roman" w:cs="Times New Roman"/>
                      <w:i/>
                      <w:sz w:val="24"/>
                      <w:szCs w:val="24"/>
                    </w:rPr>
                    <w:t xml:space="preserve"> </w:t>
                  </w:r>
                  <w:proofErr w:type="spellStart"/>
                  <w:r w:rsidRPr="003A01DF">
                    <w:rPr>
                      <w:rFonts w:ascii="Times New Roman" w:hAnsi="Times New Roman" w:cs="Times New Roman"/>
                      <w:i/>
                      <w:sz w:val="24"/>
                      <w:szCs w:val="24"/>
                    </w:rPr>
                    <w:t>gratia</w:t>
                  </w:r>
                  <w:proofErr w:type="spellEnd"/>
                  <w:r w:rsidRPr="003A01DF">
                    <w:rPr>
                      <w:rFonts w:ascii="Times New Roman" w:hAnsi="Times New Roman" w:cs="Times New Roman"/>
                      <w:sz w:val="24"/>
                      <w:szCs w:val="24"/>
                    </w:rPr>
                    <w:t xml:space="preserve"> maksājumu. Zaudējumu atlīdzības kārtību gadījumos, kad Sūtītāja </w:t>
                  </w:r>
                  <w:r w:rsidRPr="003A01DF">
                    <w:rPr>
                      <w:rFonts w:ascii="Times New Roman" w:hAnsi="Times New Roman" w:cs="Times New Roman"/>
                      <w:sz w:val="24"/>
                      <w:szCs w:val="24"/>
                    </w:rPr>
                    <w:lastRenderedPageBreak/>
                    <w:t>valsts spēki, nepildot dienesta pienākumus, nodara zaudējumus, var risināt arī civilprocesuālā kārtībā.</w:t>
                  </w:r>
                  <w:r w:rsidRPr="003A01DF">
                    <w:rPr>
                      <w:rFonts w:ascii="Times New Roman" w:eastAsia="Times New Roman" w:hAnsi="Times New Roman" w:cs="Times New Roman"/>
                      <w:bCs/>
                      <w:sz w:val="24"/>
                      <w:szCs w:val="24"/>
                    </w:rPr>
                    <w:t xml:space="preserve"> </w:t>
                  </w:r>
                </w:p>
                <w:p w14:paraId="17A1B9F7" w14:textId="699209EB" w:rsidR="008F59EE" w:rsidRPr="003A01DF" w:rsidRDefault="004270CE" w:rsidP="007F2F22">
                  <w:pPr>
                    <w:pStyle w:val="NoSpacing"/>
                    <w:jc w:val="both"/>
                    <w:rPr>
                      <w:rFonts w:ascii="Times New Roman" w:eastAsia="Times New Roman" w:hAnsi="Times New Roman" w:cs="Times New Roman"/>
                      <w:bCs/>
                      <w:sz w:val="24"/>
                      <w:szCs w:val="24"/>
                    </w:rPr>
                  </w:pPr>
                  <w:r w:rsidRPr="003A01DF">
                    <w:rPr>
                      <w:rFonts w:ascii="Times New Roman" w:eastAsia="Times New Roman" w:hAnsi="Times New Roman" w:cs="Times New Roman"/>
                      <w:bCs/>
                      <w:sz w:val="24"/>
                      <w:szCs w:val="24"/>
                    </w:rPr>
                    <w:t>J</w:t>
                  </w:r>
                  <w:r w:rsidR="008F59EE" w:rsidRPr="003A01DF">
                    <w:rPr>
                      <w:rFonts w:ascii="Times New Roman" w:eastAsia="Times New Roman" w:hAnsi="Times New Roman" w:cs="Times New Roman"/>
                      <w:bCs/>
                      <w:sz w:val="24"/>
                      <w:szCs w:val="24"/>
                    </w:rPr>
                    <w:t xml:space="preserve">a Latvijas Nacionālo bruņoto spēku speciālā militārā tehnika izraisīs negadījumu </w:t>
                  </w:r>
                  <w:r w:rsidR="00435EC0" w:rsidRPr="003A01DF">
                    <w:rPr>
                      <w:rFonts w:ascii="Times New Roman" w:eastAsia="Times New Roman" w:hAnsi="Times New Roman" w:cs="Times New Roman"/>
                      <w:bCs/>
                      <w:sz w:val="24"/>
                      <w:szCs w:val="24"/>
                    </w:rPr>
                    <w:t xml:space="preserve">citā </w:t>
                  </w:r>
                  <w:r w:rsidR="008F59EE" w:rsidRPr="003A01DF">
                    <w:rPr>
                      <w:rFonts w:ascii="Times New Roman" w:eastAsia="Times New Roman" w:hAnsi="Times New Roman" w:cs="Times New Roman"/>
                      <w:bCs/>
                      <w:sz w:val="24"/>
                      <w:szCs w:val="24"/>
                    </w:rPr>
                    <w:t xml:space="preserve">NATO </w:t>
                  </w:r>
                  <w:r w:rsidR="00435EC0" w:rsidRPr="003A01DF">
                    <w:rPr>
                      <w:rFonts w:ascii="Times New Roman" w:eastAsia="Times New Roman" w:hAnsi="Times New Roman" w:cs="Times New Roman"/>
                      <w:bCs/>
                      <w:sz w:val="24"/>
                      <w:szCs w:val="24"/>
                    </w:rPr>
                    <w:t xml:space="preserve">valstī </w:t>
                  </w:r>
                  <w:r w:rsidR="008F59EE" w:rsidRPr="003A01DF">
                    <w:rPr>
                      <w:rFonts w:ascii="Times New Roman" w:eastAsia="Times New Roman" w:hAnsi="Times New Roman" w:cs="Times New Roman"/>
                      <w:bCs/>
                      <w:sz w:val="24"/>
                      <w:szCs w:val="24"/>
                    </w:rPr>
                    <w:t xml:space="preserve">vai </w:t>
                  </w:r>
                  <w:r w:rsidR="00435EC0" w:rsidRPr="003A01DF">
                    <w:rPr>
                      <w:rFonts w:ascii="Times New Roman" w:eastAsia="Times New Roman" w:hAnsi="Times New Roman" w:cs="Times New Roman"/>
                      <w:bCs/>
                      <w:sz w:val="24"/>
                      <w:szCs w:val="24"/>
                    </w:rPr>
                    <w:t xml:space="preserve">kādā no </w:t>
                  </w:r>
                  <w:r w:rsidR="008F59EE" w:rsidRPr="003A01DF">
                    <w:rPr>
                      <w:rStyle w:val="lbldescriptioncl"/>
                      <w:rFonts w:ascii="Times New Roman" w:hAnsi="Times New Roman" w:cs="Times New Roman"/>
                      <w:sz w:val="24"/>
                      <w:szCs w:val="24"/>
                    </w:rPr>
                    <w:t>programmas „Partnerattiecības mieram” (</w:t>
                  </w:r>
                  <w:proofErr w:type="spellStart"/>
                  <w:r w:rsidR="008F59EE" w:rsidRPr="003A01DF">
                    <w:rPr>
                      <w:rStyle w:val="Emphasis"/>
                      <w:rFonts w:ascii="Times New Roman" w:hAnsi="Times New Roman" w:cs="Times New Roman"/>
                      <w:sz w:val="24"/>
                      <w:szCs w:val="24"/>
                    </w:rPr>
                    <w:t>Partnership</w:t>
                  </w:r>
                  <w:proofErr w:type="spellEnd"/>
                  <w:r w:rsidR="008F59EE" w:rsidRPr="003A01DF">
                    <w:rPr>
                      <w:rStyle w:val="Emphasis"/>
                      <w:rFonts w:ascii="Times New Roman" w:hAnsi="Times New Roman" w:cs="Times New Roman"/>
                      <w:sz w:val="24"/>
                      <w:szCs w:val="24"/>
                    </w:rPr>
                    <w:t xml:space="preserve"> </w:t>
                  </w:r>
                  <w:proofErr w:type="spellStart"/>
                  <w:r w:rsidR="008F59EE" w:rsidRPr="003A01DF">
                    <w:rPr>
                      <w:rStyle w:val="Emphasis"/>
                      <w:rFonts w:ascii="Times New Roman" w:hAnsi="Times New Roman" w:cs="Times New Roman"/>
                      <w:sz w:val="24"/>
                      <w:szCs w:val="24"/>
                    </w:rPr>
                    <w:t>for</w:t>
                  </w:r>
                  <w:proofErr w:type="spellEnd"/>
                  <w:r w:rsidR="008F59EE" w:rsidRPr="003A01DF">
                    <w:rPr>
                      <w:rStyle w:val="Emphasis"/>
                      <w:rFonts w:ascii="Times New Roman" w:hAnsi="Times New Roman" w:cs="Times New Roman"/>
                      <w:sz w:val="24"/>
                      <w:szCs w:val="24"/>
                    </w:rPr>
                    <w:t xml:space="preserve"> </w:t>
                  </w:r>
                  <w:proofErr w:type="spellStart"/>
                  <w:r w:rsidR="008F59EE" w:rsidRPr="003A01DF">
                    <w:rPr>
                      <w:rStyle w:val="Emphasis"/>
                      <w:rFonts w:ascii="Times New Roman" w:hAnsi="Times New Roman" w:cs="Times New Roman"/>
                      <w:sz w:val="24"/>
                      <w:szCs w:val="24"/>
                    </w:rPr>
                    <w:t>Peace</w:t>
                  </w:r>
                  <w:proofErr w:type="spellEnd"/>
                  <w:r w:rsidR="008F59EE" w:rsidRPr="003A01DF">
                    <w:rPr>
                      <w:rStyle w:val="lbldescriptioncl"/>
                      <w:rFonts w:ascii="Times New Roman" w:hAnsi="Times New Roman" w:cs="Times New Roman"/>
                      <w:sz w:val="24"/>
                      <w:szCs w:val="24"/>
                    </w:rPr>
                    <w:t xml:space="preserve">, </w:t>
                  </w:r>
                  <w:proofErr w:type="spellStart"/>
                  <w:r w:rsidR="008F59EE" w:rsidRPr="003A01DF">
                    <w:rPr>
                      <w:rStyle w:val="lbldescriptioncl"/>
                      <w:rFonts w:ascii="Times New Roman" w:hAnsi="Times New Roman" w:cs="Times New Roman"/>
                      <w:sz w:val="24"/>
                      <w:szCs w:val="24"/>
                    </w:rPr>
                    <w:t>PfP</w:t>
                  </w:r>
                  <w:proofErr w:type="spellEnd"/>
                  <w:r w:rsidR="008F59EE" w:rsidRPr="003A01DF">
                    <w:rPr>
                      <w:rStyle w:val="lbldescriptioncl"/>
                      <w:rFonts w:ascii="Times New Roman" w:hAnsi="Times New Roman" w:cs="Times New Roman"/>
                      <w:sz w:val="24"/>
                      <w:szCs w:val="24"/>
                    </w:rPr>
                    <w:t>)</w:t>
                  </w:r>
                  <w:r w:rsidR="000D6031" w:rsidRPr="003A01DF">
                    <w:rPr>
                      <w:rStyle w:val="FootnoteReference"/>
                      <w:rFonts w:ascii="Times New Roman" w:hAnsi="Times New Roman" w:cs="Times New Roman"/>
                      <w:sz w:val="24"/>
                      <w:szCs w:val="24"/>
                    </w:rPr>
                    <w:footnoteReference w:id="3"/>
                  </w:r>
                  <w:r w:rsidR="008F59EE" w:rsidRPr="003A01DF">
                    <w:rPr>
                      <w:rStyle w:val="lbldescriptioncl"/>
                      <w:rFonts w:ascii="Times New Roman" w:hAnsi="Times New Roman" w:cs="Times New Roman"/>
                      <w:sz w:val="24"/>
                      <w:szCs w:val="24"/>
                    </w:rPr>
                    <w:t xml:space="preserve">  </w:t>
                  </w:r>
                  <w:r w:rsidR="008F59EE" w:rsidRPr="003A01DF">
                    <w:rPr>
                      <w:rFonts w:ascii="Times New Roman" w:eastAsia="Times New Roman" w:hAnsi="Times New Roman" w:cs="Times New Roman"/>
                      <w:bCs/>
                      <w:sz w:val="24"/>
                      <w:szCs w:val="24"/>
                    </w:rPr>
                    <w:t>valstī</w:t>
                  </w:r>
                  <w:r w:rsidR="00435EC0" w:rsidRPr="003A01DF">
                    <w:rPr>
                      <w:rFonts w:ascii="Times New Roman" w:eastAsia="Times New Roman" w:hAnsi="Times New Roman" w:cs="Times New Roman"/>
                      <w:bCs/>
                      <w:sz w:val="24"/>
                      <w:szCs w:val="24"/>
                    </w:rPr>
                    <w:t>m</w:t>
                  </w:r>
                  <w:r w:rsidR="008F59EE" w:rsidRPr="003A01DF">
                    <w:rPr>
                      <w:rFonts w:ascii="Times New Roman" w:eastAsia="Times New Roman" w:hAnsi="Times New Roman" w:cs="Times New Roman"/>
                      <w:bCs/>
                      <w:sz w:val="24"/>
                      <w:szCs w:val="24"/>
                    </w:rPr>
                    <w:t xml:space="preserve">, </w:t>
                  </w:r>
                  <w:r w:rsidR="00435EC0" w:rsidRPr="003A01DF">
                    <w:rPr>
                      <w:rFonts w:ascii="Times New Roman" w:eastAsia="Times New Roman" w:hAnsi="Times New Roman" w:cs="Times New Roman"/>
                      <w:bCs/>
                      <w:sz w:val="24"/>
                      <w:szCs w:val="24"/>
                    </w:rPr>
                    <w:t xml:space="preserve">arī </w:t>
                  </w:r>
                  <w:r w:rsidR="008F59EE" w:rsidRPr="003A01DF">
                    <w:rPr>
                      <w:rFonts w:ascii="Times New Roman" w:eastAsia="Times New Roman" w:hAnsi="Times New Roman" w:cs="Times New Roman"/>
                      <w:bCs/>
                      <w:sz w:val="24"/>
                      <w:szCs w:val="24"/>
                    </w:rPr>
                    <w:t xml:space="preserve">tās valsts </w:t>
                  </w:r>
                  <w:r w:rsidR="00435EC0" w:rsidRPr="003A01DF">
                    <w:rPr>
                      <w:rFonts w:ascii="Times New Roman" w:eastAsia="Times New Roman" w:hAnsi="Times New Roman" w:cs="Times New Roman"/>
                      <w:bCs/>
                      <w:sz w:val="24"/>
                      <w:szCs w:val="24"/>
                    </w:rPr>
                    <w:t xml:space="preserve">atbildīgā </w:t>
                  </w:r>
                  <w:r w:rsidR="008F59EE" w:rsidRPr="003A01DF">
                    <w:rPr>
                      <w:rFonts w:ascii="Times New Roman" w:eastAsia="Times New Roman" w:hAnsi="Times New Roman" w:cs="Times New Roman"/>
                      <w:bCs/>
                      <w:sz w:val="24"/>
                      <w:szCs w:val="24"/>
                    </w:rPr>
                    <w:t>iestāde</w:t>
                  </w:r>
                  <w:r w:rsidR="00435EC0" w:rsidRPr="003A01DF">
                    <w:rPr>
                      <w:rFonts w:ascii="Times New Roman" w:eastAsia="Times New Roman" w:hAnsi="Times New Roman" w:cs="Times New Roman"/>
                      <w:bCs/>
                      <w:sz w:val="24"/>
                      <w:szCs w:val="24"/>
                    </w:rPr>
                    <w:t xml:space="preserve"> rīkosies atbilstoši NATO SOFA nosacījumiem. </w:t>
                  </w:r>
                  <w:r w:rsidR="00E255C6" w:rsidRPr="003A01DF">
                    <w:rPr>
                      <w:rFonts w:ascii="Times New Roman" w:eastAsia="Times New Roman" w:hAnsi="Times New Roman" w:cs="Times New Roman"/>
                      <w:bCs/>
                      <w:sz w:val="24"/>
                      <w:szCs w:val="24"/>
                    </w:rPr>
                    <w:t xml:space="preserve"> </w:t>
                  </w:r>
                </w:p>
                <w:p w14:paraId="2E2652C2" w14:textId="50FEC7B2" w:rsidR="00172D10" w:rsidRPr="003A01DF" w:rsidRDefault="00D83558" w:rsidP="007F2F22">
                  <w:pPr>
                    <w:pStyle w:val="NoSpacing"/>
                    <w:ind w:firstLine="423"/>
                    <w:jc w:val="both"/>
                    <w:rPr>
                      <w:rFonts w:ascii="Times New Roman" w:hAnsi="Times New Roman" w:cs="Times New Roman"/>
                      <w:sz w:val="24"/>
                      <w:szCs w:val="24"/>
                    </w:rPr>
                  </w:pPr>
                  <w:r w:rsidRPr="003A01DF">
                    <w:rPr>
                      <w:rFonts w:ascii="Times New Roman" w:eastAsia="Times New Roman" w:hAnsi="Times New Roman" w:cs="Times New Roman"/>
                      <w:b/>
                      <w:bCs/>
                      <w:sz w:val="24"/>
                      <w:szCs w:val="24"/>
                    </w:rPr>
                    <w:t xml:space="preserve">7) </w:t>
                  </w:r>
                  <w:r w:rsidRPr="003A01DF">
                    <w:rPr>
                      <w:rFonts w:ascii="Times New Roman" w:eastAsia="Times New Roman" w:hAnsi="Times New Roman" w:cs="Times New Roman"/>
                      <w:bCs/>
                      <w:sz w:val="24"/>
                      <w:szCs w:val="24"/>
                    </w:rPr>
                    <w:t>Likuma pārejas noteikum</w:t>
                  </w:r>
                  <w:r w:rsidR="00172D10" w:rsidRPr="003A01DF">
                    <w:rPr>
                      <w:rFonts w:ascii="Times New Roman" w:eastAsia="Times New Roman" w:hAnsi="Times New Roman" w:cs="Times New Roman"/>
                      <w:bCs/>
                      <w:sz w:val="24"/>
                      <w:szCs w:val="24"/>
                    </w:rPr>
                    <w:t>os</w:t>
                  </w:r>
                  <w:r w:rsidRPr="003A01DF">
                    <w:rPr>
                      <w:rFonts w:ascii="Times New Roman" w:eastAsia="Times New Roman" w:hAnsi="Times New Roman" w:cs="Times New Roman"/>
                      <w:bCs/>
                      <w:sz w:val="24"/>
                      <w:szCs w:val="24"/>
                    </w:rPr>
                    <w:t>, ka</w:t>
                  </w:r>
                  <w:r w:rsidRPr="003A01DF">
                    <w:rPr>
                      <w:rFonts w:ascii="Times New Roman" w:eastAsia="Times New Roman" w:hAnsi="Times New Roman" w:cs="Times New Roman"/>
                      <w:b/>
                      <w:bCs/>
                      <w:sz w:val="24"/>
                      <w:szCs w:val="24"/>
                    </w:rPr>
                    <w:t xml:space="preserve"> </w:t>
                  </w:r>
                  <w:r w:rsidRPr="003A01DF">
                    <w:rPr>
                      <w:rFonts w:ascii="Times New Roman" w:hAnsi="Times New Roman" w:cs="Times New Roman"/>
                      <w:sz w:val="24"/>
                      <w:szCs w:val="24"/>
                    </w:rPr>
                    <w:t>apdrošināšanas līgums, kas noslēgts attiecībā uz speciālo militāro tehniku, uzskatāms par izbeigtu ar brīdi, kad stājas spēkā Likuma 3.</w:t>
                  </w:r>
                  <w:r w:rsidRPr="003A01DF">
                    <w:rPr>
                      <w:rFonts w:ascii="Times New Roman" w:hAnsi="Times New Roman" w:cs="Times New Roman"/>
                      <w:sz w:val="24"/>
                      <w:szCs w:val="24"/>
                      <w:vertAlign w:val="superscript"/>
                    </w:rPr>
                    <w:t>1</w:t>
                  </w:r>
                  <w:r w:rsidRPr="003A01DF">
                    <w:rPr>
                      <w:rFonts w:ascii="Times New Roman" w:hAnsi="Times New Roman" w:cs="Times New Roman"/>
                      <w:sz w:val="24"/>
                      <w:szCs w:val="24"/>
                    </w:rPr>
                    <w:t xml:space="preserve"> pants. Ja apdrošināšanas līgums ir izbeidzies uz šī pamata un </w:t>
                  </w:r>
                  <w:r w:rsidR="006D6E50" w:rsidRPr="003A01DF">
                    <w:rPr>
                      <w:rFonts w:ascii="Times New Roman" w:hAnsi="Times New Roman" w:cs="Times New Roman"/>
                      <w:sz w:val="24"/>
                      <w:szCs w:val="24"/>
                    </w:rPr>
                    <w:t>Nacionāl</w:t>
                  </w:r>
                  <w:r w:rsidR="004C5C4B" w:rsidRPr="003A01DF">
                    <w:rPr>
                      <w:rFonts w:ascii="Times New Roman" w:hAnsi="Times New Roman" w:cs="Times New Roman"/>
                      <w:sz w:val="24"/>
                      <w:szCs w:val="24"/>
                    </w:rPr>
                    <w:t>ie</w:t>
                  </w:r>
                  <w:r w:rsidR="006D6E50" w:rsidRPr="003A01DF">
                    <w:rPr>
                      <w:rFonts w:ascii="Times New Roman" w:hAnsi="Times New Roman" w:cs="Times New Roman"/>
                      <w:sz w:val="24"/>
                      <w:szCs w:val="24"/>
                    </w:rPr>
                    <w:t xml:space="preserve"> bruņot</w:t>
                  </w:r>
                  <w:r w:rsidR="004C5C4B" w:rsidRPr="003A01DF">
                    <w:rPr>
                      <w:rFonts w:ascii="Times New Roman" w:hAnsi="Times New Roman" w:cs="Times New Roman"/>
                      <w:sz w:val="24"/>
                      <w:szCs w:val="24"/>
                    </w:rPr>
                    <w:t>ie</w:t>
                  </w:r>
                  <w:r w:rsidR="006D6E50" w:rsidRPr="003A01DF">
                    <w:rPr>
                      <w:rFonts w:ascii="Times New Roman" w:hAnsi="Times New Roman" w:cs="Times New Roman"/>
                      <w:sz w:val="24"/>
                      <w:szCs w:val="24"/>
                    </w:rPr>
                    <w:t xml:space="preserve"> spēk</w:t>
                  </w:r>
                  <w:r w:rsidR="004C5C4B" w:rsidRPr="003A01DF">
                    <w:rPr>
                      <w:rFonts w:ascii="Times New Roman" w:hAnsi="Times New Roman" w:cs="Times New Roman"/>
                      <w:sz w:val="24"/>
                      <w:szCs w:val="24"/>
                    </w:rPr>
                    <w:t>i</w:t>
                  </w:r>
                  <w:r w:rsidR="006D6E50" w:rsidRPr="003A01DF">
                    <w:rPr>
                      <w:rFonts w:ascii="Times New Roman" w:hAnsi="Times New Roman" w:cs="Times New Roman"/>
                      <w:sz w:val="24"/>
                      <w:szCs w:val="24"/>
                    </w:rPr>
                    <w:t xml:space="preserve"> </w:t>
                  </w:r>
                  <w:r w:rsidRPr="003A01DF">
                    <w:rPr>
                      <w:rFonts w:ascii="Times New Roman" w:hAnsi="Times New Roman" w:cs="Times New Roman"/>
                      <w:sz w:val="24"/>
                      <w:szCs w:val="24"/>
                    </w:rPr>
                    <w:t xml:space="preserve">iesniedz apdrošinātājam rakstveida pieteikumu par iemaksātās apdrošināšanas prēmijas daļas atmaksu, </w:t>
                  </w:r>
                  <w:r w:rsidR="006D6E50" w:rsidRPr="003A01DF">
                    <w:rPr>
                      <w:rFonts w:ascii="Times New Roman" w:hAnsi="Times New Roman" w:cs="Times New Roman"/>
                      <w:sz w:val="24"/>
                      <w:szCs w:val="24"/>
                    </w:rPr>
                    <w:t>Nacionāl</w:t>
                  </w:r>
                  <w:r w:rsidR="004C5C4B" w:rsidRPr="003A01DF">
                    <w:rPr>
                      <w:rFonts w:ascii="Times New Roman" w:hAnsi="Times New Roman" w:cs="Times New Roman"/>
                      <w:sz w:val="24"/>
                      <w:szCs w:val="24"/>
                    </w:rPr>
                    <w:t>ajiem</w:t>
                  </w:r>
                  <w:r w:rsidR="006D6E50" w:rsidRPr="003A01DF">
                    <w:rPr>
                      <w:rFonts w:ascii="Times New Roman" w:hAnsi="Times New Roman" w:cs="Times New Roman"/>
                      <w:sz w:val="24"/>
                      <w:szCs w:val="24"/>
                    </w:rPr>
                    <w:t xml:space="preserve"> bruņot</w:t>
                  </w:r>
                  <w:r w:rsidR="004C5C4B" w:rsidRPr="003A01DF">
                    <w:rPr>
                      <w:rFonts w:ascii="Times New Roman" w:hAnsi="Times New Roman" w:cs="Times New Roman"/>
                      <w:sz w:val="24"/>
                      <w:szCs w:val="24"/>
                    </w:rPr>
                    <w:t>ajiem</w:t>
                  </w:r>
                  <w:r w:rsidR="006D6E50" w:rsidRPr="003A01DF">
                    <w:rPr>
                      <w:rFonts w:ascii="Times New Roman" w:hAnsi="Times New Roman" w:cs="Times New Roman"/>
                      <w:sz w:val="24"/>
                      <w:szCs w:val="24"/>
                    </w:rPr>
                    <w:t xml:space="preserve"> spēk</w:t>
                  </w:r>
                  <w:r w:rsidR="004C5C4B" w:rsidRPr="003A01DF">
                    <w:rPr>
                      <w:rFonts w:ascii="Times New Roman" w:hAnsi="Times New Roman" w:cs="Times New Roman"/>
                      <w:sz w:val="24"/>
                      <w:szCs w:val="24"/>
                    </w:rPr>
                    <w:t>iem</w:t>
                  </w:r>
                  <w:r w:rsidR="006D6E50" w:rsidRPr="003A01DF">
                    <w:rPr>
                      <w:rFonts w:ascii="Times New Roman" w:hAnsi="Times New Roman" w:cs="Times New Roman"/>
                      <w:sz w:val="24"/>
                      <w:szCs w:val="24"/>
                    </w:rPr>
                    <w:t xml:space="preserve"> </w:t>
                  </w:r>
                  <w:r w:rsidRPr="003A01DF">
                    <w:rPr>
                      <w:rFonts w:ascii="Times New Roman" w:hAnsi="Times New Roman" w:cs="Times New Roman"/>
                      <w:sz w:val="24"/>
                      <w:szCs w:val="24"/>
                    </w:rPr>
                    <w:t xml:space="preserve">ir tiesības uz to iemaksātās apdrošināšanas prēmijas daļu, kura atbilst atlikušajam laikposmam no pieteikuma iesniegšanas dienas līdz apdrošināšanas līguma termiņa beigām </w:t>
                  </w:r>
                  <w:r w:rsidR="007F2F22" w:rsidRPr="003A01DF">
                    <w:rPr>
                      <w:rFonts w:ascii="Times New Roman" w:hAnsi="Times New Roman" w:cs="Times New Roman"/>
                      <w:sz w:val="24"/>
                      <w:szCs w:val="24"/>
                    </w:rPr>
                    <w:t>un no kuras atskaitīti ne vairāk kā pieci procenti no apdrošināšanas prēmijas daļas par atlikušo periodu, ja, pamatojoties uz attiecīgo apdrošināšanas līgumu, nav pieteikta apdrošināšanas atlīdzības izmaksa</w:t>
                  </w:r>
                  <w:r w:rsidR="002331C9" w:rsidRPr="003A01DF">
                    <w:rPr>
                      <w:rFonts w:ascii="Times New Roman" w:hAnsi="Times New Roman" w:cs="Times New Roman"/>
                      <w:sz w:val="24"/>
                      <w:szCs w:val="24"/>
                    </w:rPr>
                    <w:t>.</w:t>
                  </w:r>
                </w:p>
                <w:p w14:paraId="18B7E88D" w14:textId="0EA35345" w:rsidR="00052F5A" w:rsidRPr="003A01DF" w:rsidRDefault="00052F5A" w:rsidP="004C5C4B">
                  <w:pPr>
                    <w:pStyle w:val="NoSpacing"/>
                    <w:ind w:firstLine="423"/>
                    <w:jc w:val="both"/>
                    <w:rPr>
                      <w:rFonts w:ascii="Times New Roman" w:hAnsi="Times New Roman" w:cs="Times New Roman"/>
                      <w:sz w:val="24"/>
                      <w:szCs w:val="24"/>
                    </w:rPr>
                  </w:pPr>
                  <w:r w:rsidRPr="003A01DF">
                    <w:rPr>
                      <w:rFonts w:ascii="Times New Roman" w:hAnsi="Times New Roman" w:cs="Times New Roman"/>
                      <w:sz w:val="24"/>
                      <w:szCs w:val="24"/>
                    </w:rPr>
                    <w:t>Likumprojekts paredz, ka gadījumā, kad pirms termiņa</w:t>
                  </w:r>
                  <w:r w:rsidR="006C0D20" w:rsidRPr="003A01DF">
                    <w:rPr>
                      <w:rFonts w:ascii="Times New Roman" w:hAnsi="Times New Roman" w:cs="Times New Roman"/>
                      <w:sz w:val="24"/>
                      <w:szCs w:val="24"/>
                    </w:rPr>
                    <w:t xml:space="preserve"> tiks</w:t>
                  </w:r>
                  <w:r w:rsidRPr="003A01DF">
                    <w:rPr>
                      <w:rFonts w:ascii="Times New Roman" w:hAnsi="Times New Roman" w:cs="Times New Roman"/>
                      <w:sz w:val="24"/>
                      <w:szCs w:val="24"/>
                    </w:rPr>
                    <w:t xml:space="preserve"> pārtraukts </w:t>
                  </w:r>
                  <w:r w:rsidR="006C0D20" w:rsidRPr="003A01DF">
                    <w:rPr>
                      <w:rFonts w:ascii="Times New Roman" w:hAnsi="Times New Roman" w:cs="Times New Roman"/>
                      <w:sz w:val="24"/>
                      <w:szCs w:val="24"/>
                    </w:rPr>
                    <w:t xml:space="preserve">civiltiesiskās </w:t>
                  </w:r>
                  <w:r w:rsidRPr="003A01DF">
                    <w:rPr>
                      <w:rFonts w:ascii="Times New Roman" w:hAnsi="Times New Roman" w:cs="Times New Roman"/>
                      <w:sz w:val="24"/>
                      <w:szCs w:val="24"/>
                    </w:rPr>
                    <w:t>apdrošināšanas līgums</w:t>
                  </w:r>
                  <w:r w:rsidR="006C0D20" w:rsidRPr="003A01DF">
                    <w:rPr>
                      <w:rFonts w:ascii="Times New Roman" w:hAnsi="Times New Roman" w:cs="Times New Roman"/>
                      <w:sz w:val="24"/>
                      <w:szCs w:val="24"/>
                    </w:rPr>
                    <w:t xml:space="preserve"> par speciālās militārās tehnikas apdrošināšanu</w:t>
                  </w:r>
                  <w:r w:rsidRPr="003A01DF">
                    <w:rPr>
                      <w:rFonts w:ascii="Times New Roman" w:hAnsi="Times New Roman" w:cs="Times New Roman"/>
                      <w:sz w:val="24"/>
                      <w:szCs w:val="24"/>
                    </w:rPr>
                    <w:t xml:space="preserve">, </w:t>
                  </w:r>
                  <w:r w:rsidR="006C0D20" w:rsidRPr="003A01DF">
                    <w:rPr>
                      <w:rFonts w:ascii="Times New Roman" w:hAnsi="Times New Roman" w:cs="Times New Roman"/>
                      <w:sz w:val="24"/>
                      <w:szCs w:val="24"/>
                    </w:rPr>
                    <w:t>un Nacionāl</w:t>
                  </w:r>
                  <w:r w:rsidR="004C5C4B" w:rsidRPr="003A01DF">
                    <w:rPr>
                      <w:rFonts w:ascii="Times New Roman" w:hAnsi="Times New Roman" w:cs="Times New Roman"/>
                      <w:sz w:val="24"/>
                      <w:szCs w:val="24"/>
                    </w:rPr>
                    <w:t>ie bruņotie</w:t>
                  </w:r>
                  <w:r w:rsidR="006C0D20" w:rsidRPr="003A01DF">
                    <w:rPr>
                      <w:rFonts w:ascii="Times New Roman" w:hAnsi="Times New Roman" w:cs="Times New Roman"/>
                      <w:sz w:val="24"/>
                      <w:szCs w:val="24"/>
                    </w:rPr>
                    <w:t xml:space="preserve"> </w:t>
                  </w:r>
                  <w:r w:rsidR="004C5C4B" w:rsidRPr="003A01DF">
                    <w:rPr>
                      <w:rFonts w:ascii="Times New Roman" w:hAnsi="Times New Roman" w:cs="Times New Roman"/>
                      <w:sz w:val="24"/>
                      <w:szCs w:val="24"/>
                    </w:rPr>
                    <w:t>spēki</w:t>
                  </w:r>
                  <w:r w:rsidR="006C0D20" w:rsidRPr="003A01DF">
                    <w:rPr>
                      <w:rFonts w:ascii="Times New Roman" w:hAnsi="Times New Roman" w:cs="Times New Roman"/>
                      <w:sz w:val="24"/>
                      <w:szCs w:val="24"/>
                    </w:rPr>
                    <w:t xml:space="preserve"> lūgs atmaksāt apdrošināšanas prēmijas daļu par atlikušo periodu, tad </w:t>
                  </w:r>
                  <w:r w:rsidRPr="003A01DF">
                    <w:rPr>
                      <w:rFonts w:ascii="Times New Roman" w:hAnsi="Times New Roman" w:cs="Times New Roman"/>
                      <w:sz w:val="24"/>
                      <w:szCs w:val="24"/>
                    </w:rPr>
                    <w:t>apdrošinātājs</w:t>
                  </w:r>
                  <w:r w:rsidR="006C0D20" w:rsidRPr="003A01DF">
                    <w:rPr>
                      <w:rFonts w:ascii="Times New Roman" w:hAnsi="Times New Roman" w:cs="Times New Roman"/>
                      <w:sz w:val="24"/>
                      <w:szCs w:val="24"/>
                    </w:rPr>
                    <w:t xml:space="preserve"> no izmaksājamās</w:t>
                  </w:r>
                  <w:r w:rsidRPr="003A01DF">
                    <w:rPr>
                      <w:rFonts w:ascii="Times New Roman" w:hAnsi="Times New Roman" w:cs="Times New Roman"/>
                      <w:sz w:val="24"/>
                      <w:szCs w:val="24"/>
                    </w:rPr>
                    <w:t xml:space="preserve"> </w:t>
                  </w:r>
                  <w:r w:rsidR="006C0D20" w:rsidRPr="003A01DF">
                    <w:rPr>
                      <w:rFonts w:ascii="Times New Roman" w:hAnsi="Times New Roman" w:cs="Times New Roman"/>
                      <w:sz w:val="24"/>
                      <w:szCs w:val="24"/>
                    </w:rPr>
                    <w:t xml:space="preserve">apdrošināšanas prēmijas daļas par atlikušo periodu </w:t>
                  </w:r>
                  <w:r w:rsidRPr="003A01DF">
                    <w:rPr>
                      <w:rFonts w:ascii="Times New Roman" w:hAnsi="Times New Roman" w:cs="Times New Roman"/>
                      <w:sz w:val="24"/>
                      <w:szCs w:val="24"/>
                    </w:rPr>
                    <w:t>ietur</w:t>
                  </w:r>
                  <w:r w:rsidR="006C0D20" w:rsidRPr="003A01DF">
                    <w:rPr>
                      <w:rFonts w:ascii="Times New Roman" w:hAnsi="Times New Roman" w:cs="Times New Roman"/>
                      <w:sz w:val="24"/>
                      <w:szCs w:val="24"/>
                    </w:rPr>
                    <w:t>ēs</w:t>
                  </w:r>
                  <w:r w:rsidRPr="003A01DF">
                    <w:rPr>
                      <w:rFonts w:ascii="Times New Roman" w:hAnsi="Times New Roman" w:cs="Times New Roman"/>
                      <w:sz w:val="24"/>
                      <w:szCs w:val="24"/>
                    </w:rPr>
                    <w:t xml:space="preserve"> ne vairāk kā pieci procenti no apdrošināšanas prēmijas daļas. Šādu nosacījumu jau satur Likuma 10. panta piektā daļa un 6.</w:t>
                  </w:r>
                  <w:r w:rsidRPr="003A01DF">
                    <w:rPr>
                      <w:rFonts w:ascii="Times New Roman" w:hAnsi="Times New Roman" w:cs="Times New Roman"/>
                      <w:sz w:val="24"/>
                      <w:szCs w:val="24"/>
                      <w:vertAlign w:val="superscript"/>
                    </w:rPr>
                    <w:t>1</w:t>
                  </w:r>
                  <w:r w:rsidRPr="003A01DF">
                    <w:rPr>
                      <w:rFonts w:ascii="Times New Roman" w:hAnsi="Times New Roman" w:cs="Times New Roman"/>
                      <w:sz w:val="24"/>
                      <w:szCs w:val="24"/>
                    </w:rPr>
                    <w:t xml:space="preserve"> daļa, kā arī līdzīgs regulējums ietverts Likuma 21. punkt</w:t>
                  </w:r>
                  <w:r w:rsidR="006C0D20" w:rsidRPr="003A01DF">
                    <w:rPr>
                      <w:rFonts w:ascii="Times New Roman" w:hAnsi="Times New Roman" w:cs="Times New Roman"/>
                      <w:sz w:val="24"/>
                      <w:szCs w:val="24"/>
                    </w:rPr>
                    <w:t xml:space="preserve">ā. </w:t>
                  </w:r>
                  <w:r w:rsidRPr="003A01DF">
                    <w:rPr>
                      <w:rFonts w:ascii="Times New Roman" w:hAnsi="Times New Roman" w:cs="Times New Roman"/>
                      <w:sz w:val="24"/>
                      <w:szCs w:val="24"/>
                    </w:rPr>
                    <w:t xml:space="preserve"> </w:t>
                  </w:r>
                </w:p>
              </w:tc>
            </w:tr>
            <w:tr w:rsidR="0001268A" w:rsidRPr="003A01DF" w14:paraId="6955539D" w14:textId="77777777" w:rsidTr="007B3532">
              <w:trPr>
                <w:tblCellSpacing w:w="15" w:type="dxa"/>
              </w:trPr>
              <w:tc>
                <w:tcPr>
                  <w:tcW w:w="3000" w:type="pct"/>
                  <w:tcBorders>
                    <w:top w:val="outset" w:sz="6" w:space="0" w:color="auto"/>
                    <w:left w:val="outset" w:sz="6" w:space="0" w:color="auto"/>
                    <w:bottom w:val="outset" w:sz="6" w:space="0" w:color="auto"/>
                    <w:right w:val="outset" w:sz="6" w:space="0" w:color="auto"/>
                  </w:tcBorders>
                  <w:hideMark/>
                </w:tcPr>
                <w:p w14:paraId="45F529E7" w14:textId="0B2D8B87" w:rsidR="008F59EE" w:rsidRPr="003A01DF" w:rsidRDefault="002331C9" w:rsidP="007F2F22">
                  <w:pPr>
                    <w:ind w:firstLine="711"/>
                    <w:jc w:val="both"/>
                    <w:rPr>
                      <w:rFonts w:ascii="Times New Roman" w:hAnsi="Times New Roman" w:cs="Times New Roman"/>
                      <w:color w:val="1F497D"/>
                      <w:sz w:val="24"/>
                      <w:szCs w:val="24"/>
                    </w:rPr>
                  </w:pPr>
                  <w:r w:rsidRPr="003A01DF">
                    <w:rPr>
                      <w:rFonts w:ascii="Times New Roman" w:eastAsia="Times New Roman" w:hAnsi="Times New Roman" w:cs="Times New Roman"/>
                      <w:iCs/>
                      <w:sz w:val="24"/>
                      <w:szCs w:val="24"/>
                      <w:lang w:eastAsia="lv-LV"/>
                    </w:rPr>
                    <w:lastRenderedPageBreak/>
                    <w:t>Paredzēts, ka l</w:t>
                  </w:r>
                  <w:r w:rsidRPr="003A01DF">
                    <w:rPr>
                      <w:rFonts w:ascii="Times New Roman" w:eastAsia="Times New Roman" w:hAnsi="Times New Roman" w:cs="Times New Roman"/>
                      <w:bCs/>
                      <w:sz w:val="24"/>
                      <w:szCs w:val="24"/>
                    </w:rPr>
                    <w:t>ikumprojekts stāsies spēkā 2020. gada 1. j</w:t>
                  </w:r>
                  <w:r w:rsidR="007F2F22" w:rsidRPr="003A01DF">
                    <w:rPr>
                      <w:rFonts w:ascii="Times New Roman" w:eastAsia="Times New Roman" w:hAnsi="Times New Roman" w:cs="Times New Roman"/>
                      <w:bCs/>
                      <w:sz w:val="24"/>
                      <w:szCs w:val="24"/>
                    </w:rPr>
                    <w:t>ūlijā</w:t>
                  </w:r>
                  <w:r w:rsidR="002D211E" w:rsidRPr="003A01DF">
                    <w:rPr>
                      <w:rFonts w:ascii="Times New Roman" w:eastAsia="Times New Roman" w:hAnsi="Times New Roman" w:cs="Times New Roman"/>
                      <w:bCs/>
                      <w:sz w:val="24"/>
                      <w:szCs w:val="24"/>
                    </w:rPr>
                    <w:t>.</w:t>
                  </w:r>
                  <w:r w:rsidR="002D211E" w:rsidRPr="003A01DF">
                    <w:rPr>
                      <w:rFonts w:ascii="Times New Roman" w:hAnsi="Times New Roman" w:cs="Times New Roman"/>
                      <w:color w:val="1F497D"/>
                      <w:sz w:val="24"/>
                      <w:szCs w:val="24"/>
                    </w:rPr>
                    <w:t xml:space="preserve"> </w:t>
                  </w:r>
                  <w:r w:rsidR="00E050CE" w:rsidRPr="003A01DF">
                    <w:rPr>
                      <w:rFonts w:ascii="Times New Roman" w:hAnsi="Times New Roman" w:cs="Times New Roman"/>
                      <w:sz w:val="24"/>
                      <w:szCs w:val="24"/>
                    </w:rPr>
                    <w:t>S</w:t>
                  </w:r>
                  <w:r w:rsidR="005B26F5" w:rsidRPr="003A01DF">
                    <w:rPr>
                      <w:rFonts w:ascii="Times New Roman" w:hAnsi="Times New Roman" w:cs="Times New Roman"/>
                      <w:sz w:val="24"/>
                      <w:szCs w:val="24"/>
                    </w:rPr>
                    <w:t>varīgi ir noteikt</w:t>
                  </w:r>
                  <w:r w:rsidR="00C068DF" w:rsidRPr="003A01DF">
                    <w:rPr>
                      <w:rFonts w:ascii="Times New Roman" w:hAnsi="Times New Roman" w:cs="Times New Roman"/>
                      <w:sz w:val="24"/>
                      <w:szCs w:val="24"/>
                    </w:rPr>
                    <w:t xml:space="preserve"> pārejas periodu, lai OCTA nozare varētu savlaicīgi sagatavoties šīm izmaiņām un OCTA informācijas sistēmā varētu veikt nepieciešamās izmaiņas.  Vienlaikus ir svarīgi noteikt, </w:t>
                  </w:r>
                  <w:r w:rsidR="005B26F5" w:rsidRPr="003A01DF">
                    <w:rPr>
                      <w:rFonts w:ascii="Times New Roman" w:hAnsi="Times New Roman" w:cs="Times New Roman"/>
                      <w:sz w:val="24"/>
                      <w:szCs w:val="24"/>
                    </w:rPr>
                    <w:t>ka likums stājas spēkā ar 1.</w:t>
                  </w:r>
                  <w:r w:rsidR="00C068DF" w:rsidRPr="003A01DF">
                    <w:rPr>
                      <w:rFonts w:ascii="Times New Roman" w:hAnsi="Times New Roman" w:cs="Times New Roman"/>
                      <w:sz w:val="24"/>
                      <w:szCs w:val="24"/>
                    </w:rPr>
                    <w:t xml:space="preserve"> </w:t>
                  </w:r>
                  <w:r w:rsidR="005B26F5" w:rsidRPr="003A01DF">
                    <w:rPr>
                      <w:rFonts w:ascii="Times New Roman" w:hAnsi="Times New Roman" w:cs="Times New Roman"/>
                      <w:sz w:val="24"/>
                      <w:szCs w:val="24"/>
                    </w:rPr>
                    <w:t>datumu (mēneša, ceturkšņa vai gada),</w:t>
                  </w:r>
                  <w:r w:rsidR="00C068DF" w:rsidRPr="003A01DF">
                    <w:rPr>
                      <w:rFonts w:ascii="Times New Roman" w:hAnsi="Times New Roman" w:cs="Times New Roman"/>
                      <w:sz w:val="24"/>
                      <w:szCs w:val="24"/>
                    </w:rPr>
                    <w:t xml:space="preserve"> lai izmaiņu atspoguļošana uzskaites rādītājos un finanšu pārskatos būtu realizēta noteikta finanšu perioda ietvaros.</w:t>
                  </w:r>
                </w:p>
              </w:tc>
            </w:tr>
          </w:tbl>
          <w:p w14:paraId="06DE7B6D" w14:textId="3DBA78A9" w:rsidR="00FC39B3" w:rsidRPr="003A01DF" w:rsidRDefault="00FC39B3" w:rsidP="003470D2">
            <w:pPr>
              <w:pStyle w:val="NoSpacing"/>
              <w:jc w:val="both"/>
              <w:rPr>
                <w:rFonts w:ascii="Times New Roman" w:eastAsia="Times New Roman" w:hAnsi="Times New Roman" w:cs="Times New Roman"/>
                <w:bCs/>
                <w:sz w:val="24"/>
                <w:szCs w:val="24"/>
              </w:rPr>
            </w:pPr>
          </w:p>
        </w:tc>
      </w:tr>
      <w:tr w:rsidR="0001268A" w:rsidRPr="003A01DF" w14:paraId="4D9DB9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E55D46"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038104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1D68448" w14:textId="38E23BB8" w:rsidR="00E5323B" w:rsidRPr="003A01DF" w:rsidRDefault="000D6031" w:rsidP="000D6031">
            <w:pPr>
              <w:spacing w:after="0" w:line="240" w:lineRule="auto"/>
              <w:jc w:val="both"/>
              <w:rPr>
                <w:rFonts w:ascii="Times New Roman" w:eastAsia="Times New Roman" w:hAnsi="Times New Roman" w:cs="Times New Roman"/>
                <w:iCs/>
                <w:sz w:val="24"/>
                <w:szCs w:val="24"/>
                <w:lang w:eastAsia="lv-LV"/>
              </w:rPr>
            </w:pPr>
            <w:r w:rsidRPr="003A01DF">
              <w:rPr>
                <w:rFonts w:ascii="Times New Roman" w:hAnsi="Times New Roman" w:cs="Times New Roman"/>
                <w:sz w:val="24"/>
                <w:szCs w:val="24"/>
              </w:rPr>
              <w:t xml:space="preserve">Likumprojekta izstrādes gaitā notikušas konsultācijas ar LTAB, kas atbilstoši Likuma  44.panta pirmajai daļai ir atbildīga par negadījumā cietušo trešo personu interešu aizsardzību un apdrošināšanas sistēmas stabilitāti un attīstību valstī.   </w:t>
            </w:r>
          </w:p>
        </w:tc>
      </w:tr>
      <w:tr w:rsidR="0001268A" w:rsidRPr="003A01DF" w14:paraId="5BF53D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DC09C2"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26F386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31B5E15" w14:textId="50DCF91A" w:rsidR="00E5323B" w:rsidRPr="003A01DF" w:rsidRDefault="000E3403" w:rsidP="00B71CCC">
            <w:pPr>
              <w:pStyle w:val="CM4"/>
              <w:spacing w:before="60" w:after="60"/>
              <w:jc w:val="both"/>
              <w:rPr>
                <w:rFonts w:ascii="Times New Roman" w:eastAsia="Times New Roman" w:hAnsi="Times New Roman" w:cs="Times New Roman"/>
                <w:iCs/>
                <w:lang w:eastAsia="lv-LV"/>
              </w:rPr>
            </w:pPr>
            <w:r w:rsidRPr="003A01DF">
              <w:rPr>
                <w:rFonts w:ascii="Times New Roman" w:eastAsia="Times New Roman" w:hAnsi="Times New Roman" w:cs="Times New Roman"/>
                <w:iCs/>
                <w:lang w:eastAsia="lv-LV"/>
              </w:rPr>
              <w:t>Nav.</w:t>
            </w:r>
          </w:p>
        </w:tc>
      </w:tr>
    </w:tbl>
    <w:p w14:paraId="6A4314E1"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7"/>
      </w:tblGrid>
      <w:tr w:rsidR="0001268A" w:rsidRPr="003A01DF" w14:paraId="4888F7D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84ED1B" w14:textId="77777777" w:rsidR="00655F2C" w:rsidRPr="003A01DF" w:rsidRDefault="00E5323B" w:rsidP="00E5323B">
            <w:pPr>
              <w:spacing w:after="0" w:line="240" w:lineRule="auto"/>
              <w:rPr>
                <w:rFonts w:ascii="Times New Roman" w:eastAsia="Times New Roman" w:hAnsi="Times New Roman" w:cs="Times New Roman"/>
                <w:b/>
                <w:bCs/>
                <w:iCs/>
                <w:sz w:val="24"/>
                <w:szCs w:val="24"/>
                <w:lang w:eastAsia="lv-LV"/>
              </w:rPr>
            </w:pPr>
            <w:r w:rsidRPr="003A01D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1268A" w:rsidRPr="003A01DF" w14:paraId="53346F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9863BF"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6376728"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67D6264" w14:textId="411515E7" w:rsidR="00E5323B" w:rsidRPr="003A01DF" w:rsidRDefault="00F25AE9" w:rsidP="002A0E46">
            <w:pPr>
              <w:spacing w:after="0" w:line="240" w:lineRule="auto"/>
              <w:jc w:val="both"/>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xml:space="preserve">Likumprojekts </w:t>
            </w:r>
            <w:r w:rsidR="00881198" w:rsidRPr="003A01DF">
              <w:rPr>
                <w:rFonts w:ascii="Times New Roman" w:eastAsia="Times New Roman" w:hAnsi="Times New Roman" w:cs="Times New Roman"/>
                <w:iCs/>
                <w:sz w:val="24"/>
                <w:szCs w:val="24"/>
                <w:lang w:eastAsia="lv-LV"/>
              </w:rPr>
              <w:t xml:space="preserve">skars </w:t>
            </w:r>
            <w:r w:rsidR="006069A6" w:rsidRPr="003A01DF">
              <w:rPr>
                <w:rFonts w:ascii="Times New Roman" w:eastAsia="Times New Roman" w:hAnsi="Times New Roman" w:cs="Times New Roman"/>
                <w:iCs/>
                <w:sz w:val="24"/>
                <w:szCs w:val="24"/>
                <w:lang w:eastAsia="lv-LV"/>
              </w:rPr>
              <w:t xml:space="preserve">tās personas, kas būs cietušie negadījumā, kuru izraisīs speciālā militārā tehnika </w:t>
            </w:r>
            <w:r w:rsidR="00C87670" w:rsidRPr="003A01DF">
              <w:rPr>
                <w:rFonts w:ascii="Times New Roman" w:eastAsia="Times New Roman" w:hAnsi="Times New Roman" w:cs="Times New Roman"/>
                <w:iCs/>
                <w:sz w:val="24"/>
                <w:szCs w:val="24"/>
                <w:lang w:eastAsia="lv-LV"/>
              </w:rPr>
              <w:t>Eiropas Ekonomik</w:t>
            </w:r>
            <w:r w:rsidR="00881198" w:rsidRPr="003A01DF">
              <w:rPr>
                <w:rFonts w:ascii="Times New Roman" w:eastAsia="Times New Roman" w:hAnsi="Times New Roman" w:cs="Times New Roman"/>
                <w:iCs/>
                <w:sz w:val="24"/>
                <w:szCs w:val="24"/>
                <w:lang w:eastAsia="lv-LV"/>
              </w:rPr>
              <w:t>a</w:t>
            </w:r>
            <w:r w:rsidR="00C87670" w:rsidRPr="003A01DF">
              <w:rPr>
                <w:rFonts w:ascii="Times New Roman" w:eastAsia="Times New Roman" w:hAnsi="Times New Roman" w:cs="Times New Roman"/>
                <w:iCs/>
                <w:sz w:val="24"/>
                <w:szCs w:val="24"/>
                <w:lang w:eastAsia="lv-LV"/>
              </w:rPr>
              <w:t xml:space="preserve">s zonas valstīs (tostarp Latvijā), </w:t>
            </w:r>
            <w:r w:rsidR="006069A6" w:rsidRPr="003A01DF">
              <w:rPr>
                <w:rFonts w:ascii="Times New Roman" w:eastAsia="Times New Roman" w:hAnsi="Times New Roman" w:cs="Times New Roman"/>
                <w:iCs/>
                <w:sz w:val="24"/>
                <w:szCs w:val="24"/>
                <w:lang w:eastAsia="lv-LV"/>
              </w:rPr>
              <w:t xml:space="preserve">gan </w:t>
            </w:r>
            <w:r w:rsidR="00C87670" w:rsidRPr="003A01DF">
              <w:rPr>
                <w:rFonts w:ascii="Times New Roman" w:eastAsia="Times New Roman" w:hAnsi="Times New Roman" w:cs="Times New Roman"/>
                <w:iCs/>
                <w:sz w:val="24"/>
                <w:szCs w:val="24"/>
                <w:lang w:eastAsia="lv-LV"/>
              </w:rPr>
              <w:t xml:space="preserve">Šveices Konfederācijā. </w:t>
            </w:r>
            <w:r w:rsidRPr="003A01DF">
              <w:rPr>
                <w:rFonts w:ascii="Times New Roman" w:eastAsia="Times New Roman" w:hAnsi="Times New Roman" w:cs="Times New Roman"/>
                <w:iCs/>
                <w:sz w:val="24"/>
                <w:szCs w:val="24"/>
                <w:lang w:eastAsia="lv-LV"/>
              </w:rPr>
              <w:t xml:space="preserve"> Likumprojekts neietekmēs cietušā tiesības saņemt zaudējumu</w:t>
            </w:r>
            <w:r w:rsidR="00FC39B3" w:rsidRPr="003A01DF">
              <w:rPr>
                <w:rFonts w:ascii="Times New Roman" w:eastAsia="Times New Roman" w:hAnsi="Times New Roman" w:cs="Times New Roman"/>
                <w:iCs/>
                <w:sz w:val="24"/>
                <w:szCs w:val="24"/>
                <w:lang w:eastAsia="lv-LV"/>
              </w:rPr>
              <w:t xml:space="preserve"> kompensāciju. </w:t>
            </w:r>
            <w:r w:rsidR="00881198" w:rsidRPr="003A01DF">
              <w:rPr>
                <w:rFonts w:ascii="Times New Roman" w:eastAsia="Times New Roman" w:hAnsi="Times New Roman" w:cs="Times New Roman"/>
                <w:iCs/>
                <w:sz w:val="24"/>
                <w:szCs w:val="24"/>
                <w:lang w:eastAsia="lv-LV"/>
              </w:rPr>
              <w:t>Tā tiks veikta, ievērojot Latvijas un OCTA jomu regulējošo starptautisko regulējumu, bet ar nosacījumu, ka Aizsardzības ministrija ir gala atbildētājs (maksātājs), ja zaudējumus ir nodarījusi speciālā militārā tehnika.</w:t>
            </w:r>
          </w:p>
        </w:tc>
      </w:tr>
      <w:tr w:rsidR="0001268A" w:rsidRPr="003A01DF" w14:paraId="226022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AEB412"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23EE24A"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17C2339" w14:textId="60F6117D" w:rsidR="00BB0B97" w:rsidRPr="003A01DF" w:rsidRDefault="00B0375D" w:rsidP="002C099B">
            <w:pPr>
              <w:spacing w:after="0" w:line="240" w:lineRule="auto"/>
              <w:jc w:val="both"/>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LTAB</w:t>
            </w:r>
            <w:r w:rsidR="00F25AE9" w:rsidRPr="003A01DF">
              <w:rPr>
                <w:rFonts w:ascii="Times New Roman" w:eastAsia="Times New Roman" w:hAnsi="Times New Roman" w:cs="Times New Roman"/>
                <w:iCs/>
                <w:sz w:val="24"/>
                <w:szCs w:val="24"/>
                <w:lang w:eastAsia="lv-LV"/>
              </w:rPr>
              <w:t xml:space="preserve"> </w:t>
            </w:r>
            <w:r w:rsidR="006069A6" w:rsidRPr="003A01DF">
              <w:rPr>
                <w:rFonts w:ascii="Times New Roman" w:eastAsia="Times New Roman" w:hAnsi="Times New Roman" w:cs="Times New Roman"/>
                <w:iCs/>
                <w:sz w:val="24"/>
                <w:szCs w:val="24"/>
                <w:lang w:eastAsia="lv-LV"/>
              </w:rPr>
              <w:t xml:space="preserve">un Aizsardzības ministrijai </w:t>
            </w:r>
            <w:r w:rsidR="004F7FCB" w:rsidRPr="003A01DF">
              <w:rPr>
                <w:rFonts w:ascii="Times New Roman" w:hAnsi="Times New Roman" w:cs="Times New Roman"/>
                <w:sz w:val="24"/>
                <w:szCs w:val="24"/>
              </w:rPr>
              <w:t>administratīvais slogs tiek palielināts</w:t>
            </w:r>
            <w:r w:rsidR="00F25AE9" w:rsidRPr="003A01DF">
              <w:rPr>
                <w:rFonts w:ascii="Times New Roman" w:eastAsia="Times New Roman" w:hAnsi="Times New Roman" w:cs="Times New Roman"/>
                <w:iCs/>
                <w:sz w:val="24"/>
                <w:szCs w:val="24"/>
                <w:lang w:eastAsia="lv-LV"/>
              </w:rPr>
              <w:t>, bet tā apjomu</w:t>
            </w:r>
            <w:r w:rsidRPr="003A01DF">
              <w:rPr>
                <w:rFonts w:ascii="Times New Roman" w:eastAsia="Times New Roman" w:hAnsi="Times New Roman" w:cs="Times New Roman"/>
                <w:iCs/>
                <w:sz w:val="24"/>
                <w:szCs w:val="24"/>
                <w:lang w:eastAsia="lv-LV"/>
              </w:rPr>
              <w:t xml:space="preserve"> </w:t>
            </w:r>
            <w:r w:rsidR="00F25AE9" w:rsidRPr="003A01DF">
              <w:rPr>
                <w:rFonts w:ascii="Times New Roman" w:eastAsia="Times New Roman" w:hAnsi="Times New Roman" w:cs="Times New Roman"/>
                <w:iCs/>
                <w:sz w:val="24"/>
                <w:szCs w:val="24"/>
                <w:lang w:eastAsia="lv-LV"/>
              </w:rPr>
              <w:t>nav iespējams prognozēt</w:t>
            </w:r>
            <w:r w:rsidRPr="003A01DF">
              <w:rPr>
                <w:rFonts w:ascii="Times New Roman" w:eastAsia="Times New Roman" w:hAnsi="Times New Roman" w:cs="Times New Roman"/>
                <w:iCs/>
                <w:sz w:val="24"/>
                <w:szCs w:val="24"/>
                <w:lang w:eastAsia="lv-LV"/>
              </w:rPr>
              <w:t xml:space="preserve">, jo tas būs atkarīgs no speciālās militārās tehnikas iesaistes </w:t>
            </w:r>
            <w:r w:rsidR="006069A6" w:rsidRPr="003A01DF">
              <w:rPr>
                <w:rFonts w:ascii="Times New Roman" w:eastAsia="Times New Roman" w:hAnsi="Times New Roman" w:cs="Times New Roman"/>
                <w:iCs/>
                <w:sz w:val="24"/>
                <w:szCs w:val="24"/>
                <w:lang w:eastAsia="lv-LV"/>
              </w:rPr>
              <w:t>negadījum</w:t>
            </w:r>
            <w:r w:rsidR="002C099B" w:rsidRPr="003A01DF">
              <w:rPr>
                <w:rFonts w:ascii="Times New Roman" w:eastAsia="Times New Roman" w:hAnsi="Times New Roman" w:cs="Times New Roman"/>
                <w:iCs/>
                <w:sz w:val="24"/>
                <w:szCs w:val="24"/>
                <w:lang w:eastAsia="lv-LV"/>
              </w:rPr>
              <w:t>os</w:t>
            </w:r>
            <w:r w:rsidR="006069A6" w:rsidRPr="003A01DF">
              <w:rPr>
                <w:rFonts w:ascii="Times New Roman" w:eastAsia="Times New Roman" w:hAnsi="Times New Roman" w:cs="Times New Roman"/>
                <w:iCs/>
                <w:sz w:val="24"/>
                <w:szCs w:val="24"/>
                <w:lang w:eastAsia="lv-LV"/>
              </w:rPr>
              <w:t>, kur</w:t>
            </w:r>
            <w:r w:rsidR="002C099B" w:rsidRPr="003A01DF">
              <w:rPr>
                <w:rFonts w:ascii="Times New Roman" w:eastAsia="Times New Roman" w:hAnsi="Times New Roman" w:cs="Times New Roman"/>
                <w:iCs/>
                <w:sz w:val="24"/>
                <w:szCs w:val="24"/>
                <w:lang w:eastAsia="lv-LV"/>
              </w:rPr>
              <w:t>u</w:t>
            </w:r>
            <w:r w:rsidR="006069A6" w:rsidRPr="003A01DF">
              <w:rPr>
                <w:rFonts w:ascii="Times New Roman" w:eastAsia="Times New Roman" w:hAnsi="Times New Roman" w:cs="Times New Roman"/>
                <w:iCs/>
                <w:sz w:val="24"/>
                <w:szCs w:val="24"/>
                <w:lang w:eastAsia="lv-LV"/>
              </w:rPr>
              <w:t xml:space="preserve"> izraisīšanā tā būs v</w:t>
            </w:r>
            <w:r w:rsidR="002C099B" w:rsidRPr="003A01DF">
              <w:rPr>
                <w:rFonts w:ascii="Times New Roman" w:eastAsia="Times New Roman" w:hAnsi="Times New Roman" w:cs="Times New Roman"/>
                <w:iCs/>
                <w:sz w:val="24"/>
                <w:szCs w:val="24"/>
                <w:lang w:eastAsia="lv-LV"/>
              </w:rPr>
              <w:t>ainojama</w:t>
            </w:r>
            <w:r w:rsidR="00F25AE9" w:rsidRPr="003A01DF">
              <w:rPr>
                <w:rFonts w:ascii="Times New Roman" w:eastAsia="Times New Roman" w:hAnsi="Times New Roman" w:cs="Times New Roman"/>
                <w:iCs/>
                <w:sz w:val="24"/>
                <w:szCs w:val="24"/>
                <w:lang w:eastAsia="lv-LV"/>
              </w:rPr>
              <w:t>.</w:t>
            </w:r>
            <w:r w:rsidR="004F7FCB" w:rsidRPr="003A01DF">
              <w:rPr>
                <w:rFonts w:ascii="Times New Roman" w:eastAsia="Times New Roman" w:hAnsi="Times New Roman" w:cs="Times New Roman"/>
                <w:iCs/>
                <w:sz w:val="24"/>
                <w:szCs w:val="24"/>
                <w:lang w:eastAsia="lv-LV"/>
              </w:rPr>
              <w:t xml:space="preserve"> </w:t>
            </w:r>
          </w:p>
        </w:tc>
      </w:tr>
      <w:tr w:rsidR="0001268A" w:rsidRPr="003A01DF" w14:paraId="226F34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1BCF60"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EEF6B85"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1FC9866" w14:textId="2D6046ED" w:rsidR="00E5323B" w:rsidRPr="003A01DF" w:rsidRDefault="006069A6"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 iespējams aprēķināt.</w:t>
            </w:r>
          </w:p>
        </w:tc>
      </w:tr>
      <w:tr w:rsidR="0001268A" w:rsidRPr="003A01DF" w14:paraId="1D8298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44D6D2"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F20770"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61422AA" w14:textId="7DB81C67" w:rsidR="00E5323B" w:rsidRPr="003A01DF" w:rsidRDefault="006069A6"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 iespējams aprēķināt.</w:t>
            </w:r>
          </w:p>
        </w:tc>
      </w:tr>
      <w:tr w:rsidR="0001268A" w:rsidRPr="003A01DF" w14:paraId="564F59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1FFCBA"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42F29D7"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64CE69" w14:textId="77777777" w:rsidR="00E5323B" w:rsidRPr="003A01DF" w:rsidRDefault="00F25AE9"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tc>
      </w:tr>
    </w:tbl>
    <w:p w14:paraId="3D2B5409"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1099"/>
        <w:gridCol w:w="1254"/>
        <w:gridCol w:w="1067"/>
        <w:gridCol w:w="1067"/>
        <w:gridCol w:w="1067"/>
        <w:gridCol w:w="1067"/>
        <w:gridCol w:w="1305"/>
        <w:gridCol w:w="69"/>
      </w:tblGrid>
      <w:tr w:rsidR="0001268A" w:rsidRPr="003A01DF" w14:paraId="377625A4" w14:textId="77777777" w:rsidTr="00E5323B">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4243A0A1" w14:textId="77777777" w:rsidR="00655F2C" w:rsidRPr="003A01DF" w:rsidRDefault="00E5323B" w:rsidP="00E5323B">
            <w:pPr>
              <w:spacing w:after="0" w:line="240" w:lineRule="auto"/>
              <w:rPr>
                <w:rFonts w:ascii="Times New Roman" w:eastAsia="Times New Roman" w:hAnsi="Times New Roman" w:cs="Times New Roman"/>
                <w:b/>
                <w:bCs/>
                <w:iCs/>
                <w:sz w:val="24"/>
                <w:szCs w:val="24"/>
                <w:lang w:eastAsia="lv-LV"/>
              </w:rPr>
            </w:pPr>
            <w:r w:rsidRPr="003A01DF">
              <w:rPr>
                <w:rFonts w:ascii="Times New Roman" w:eastAsia="Times New Roman" w:hAnsi="Times New Roman" w:cs="Times New Roman"/>
                <w:b/>
                <w:bCs/>
                <w:iCs/>
                <w:sz w:val="24"/>
                <w:szCs w:val="24"/>
                <w:lang w:eastAsia="lv-LV"/>
              </w:rPr>
              <w:t>III. Tiesību akta projekta ietekme uz valsts budžetu un pašvaldību budžetiem</w:t>
            </w:r>
          </w:p>
        </w:tc>
      </w:tr>
      <w:tr w:rsidR="0001268A" w:rsidRPr="003A01DF" w14:paraId="29B6A1FF" w14:textId="77777777" w:rsidTr="00DD2034">
        <w:trPr>
          <w:tblCellSpacing w:w="15" w:type="dxa"/>
        </w:trPr>
        <w:tc>
          <w:tcPr>
            <w:tcW w:w="835" w:type="pct"/>
            <w:vMerge w:val="restart"/>
            <w:tcBorders>
              <w:top w:val="outset" w:sz="6" w:space="0" w:color="auto"/>
              <w:left w:val="outset" w:sz="6" w:space="0" w:color="auto"/>
              <w:bottom w:val="outset" w:sz="6" w:space="0" w:color="auto"/>
              <w:right w:val="outset" w:sz="6" w:space="0" w:color="auto"/>
            </w:tcBorders>
            <w:vAlign w:val="center"/>
            <w:hideMark/>
          </w:tcPr>
          <w:p w14:paraId="4A8EE6A9"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Rādītāji</w:t>
            </w:r>
          </w:p>
        </w:tc>
        <w:tc>
          <w:tcPr>
            <w:tcW w:w="131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733B251" w14:textId="729F4F44" w:rsidR="00655F2C" w:rsidRPr="003A01DF" w:rsidRDefault="007763C4" w:rsidP="00232532">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2019.gads</w:t>
            </w:r>
          </w:p>
        </w:tc>
        <w:tc>
          <w:tcPr>
            <w:tcW w:w="2788" w:type="pct"/>
            <w:gridSpan w:val="6"/>
            <w:tcBorders>
              <w:top w:val="outset" w:sz="6" w:space="0" w:color="auto"/>
              <w:left w:val="outset" w:sz="6" w:space="0" w:color="auto"/>
              <w:bottom w:val="outset" w:sz="6" w:space="0" w:color="auto"/>
              <w:right w:val="outset" w:sz="6" w:space="0" w:color="auto"/>
            </w:tcBorders>
            <w:vAlign w:val="center"/>
            <w:hideMark/>
          </w:tcPr>
          <w:p w14:paraId="454CADDC" w14:textId="77777777" w:rsidR="00655F2C" w:rsidRPr="003A01DF" w:rsidRDefault="00E5323B" w:rsidP="007763C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Turpmākie trīs gadi (</w:t>
            </w:r>
            <w:proofErr w:type="spellStart"/>
            <w:r w:rsidRPr="003A01DF">
              <w:rPr>
                <w:rFonts w:ascii="Times New Roman" w:eastAsia="Times New Roman" w:hAnsi="Times New Roman" w:cs="Times New Roman"/>
                <w:i/>
                <w:iCs/>
                <w:sz w:val="24"/>
                <w:szCs w:val="24"/>
                <w:lang w:eastAsia="lv-LV"/>
              </w:rPr>
              <w:t>euro</w:t>
            </w:r>
            <w:proofErr w:type="spellEnd"/>
            <w:r w:rsidRPr="003A01DF">
              <w:rPr>
                <w:rFonts w:ascii="Times New Roman" w:eastAsia="Times New Roman" w:hAnsi="Times New Roman" w:cs="Times New Roman"/>
                <w:iCs/>
                <w:sz w:val="24"/>
                <w:szCs w:val="24"/>
                <w:lang w:eastAsia="lv-LV"/>
              </w:rPr>
              <w:t>)</w:t>
            </w:r>
          </w:p>
        </w:tc>
      </w:tr>
      <w:tr w:rsidR="0001268A" w:rsidRPr="003A01DF" w14:paraId="043B5339" w14:textId="77777777" w:rsidTr="00DD2034">
        <w:trPr>
          <w:tblCellSpacing w:w="15" w:type="dxa"/>
        </w:trPr>
        <w:tc>
          <w:tcPr>
            <w:tcW w:w="835" w:type="pct"/>
            <w:vMerge/>
            <w:tcBorders>
              <w:top w:val="outset" w:sz="6" w:space="0" w:color="auto"/>
              <w:left w:val="outset" w:sz="6" w:space="0" w:color="auto"/>
              <w:bottom w:val="outset" w:sz="6" w:space="0" w:color="auto"/>
              <w:right w:val="outset" w:sz="6" w:space="0" w:color="auto"/>
            </w:tcBorders>
            <w:vAlign w:val="center"/>
            <w:hideMark/>
          </w:tcPr>
          <w:p w14:paraId="5E717BA4"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c>
        <w:tc>
          <w:tcPr>
            <w:tcW w:w="1314" w:type="pct"/>
            <w:gridSpan w:val="2"/>
            <w:vMerge/>
            <w:tcBorders>
              <w:top w:val="outset" w:sz="6" w:space="0" w:color="auto"/>
              <w:left w:val="outset" w:sz="6" w:space="0" w:color="auto"/>
              <w:bottom w:val="outset" w:sz="6" w:space="0" w:color="auto"/>
              <w:right w:val="outset" w:sz="6" w:space="0" w:color="auto"/>
            </w:tcBorders>
            <w:vAlign w:val="center"/>
            <w:hideMark/>
          </w:tcPr>
          <w:p w14:paraId="42A131C6"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c>
        <w:tc>
          <w:tcPr>
            <w:tcW w:w="997" w:type="pct"/>
            <w:gridSpan w:val="2"/>
            <w:tcBorders>
              <w:top w:val="outset" w:sz="6" w:space="0" w:color="auto"/>
              <w:left w:val="outset" w:sz="6" w:space="0" w:color="auto"/>
              <w:bottom w:val="outset" w:sz="6" w:space="0" w:color="auto"/>
              <w:right w:val="outset" w:sz="6" w:space="0" w:color="auto"/>
            </w:tcBorders>
            <w:vAlign w:val="center"/>
            <w:hideMark/>
          </w:tcPr>
          <w:p w14:paraId="3CFF41B0" w14:textId="64B0D3F2" w:rsidR="00655F2C" w:rsidRPr="003A01DF" w:rsidRDefault="007763C4" w:rsidP="00232532">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2020.gads</w:t>
            </w:r>
          </w:p>
        </w:tc>
        <w:tc>
          <w:tcPr>
            <w:tcW w:w="997" w:type="pct"/>
            <w:gridSpan w:val="2"/>
            <w:tcBorders>
              <w:top w:val="outset" w:sz="6" w:space="0" w:color="auto"/>
              <w:left w:val="outset" w:sz="6" w:space="0" w:color="auto"/>
              <w:bottom w:val="outset" w:sz="6" w:space="0" w:color="auto"/>
              <w:right w:val="outset" w:sz="6" w:space="0" w:color="auto"/>
            </w:tcBorders>
            <w:vAlign w:val="center"/>
            <w:hideMark/>
          </w:tcPr>
          <w:p w14:paraId="2787BEBA" w14:textId="6EBFC8A6" w:rsidR="00655F2C" w:rsidRPr="003A01DF" w:rsidRDefault="007763C4" w:rsidP="00232532">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2021.gads</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14:paraId="1DACAB7B" w14:textId="4E816B0F" w:rsidR="00655F2C" w:rsidRPr="003A01DF" w:rsidRDefault="007763C4" w:rsidP="00232532">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2022.gads</w:t>
            </w:r>
          </w:p>
        </w:tc>
      </w:tr>
      <w:tr w:rsidR="0001268A" w:rsidRPr="003A01DF" w14:paraId="7F972B50" w14:textId="77777777" w:rsidTr="00DD2034">
        <w:trPr>
          <w:tblCellSpacing w:w="15" w:type="dxa"/>
        </w:trPr>
        <w:tc>
          <w:tcPr>
            <w:tcW w:w="835" w:type="pct"/>
            <w:vMerge/>
            <w:tcBorders>
              <w:top w:val="outset" w:sz="6" w:space="0" w:color="auto"/>
              <w:left w:val="outset" w:sz="6" w:space="0" w:color="auto"/>
              <w:bottom w:val="outset" w:sz="6" w:space="0" w:color="auto"/>
              <w:right w:val="outset" w:sz="6" w:space="0" w:color="auto"/>
            </w:tcBorders>
            <w:vAlign w:val="center"/>
            <w:hideMark/>
          </w:tcPr>
          <w:p w14:paraId="72F45465"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14:paraId="2256AAB8"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saskaņā ar valsts budžetu kārtējam gadam</w:t>
            </w:r>
          </w:p>
        </w:tc>
        <w:tc>
          <w:tcPr>
            <w:tcW w:w="681" w:type="pct"/>
            <w:tcBorders>
              <w:top w:val="outset" w:sz="6" w:space="0" w:color="auto"/>
              <w:left w:val="outset" w:sz="6" w:space="0" w:color="auto"/>
              <w:bottom w:val="outset" w:sz="6" w:space="0" w:color="auto"/>
              <w:right w:val="outset" w:sz="6" w:space="0" w:color="auto"/>
            </w:tcBorders>
            <w:vAlign w:val="center"/>
            <w:hideMark/>
          </w:tcPr>
          <w:p w14:paraId="71E00A6A"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izmaiņas kārtējā gadā, salīdzinot ar valsts budžetu kārtējam gadam</w:t>
            </w:r>
          </w:p>
        </w:tc>
        <w:tc>
          <w:tcPr>
            <w:tcW w:w="441" w:type="pct"/>
            <w:tcBorders>
              <w:top w:val="outset" w:sz="6" w:space="0" w:color="auto"/>
              <w:left w:val="outset" w:sz="6" w:space="0" w:color="auto"/>
              <w:bottom w:val="outset" w:sz="6" w:space="0" w:color="auto"/>
              <w:right w:val="outset" w:sz="6" w:space="0" w:color="auto"/>
            </w:tcBorders>
            <w:vAlign w:val="center"/>
            <w:hideMark/>
          </w:tcPr>
          <w:p w14:paraId="3AFC7FD7"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saskaņā ar vidēja termiņa budžeta ietvaru</w:t>
            </w:r>
          </w:p>
        </w:tc>
        <w:tc>
          <w:tcPr>
            <w:tcW w:w="540" w:type="pct"/>
            <w:tcBorders>
              <w:top w:val="outset" w:sz="6" w:space="0" w:color="auto"/>
              <w:left w:val="outset" w:sz="6" w:space="0" w:color="auto"/>
              <w:bottom w:val="outset" w:sz="6" w:space="0" w:color="auto"/>
              <w:right w:val="outset" w:sz="6" w:space="0" w:color="auto"/>
            </w:tcBorders>
            <w:vAlign w:val="center"/>
            <w:hideMark/>
          </w:tcPr>
          <w:p w14:paraId="03C13459"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izmaiņas, salīdzinot ar vidēja termiņa budžeta ietvaru n+1 gadam</w:t>
            </w:r>
          </w:p>
        </w:tc>
        <w:tc>
          <w:tcPr>
            <w:tcW w:w="441" w:type="pct"/>
            <w:tcBorders>
              <w:top w:val="outset" w:sz="6" w:space="0" w:color="auto"/>
              <w:left w:val="outset" w:sz="6" w:space="0" w:color="auto"/>
              <w:bottom w:val="outset" w:sz="6" w:space="0" w:color="auto"/>
              <w:right w:val="outset" w:sz="6" w:space="0" w:color="auto"/>
            </w:tcBorders>
            <w:vAlign w:val="center"/>
            <w:hideMark/>
          </w:tcPr>
          <w:p w14:paraId="2601FA9F"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saskaņā ar vidēja termiņa budžeta ietvaru</w:t>
            </w:r>
          </w:p>
        </w:tc>
        <w:tc>
          <w:tcPr>
            <w:tcW w:w="540" w:type="pct"/>
            <w:tcBorders>
              <w:top w:val="outset" w:sz="6" w:space="0" w:color="auto"/>
              <w:left w:val="outset" w:sz="6" w:space="0" w:color="auto"/>
              <w:bottom w:val="outset" w:sz="6" w:space="0" w:color="auto"/>
              <w:right w:val="outset" w:sz="6" w:space="0" w:color="auto"/>
            </w:tcBorders>
            <w:vAlign w:val="center"/>
            <w:hideMark/>
          </w:tcPr>
          <w:p w14:paraId="34F879C2"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izmaiņas, salīdzinot ar vidēja termiņa budžeta ietvaru n+2 gadam</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14:paraId="3B63D2B5"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izmaiņas, salīdzinot ar vidēja termiņa budžeta ietvaru n+2 gadam</w:t>
            </w:r>
          </w:p>
        </w:tc>
      </w:tr>
      <w:tr w:rsidR="0001268A" w:rsidRPr="003A01DF" w14:paraId="724E61DA" w14:textId="77777777" w:rsidTr="00DD2034">
        <w:trPr>
          <w:tblCellSpacing w:w="15" w:type="dxa"/>
        </w:trPr>
        <w:tc>
          <w:tcPr>
            <w:tcW w:w="835" w:type="pct"/>
            <w:tcBorders>
              <w:top w:val="outset" w:sz="6" w:space="0" w:color="auto"/>
              <w:left w:val="outset" w:sz="6" w:space="0" w:color="auto"/>
              <w:bottom w:val="outset" w:sz="6" w:space="0" w:color="auto"/>
              <w:right w:val="outset" w:sz="6" w:space="0" w:color="auto"/>
            </w:tcBorders>
            <w:vAlign w:val="center"/>
            <w:hideMark/>
          </w:tcPr>
          <w:p w14:paraId="656599CA"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1</w:t>
            </w:r>
          </w:p>
        </w:tc>
        <w:tc>
          <w:tcPr>
            <w:tcW w:w="616" w:type="pct"/>
            <w:tcBorders>
              <w:top w:val="outset" w:sz="6" w:space="0" w:color="auto"/>
              <w:left w:val="outset" w:sz="6" w:space="0" w:color="auto"/>
              <w:bottom w:val="outset" w:sz="6" w:space="0" w:color="auto"/>
              <w:right w:val="outset" w:sz="6" w:space="0" w:color="auto"/>
            </w:tcBorders>
            <w:vAlign w:val="center"/>
            <w:hideMark/>
          </w:tcPr>
          <w:p w14:paraId="05C9D2CC"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w:t>
            </w:r>
          </w:p>
        </w:tc>
        <w:tc>
          <w:tcPr>
            <w:tcW w:w="681" w:type="pct"/>
            <w:tcBorders>
              <w:top w:val="outset" w:sz="6" w:space="0" w:color="auto"/>
              <w:left w:val="outset" w:sz="6" w:space="0" w:color="auto"/>
              <w:bottom w:val="outset" w:sz="6" w:space="0" w:color="auto"/>
              <w:right w:val="outset" w:sz="6" w:space="0" w:color="auto"/>
            </w:tcBorders>
            <w:vAlign w:val="center"/>
            <w:hideMark/>
          </w:tcPr>
          <w:p w14:paraId="2AA88B9E"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3</w:t>
            </w:r>
          </w:p>
        </w:tc>
        <w:tc>
          <w:tcPr>
            <w:tcW w:w="441" w:type="pct"/>
            <w:tcBorders>
              <w:top w:val="outset" w:sz="6" w:space="0" w:color="auto"/>
              <w:left w:val="outset" w:sz="6" w:space="0" w:color="auto"/>
              <w:bottom w:val="outset" w:sz="6" w:space="0" w:color="auto"/>
              <w:right w:val="outset" w:sz="6" w:space="0" w:color="auto"/>
            </w:tcBorders>
            <w:vAlign w:val="center"/>
            <w:hideMark/>
          </w:tcPr>
          <w:p w14:paraId="1F00E605"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4</w:t>
            </w:r>
          </w:p>
        </w:tc>
        <w:tc>
          <w:tcPr>
            <w:tcW w:w="540" w:type="pct"/>
            <w:tcBorders>
              <w:top w:val="outset" w:sz="6" w:space="0" w:color="auto"/>
              <w:left w:val="outset" w:sz="6" w:space="0" w:color="auto"/>
              <w:bottom w:val="outset" w:sz="6" w:space="0" w:color="auto"/>
              <w:right w:val="outset" w:sz="6" w:space="0" w:color="auto"/>
            </w:tcBorders>
            <w:vAlign w:val="center"/>
            <w:hideMark/>
          </w:tcPr>
          <w:p w14:paraId="00851B72"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5</w:t>
            </w:r>
          </w:p>
        </w:tc>
        <w:tc>
          <w:tcPr>
            <w:tcW w:w="441" w:type="pct"/>
            <w:tcBorders>
              <w:top w:val="outset" w:sz="6" w:space="0" w:color="auto"/>
              <w:left w:val="outset" w:sz="6" w:space="0" w:color="auto"/>
              <w:bottom w:val="outset" w:sz="6" w:space="0" w:color="auto"/>
              <w:right w:val="outset" w:sz="6" w:space="0" w:color="auto"/>
            </w:tcBorders>
            <w:vAlign w:val="center"/>
            <w:hideMark/>
          </w:tcPr>
          <w:p w14:paraId="0D7A9EC9"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6</w:t>
            </w:r>
          </w:p>
        </w:tc>
        <w:tc>
          <w:tcPr>
            <w:tcW w:w="540" w:type="pct"/>
            <w:tcBorders>
              <w:top w:val="outset" w:sz="6" w:space="0" w:color="auto"/>
              <w:left w:val="outset" w:sz="6" w:space="0" w:color="auto"/>
              <w:bottom w:val="outset" w:sz="6" w:space="0" w:color="auto"/>
              <w:right w:val="outset" w:sz="6" w:space="0" w:color="auto"/>
            </w:tcBorders>
            <w:vAlign w:val="center"/>
            <w:hideMark/>
          </w:tcPr>
          <w:p w14:paraId="342A4B9B"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7</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14:paraId="55A33C55"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8</w:t>
            </w:r>
          </w:p>
        </w:tc>
      </w:tr>
      <w:tr w:rsidR="0001268A" w:rsidRPr="003A01DF" w14:paraId="605BA627" w14:textId="77777777" w:rsidTr="00DD2034">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14:paraId="440CEFF7"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1. Budžeta ieņēmumi</w:t>
            </w:r>
          </w:p>
        </w:tc>
        <w:tc>
          <w:tcPr>
            <w:tcW w:w="616" w:type="pct"/>
            <w:tcBorders>
              <w:top w:val="outset" w:sz="6" w:space="0" w:color="auto"/>
              <w:left w:val="outset" w:sz="6" w:space="0" w:color="auto"/>
              <w:bottom w:val="outset" w:sz="6" w:space="0" w:color="auto"/>
              <w:right w:val="outset" w:sz="6" w:space="0" w:color="auto"/>
            </w:tcBorders>
            <w:vAlign w:val="center"/>
            <w:hideMark/>
          </w:tcPr>
          <w:p w14:paraId="3F5EB5AA" w14:textId="363D6F39" w:rsidR="00E5323B" w:rsidRPr="003A01DF" w:rsidRDefault="00E5323B" w:rsidP="007763C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83CD7" w:rsidRPr="003A01DF">
              <w:rPr>
                <w:rFonts w:ascii="Times New Roman" w:eastAsia="Times New Roman" w:hAnsi="Times New Roman" w:cs="Times New Roman"/>
                <w:iCs/>
                <w:sz w:val="24"/>
                <w:szCs w:val="24"/>
                <w:lang w:eastAsia="lv-LV"/>
              </w:rPr>
              <w:t>0</w:t>
            </w:r>
          </w:p>
        </w:tc>
        <w:tc>
          <w:tcPr>
            <w:tcW w:w="681" w:type="pct"/>
            <w:tcBorders>
              <w:top w:val="outset" w:sz="6" w:space="0" w:color="auto"/>
              <w:left w:val="outset" w:sz="6" w:space="0" w:color="auto"/>
              <w:bottom w:val="outset" w:sz="6" w:space="0" w:color="auto"/>
              <w:right w:val="outset" w:sz="6" w:space="0" w:color="auto"/>
            </w:tcBorders>
            <w:vAlign w:val="center"/>
            <w:hideMark/>
          </w:tcPr>
          <w:p w14:paraId="52086185" w14:textId="77777777" w:rsidR="00DD2034" w:rsidRPr="003A01DF" w:rsidRDefault="00DD2034" w:rsidP="007763C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p w14:paraId="2F6C19EB" w14:textId="32492CEC" w:rsidR="00E5323B" w:rsidRPr="003A01DF" w:rsidRDefault="00DD2034" w:rsidP="007763C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441" w:type="pct"/>
            <w:tcBorders>
              <w:top w:val="outset" w:sz="6" w:space="0" w:color="auto"/>
              <w:left w:val="outset" w:sz="6" w:space="0" w:color="auto"/>
              <w:bottom w:val="outset" w:sz="6" w:space="0" w:color="auto"/>
              <w:right w:val="outset" w:sz="6" w:space="0" w:color="auto"/>
            </w:tcBorders>
            <w:vAlign w:val="center"/>
            <w:hideMark/>
          </w:tcPr>
          <w:p w14:paraId="378EA29A"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612B1A12" w14:textId="7600CF0D"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540" w:type="pct"/>
            <w:tcBorders>
              <w:top w:val="outset" w:sz="6" w:space="0" w:color="auto"/>
              <w:left w:val="outset" w:sz="6" w:space="0" w:color="auto"/>
              <w:bottom w:val="outset" w:sz="6" w:space="0" w:color="auto"/>
              <w:right w:val="outset" w:sz="6" w:space="0" w:color="auto"/>
            </w:tcBorders>
            <w:vAlign w:val="center"/>
            <w:hideMark/>
          </w:tcPr>
          <w:p w14:paraId="48C56456"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4D940C3D" w14:textId="57A7199F"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441" w:type="pct"/>
            <w:tcBorders>
              <w:top w:val="outset" w:sz="6" w:space="0" w:color="auto"/>
              <w:left w:val="outset" w:sz="6" w:space="0" w:color="auto"/>
              <w:bottom w:val="outset" w:sz="6" w:space="0" w:color="auto"/>
              <w:right w:val="outset" w:sz="6" w:space="0" w:color="auto"/>
            </w:tcBorders>
            <w:vAlign w:val="center"/>
            <w:hideMark/>
          </w:tcPr>
          <w:p w14:paraId="560041F6"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43A668FC" w14:textId="62EF6118"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540" w:type="pct"/>
            <w:tcBorders>
              <w:top w:val="outset" w:sz="6" w:space="0" w:color="auto"/>
              <w:left w:val="outset" w:sz="6" w:space="0" w:color="auto"/>
              <w:bottom w:val="outset" w:sz="6" w:space="0" w:color="auto"/>
              <w:right w:val="outset" w:sz="6" w:space="0" w:color="auto"/>
            </w:tcBorders>
            <w:vAlign w:val="center"/>
            <w:hideMark/>
          </w:tcPr>
          <w:p w14:paraId="5700FD35"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621669CE" w14:textId="5BFEC22E"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14:paraId="3F23228B" w14:textId="387B1B7A" w:rsidR="00DD2034"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p w14:paraId="10E5F102" w14:textId="41F1026A" w:rsidR="00E5323B"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r>
      <w:tr w:rsidR="0001268A" w:rsidRPr="003A01DF" w14:paraId="47CE2161" w14:textId="77777777" w:rsidTr="00DD2034">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14:paraId="37020A7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lastRenderedPageBreak/>
              <w:t>1.1. valsts pamatbudžets, tai skaitā ieņēmumi no maksas pakalpojumiem un citi pašu ieņēmumi</w:t>
            </w:r>
          </w:p>
        </w:tc>
        <w:tc>
          <w:tcPr>
            <w:tcW w:w="616" w:type="pct"/>
            <w:tcBorders>
              <w:top w:val="outset" w:sz="6" w:space="0" w:color="auto"/>
              <w:left w:val="outset" w:sz="6" w:space="0" w:color="auto"/>
              <w:bottom w:val="outset" w:sz="6" w:space="0" w:color="auto"/>
              <w:right w:val="outset" w:sz="6" w:space="0" w:color="auto"/>
            </w:tcBorders>
            <w:vAlign w:val="center"/>
            <w:hideMark/>
          </w:tcPr>
          <w:p w14:paraId="64598C4A" w14:textId="68ACA225"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83CD7" w:rsidRPr="003A01DF">
              <w:rPr>
                <w:rFonts w:ascii="Times New Roman" w:eastAsia="Times New Roman" w:hAnsi="Times New Roman" w:cs="Times New Roman"/>
                <w:iCs/>
                <w:sz w:val="24"/>
                <w:szCs w:val="24"/>
                <w:lang w:eastAsia="lv-LV"/>
              </w:rPr>
              <w:t>0</w:t>
            </w:r>
          </w:p>
        </w:tc>
        <w:tc>
          <w:tcPr>
            <w:tcW w:w="681" w:type="pct"/>
            <w:tcBorders>
              <w:top w:val="outset" w:sz="6" w:space="0" w:color="auto"/>
              <w:left w:val="outset" w:sz="6" w:space="0" w:color="auto"/>
              <w:bottom w:val="outset" w:sz="6" w:space="0" w:color="auto"/>
              <w:right w:val="outset" w:sz="6" w:space="0" w:color="auto"/>
            </w:tcBorders>
            <w:vAlign w:val="center"/>
            <w:hideMark/>
          </w:tcPr>
          <w:p w14:paraId="03BF9C29" w14:textId="77777777" w:rsidR="00DD2034"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p w14:paraId="5A67F123" w14:textId="68D684D1" w:rsidR="00E5323B"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441" w:type="pct"/>
            <w:tcBorders>
              <w:top w:val="outset" w:sz="6" w:space="0" w:color="auto"/>
              <w:left w:val="outset" w:sz="6" w:space="0" w:color="auto"/>
              <w:bottom w:val="outset" w:sz="6" w:space="0" w:color="auto"/>
              <w:right w:val="outset" w:sz="6" w:space="0" w:color="auto"/>
            </w:tcBorders>
            <w:vAlign w:val="center"/>
            <w:hideMark/>
          </w:tcPr>
          <w:p w14:paraId="6C785C7F"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609AA806" w14:textId="60815564"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540" w:type="pct"/>
            <w:tcBorders>
              <w:top w:val="outset" w:sz="6" w:space="0" w:color="auto"/>
              <w:left w:val="outset" w:sz="6" w:space="0" w:color="auto"/>
              <w:bottom w:val="outset" w:sz="6" w:space="0" w:color="auto"/>
              <w:right w:val="outset" w:sz="6" w:space="0" w:color="auto"/>
            </w:tcBorders>
            <w:vAlign w:val="center"/>
            <w:hideMark/>
          </w:tcPr>
          <w:p w14:paraId="7E0BEDD5"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282CE5FE" w14:textId="2AB004E2"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441" w:type="pct"/>
            <w:tcBorders>
              <w:top w:val="outset" w:sz="6" w:space="0" w:color="auto"/>
              <w:left w:val="outset" w:sz="6" w:space="0" w:color="auto"/>
              <w:bottom w:val="outset" w:sz="6" w:space="0" w:color="auto"/>
              <w:right w:val="outset" w:sz="6" w:space="0" w:color="auto"/>
            </w:tcBorders>
            <w:vAlign w:val="center"/>
            <w:hideMark/>
          </w:tcPr>
          <w:p w14:paraId="33991C7A"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5D8005C2" w14:textId="13E63583"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540" w:type="pct"/>
            <w:tcBorders>
              <w:top w:val="outset" w:sz="6" w:space="0" w:color="auto"/>
              <w:left w:val="outset" w:sz="6" w:space="0" w:color="auto"/>
              <w:bottom w:val="outset" w:sz="6" w:space="0" w:color="auto"/>
              <w:right w:val="outset" w:sz="6" w:space="0" w:color="auto"/>
            </w:tcBorders>
            <w:vAlign w:val="center"/>
            <w:hideMark/>
          </w:tcPr>
          <w:p w14:paraId="0419365D"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1369BE11" w14:textId="56473CFD"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14:paraId="22565A5C" w14:textId="77777777" w:rsidR="00DD2034"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p w14:paraId="5AAD5CCE" w14:textId="1D6944C3" w:rsidR="00E5323B"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r>
      <w:tr w:rsidR="0001268A" w:rsidRPr="003A01DF" w14:paraId="13F4D04F" w14:textId="77777777" w:rsidTr="00DD2034">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14:paraId="49E35836"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1.2. valsts speciālais 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31BBDE85"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681" w:type="pct"/>
            <w:tcBorders>
              <w:top w:val="outset" w:sz="6" w:space="0" w:color="auto"/>
              <w:left w:val="outset" w:sz="6" w:space="0" w:color="auto"/>
              <w:bottom w:val="outset" w:sz="6" w:space="0" w:color="auto"/>
              <w:right w:val="outset" w:sz="6" w:space="0" w:color="auto"/>
            </w:tcBorders>
            <w:vAlign w:val="center"/>
            <w:hideMark/>
          </w:tcPr>
          <w:p w14:paraId="0F545210" w14:textId="5B4CDE34" w:rsidR="00E5323B" w:rsidRPr="003A01DF" w:rsidRDefault="00E5323B" w:rsidP="007763C4">
            <w:pPr>
              <w:spacing w:after="0" w:line="240" w:lineRule="auto"/>
              <w:jc w:val="center"/>
              <w:rPr>
                <w:rFonts w:ascii="Times New Roman" w:eastAsia="Times New Roman" w:hAnsi="Times New Roman" w:cs="Times New Roman"/>
                <w:iCs/>
                <w:sz w:val="24"/>
                <w:szCs w:val="24"/>
                <w:lang w:eastAsia="lv-LV"/>
              </w:rPr>
            </w:pPr>
          </w:p>
        </w:tc>
        <w:tc>
          <w:tcPr>
            <w:tcW w:w="441" w:type="pct"/>
            <w:tcBorders>
              <w:top w:val="outset" w:sz="6" w:space="0" w:color="auto"/>
              <w:left w:val="outset" w:sz="6" w:space="0" w:color="auto"/>
              <w:bottom w:val="outset" w:sz="6" w:space="0" w:color="auto"/>
              <w:right w:val="outset" w:sz="6" w:space="0" w:color="auto"/>
            </w:tcBorders>
            <w:vAlign w:val="center"/>
            <w:hideMark/>
          </w:tcPr>
          <w:p w14:paraId="30DCD6B4"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40" w:type="pct"/>
            <w:tcBorders>
              <w:top w:val="outset" w:sz="6" w:space="0" w:color="auto"/>
              <w:left w:val="outset" w:sz="6" w:space="0" w:color="auto"/>
              <w:bottom w:val="outset" w:sz="6" w:space="0" w:color="auto"/>
              <w:right w:val="outset" w:sz="6" w:space="0" w:color="auto"/>
            </w:tcBorders>
            <w:vAlign w:val="center"/>
            <w:hideMark/>
          </w:tcPr>
          <w:p w14:paraId="23257549"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441" w:type="pct"/>
            <w:tcBorders>
              <w:top w:val="outset" w:sz="6" w:space="0" w:color="auto"/>
              <w:left w:val="outset" w:sz="6" w:space="0" w:color="auto"/>
              <w:bottom w:val="outset" w:sz="6" w:space="0" w:color="auto"/>
              <w:right w:val="outset" w:sz="6" w:space="0" w:color="auto"/>
            </w:tcBorders>
            <w:vAlign w:val="center"/>
            <w:hideMark/>
          </w:tcPr>
          <w:p w14:paraId="6F112657"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40" w:type="pct"/>
            <w:tcBorders>
              <w:top w:val="outset" w:sz="6" w:space="0" w:color="auto"/>
              <w:left w:val="outset" w:sz="6" w:space="0" w:color="auto"/>
              <w:bottom w:val="outset" w:sz="6" w:space="0" w:color="auto"/>
              <w:right w:val="outset" w:sz="6" w:space="0" w:color="auto"/>
            </w:tcBorders>
            <w:vAlign w:val="center"/>
            <w:hideMark/>
          </w:tcPr>
          <w:p w14:paraId="7FF8D9FA"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14:paraId="08CF4E20"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r>
      <w:tr w:rsidR="0001268A" w:rsidRPr="003A01DF" w14:paraId="08231DD7" w14:textId="77777777" w:rsidTr="00DD2034">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14:paraId="31E82065"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1.3. pašvaldību 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312F9749"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681" w:type="pct"/>
            <w:tcBorders>
              <w:top w:val="outset" w:sz="6" w:space="0" w:color="auto"/>
              <w:left w:val="outset" w:sz="6" w:space="0" w:color="auto"/>
              <w:bottom w:val="outset" w:sz="6" w:space="0" w:color="auto"/>
              <w:right w:val="outset" w:sz="6" w:space="0" w:color="auto"/>
            </w:tcBorders>
            <w:vAlign w:val="center"/>
            <w:hideMark/>
          </w:tcPr>
          <w:p w14:paraId="09CBA822" w14:textId="2EF55EBD" w:rsidR="00E5323B" w:rsidRPr="003A01DF" w:rsidRDefault="00E5323B" w:rsidP="007763C4">
            <w:pPr>
              <w:spacing w:after="0" w:line="240" w:lineRule="auto"/>
              <w:jc w:val="center"/>
              <w:rPr>
                <w:rFonts w:ascii="Times New Roman" w:eastAsia="Times New Roman" w:hAnsi="Times New Roman" w:cs="Times New Roman"/>
                <w:iCs/>
                <w:sz w:val="24"/>
                <w:szCs w:val="24"/>
                <w:lang w:eastAsia="lv-LV"/>
              </w:rPr>
            </w:pPr>
          </w:p>
        </w:tc>
        <w:tc>
          <w:tcPr>
            <w:tcW w:w="441" w:type="pct"/>
            <w:tcBorders>
              <w:top w:val="outset" w:sz="6" w:space="0" w:color="auto"/>
              <w:left w:val="outset" w:sz="6" w:space="0" w:color="auto"/>
              <w:bottom w:val="outset" w:sz="6" w:space="0" w:color="auto"/>
              <w:right w:val="outset" w:sz="6" w:space="0" w:color="auto"/>
            </w:tcBorders>
            <w:vAlign w:val="center"/>
            <w:hideMark/>
          </w:tcPr>
          <w:p w14:paraId="64FDE74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40" w:type="pct"/>
            <w:tcBorders>
              <w:top w:val="outset" w:sz="6" w:space="0" w:color="auto"/>
              <w:left w:val="outset" w:sz="6" w:space="0" w:color="auto"/>
              <w:bottom w:val="outset" w:sz="6" w:space="0" w:color="auto"/>
              <w:right w:val="outset" w:sz="6" w:space="0" w:color="auto"/>
            </w:tcBorders>
            <w:vAlign w:val="center"/>
            <w:hideMark/>
          </w:tcPr>
          <w:p w14:paraId="7B9F9C0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441" w:type="pct"/>
            <w:tcBorders>
              <w:top w:val="outset" w:sz="6" w:space="0" w:color="auto"/>
              <w:left w:val="outset" w:sz="6" w:space="0" w:color="auto"/>
              <w:bottom w:val="outset" w:sz="6" w:space="0" w:color="auto"/>
              <w:right w:val="outset" w:sz="6" w:space="0" w:color="auto"/>
            </w:tcBorders>
            <w:vAlign w:val="center"/>
            <w:hideMark/>
          </w:tcPr>
          <w:p w14:paraId="3532EDE6"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40" w:type="pct"/>
            <w:tcBorders>
              <w:top w:val="outset" w:sz="6" w:space="0" w:color="auto"/>
              <w:left w:val="outset" w:sz="6" w:space="0" w:color="auto"/>
              <w:bottom w:val="outset" w:sz="6" w:space="0" w:color="auto"/>
              <w:right w:val="outset" w:sz="6" w:space="0" w:color="auto"/>
            </w:tcBorders>
            <w:vAlign w:val="center"/>
            <w:hideMark/>
          </w:tcPr>
          <w:p w14:paraId="7DDD7388"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14:paraId="33A62696"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r>
      <w:tr w:rsidR="0001268A" w:rsidRPr="003A01DF" w14:paraId="492C7B06" w14:textId="77777777" w:rsidTr="00DD2034">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14:paraId="463C704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 Budžeta izdevumi</w:t>
            </w:r>
          </w:p>
        </w:tc>
        <w:tc>
          <w:tcPr>
            <w:tcW w:w="616" w:type="pct"/>
            <w:tcBorders>
              <w:top w:val="outset" w:sz="6" w:space="0" w:color="auto"/>
              <w:left w:val="outset" w:sz="6" w:space="0" w:color="auto"/>
              <w:bottom w:val="outset" w:sz="6" w:space="0" w:color="auto"/>
              <w:right w:val="outset" w:sz="6" w:space="0" w:color="auto"/>
            </w:tcBorders>
            <w:vAlign w:val="center"/>
            <w:hideMark/>
          </w:tcPr>
          <w:p w14:paraId="17AD712D" w14:textId="711507B6"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83CD7" w:rsidRPr="003A01DF">
              <w:rPr>
                <w:rFonts w:ascii="Times New Roman" w:eastAsia="Times New Roman" w:hAnsi="Times New Roman" w:cs="Times New Roman"/>
                <w:iCs/>
                <w:sz w:val="24"/>
                <w:szCs w:val="24"/>
                <w:lang w:eastAsia="lv-LV"/>
              </w:rPr>
              <w:t>0</w:t>
            </w:r>
          </w:p>
        </w:tc>
        <w:tc>
          <w:tcPr>
            <w:tcW w:w="681" w:type="pct"/>
            <w:tcBorders>
              <w:top w:val="outset" w:sz="6" w:space="0" w:color="auto"/>
              <w:left w:val="outset" w:sz="6" w:space="0" w:color="auto"/>
              <w:bottom w:val="outset" w:sz="6" w:space="0" w:color="auto"/>
              <w:right w:val="outset" w:sz="6" w:space="0" w:color="auto"/>
            </w:tcBorders>
            <w:vAlign w:val="center"/>
            <w:hideMark/>
          </w:tcPr>
          <w:p w14:paraId="154F7507" w14:textId="77777777" w:rsidR="00DD2034"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p w14:paraId="73DB8317" w14:textId="24493854" w:rsidR="00E5323B"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441" w:type="pct"/>
            <w:tcBorders>
              <w:top w:val="outset" w:sz="6" w:space="0" w:color="auto"/>
              <w:left w:val="outset" w:sz="6" w:space="0" w:color="auto"/>
              <w:bottom w:val="outset" w:sz="6" w:space="0" w:color="auto"/>
              <w:right w:val="outset" w:sz="6" w:space="0" w:color="auto"/>
            </w:tcBorders>
            <w:vAlign w:val="center"/>
            <w:hideMark/>
          </w:tcPr>
          <w:p w14:paraId="49CBB7B0"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47410EF4" w14:textId="2752AFE8"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540" w:type="pct"/>
            <w:tcBorders>
              <w:top w:val="outset" w:sz="6" w:space="0" w:color="auto"/>
              <w:left w:val="outset" w:sz="6" w:space="0" w:color="auto"/>
              <w:bottom w:val="outset" w:sz="6" w:space="0" w:color="auto"/>
              <w:right w:val="outset" w:sz="6" w:space="0" w:color="auto"/>
            </w:tcBorders>
            <w:vAlign w:val="center"/>
            <w:hideMark/>
          </w:tcPr>
          <w:p w14:paraId="2EE9683C"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25E77B63" w14:textId="4B508E41"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441" w:type="pct"/>
            <w:tcBorders>
              <w:top w:val="outset" w:sz="6" w:space="0" w:color="auto"/>
              <w:left w:val="outset" w:sz="6" w:space="0" w:color="auto"/>
              <w:bottom w:val="outset" w:sz="6" w:space="0" w:color="auto"/>
              <w:right w:val="outset" w:sz="6" w:space="0" w:color="auto"/>
            </w:tcBorders>
            <w:vAlign w:val="center"/>
            <w:hideMark/>
          </w:tcPr>
          <w:p w14:paraId="72976CA4"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3C754926" w14:textId="362FD134"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540" w:type="pct"/>
            <w:tcBorders>
              <w:top w:val="outset" w:sz="6" w:space="0" w:color="auto"/>
              <w:left w:val="outset" w:sz="6" w:space="0" w:color="auto"/>
              <w:bottom w:val="outset" w:sz="6" w:space="0" w:color="auto"/>
              <w:right w:val="outset" w:sz="6" w:space="0" w:color="auto"/>
            </w:tcBorders>
            <w:vAlign w:val="center"/>
            <w:hideMark/>
          </w:tcPr>
          <w:p w14:paraId="7603BFC6"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7A841BE1" w14:textId="08E0F4C3"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14:paraId="544B4715" w14:textId="6DEEC57B" w:rsidR="00DD2034"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p w14:paraId="392E8837" w14:textId="66F2E42B" w:rsidR="00E5323B"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r>
      <w:tr w:rsidR="0001268A" w:rsidRPr="003A01DF" w14:paraId="7B504FC9" w14:textId="77777777" w:rsidTr="00DD2034">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14:paraId="4A78753D"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2.1. valsts pamatbudžets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0A3679C2" w14:textId="66DAD289"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83CD7" w:rsidRPr="003A01DF">
              <w:rPr>
                <w:rFonts w:ascii="Times New Roman" w:eastAsia="Times New Roman" w:hAnsi="Times New Roman" w:cs="Times New Roman"/>
                <w:iCs/>
                <w:sz w:val="24"/>
                <w:szCs w:val="24"/>
                <w:lang w:eastAsia="lv-LV"/>
              </w:rPr>
              <w:t>0</w:t>
            </w:r>
          </w:p>
        </w:tc>
        <w:tc>
          <w:tcPr>
            <w:tcW w:w="681" w:type="pct"/>
            <w:tcBorders>
              <w:top w:val="outset" w:sz="6" w:space="0" w:color="auto"/>
              <w:left w:val="outset" w:sz="6" w:space="0" w:color="auto"/>
              <w:bottom w:val="outset" w:sz="6" w:space="0" w:color="auto"/>
              <w:right w:val="outset" w:sz="6" w:space="0" w:color="auto"/>
            </w:tcBorders>
            <w:vAlign w:val="center"/>
            <w:hideMark/>
          </w:tcPr>
          <w:p w14:paraId="6ED3B499" w14:textId="77777777" w:rsidR="00DD2034"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p w14:paraId="66E9BDB9" w14:textId="4AC44618" w:rsidR="00E5323B"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441" w:type="pct"/>
            <w:tcBorders>
              <w:top w:val="outset" w:sz="6" w:space="0" w:color="auto"/>
              <w:left w:val="outset" w:sz="6" w:space="0" w:color="auto"/>
              <w:bottom w:val="outset" w:sz="6" w:space="0" w:color="auto"/>
              <w:right w:val="outset" w:sz="6" w:space="0" w:color="auto"/>
            </w:tcBorders>
            <w:vAlign w:val="center"/>
            <w:hideMark/>
          </w:tcPr>
          <w:p w14:paraId="7D137076"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30204F87" w14:textId="6DCE66A3"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540" w:type="pct"/>
            <w:tcBorders>
              <w:top w:val="outset" w:sz="6" w:space="0" w:color="auto"/>
              <w:left w:val="outset" w:sz="6" w:space="0" w:color="auto"/>
              <w:bottom w:val="outset" w:sz="6" w:space="0" w:color="auto"/>
              <w:right w:val="outset" w:sz="6" w:space="0" w:color="auto"/>
            </w:tcBorders>
            <w:vAlign w:val="center"/>
            <w:hideMark/>
          </w:tcPr>
          <w:p w14:paraId="0C9FEF37"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6297C868" w14:textId="6EA8CDBF"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441" w:type="pct"/>
            <w:tcBorders>
              <w:top w:val="outset" w:sz="6" w:space="0" w:color="auto"/>
              <w:left w:val="outset" w:sz="6" w:space="0" w:color="auto"/>
              <w:bottom w:val="outset" w:sz="6" w:space="0" w:color="auto"/>
              <w:right w:val="outset" w:sz="6" w:space="0" w:color="auto"/>
            </w:tcBorders>
            <w:vAlign w:val="center"/>
            <w:hideMark/>
          </w:tcPr>
          <w:p w14:paraId="57E36EAB"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73F019DE" w14:textId="4B196CF6"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540" w:type="pct"/>
            <w:tcBorders>
              <w:top w:val="outset" w:sz="6" w:space="0" w:color="auto"/>
              <w:left w:val="outset" w:sz="6" w:space="0" w:color="auto"/>
              <w:bottom w:val="outset" w:sz="6" w:space="0" w:color="auto"/>
              <w:right w:val="outset" w:sz="6" w:space="0" w:color="auto"/>
            </w:tcBorders>
            <w:vAlign w:val="center"/>
            <w:hideMark/>
          </w:tcPr>
          <w:p w14:paraId="67B0A8BE"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5D1D3C8D" w14:textId="7F4677A2"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14:paraId="6C340A67" w14:textId="7C1AF937" w:rsidR="00DD2034"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p w14:paraId="45A8E46F" w14:textId="23800D0D" w:rsidR="00E5323B"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r>
      <w:tr w:rsidR="0001268A" w:rsidRPr="003A01DF" w14:paraId="20EE3F4E" w14:textId="77777777" w:rsidTr="00DD2034">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14:paraId="5311CD93"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2.2. valsts speciālais 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6D086E78"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681" w:type="pct"/>
            <w:tcBorders>
              <w:top w:val="outset" w:sz="6" w:space="0" w:color="auto"/>
              <w:left w:val="outset" w:sz="6" w:space="0" w:color="auto"/>
              <w:bottom w:val="outset" w:sz="6" w:space="0" w:color="auto"/>
              <w:right w:val="outset" w:sz="6" w:space="0" w:color="auto"/>
            </w:tcBorders>
            <w:vAlign w:val="center"/>
            <w:hideMark/>
          </w:tcPr>
          <w:p w14:paraId="7782EB46"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441" w:type="pct"/>
            <w:tcBorders>
              <w:top w:val="outset" w:sz="6" w:space="0" w:color="auto"/>
              <w:left w:val="outset" w:sz="6" w:space="0" w:color="auto"/>
              <w:bottom w:val="outset" w:sz="6" w:space="0" w:color="auto"/>
              <w:right w:val="outset" w:sz="6" w:space="0" w:color="auto"/>
            </w:tcBorders>
            <w:vAlign w:val="center"/>
            <w:hideMark/>
          </w:tcPr>
          <w:p w14:paraId="7488DC08"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40" w:type="pct"/>
            <w:tcBorders>
              <w:top w:val="outset" w:sz="6" w:space="0" w:color="auto"/>
              <w:left w:val="outset" w:sz="6" w:space="0" w:color="auto"/>
              <w:bottom w:val="outset" w:sz="6" w:space="0" w:color="auto"/>
              <w:right w:val="outset" w:sz="6" w:space="0" w:color="auto"/>
            </w:tcBorders>
            <w:vAlign w:val="center"/>
            <w:hideMark/>
          </w:tcPr>
          <w:p w14:paraId="416E05A2"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441" w:type="pct"/>
            <w:tcBorders>
              <w:top w:val="outset" w:sz="6" w:space="0" w:color="auto"/>
              <w:left w:val="outset" w:sz="6" w:space="0" w:color="auto"/>
              <w:bottom w:val="outset" w:sz="6" w:space="0" w:color="auto"/>
              <w:right w:val="outset" w:sz="6" w:space="0" w:color="auto"/>
            </w:tcBorders>
            <w:vAlign w:val="center"/>
            <w:hideMark/>
          </w:tcPr>
          <w:p w14:paraId="34DAF2E4"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40" w:type="pct"/>
            <w:tcBorders>
              <w:top w:val="outset" w:sz="6" w:space="0" w:color="auto"/>
              <w:left w:val="outset" w:sz="6" w:space="0" w:color="auto"/>
              <w:bottom w:val="outset" w:sz="6" w:space="0" w:color="auto"/>
              <w:right w:val="outset" w:sz="6" w:space="0" w:color="auto"/>
            </w:tcBorders>
            <w:vAlign w:val="center"/>
            <w:hideMark/>
          </w:tcPr>
          <w:p w14:paraId="4EA4E2E7"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14:paraId="26A19C19"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r>
      <w:tr w:rsidR="0001268A" w:rsidRPr="003A01DF" w14:paraId="634AB490" w14:textId="77777777" w:rsidTr="00DD2034">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14:paraId="6EFF4D1A"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2.3. pašvaldību 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533DE05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681" w:type="pct"/>
            <w:tcBorders>
              <w:top w:val="outset" w:sz="6" w:space="0" w:color="auto"/>
              <w:left w:val="outset" w:sz="6" w:space="0" w:color="auto"/>
              <w:bottom w:val="outset" w:sz="6" w:space="0" w:color="auto"/>
              <w:right w:val="outset" w:sz="6" w:space="0" w:color="auto"/>
            </w:tcBorders>
            <w:vAlign w:val="center"/>
            <w:hideMark/>
          </w:tcPr>
          <w:p w14:paraId="07D57528"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441" w:type="pct"/>
            <w:tcBorders>
              <w:top w:val="outset" w:sz="6" w:space="0" w:color="auto"/>
              <w:left w:val="outset" w:sz="6" w:space="0" w:color="auto"/>
              <w:bottom w:val="outset" w:sz="6" w:space="0" w:color="auto"/>
              <w:right w:val="outset" w:sz="6" w:space="0" w:color="auto"/>
            </w:tcBorders>
            <w:vAlign w:val="center"/>
            <w:hideMark/>
          </w:tcPr>
          <w:p w14:paraId="22FC2E70"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40" w:type="pct"/>
            <w:tcBorders>
              <w:top w:val="outset" w:sz="6" w:space="0" w:color="auto"/>
              <w:left w:val="outset" w:sz="6" w:space="0" w:color="auto"/>
              <w:bottom w:val="outset" w:sz="6" w:space="0" w:color="auto"/>
              <w:right w:val="outset" w:sz="6" w:space="0" w:color="auto"/>
            </w:tcBorders>
            <w:vAlign w:val="center"/>
            <w:hideMark/>
          </w:tcPr>
          <w:p w14:paraId="3F8E4D4A"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441" w:type="pct"/>
            <w:tcBorders>
              <w:top w:val="outset" w:sz="6" w:space="0" w:color="auto"/>
              <w:left w:val="outset" w:sz="6" w:space="0" w:color="auto"/>
              <w:bottom w:val="outset" w:sz="6" w:space="0" w:color="auto"/>
              <w:right w:val="outset" w:sz="6" w:space="0" w:color="auto"/>
            </w:tcBorders>
            <w:vAlign w:val="center"/>
            <w:hideMark/>
          </w:tcPr>
          <w:p w14:paraId="5137D81D"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40" w:type="pct"/>
            <w:tcBorders>
              <w:top w:val="outset" w:sz="6" w:space="0" w:color="auto"/>
              <w:left w:val="outset" w:sz="6" w:space="0" w:color="auto"/>
              <w:bottom w:val="outset" w:sz="6" w:space="0" w:color="auto"/>
              <w:right w:val="outset" w:sz="6" w:space="0" w:color="auto"/>
            </w:tcBorders>
            <w:vAlign w:val="center"/>
            <w:hideMark/>
          </w:tcPr>
          <w:p w14:paraId="666AAE45"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14:paraId="25AC6FD3"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r>
      <w:tr w:rsidR="0001268A" w:rsidRPr="003A01DF" w14:paraId="1FB91E6F" w14:textId="77777777" w:rsidTr="00DD2034">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14:paraId="43FDDA05"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3. Finansiālā ietekme</w:t>
            </w:r>
          </w:p>
        </w:tc>
        <w:tc>
          <w:tcPr>
            <w:tcW w:w="616" w:type="pct"/>
            <w:tcBorders>
              <w:top w:val="outset" w:sz="6" w:space="0" w:color="auto"/>
              <w:left w:val="outset" w:sz="6" w:space="0" w:color="auto"/>
              <w:bottom w:val="outset" w:sz="6" w:space="0" w:color="auto"/>
              <w:right w:val="outset" w:sz="6" w:space="0" w:color="auto"/>
            </w:tcBorders>
            <w:vAlign w:val="center"/>
            <w:hideMark/>
          </w:tcPr>
          <w:p w14:paraId="7CA1C642"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681" w:type="pct"/>
            <w:tcBorders>
              <w:top w:val="outset" w:sz="6" w:space="0" w:color="auto"/>
              <w:left w:val="outset" w:sz="6" w:space="0" w:color="auto"/>
              <w:bottom w:val="outset" w:sz="6" w:space="0" w:color="auto"/>
              <w:right w:val="outset" w:sz="6" w:space="0" w:color="auto"/>
            </w:tcBorders>
            <w:vAlign w:val="center"/>
            <w:hideMark/>
          </w:tcPr>
          <w:p w14:paraId="653FC703"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441" w:type="pct"/>
            <w:tcBorders>
              <w:top w:val="outset" w:sz="6" w:space="0" w:color="auto"/>
              <w:left w:val="outset" w:sz="6" w:space="0" w:color="auto"/>
              <w:bottom w:val="outset" w:sz="6" w:space="0" w:color="auto"/>
              <w:right w:val="outset" w:sz="6" w:space="0" w:color="auto"/>
            </w:tcBorders>
            <w:vAlign w:val="center"/>
            <w:hideMark/>
          </w:tcPr>
          <w:p w14:paraId="5AC2B3CD"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40" w:type="pct"/>
            <w:tcBorders>
              <w:top w:val="outset" w:sz="6" w:space="0" w:color="auto"/>
              <w:left w:val="outset" w:sz="6" w:space="0" w:color="auto"/>
              <w:bottom w:val="outset" w:sz="6" w:space="0" w:color="auto"/>
              <w:right w:val="outset" w:sz="6" w:space="0" w:color="auto"/>
            </w:tcBorders>
            <w:vAlign w:val="center"/>
            <w:hideMark/>
          </w:tcPr>
          <w:p w14:paraId="7A78A705"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441" w:type="pct"/>
            <w:tcBorders>
              <w:top w:val="outset" w:sz="6" w:space="0" w:color="auto"/>
              <w:left w:val="outset" w:sz="6" w:space="0" w:color="auto"/>
              <w:bottom w:val="outset" w:sz="6" w:space="0" w:color="auto"/>
              <w:right w:val="outset" w:sz="6" w:space="0" w:color="auto"/>
            </w:tcBorders>
            <w:vAlign w:val="center"/>
            <w:hideMark/>
          </w:tcPr>
          <w:p w14:paraId="01AC6C12"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40" w:type="pct"/>
            <w:tcBorders>
              <w:top w:val="outset" w:sz="6" w:space="0" w:color="auto"/>
              <w:left w:val="outset" w:sz="6" w:space="0" w:color="auto"/>
              <w:bottom w:val="outset" w:sz="6" w:space="0" w:color="auto"/>
              <w:right w:val="outset" w:sz="6" w:space="0" w:color="auto"/>
            </w:tcBorders>
            <w:vAlign w:val="center"/>
            <w:hideMark/>
          </w:tcPr>
          <w:p w14:paraId="4EBAAEC1"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14:paraId="6ACEEF24"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r>
      <w:tr w:rsidR="0001268A" w:rsidRPr="003A01DF" w14:paraId="2B94CB6A" w14:textId="77777777" w:rsidTr="00DD2034">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14:paraId="1BD14099"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3.1. valsts pamatbudžets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45A7F0DE"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681" w:type="pct"/>
            <w:tcBorders>
              <w:top w:val="outset" w:sz="6" w:space="0" w:color="auto"/>
              <w:left w:val="outset" w:sz="6" w:space="0" w:color="auto"/>
              <w:bottom w:val="outset" w:sz="6" w:space="0" w:color="auto"/>
              <w:right w:val="outset" w:sz="6" w:space="0" w:color="auto"/>
            </w:tcBorders>
            <w:vAlign w:val="center"/>
            <w:hideMark/>
          </w:tcPr>
          <w:p w14:paraId="56D052D5"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441" w:type="pct"/>
            <w:tcBorders>
              <w:top w:val="outset" w:sz="6" w:space="0" w:color="auto"/>
              <w:left w:val="outset" w:sz="6" w:space="0" w:color="auto"/>
              <w:bottom w:val="outset" w:sz="6" w:space="0" w:color="auto"/>
              <w:right w:val="outset" w:sz="6" w:space="0" w:color="auto"/>
            </w:tcBorders>
            <w:vAlign w:val="center"/>
            <w:hideMark/>
          </w:tcPr>
          <w:p w14:paraId="11069B96"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40" w:type="pct"/>
            <w:tcBorders>
              <w:top w:val="outset" w:sz="6" w:space="0" w:color="auto"/>
              <w:left w:val="outset" w:sz="6" w:space="0" w:color="auto"/>
              <w:bottom w:val="outset" w:sz="6" w:space="0" w:color="auto"/>
              <w:right w:val="outset" w:sz="6" w:space="0" w:color="auto"/>
            </w:tcBorders>
            <w:vAlign w:val="center"/>
            <w:hideMark/>
          </w:tcPr>
          <w:p w14:paraId="458B73AD"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441" w:type="pct"/>
            <w:tcBorders>
              <w:top w:val="outset" w:sz="6" w:space="0" w:color="auto"/>
              <w:left w:val="outset" w:sz="6" w:space="0" w:color="auto"/>
              <w:bottom w:val="outset" w:sz="6" w:space="0" w:color="auto"/>
              <w:right w:val="outset" w:sz="6" w:space="0" w:color="auto"/>
            </w:tcBorders>
            <w:vAlign w:val="center"/>
            <w:hideMark/>
          </w:tcPr>
          <w:p w14:paraId="11E197CE"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40" w:type="pct"/>
            <w:tcBorders>
              <w:top w:val="outset" w:sz="6" w:space="0" w:color="auto"/>
              <w:left w:val="outset" w:sz="6" w:space="0" w:color="auto"/>
              <w:bottom w:val="outset" w:sz="6" w:space="0" w:color="auto"/>
              <w:right w:val="outset" w:sz="6" w:space="0" w:color="auto"/>
            </w:tcBorders>
            <w:vAlign w:val="center"/>
            <w:hideMark/>
          </w:tcPr>
          <w:p w14:paraId="16897927"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14:paraId="32F9934D"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r>
      <w:tr w:rsidR="0001268A" w:rsidRPr="003A01DF" w14:paraId="16A0176A" w14:textId="77777777" w:rsidTr="00DD2034">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14:paraId="064C5E34"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3.2. speciālais 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3AC6A950"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681" w:type="pct"/>
            <w:tcBorders>
              <w:top w:val="outset" w:sz="6" w:space="0" w:color="auto"/>
              <w:left w:val="outset" w:sz="6" w:space="0" w:color="auto"/>
              <w:bottom w:val="outset" w:sz="6" w:space="0" w:color="auto"/>
              <w:right w:val="outset" w:sz="6" w:space="0" w:color="auto"/>
            </w:tcBorders>
            <w:vAlign w:val="center"/>
            <w:hideMark/>
          </w:tcPr>
          <w:p w14:paraId="725A3348"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441" w:type="pct"/>
            <w:tcBorders>
              <w:top w:val="outset" w:sz="6" w:space="0" w:color="auto"/>
              <w:left w:val="outset" w:sz="6" w:space="0" w:color="auto"/>
              <w:bottom w:val="outset" w:sz="6" w:space="0" w:color="auto"/>
              <w:right w:val="outset" w:sz="6" w:space="0" w:color="auto"/>
            </w:tcBorders>
            <w:vAlign w:val="center"/>
            <w:hideMark/>
          </w:tcPr>
          <w:p w14:paraId="096E4D77"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40" w:type="pct"/>
            <w:tcBorders>
              <w:top w:val="outset" w:sz="6" w:space="0" w:color="auto"/>
              <w:left w:val="outset" w:sz="6" w:space="0" w:color="auto"/>
              <w:bottom w:val="outset" w:sz="6" w:space="0" w:color="auto"/>
              <w:right w:val="outset" w:sz="6" w:space="0" w:color="auto"/>
            </w:tcBorders>
            <w:vAlign w:val="center"/>
            <w:hideMark/>
          </w:tcPr>
          <w:p w14:paraId="679E8EE4"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441" w:type="pct"/>
            <w:tcBorders>
              <w:top w:val="outset" w:sz="6" w:space="0" w:color="auto"/>
              <w:left w:val="outset" w:sz="6" w:space="0" w:color="auto"/>
              <w:bottom w:val="outset" w:sz="6" w:space="0" w:color="auto"/>
              <w:right w:val="outset" w:sz="6" w:space="0" w:color="auto"/>
            </w:tcBorders>
            <w:vAlign w:val="center"/>
            <w:hideMark/>
          </w:tcPr>
          <w:p w14:paraId="48DCB7AA"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40" w:type="pct"/>
            <w:tcBorders>
              <w:top w:val="outset" w:sz="6" w:space="0" w:color="auto"/>
              <w:left w:val="outset" w:sz="6" w:space="0" w:color="auto"/>
              <w:bottom w:val="outset" w:sz="6" w:space="0" w:color="auto"/>
              <w:right w:val="outset" w:sz="6" w:space="0" w:color="auto"/>
            </w:tcBorders>
            <w:vAlign w:val="center"/>
            <w:hideMark/>
          </w:tcPr>
          <w:p w14:paraId="567ED1BE"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14:paraId="5A414FD2"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r>
      <w:tr w:rsidR="0001268A" w:rsidRPr="003A01DF" w14:paraId="54F651DD" w14:textId="77777777" w:rsidTr="00DD2034">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14:paraId="16AEF51C"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3.3. pašvaldību budžets</w:t>
            </w:r>
          </w:p>
        </w:tc>
        <w:tc>
          <w:tcPr>
            <w:tcW w:w="616" w:type="pct"/>
            <w:tcBorders>
              <w:top w:val="outset" w:sz="6" w:space="0" w:color="auto"/>
              <w:left w:val="outset" w:sz="6" w:space="0" w:color="auto"/>
              <w:bottom w:val="outset" w:sz="6" w:space="0" w:color="auto"/>
              <w:right w:val="outset" w:sz="6" w:space="0" w:color="auto"/>
            </w:tcBorders>
            <w:vAlign w:val="center"/>
            <w:hideMark/>
          </w:tcPr>
          <w:p w14:paraId="50FDDE1B"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681" w:type="pct"/>
            <w:tcBorders>
              <w:top w:val="outset" w:sz="6" w:space="0" w:color="auto"/>
              <w:left w:val="outset" w:sz="6" w:space="0" w:color="auto"/>
              <w:bottom w:val="outset" w:sz="6" w:space="0" w:color="auto"/>
              <w:right w:val="outset" w:sz="6" w:space="0" w:color="auto"/>
            </w:tcBorders>
            <w:vAlign w:val="center"/>
            <w:hideMark/>
          </w:tcPr>
          <w:p w14:paraId="363E8EB8"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441" w:type="pct"/>
            <w:tcBorders>
              <w:top w:val="outset" w:sz="6" w:space="0" w:color="auto"/>
              <w:left w:val="outset" w:sz="6" w:space="0" w:color="auto"/>
              <w:bottom w:val="outset" w:sz="6" w:space="0" w:color="auto"/>
              <w:right w:val="outset" w:sz="6" w:space="0" w:color="auto"/>
            </w:tcBorders>
            <w:vAlign w:val="center"/>
            <w:hideMark/>
          </w:tcPr>
          <w:p w14:paraId="18F60BAD"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40" w:type="pct"/>
            <w:tcBorders>
              <w:top w:val="outset" w:sz="6" w:space="0" w:color="auto"/>
              <w:left w:val="outset" w:sz="6" w:space="0" w:color="auto"/>
              <w:bottom w:val="outset" w:sz="6" w:space="0" w:color="auto"/>
              <w:right w:val="outset" w:sz="6" w:space="0" w:color="auto"/>
            </w:tcBorders>
            <w:vAlign w:val="center"/>
            <w:hideMark/>
          </w:tcPr>
          <w:p w14:paraId="322AB5BA"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441" w:type="pct"/>
            <w:tcBorders>
              <w:top w:val="outset" w:sz="6" w:space="0" w:color="auto"/>
              <w:left w:val="outset" w:sz="6" w:space="0" w:color="auto"/>
              <w:bottom w:val="outset" w:sz="6" w:space="0" w:color="auto"/>
              <w:right w:val="outset" w:sz="6" w:space="0" w:color="auto"/>
            </w:tcBorders>
            <w:vAlign w:val="center"/>
            <w:hideMark/>
          </w:tcPr>
          <w:p w14:paraId="2B8A7E28"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540" w:type="pct"/>
            <w:tcBorders>
              <w:top w:val="outset" w:sz="6" w:space="0" w:color="auto"/>
              <w:left w:val="outset" w:sz="6" w:space="0" w:color="auto"/>
              <w:bottom w:val="outset" w:sz="6" w:space="0" w:color="auto"/>
              <w:right w:val="outset" w:sz="6" w:space="0" w:color="auto"/>
            </w:tcBorders>
            <w:vAlign w:val="center"/>
            <w:hideMark/>
          </w:tcPr>
          <w:p w14:paraId="7B169959"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14:paraId="2D05DCDA"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r>
      <w:tr w:rsidR="0001268A" w:rsidRPr="003A01DF" w14:paraId="49CE0231" w14:textId="77777777" w:rsidTr="00DD2034">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14:paraId="08AF6DB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616" w:type="pct"/>
            <w:tcBorders>
              <w:top w:val="outset" w:sz="6" w:space="0" w:color="auto"/>
              <w:left w:val="outset" w:sz="6" w:space="0" w:color="auto"/>
              <w:bottom w:val="outset" w:sz="6" w:space="0" w:color="auto"/>
              <w:right w:val="outset" w:sz="6" w:space="0" w:color="auto"/>
            </w:tcBorders>
            <w:vAlign w:val="center"/>
            <w:hideMark/>
          </w:tcPr>
          <w:p w14:paraId="4D11DF6D" w14:textId="77777777" w:rsidR="00E5323B" w:rsidRPr="003A01DF" w:rsidRDefault="00CC0D2D" w:rsidP="00CC0D2D">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X</w:t>
            </w:r>
          </w:p>
        </w:tc>
        <w:tc>
          <w:tcPr>
            <w:tcW w:w="681" w:type="pct"/>
            <w:tcBorders>
              <w:top w:val="outset" w:sz="6" w:space="0" w:color="auto"/>
              <w:left w:val="outset" w:sz="6" w:space="0" w:color="auto"/>
              <w:bottom w:val="outset" w:sz="6" w:space="0" w:color="auto"/>
              <w:right w:val="outset" w:sz="6" w:space="0" w:color="auto"/>
            </w:tcBorders>
            <w:vAlign w:val="center"/>
            <w:hideMark/>
          </w:tcPr>
          <w:p w14:paraId="737C34C9" w14:textId="77777777" w:rsidR="00DD2034"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p w14:paraId="41B5246D" w14:textId="7F01EE9D" w:rsidR="00E5323B"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441" w:type="pct"/>
            <w:tcBorders>
              <w:top w:val="outset" w:sz="6" w:space="0" w:color="auto"/>
              <w:left w:val="outset" w:sz="6" w:space="0" w:color="auto"/>
              <w:bottom w:val="outset" w:sz="6" w:space="0" w:color="auto"/>
              <w:right w:val="outset" w:sz="6" w:space="0" w:color="auto"/>
            </w:tcBorders>
            <w:vAlign w:val="center"/>
            <w:hideMark/>
          </w:tcPr>
          <w:p w14:paraId="5D433C8B" w14:textId="77777777" w:rsidR="00E5323B" w:rsidRPr="003A01DF" w:rsidRDefault="00CC0D2D" w:rsidP="00CC0D2D">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X</w:t>
            </w:r>
          </w:p>
        </w:tc>
        <w:tc>
          <w:tcPr>
            <w:tcW w:w="540" w:type="pct"/>
            <w:tcBorders>
              <w:top w:val="outset" w:sz="6" w:space="0" w:color="auto"/>
              <w:left w:val="outset" w:sz="6" w:space="0" w:color="auto"/>
              <w:bottom w:val="outset" w:sz="6" w:space="0" w:color="auto"/>
              <w:right w:val="outset" w:sz="6" w:space="0" w:color="auto"/>
            </w:tcBorders>
            <w:vAlign w:val="center"/>
            <w:hideMark/>
          </w:tcPr>
          <w:p w14:paraId="7D45A6CB" w14:textId="77777777" w:rsidR="00DD2034"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p w14:paraId="77767D41" w14:textId="741CB85F" w:rsidR="00E5323B"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441" w:type="pct"/>
            <w:tcBorders>
              <w:top w:val="outset" w:sz="6" w:space="0" w:color="auto"/>
              <w:left w:val="outset" w:sz="6" w:space="0" w:color="auto"/>
              <w:bottom w:val="outset" w:sz="6" w:space="0" w:color="auto"/>
              <w:right w:val="outset" w:sz="6" w:space="0" w:color="auto"/>
            </w:tcBorders>
            <w:vAlign w:val="center"/>
            <w:hideMark/>
          </w:tcPr>
          <w:p w14:paraId="17B021E0" w14:textId="77777777" w:rsidR="00E5323B" w:rsidRPr="003A01DF" w:rsidRDefault="00CC0D2D" w:rsidP="00CC0D2D">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X</w:t>
            </w:r>
          </w:p>
        </w:tc>
        <w:tc>
          <w:tcPr>
            <w:tcW w:w="540" w:type="pct"/>
            <w:tcBorders>
              <w:top w:val="outset" w:sz="6" w:space="0" w:color="auto"/>
              <w:left w:val="outset" w:sz="6" w:space="0" w:color="auto"/>
              <w:bottom w:val="outset" w:sz="6" w:space="0" w:color="auto"/>
              <w:right w:val="outset" w:sz="6" w:space="0" w:color="auto"/>
            </w:tcBorders>
            <w:vAlign w:val="center"/>
            <w:hideMark/>
          </w:tcPr>
          <w:p w14:paraId="141EF8B9"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5B103A35" w14:textId="03388E21"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14:paraId="39E243A3" w14:textId="07584F1A" w:rsidR="00DD2034"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p w14:paraId="1895E710" w14:textId="38499596" w:rsidR="00E5323B"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r>
      <w:tr w:rsidR="0001268A" w:rsidRPr="003A01DF" w14:paraId="6E7EFE32" w14:textId="77777777" w:rsidTr="00DD2034">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14:paraId="7F36E02C"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5. Precizēta finansiālā ietekme</w:t>
            </w:r>
          </w:p>
        </w:tc>
        <w:tc>
          <w:tcPr>
            <w:tcW w:w="616" w:type="pct"/>
            <w:vMerge w:val="restart"/>
            <w:tcBorders>
              <w:top w:val="outset" w:sz="6" w:space="0" w:color="auto"/>
              <w:left w:val="outset" w:sz="6" w:space="0" w:color="auto"/>
              <w:bottom w:val="outset" w:sz="6" w:space="0" w:color="auto"/>
              <w:right w:val="outset" w:sz="6" w:space="0" w:color="auto"/>
            </w:tcBorders>
            <w:vAlign w:val="center"/>
            <w:hideMark/>
          </w:tcPr>
          <w:p w14:paraId="7742F809" w14:textId="77777777" w:rsidR="00CC0D2D" w:rsidRPr="003A01DF" w:rsidRDefault="00CC0D2D" w:rsidP="00CC0D2D">
            <w:pPr>
              <w:spacing w:after="0" w:line="240" w:lineRule="auto"/>
              <w:jc w:val="center"/>
              <w:rPr>
                <w:rFonts w:ascii="Times New Roman" w:eastAsia="Times New Roman" w:hAnsi="Times New Roman" w:cs="Times New Roman"/>
                <w:iCs/>
                <w:sz w:val="24"/>
                <w:szCs w:val="24"/>
                <w:lang w:eastAsia="lv-LV"/>
              </w:rPr>
            </w:pPr>
          </w:p>
          <w:p w14:paraId="5F325B71" w14:textId="77777777" w:rsidR="00CC0D2D" w:rsidRPr="003A01DF" w:rsidRDefault="00CC0D2D" w:rsidP="00CC0D2D">
            <w:pPr>
              <w:spacing w:after="0" w:line="240" w:lineRule="auto"/>
              <w:jc w:val="center"/>
              <w:rPr>
                <w:rFonts w:ascii="Times New Roman" w:eastAsia="Times New Roman" w:hAnsi="Times New Roman" w:cs="Times New Roman"/>
                <w:iCs/>
                <w:sz w:val="24"/>
                <w:szCs w:val="24"/>
                <w:lang w:eastAsia="lv-LV"/>
              </w:rPr>
            </w:pPr>
          </w:p>
          <w:p w14:paraId="29EAE6BA" w14:textId="77777777" w:rsidR="00CC0D2D" w:rsidRPr="003A01DF" w:rsidRDefault="00CC0D2D" w:rsidP="00CC0D2D">
            <w:pPr>
              <w:spacing w:after="0" w:line="240" w:lineRule="auto"/>
              <w:jc w:val="center"/>
              <w:rPr>
                <w:rFonts w:ascii="Times New Roman" w:eastAsia="Times New Roman" w:hAnsi="Times New Roman" w:cs="Times New Roman"/>
                <w:iCs/>
                <w:sz w:val="24"/>
                <w:szCs w:val="24"/>
                <w:lang w:eastAsia="lv-LV"/>
              </w:rPr>
            </w:pPr>
          </w:p>
          <w:p w14:paraId="33A23DE5" w14:textId="77777777" w:rsidR="00CC0D2D" w:rsidRPr="003A01DF" w:rsidRDefault="00CC0D2D" w:rsidP="00CC0D2D">
            <w:pPr>
              <w:spacing w:after="0" w:line="240" w:lineRule="auto"/>
              <w:jc w:val="center"/>
              <w:rPr>
                <w:rFonts w:ascii="Times New Roman" w:eastAsia="Times New Roman" w:hAnsi="Times New Roman" w:cs="Times New Roman"/>
                <w:iCs/>
                <w:sz w:val="24"/>
                <w:szCs w:val="24"/>
                <w:lang w:eastAsia="lv-LV"/>
              </w:rPr>
            </w:pPr>
          </w:p>
          <w:p w14:paraId="722D493D" w14:textId="77777777" w:rsidR="00CC0D2D" w:rsidRPr="003A01DF" w:rsidRDefault="00CC0D2D" w:rsidP="00CC0D2D">
            <w:pPr>
              <w:spacing w:after="0" w:line="240" w:lineRule="auto"/>
              <w:jc w:val="center"/>
              <w:rPr>
                <w:rFonts w:ascii="Times New Roman" w:eastAsia="Times New Roman" w:hAnsi="Times New Roman" w:cs="Times New Roman"/>
                <w:iCs/>
                <w:sz w:val="24"/>
                <w:szCs w:val="24"/>
                <w:lang w:eastAsia="lv-LV"/>
              </w:rPr>
            </w:pPr>
          </w:p>
          <w:p w14:paraId="4E5F9B33" w14:textId="77777777" w:rsidR="00E5323B" w:rsidRPr="003A01DF" w:rsidRDefault="00CC0D2D" w:rsidP="00CC0D2D">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X</w:t>
            </w:r>
          </w:p>
        </w:tc>
        <w:tc>
          <w:tcPr>
            <w:tcW w:w="681" w:type="pct"/>
            <w:tcBorders>
              <w:top w:val="outset" w:sz="6" w:space="0" w:color="auto"/>
              <w:left w:val="outset" w:sz="6" w:space="0" w:color="auto"/>
              <w:bottom w:val="outset" w:sz="6" w:space="0" w:color="auto"/>
              <w:right w:val="outset" w:sz="6" w:space="0" w:color="auto"/>
            </w:tcBorders>
            <w:vAlign w:val="center"/>
            <w:hideMark/>
          </w:tcPr>
          <w:p w14:paraId="69AE1021" w14:textId="77777777" w:rsidR="00DD2034"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lastRenderedPageBreak/>
              <w:t>Nav</w:t>
            </w:r>
          </w:p>
          <w:p w14:paraId="44D1DF0D" w14:textId="55ADC0B1" w:rsidR="00E5323B"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441" w:type="pct"/>
            <w:vMerge w:val="restart"/>
            <w:tcBorders>
              <w:top w:val="outset" w:sz="6" w:space="0" w:color="auto"/>
              <w:left w:val="outset" w:sz="6" w:space="0" w:color="auto"/>
              <w:bottom w:val="outset" w:sz="6" w:space="0" w:color="auto"/>
              <w:right w:val="outset" w:sz="6" w:space="0" w:color="auto"/>
            </w:tcBorders>
            <w:vAlign w:val="center"/>
            <w:hideMark/>
          </w:tcPr>
          <w:p w14:paraId="4266C24D" w14:textId="77777777" w:rsidR="00CC0D2D" w:rsidRPr="003A01DF" w:rsidRDefault="00CC0D2D" w:rsidP="00CC0D2D">
            <w:pPr>
              <w:spacing w:after="0" w:line="240" w:lineRule="auto"/>
              <w:jc w:val="center"/>
              <w:rPr>
                <w:rFonts w:ascii="Times New Roman" w:eastAsia="Times New Roman" w:hAnsi="Times New Roman" w:cs="Times New Roman"/>
                <w:iCs/>
                <w:sz w:val="24"/>
                <w:szCs w:val="24"/>
                <w:lang w:eastAsia="lv-LV"/>
              </w:rPr>
            </w:pPr>
          </w:p>
          <w:p w14:paraId="7B38CFDF" w14:textId="77777777" w:rsidR="00CC0D2D" w:rsidRPr="003A01DF" w:rsidRDefault="00CC0D2D" w:rsidP="00CC0D2D">
            <w:pPr>
              <w:spacing w:after="0" w:line="240" w:lineRule="auto"/>
              <w:jc w:val="center"/>
              <w:rPr>
                <w:rFonts w:ascii="Times New Roman" w:eastAsia="Times New Roman" w:hAnsi="Times New Roman" w:cs="Times New Roman"/>
                <w:iCs/>
                <w:sz w:val="24"/>
                <w:szCs w:val="24"/>
                <w:lang w:eastAsia="lv-LV"/>
              </w:rPr>
            </w:pPr>
          </w:p>
          <w:p w14:paraId="4D8B9E4A" w14:textId="77777777" w:rsidR="00CC0D2D" w:rsidRPr="003A01DF" w:rsidRDefault="00CC0D2D" w:rsidP="00CC0D2D">
            <w:pPr>
              <w:spacing w:after="0" w:line="240" w:lineRule="auto"/>
              <w:jc w:val="center"/>
              <w:rPr>
                <w:rFonts w:ascii="Times New Roman" w:eastAsia="Times New Roman" w:hAnsi="Times New Roman" w:cs="Times New Roman"/>
                <w:iCs/>
                <w:sz w:val="24"/>
                <w:szCs w:val="24"/>
                <w:lang w:eastAsia="lv-LV"/>
              </w:rPr>
            </w:pPr>
          </w:p>
          <w:p w14:paraId="00445587" w14:textId="77777777" w:rsidR="00CC0D2D" w:rsidRPr="003A01DF" w:rsidRDefault="00CC0D2D" w:rsidP="00CC0D2D">
            <w:pPr>
              <w:spacing w:after="0" w:line="240" w:lineRule="auto"/>
              <w:jc w:val="center"/>
              <w:rPr>
                <w:rFonts w:ascii="Times New Roman" w:eastAsia="Times New Roman" w:hAnsi="Times New Roman" w:cs="Times New Roman"/>
                <w:iCs/>
                <w:sz w:val="24"/>
                <w:szCs w:val="24"/>
                <w:lang w:eastAsia="lv-LV"/>
              </w:rPr>
            </w:pPr>
          </w:p>
          <w:p w14:paraId="5891CAF2" w14:textId="77777777" w:rsidR="00CC0D2D" w:rsidRPr="003A01DF" w:rsidRDefault="00CC0D2D" w:rsidP="00CC0D2D">
            <w:pPr>
              <w:spacing w:after="0" w:line="240" w:lineRule="auto"/>
              <w:jc w:val="center"/>
              <w:rPr>
                <w:rFonts w:ascii="Times New Roman" w:eastAsia="Times New Roman" w:hAnsi="Times New Roman" w:cs="Times New Roman"/>
                <w:iCs/>
                <w:sz w:val="24"/>
                <w:szCs w:val="24"/>
                <w:lang w:eastAsia="lv-LV"/>
              </w:rPr>
            </w:pPr>
          </w:p>
          <w:p w14:paraId="6C239AE0" w14:textId="77777777" w:rsidR="00E5323B" w:rsidRPr="003A01DF" w:rsidRDefault="00CC0D2D" w:rsidP="00CC0D2D">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X</w:t>
            </w:r>
          </w:p>
        </w:tc>
        <w:tc>
          <w:tcPr>
            <w:tcW w:w="540" w:type="pct"/>
            <w:tcBorders>
              <w:top w:val="outset" w:sz="6" w:space="0" w:color="auto"/>
              <w:left w:val="outset" w:sz="6" w:space="0" w:color="auto"/>
              <w:bottom w:val="outset" w:sz="6" w:space="0" w:color="auto"/>
              <w:right w:val="outset" w:sz="6" w:space="0" w:color="auto"/>
            </w:tcBorders>
            <w:vAlign w:val="center"/>
            <w:hideMark/>
          </w:tcPr>
          <w:p w14:paraId="58F6DA85" w14:textId="77777777" w:rsidR="00DD2034"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lastRenderedPageBreak/>
              <w:t>Nav</w:t>
            </w:r>
          </w:p>
          <w:p w14:paraId="2CF9805B" w14:textId="112A0074" w:rsidR="00E5323B"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441" w:type="pct"/>
            <w:vMerge w:val="restart"/>
            <w:tcBorders>
              <w:top w:val="outset" w:sz="6" w:space="0" w:color="auto"/>
              <w:left w:val="outset" w:sz="6" w:space="0" w:color="auto"/>
              <w:bottom w:val="outset" w:sz="6" w:space="0" w:color="auto"/>
              <w:right w:val="outset" w:sz="6" w:space="0" w:color="auto"/>
            </w:tcBorders>
            <w:vAlign w:val="center"/>
            <w:hideMark/>
          </w:tcPr>
          <w:p w14:paraId="7ABDFBFF" w14:textId="77777777" w:rsidR="00CC0D2D" w:rsidRPr="003A01DF" w:rsidRDefault="00CC0D2D" w:rsidP="00CC0D2D">
            <w:pPr>
              <w:spacing w:after="0" w:line="240" w:lineRule="auto"/>
              <w:jc w:val="center"/>
              <w:rPr>
                <w:rFonts w:ascii="Times New Roman" w:eastAsia="Times New Roman" w:hAnsi="Times New Roman" w:cs="Times New Roman"/>
                <w:iCs/>
                <w:sz w:val="24"/>
                <w:szCs w:val="24"/>
                <w:lang w:eastAsia="lv-LV"/>
              </w:rPr>
            </w:pPr>
          </w:p>
          <w:p w14:paraId="657956C7" w14:textId="77777777" w:rsidR="00CC0D2D" w:rsidRPr="003A01DF" w:rsidRDefault="00CC0D2D" w:rsidP="00CC0D2D">
            <w:pPr>
              <w:spacing w:after="0" w:line="240" w:lineRule="auto"/>
              <w:jc w:val="center"/>
              <w:rPr>
                <w:rFonts w:ascii="Times New Roman" w:eastAsia="Times New Roman" w:hAnsi="Times New Roman" w:cs="Times New Roman"/>
                <w:iCs/>
                <w:sz w:val="24"/>
                <w:szCs w:val="24"/>
                <w:lang w:eastAsia="lv-LV"/>
              </w:rPr>
            </w:pPr>
          </w:p>
          <w:p w14:paraId="7B02F4EB" w14:textId="77777777" w:rsidR="00CC0D2D" w:rsidRPr="003A01DF" w:rsidRDefault="00CC0D2D" w:rsidP="00CC0D2D">
            <w:pPr>
              <w:spacing w:after="0" w:line="240" w:lineRule="auto"/>
              <w:jc w:val="center"/>
              <w:rPr>
                <w:rFonts w:ascii="Times New Roman" w:eastAsia="Times New Roman" w:hAnsi="Times New Roman" w:cs="Times New Roman"/>
                <w:iCs/>
                <w:sz w:val="24"/>
                <w:szCs w:val="24"/>
                <w:lang w:eastAsia="lv-LV"/>
              </w:rPr>
            </w:pPr>
          </w:p>
          <w:p w14:paraId="3B7AD967" w14:textId="77777777" w:rsidR="00CC0D2D" w:rsidRPr="003A01DF" w:rsidRDefault="00CC0D2D" w:rsidP="00CC0D2D">
            <w:pPr>
              <w:spacing w:after="0" w:line="240" w:lineRule="auto"/>
              <w:jc w:val="center"/>
              <w:rPr>
                <w:rFonts w:ascii="Times New Roman" w:eastAsia="Times New Roman" w:hAnsi="Times New Roman" w:cs="Times New Roman"/>
                <w:iCs/>
                <w:sz w:val="24"/>
                <w:szCs w:val="24"/>
                <w:lang w:eastAsia="lv-LV"/>
              </w:rPr>
            </w:pPr>
          </w:p>
          <w:p w14:paraId="72F30BF9" w14:textId="77777777" w:rsidR="00CC0D2D" w:rsidRPr="003A01DF" w:rsidRDefault="00CC0D2D" w:rsidP="00CC0D2D">
            <w:pPr>
              <w:spacing w:after="0" w:line="240" w:lineRule="auto"/>
              <w:jc w:val="center"/>
              <w:rPr>
                <w:rFonts w:ascii="Times New Roman" w:eastAsia="Times New Roman" w:hAnsi="Times New Roman" w:cs="Times New Roman"/>
                <w:iCs/>
                <w:sz w:val="24"/>
                <w:szCs w:val="24"/>
                <w:lang w:eastAsia="lv-LV"/>
              </w:rPr>
            </w:pPr>
          </w:p>
          <w:p w14:paraId="711F3B34" w14:textId="77777777" w:rsidR="00E5323B" w:rsidRPr="003A01DF" w:rsidRDefault="00CC0D2D" w:rsidP="00CC0D2D">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X</w:t>
            </w:r>
          </w:p>
        </w:tc>
        <w:tc>
          <w:tcPr>
            <w:tcW w:w="540" w:type="pct"/>
            <w:tcBorders>
              <w:top w:val="outset" w:sz="6" w:space="0" w:color="auto"/>
              <w:left w:val="outset" w:sz="6" w:space="0" w:color="auto"/>
              <w:bottom w:val="outset" w:sz="6" w:space="0" w:color="auto"/>
              <w:right w:val="outset" w:sz="6" w:space="0" w:color="auto"/>
            </w:tcBorders>
            <w:vAlign w:val="center"/>
            <w:hideMark/>
          </w:tcPr>
          <w:p w14:paraId="04EE22FE"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lastRenderedPageBreak/>
              <w:t> </w:t>
            </w:r>
            <w:r w:rsidR="00DD2034" w:rsidRPr="003A01DF">
              <w:rPr>
                <w:rFonts w:ascii="Times New Roman" w:eastAsia="Times New Roman" w:hAnsi="Times New Roman" w:cs="Times New Roman"/>
                <w:iCs/>
                <w:sz w:val="24"/>
                <w:szCs w:val="24"/>
                <w:lang w:eastAsia="lv-LV"/>
              </w:rPr>
              <w:t>Nav</w:t>
            </w:r>
          </w:p>
          <w:p w14:paraId="562F1B85" w14:textId="3EC10CF7"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14:paraId="1DA211B7" w14:textId="510E7DF5" w:rsidR="00DD2034"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p w14:paraId="683FB13A" w14:textId="6D8E6D9F" w:rsidR="00E5323B"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r>
      <w:tr w:rsidR="0001268A" w:rsidRPr="003A01DF" w14:paraId="67CFED60" w14:textId="77777777" w:rsidTr="00DD2034">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14:paraId="18EAB53C"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lastRenderedPageBreak/>
              <w:t>5.1. valsts pamatbudžets</w:t>
            </w:r>
          </w:p>
        </w:tc>
        <w:tc>
          <w:tcPr>
            <w:tcW w:w="616" w:type="pct"/>
            <w:vMerge/>
            <w:tcBorders>
              <w:top w:val="outset" w:sz="6" w:space="0" w:color="auto"/>
              <w:left w:val="outset" w:sz="6" w:space="0" w:color="auto"/>
              <w:bottom w:val="outset" w:sz="6" w:space="0" w:color="auto"/>
              <w:right w:val="outset" w:sz="6" w:space="0" w:color="auto"/>
            </w:tcBorders>
            <w:vAlign w:val="center"/>
            <w:hideMark/>
          </w:tcPr>
          <w:p w14:paraId="7F377604"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c>
        <w:tc>
          <w:tcPr>
            <w:tcW w:w="681" w:type="pct"/>
            <w:tcBorders>
              <w:top w:val="outset" w:sz="6" w:space="0" w:color="auto"/>
              <w:left w:val="outset" w:sz="6" w:space="0" w:color="auto"/>
              <w:bottom w:val="outset" w:sz="6" w:space="0" w:color="auto"/>
              <w:right w:val="outset" w:sz="6" w:space="0" w:color="auto"/>
            </w:tcBorders>
            <w:vAlign w:val="center"/>
            <w:hideMark/>
          </w:tcPr>
          <w:p w14:paraId="63F451B3" w14:textId="77777777" w:rsidR="00DD2034"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p w14:paraId="0DB772A3" w14:textId="2EEF1C44" w:rsidR="00E5323B"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B5A25E"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14:paraId="16F979AD"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4022D11B" w14:textId="7BBD9792"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BCD44D"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14:paraId="2A5DA3F0" w14:textId="77777777" w:rsidR="00DD2034" w:rsidRPr="003A01DF" w:rsidRDefault="00E5323B"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r w:rsidR="00DD2034" w:rsidRPr="003A01DF">
              <w:rPr>
                <w:rFonts w:ascii="Times New Roman" w:eastAsia="Times New Roman" w:hAnsi="Times New Roman" w:cs="Times New Roman"/>
                <w:iCs/>
                <w:sz w:val="24"/>
                <w:szCs w:val="24"/>
                <w:lang w:eastAsia="lv-LV"/>
              </w:rPr>
              <w:t>Nav</w:t>
            </w:r>
          </w:p>
          <w:p w14:paraId="71293921" w14:textId="6566EDE0" w:rsidR="00E5323B" w:rsidRPr="003A01DF" w:rsidRDefault="00DD2034" w:rsidP="00DD2034">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14:paraId="79FF9569" w14:textId="57344812" w:rsidR="00DD2034"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p w14:paraId="558198CE" w14:textId="5D13E06B" w:rsidR="00E5323B" w:rsidRPr="003A01DF" w:rsidRDefault="00DD2034" w:rsidP="00DD2034">
            <w:pPr>
              <w:spacing w:after="0" w:line="240" w:lineRule="auto"/>
              <w:jc w:val="center"/>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iespējams aprēķināt</w:t>
            </w:r>
          </w:p>
        </w:tc>
      </w:tr>
      <w:tr w:rsidR="0001268A" w:rsidRPr="003A01DF" w14:paraId="09F577BC" w14:textId="77777777" w:rsidTr="00DD2034">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14:paraId="2ED27436"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5.2. speciālais budžets</w:t>
            </w:r>
          </w:p>
        </w:tc>
        <w:tc>
          <w:tcPr>
            <w:tcW w:w="616" w:type="pct"/>
            <w:vMerge/>
            <w:tcBorders>
              <w:top w:val="outset" w:sz="6" w:space="0" w:color="auto"/>
              <w:left w:val="outset" w:sz="6" w:space="0" w:color="auto"/>
              <w:bottom w:val="outset" w:sz="6" w:space="0" w:color="auto"/>
              <w:right w:val="outset" w:sz="6" w:space="0" w:color="auto"/>
            </w:tcBorders>
            <w:vAlign w:val="center"/>
            <w:hideMark/>
          </w:tcPr>
          <w:p w14:paraId="5AC10A84"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c>
        <w:tc>
          <w:tcPr>
            <w:tcW w:w="681" w:type="pct"/>
            <w:tcBorders>
              <w:top w:val="outset" w:sz="6" w:space="0" w:color="auto"/>
              <w:left w:val="outset" w:sz="6" w:space="0" w:color="auto"/>
              <w:bottom w:val="outset" w:sz="6" w:space="0" w:color="auto"/>
              <w:right w:val="outset" w:sz="6" w:space="0" w:color="auto"/>
            </w:tcBorders>
            <w:vAlign w:val="center"/>
            <w:hideMark/>
          </w:tcPr>
          <w:p w14:paraId="3ABD4E0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6862B4"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14:paraId="3E9F5148"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FE1259"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14:paraId="2E1295FB"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14:paraId="1A109A20"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r>
      <w:tr w:rsidR="0001268A" w:rsidRPr="003A01DF" w14:paraId="0CB7A01B" w14:textId="77777777" w:rsidTr="00DD2034">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14:paraId="28FF28AC"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5.3. pašvaldību budžets</w:t>
            </w:r>
          </w:p>
        </w:tc>
        <w:tc>
          <w:tcPr>
            <w:tcW w:w="616" w:type="pct"/>
            <w:vMerge/>
            <w:tcBorders>
              <w:top w:val="outset" w:sz="6" w:space="0" w:color="auto"/>
              <w:left w:val="outset" w:sz="6" w:space="0" w:color="auto"/>
              <w:bottom w:val="outset" w:sz="6" w:space="0" w:color="auto"/>
              <w:right w:val="outset" w:sz="6" w:space="0" w:color="auto"/>
            </w:tcBorders>
            <w:vAlign w:val="center"/>
            <w:hideMark/>
          </w:tcPr>
          <w:p w14:paraId="5FC8279C"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c>
        <w:tc>
          <w:tcPr>
            <w:tcW w:w="681" w:type="pct"/>
            <w:tcBorders>
              <w:top w:val="outset" w:sz="6" w:space="0" w:color="auto"/>
              <w:left w:val="outset" w:sz="6" w:space="0" w:color="auto"/>
              <w:bottom w:val="outset" w:sz="6" w:space="0" w:color="auto"/>
              <w:right w:val="outset" w:sz="6" w:space="0" w:color="auto"/>
            </w:tcBorders>
            <w:vAlign w:val="center"/>
            <w:hideMark/>
          </w:tcPr>
          <w:p w14:paraId="1CA47B0E"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118F1E"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14:paraId="55AC533B"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01D679"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14:paraId="148DCA35"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c>
          <w:tcPr>
            <w:tcW w:w="762" w:type="pct"/>
            <w:gridSpan w:val="2"/>
            <w:tcBorders>
              <w:top w:val="outset" w:sz="6" w:space="0" w:color="auto"/>
              <w:left w:val="outset" w:sz="6" w:space="0" w:color="auto"/>
              <w:bottom w:val="outset" w:sz="6" w:space="0" w:color="auto"/>
              <w:right w:val="outset" w:sz="6" w:space="0" w:color="auto"/>
            </w:tcBorders>
            <w:vAlign w:val="center"/>
            <w:hideMark/>
          </w:tcPr>
          <w:p w14:paraId="1E931C76"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r>
      <w:tr w:rsidR="0001268A" w:rsidRPr="003A01DF" w14:paraId="7D260385" w14:textId="77777777" w:rsidTr="00DD2034">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14:paraId="7B85D8FD"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18" w:type="pct"/>
            <w:gridSpan w:val="8"/>
            <w:vMerge w:val="restart"/>
            <w:tcBorders>
              <w:top w:val="outset" w:sz="6" w:space="0" w:color="auto"/>
              <w:left w:val="outset" w:sz="6" w:space="0" w:color="auto"/>
              <w:bottom w:val="outset" w:sz="6" w:space="0" w:color="auto"/>
              <w:right w:val="outset" w:sz="6" w:space="0" w:color="auto"/>
            </w:tcBorders>
            <w:vAlign w:val="center"/>
            <w:hideMark/>
          </w:tcPr>
          <w:p w14:paraId="58E2500E"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w:t>
            </w:r>
          </w:p>
        </w:tc>
      </w:tr>
      <w:tr w:rsidR="0001268A" w:rsidRPr="003A01DF" w14:paraId="19F3B398" w14:textId="77777777" w:rsidTr="00DD2034">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14:paraId="36620EBC"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6.1. detalizēts ieņēmumu aprēķins</w:t>
            </w:r>
          </w:p>
        </w:tc>
        <w:tc>
          <w:tcPr>
            <w:tcW w:w="4118" w:type="pct"/>
            <w:gridSpan w:val="8"/>
            <w:vMerge/>
            <w:tcBorders>
              <w:top w:val="outset" w:sz="6" w:space="0" w:color="auto"/>
              <w:left w:val="outset" w:sz="6" w:space="0" w:color="auto"/>
              <w:bottom w:val="outset" w:sz="6" w:space="0" w:color="auto"/>
              <w:right w:val="outset" w:sz="6" w:space="0" w:color="auto"/>
            </w:tcBorders>
            <w:vAlign w:val="center"/>
            <w:hideMark/>
          </w:tcPr>
          <w:p w14:paraId="6ADC213B"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c>
      </w:tr>
      <w:tr w:rsidR="0001268A" w:rsidRPr="003A01DF" w14:paraId="6A7F6525" w14:textId="77777777" w:rsidTr="00DD2034">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14:paraId="353D9C12"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6.2. detalizēts izdevumu aprēķins</w:t>
            </w:r>
          </w:p>
        </w:tc>
        <w:tc>
          <w:tcPr>
            <w:tcW w:w="4118" w:type="pct"/>
            <w:gridSpan w:val="8"/>
            <w:vMerge/>
            <w:tcBorders>
              <w:top w:val="outset" w:sz="6" w:space="0" w:color="auto"/>
              <w:left w:val="outset" w:sz="6" w:space="0" w:color="auto"/>
              <w:bottom w:val="outset" w:sz="6" w:space="0" w:color="auto"/>
              <w:right w:val="outset" w:sz="6" w:space="0" w:color="auto"/>
            </w:tcBorders>
            <w:vAlign w:val="center"/>
            <w:hideMark/>
          </w:tcPr>
          <w:p w14:paraId="17992DD1"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c>
      </w:tr>
      <w:tr w:rsidR="0001268A" w:rsidRPr="003A01DF" w14:paraId="3823BDDD" w14:textId="77777777" w:rsidTr="00DD2034">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14:paraId="34581B74"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7. Amata vietu skaita izmaiņas</w:t>
            </w:r>
          </w:p>
        </w:tc>
        <w:tc>
          <w:tcPr>
            <w:tcW w:w="4118" w:type="pct"/>
            <w:gridSpan w:val="8"/>
            <w:tcBorders>
              <w:top w:val="outset" w:sz="6" w:space="0" w:color="auto"/>
              <w:left w:val="outset" w:sz="6" w:space="0" w:color="auto"/>
              <w:bottom w:val="outset" w:sz="6" w:space="0" w:color="auto"/>
              <w:right w:val="outset" w:sz="6" w:space="0" w:color="auto"/>
            </w:tcBorders>
            <w:hideMark/>
          </w:tcPr>
          <w:p w14:paraId="3321F0E8" w14:textId="21311726" w:rsidR="00E5323B" w:rsidRPr="003A01DF" w:rsidRDefault="00E5323B" w:rsidP="001177DA">
            <w:pPr>
              <w:spacing w:after="0" w:line="240" w:lineRule="auto"/>
              <w:ind w:firstLine="527"/>
              <w:rPr>
                <w:rFonts w:ascii="Times New Roman" w:eastAsia="Times New Roman" w:hAnsi="Times New Roman" w:cs="Times New Roman"/>
                <w:iCs/>
                <w:sz w:val="24"/>
                <w:szCs w:val="24"/>
                <w:lang w:eastAsia="lv-LV"/>
              </w:rPr>
            </w:pPr>
          </w:p>
        </w:tc>
      </w:tr>
      <w:tr w:rsidR="0001268A" w:rsidRPr="003A01DF" w14:paraId="73C57E34" w14:textId="77777777" w:rsidTr="00DD2034">
        <w:trPr>
          <w:tblCellSpacing w:w="15" w:type="dxa"/>
        </w:trPr>
        <w:tc>
          <w:tcPr>
            <w:tcW w:w="835" w:type="pct"/>
            <w:tcBorders>
              <w:top w:val="outset" w:sz="6" w:space="0" w:color="auto"/>
              <w:left w:val="outset" w:sz="6" w:space="0" w:color="auto"/>
              <w:bottom w:val="outset" w:sz="6" w:space="0" w:color="auto"/>
              <w:right w:val="outset" w:sz="6" w:space="0" w:color="auto"/>
            </w:tcBorders>
            <w:hideMark/>
          </w:tcPr>
          <w:p w14:paraId="4E3788F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8. Cita informācija</w:t>
            </w:r>
          </w:p>
        </w:tc>
        <w:tc>
          <w:tcPr>
            <w:tcW w:w="4118" w:type="pct"/>
            <w:gridSpan w:val="8"/>
            <w:tcBorders>
              <w:top w:val="outset" w:sz="6" w:space="0" w:color="auto"/>
              <w:left w:val="outset" w:sz="6" w:space="0" w:color="auto"/>
              <w:bottom w:val="outset" w:sz="6" w:space="0" w:color="auto"/>
              <w:right w:val="outset" w:sz="6" w:space="0" w:color="auto"/>
            </w:tcBorders>
            <w:hideMark/>
          </w:tcPr>
          <w:p w14:paraId="55192123" w14:textId="7E821ED5" w:rsidR="00EA37C1" w:rsidRPr="003A01DF" w:rsidRDefault="003916FB" w:rsidP="00EA37C1">
            <w:pPr>
              <w:spacing w:after="0" w:line="240" w:lineRule="auto"/>
              <w:ind w:firstLine="435"/>
              <w:jc w:val="both"/>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Aizsardzības ministrija</w:t>
            </w:r>
            <w:r w:rsidR="00EA37C1" w:rsidRPr="003A01DF">
              <w:rPr>
                <w:rFonts w:ascii="Times New Roman" w:eastAsia="Times New Roman" w:hAnsi="Times New Roman" w:cs="Times New Roman"/>
                <w:iCs/>
                <w:sz w:val="24"/>
                <w:szCs w:val="24"/>
                <w:lang w:eastAsia="lv-LV"/>
              </w:rPr>
              <w:t xml:space="preserve"> no budžeta </w:t>
            </w:r>
            <w:r w:rsidR="007B3532" w:rsidRPr="003A01DF">
              <w:rPr>
                <w:rFonts w:ascii="Times New Roman" w:eastAsia="Times New Roman" w:hAnsi="Times New Roman" w:cs="Times New Roman"/>
                <w:iCs/>
                <w:sz w:val="24"/>
                <w:szCs w:val="24"/>
                <w:lang w:eastAsia="lv-LV"/>
              </w:rPr>
              <w:t>apakš</w:t>
            </w:r>
            <w:r w:rsidR="00EA37C1" w:rsidRPr="003A01DF">
              <w:rPr>
                <w:rFonts w:ascii="Times New Roman" w:eastAsia="Times New Roman" w:hAnsi="Times New Roman" w:cs="Times New Roman"/>
                <w:iCs/>
                <w:sz w:val="24"/>
                <w:szCs w:val="24"/>
                <w:lang w:eastAsia="lv-LV"/>
              </w:rPr>
              <w:t>programmas 22.12.00. “Nacionālo bruņoto spēku uzturēšana”</w:t>
            </w:r>
            <w:r w:rsidRPr="003A01DF">
              <w:rPr>
                <w:rFonts w:ascii="Times New Roman" w:eastAsia="Times New Roman" w:hAnsi="Times New Roman" w:cs="Times New Roman"/>
                <w:iCs/>
                <w:sz w:val="24"/>
                <w:szCs w:val="24"/>
                <w:lang w:eastAsia="lv-LV"/>
              </w:rPr>
              <w:t xml:space="preserve"> atlīdzinās</w:t>
            </w:r>
            <w:r w:rsidR="00EA37C1" w:rsidRPr="003A01DF">
              <w:rPr>
                <w:rFonts w:ascii="Times New Roman" w:eastAsia="Times New Roman" w:hAnsi="Times New Roman" w:cs="Times New Roman"/>
                <w:iCs/>
                <w:sz w:val="24"/>
                <w:szCs w:val="24"/>
                <w:lang w:eastAsia="lv-LV"/>
              </w:rPr>
              <w:t>:</w:t>
            </w:r>
          </w:p>
          <w:p w14:paraId="2C229CC0" w14:textId="71CAF936" w:rsidR="00C87670" w:rsidRPr="003A01DF" w:rsidRDefault="00C87670" w:rsidP="00373F46">
            <w:pPr>
              <w:pStyle w:val="ListParagraph"/>
              <w:numPr>
                <w:ilvl w:val="0"/>
                <w:numId w:val="1"/>
              </w:numPr>
              <w:spacing w:after="0" w:line="240" w:lineRule="auto"/>
              <w:ind w:left="9" w:firstLine="426"/>
              <w:jc w:val="both"/>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zaudējumus, kas radīsies Latvijas Nacionālo bruņoto spēku speciālās militārās tehnikas  izraisītā negadījum</w:t>
            </w:r>
            <w:r w:rsidR="00373F46" w:rsidRPr="003A01DF">
              <w:rPr>
                <w:rFonts w:ascii="Times New Roman" w:eastAsia="Times New Roman" w:hAnsi="Times New Roman" w:cs="Times New Roman"/>
                <w:iCs/>
                <w:sz w:val="24"/>
                <w:szCs w:val="24"/>
                <w:lang w:eastAsia="lv-LV"/>
              </w:rPr>
              <w:t>ā, kas noticis Eiropas Ekonomikas zonā un Šveices Konfederācijā</w:t>
            </w:r>
            <w:r w:rsidR="002A0E46" w:rsidRPr="003A01DF">
              <w:rPr>
                <w:rFonts w:ascii="Times New Roman" w:eastAsia="Times New Roman" w:hAnsi="Times New Roman" w:cs="Times New Roman"/>
                <w:iCs/>
                <w:sz w:val="24"/>
                <w:szCs w:val="24"/>
                <w:lang w:eastAsia="lv-LV"/>
              </w:rPr>
              <w:t>;</w:t>
            </w:r>
            <w:r w:rsidR="00373F46" w:rsidRPr="003A01DF">
              <w:rPr>
                <w:rFonts w:ascii="Times New Roman" w:eastAsia="Times New Roman" w:hAnsi="Times New Roman" w:cs="Times New Roman"/>
                <w:iCs/>
                <w:sz w:val="24"/>
                <w:szCs w:val="24"/>
                <w:lang w:eastAsia="lv-LV"/>
              </w:rPr>
              <w:t xml:space="preserve"> </w:t>
            </w:r>
            <w:r w:rsidRPr="003A01DF">
              <w:rPr>
                <w:rFonts w:ascii="Times New Roman" w:eastAsia="Times New Roman" w:hAnsi="Times New Roman" w:cs="Times New Roman"/>
                <w:iCs/>
                <w:sz w:val="24"/>
                <w:szCs w:val="24"/>
                <w:lang w:eastAsia="lv-LV"/>
              </w:rPr>
              <w:t xml:space="preserve"> </w:t>
            </w:r>
          </w:p>
          <w:p w14:paraId="37F1C509" w14:textId="1CD62068" w:rsidR="00C87670" w:rsidRPr="003A01DF" w:rsidRDefault="0056267B" w:rsidP="0001268A">
            <w:pPr>
              <w:pStyle w:val="ListParagraph"/>
              <w:numPr>
                <w:ilvl w:val="0"/>
                <w:numId w:val="1"/>
              </w:numPr>
              <w:spacing w:after="0" w:line="240" w:lineRule="auto"/>
              <w:ind w:left="9" w:firstLine="426"/>
              <w:jc w:val="both"/>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LTAB Likuma 51. panta trešās daļas 1. punktā noteiktos izdevumus;</w:t>
            </w:r>
          </w:p>
          <w:p w14:paraId="5DA5E98E" w14:textId="12C77C57" w:rsidR="0056267B" w:rsidRPr="003A01DF" w:rsidRDefault="0056267B" w:rsidP="0001268A">
            <w:pPr>
              <w:pStyle w:val="ListParagraph"/>
              <w:numPr>
                <w:ilvl w:val="0"/>
                <w:numId w:val="1"/>
              </w:numPr>
              <w:spacing w:after="0" w:line="240" w:lineRule="auto"/>
              <w:ind w:left="9" w:firstLine="426"/>
              <w:jc w:val="both"/>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noteikto kavējumu gadījumā 12 procentus gadā no neizmaksājamās summas.</w:t>
            </w:r>
          </w:p>
          <w:p w14:paraId="486A1EE3" w14:textId="77777777" w:rsidR="00C87670" w:rsidRPr="003A01DF" w:rsidRDefault="00C87670" w:rsidP="0001268A">
            <w:pPr>
              <w:pStyle w:val="ListParagraph"/>
              <w:rPr>
                <w:rFonts w:ascii="Times New Roman" w:eastAsia="Times New Roman" w:hAnsi="Times New Roman" w:cs="Times New Roman"/>
                <w:iCs/>
                <w:sz w:val="24"/>
                <w:szCs w:val="24"/>
                <w:lang w:eastAsia="lv-LV"/>
              </w:rPr>
            </w:pPr>
          </w:p>
          <w:p w14:paraId="438F83F1" w14:textId="73B46EC2" w:rsidR="00EA37C1" w:rsidRPr="003A01DF" w:rsidRDefault="006F429F" w:rsidP="0001268A">
            <w:pPr>
              <w:pStyle w:val="ListParagraph"/>
              <w:ind w:left="3" w:firstLine="709"/>
              <w:jc w:val="both"/>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xml:space="preserve">Līdzekļi šādu atlīdzinājumu izmaksai </w:t>
            </w:r>
            <w:r w:rsidR="00645084" w:rsidRPr="003A01DF">
              <w:rPr>
                <w:rFonts w:ascii="Times New Roman" w:eastAsia="Times New Roman" w:hAnsi="Times New Roman" w:cs="Times New Roman"/>
                <w:iCs/>
                <w:sz w:val="24"/>
                <w:szCs w:val="24"/>
                <w:lang w:eastAsia="lv-LV"/>
              </w:rPr>
              <w:t xml:space="preserve">Aizsardzības ministrijas budžetā </w:t>
            </w:r>
            <w:r w:rsidRPr="003A01DF">
              <w:rPr>
                <w:rFonts w:ascii="Times New Roman" w:eastAsia="Times New Roman" w:hAnsi="Times New Roman" w:cs="Times New Roman"/>
                <w:iCs/>
                <w:sz w:val="24"/>
                <w:szCs w:val="24"/>
                <w:lang w:eastAsia="lv-LV"/>
              </w:rPr>
              <w:t>nav plānoti, jo speciālās militārās tehnikas izraisīto negadījumu rezultātā nodarīto</w:t>
            </w:r>
            <w:r w:rsidR="002247A8" w:rsidRPr="003A01DF">
              <w:rPr>
                <w:rFonts w:ascii="Times New Roman" w:eastAsia="Times New Roman" w:hAnsi="Times New Roman" w:cs="Times New Roman"/>
                <w:iCs/>
                <w:sz w:val="24"/>
                <w:szCs w:val="24"/>
                <w:lang w:eastAsia="lv-LV"/>
              </w:rPr>
              <w:t xml:space="preserve"> </w:t>
            </w:r>
            <w:r w:rsidRPr="003A01DF">
              <w:rPr>
                <w:rFonts w:ascii="Times New Roman" w:eastAsia="Times New Roman" w:hAnsi="Times New Roman" w:cs="Times New Roman"/>
                <w:iCs/>
                <w:sz w:val="24"/>
                <w:szCs w:val="24"/>
                <w:lang w:eastAsia="lv-LV"/>
              </w:rPr>
              <w:t xml:space="preserve">zaudējumu apmērs iepriekš nav paredzams. </w:t>
            </w:r>
            <w:r w:rsidR="002C099B" w:rsidRPr="003A01DF">
              <w:rPr>
                <w:rFonts w:ascii="Times New Roman" w:eastAsia="Times New Roman" w:hAnsi="Times New Roman" w:cs="Times New Roman"/>
                <w:iCs/>
                <w:sz w:val="24"/>
                <w:szCs w:val="24"/>
                <w:lang w:eastAsia="lv-LV"/>
              </w:rPr>
              <w:t xml:space="preserve">Lai nodrošinātu </w:t>
            </w:r>
            <w:r w:rsidR="0056267B" w:rsidRPr="003A01DF">
              <w:rPr>
                <w:rFonts w:ascii="Times New Roman" w:eastAsia="Times New Roman" w:hAnsi="Times New Roman" w:cs="Times New Roman"/>
                <w:iCs/>
                <w:sz w:val="24"/>
                <w:szCs w:val="24"/>
                <w:lang w:eastAsia="lv-LV"/>
              </w:rPr>
              <w:t>maksājumu veikšanu</w:t>
            </w:r>
            <w:r w:rsidR="002C099B" w:rsidRPr="003A01DF">
              <w:rPr>
                <w:rFonts w:ascii="Times New Roman" w:eastAsia="Times New Roman" w:hAnsi="Times New Roman" w:cs="Times New Roman"/>
                <w:iCs/>
                <w:sz w:val="24"/>
                <w:szCs w:val="24"/>
                <w:lang w:eastAsia="lv-LV"/>
              </w:rPr>
              <w:t>, Aizsardzības ministrija, pārskatot kārtējā gadā plānoto budžeta līdzekļu apguvi, veiks nepieciešamo līdzekļu pārdali tai piešķirtās apropriācijas ietvaros</w:t>
            </w:r>
            <w:r w:rsidR="00DD2034" w:rsidRPr="003A01DF">
              <w:rPr>
                <w:rFonts w:ascii="Times New Roman" w:eastAsia="Times New Roman" w:hAnsi="Times New Roman" w:cs="Times New Roman"/>
                <w:iCs/>
                <w:sz w:val="24"/>
                <w:szCs w:val="24"/>
                <w:lang w:eastAsia="lv-LV"/>
              </w:rPr>
              <w:t xml:space="preserve">, </w:t>
            </w:r>
            <w:r w:rsidR="00D83CD7" w:rsidRPr="003A01DF">
              <w:rPr>
                <w:rFonts w:ascii="Times New Roman" w:eastAsia="Times New Roman" w:hAnsi="Times New Roman" w:cs="Times New Roman"/>
                <w:iCs/>
                <w:sz w:val="24"/>
                <w:szCs w:val="24"/>
                <w:lang w:eastAsia="lv-LV"/>
              </w:rPr>
              <w:t xml:space="preserve">izņemot gadījumus, kas iestājušies Ministru kabineta </w:t>
            </w:r>
            <w:r w:rsidR="00067FC2" w:rsidRPr="003A01DF">
              <w:rPr>
                <w:rFonts w:ascii="Times New Roman" w:eastAsia="Times New Roman" w:hAnsi="Times New Roman" w:cs="Times New Roman"/>
                <w:iCs/>
                <w:sz w:val="24"/>
                <w:szCs w:val="24"/>
                <w:lang w:eastAsia="lv-LV"/>
              </w:rPr>
              <w:t>iz</w:t>
            </w:r>
            <w:r w:rsidR="00D83CD7" w:rsidRPr="003A01DF">
              <w:rPr>
                <w:rFonts w:ascii="Times New Roman" w:eastAsia="Times New Roman" w:hAnsi="Times New Roman" w:cs="Times New Roman"/>
                <w:iCs/>
                <w:sz w:val="24"/>
                <w:szCs w:val="24"/>
                <w:lang w:eastAsia="lv-LV"/>
              </w:rPr>
              <w:t>sludinātās ārkārt</w:t>
            </w:r>
            <w:r w:rsidR="00067FC2" w:rsidRPr="003A01DF">
              <w:rPr>
                <w:rFonts w:ascii="Times New Roman" w:eastAsia="Times New Roman" w:hAnsi="Times New Roman" w:cs="Times New Roman"/>
                <w:iCs/>
                <w:sz w:val="24"/>
                <w:szCs w:val="24"/>
                <w:lang w:eastAsia="lv-LV"/>
              </w:rPr>
              <w:t>ējās</w:t>
            </w:r>
            <w:r w:rsidR="00D83CD7" w:rsidRPr="003A01DF">
              <w:rPr>
                <w:rFonts w:ascii="Times New Roman" w:eastAsia="Times New Roman" w:hAnsi="Times New Roman" w:cs="Times New Roman"/>
                <w:iCs/>
                <w:sz w:val="24"/>
                <w:szCs w:val="24"/>
                <w:lang w:eastAsia="lv-LV"/>
              </w:rPr>
              <w:t xml:space="preserve"> situācijas </w:t>
            </w:r>
            <w:r w:rsidR="00067FC2" w:rsidRPr="003A01DF">
              <w:rPr>
                <w:rFonts w:ascii="Times New Roman" w:eastAsia="Times New Roman" w:hAnsi="Times New Roman" w:cs="Times New Roman"/>
                <w:iCs/>
                <w:sz w:val="24"/>
                <w:szCs w:val="24"/>
                <w:lang w:eastAsia="lv-LV"/>
              </w:rPr>
              <w:t xml:space="preserve">vai izņēmuma stāvokļa </w:t>
            </w:r>
            <w:r w:rsidR="00D83CD7" w:rsidRPr="003A01DF">
              <w:rPr>
                <w:rFonts w:ascii="Times New Roman" w:eastAsia="Times New Roman" w:hAnsi="Times New Roman" w:cs="Times New Roman"/>
                <w:iCs/>
                <w:sz w:val="24"/>
                <w:szCs w:val="24"/>
                <w:lang w:eastAsia="lv-LV"/>
              </w:rPr>
              <w:t xml:space="preserve">laikā. </w:t>
            </w:r>
          </w:p>
        </w:tc>
      </w:tr>
      <w:tr w:rsidR="0001268A" w:rsidRPr="003A01DF" w14:paraId="3B43D528" w14:textId="77777777" w:rsidTr="00DD2034">
        <w:tblPrEx>
          <w:tblCellSpacing w:w="0" w:type="nil"/>
          <w:tblBorders>
            <w:top w:val="outset" w:sz="6" w:space="0" w:color="414142"/>
            <w:left w:val="outset" w:sz="6" w:space="0" w:color="414142"/>
            <w:bottom w:val="outset" w:sz="6" w:space="0" w:color="414142"/>
            <w:right w:val="outset" w:sz="6" w:space="0" w:color="414142"/>
          </w:tblBorders>
        </w:tblPrEx>
        <w:trPr>
          <w:gridAfter w:val="1"/>
          <w:wAfter w:w="19" w:type="pct"/>
          <w:trHeight w:val="345"/>
        </w:trPr>
        <w:tc>
          <w:tcPr>
            <w:tcW w:w="4934" w:type="pct"/>
            <w:gridSpan w:val="8"/>
            <w:tcBorders>
              <w:top w:val="outset" w:sz="6" w:space="0" w:color="414142"/>
              <w:left w:val="nil"/>
              <w:bottom w:val="single" w:sz="6" w:space="0" w:color="auto"/>
              <w:right w:val="nil"/>
            </w:tcBorders>
          </w:tcPr>
          <w:p w14:paraId="7A877FEE" w14:textId="17987BBC" w:rsidR="00F25AE9" w:rsidRPr="003A01DF" w:rsidRDefault="003916FB" w:rsidP="003916FB">
            <w:pPr>
              <w:spacing w:after="0" w:line="240" w:lineRule="auto"/>
              <w:rPr>
                <w:rFonts w:ascii="Times New Roman" w:eastAsia="Times New Roman" w:hAnsi="Times New Roman" w:cs="Times New Roman"/>
                <w:sz w:val="24"/>
                <w:szCs w:val="24"/>
                <w:lang w:eastAsia="lv-LV"/>
              </w:rPr>
            </w:pPr>
            <w:r w:rsidRPr="003A01DF">
              <w:rPr>
                <w:rFonts w:ascii="Times New Roman" w:eastAsia="Times New Roman" w:hAnsi="Times New Roman" w:cs="Times New Roman"/>
                <w:iCs/>
                <w:sz w:val="24"/>
                <w:szCs w:val="24"/>
                <w:lang w:eastAsia="lv-LV"/>
              </w:rPr>
              <w:t xml:space="preserve"> </w:t>
            </w:r>
          </w:p>
        </w:tc>
      </w:tr>
      <w:tr w:rsidR="0001268A" w:rsidRPr="003A01DF" w14:paraId="4441C64A" w14:textId="77777777" w:rsidTr="00DD2034">
        <w:tblPrEx>
          <w:tblCellSpacing w:w="0" w:type="nil"/>
          <w:tblBorders>
            <w:top w:val="outset" w:sz="6" w:space="0" w:color="414142"/>
            <w:left w:val="outset" w:sz="6" w:space="0" w:color="414142"/>
            <w:bottom w:val="outset" w:sz="6" w:space="0" w:color="414142"/>
            <w:right w:val="outset" w:sz="6" w:space="0" w:color="414142"/>
          </w:tblBorders>
        </w:tblPrEx>
        <w:trPr>
          <w:gridAfter w:val="1"/>
          <w:wAfter w:w="19" w:type="pct"/>
          <w:trHeight w:val="360"/>
        </w:trPr>
        <w:tc>
          <w:tcPr>
            <w:tcW w:w="4934" w:type="pct"/>
            <w:gridSpan w:val="8"/>
            <w:tcBorders>
              <w:top w:val="nil"/>
              <w:left w:val="outset" w:sz="6" w:space="0" w:color="414142"/>
              <w:bottom w:val="outset" w:sz="6" w:space="0" w:color="414142"/>
              <w:right w:val="outset" w:sz="6" w:space="0" w:color="414142"/>
            </w:tcBorders>
            <w:vAlign w:val="center"/>
            <w:hideMark/>
          </w:tcPr>
          <w:p w14:paraId="34553793" w14:textId="77777777" w:rsidR="00F25AE9" w:rsidRPr="003A01DF" w:rsidRDefault="00F25AE9" w:rsidP="00275442">
            <w:pPr>
              <w:spacing w:after="0" w:line="240" w:lineRule="auto"/>
              <w:ind w:firstLine="300"/>
              <w:jc w:val="center"/>
              <w:rPr>
                <w:rFonts w:ascii="Times New Roman" w:eastAsia="Times New Roman" w:hAnsi="Times New Roman" w:cs="Times New Roman"/>
                <w:b/>
                <w:bCs/>
                <w:sz w:val="24"/>
                <w:szCs w:val="24"/>
                <w:lang w:eastAsia="lv-LV"/>
              </w:rPr>
            </w:pPr>
            <w:r w:rsidRPr="003A01DF">
              <w:rPr>
                <w:rFonts w:ascii="Times New Roman" w:eastAsia="Times New Roman" w:hAnsi="Times New Roman" w:cs="Times New Roman"/>
                <w:b/>
                <w:bCs/>
                <w:iCs/>
                <w:sz w:val="24"/>
                <w:szCs w:val="24"/>
                <w:lang w:eastAsia="lv-LV"/>
              </w:rPr>
              <w:t>IV. Tiesību akta projekta ietekme uz spēkā esošo tiesību normu sistēmu</w:t>
            </w:r>
          </w:p>
        </w:tc>
      </w:tr>
      <w:tr w:rsidR="00F25AE9" w:rsidRPr="003A01DF" w14:paraId="5ECF0D96" w14:textId="77777777" w:rsidTr="00DD2034">
        <w:tblPrEx>
          <w:tblCellSpacing w:w="0" w:type="nil"/>
          <w:tblBorders>
            <w:top w:val="outset" w:sz="6" w:space="0" w:color="414142"/>
            <w:left w:val="outset" w:sz="6" w:space="0" w:color="414142"/>
            <w:bottom w:val="outset" w:sz="6" w:space="0" w:color="414142"/>
            <w:right w:val="outset" w:sz="6" w:space="0" w:color="414142"/>
          </w:tblBorders>
        </w:tblPrEx>
        <w:trPr>
          <w:gridAfter w:val="1"/>
          <w:wAfter w:w="19" w:type="pct"/>
          <w:trHeight w:val="334"/>
        </w:trPr>
        <w:tc>
          <w:tcPr>
            <w:tcW w:w="4934" w:type="pct"/>
            <w:gridSpan w:val="8"/>
            <w:tcBorders>
              <w:top w:val="outset" w:sz="6" w:space="0" w:color="414142"/>
              <w:left w:val="outset" w:sz="6" w:space="0" w:color="414142"/>
              <w:right w:val="outset" w:sz="6" w:space="0" w:color="414142"/>
            </w:tcBorders>
            <w:vAlign w:val="center"/>
          </w:tcPr>
          <w:p w14:paraId="2A60CE17" w14:textId="77777777" w:rsidR="00F25AE9" w:rsidRPr="003A01DF" w:rsidRDefault="00F25AE9" w:rsidP="00275442">
            <w:pPr>
              <w:spacing w:after="0" w:line="240" w:lineRule="auto"/>
              <w:ind w:firstLine="300"/>
              <w:jc w:val="center"/>
              <w:rPr>
                <w:rFonts w:ascii="Times New Roman" w:eastAsia="Times New Roman" w:hAnsi="Times New Roman" w:cs="Times New Roman"/>
                <w:sz w:val="24"/>
                <w:szCs w:val="24"/>
                <w:lang w:eastAsia="lv-LV"/>
              </w:rPr>
            </w:pPr>
            <w:r w:rsidRPr="003A01DF">
              <w:rPr>
                <w:rFonts w:ascii="Times New Roman" w:eastAsia="Times New Roman" w:hAnsi="Times New Roman" w:cs="Times New Roman"/>
                <w:bCs/>
                <w:sz w:val="24"/>
                <w:szCs w:val="24"/>
                <w:lang w:eastAsia="lv-LV"/>
              </w:rPr>
              <w:lastRenderedPageBreak/>
              <w:t>Projekts šo jomu neskar.</w:t>
            </w:r>
          </w:p>
        </w:tc>
      </w:tr>
    </w:tbl>
    <w:p w14:paraId="48492D66" w14:textId="77777777" w:rsidR="00F25AE9" w:rsidRPr="003A01DF" w:rsidRDefault="00F25AE9" w:rsidP="00E5323B">
      <w:pPr>
        <w:spacing w:after="0" w:line="240" w:lineRule="auto"/>
        <w:rPr>
          <w:rFonts w:ascii="Times New Roman" w:eastAsia="Times New Roman" w:hAnsi="Times New Roman" w:cs="Times New Roman"/>
          <w:iCs/>
          <w:sz w:val="24"/>
          <w:szCs w:val="24"/>
          <w:lang w:eastAsia="lv-LV"/>
        </w:rPr>
      </w:pPr>
    </w:p>
    <w:p w14:paraId="7BCDE62D" w14:textId="6B32C0FD" w:rsidR="00EC69BF" w:rsidRPr="003A01DF" w:rsidRDefault="00E5323B" w:rsidP="007B3532">
      <w:pPr>
        <w:pStyle w:val="naiskr"/>
        <w:tabs>
          <w:tab w:val="left" w:pos="2628"/>
        </w:tabs>
        <w:spacing w:before="0" w:after="0"/>
        <w:rPr>
          <w:iCs/>
        </w:rPr>
      </w:pPr>
      <w:r w:rsidRPr="003A01DF">
        <w:rPr>
          <w:iCs/>
        </w:rPr>
        <w:t xml:space="preserve"> </w:t>
      </w: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2771"/>
        <w:gridCol w:w="6139"/>
      </w:tblGrid>
      <w:tr w:rsidR="0001268A" w:rsidRPr="003A01DF" w14:paraId="1D286CF5" w14:textId="77777777" w:rsidTr="00AC733B">
        <w:trPr>
          <w:jc w:val="center"/>
        </w:trPr>
        <w:tc>
          <w:tcPr>
            <w:tcW w:w="9327" w:type="dxa"/>
            <w:gridSpan w:val="3"/>
          </w:tcPr>
          <w:p w14:paraId="275258E1" w14:textId="77777777" w:rsidR="007B3532" w:rsidRPr="003A01DF" w:rsidRDefault="007B3532" w:rsidP="007B3532">
            <w:pPr>
              <w:pStyle w:val="naisnod"/>
              <w:spacing w:before="0" w:after="0"/>
              <w:jc w:val="both"/>
            </w:pPr>
            <w:r w:rsidRPr="003A01DF">
              <w:t>V. Tiesību akta projekta atbilstība Latvijas Republikas starptautiskajām saistībām</w:t>
            </w:r>
          </w:p>
        </w:tc>
      </w:tr>
      <w:tr w:rsidR="0001268A" w:rsidRPr="003A01DF" w14:paraId="2EEC2CD6" w14:textId="77777777" w:rsidTr="00AC733B">
        <w:trPr>
          <w:trHeight w:val="1544"/>
          <w:jc w:val="center"/>
        </w:trPr>
        <w:tc>
          <w:tcPr>
            <w:tcW w:w="417" w:type="dxa"/>
          </w:tcPr>
          <w:p w14:paraId="32E8B5D7" w14:textId="77777777" w:rsidR="007B3532" w:rsidRPr="003A01DF" w:rsidRDefault="007B3532" w:rsidP="007B3532">
            <w:pPr>
              <w:pStyle w:val="naiskr"/>
              <w:tabs>
                <w:tab w:val="left" w:pos="2628"/>
              </w:tabs>
              <w:spacing w:before="0" w:after="0"/>
              <w:jc w:val="center"/>
              <w:rPr>
                <w:iCs/>
              </w:rPr>
            </w:pPr>
            <w:r w:rsidRPr="003A01DF">
              <w:rPr>
                <w:iCs/>
              </w:rPr>
              <w:t>1.</w:t>
            </w:r>
          </w:p>
        </w:tc>
        <w:tc>
          <w:tcPr>
            <w:tcW w:w="2771" w:type="dxa"/>
          </w:tcPr>
          <w:p w14:paraId="71A2D8FB" w14:textId="77777777" w:rsidR="007B3532" w:rsidRPr="003A01DF" w:rsidRDefault="007B3532" w:rsidP="007B3532">
            <w:pPr>
              <w:pStyle w:val="naiskr"/>
              <w:tabs>
                <w:tab w:val="left" w:pos="2628"/>
              </w:tabs>
              <w:spacing w:before="0" w:after="0"/>
              <w:jc w:val="both"/>
            </w:pPr>
            <w:r w:rsidRPr="003A01DF">
              <w:t>Saistības pret Eiropas Savienību</w:t>
            </w:r>
          </w:p>
          <w:p w14:paraId="4C857BF9" w14:textId="77777777" w:rsidR="000E3403" w:rsidRPr="003A01DF" w:rsidRDefault="000E3403" w:rsidP="007B3532">
            <w:pPr>
              <w:pStyle w:val="naiskr"/>
              <w:tabs>
                <w:tab w:val="left" w:pos="2628"/>
              </w:tabs>
              <w:spacing w:before="0" w:after="0"/>
              <w:jc w:val="both"/>
            </w:pPr>
          </w:p>
          <w:p w14:paraId="2494D3D8" w14:textId="3BF8A2AC" w:rsidR="000E3403" w:rsidRPr="003A01DF" w:rsidRDefault="000E3403" w:rsidP="00385D65">
            <w:pPr>
              <w:pStyle w:val="labojumupamats"/>
              <w:rPr>
                <w:iCs/>
              </w:rPr>
            </w:pPr>
          </w:p>
        </w:tc>
        <w:tc>
          <w:tcPr>
            <w:tcW w:w="6139" w:type="dxa"/>
          </w:tcPr>
          <w:p w14:paraId="21FB0697" w14:textId="6C09ECBA" w:rsidR="00AC733B" w:rsidRPr="003A01DF" w:rsidRDefault="00E255C6" w:rsidP="00AC733B">
            <w:pPr>
              <w:spacing w:after="120"/>
              <w:ind w:firstLine="530"/>
              <w:jc w:val="both"/>
              <w:rPr>
                <w:rFonts w:ascii="Times New Roman" w:hAnsi="Times New Roman" w:cs="Times New Roman"/>
                <w:bCs/>
                <w:sz w:val="24"/>
                <w:szCs w:val="24"/>
              </w:rPr>
            </w:pPr>
            <w:r w:rsidRPr="003A01DF">
              <w:rPr>
                <w:rFonts w:ascii="Times New Roman" w:hAnsi="Times New Roman" w:cs="Times New Roman"/>
                <w:bCs/>
                <w:sz w:val="24"/>
                <w:szCs w:val="24"/>
              </w:rPr>
              <w:t xml:space="preserve">Eiropas Parlamenta un Padomes 2009. gada 16. septembra direktīvas 2009/103/EK </w:t>
            </w:r>
            <w:r w:rsidRPr="003A01DF">
              <w:rPr>
                <w:rFonts w:ascii="Times New Roman" w:hAnsi="Times New Roman" w:cs="Times New Roman"/>
                <w:bCs/>
                <w:i/>
                <w:sz w:val="24"/>
                <w:szCs w:val="24"/>
              </w:rPr>
              <w:t>par civiltiesiskās atbildības apdrošināšanu saistībā ar mehānisko transportlīdzekļu izmantošanu un kontroli saistībā ar pienākumu apdrošināt šādu atbildību</w:t>
            </w:r>
            <w:r w:rsidR="000E3403" w:rsidRPr="003A01DF">
              <w:rPr>
                <w:rFonts w:ascii="Times New Roman" w:hAnsi="Times New Roman" w:cs="Times New Roman"/>
                <w:bCs/>
                <w:i/>
                <w:sz w:val="24"/>
                <w:szCs w:val="24"/>
              </w:rPr>
              <w:t xml:space="preserve"> (</w:t>
            </w:r>
            <w:r w:rsidR="000E3403" w:rsidRPr="003A01DF">
              <w:rPr>
                <w:rFonts w:ascii="Times New Roman" w:hAnsi="Times New Roman" w:cs="Times New Roman"/>
                <w:bCs/>
                <w:sz w:val="24"/>
                <w:szCs w:val="24"/>
              </w:rPr>
              <w:t>Direktīva)</w:t>
            </w:r>
            <w:r w:rsidRPr="003A01DF">
              <w:rPr>
                <w:rFonts w:ascii="Times New Roman" w:hAnsi="Times New Roman" w:cs="Times New Roman"/>
                <w:bCs/>
                <w:sz w:val="24"/>
                <w:szCs w:val="24"/>
              </w:rPr>
              <w:t xml:space="preserve"> </w:t>
            </w:r>
            <w:r w:rsidR="000E3403" w:rsidRPr="003A01DF">
              <w:rPr>
                <w:rFonts w:ascii="Times New Roman" w:hAnsi="Times New Roman" w:cs="Times New Roman"/>
                <w:bCs/>
                <w:sz w:val="24"/>
                <w:szCs w:val="24"/>
              </w:rPr>
              <w:t>3</w:t>
            </w:r>
            <w:r w:rsidRPr="003A01DF">
              <w:rPr>
                <w:rFonts w:ascii="Times New Roman" w:hAnsi="Times New Roman" w:cs="Times New Roman"/>
                <w:bCs/>
                <w:sz w:val="24"/>
                <w:szCs w:val="24"/>
              </w:rPr>
              <w:t>. pant</w:t>
            </w:r>
            <w:r w:rsidR="000E3403" w:rsidRPr="003A01DF">
              <w:rPr>
                <w:rFonts w:ascii="Times New Roman" w:hAnsi="Times New Roman" w:cs="Times New Roman"/>
                <w:bCs/>
                <w:sz w:val="24"/>
                <w:szCs w:val="24"/>
              </w:rPr>
              <w:t>s</w:t>
            </w:r>
            <w:r w:rsidRPr="003A01DF">
              <w:rPr>
                <w:rFonts w:ascii="Times New Roman" w:hAnsi="Times New Roman" w:cs="Times New Roman"/>
                <w:bCs/>
                <w:sz w:val="24"/>
                <w:szCs w:val="24"/>
              </w:rPr>
              <w:t xml:space="preserve"> </w:t>
            </w:r>
            <w:r w:rsidR="000E3403" w:rsidRPr="003A01DF">
              <w:rPr>
                <w:rFonts w:ascii="Times New Roman" w:hAnsi="Times New Roman" w:cs="Times New Roman"/>
                <w:bCs/>
                <w:sz w:val="24"/>
                <w:szCs w:val="24"/>
              </w:rPr>
              <w:t>nosaka, ka katra dalībvalsts, ievērojot 5. pantu, veic visus vajadzīgus pasākumus, lai nodrošinātu, ka civiltiesiskā atbildība par to transportlīdzekļu lietošanu, kas parasti atrodas tās teritorijā, ir apdrošināta. Savukārt Direktīvas 2009/103/EK 5. pant</w:t>
            </w:r>
            <w:r w:rsidR="008A1EC0" w:rsidRPr="003A01DF">
              <w:rPr>
                <w:rFonts w:ascii="Times New Roman" w:hAnsi="Times New Roman" w:cs="Times New Roman"/>
                <w:bCs/>
                <w:sz w:val="24"/>
                <w:szCs w:val="24"/>
              </w:rPr>
              <w:t>a 2.</w:t>
            </w:r>
            <w:r w:rsidR="0056267B" w:rsidRPr="003A01DF">
              <w:rPr>
                <w:rFonts w:ascii="Times New Roman" w:hAnsi="Times New Roman" w:cs="Times New Roman"/>
                <w:bCs/>
                <w:sz w:val="24"/>
                <w:szCs w:val="24"/>
              </w:rPr>
              <w:t xml:space="preserve"> </w:t>
            </w:r>
            <w:r w:rsidR="008A1EC0" w:rsidRPr="003A01DF">
              <w:rPr>
                <w:rFonts w:ascii="Times New Roman" w:hAnsi="Times New Roman" w:cs="Times New Roman"/>
                <w:bCs/>
                <w:sz w:val="24"/>
                <w:szCs w:val="24"/>
              </w:rPr>
              <w:t xml:space="preserve">punkts </w:t>
            </w:r>
            <w:r w:rsidR="000E3403" w:rsidRPr="003A01DF">
              <w:rPr>
                <w:rFonts w:ascii="Times New Roman" w:hAnsi="Times New Roman" w:cs="Times New Roman"/>
                <w:bCs/>
                <w:sz w:val="24"/>
                <w:szCs w:val="24"/>
              </w:rPr>
              <w:t>paredz dalībvalsts rīcības brīvību atkāpties no 3. panta noteikumiem attiecībā uz dažu veidu transportlīdzekļiem, informējot par to Eiropas Komisiju un pārējās dalībvalstis.</w:t>
            </w:r>
            <w:r w:rsidR="002926AC" w:rsidRPr="003A01DF">
              <w:rPr>
                <w:rFonts w:ascii="Times New Roman" w:hAnsi="Times New Roman" w:cs="Times New Roman"/>
                <w:bCs/>
                <w:sz w:val="24"/>
                <w:szCs w:val="24"/>
              </w:rPr>
              <w:t xml:space="preserve"> </w:t>
            </w:r>
          </w:p>
          <w:p w14:paraId="3645CD92" w14:textId="53CB9D45" w:rsidR="007B3532" w:rsidRPr="003A01DF" w:rsidRDefault="000E3403" w:rsidP="00B6656A">
            <w:pPr>
              <w:spacing w:after="120"/>
              <w:jc w:val="both"/>
              <w:rPr>
                <w:rFonts w:ascii="Times New Roman" w:hAnsi="Times New Roman" w:cs="Times New Roman"/>
                <w:bCs/>
                <w:sz w:val="24"/>
                <w:szCs w:val="24"/>
              </w:rPr>
            </w:pPr>
            <w:r w:rsidRPr="003A01DF">
              <w:rPr>
                <w:rFonts w:ascii="Times New Roman" w:eastAsia="Times New Roman" w:hAnsi="Times New Roman" w:cs="Times New Roman"/>
                <w:iCs/>
                <w:sz w:val="24"/>
                <w:szCs w:val="24"/>
                <w:lang w:eastAsia="lv-LV"/>
              </w:rPr>
              <w:t xml:space="preserve">Latvija atbilstoši </w:t>
            </w:r>
            <w:r w:rsidRPr="003A01DF">
              <w:rPr>
                <w:rFonts w:ascii="Times New Roman" w:hAnsi="Times New Roman" w:cs="Times New Roman"/>
                <w:bCs/>
                <w:sz w:val="24"/>
                <w:szCs w:val="24"/>
              </w:rPr>
              <w:t xml:space="preserve">Direktīvas 5. panta </w:t>
            </w:r>
            <w:r w:rsidR="008A1EC0" w:rsidRPr="003A01DF">
              <w:rPr>
                <w:rFonts w:ascii="Times New Roman" w:hAnsi="Times New Roman" w:cs="Times New Roman"/>
                <w:bCs/>
                <w:sz w:val="24"/>
                <w:szCs w:val="24"/>
              </w:rPr>
              <w:t>2</w:t>
            </w:r>
            <w:r w:rsidR="00B6656A" w:rsidRPr="003A01DF">
              <w:rPr>
                <w:rFonts w:ascii="Times New Roman" w:hAnsi="Times New Roman" w:cs="Times New Roman"/>
                <w:bCs/>
                <w:sz w:val="24"/>
                <w:szCs w:val="24"/>
              </w:rPr>
              <w:t>.</w:t>
            </w:r>
            <w:r w:rsidR="0056267B" w:rsidRPr="003A01DF">
              <w:rPr>
                <w:rFonts w:ascii="Times New Roman" w:hAnsi="Times New Roman" w:cs="Times New Roman"/>
                <w:bCs/>
                <w:sz w:val="24"/>
                <w:szCs w:val="24"/>
              </w:rPr>
              <w:t xml:space="preserve"> </w:t>
            </w:r>
            <w:r w:rsidR="00B6656A" w:rsidRPr="003A01DF">
              <w:rPr>
                <w:rFonts w:ascii="Times New Roman" w:hAnsi="Times New Roman" w:cs="Times New Roman"/>
                <w:bCs/>
                <w:sz w:val="24"/>
                <w:szCs w:val="24"/>
              </w:rPr>
              <w:t>punktam</w:t>
            </w:r>
            <w:r w:rsidRPr="003A01DF">
              <w:rPr>
                <w:rFonts w:ascii="Times New Roman" w:hAnsi="Times New Roman" w:cs="Times New Roman"/>
                <w:bCs/>
                <w:sz w:val="24"/>
                <w:szCs w:val="24"/>
              </w:rPr>
              <w:t xml:space="preserve"> </w:t>
            </w:r>
            <w:r w:rsidRPr="003A01DF">
              <w:rPr>
                <w:rFonts w:ascii="Times New Roman" w:hAnsi="Times New Roman" w:cs="Times New Roman"/>
                <w:sz w:val="24"/>
                <w:szCs w:val="24"/>
              </w:rPr>
              <w:t xml:space="preserve">paziņos Eiropas Komisijai </w:t>
            </w:r>
            <w:r w:rsidR="00133A03" w:rsidRPr="003A01DF">
              <w:rPr>
                <w:rFonts w:ascii="Times New Roman" w:hAnsi="Times New Roman" w:cs="Times New Roman"/>
                <w:sz w:val="24"/>
                <w:szCs w:val="24"/>
              </w:rPr>
              <w:t xml:space="preserve">un dalībvalstīm </w:t>
            </w:r>
            <w:r w:rsidRPr="003A01DF">
              <w:rPr>
                <w:rFonts w:ascii="Times New Roman" w:hAnsi="Times New Roman" w:cs="Times New Roman"/>
                <w:sz w:val="24"/>
                <w:szCs w:val="24"/>
              </w:rPr>
              <w:t>par atkāpi no speciālās militārās tehnikas apdrošināšanas, izdarot attiecīgu ierakstu Valsts izpildes pasākumu paziņošanas sistēmā.</w:t>
            </w:r>
          </w:p>
        </w:tc>
      </w:tr>
      <w:tr w:rsidR="0001268A" w:rsidRPr="003A01DF" w14:paraId="0D9B1BB5" w14:textId="77777777" w:rsidTr="00AC733B">
        <w:trPr>
          <w:jc w:val="center"/>
        </w:trPr>
        <w:tc>
          <w:tcPr>
            <w:tcW w:w="417" w:type="dxa"/>
          </w:tcPr>
          <w:p w14:paraId="3580DC91" w14:textId="77777777" w:rsidR="007B3532" w:rsidRPr="003A01DF" w:rsidRDefault="007B3532" w:rsidP="007B3532">
            <w:pPr>
              <w:pStyle w:val="naiskr"/>
              <w:tabs>
                <w:tab w:val="left" w:pos="2628"/>
              </w:tabs>
              <w:spacing w:before="0" w:after="0"/>
              <w:jc w:val="center"/>
              <w:rPr>
                <w:iCs/>
              </w:rPr>
            </w:pPr>
            <w:r w:rsidRPr="003A01DF">
              <w:rPr>
                <w:iCs/>
              </w:rPr>
              <w:t>2.</w:t>
            </w:r>
          </w:p>
        </w:tc>
        <w:tc>
          <w:tcPr>
            <w:tcW w:w="2771" w:type="dxa"/>
          </w:tcPr>
          <w:p w14:paraId="2B9A83D0" w14:textId="77777777" w:rsidR="007B3532" w:rsidRPr="003A01DF" w:rsidRDefault="007B3532" w:rsidP="007B3532">
            <w:pPr>
              <w:pStyle w:val="naiskr"/>
              <w:tabs>
                <w:tab w:val="left" w:pos="2628"/>
              </w:tabs>
              <w:spacing w:before="0" w:after="0"/>
              <w:jc w:val="both"/>
              <w:rPr>
                <w:iCs/>
              </w:rPr>
            </w:pPr>
            <w:r w:rsidRPr="003A01DF">
              <w:t>Citas starptautiskās saistības</w:t>
            </w:r>
          </w:p>
        </w:tc>
        <w:tc>
          <w:tcPr>
            <w:tcW w:w="6139" w:type="dxa"/>
          </w:tcPr>
          <w:p w14:paraId="61BF93EF" w14:textId="40990449" w:rsidR="007B3532" w:rsidRPr="003A01DF" w:rsidRDefault="00705D1D" w:rsidP="00705D1D">
            <w:pPr>
              <w:ind w:firstLine="388"/>
              <w:jc w:val="both"/>
              <w:rPr>
                <w:iCs/>
              </w:rPr>
            </w:pPr>
            <w:r w:rsidRPr="003A01DF">
              <w:rPr>
                <w:rFonts w:ascii="Times New Roman" w:hAnsi="Times New Roman" w:cs="Times New Roman"/>
                <w:iCs/>
                <w:sz w:val="24"/>
                <w:szCs w:val="24"/>
              </w:rPr>
              <w:t>Ar</w:t>
            </w:r>
            <w:r w:rsidR="00FC3182" w:rsidRPr="003A01DF">
              <w:rPr>
                <w:rFonts w:ascii="Times New Roman" w:hAnsi="Times New Roman" w:cs="Times New Roman"/>
                <w:iCs/>
                <w:sz w:val="24"/>
                <w:szCs w:val="24"/>
              </w:rPr>
              <w:t xml:space="preserve"> likumprojektu netiek pārņemtas citas starptautiskās saistības</w:t>
            </w:r>
            <w:r w:rsidR="00FC3182" w:rsidRPr="003A01DF">
              <w:rPr>
                <w:iCs/>
              </w:rPr>
              <w:t>.</w:t>
            </w:r>
          </w:p>
        </w:tc>
      </w:tr>
      <w:tr w:rsidR="007B3532" w:rsidRPr="003A01DF" w14:paraId="1279DBEF" w14:textId="77777777" w:rsidTr="00AC733B">
        <w:trPr>
          <w:jc w:val="center"/>
        </w:trPr>
        <w:tc>
          <w:tcPr>
            <w:tcW w:w="417" w:type="dxa"/>
          </w:tcPr>
          <w:p w14:paraId="1282A71A" w14:textId="77777777" w:rsidR="007B3532" w:rsidRPr="003A01DF" w:rsidRDefault="007B3532" w:rsidP="007B3532">
            <w:pPr>
              <w:pStyle w:val="naiskr"/>
              <w:tabs>
                <w:tab w:val="left" w:pos="2628"/>
              </w:tabs>
              <w:spacing w:before="0" w:after="0"/>
              <w:jc w:val="center"/>
              <w:rPr>
                <w:iCs/>
              </w:rPr>
            </w:pPr>
            <w:r w:rsidRPr="003A01DF">
              <w:rPr>
                <w:iCs/>
              </w:rPr>
              <w:t>3.</w:t>
            </w:r>
          </w:p>
        </w:tc>
        <w:tc>
          <w:tcPr>
            <w:tcW w:w="2771" w:type="dxa"/>
          </w:tcPr>
          <w:p w14:paraId="236DD358" w14:textId="77777777" w:rsidR="007B3532" w:rsidRPr="003A01DF" w:rsidRDefault="007B3532" w:rsidP="007B3532">
            <w:pPr>
              <w:pStyle w:val="naiskr"/>
              <w:tabs>
                <w:tab w:val="left" w:pos="2628"/>
              </w:tabs>
              <w:spacing w:before="0" w:after="0"/>
              <w:jc w:val="both"/>
            </w:pPr>
            <w:r w:rsidRPr="003A01DF">
              <w:t>Cita informācija</w:t>
            </w:r>
            <w:r w:rsidR="000E3403" w:rsidRPr="003A01DF">
              <w:t xml:space="preserve">  </w:t>
            </w:r>
          </w:p>
          <w:p w14:paraId="39515AB3" w14:textId="20457387" w:rsidR="000E3403" w:rsidRPr="003A01DF" w:rsidRDefault="000E3403" w:rsidP="007B3532">
            <w:pPr>
              <w:pStyle w:val="naiskr"/>
              <w:tabs>
                <w:tab w:val="left" w:pos="2628"/>
              </w:tabs>
              <w:spacing w:before="0" w:after="0"/>
              <w:jc w:val="both"/>
            </w:pPr>
          </w:p>
        </w:tc>
        <w:tc>
          <w:tcPr>
            <w:tcW w:w="6139" w:type="dxa"/>
          </w:tcPr>
          <w:p w14:paraId="01115F18" w14:textId="4971B478" w:rsidR="007B3532" w:rsidRPr="003A01DF" w:rsidRDefault="0056267B" w:rsidP="0056267B">
            <w:pPr>
              <w:autoSpaceDE w:val="0"/>
              <w:autoSpaceDN w:val="0"/>
              <w:adjustRightInd w:val="0"/>
              <w:ind w:firstLine="388"/>
              <w:jc w:val="both"/>
              <w:rPr>
                <w:iCs/>
              </w:rPr>
            </w:pPr>
            <w:r w:rsidRPr="003A01DF">
              <w:rPr>
                <w:iCs/>
              </w:rPr>
              <w:t>Nav.</w:t>
            </w:r>
          </w:p>
        </w:tc>
      </w:tr>
    </w:tbl>
    <w:p w14:paraId="1080820D" w14:textId="76E98F29" w:rsidR="007B3532" w:rsidRPr="003A01DF" w:rsidRDefault="007B3532" w:rsidP="00385D65">
      <w:pPr>
        <w:pStyle w:val="naisf"/>
        <w:spacing w:before="0" w:after="0"/>
        <w:ind w:firstLine="0"/>
      </w:pPr>
    </w:p>
    <w:p w14:paraId="2D09D63C" w14:textId="77777777" w:rsidR="007B3532" w:rsidRPr="003A01DF" w:rsidRDefault="007B3532" w:rsidP="007B3532">
      <w:pPr>
        <w:pStyle w:val="naisf"/>
        <w:spacing w:before="0" w:after="0"/>
      </w:pP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456"/>
        <w:gridCol w:w="7571"/>
      </w:tblGrid>
      <w:tr w:rsidR="0001268A" w:rsidRPr="003A01DF" w14:paraId="65E9C9A0" w14:textId="77777777" w:rsidTr="00FC3182">
        <w:trPr>
          <w:trHeight w:val="523"/>
          <w:jc w:val="center"/>
        </w:trPr>
        <w:tc>
          <w:tcPr>
            <w:tcW w:w="9027" w:type="dxa"/>
            <w:gridSpan w:val="2"/>
            <w:vAlign w:val="center"/>
          </w:tcPr>
          <w:p w14:paraId="6D6C8766" w14:textId="77777777" w:rsidR="007B3532" w:rsidRPr="003A01DF" w:rsidRDefault="007B3532" w:rsidP="007B3532">
            <w:pPr>
              <w:pStyle w:val="naisnod"/>
              <w:spacing w:before="0" w:after="0"/>
            </w:pPr>
            <w:r w:rsidRPr="003A01DF">
              <w:t xml:space="preserve">1. tabula </w:t>
            </w:r>
          </w:p>
          <w:p w14:paraId="77933875" w14:textId="77777777" w:rsidR="007B3532" w:rsidRPr="003A01DF" w:rsidRDefault="007B3532" w:rsidP="007B3532">
            <w:pPr>
              <w:pStyle w:val="naisnod"/>
              <w:spacing w:before="0" w:after="0"/>
              <w:rPr>
                <w:i/>
              </w:rPr>
            </w:pPr>
            <w:r w:rsidRPr="003A01DF">
              <w:t>Tiesību akta projekta atbilstība ES tiesību aktiem</w:t>
            </w:r>
          </w:p>
        </w:tc>
      </w:tr>
      <w:tr w:rsidR="0001268A" w:rsidRPr="003A01DF" w14:paraId="2442A516" w14:textId="77777777" w:rsidTr="00FC3182">
        <w:trPr>
          <w:trHeight w:val="281"/>
          <w:jc w:val="center"/>
        </w:trPr>
        <w:tc>
          <w:tcPr>
            <w:tcW w:w="1347" w:type="dxa"/>
            <w:shd w:val="clear" w:color="auto" w:fill="auto"/>
            <w:vAlign w:val="center"/>
          </w:tcPr>
          <w:p w14:paraId="47F3252D" w14:textId="77777777" w:rsidR="007B3532" w:rsidRPr="003A01DF" w:rsidRDefault="007B3532" w:rsidP="007B3532">
            <w:pPr>
              <w:pStyle w:val="naiskr"/>
              <w:spacing w:before="0" w:after="0"/>
            </w:pPr>
            <w:r w:rsidRPr="003A01DF">
              <w:t>Kā ir izmantota ES tiesību aktā paredzētā rīcības brīvība dalībvalstij pārņemt vai ieviest noteiktas ES tiesību akta normas.</w:t>
            </w:r>
          </w:p>
          <w:p w14:paraId="55E614BA" w14:textId="77777777" w:rsidR="007B3532" w:rsidRPr="003A01DF" w:rsidRDefault="007B3532" w:rsidP="007B3532">
            <w:pPr>
              <w:pStyle w:val="naiskr"/>
              <w:spacing w:before="0" w:after="0"/>
            </w:pPr>
            <w:r w:rsidRPr="003A01DF">
              <w:t>Kādēļ?</w:t>
            </w:r>
          </w:p>
        </w:tc>
        <w:tc>
          <w:tcPr>
            <w:tcW w:w="7680" w:type="dxa"/>
            <w:shd w:val="clear" w:color="auto" w:fill="auto"/>
          </w:tcPr>
          <w:p w14:paraId="5A3F2B31" w14:textId="02DB233D" w:rsidR="002926AC" w:rsidRPr="003A01DF" w:rsidRDefault="007B3532" w:rsidP="00774272">
            <w:pPr>
              <w:pStyle w:val="naiskr"/>
              <w:jc w:val="both"/>
            </w:pPr>
            <w:r w:rsidRPr="003A01DF">
              <w:t xml:space="preserve">Atbilstoši dalībvalsts izvēles tiesībām ir izdarīta izvēle </w:t>
            </w:r>
            <w:r w:rsidR="00774272" w:rsidRPr="003A01DF">
              <w:t>atteikties no iepriekš pārņemtā</w:t>
            </w:r>
            <w:r w:rsidRPr="003A01DF">
              <w:t xml:space="preserve"> </w:t>
            </w:r>
            <w:r w:rsidR="002926AC" w:rsidRPr="003A01DF">
              <w:t>Direktīvas 3. pantā noteikt</w:t>
            </w:r>
            <w:r w:rsidR="00774272" w:rsidRPr="003A01DF">
              <w:t>ā</w:t>
            </w:r>
            <w:r w:rsidR="002926AC" w:rsidRPr="003A01DF">
              <w:t xml:space="preserve"> pienākum</w:t>
            </w:r>
            <w:r w:rsidR="00774272" w:rsidRPr="003A01DF">
              <w:t>a</w:t>
            </w:r>
            <w:r w:rsidR="002926AC" w:rsidRPr="003A01DF">
              <w:t xml:space="preserve"> </w:t>
            </w:r>
            <w:r w:rsidR="00774272" w:rsidRPr="003A01DF">
              <w:t xml:space="preserve">veikt apdrošināšanu </w:t>
            </w:r>
            <w:r w:rsidR="002926AC" w:rsidRPr="003A01DF">
              <w:t>Latvijas Nacionālo bruņoto spēku speciāl</w:t>
            </w:r>
            <w:r w:rsidR="00774272" w:rsidRPr="003A01DF">
              <w:t>ajai</w:t>
            </w:r>
            <w:r w:rsidR="002926AC" w:rsidRPr="003A01DF">
              <w:t xml:space="preserve"> militār</w:t>
            </w:r>
            <w:r w:rsidR="00774272" w:rsidRPr="003A01DF">
              <w:t>ajai</w:t>
            </w:r>
            <w:r w:rsidR="002926AC" w:rsidRPr="003A01DF">
              <w:t xml:space="preserve"> tehnik</w:t>
            </w:r>
            <w:r w:rsidR="00774272" w:rsidRPr="003A01DF">
              <w:t>ai</w:t>
            </w:r>
            <w:r w:rsidR="002926AC" w:rsidRPr="003A01DF">
              <w:t xml:space="preserve">. Šādu rīcības brīvību paredz Direktīvas 5. panta </w:t>
            </w:r>
            <w:r w:rsidR="002570CE" w:rsidRPr="003A01DF">
              <w:t>2.punkts</w:t>
            </w:r>
            <w:r w:rsidR="002926AC" w:rsidRPr="003A01DF">
              <w:t xml:space="preserve"> ar nosacījumu, ka dalībvalstij uz šiem transportlīdzekļiem jāpiemēro prasības kā pret transportlīdzekļiem, kuriem nav veikta apdrošināšana</w:t>
            </w:r>
            <w:r w:rsidR="00774272" w:rsidRPr="003A01DF">
              <w:t>.</w:t>
            </w:r>
          </w:p>
          <w:p w14:paraId="5C67F8CB" w14:textId="77777777" w:rsidR="002926AC" w:rsidRPr="003A01DF" w:rsidRDefault="002926AC" w:rsidP="007B3532">
            <w:pPr>
              <w:pStyle w:val="naiskr"/>
            </w:pPr>
          </w:p>
          <w:p w14:paraId="397D0EFE" w14:textId="77777777" w:rsidR="002926AC" w:rsidRPr="003A01DF" w:rsidRDefault="002926AC" w:rsidP="007B3532">
            <w:pPr>
              <w:pStyle w:val="naiskr"/>
            </w:pPr>
          </w:p>
          <w:p w14:paraId="5BE2BB92" w14:textId="5524A60C" w:rsidR="007B3532" w:rsidRPr="003A01DF" w:rsidRDefault="007B3532" w:rsidP="00774272">
            <w:pPr>
              <w:pStyle w:val="tv213"/>
            </w:pPr>
          </w:p>
        </w:tc>
      </w:tr>
      <w:tr w:rsidR="0001268A" w:rsidRPr="003A01DF" w14:paraId="5D914804" w14:textId="77777777" w:rsidTr="00FC3182">
        <w:trPr>
          <w:trHeight w:val="913"/>
          <w:jc w:val="center"/>
        </w:trPr>
        <w:tc>
          <w:tcPr>
            <w:tcW w:w="1347" w:type="dxa"/>
            <w:vAlign w:val="center"/>
          </w:tcPr>
          <w:p w14:paraId="2BC3F6B0" w14:textId="77777777" w:rsidR="007B3532" w:rsidRPr="003A01DF" w:rsidRDefault="007B3532" w:rsidP="007B3532">
            <w:pPr>
              <w:pStyle w:val="naiskr"/>
              <w:spacing w:before="0" w:after="0"/>
              <w:rPr>
                <w:i/>
              </w:rPr>
            </w:pPr>
            <w:r w:rsidRPr="003A01DF">
              <w:t xml:space="preserve">Saistības sniegt paziņojumu ES institūcijām un ES </w:t>
            </w:r>
            <w:r w:rsidRPr="003A01DF">
              <w:lastRenderedPageBreak/>
              <w:t>dalībvalstīm atbilstoši normatīvajiem aktiem, kas regulē informācijas sniegšanu par tehnisko noteikumu, valsts atbalsta piešķiršanas un finanšu noteikumu (attiecībā uz monetāro politiku) projektiem</w:t>
            </w:r>
          </w:p>
        </w:tc>
        <w:tc>
          <w:tcPr>
            <w:tcW w:w="7680" w:type="dxa"/>
          </w:tcPr>
          <w:p w14:paraId="17DB9289" w14:textId="2A254233" w:rsidR="00774272" w:rsidRPr="003A01DF" w:rsidRDefault="00774272" w:rsidP="002570CE">
            <w:pPr>
              <w:pStyle w:val="naiskr"/>
              <w:spacing w:before="0" w:after="0"/>
              <w:jc w:val="both"/>
            </w:pPr>
            <w:r w:rsidRPr="003A01DF">
              <w:rPr>
                <w:iCs/>
              </w:rPr>
              <w:lastRenderedPageBreak/>
              <w:t xml:space="preserve">Dalībvalstij ir jāinformē Eiropas Komisija un dalībvalstis par Direktīvas </w:t>
            </w:r>
            <w:r w:rsidRPr="003A01DF">
              <w:rPr>
                <w:bCs/>
              </w:rPr>
              <w:t xml:space="preserve">5. panta </w:t>
            </w:r>
            <w:r w:rsidR="002570CE" w:rsidRPr="003A01DF">
              <w:rPr>
                <w:bCs/>
              </w:rPr>
              <w:t>2.punktā</w:t>
            </w:r>
            <w:r w:rsidRPr="003A01DF">
              <w:rPr>
                <w:bCs/>
              </w:rPr>
              <w:t xml:space="preserve"> noteiktās rīcības brīvības izmantošanu.  </w:t>
            </w:r>
            <w:r w:rsidRPr="003A01DF">
              <w:rPr>
                <w:iCs/>
              </w:rPr>
              <w:t xml:space="preserve">Tieslietu ministrija izpildīs </w:t>
            </w:r>
            <w:r w:rsidRPr="003A01DF">
              <w:t xml:space="preserve">Direktīvas </w:t>
            </w:r>
            <w:r w:rsidRPr="003A01DF">
              <w:rPr>
                <w:bCs/>
              </w:rPr>
              <w:t xml:space="preserve">5. panta </w:t>
            </w:r>
            <w:r w:rsidR="00D908C8" w:rsidRPr="003A01DF">
              <w:rPr>
                <w:bCs/>
              </w:rPr>
              <w:t>2</w:t>
            </w:r>
            <w:r w:rsidR="002570CE" w:rsidRPr="003A01DF">
              <w:rPr>
                <w:bCs/>
              </w:rPr>
              <w:t>.</w:t>
            </w:r>
            <w:r w:rsidR="0056267B" w:rsidRPr="003A01DF">
              <w:rPr>
                <w:bCs/>
              </w:rPr>
              <w:t xml:space="preserve"> </w:t>
            </w:r>
            <w:r w:rsidR="002570CE" w:rsidRPr="003A01DF">
              <w:rPr>
                <w:bCs/>
              </w:rPr>
              <w:t>punktā</w:t>
            </w:r>
            <w:r w:rsidRPr="003A01DF">
              <w:rPr>
                <w:bCs/>
              </w:rPr>
              <w:t xml:space="preserve"> noteikto pienākumu Latvijas valsts vārdā informēt </w:t>
            </w:r>
            <w:r w:rsidRPr="003A01DF">
              <w:t xml:space="preserve">Eiropas Komisiju par rīcības brīvības izmantošanu no </w:t>
            </w:r>
            <w:r w:rsidR="002570CE" w:rsidRPr="003A01DF">
              <w:rPr>
                <w:bCs/>
              </w:rPr>
              <w:t>Direktīvas</w:t>
            </w:r>
            <w:r w:rsidRPr="003A01DF">
              <w:rPr>
                <w:bCs/>
              </w:rPr>
              <w:t xml:space="preserve"> 3. pantā noteiktā pienākuma, </w:t>
            </w:r>
            <w:r w:rsidRPr="003A01DF">
              <w:t xml:space="preserve">izdarot attiecīgu ierakstu Valsts izpildes pasākumu paziņošanas sistēmā. </w:t>
            </w:r>
          </w:p>
        </w:tc>
      </w:tr>
      <w:tr w:rsidR="007B3532" w:rsidRPr="003A01DF" w14:paraId="29116556" w14:textId="77777777" w:rsidTr="00FC3182">
        <w:trPr>
          <w:trHeight w:val="579"/>
          <w:jc w:val="center"/>
        </w:trPr>
        <w:tc>
          <w:tcPr>
            <w:tcW w:w="1347" w:type="dxa"/>
          </w:tcPr>
          <w:p w14:paraId="2984AEC6" w14:textId="77777777" w:rsidR="007B3532" w:rsidRPr="003A01DF" w:rsidRDefault="007B3532" w:rsidP="007B3532">
            <w:pPr>
              <w:pStyle w:val="naiskr"/>
              <w:spacing w:before="0" w:after="0"/>
            </w:pPr>
            <w:r w:rsidRPr="003A01DF">
              <w:t>Cita informācija</w:t>
            </w:r>
          </w:p>
        </w:tc>
        <w:tc>
          <w:tcPr>
            <w:tcW w:w="7680" w:type="dxa"/>
          </w:tcPr>
          <w:p w14:paraId="6231BC4B" w14:textId="77777777" w:rsidR="007B3532" w:rsidRPr="003A01DF" w:rsidRDefault="007B3532" w:rsidP="007B3532">
            <w:pPr>
              <w:pStyle w:val="naiskr"/>
              <w:spacing w:before="0" w:after="0"/>
            </w:pPr>
            <w:r w:rsidRPr="003A01DF">
              <w:t>Nav.</w:t>
            </w:r>
          </w:p>
        </w:tc>
      </w:tr>
    </w:tbl>
    <w:p w14:paraId="7EEEDB6A" w14:textId="1F22B566" w:rsidR="00E5323B" w:rsidRPr="003A01D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7"/>
      </w:tblGrid>
      <w:tr w:rsidR="0001268A" w:rsidRPr="003A01DF" w14:paraId="242627F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646FEA" w14:textId="77777777" w:rsidR="00655F2C" w:rsidRPr="003A01DF" w:rsidRDefault="00E5323B" w:rsidP="00E5323B">
            <w:pPr>
              <w:spacing w:after="0" w:line="240" w:lineRule="auto"/>
              <w:rPr>
                <w:rFonts w:ascii="Times New Roman" w:eastAsia="Times New Roman" w:hAnsi="Times New Roman" w:cs="Times New Roman"/>
                <w:b/>
                <w:bCs/>
                <w:iCs/>
                <w:sz w:val="24"/>
                <w:szCs w:val="24"/>
                <w:lang w:eastAsia="lv-LV"/>
              </w:rPr>
            </w:pPr>
            <w:r w:rsidRPr="003A01DF">
              <w:rPr>
                <w:rFonts w:ascii="Times New Roman" w:eastAsia="Times New Roman" w:hAnsi="Times New Roman" w:cs="Times New Roman"/>
                <w:b/>
                <w:bCs/>
                <w:iCs/>
                <w:sz w:val="24"/>
                <w:szCs w:val="24"/>
                <w:lang w:eastAsia="lv-LV"/>
              </w:rPr>
              <w:t>VI. Sabiedrības līdzdalība un komunikācijas aktivitātes</w:t>
            </w:r>
          </w:p>
        </w:tc>
      </w:tr>
      <w:tr w:rsidR="0001268A" w:rsidRPr="003A01DF" w14:paraId="769974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D82544" w14:textId="73E73B43" w:rsidR="00AA6D7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1.</w:t>
            </w:r>
          </w:p>
          <w:p w14:paraId="68557091" w14:textId="77777777" w:rsidR="00AA6D7C" w:rsidRPr="003A01DF" w:rsidRDefault="00AA6D7C" w:rsidP="00A04161">
            <w:pPr>
              <w:rPr>
                <w:rFonts w:ascii="Times New Roman" w:eastAsia="Times New Roman" w:hAnsi="Times New Roman" w:cs="Times New Roman"/>
                <w:sz w:val="24"/>
                <w:szCs w:val="24"/>
                <w:lang w:eastAsia="lv-LV"/>
              </w:rPr>
            </w:pPr>
          </w:p>
          <w:p w14:paraId="2B7DDED0" w14:textId="77777777" w:rsidR="00AA6D7C" w:rsidRPr="003A01DF" w:rsidRDefault="00AA6D7C" w:rsidP="00A04161">
            <w:pPr>
              <w:rPr>
                <w:rFonts w:ascii="Times New Roman" w:eastAsia="Times New Roman" w:hAnsi="Times New Roman" w:cs="Times New Roman"/>
                <w:sz w:val="24"/>
                <w:szCs w:val="24"/>
                <w:lang w:eastAsia="lv-LV"/>
              </w:rPr>
            </w:pPr>
          </w:p>
          <w:p w14:paraId="32671B95" w14:textId="77777777" w:rsidR="00AA6D7C" w:rsidRPr="003A01DF" w:rsidRDefault="00AA6D7C" w:rsidP="00A04161">
            <w:pPr>
              <w:rPr>
                <w:rFonts w:ascii="Times New Roman" w:eastAsia="Times New Roman" w:hAnsi="Times New Roman" w:cs="Times New Roman"/>
                <w:sz w:val="24"/>
                <w:szCs w:val="24"/>
                <w:lang w:eastAsia="lv-LV"/>
              </w:rPr>
            </w:pPr>
          </w:p>
          <w:p w14:paraId="031AEF58" w14:textId="77777777" w:rsidR="00AA6D7C" w:rsidRPr="003A01DF" w:rsidRDefault="00AA6D7C" w:rsidP="00A04161">
            <w:pPr>
              <w:rPr>
                <w:rFonts w:ascii="Times New Roman" w:eastAsia="Times New Roman" w:hAnsi="Times New Roman" w:cs="Times New Roman"/>
                <w:sz w:val="24"/>
                <w:szCs w:val="24"/>
                <w:lang w:eastAsia="lv-LV"/>
              </w:rPr>
            </w:pPr>
          </w:p>
          <w:p w14:paraId="6E010E66" w14:textId="77777777" w:rsidR="00AA6D7C" w:rsidRPr="003A01DF" w:rsidRDefault="00AA6D7C" w:rsidP="00A04161">
            <w:pPr>
              <w:rPr>
                <w:rFonts w:ascii="Times New Roman" w:eastAsia="Times New Roman" w:hAnsi="Times New Roman" w:cs="Times New Roman"/>
                <w:sz w:val="24"/>
                <w:szCs w:val="24"/>
                <w:lang w:eastAsia="lv-LV"/>
              </w:rPr>
            </w:pPr>
          </w:p>
          <w:p w14:paraId="08D97A72" w14:textId="3B5CB10D" w:rsidR="00655F2C" w:rsidRPr="003A01DF" w:rsidRDefault="00655F2C" w:rsidP="00A04161">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0D1A892F"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E0D7DA1" w14:textId="6C3AF2DD" w:rsidR="00E5323B" w:rsidRPr="003A01DF" w:rsidRDefault="00F25AE9" w:rsidP="007E0F04">
            <w:pPr>
              <w:spacing w:after="0" w:line="240" w:lineRule="auto"/>
              <w:jc w:val="both"/>
              <w:rPr>
                <w:rFonts w:ascii="Times New Roman" w:eastAsia="Times New Roman" w:hAnsi="Times New Roman" w:cs="Times New Roman"/>
                <w:iCs/>
                <w:sz w:val="24"/>
                <w:szCs w:val="24"/>
                <w:lang w:eastAsia="lv-LV"/>
              </w:rPr>
            </w:pPr>
            <w:r w:rsidRPr="003A01DF">
              <w:rPr>
                <w:rFonts w:ascii="Times New Roman" w:hAnsi="Times New Roman" w:cs="Times New Roman"/>
                <w:sz w:val="24"/>
                <w:szCs w:val="24"/>
              </w:rPr>
              <w:t>Atbilstoši Ministru kabineta 2009.</w:t>
            </w:r>
            <w:r w:rsidR="002378B9" w:rsidRPr="003A01DF">
              <w:rPr>
                <w:rFonts w:ascii="Times New Roman" w:hAnsi="Times New Roman" w:cs="Times New Roman"/>
                <w:sz w:val="24"/>
                <w:szCs w:val="24"/>
              </w:rPr>
              <w:t> </w:t>
            </w:r>
            <w:r w:rsidRPr="003A01DF">
              <w:rPr>
                <w:rFonts w:ascii="Times New Roman" w:hAnsi="Times New Roman" w:cs="Times New Roman"/>
                <w:sz w:val="24"/>
                <w:szCs w:val="24"/>
              </w:rPr>
              <w:t>gada 25.</w:t>
            </w:r>
            <w:r w:rsidR="002378B9" w:rsidRPr="003A01DF">
              <w:rPr>
                <w:rFonts w:ascii="Times New Roman" w:hAnsi="Times New Roman" w:cs="Times New Roman"/>
                <w:sz w:val="24"/>
                <w:szCs w:val="24"/>
              </w:rPr>
              <w:t> </w:t>
            </w:r>
            <w:r w:rsidRPr="003A01DF">
              <w:rPr>
                <w:rFonts w:ascii="Times New Roman" w:hAnsi="Times New Roman" w:cs="Times New Roman"/>
                <w:sz w:val="24"/>
                <w:szCs w:val="24"/>
              </w:rPr>
              <w:t>augusta noteikum</w:t>
            </w:r>
            <w:r w:rsidR="002378B9" w:rsidRPr="003A01DF">
              <w:rPr>
                <w:rFonts w:ascii="Times New Roman" w:hAnsi="Times New Roman" w:cs="Times New Roman"/>
                <w:sz w:val="24"/>
                <w:szCs w:val="24"/>
              </w:rPr>
              <w:t>iem</w:t>
            </w:r>
            <w:r w:rsidRPr="003A01DF">
              <w:rPr>
                <w:rFonts w:ascii="Times New Roman" w:hAnsi="Times New Roman" w:cs="Times New Roman"/>
                <w:sz w:val="24"/>
                <w:szCs w:val="24"/>
              </w:rPr>
              <w:t xml:space="preserve"> Nr.</w:t>
            </w:r>
            <w:r w:rsidR="002378B9" w:rsidRPr="003A01DF">
              <w:rPr>
                <w:rFonts w:ascii="Times New Roman" w:hAnsi="Times New Roman" w:cs="Times New Roman"/>
                <w:sz w:val="24"/>
                <w:szCs w:val="24"/>
              </w:rPr>
              <w:t> </w:t>
            </w:r>
            <w:r w:rsidRPr="003A01DF">
              <w:rPr>
                <w:rFonts w:ascii="Times New Roman" w:hAnsi="Times New Roman" w:cs="Times New Roman"/>
                <w:sz w:val="24"/>
                <w:szCs w:val="24"/>
              </w:rPr>
              <w:t xml:space="preserve">970 </w:t>
            </w:r>
            <w:r w:rsidR="002378B9" w:rsidRPr="003A01DF">
              <w:rPr>
                <w:rFonts w:ascii="Times New Roman" w:hAnsi="Times New Roman" w:cs="Times New Roman"/>
                <w:sz w:val="24"/>
                <w:szCs w:val="24"/>
              </w:rPr>
              <w:t>“</w:t>
            </w:r>
            <w:r w:rsidRPr="003A01DF">
              <w:rPr>
                <w:rFonts w:ascii="Times New Roman" w:hAnsi="Times New Roman" w:cs="Times New Roman"/>
                <w:sz w:val="24"/>
                <w:szCs w:val="24"/>
              </w:rPr>
              <w:t>Sabiedrības līdzdalības kārtība attīstības plānošanas procesā</w:t>
            </w:r>
            <w:r w:rsidR="002378B9" w:rsidRPr="003A01DF">
              <w:rPr>
                <w:rFonts w:ascii="Times New Roman" w:hAnsi="Times New Roman" w:cs="Times New Roman"/>
                <w:sz w:val="24"/>
                <w:szCs w:val="24"/>
              </w:rPr>
              <w:t>”</w:t>
            </w:r>
            <w:r w:rsidRPr="003A01DF">
              <w:rPr>
                <w:rFonts w:ascii="Times New Roman" w:hAnsi="Times New Roman" w:cs="Times New Roman"/>
                <w:sz w:val="24"/>
                <w:szCs w:val="24"/>
              </w:rPr>
              <w:t xml:space="preserve"> pirms </w:t>
            </w:r>
            <w:r w:rsidR="007B5B77" w:rsidRPr="003A01DF">
              <w:rPr>
                <w:rFonts w:ascii="Times New Roman" w:hAnsi="Times New Roman" w:cs="Times New Roman"/>
                <w:sz w:val="24"/>
                <w:szCs w:val="24"/>
              </w:rPr>
              <w:t xml:space="preserve">Likumprojekta </w:t>
            </w:r>
            <w:r w:rsidRPr="003A01DF">
              <w:rPr>
                <w:rFonts w:ascii="Times New Roman" w:hAnsi="Times New Roman" w:cs="Times New Roman"/>
                <w:sz w:val="24"/>
                <w:szCs w:val="24"/>
              </w:rPr>
              <w:t xml:space="preserve"> nosūtīšanas Valsts kancelejai izskatīšanai Valsts sekretāru sanāksmē par </w:t>
            </w:r>
            <w:r w:rsidR="007B5B77" w:rsidRPr="003A01DF">
              <w:rPr>
                <w:rFonts w:ascii="Times New Roman" w:hAnsi="Times New Roman" w:cs="Times New Roman"/>
                <w:sz w:val="24"/>
                <w:szCs w:val="24"/>
              </w:rPr>
              <w:t>likum</w:t>
            </w:r>
            <w:r w:rsidRPr="003A01DF">
              <w:rPr>
                <w:rFonts w:ascii="Times New Roman" w:hAnsi="Times New Roman" w:cs="Times New Roman"/>
                <w:sz w:val="24"/>
                <w:szCs w:val="24"/>
              </w:rPr>
              <w:t>projekta izstrādi sabiedrības pārstāvji</w:t>
            </w:r>
            <w:r w:rsidR="007E0F04" w:rsidRPr="003A01DF">
              <w:rPr>
                <w:rFonts w:ascii="Times New Roman" w:hAnsi="Times New Roman" w:cs="Times New Roman"/>
                <w:sz w:val="24"/>
                <w:szCs w:val="24"/>
              </w:rPr>
              <w:t xml:space="preserve"> tika informēti</w:t>
            </w:r>
            <w:r w:rsidRPr="003A01DF">
              <w:rPr>
                <w:rFonts w:ascii="Times New Roman" w:hAnsi="Times New Roman" w:cs="Times New Roman"/>
                <w:sz w:val="24"/>
                <w:szCs w:val="24"/>
              </w:rPr>
              <w:t xml:space="preserve">, ievietojot paziņojumu par iespējām iesaistīties </w:t>
            </w:r>
            <w:r w:rsidR="00D728D7" w:rsidRPr="003A01DF">
              <w:rPr>
                <w:rFonts w:ascii="Times New Roman" w:hAnsi="Times New Roman" w:cs="Times New Roman"/>
                <w:sz w:val="24"/>
                <w:szCs w:val="24"/>
              </w:rPr>
              <w:t xml:space="preserve">viedokļa sniegšanā par izstrādāto </w:t>
            </w:r>
            <w:r w:rsidRPr="003A01DF">
              <w:rPr>
                <w:rFonts w:ascii="Times New Roman" w:hAnsi="Times New Roman" w:cs="Times New Roman"/>
                <w:sz w:val="24"/>
                <w:szCs w:val="24"/>
              </w:rPr>
              <w:t xml:space="preserve">tiesību akta </w:t>
            </w:r>
            <w:r w:rsidR="00D728D7" w:rsidRPr="003A01DF">
              <w:rPr>
                <w:rFonts w:ascii="Times New Roman" w:hAnsi="Times New Roman" w:cs="Times New Roman"/>
                <w:sz w:val="24"/>
                <w:szCs w:val="24"/>
              </w:rPr>
              <w:t>procesu</w:t>
            </w:r>
            <w:r w:rsidRPr="003A01DF">
              <w:rPr>
                <w:rFonts w:ascii="Times New Roman" w:hAnsi="Times New Roman" w:cs="Times New Roman"/>
                <w:sz w:val="24"/>
                <w:szCs w:val="24"/>
              </w:rPr>
              <w:t xml:space="preserve"> Aizsardzības ministrijas </w:t>
            </w:r>
            <w:r w:rsidR="007B3532" w:rsidRPr="003A01DF">
              <w:rPr>
                <w:rFonts w:ascii="Times New Roman" w:hAnsi="Times New Roman" w:cs="Times New Roman"/>
                <w:sz w:val="24"/>
                <w:szCs w:val="24"/>
              </w:rPr>
              <w:t>tīmekļa vietnē</w:t>
            </w:r>
            <w:r w:rsidRPr="003A01DF">
              <w:rPr>
                <w:rFonts w:ascii="Times New Roman" w:hAnsi="Times New Roman" w:cs="Times New Roman"/>
                <w:sz w:val="24"/>
                <w:szCs w:val="24"/>
              </w:rPr>
              <w:t xml:space="preserve"> sadaļā </w:t>
            </w:r>
            <w:r w:rsidR="002378B9" w:rsidRPr="003A01DF">
              <w:rPr>
                <w:rFonts w:ascii="Times New Roman" w:hAnsi="Times New Roman" w:cs="Times New Roman"/>
                <w:sz w:val="24"/>
                <w:szCs w:val="24"/>
              </w:rPr>
              <w:t>“</w:t>
            </w:r>
            <w:r w:rsidRPr="003A01DF">
              <w:rPr>
                <w:rFonts w:ascii="Times New Roman" w:hAnsi="Times New Roman" w:cs="Times New Roman"/>
                <w:sz w:val="24"/>
                <w:szCs w:val="24"/>
              </w:rPr>
              <w:t>Sabiedrības līdzdalība</w:t>
            </w:r>
            <w:r w:rsidR="002378B9" w:rsidRPr="003A01DF">
              <w:rPr>
                <w:rFonts w:ascii="Times New Roman" w:hAnsi="Times New Roman" w:cs="Times New Roman"/>
                <w:sz w:val="24"/>
                <w:szCs w:val="24"/>
              </w:rPr>
              <w:t>”</w:t>
            </w:r>
            <w:r w:rsidR="005D67E3" w:rsidRPr="003A01DF">
              <w:rPr>
                <w:rFonts w:ascii="Times New Roman" w:hAnsi="Times New Roman" w:cs="Times New Roman"/>
                <w:sz w:val="24"/>
                <w:szCs w:val="24"/>
              </w:rPr>
              <w:t xml:space="preserve"> </w:t>
            </w:r>
            <w:r w:rsidR="00E4342D" w:rsidRPr="003A01DF">
              <w:rPr>
                <w:rFonts w:ascii="Times New Roman" w:hAnsi="Times New Roman" w:cs="Times New Roman"/>
                <w:sz w:val="24"/>
                <w:szCs w:val="24"/>
              </w:rPr>
              <w:t>un Valsts kancelejas tīmekļa vietnē.</w:t>
            </w:r>
          </w:p>
        </w:tc>
      </w:tr>
      <w:tr w:rsidR="0001268A" w:rsidRPr="003A01DF" w14:paraId="485158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084237"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E1357C"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DCDB97A" w14:textId="3A503728" w:rsidR="00E5323B" w:rsidRPr="003A01DF" w:rsidRDefault="007B5B77" w:rsidP="007E0F04">
            <w:pPr>
              <w:spacing w:after="0" w:line="240" w:lineRule="auto"/>
              <w:jc w:val="both"/>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sz w:val="24"/>
                <w:szCs w:val="24"/>
                <w:lang w:eastAsia="lv-LV"/>
              </w:rPr>
              <w:t>Likum</w:t>
            </w:r>
            <w:r w:rsidR="00F25AE9" w:rsidRPr="003A01DF">
              <w:rPr>
                <w:rFonts w:ascii="Times New Roman" w:eastAsia="Times New Roman" w:hAnsi="Times New Roman" w:cs="Times New Roman"/>
                <w:sz w:val="24"/>
                <w:szCs w:val="24"/>
                <w:lang w:eastAsia="lv-LV"/>
              </w:rPr>
              <w:t>projekts kopā ar sākotnējās ietekmes novērtējuma ziņojumu (anotāciju) 2018.</w:t>
            </w:r>
            <w:r w:rsidR="002378B9" w:rsidRPr="003A01DF">
              <w:rPr>
                <w:rFonts w:ascii="Times New Roman" w:eastAsia="Times New Roman" w:hAnsi="Times New Roman" w:cs="Times New Roman"/>
                <w:sz w:val="24"/>
                <w:szCs w:val="24"/>
                <w:lang w:eastAsia="lv-LV"/>
              </w:rPr>
              <w:t> </w:t>
            </w:r>
            <w:r w:rsidR="00F25AE9" w:rsidRPr="003A01DF">
              <w:rPr>
                <w:rFonts w:ascii="Times New Roman" w:eastAsia="Times New Roman" w:hAnsi="Times New Roman" w:cs="Times New Roman"/>
                <w:sz w:val="24"/>
                <w:szCs w:val="24"/>
                <w:lang w:eastAsia="lv-LV"/>
              </w:rPr>
              <w:t xml:space="preserve">gada </w:t>
            </w:r>
            <w:r w:rsidR="00D728D7" w:rsidRPr="003A01DF">
              <w:rPr>
                <w:rFonts w:ascii="Times New Roman" w:eastAsia="Times New Roman" w:hAnsi="Times New Roman" w:cs="Times New Roman"/>
                <w:sz w:val="24"/>
                <w:szCs w:val="24"/>
                <w:lang w:eastAsia="lv-LV"/>
              </w:rPr>
              <w:t xml:space="preserve">12. novembrī </w:t>
            </w:r>
            <w:r w:rsidR="002378B9" w:rsidRPr="003A01DF">
              <w:rPr>
                <w:rFonts w:ascii="Times New Roman" w:eastAsia="Times New Roman" w:hAnsi="Times New Roman" w:cs="Times New Roman"/>
                <w:sz w:val="24"/>
                <w:szCs w:val="24"/>
                <w:lang w:eastAsia="lv-LV"/>
              </w:rPr>
              <w:t xml:space="preserve">ir </w:t>
            </w:r>
            <w:r w:rsidR="00F25AE9" w:rsidRPr="003A01DF">
              <w:rPr>
                <w:rFonts w:ascii="Times New Roman" w:eastAsia="Times New Roman" w:hAnsi="Times New Roman" w:cs="Times New Roman"/>
                <w:sz w:val="24"/>
                <w:szCs w:val="24"/>
                <w:lang w:eastAsia="lv-LV"/>
              </w:rPr>
              <w:t xml:space="preserve">ievietots </w:t>
            </w:r>
            <w:r w:rsidR="002378B9" w:rsidRPr="003A01DF">
              <w:rPr>
                <w:rFonts w:ascii="Times New Roman" w:eastAsia="Times New Roman" w:hAnsi="Times New Roman" w:cs="Times New Roman"/>
                <w:sz w:val="24"/>
                <w:szCs w:val="24"/>
                <w:lang w:eastAsia="lv-LV"/>
              </w:rPr>
              <w:t xml:space="preserve">Aizsardzības </w:t>
            </w:r>
            <w:r w:rsidR="00F25AE9" w:rsidRPr="003A01DF">
              <w:rPr>
                <w:rFonts w:ascii="Times New Roman" w:eastAsia="Times New Roman" w:hAnsi="Times New Roman" w:cs="Times New Roman"/>
                <w:sz w:val="24"/>
                <w:szCs w:val="24"/>
                <w:lang w:eastAsia="lv-LV"/>
              </w:rPr>
              <w:t>ministrijas tīmekļvietn</w:t>
            </w:r>
            <w:r w:rsidR="002378B9" w:rsidRPr="003A01DF">
              <w:rPr>
                <w:rFonts w:ascii="Times New Roman" w:eastAsia="Times New Roman" w:hAnsi="Times New Roman" w:cs="Times New Roman"/>
                <w:sz w:val="24"/>
                <w:szCs w:val="24"/>
                <w:lang w:eastAsia="lv-LV"/>
              </w:rPr>
              <w:t>es</w:t>
            </w:r>
            <w:r w:rsidR="00F25AE9" w:rsidRPr="003A01DF">
              <w:rPr>
                <w:rFonts w:ascii="Times New Roman" w:eastAsia="Times New Roman" w:hAnsi="Times New Roman" w:cs="Times New Roman"/>
                <w:sz w:val="24"/>
                <w:szCs w:val="24"/>
                <w:lang w:eastAsia="lv-LV"/>
              </w:rPr>
              <w:t xml:space="preserve"> </w:t>
            </w:r>
            <w:hyperlink r:id="rId8" w:history="1">
              <w:r w:rsidR="00F25AE9" w:rsidRPr="003A01DF">
                <w:rPr>
                  <w:rStyle w:val="Hyperlink"/>
                  <w:rFonts w:ascii="Times New Roman" w:eastAsia="Times New Roman" w:hAnsi="Times New Roman" w:cs="Times New Roman"/>
                  <w:i/>
                  <w:color w:val="auto"/>
                  <w:sz w:val="24"/>
                  <w:szCs w:val="24"/>
                  <w:u w:val="none"/>
                  <w:lang w:eastAsia="lv-LV"/>
                </w:rPr>
                <w:t>www.mod.gov.lv</w:t>
              </w:r>
            </w:hyperlink>
            <w:r w:rsidR="00F25AE9" w:rsidRPr="003A01DF">
              <w:rPr>
                <w:rFonts w:ascii="Times New Roman" w:eastAsia="Times New Roman" w:hAnsi="Times New Roman" w:cs="Times New Roman"/>
                <w:sz w:val="24"/>
                <w:szCs w:val="24"/>
                <w:lang w:eastAsia="lv-LV"/>
              </w:rPr>
              <w:t xml:space="preserve"> sadaļā “Sabiedrības līdzdalība”</w:t>
            </w:r>
            <w:r w:rsidR="007E0F04" w:rsidRPr="003A01DF">
              <w:rPr>
                <w:rFonts w:ascii="Times New Roman" w:eastAsia="Times New Roman" w:hAnsi="Times New Roman" w:cs="Times New Roman"/>
                <w:sz w:val="24"/>
                <w:szCs w:val="24"/>
                <w:lang w:eastAsia="lv-LV"/>
              </w:rPr>
              <w:t xml:space="preserve"> un</w:t>
            </w:r>
            <w:r w:rsidR="00E51B6B" w:rsidRPr="003A01DF">
              <w:rPr>
                <w:rFonts w:ascii="Times New Roman" w:eastAsia="Times New Roman" w:hAnsi="Times New Roman" w:cs="Times New Roman"/>
                <w:sz w:val="24"/>
                <w:szCs w:val="24"/>
                <w:lang w:eastAsia="lv-LV"/>
              </w:rPr>
              <w:t xml:space="preserve"> </w:t>
            </w:r>
            <w:r w:rsidR="00E4342D" w:rsidRPr="003A01DF">
              <w:rPr>
                <w:rFonts w:ascii="Times New Roman" w:eastAsia="Times New Roman" w:hAnsi="Times New Roman" w:cs="Times New Roman"/>
                <w:sz w:val="24"/>
                <w:szCs w:val="24"/>
                <w:lang w:eastAsia="lv-LV"/>
              </w:rPr>
              <w:t>Valsts kancelejas mājas lapā</w:t>
            </w:r>
            <w:r w:rsidR="00705D1D" w:rsidRPr="003A01DF">
              <w:rPr>
                <w:rFonts w:ascii="Times New Roman" w:eastAsia="Times New Roman" w:hAnsi="Times New Roman" w:cs="Times New Roman"/>
                <w:sz w:val="24"/>
                <w:szCs w:val="24"/>
                <w:lang w:eastAsia="lv-LV"/>
              </w:rPr>
              <w:t>,</w:t>
            </w:r>
            <w:r w:rsidR="00E4342D" w:rsidRPr="003A01DF">
              <w:rPr>
                <w:rFonts w:ascii="Times New Roman" w:eastAsia="Times New Roman" w:hAnsi="Times New Roman" w:cs="Times New Roman"/>
                <w:sz w:val="24"/>
                <w:szCs w:val="24"/>
                <w:lang w:eastAsia="lv-LV"/>
              </w:rPr>
              <w:t xml:space="preserve"> </w:t>
            </w:r>
            <w:r w:rsidR="00F25AE9" w:rsidRPr="003A01DF">
              <w:rPr>
                <w:rFonts w:ascii="Times New Roman" w:eastAsia="Times New Roman" w:hAnsi="Times New Roman" w:cs="Times New Roman"/>
                <w:sz w:val="24"/>
                <w:szCs w:val="24"/>
                <w:lang w:eastAsia="lv-LV"/>
              </w:rPr>
              <w:t>aicinot sabiedrību izteikt savu viedokli</w:t>
            </w:r>
            <w:r w:rsidR="002378B9" w:rsidRPr="003A01DF">
              <w:rPr>
                <w:rFonts w:ascii="Times New Roman" w:eastAsia="Times New Roman" w:hAnsi="Times New Roman" w:cs="Times New Roman"/>
                <w:sz w:val="24"/>
                <w:szCs w:val="24"/>
                <w:lang w:eastAsia="lv-LV"/>
              </w:rPr>
              <w:t xml:space="preserve"> un </w:t>
            </w:r>
            <w:r w:rsidR="00F25AE9" w:rsidRPr="003A01DF">
              <w:rPr>
                <w:rFonts w:ascii="Times New Roman" w:eastAsia="Times New Roman" w:hAnsi="Times New Roman" w:cs="Times New Roman"/>
                <w:sz w:val="24"/>
                <w:szCs w:val="24"/>
                <w:lang w:eastAsia="lv-LV"/>
              </w:rPr>
              <w:t>iesniedzot ministrijai priekšlikumus rakstveidā.</w:t>
            </w:r>
          </w:p>
        </w:tc>
      </w:tr>
      <w:tr w:rsidR="0001268A" w:rsidRPr="003A01DF" w14:paraId="3B01A9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C30EFA"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2286E2"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09D3B88" w14:textId="1DD9C0E8" w:rsidR="00E5323B" w:rsidRPr="003A01DF" w:rsidRDefault="007E0F04"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sz w:val="24"/>
                <w:szCs w:val="24"/>
                <w:lang w:eastAsia="lv-LV"/>
              </w:rPr>
              <w:t>Sabiedrības viedoklis nav saņemts.</w:t>
            </w:r>
          </w:p>
        </w:tc>
      </w:tr>
      <w:tr w:rsidR="0001268A" w:rsidRPr="003A01DF" w14:paraId="7EA664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CD65FB"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CE2E8A"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DC5499" w14:textId="77777777" w:rsidR="00E5323B" w:rsidRPr="003A01DF" w:rsidRDefault="00F25AE9"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tc>
      </w:tr>
    </w:tbl>
    <w:p w14:paraId="5059F55B"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7"/>
      </w:tblGrid>
      <w:tr w:rsidR="0001268A" w:rsidRPr="003A01DF" w14:paraId="3173074B" w14:textId="77777777" w:rsidTr="00D27185">
        <w:trPr>
          <w:trHeight w:val="113"/>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2696C7" w14:textId="77777777" w:rsidR="00655F2C" w:rsidRPr="003A01DF" w:rsidRDefault="00E5323B" w:rsidP="00E5323B">
            <w:pPr>
              <w:spacing w:after="0" w:line="240" w:lineRule="auto"/>
              <w:rPr>
                <w:rFonts w:ascii="Times New Roman" w:eastAsia="Times New Roman" w:hAnsi="Times New Roman" w:cs="Times New Roman"/>
                <w:b/>
                <w:bCs/>
                <w:iCs/>
                <w:sz w:val="24"/>
                <w:szCs w:val="24"/>
                <w:lang w:eastAsia="lv-LV"/>
              </w:rPr>
            </w:pPr>
            <w:r w:rsidRPr="003A01D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1268A" w:rsidRPr="003A01DF" w14:paraId="50662F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EB8829"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D36468"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C1D0DDE" w14:textId="5FA3E62A" w:rsidR="00E5323B" w:rsidRPr="003A01DF" w:rsidRDefault="00F25AE9" w:rsidP="00AC733B">
            <w:pPr>
              <w:spacing w:after="0" w:line="240" w:lineRule="auto"/>
              <w:jc w:val="both"/>
              <w:rPr>
                <w:rFonts w:ascii="Times New Roman" w:hAnsi="Times New Roman" w:cs="Times New Roman"/>
                <w:sz w:val="24"/>
                <w:szCs w:val="24"/>
              </w:rPr>
            </w:pPr>
            <w:r w:rsidRPr="003A01DF">
              <w:rPr>
                <w:rFonts w:ascii="Times New Roman" w:eastAsia="Times New Roman" w:hAnsi="Times New Roman" w:cs="Times New Roman"/>
                <w:iCs/>
                <w:sz w:val="24"/>
                <w:szCs w:val="24"/>
                <w:lang w:eastAsia="lv-LV"/>
              </w:rPr>
              <w:t>Aizsardzības ministrija</w:t>
            </w:r>
            <w:r w:rsidR="00E4342D" w:rsidRPr="003A01DF">
              <w:rPr>
                <w:rFonts w:ascii="Times New Roman" w:eastAsia="Times New Roman" w:hAnsi="Times New Roman" w:cs="Times New Roman"/>
                <w:iCs/>
                <w:sz w:val="24"/>
                <w:szCs w:val="24"/>
                <w:lang w:eastAsia="lv-LV"/>
              </w:rPr>
              <w:t xml:space="preserve">, </w:t>
            </w:r>
            <w:r w:rsidR="00AC733B" w:rsidRPr="003A01DF">
              <w:rPr>
                <w:rFonts w:ascii="Times New Roman" w:eastAsia="Times New Roman" w:hAnsi="Times New Roman" w:cs="Times New Roman"/>
                <w:iCs/>
                <w:sz w:val="24"/>
                <w:szCs w:val="24"/>
                <w:lang w:eastAsia="lv-LV"/>
              </w:rPr>
              <w:t>Nacionālie bruņotie spēki</w:t>
            </w:r>
            <w:r w:rsidR="00D27185" w:rsidRPr="003A01DF">
              <w:rPr>
                <w:rFonts w:ascii="Times New Roman" w:eastAsia="Times New Roman" w:hAnsi="Times New Roman" w:cs="Times New Roman"/>
                <w:iCs/>
                <w:sz w:val="24"/>
                <w:szCs w:val="24"/>
                <w:lang w:eastAsia="lv-LV"/>
              </w:rPr>
              <w:t xml:space="preserve">, </w:t>
            </w:r>
            <w:r w:rsidR="00AC733B" w:rsidRPr="003A01DF">
              <w:rPr>
                <w:rFonts w:ascii="Times New Roman" w:hAnsi="Times New Roman" w:cs="Times New Roman"/>
                <w:sz w:val="24"/>
                <w:szCs w:val="24"/>
              </w:rPr>
              <w:t>LTAB.</w:t>
            </w:r>
          </w:p>
          <w:p w14:paraId="1ABFEFFB" w14:textId="3BF6F4E0" w:rsidR="00705D1D" w:rsidRPr="003A01DF" w:rsidRDefault="00705D1D" w:rsidP="00AC733B">
            <w:pPr>
              <w:spacing w:after="0" w:line="240" w:lineRule="auto"/>
              <w:jc w:val="both"/>
              <w:rPr>
                <w:rFonts w:ascii="Times New Roman" w:eastAsia="Times New Roman" w:hAnsi="Times New Roman" w:cs="Times New Roman"/>
                <w:iCs/>
                <w:sz w:val="24"/>
                <w:szCs w:val="24"/>
                <w:lang w:eastAsia="lv-LV"/>
              </w:rPr>
            </w:pPr>
          </w:p>
        </w:tc>
      </w:tr>
      <w:tr w:rsidR="0001268A" w:rsidRPr="003A01DF" w14:paraId="43C53A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4A46DB"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8D27A2"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Projekta izpildes ietekme uz pārvaldes funkcijām un institucionālo struktūru.</w:t>
            </w:r>
            <w:r w:rsidRPr="003A01DF">
              <w:rPr>
                <w:rFonts w:ascii="Times New Roman" w:eastAsia="Times New Roman" w:hAnsi="Times New Roman" w:cs="Times New Roman"/>
                <w:iCs/>
                <w:sz w:val="24"/>
                <w:szCs w:val="24"/>
                <w:lang w:eastAsia="lv-LV"/>
              </w:rPr>
              <w:br/>
            </w:r>
            <w:r w:rsidRPr="003A01DF">
              <w:rPr>
                <w:rFonts w:ascii="Times New Roman" w:eastAsia="Times New Roman" w:hAnsi="Times New Roman" w:cs="Times New Roman"/>
                <w:iCs/>
                <w:sz w:val="24"/>
                <w:szCs w:val="24"/>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136573B" w14:textId="726979DD" w:rsidR="00F25AE9" w:rsidRPr="003A01DF" w:rsidRDefault="00F25AE9" w:rsidP="00F25AE9">
            <w:pPr>
              <w:spacing w:after="0" w:line="240" w:lineRule="auto"/>
              <w:jc w:val="both"/>
              <w:rPr>
                <w:rFonts w:ascii="Times New Roman" w:eastAsia="Times New Roman" w:hAnsi="Times New Roman" w:cs="Times New Roman"/>
                <w:sz w:val="24"/>
                <w:szCs w:val="24"/>
                <w:lang w:eastAsia="lv-LV"/>
              </w:rPr>
            </w:pPr>
            <w:r w:rsidRPr="003A01DF">
              <w:rPr>
                <w:rFonts w:ascii="Times New Roman" w:eastAsia="Times New Roman" w:hAnsi="Times New Roman" w:cs="Times New Roman"/>
                <w:sz w:val="24"/>
                <w:szCs w:val="24"/>
                <w:lang w:eastAsia="lv-LV"/>
              </w:rPr>
              <w:lastRenderedPageBreak/>
              <w:t>Jaunas institūcijas netiek veidotas, esošās netiek likvidētas vai reorganizētas.</w:t>
            </w:r>
            <w:r w:rsidR="00C2542A" w:rsidRPr="003A01DF">
              <w:rPr>
                <w:rFonts w:ascii="Times New Roman" w:eastAsia="Times New Roman" w:hAnsi="Times New Roman" w:cs="Times New Roman"/>
                <w:sz w:val="24"/>
                <w:szCs w:val="24"/>
                <w:lang w:eastAsia="lv-LV"/>
              </w:rPr>
              <w:t xml:space="preserve"> Uzdevumu izpildes apjoma palielinājumu nav iespējams precīzi prognozēt, jo tas būs </w:t>
            </w:r>
            <w:r w:rsidR="00C2542A" w:rsidRPr="003A01DF">
              <w:rPr>
                <w:rFonts w:ascii="Times New Roman" w:eastAsia="Times New Roman" w:hAnsi="Times New Roman" w:cs="Times New Roman"/>
                <w:sz w:val="24"/>
                <w:szCs w:val="24"/>
                <w:lang w:eastAsia="lv-LV"/>
              </w:rPr>
              <w:lastRenderedPageBreak/>
              <w:t>atkarīgs no negadījumu skaita, kuros zaudējumus nodarījušais transportlīdzeklis būs Latvijas Nacionālo bruņoto spēku speciālā militārā tehnika</w:t>
            </w:r>
            <w:r w:rsidR="007B3532" w:rsidRPr="003A01DF">
              <w:rPr>
                <w:rFonts w:ascii="Times New Roman" w:eastAsia="Times New Roman" w:hAnsi="Times New Roman" w:cs="Times New Roman"/>
                <w:sz w:val="24"/>
                <w:szCs w:val="24"/>
                <w:lang w:eastAsia="lv-LV"/>
              </w:rPr>
              <w:t>, kā arī administrēšanas sarežģītības</w:t>
            </w:r>
            <w:r w:rsidR="00C2542A" w:rsidRPr="003A01DF">
              <w:rPr>
                <w:rFonts w:ascii="Times New Roman" w:eastAsia="Times New Roman" w:hAnsi="Times New Roman" w:cs="Times New Roman"/>
                <w:sz w:val="24"/>
                <w:szCs w:val="24"/>
                <w:lang w:eastAsia="lv-LV"/>
              </w:rPr>
              <w:t>. Pēdējos piecos gados Nacionālajos bruņotajos spēkos nav reģistrēts neviens negadījums, kurā trešajai personai zaudējumus būtu nodarījusi speciālā militārā tehnika.</w:t>
            </w:r>
          </w:p>
          <w:p w14:paraId="3FC82CF2" w14:textId="3FFB7ED0" w:rsidR="00E5323B" w:rsidRPr="003A01DF" w:rsidRDefault="006758F0" w:rsidP="009739AE">
            <w:pPr>
              <w:spacing w:after="0" w:line="240" w:lineRule="auto"/>
              <w:jc w:val="both"/>
              <w:rPr>
                <w:rFonts w:ascii="Times New Roman" w:eastAsia="Times New Roman" w:hAnsi="Times New Roman" w:cs="Times New Roman"/>
                <w:sz w:val="24"/>
                <w:szCs w:val="24"/>
                <w:lang w:eastAsia="lv-LV"/>
              </w:rPr>
            </w:pPr>
            <w:r w:rsidRPr="003A01DF">
              <w:rPr>
                <w:rFonts w:ascii="Times New Roman" w:eastAsia="Times New Roman" w:hAnsi="Times New Roman" w:cs="Times New Roman"/>
                <w:sz w:val="24"/>
                <w:szCs w:val="24"/>
                <w:lang w:eastAsia="lv-LV"/>
              </w:rPr>
              <w:t>LTAB jau šobrīd administrē zaudējumu atlīdzību tiem cietušajiem, kuriem zaudējumus nodara neapdrošināts transportlīdzeklis. Līdz ar to LTAB ir jau izstrādātas iekšējās procedūras un ir resursi šī papildus pienākuma izpildei.</w:t>
            </w:r>
          </w:p>
          <w:p w14:paraId="3CBD4322" w14:textId="1DE9BA26" w:rsidR="006758F0" w:rsidRPr="003A01DF" w:rsidRDefault="006758F0" w:rsidP="0056267B">
            <w:pPr>
              <w:spacing w:after="0" w:line="240" w:lineRule="auto"/>
              <w:jc w:val="both"/>
              <w:rPr>
                <w:rFonts w:ascii="Times New Roman" w:eastAsia="Times New Roman" w:hAnsi="Times New Roman" w:cs="Times New Roman"/>
                <w:iCs/>
                <w:sz w:val="24"/>
                <w:szCs w:val="24"/>
                <w:lang w:eastAsia="lv-LV"/>
              </w:rPr>
            </w:pPr>
          </w:p>
        </w:tc>
      </w:tr>
      <w:tr w:rsidR="00E5323B" w:rsidRPr="003A01DF" w14:paraId="397722D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70A72E" w14:textId="77777777" w:rsidR="00655F2C"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CCA303A" w14:textId="77777777" w:rsidR="00E5323B" w:rsidRPr="003A01DF" w:rsidRDefault="00E5323B"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A91AD4" w14:textId="77777777" w:rsidR="00E5323B" w:rsidRPr="003A01DF" w:rsidRDefault="00F25AE9" w:rsidP="00E5323B">
            <w:pPr>
              <w:spacing w:after="0" w:line="240" w:lineRule="auto"/>
              <w:rPr>
                <w:rFonts w:ascii="Times New Roman" w:eastAsia="Times New Roman" w:hAnsi="Times New Roman" w:cs="Times New Roman"/>
                <w:iCs/>
                <w:sz w:val="24"/>
                <w:szCs w:val="24"/>
                <w:lang w:eastAsia="lv-LV"/>
              </w:rPr>
            </w:pPr>
            <w:r w:rsidRPr="003A01DF">
              <w:rPr>
                <w:rFonts w:ascii="Times New Roman" w:eastAsia="Times New Roman" w:hAnsi="Times New Roman" w:cs="Times New Roman"/>
                <w:iCs/>
                <w:sz w:val="24"/>
                <w:szCs w:val="24"/>
                <w:lang w:eastAsia="lv-LV"/>
              </w:rPr>
              <w:t>Nav</w:t>
            </w:r>
          </w:p>
        </w:tc>
      </w:tr>
    </w:tbl>
    <w:p w14:paraId="50B8E1E0" w14:textId="72A24CD2" w:rsidR="00EC69BF" w:rsidRPr="003A01DF" w:rsidRDefault="00EC69BF" w:rsidP="00F25AE9">
      <w:pPr>
        <w:tabs>
          <w:tab w:val="left" w:pos="6237"/>
        </w:tabs>
        <w:spacing w:after="0" w:line="240" w:lineRule="auto"/>
        <w:rPr>
          <w:rFonts w:ascii="Times New Roman" w:hAnsi="Times New Roman" w:cs="Times New Roman"/>
          <w:sz w:val="28"/>
          <w:szCs w:val="28"/>
        </w:rPr>
      </w:pPr>
    </w:p>
    <w:p w14:paraId="036D9A6B" w14:textId="77777777" w:rsidR="007F2F22" w:rsidRPr="006B5160" w:rsidRDefault="007F2F22" w:rsidP="008F08BD">
      <w:pPr>
        <w:rPr>
          <w:rFonts w:ascii="Times New Roman" w:hAnsi="Times New Roman" w:cs="Times New Roman"/>
          <w:sz w:val="24"/>
          <w:szCs w:val="24"/>
        </w:rPr>
      </w:pPr>
    </w:p>
    <w:p w14:paraId="34844DAA" w14:textId="77777777" w:rsidR="007F2F22" w:rsidRPr="006B5160" w:rsidRDefault="0082797D" w:rsidP="007F2F22">
      <w:pPr>
        <w:spacing w:after="0" w:line="240" w:lineRule="auto"/>
        <w:rPr>
          <w:rFonts w:ascii="Times New Roman" w:hAnsi="Times New Roman" w:cs="Times New Roman"/>
          <w:sz w:val="24"/>
          <w:szCs w:val="24"/>
        </w:rPr>
      </w:pPr>
      <w:r w:rsidRPr="006B5160">
        <w:rPr>
          <w:rFonts w:ascii="Times New Roman" w:hAnsi="Times New Roman" w:cs="Times New Roman"/>
          <w:sz w:val="24"/>
          <w:szCs w:val="24"/>
        </w:rPr>
        <w:t xml:space="preserve">Ministru prezidenta biedrs, </w:t>
      </w:r>
    </w:p>
    <w:p w14:paraId="5DBA3A10" w14:textId="41B9137C" w:rsidR="00EC69BF" w:rsidRPr="006B5160" w:rsidRDefault="0082797D" w:rsidP="007F2F22">
      <w:pPr>
        <w:spacing w:after="0" w:line="240" w:lineRule="auto"/>
        <w:rPr>
          <w:rFonts w:ascii="Times New Roman" w:hAnsi="Times New Roman" w:cs="Times New Roman"/>
          <w:sz w:val="24"/>
          <w:szCs w:val="24"/>
        </w:rPr>
      </w:pPr>
      <w:r w:rsidRPr="006B5160">
        <w:rPr>
          <w:rFonts w:ascii="Times New Roman" w:hAnsi="Times New Roman" w:cs="Times New Roman"/>
          <w:sz w:val="24"/>
          <w:szCs w:val="24"/>
        </w:rPr>
        <w:t>aizsardzības ministrs                            </w:t>
      </w:r>
      <w:r w:rsidR="007F2F22" w:rsidRPr="006B5160">
        <w:rPr>
          <w:rFonts w:ascii="Times New Roman" w:hAnsi="Times New Roman" w:cs="Times New Roman"/>
          <w:sz w:val="24"/>
          <w:szCs w:val="24"/>
        </w:rPr>
        <w:tab/>
      </w:r>
      <w:r w:rsidR="007F2F22" w:rsidRPr="006B5160">
        <w:rPr>
          <w:rFonts w:ascii="Times New Roman" w:hAnsi="Times New Roman" w:cs="Times New Roman"/>
          <w:sz w:val="24"/>
          <w:szCs w:val="24"/>
        </w:rPr>
        <w:tab/>
      </w:r>
      <w:r w:rsidR="007F2F22" w:rsidRPr="006B5160">
        <w:rPr>
          <w:rFonts w:ascii="Times New Roman" w:hAnsi="Times New Roman" w:cs="Times New Roman"/>
          <w:sz w:val="24"/>
          <w:szCs w:val="24"/>
        </w:rPr>
        <w:tab/>
      </w:r>
      <w:r w:rsidR="007F2F22" w:rsidRPr="006B5160">
        <w:rPr>
          <w:rFonts w:ascii="Times New Roman" w:hAnsi="Times New Roman" w:cs="Times New Roman"/>
          <w:sz w:val="24"/>
          <w:szCs w:val="24"/>
        </w:rPr>
        <w:tab/>
      </w:r>
      <w:r w:rsidRPr="006B5160">
        <w:rPr>
          <w:rFonts w:ascii="Times New Roman" w:hAnsi="Times New Roman" w:cs="Times New Roman"/>
          <w:sz w:val="24"/>
          <w:szCs w:val="24"/>
        </w:rPr>
        <w:t>                    Artis Pabriks</w:t>
      </w:r>
    </w:p>
    <w:p w14:paraId="0363347D" w14:textId="77777777" w:rsidR="008F08BD" w:rsidRPr="006B5160" w:rsidRDefault="008F08BD" w:rsidP="00F25AE9">
      <w:pPr>
        <w:tabs>
          <w:tab w:val="left" w:pos="6237"/>
        </w:tabs>
        <w:spacing w:after="0" w:line="240" w:lineRule="auto"/>
        <w:rPr>
          <w:rFonts w:ascii="Times New Roman" w:hAnsi="Times New Roman" w:cs="Times New Roman"/>
          <w:sz w:val="20"/>
          <w:szCs w:val="20"/>
        </w:rPr>
      </w:pPr>
    </w:p>
    <w:p w14:paraId="58546858" w14:textId="77777777" w:rsidR="008F08BD" w:rsidRPr="006B5160" w:rsidRDefault="008F08BD" w:rsidP="00F25AE9">
      <w:pPr>
        <w:tabs>
          <w:tab w:val="left" w:pos="6237"/>
        </w:tabs>
        <w:spacing w:after="0" w:line="240" w:lineRule="auto"/>
        <w:rPr>
          <w:rFonts w:ascii="Times New Roman" w:hAnsi="Times New Roman" w:cs="Times New Roman"/>
          <w:sz w:val="20"/>
          <w:szCs w:val="20"/>
        </w:rPr>
      </w:pPr>
    </w:p>
    <w:p w14:paraId="5B5F5DE8" w14:textId="68A335D0" w:rsidR="00F25AE9" w:rsidRPr="006B5160" w:rsidRDefault="007A00ED" w:rsidP="00F25AE9">
      <w:pPr>
        <w:tabs>
          <w:tab w:val="left" w:pos="6237"/>
        </w:tabs>
        <w:spacing w:after="0" w:line="240" w:lineRule="auto"/>
        <w:rPr>
          <w:rFonts w:ascii="Times New Roman" w:hAnsi="Times New Roman" w:cs="Times New Roman"/>
          <w:sz w:val="20"/>
          <w:szCs w:val="20"/>
        </w:rPr>
      </w:pPr>
      <w:r w:rsidRPr="006B5160">
        <w:rPr>
          <w:rFonts w:ascii="Times New Roman" w:hAnsi="Times New Roman" w:cs="Times New Roman"/>
          <w:sz w:val="20"/>
          <w:szCs w:val="20"/>
        </w:rPr>
        <w:t>M. </w:t>
      </w:r>
      <w:r w:rsidR="00F25AE9" w:rsidRPr="006B5160">
        <w:rPr>
          <w:rFonts w:ascii="Times New Roman" w:hAnsi="Times New Roman" w:cs="Times New Roman"/>
          <w:sz w:val="20"/>
          <w:szCs w:val="20"/>
        </w:rPr>
        <w:t>Baltā</w:t>
      </w:r>
      <w:r w:rsidRPr="006B5160">
        <w:rPr>
          <w:rFonts w:ascii="Times New Roman" w:hAnsi="Times New Roman" w:cs="Times New Roman"/>
          <w:sz w:val="20"/>
          <w:szCs w:val="20"/>
        </w:rPr>
        <w:t>,</w:t>
      </w:r>
      <w:r w:rsidR="00F25AE9" w:rsidRPr="006B5160">
        <w:rPr>
          <w:rFonts w:ascii="Times New Roman" w:hAnsi="Times New Roman" w:cs="Times New Roman"/>
          <w:sz w:val="20"/>
          <w:szCs w:val="20"/>
        </w:rPr>
        <w:t xml:space="preserve"> 67</w:t>
      </w:r>
      <w:r w:rsidR="001177DA" w:rsidRPr="006B5160">
        <w:rPr>
          <w:rFonts w:ascii="Times New Roman" w:hAnsi="Times New Roman" w:cs="Times New Roman"/>
          <w:sz w:val="20"/>
          <w:szCs w:val="20"/>
        </w:rPr>
        <w:t>335270</w:t>
      </w:r>
    </w:p>
    <w:p w14:paraId="3019BD45" w14:textId="66163250" w:rsidR="00E4342D" w:rsidRPr="006B5160" w:rsidRDefault="00F25AE9" w:rsidP="00486161">
      <w:pPr>
        <w:tabs>
          <w:tab w:val="left" w:pos="6237"/>
        </w:tabs>
        <w:spacing w:after="0" w:line="240" w:lineRule="auto"/>
        <w:rPr>
          <w:rFonts w:ascii="Times New Roman" w:hAnsi="Times New Roman" w:cs="Times New Roman"/>
          <w:sz w:val="20"/>
          <w:szCs w:val="20"/>
        </w:rPr>
      </w:pPr>
      <w:r w:rsidRPr="006B5160">
        <w:rPr>
          <w:rFonts w:ascii="Times New Roman" w:hAnsi="Times New Roman" w:cs="Times New Roman"/>
          <w:sz w:val="20"/>
          <w:szCs w:val="20"/>
        </w:rPr>
        <w:t>marina.balta@mod.gov.lv</w:t>
      </w:r>
    </w:p>
    <w:p w14:paraId="30CB8102" w14:textId="7B1678A9" w:rsidR="00F25AE9" w:rsidRPr="006B5160" w:rsidRDefault="00E4342D" w:rsidP="00E4342D">
      <w:pPr>
        <w:tabs>
          <w:tab w:val="left" w:pos="1431"/>
        </w:tabs>
        <w:rPr>
          <w:rFonts w:ascii="Times New Roman" w:hAnsi="Times New Roman" w:cs="Times New Roman"/>
          <w:sz w:val="20"/>
          <w:szCs w:val="20"/>
        </w:rPr>
      </w:pPr>
      <w:r w:rsidRPr="006B5160">
        <w:rPr>
          <w:rFonts w:ascii="Times New Roman" w:hAnsi="Times New Roman" w:cs="Times New Roman"/>
          <w:sz w:val="20"/>
          <w:szCs w:val="20"/>
        </w:rPr>
        <w:tab/>
      </w:r>
      <w:bookmarkStart w:id="0" w:name="_GoBack"/>
      <w:bookmarkEnd w:id="0"/>
    </w:p>
    <w:sectPr w:rsidR="00F25AE9" w:rsidRPr="006B5160" w:rsidSect="007F2F22">
      <w:headerReference w:type="default" r:id="rId9"/>
      <w:footerReference w:type="default" r:id="rId10"/>
      <w:footerReference w:type="first" r:id="rId11"/>
      <w:pgSz w:w="11906" w:h="16838"/>
      <w:pgMar w:top="1276" w:right="566"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77872" w14:textId="77777777" w:rsidR="006D6E50" w:rsidRDefault="006D6E50" w:rsidP="00894C55">
      <w:pPr>
        <w:spacing w:after="0" w:line="240" w:lineRule="auto"/>
      </w:pPr>
      <w:r>
        <w:separator/>
      </w:r>
    </w:p>
  </w:endnote>
  <w:endnote w:type="continuationSeparator" w:id="0">
    <w:p w14:paraId="683A3A02" w14:textId="77777777" w:rsidR="006D6E50" w:rsidRDefault="006D6E5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6760" w14:textId="5951ACFA" w:rsidR="006D6E50" w:rsidRPr="009A2654" w:rsidRDefault="00534B00" w:rsidP="00C92D18">
    <w:pPr>
      <w:pStyle w:val="Footer"/>
      <w:rPr>
        <w:rFonts w:ascii="Times New Roman" w:hAnsi="Times New Roman" w:cs="Times New Roman"/>
        <w:sz w:val="20"/>
        <w:szCs w:val="20"/>
      </w:rPr>
    </w:pPr>
    <w:r>
      <w:rPr>
        <w:rFonts w:ascii="Times New Roman" w:hAnsi="Times New Roman" w:cs="Times New Roman"/>
        <w:sz w:val="20"/>
        <w:szCs w:val="20"/>
      </w:rPr>
      <w:t>AiMA</w:t>
    </w:r>
    <w:r w:rsidR="006D6E50">
      <w:rPr>
        <w:rFonts w:ascii="Times New Roman" w:hAnsi="Times New Roman" w:cs="Times New Roman"/>
        <w:sz w:val="20"/>
        <w:szCs w:val="20"/>
      </w:rPr>
      <w:t>not_</w:t>
    </w:r>
    <w:r w:rsidR="006B5160">
      <w:rPr>
        <w:rFonts w:ascii="Times New Roman" w:hAnsi="Times New Roman" w:cs="Times New Roman"/>
        <w:sz w:val="20"/>
        <w:szCs w:val="20"/>
      </w:rPr>
      <w:t>1211</w:t>
    </w:r>
    <w:r w:rsidR="006D6E50">
      <w:rPr>
        <w:rFonts w:ascii="Times New Roman" w:hAnsi="Times New Roman" w:cs="Times New Roman"/>
        <w:sz w:val="20"/>
        <w:szCs w:val="20"/>
      </w:rPr>
      <w:t>19_OCTA</w:t>
    </w:r>
  </w:p>
  <w:p w14:paraId="66AA1D5B" w14:textId="3FFA9058" w:rsidR="006D6E50" w:rsidRPr="00C92D18" w:rsidRDefault="006D6E50" w:rsidP="00C92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01E7A" w14:textId="61F5003F" w:rsidR="006D6E50" w:rsidRPr="009A2654" w:rsidRDefault="006D6E50">
    <w:pPr>
      <w:pStyle w:val="Footer"/>
      <w:rPr>
        <w:rFonts w:ascii="Times New Roman" w:hAnsi="Times New Roman" w:cs="Times New Roman"/>
        <w:sz w:val="20"/>
        <w:szCs w:val="20"/>
      </w:rPr>
    </w:pPr>
    <w:r>
      <w:rPr>
        <w:rFonts w:ascii="Times New Roman" w:hAnsi="Times New Roman" w:cs="Times New Roman"/>
        <w:sz w:val="20"/>
        <w:szCs w:val="20"/>
      </w:rPr>
      <w:t>AiM</w:t>
    </w:r>
    <w:r w:rsidR="00534B00">
      <w:rPr>
        <w:rFonts w:ascii="Times New Roman" w:hAnsi="Times New Roman" w:cs="Times New Roman"/>
        <w:sz w:val="20"/>
        <w:szCs w:val="20"/>
      </w:rPr>
      <w:t>A</w:t>
    </w:r>
    <w:r>
      <w:rPr>
        <w:rFonts w:ascii="Times New Roman" w:hAnsi="Times New Roman" w:cs="Times New Roman"/>
        <w:sz w:val="20"/>
        <w:szCs w:val="20"/>
      </w:rPr>
      <w:t>not_</w:t>
    </w:r>
    <w:r w:rsidR="006B5160">
      <w:rPr>
        <w:rFonts w:ascii="Times New Roman" w:hAnsi="Times New Roman" w:cs="Times New Roman"/>
        <w:sz w:val="20"/>
        <w:szCs w:val="20"/>
      </w:rPr>
      <w:t>1211</w:t>
    </w:r>
    <w:r>
      <w:rPr>
        <w:rFonts w:ascii="Times New Roman" w:hAnsi="Times New Roman" w:cs="Times New Roman"/>
        <w:sz w:val="20"/>
        <w:szCs w:val="20"/>
      </w:rPr>
      <w:t>19_OCTA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6D7B5" w14:textId="77777777" w:rsidR="006D6E50" w:rsidRDefault="006D6E50" w:rsidP="00894C55">
      <w:pPr>
        <w:spacing w:after="0" w:line="240" w:lineRule="auto"/>
      </w:pPr>
      <w:r>
        <w:separator/>
      </w:r>
    </w:p>
  </w:footnote>
  <w:footnote w:type="continuationSeparator" w:id="0">
    <w:p w14:paraId="1A5C3925" w14:textId="77777777" w:rsidR="006D6E50" w:rsidRDefault="006D6E50" w:rsidP="00894C55">
      <w:pPr>
        <w:spacing w:after="0" w:line="240" w:lineRule="auto"/>
      </w:pPr>
      <w:r>
        <w:continuationSeparator/>
      </w:r>
    </w:p>
  </w:footnote>
  <w:footnote w:id="1">
    <w:p w14:paraId="7133D6C3" w14:textId="54FDAB77" w:rsidR="006D6E50" w:rsidRDefault="006D6E50" w:rsidP="00096D80">
      <w:pPr>
        <w:pStyle w:val="FootnoteText"/>
        <w:rPr>
          <w:rFonts w:ascii="Times New Roman" w:hAnsi="Times New Roman" w:cs="Times New Roman"/>
        </w:rPr>
      </w:pPr>
      <w:r>
        <w:rPr>
          <w:rStyle w:val="FootnoteReference"/>
        </w:rPr>
        <w:footnoteRef/>
      </w:r>
      <w:r>
        <w:t xml:space="preserve"> </w:t>
      </w:r>
      <w:hyperlink r:id="rId1" w:history="1">
        <w:r w:rsidRPr="00237ED5">
          <w:rPr>
            <w:rStyle w:val="Hyperlink"/>
            <w:rFonts w:ascii="Times New Roman" w:hAnsi="Times New Roman" w:cs="Times New Roman"/>
          </w:rPr>
          <w:t>https://ec.europa.eu/info/business-economy-euro/banking-and-finance/insurance-and-pensions/motor-insurance_en</w:t>
        </w:r>
      </w:hyperlink>
    </w:p>
    <w:p w14:paraId="484F2B42" w14:textId="77777777" w:rsidR="006D6E50" w:rsidRDefault="006D6E50" w:rsidP="00096D80">
      <w:pPr>
        <w:pStyle w:val="FootnoteText"/>
      </w:pPr>
    </w:p>
  </w:footnote>
  <w:footnote w:id="2">
    <w:p w14:paraId="630EE8EE" w14:textId="628C3009" w:rsidR="006D6E50" w:rsidRPr="0001268A" w:rsidRDefault="006D6E50" w:rsidP="009752F5">
      <w:pPr>
        <w:pStyle w:val="FootnoteText"/>
        <w:rPr>
          <w:rFonts w:ascii="Times New Roman" w:hAnsi="Times New Roman" w:cs="Times New Roman"/>
        </w:rPr>
      </w:pPr>
      <w:r w:rsidRPr="007A0E97">
        <w:rPr>
          <w:rStyle w:val="FootnoteReference"/>
          <w:rFonts w:ascii="Times New Roman" w:hAnsi="Times New Roman" w:cs="Times New Roman"/>
        </w:rPr>
        <w:footnoteRef/>
      </w:r>
      <w:r w:rsidRPr="007A0E97">
        <w:rPr>
          <w:rFonts w:ascii="Times New Roman" w:hAnsi="Times New Roman" w:cs="Times New Roman"/>
        </w:rPr>
        <w:t xml:space="preserve"> </w:t>
      </w:r>
      <w:r w:rsidRPr="0001268A">
        <w:rPr>
          <w:rFonts w:ascii="Times New Roman" w:hAnsi="Times New Roman" w:cs="Times New Roman"/>
        </w:rPr>
        <w:t>Likuma “Par Ziemeļatlantijas līguma organizācijas dalībvalstu līgumu par to bruņoto spēku statusu” 3. pants.</w:t>
      </w:r>
    </w:p>
  </w:footnote>
  <w:footnote w:id="3">
    <w:p w14:paraId="60EA1E34" w14:textId="672B6BBA" w:rsidR="006D6E50" w:rsidRPr="009752F5" w:rsidRDefault="006D6E50" w:rsidP="0001268A">
      <w:pPr>
        <w:spacing w:after="0" w:line="240" w:lineRule="auto"/>
        <w:jc w:val="both"/>
        <w:rPr>
          <w:rFonts w:ascii="Times New Roman" w:hAnsi="Times New Roman" w:cs="Times New Roman"/>
          <w:bCs/>
          <w:color w:val="414142"/>
          <w:sz w:val="20"/>
          <w:szCs w:val="20"/>
        </w:rPr>
      </w:pPr>
      <w:r w:rsidRPr="0001268A">
        <w:rPr>
          <w:rStyle w:val="FootnoteReference"/>
          <w:rFonts w:ascii="Times New Roman" w:hAnsi="Times New Roman" w:cs="Times New Roman"/>
          <w:sz w:val="20"/>
          <w:szCs w:val="20"/>
        </w:rPr>
        <w:footnoteRef/>
      </w:r>
      <w:r w:rsidRPr="0001268A">
        <w:rPr>
          <w:rFonts w:ascii="Times New Roman" w:hAnsi="Times New Roman" w:cs="Times New Roman"/>
          <w:sz w:val="20"/>
          <w:szCs w:val="20"/>
        </w:rPr>
        <w:t xml:space="preserve"> </w:t>
      </w:r>
      <w:r w:rsidRPr="0001268A">
        <w:rPr>
          <w:rFonts w:ascii="Times New Roman" w:hAnsi="Times New Roman" w:cs="Times New Roman"/>
          <w:bCs/>
          <w:color w:val="414142"/>
          <w:sz w:val="20"/>
          <w:szCs w:val="20"/>
        </w:rPr>
        <w:t xml:space="preserve">Ziemeļatlantijas līguma organizācijas dalībvalstu un valstu, kas piedalās programmā "Partnerattiecības — mieram", līgums par to bruņoto spēku statusu </w:t>
      </w:r>
      <w:r w:rsidRPr="0001268A">
        <w:rPr>
          <w:rFonts w:ascii="Times New Roman" w:hAnsi="Times New Roman" w:cs="Times New Roman"/>
          <w:bCs/>
          <w:sz w:val="20"/>
          <w:szCs w:val="20"/>
        </w:rPr>
        <w:t xml:space="preserve">1.pants </w:t>
      </w:r>
      <w:r w:rsidRPr="0001268A">
        <w:rPr>
          <w:rFonts w:ascii="Times New Roman" w:hAnsi="Times New Roman" w:cs="Times New Roman"/>
          <w:sz w:val="20"/>
          <w:szCs w:val="20"/>
        </w:rPr>
        <w:t xml:space="preserve">nosaka, ja </w:t>
      </w:r>
      <w:r w:rsidRPr="0001268A">
        <w:rPr>
          <w:rFonts w:ascii="Times New Roman" w:hAnsi="Times New Roman" w:cs="Times New Roman"/>
          <w:color w:val="414142"/>
          <w:sz w:val="20"/>
          <w:szCs w:val="20"/>
          <w:lang w:eastAsia="lv-LV"/>
        </w:rPr>
        <w:t>šis Līgums vai jebkurš papildprotokols attiecībā uz tā dalībvalstīm neparedz ko citu, visas šī Līguma dalībvalstis piemēro 1951.gada 19.jūnijā Londonā parakstītā Ziemeļatlantijas līguma organizācijas dalībvalstu līguma par to bruņotajiem spēkiem noteikumus tā, it kā visas šī Līguma dalībvalstis būtu NATO SOFA dalībvalstis</w:t>
      </w:r>
      <w:r w:rsidRPr="009752F5">
        <w:rPr>
          <w:rFonts w:ascii="Times New Roman" w:hAnsi="Times New Roman" w:cs="Times New Roman"/>
          <w:color w:val="414142"/>
          <w:sz w:val="20"/>
          <w:szCs w:val="20"/>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415908"/>
      <w:docPartObj>
        <w:docPartGallery w:val="Page Numbers (Top of Page)"/>
        <w:docPartUnique/>
      </w:docPartObj>
    </w:sdtPr>
    <w:sdtEndPr>
      <w:rPr>
        <w:rFonts w:ascii="Times New Roman" w:hAnsi="Times New Roman" w:cs="Times New Roman"/>
        <w:noProof/>
        <w:sz w:val="24"/>
        <w:szCs w:val="20"/>
      </w:rPr>
    </w:sdtEndPr>
    <w:sdtContent>
      <w:p w14:paraId="6790A01A" w14:textId="47A6318E" w:rsidR="006D6E50" w:rsidRPr="00C25B49" w:rsidRDefault="006D6E5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34B00">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536"/>
    <w:multiLevelType w:val="hybridMultilevel"/>
    <w:tmpl w:val="657497E0"/>
    <w:lvl w:ilvl="0" w:tplc="0092591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069D777F"/>
    <w:multiLevelType w:val="hybridMultilevel"/>
    <w:tmpl w:val="2A7C48E4"/>
    <w:lvl w:ilvl="0" w:tplc="031CA7B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135599"/>
    <w:multiLevelType w:val="hybridMultilevel"/>
    <w:tmpl w:val="B05AFC66"/>
    <w:lvl w:ilvl="0" w:tplc="C50032A8">
      <w:start w:val="19"/>
      <w:numFmt w:val="bullet"/>
      <w:lvlText w:val="-"/>
      <w:lvlJc w:val="left"/>
      <w:pPr>
        <w:ind w:left="420" w:hanging="360"/>
      </w:pPr>
      <w:rPr>
        <w:rFonts w:ascii="Times New Roman" w:eastAsia="Times New Roman" w:hAnsi="Times New Roman" w:cs="Times New Roman" w:hint="default"/>
        <w:color w:val="auto"/>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16003123"/>
    <w:multiLevelType w:val="hybridMultilevel"/>
    <w:tmpl w:val="1DDA9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BF42304"/>
    <w:multiLevelType w:val="hybridMultilevel"/>
    <w:tmpl w:val="5498B84A"/>
    <w:lvl w:ilvl="0" w:tplc="C8666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C34D4"/>
    <w:multiLevelType w:val="hybridMultilevel"/>
    <w:tmpl w:val="D10A0B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42405A"/>
    <w:multiLevelType w:val="hybridMultilevel"/>
    <w:tmpl w:val="0B30A1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15:restartNumberingAfterBreak="0">
    <w:nsid w:val="308E7664"/>
    <w:multiLevelType w:val="hybridMultilevel"/>
    <w:tmpl w:val="F7E4739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4AA6BB4"/>
    <w:multiLevelType w:val="hybridMultilevel"/>
    <w:tmpl w:val="B77C803A"/>
    <w:lvl w:ilvl="0" w:tplc="5DD8AB28">
      <w:numFmt w:val="bullet"/>
      <w:lvlText w:val="-"/>
      <w:lvlJc w:val="left"/>
      <w:pPr>
        <w:ind w:left="753" w:hanging="360"/>
      </w:pPr>
      <w:rPr>
        <w:rFonts w:ascii="Times New Roman" w:eastAsiaTheme="minorHAnsi" w:hAnsi="Times New Roman" w:cs="Times New Roman" w:hint="default"/>
        <w:sz w:val="24"/>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14" w15:restartNumberingAfterBreak="0">
    <w:nsid w:val="470A1AD7"/>
    <w:multiLevelType w:val="hybridMultilevel"/>
    <w:tmpl w:val="47CCCF78"/>
    <w:lvl w:ilvl="0" w:tplc="A46893E6">
      <w:start w:val="6"/>
      <w:numFmt w:val="bullet"/>
      <w:lvlText w:val="-"/>
      <w:lvlJc w:val="left"/>
      <w:pPr>
        <w:ind w:left="405" w:hanging="360"/>
      </w:pPr>
      <w:rPr>
        <w:rFonts w:ascii="Calibri" w:eastAsiaTheme="minorHAnsi" w:hAnsi="Calibri" w:cs="Calibr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5" w15:restartNumberingAfterBreak="0">
    <w:nsid w:val="47764F2A"/>
    <w:multiLevelType w:val="hybridMultilevel"/>
    <w:tmpl w:val="6390138C"/>
    <w:lvl w:ilvl="0" w:tplc="85A489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5073CA1"/>
    <w:multiLevelType w:val="hybridMultilevel"/>
    <w:tmpl w:val="34A40762"/>
    <w:lvl w:ilvl="0" w:tplc="EE942380">
      <w:start w:val="1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58054ED"/>
    <w:multiLevelType w:val="hybridMultilevel"/>
    <w:tmpl w:val="4B7E6EB4"/>
    <w:lvl w:ilvl="0" w:tplc="04260011">
      <w:start w:val="1"/>
      <w:numFmt w:val="decimal"/>
      <w:lvlText w:val="%1)"/>
      <w:lvlJc w:val="left"/>
      <w:pPr>
        <w:ind w:left="106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465DD"/>
    <w:multiLevelType w:val="hybridMultilevel"/>
    <w:tmpl w:val="0CFEA696"/>
    <w:lvl w:ilvl="0" w:tplc="8FF89EB4">
      <w:start w:val="1"/>
      <w:numFmt w:val="decimal"/>
      <w:lvlText w:val="%1)"/>
      <w:lvlJc w:val="left"/>
      <w:pPr>
        <w:ind w:left="795" w:hanging="360"/>
      </w:pPr>
      <w:rPr>
        <w:rFonts w:eastAsiaTheme="minorHAnsi" w:hint="default"/>
        <w:color w:val="auto"/>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4"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2022458"/>
    <w:multiLevelType w:val="hybridMultilevel"/>
    <w:tmpl w:val="92043E4C"/>
    <w:lvl w:ilvl="0" w:tplc="3A74FAEA">
      <w:start w:val="1"/>
      <w:numFmt w:val="decimal"/>
      <w:lvlText w:val="%1)"/>
      <w:lvlJc w:val="left"/>
      <w:pPr>
        <w:tabs>
          <w:tab w:val="num" w:pos="417"/>
        </w:tabs>
        <w:ind w:left="417" w:hanging="360"/>
      </w:pPr>
      <w:rPr>
        <w:rFonts w:hint="default"/>
        <w:sz w:val="24"/>
        <w:szCs w:val="24"/>
      </w:rPr>
    </w:lvl>
    <w:lvl w:ilvl="1" w:tplc="FFFFFFFF" w:tentative="1">
      <w:start w:val="1"/>
      <w:numFmt w:val="lowerLetter"/>
      <w:lvlText w:val="%2."/>
      <w:lvlJc w:val="left"/>
      <w:pPr>
        <w:tabs>
          <w:tab w:val="num" w:pos="1137"/>
        </w:tabs>
        <w:ind w:left="1137" w:hanging="360"/>
      </w:pPr>
    </w:lvl>
    <w:lvl w:ilvl="2" w:tplc="FFFFFFFF" w:tentative="1">
      <w:start w:val="1"/>
      <w:numFmt w:val="lowerRoman"/>
      <w:lvlText w:val="%3."/>
      <w:lvlJc w:val="right"/>
      <w:pPr>
        <w:tabs>
          <w:tab w:val="num" w:pos="1857"/>
        </w:tabs>
        <w:ind w:left="1857" w:hanging="180"/>
      </w:pPr>
    </w:lvl>
    <w:lvl w:ilvl="3" w:tplc="FFFFFFFF" w:tentative="1">
      <w:start w:val="1"/>
      <w:numFmt w:val="decimal"/>
      <w:lvlText w:val="%4."/>
      <w:lvlJc w:val="left"/>
      <w:pPr>
        <w:tabs>
          <w:tab w:val="num" w:pos="2577"/>
        </w:tabs>
        <w:ind w:left="2577" w:hanging="360"/>
      </w:pPr>
    </w:lvl>
    <w:lvl w:ilvl="4" w:tplc="FFFFFFFF" w:tentative="1">
      <w:start w:val="1"/>
      <w:numFmt w:val="lowerLetter"/>
      <w:lvlText w:val="%5."/>
      <w:lvlJc w:val="left"/>
      <w:pPr>
        <w:tabs>
          <w:tab w:val="num" w:pos="3297"/>
        </w:tabs>
        <w:ind w:left="3297" w:hanging="360"/>
      </w:pPr>
    </w:lvl>
    <w:lvl w:ilvl="5" w:tplc="FFFFFFFF" w:tentative="1">
      <w:start w:val="1"/>
      <w:numFmt w:val="lowerRoman"/>
      <w:lvlText w:val="%6."/>
      <w:lvlJc w:val="right"/>
      <w:pPr>
        <w:tabs>
          <w:tab w:val="num" w:pos="4017"/>
        </w:tabs>
        <w:ind w:left="4017" w:hanging="180"/>
      </w:pPr>
    </w:lvl>
    <w:lvl w:ilvl="6" w:tplc="FFFFFFFF" w:tentative="1">
      <w:start w:val="1"/>
      <w:numFmt w:val="decimal"/>
      <w:lvlText w:val="%7."/>
      <w:lvlJc w:val="left"/>
      <w:pPr>
        <w:tabs>
          <w:tab w:val="num" w:pos="4737"/>
        </w:tabs>
        <w:ind w:left="4737" w:hanging="360"/>
      </w:pPr>
    </w:lvl>
    <w:lvl w:ilvl="7" w:tplc="FFFFFFFF" w:tentative="1">
      <w:start w:val="1"/>
      <w:numFmt w:val="lowerLetter"/>
      <w:lvlText w:val="%8."/>
      <w:lvlJc w:val="left"/>
      <w:pPr>
        <w:tabs>
          <w:tab w:val="num" w:pos="5457"/>
        </w:tabs>
        <w:ind w:left="5457" w:hanging="360"/>
      </w:pPr>
    </w:lvl>
    <w:lvl w:ilvl="8" w:tplc="FFFFFFFF" w:tentative="1">
      <w:start w:val="1"/>
      <w:numFmt w:val="lowerRoman"/>
      <w:lvlText w:val="%9."/>
      <w:lvlJc w:val="right"/>
      <w:pPr>
        <w:tabs>
          <w:tab w:val="num" w:pos="6177"/>
        </w:tabs>
        <w:ind w:left="6177" w:hanging="180"/>
      </w:pPr>
    </w:lvl>
  </w:abstractNum>
  <w:abstractNum w:abstractNumId="27" w15:restartNumberingAfterBreak="0">
    <w:nsid w:val="63021585"/>
    <w:multiLevelType w:val="hybridMultilevel"/>
    <w:tmpl w:val="A13A97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6E70B55"/>
    <w:multiLevelType w:val="hybridMultilevel"/>
    <w:tmpl w:val="E0B2AA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B1B47AA"/>
    <w:multiLevelType w:val="hybridMultilevel"/>
    <w:tmpl w:val="A62C85BC"/>
    <w:lvl w:ilvl="0" w:tplc="7D36E452">
      <w:start w:val="1"/>
      <w:numFmt w:val="lowerLetter"/>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5B7F8C"/>
    <w:multiLevelType w:val="hybridMultilevel"/>
    <w:tmpl w:val="EF54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2041C"/>
    <w:multiLevelType w:val="hybridMultilevel"/>
    <w:tmpl w:val="83D060FC"/>
    <w:lvl w:ilvl="0" w:tplc="C8666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30"/>
  </w:num>
  <w:num w:numId="4">
    <w:abstractNumId w:val="0"/>
  </w:num>
  <w:num w:numId="5">
    <w:abstractNumId w:val="13"/>
  </w:num>
  <w:num w:numId="6">
    <w:abstractNumId w:val="12"/>
  </w:num>
  <w:num w:numId="7">
    <w:abstractNumId w:val="11"/>
  </w:num>
  <w:num w:numId="8">
    <w:abstractNumId w:val="25"/>
  </w:num>
  <w:num w:numId="9">
    <w:abstractNumId w:val="9"/>
  </w:num>
  <w:num w:numId="10">
    <w:abstractNumId w:val="5"/>
  </w:num>
  <w:num w:numId="11">
    <w:abstractNumId w:val="2"/>
  </w:num>
  <w:num w:numId="12">
    <w:abstractNumId w:val="19"/>
  </w:num>
  <w:num w:numId="13">
    <w:abstractNumId w:val="28"/>
  </w:num>
  <w:num w:numId="14">
    <w:abstractNumId w:val="16"/>
  </w:num>
  <w:num w:numId="15">
    <w:abstractNumId w:val="6"/>
  </w:num>
  <w:num w:numId="16">
    <w:abstractNumId w:val="17"/>
  </w:num>
  <w:num w:numId="17">
    <w:abstractNumId w:val="18"/>
  </w:num>
  <w:num w:numId="18">
    <w:abstractNumId w:val="22"/>
  </w:num>
  <w:num w:numId="19">
    <w:abstractNumId w:val="24"/>
  </w:num>
  <w:num w:numId="20">
    <w:abstractNumId w:val="26"/>
  </w:num>
  <w:num w:numId="21">
    <w:abstractNumId w:val="10"/>
  </w:num>
  <w:num w:numId="22">
    <w:abstractNumId w:val="20"/>
  </w:num>
  <w:num w:numId="23">
    <w:abstractNumId w:val="8"/>
  </w:num>
  <w:num w:numId="24">
    <w:abstractNumId w:val="1"/>
  </w:num>
  <w:num w:numId="25">
    <w:abstractNumId w:val="15"/>
  </w:num>
  <w:num w:numId="26">
    <w:abstractNumId w:val="27"/>
  </w:num>
  <w:num w:numId="27">
    <w:abstractNumId w:val="32"/>
  </w:num>
  <w:num w:numId="28">
    <w:abstractNumId w:val="29"/>
  </w:num>
  <w:num w:numId="29">
    <w:abstractNumId w:val="7"/>
  </w:num>
  <w:num w:numId="30">
    <w:abstractNumId w:val="31"/>
  </w:num>
  <w:num w:numId="31">
    <w:abstractNumId w:val="3"/>
  </w:num>
  <w:num w:numId="32">
    <w:abstractNumId w:val="1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0F85"/>
    <w:rsid w:val="0001268A"/>
    <w:rsid w:val="0001330B"/>
    <w:rsid w:val="0002445B"/>
    <w:rsid w:val="00033757"/>
    <w:rsid w:val="00036477"/>
    <w:rsid w:val="0004398C"/>
    <w:rsid w:val="000501A5"/>
    <w:rsid w:val="00052F5A"/>
    <w:rsid w:val="000642E3"/>
    <w:rsid w:val="00067FC2"/>
    <w:rsid w:val="00077CFE"/>
    <w:rsid w:val="0009398A"/>
    <w:rsid w:val="00096D80"/>
    <w:rsid w:val="000A1D79"/>
    <w:rsid w:val="000A4967"/>
    <w:rsid w:val="000A7D4F"/>
    <w:rsid w:val="000B1606"/>
    <w:rsid w:val="000B5339"/>
    <w:rsid w:val="000D00F7"/>
    <w:rsid w:val="000D6031"/>
    <w:rsid w:val="000D768D"/>
    <w:rsid w:val="000E3403"/>
    <w:rsid w:val="000F4EA9"/>
    <w:rsid w:val="000F55F1"/>
    <w:rsid w:val="00110BA3"/>
    <w:rsid w:val="001177DA"/>
    <w:rsid w:val="0012296E"/>
    <w:rsid w:val="00123347"/>
    <w:rsid w:val="00126176"/>
    <w:rsid w:val="00133A03"/>
    <w:rsid w:val="0016464F"/>
    <w:rsid w:val="0016665E"/>
    <w:rsid w:val="00172D10"/>
    <w:rsid w:val="00174AC8"/>
    <w:rsid w:val="00181434"/>
    <w:rsid w:val="00197525"/>
    <w:rsid w:val="001A16A3"/>
    <w:rsid w:val="001B1987"/>
    <w:rsid w:val="001B5049"/>
    <w:rsid w:val="001E51E8"/>
    <w:rsid w:val="001F06E4"/>
    <w:rsid w:val="001F4907"/>
    <w:rsid w:val="0021520C"/>
    <w:rsid w:val="002247A8"/>
    <w:rsid w:val="00226B37"/>
    <w:rsid w:val="00232532"/>
    <w:rsid w:val="002331C9"/>
    <w:rsid w:val="00236343"/>
    <w:rsid w:val="002378B9"/>
    <w:rsid w:val="00243426"/>
    <w:rsid w:val="0025045F"/>
    <w:rsid w:val="002570CE"/>
    <w:rsid w:val="00275442"/>
    <w:rsid w:val="00284111"/>
    <w:rsid w:val="002843E7"/>
    <w:rsid w:val="00290F1A"/>
    <w:rsid w:val="002926AC"/>
    <w:rsid w:val="00295C97"/>
    <w:rsid w:val="002A0E46"/>
    <w:rsid w:val="002B5DB7"/>
    <w:rsid w:val="002C099B"/>
    <w:rsid w:val="002C636B"/>
    <w:rsid w:val="002D211E"/>
    <w:rsid w:val="002E1C05"/>
    <w:rsid w:val="002F548F"/>
    <w:rsid w:val="002F587A"/>
    <w:rsid w:val="00321982"/>
    <w:rsid w:val="00324263"/>
    <w:rsid w:val="003264FD"/>
    <w:rsid w:val="00327CF4"/>
    <w:rsid w:val="003470D2"/>
    <w:rsid w:val="00371CA0"/>
    <w:rsid w:val="00373F46"/>
    <w:rsid w:val="00385D65"/>
    <w:rsid w:val="00390CA5"/>
    <w:rsid w:val="003916FB"/>
    <w:rsid w:val="003A01DF"/>
    <w:rsid w:val="003B0BF9"/>
    <w:rsid w:val="003B18A4"/>
    <w:rsid w:val="003C2FF4"/>
    <w:rsid w:val="003D2892"/>
    <w:rsid w:val="003E0791"/>
    <w:rsid w:val="003E2E17"/>
    <w:rsid w:val="003F28AC"/>
    <w:rsid w:val="00400D32"/>
    <w:rsid w:val="00403A24"/>
    <w:rsid w:val="0041431F"/>
    <w:rsid w:val="004270CE"/>
    <w:rsid w:val="00435EC0"/>
    <w:rsid w:val="004454FE"/>
    <w:rsid w:val="00456E40"/>
    <w:rsid w:val="00470899"/>
    <w:rsid w:val="00471611"/>
    <w:rsid w:val="00471F27"/>
    <w:rsid w:val="00485147"/>
    <w:rsid w:val="00486161"/>
    <w:rsid w:val="00493271"/>
    <w:rsid w:val="00493883"/>
    <w:rsid w:val="00497088"/>
    <w:rsid w:val="004C01DA"/>
    <w:rsid w:val="004C5517"/>
    <w:rsid w:val="004C5C4B"/>
    <w:rsid w:val="004D100F"/>
    <w:rsid w:val="004F02CA"/>
    <w:rsid w:val="004F7FCB"/>
    <w:rsid w:val="0050178F"/>
    <w:rsid w:val="0050327B"/>
    <w:rsid w:val="00503C1E"/>
    <w:rsid w:val="00504396"/>
    <w:rsid w:val="00520EE5"/>
    <w:rsid w:val="0052670F"/>
    <w:rsid w:val="00534B00"/>
    <w:rsid w:val="00546115"/>
    <w:rsid w:val="0056267B"/>
    <w:rsid w:val="00591618"/>
    <w:rsid w:val="005A29E7"/>
    <w:rsid w:val="005B0804"/>
    <w:rsid w:val="005B26F5"/>
    <w:rsid w:val="005C3C11"/>
    <w:rsid w:val="005C3C2B"/>
    <w:rsid w:val="005C6D10"/>
    <w:rsid w:val="005D30A8"/>
    <w:rsid w:val="005D41EF"/>
    <w:rsid w:val="005D67E3"/>
    <w:rsid w:val="005E125B"/>
    <w:rsid w:val="005E5529"/>
    <w:rsid w:val="005F1B2C"/>
    <w:rsid w:val="0060207A"/>
    <w:rsid w:val="00603375"/>
    <w:rsid w:val="006069A6"/>
    <w:rsid w:val="00610828"/>
    <w:rsid w:val="006175D6"/>
    <w:rsid w:val="00632643"/>
    <w:rsid w:val="00636328"/>
    <w:rsid w:val="006368B4"/>
    <w:rsid w:val="00645084"/>
    <w:rsid w:val="00655F2C"/>
    <w:rsid w:val="0065730B"/>
    <w:rsid w:val="00671445"/>
    <w:rsid w:val="006758F0"/>
    <w:rsid w:val="0069490F"/>
    <w:rsid w:val="00697668"/>
    <w:rsid w:val="006A03CF"/>
    <w:rsid w:val="006B5160"/>
    <w:rsid w:val="006C0D20"/>
    <w:rsid w:val="006D0F54"/>
    <w:rsid w:val="006D3D17"/>
    <w:rsid w:val="006D6E50"/>
    <w:rsid w:val="006E1081"/>
    <w:rsid w:val="006E18DE"/>
    <w:rsid w:val="006E79F0"/>
    <w:rsid w:val="006F1AD3"/>
    <w:rsid w:val="006F429F"/>
    <w:rsid w:val="006F6816"/>
    <w:rsid w:val="007052DE"/>
    <w:rsid w:val="00705D1D"/>
    <w:rsid w:val="00720585"/>
    <w:rsid w:val="007272DC"/>
    <w:rsid w:val="00731C2A"/>
    <w:rsid w:val="00737646"/>
    <w:rsid w:val="007376AC"/>
    <w:rsid w:val="00743177"/>
    <w:rsid w:val="007468D6"/>
    <w:rsid w:val="00754A81"/>
    <w:rsid w:val="00767095"/>
    <w:rsid w:val="00773AF6"/>
    <w:rsid w:val="00774272"/>
    <w:rsid w:val="007763C4"/>
    <w:rsid w:val="0077728F"/>
    <w:rsid w:val="00795F71"/>
    <w:rsid w:val="007A00ED"/>
    <w:rsid w:val="007B26D1"/>
    <w:rsid w:val="007B3532"/>
    <w:rsid w:val="007B5B77"/>
    <w:rsid w:val="007C2F26"/>
    <w:rsid w:val="007C6A7B"/>
    <w:rsid w:val="007C7FCD"/>
    <w:rsid w:val="007D4107"/>
    <w:rsid w:val="007E0F04"/>
    <w:rsid w:val="007E3BA0"/>
    <w:rsid w:val="007E3FB8"/>
    <w:rsid w:val="007E5F7A"/>
    <w:rsid w:val="007E73AB"/>
    <w:rsid w:val="007F2F22"/>
    <w:rsid w:val="00801CC5"/>
    <w:rsid w:val="00803529"/>
    <w:rsid w:val="00816C11"/>
    <w:rsid w:val="0082283A"/>
    <w:rsid w:val="0082797D"/>
    <w:rsid w:val="0083097E"/>
    <w:rsid w:val="00842131"/>
    <w:rsid w:val="00845A76"/>
    <w:rsid w:val="00881198"/>
    <w:rsid w:val="00894C55"/>
    <w:rsid w:val="008A1D34"/>
    <w:rsid w:val="008A1EC0"/>
    <w:rsid w:val="008B3769"/>
    <w:rsid w:val="008E2B3E"/>
    <w:rsid w:val="008E6954"/>
    <w:rsid w:val="008F08BD"/>
    <w:rsid w:val="008F3588"/>
    <w:rsid w:val="008F59EE"/>
    <w:rsid w:val="008F7D70"/>
    <w:rsid w:val="00927BD3"/>
    <w:rsid w:val="00940714"/>
    <w:rsid w:val="0094130E"/>
    <w:rsid w:val="00947346"/>
    <w:rsid w:val="009655F7"/>
    <w:rsid w:val="009735E7"/>
    <w:rsid w:val="009739AE"/>
    <w:rsid w:val="009741C7"/>
    <w:rsid w:val="009752F5"/>
    <w:rsid w:val="0099107B"/>
    <w:rsid w:val="009A2654"/>
    <w:rsid w:val="009B748F"/>
    <w:rsid w:val="009E4A8B"/>
    <w:rsid w:val="009E5636"/>
    <w:rsid w:val="00A01DCF"/>
    <w:rsid w:val="00A01DEA"/>
    <w:rsid w:val="00A04161"/>
    <w:rsid w:val="00A10FC3"/>
    <w:rsid w:val="00A1477E"/>
    <w:rsid w:val="00A31D77"/>
    <w:rsid w:val="00A6073E"/>
    <w:rsid w:val="00A61F67"/>
    <w:rsid w:val="00A62A5B"/>
    <w:rsid w:val="00A808B6"/>
    <w:rsid w:val="00A851B4"/>
    <w:rsid w:val="00A92493"/>
    <w:rsid w:val="00AA6D7C"/>
    <w:rsid w:val="00AB5681"/>
    <w:rsid w:val="00AC363D"/>
    <w:rsid w:val="00AC733B"/>
    <w:rsid w:val="00AD01F6"/>
    <w:rsid w:val="00AE01E7"/>
    <w:rsid w:val="00AE5567"/>
    <w:rsid w:val="00AE6CAF"/>
    <w:rsid w:val="00AF1239"/>
    <w:rsid w:val="00AF3D98"/>
    <w:rsid w:val="00B0375D"/>
    <w:rsid w:val="00B16480"/>
    <w:rsid w:val="00B2165C"/>
    <w:rsid w:val="00B41EE2"/>
    <w:rsid w:val="00B41FED"/>
    <w:rsid w:val="00B5546F"/>
    <w:rsid w:val="00B6656A"/>
    <w:rsid w:val="00B71CCC"/>
    <w:rsid w:val="00B85A7A"/>
    <w:rsid w:val="00BA20AA"/>
    <w:rsid w:val="00BB09C4"/>
    <w:rsid w:val="00BB0B97"/>
    <w:rsid w:val="00BB23BB"/>
    <w:rsid w:val="00BD01DE"/>
    <w:rsid w:val="00BD215D"/>
    <w:rsid w:val="00BD4425"/>
    <w:rsid w:val="00BF1459"/>
    <w:rsid w:val="00BF7C4F"/>
    <w:rsid w:val="00C01205"/>
    <w:rsid w:val="00C044E0"/>
    <w:rsid w:val="00C068DF"/>
    <w:rsid w:val="00C06B6A"/>
    <w:rsid w:val="00C2542A"/>
    <w:rsid w:val="00C25B49"/>
    <w:rsid w:val="00C27BAF"/>
    <w:rsid w:val="00C30CEE"/>
    <w:rsid w:val="00C42317"/>
    <w:rsid w:val="00C43825"/>
    <w:rsid w:val="00C50BCC"/>
    <w:rsid w:val="00C87670"/>
    <w:rsid w:val="00C91B89"/>
    <w:rsid w:val="00C92D18"/>
    <w:rsid w:val="00C94555"/>
    <w:rsid w:val="00CC0D2D"/>
    <w:rsid w:val="00CD1271"/>
    <w:rsid w:val="00CE5657"/>
    <w:rsid w:val="00CE686B"/>
    <w:rsid w:val="00D133F8"/>
    <w:rsid w:val="00D14A3E"/>
    <w:rsid w:val="00D16897"/>
    <w:rsid w:val="00D27185"/>
    <w:rsid w:val="00D4163A"/>
    <w:rsid w:val="00D44E77"/>
    <w:rsid w:val="00D47F90"/>
    <w:rsid w:val="00D66DD1"/>
    <w:rsid w:val="00D728D7"/>
    <w:rsid w:val="00D83558"/>
    <w:rsid w:val="00D83CD7"/>
    <w:rsid w:val="00D908C8"/>
    <w:rsid w:val="00DB10FA"/>
    <w:rsid w:val="00DB1464"/>
    <w:rsid w:val="00DB1CFB"/>
    <w:rsid w:val="00DB7F05"/>
    <w:rsid w:val="00DC4EA5"/>
    <w:rsid w:val="00DD15E0"/>
    <w:rsid w:val="00DD2034"/>
    <w:rsid w:val="00DE2353"/>
    <w:rsid w:val="00DF1432"/>
    <w:rsid w:val="00E050CE"/>
    <w:rsid w:val="00E10EFA"/>
    <w:rsid w:val="00E22D28"/>
    <w:rsid w:val="00E255C6"/>
    <w:rsid w:val="00E3716B"/>
    <w:rsid w:val="00E41CB3"/>
    <w:rsid w:val="00E4342D"/>
    <w:rsid w:val="00E51B6B"/>
    <w:rsid w:val="00E5323B"/>
    <w:rsid w:val="00E629A8"/>
    <w:rsid w:val="00E73D7A"/>
    <w:rsid w:val="00E8749E"/>
    <w:rsid w:val="00E90C01"/>
    <w:rsid w:val="00EA37C1"/>
    <w:rsid w:val="00EA486E"/>
    <w:rsid w:val="00EA7CA1"/>
    <w:rsid w:val="00EC17D2"/>
    <w:rsid w:val="00EC3234"/>
    <w:rsid w:val="00EC69BF"/>
    <w:rsid w:val="00F07D15"/>
    <w:rsid w:val="00F25AE9"/>
    <w:rsid w:val="00F35EC1"/>
    <w:rsid w:val="00F40F5A"/>
    <w:rsid w:val="00F53742"/>
    <w:rsid w:val="00F57B0C"/>
    <w:rsid w:val="00FB3569"/>
    <w:rsid w:val="00FC004A"/>
    <w:rsid w:val="00FC3182"/>
    <w:rsid w:val="00FC39B3"/>
    <w:rsid w:val="00FC4972"/>
    <w:rsid w:val="00FE02BE"/>
    <w:rsid w:val="00FE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A811B6"/>
  <w15:docId w15:val="{E1C5A4EB-C485-49BD-B7F4-7856F7C9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7B3532"/>
    <w:pPr>
      <w:keepNext/>
      <w:spacing w:after="0" w:line="240" w:lineRule="auto"/>
      <w:jc w:val="center"/>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B3532"/>
    <w:rPr>
      <w:rFonts w:ascii="Times New Roman" w:eastAsia="Calibri" w:hAnsi="Times New Roman" w:cs="Times New Roman"/>
      <w:b/>
      <w:bCs/>
      <w:sz w:val="28"/>
      <w:szCs w:val="28"/>
    </w:rPr>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CM4">
    <w:name w:val="CM4"/>
    <w:basedOn w:val="Normal"/>
    <w:next w:val="Normal"/>
    <w:uiPriority w:val="99"/>
    <w:rsid w:val="00F25AE9"/>
    <w:pPr>
      <w:autoSpaceDE w:val="0"/>
      <w:autoSpaceDN w:val="0"/>
      <w:adjustRightInd w:val="0"/>
      <w:spacing w:after="0" w:line="240" w:lineRule="auto"/>
    </w:pPr>
    <w:rPr>
      <w:rFonts w:ascii="EUAlbertina" w:hAnsi="EUAlbertina"/>
      <w:sz w:val="24"/>
      <w:szCs w:val="24"/>
    </w:rPr>
  </w:style>
  <w:style w:type="character" w:styleId="CommentReference">
    <w:name w:val="annotation reference"/>
    <w:basedOn w:val="DefaultParagraphFont"/>
    <w:semiHidden/>
    <w:unhideWhenUsed/>
    <w:rsid w:val="002F587A"/>
    <w:rPr>
      <w:sz w:val="16"/>
      <w:szCs w:val="16"/>
    </w:rPr>
  </w:style>
  <w:style w:type="paragraph" w:styleId="CommentText">
    <w:name w:val="annotation text"/>
    <w:basedOn w:val="Normal"/>
    <w:link w:val="CommentTextChar"/>
    <w:unhideWhenUsed/>
    <w:rsid w:val="002F587A"/>
    <w:pPr>
      <w:spacing w:line="240" w:lineRule="auto"/>
    </w:pPr>
    <w:rPr>
      <w:sz w:val="20"/>
      <w:szCs w:val="20"/>
    </w:rPr>
  </w:style>
  <w:style w:type="character" w:customStyle="1" w:styleId="CommentTextChar">
    <w:name w:val="Comment Text Char"/>
    <w:basedOn w:val="DefaultParagraphFont"/>
    <w:link w:val="CommentText"/>
    <w:rsid w:val="002F587A"/>
    <w:rPr>
      <w:sz w:val="20"/>
      <w:szCs w:val="20"/>
    </w:rPr>
  </w:style>
  <w:style w:type="paragraph" w:styleId="CommentSubject">
    <w:name w:val="annotation subject"/>
    <w:basedOn w:val="CommentText"/>
    <w:next w:val="CommentText"/>
    <w:link w:val="CommentSubjectChar"/>
    <w:semiHidden/>
    <w:unhideWhenUsed/>
    <w:rsid w:val="002F587A"/>
    <w:rPr>
      <w:b/>
      <w:bCs/>
    </w:rPr>
  </w:style>
  <w:style w:type="character" w:customStyle="1" w:styleId="CommentSubjectChar">
    <w:name w:val="Comment Subject Char"/>
    <w:basedOn w:val="CommentTextChar"/>
    <w:link w:val="CommentSubject"/>
    <w:uiPriority w:val="99"/>
    <w:semiHidden/>
    <w:rsid w:val="002F587A"/>
    <w:rPr>
      <w:b/>
      <w:bCs/>
      <w:sz w:val="20"/>
      <w:szCs w:val="20"/>
    </w:rPr>
  </w:style>
  <w:style w:type="paragraph" w:styleId="ListParagraph">
    <w:name w:val="List Paragraph"/>
    <w:basedOn w:val="Normal"/>
    <w:uiPriority w:val="34"/>
    <w:qFormat/>
    <w:rsid w:val="00EA37C1"/>
    <w:pPr>
      <w:ind w:left="720"/>
      <w:contextualSpacing/>
    </w:pPr>
  </w:style>
  <w:style w:type="paragraph" w:styleId="FootnoteText">
    <w:name w:val="footnote text"/>
    <w:basedOn w:val="Normal"/>
    <w:link w:val="FootnoteTextChar"/>
    <w:uiPriority w:val="99"/>
    <w:unhideWhenUsed/>
    <w:rsid w:val="009B748F"/>
    <w:pPr>
      <w:spacing w:after="0" w:line="240" w:lineRule="auto"/>
    </w:pPr>
    <w:rPr>
      <w:sz w:val="20"/>
      <w:szCs w:val="20"/>
    </w:rPr>
  </w:style>
  <w:style w:type="character" w:customStyle="1" w:styleId="FootnoteTextChar">
    <w:name w:val="Footnote Text Char"/>
    <w:basedOn w:val="DefaultParagraphFont"/>
    <w:link w:val="FootnoteText"/>
    <w:uiPriority w:val="99"/>
    <w:rsid w:val="009B748F"/>
    <w:rPr>
      <w:sz w:val="20"/>
      <w:szCs w:val="20"/>
    </w:rPr>
  </w:style>
  <w:style w:type="character" w:styleId="FootnoteReference">
    <w:name w:val="footnote reference"/>
    <w:basedOn w:val="DefaultParagraphFont"/>
    <w:uiPriority w:val="99"/>
    <w:unhideWhenUsed/>
    <w:rsid w:val="009B748F"/>
    <w:rPr>
      <w:vertAlign w:val="superscript"/>
    </w:rPr>
  </w:style>
  <w:style w:type="paragraph" w:styleId="NoSpacing">
    <w:name w:val="No Spacing"/>
    <w:qFormat/>
    <w:rsid w:val="00FC39B3"/>
    <w:pPr>
      <w:spacing w:after="0" w:line="240" w:lineRule="auto"/>
    </w:pPr>
  </w:style>
  <w:style w:type="character" w:customStyle="1" w:styleId="lbldescriptioncl">
    <w:name w:val="lbldescriptioncl"/>
    <w:basedOn w:val="DefaultParagraphFont"/>
    <w:rsid w:val="008F59EE"/>
  </w:style>
  <w:style w:type="character" w:styleId="Emphasis">
    <w:name w:val="Emphasis"/>
    <w:basedOn w:val="DefaultParagraphFont"/>
    <w:uiPriority w:val="20"/>
    <w:qFormat/>
    <w:rsid w:val="008F59EE"/>
    <w:rPr>
      <w:i/>
      <w:iCs/>
    </w:rPr>
  </w:style>
  <w:style w:type="paragraph" w:customStyle="1" w:styleId="naisf">
    <w:name w:val="naisf"/>
    <w:basedOn w:val="Normal"/>
    <w:rsid w:val="007B353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7B3532"/>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7B3532"/>
    <w:pPr>
      <w:spacing w:before="75" w:after="75" w:line="240" w:lineRule="auto"/>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semiHidden/>
    <w:rsid w:val="007B3532"/>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semiHidden/>
    <w:rsid w:val="007B3532"/>
    <w:pPr>
      <w:spacing w:after="0" w:line="240" w:lineRule="auto"/>
      <w:ind w:firstLine="720"/>
      <w:jc w:val="both"/>
    </w:pPr>
    <w:rPr>
      <w:rFonts w:ascii="Times New Roman" w:eastAsia="Times New Roman" w:hAnsi="Times New Roman" w:cs="Times New Roman"/>
      <w:sz w:val="24"/>
      <w:szCs w:val="24"/>
      <w:lang w:eastAsia="lv-LV"/>
    </w:rPr>
  </w:style>
  <w:style w:type="character" w:customStyle="1" w:styleId="DocumentMapChar">
    <w:name w:val="Document Map Char"/>
    <w:basedOn w:val="DefaultParagraphFont"/>
    <w:link w:val="DocumentMap"/>
    <w:semiHidden/>
    <w:rsid w:val="007B3532"/>
    <w:rPr>
      <w:rFonts w:ascii="Tahoma" w:eastAsia="Times New Roman" w:hAnsi="Tahoma" w:cs="Tahoma"/>
      <w:sz w:val="20"/>
      <w:szCs w:val="20"/>
      <w:shd w:val="clear" w:color="auto" w:fill="000080"/>
      <w:lang w:eastAsia="lv-LV"/>
    </w:rPr>
  </w:style>
  <w:style w:type="paragraph" w:styleId="DocumentMap">
    <w:name w:val="Document Map"/>
    <w:basedOn w:val="Normal"/>
    <w:link w:val="DocumentMapChar"/>
    <w:semiHidden/>
    <w:rsid w:val="007B3532"/>
    <w:pPr>
      <w:shd w:val="clear" w:color="auto" w:fill="000080"/>
      <w:spacing w:after="0" w:line="240" w:lineRule="auto"/>
    </w:pPr>
    <w:rPr>
      <w:rFonts w:ascii="Tahoma" w:eastAsia="Times New Roman" w:hAnsi="Tahoma" w:cs="Tahoma"/>
      <w:sz w:val="20"/>
      <w:szCs w:val="20"/>
      <w:lang w:eastAsia="lv-LV"/>
    </w:rPr>
  </w:style>
  <w:style w:type="character" w:styleId="Strong">
    <w:name w:val="Strong"/>
    <w:uiPriority w:val="22"/>
    <w:qFormat/>
    <w:rsid w:val="007B3532"/>
    <w:rPr>
      <w:rFonts w:cs="Times New Roman"/>
      <w:b/>
      <w:bCs/>
    </w:rPr>
  </w:style>
  <w:style w:type="character" w:customStyle="1" w:styleId="BodyText3Char">
    <w:name w:val="Body Text 3 Char"/>
    <w:basedOn w:val="DefaultParagraphFont"/>
    <w:link w:val="BodyText3"/>
    <w:semiHidden/>
    <w:rsid w:val="007B3532"/>
    <w:rPr>
      <w:rFonts w:ascii="Times New Roman" w:eastAsia="Times New Roman" w:hAnsi="Times New Roman" w:cs="Times New Roman"/>
      <w:sz w:val="16"/>
      <w:szCs w:val="16"/>
      <w:lang w:val="en-GB"/>
    </w:rPr>
  </w:style>
  <w:style w:type="paragraph" w:styleId="BodyText3">
    <w:name w:val="Body Text 3"/>
    <w:basedOn w:val="Normal"/>
    <w:link w:val="BodyText3Char"/>
    <w:semiHidden/>
    <w:rsid w:val="007B3532"/>
    <w:pPr>
      <w:spacing w:after="120" w:line="240" w:lineRule="auto"/>
    </w:pPr>
    <w:rPr>
      <w:rFonts w:ascii="Times New Roman" w:eastAsia="Times New Roman" w:hAnsi="Times New Roman" w:cs="Times New Roman"/>
      <w:sz w:val="16"/>
      <w:szCs w:val="16"/>
      <w:lang w:val="en-GB"/>
    </w:rPr>
  </w:style>
  <w:style w:type="character" w:customStyle="1" w:styleId="BodyText2Char">
    <w:name w:val="Body Text 2 Char"/>
    <w:basedOn w:val="DefaultParagraphFont"/>
    <w:link w:val="BodyText2"/>
    <w:semiHidden/>
    <w:rsid w:val="007B3532"/>
    <w:rPr>
      <w:rFonts w:ascii="Times New Roman" w:eastAsia="Times New Roman" w:hAnsi="Times New Roman" w:cs="Times New Roman"/>
      <w:sz w:val="24"/>
      <w:szCs w:val="24"/>
      <w:lang w:eastAsia="lv-LV"/>
    </w:rPr>
  </w:style>
  <w:style w:type="paragraph" w:styleId="BodyText2">
    <w:name w:val="Body Text 2"/>
    <w:basedOn w:val="Normal"/>
    <w:link w:val="BodyText2Char"/>
    <w:semiHidden/>
    <w:rsid w:val="007B3532"/>
    <w:pPr>
      <w:spacing w:after="120" w:line="480" w:lineRule="auto"/>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semiHidden/>
    <w:rsid w:val="007B3532"/>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semiHidden/>
    <w:rsid w:val="007B3532"/>
    <w:pPr>
      <w:spacing w:after="120" w:line="240" w:lineRule="auto"/>
      <w:ind w:firstLine="432"/>
      <w:jc w:val="both"/>
    </w:pPr>
    <w:rPr>
      <w:rFonts w:ascii="Times New Roman" w:eastAsia="Times New Roman" w:hAnsi="Times New Roman" w:cs="Times New Roman"/>
      <w:sz w:val="24"/>
      <w:szCs w:val="24"/>
      <w:lang w:eastAsia="lv-LV"/>
    </w:rPr>
  </w:style>
  <w:style w:type="character" w:customStyle="1" w:styleId="BodyTextIndent3Char">
    <w:name w:val="Body Text Indent 3 Char"/>
    <w:basedOn w:val="DefaultParagraphFont"/>
    <w:link w:val="BodyTextIndent3"/>
    <w:semiHidden/>
    <w:rsid w:val="007B3532"/>
    <w:rPr>
      <w:rFonts w:ascii="Times New Roman" w:eastAsia="Times New Roman" w:hAnsi="Times New Roman" w:cs="Times New Roman"/>
      <w:bCs/>
      <w:sz w:val="24"/>
      <w:szCs w:val="24"/>
      <w:lang w:eastAsia="lv-LV"/>
    </w:rPr>
  </w:style>
  <w:style w:type="paragraph" w:styleId="BodyTextIndent3">
    <w:name w:val="Body Text Indent 3"/>
    <w:basedOn w:val="Normal"/>
    <w:link w:val="BodyTextIndent3Char"/>
    <w:semiHidden/>
    <w:rsid w:val="007B3532"/>
    <w:pPr>
      <w:spacing w:after="0" w:line="240" w:lineRule="auto"/>
      <w:ind w:firstLine="431"/>
      <w:jc w:val="both"/>
    </w:pPr>
    <w:rPr>
      <w:rFonts w:ascii="Times New Roman" w:eastAsia="Times New Roman" w:hAnsi="Times New Roman" w:cs="Times New Roman"/>
      <w:bCs/>
      <w:sz w:val="24"/>
      <w:szCs w:val="24"/>
      <w:lang w:eastAsia="lv-LV"/>
    </w:rPr>
  </w:style>
  <w:style w:type="character" w:customStyle="1" w:styleId="BodyTextChar">
    <w:name w:val="Body Text Char"/>
    <w:basedOn w:val="DefaultParagraphFont"/>
    <w:link w:val="BodyText"/>
    <w:uiPriority w:val="99"/>
    <w:rsid w:val="007B3532"/>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unhideWhenUsed/>
    <w:rsid w:val="007B3532"/>
    <w:pPr>
      <w:spacing w:after="120" w:line="240" w:lineRule="auto"/>
    </w:pPr>
    <w:rPr>
      <w:rFonts w:ascii="Times New Roman" w:eastAsia="Times New Roman" w:hAnsi="Times New Roman" w:cs="Times New Roman"/>
      <w:sz w:val="24"/>
      <w:szCs w:val="24"/>
      <w:lang w:val="x-none" w:eastAsia="x-none"/>
    </w:rPr>
  </w:style>
  <w:style w:type="paragraph" w:customStyle="1" w:styleId="tv213">
    <w:name w:val="tv213"/>
    <w:basedOn w:val="Normal"/>
    <w:rsid w:val="000E34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Normal"/>
    <w:rsid w:val="00727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zvabri">
    <w:name w:val="zvabri"/>
    <w:basedOn w:val="Normal"/>
    <w:uiPriority w:val="99"/>
    <w:rsid w:val="00D4163A"/>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styleId="Revision">
    <w:name w:val="Revision"/>
    <w:hidden/>
    <w:uiPriority w:val="99"/>
    <w:semiHidden/>
    <w:rsid w:val="00215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701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1506920">
      <w:bodyDiv w:val="1"/>
      <w:marLeft w:val="0"/>
      <w:marRight w:val="0"/>
      <w:marTop w:val="0"/>
      <w:marBottom w:val="0"/>
      <w:divBdr>
        <w:top w:val="none" w:sz="0" w:space="0" w:color="auto"/>
        <w:left w:val="none" w:sz="0" w:space="0" w:color="auto"/>
        <w:bottom w:val="none" w:sz="0" w:space="0" w:color="auto"/>
        <w:right w:val="none" w:sz="0" w:space="0" w:color="auto"/>
      </w:divBdr>
    </w:div>
    <w:div w:id="472214541">
      <w:bodyDiv w:val="1"/>
      <w:marLeft w:val="0"/>
      <w:marRight w:val="0"/>
      <w:marTop w:val="0"/>
      <w:marBottom w:val="0"/>
      <w:divBdr>
        <w:top w:val="none" w:sz="0" w:space="0" w:color="auto"/>
        <w:left w:val="none" w:sz="0" w:space="0" w:color="auto"/>
        <w:bottom w:val="none" w:sz="0" w:space="0" w:color="auto"/>
        <w:right w:val="none" w:sz="0" w:space="0" w:color="auto"/>
      </w:divBdr>
    </w:div>
    <w:div w:id="505678746">
      <w:bodyDiv w:val="1"/>
      <w:marLeft w:val="0"/>
      <w:marRight w:val="0"/>
      <w:marTop w:val="0"/>
      <w:marBottom w:val="0"/>
      <w:divBdr>
        <w:top w:val="none" w:sz="0" w:space="0" w:color="auto"/>
        <w:left w:val="none" w:sz="0" w:space="0" w:color="auto"/>
        <w:bottom w:val="none" w:sz="0" w:space="0" w:color="auto"/>
        <w:right w:val="none" w:sz="0" w:space="0" w:color="auto"/>
      </w:divBdr>
    </w:div>
    <w:div w:id="605843503">
      <w:bodyDiv w:val="1"/>
      <w:marLeft w:val="0"/>
      <w:marRight w:val="0"/>
      <w:marTop w:val="0"/>
      <w:marBottom w:val="0"/>
      <w:divBdr>
        <w:top w:val="none" w:sz="0" w:space="0" w:color="auto"/>
        <w:left w:val="none" w:sz="0" w:space="0" w:color="auto"/>
        <w:bottom w:val="none" w:sz="0" w:space="0" w:color="auto"/>
        <w:right w:val="none" w:sz="0" w:space="0" w:color="auto"/>
      </w:divBdr>
    </w:div>
    <w:div w:id="620116738">
      <w:bodyDiv w:val="1"/>
      <w:marLeft w:val="0"/>
      <w:marRight w:val="0"/>
      <w:marTop w:val="0"/>
      <w:marBottom w:val="0"/>
      <w:divBdr>
        <w:top w:val="none" w:sz="0" w:space="0" w:color="auto"/>
        <w:left w:val="none" w:sz="0" w:space="0" w:color="auto"/>
        <w:bottom w:val="none" w:sz="0" w:space="0" w:color="auto"/>
        <w:right w:val="none" w:sz="0" w:space="0" w:color="auto"/>
      </w:divBdr>
    </w:div>
    <w:div w:id="686250720">
      <w:bodyDiv w:val="1"/>
      <w:marLeft w:val="0"/>
      <w:marRight w:val="0"/>
      <w:marTop w:val="0"/>
      <w:marBottom w:val="0"/>
      <w:divBdr>
        <w:top w:val="none" w:sz="0" w:space="0" w:color="auto"/>
        <w:left w:val="none" w:sz="0" w:space="0" w:color="auto"/>
        <w:bottom w:val="none" w:sz="0" w:space="0" w:color="auto"/>
        <w:right w:val="none" w:sz="0" w:space="0" w:color="auto"/>
      </w:divBdr>
    </w:div>
    <w:div w:id="964385033">
      <w:bodyDiv w:val="1"/>
      <w:marLeft w:val="0"/>
      <w:marRight w:val="0"/>
      <w:marTop w:val="0"/>
      <w:marBottom w:val="0"/>
      <w:divBdr>
        <w:top w:val="none" w:sz="0" w:space="0" w:color="auto"/>
        <w:left w:val="none" w:sz="0" w:space="0" w:color="auto"/>
        <w:bottom w:val="none" w:sz="0" w:space="0" w:color="auto"/>
        <w:right w:val="none" w:sz="0" w:space="0" w:color="auto"/>
      </w:divBdr>
    </w:div>
    <w:div w:id="1199508563">
      <w:bodyDiv w:val="1"/>
      <w:marLeft w:val="0"/>
      <w:marRight w:val="0"/>
      <w:marTop w:val="0"/>
      <w:marBottom w:val="0"/>
      <w:divBdr>
        <w:top w:val="none" w:sz="0" w:space="0" w:color="auto"/>
        <w:left w:val="none" w:sz="0" w:space="0" w:color="auto"/>
        <w:bottom w:val="none" w:sz="0" w:space="0" w:color="auto"/>
        <w:right w:val="none" w:sz="0" w:space="0" w:color="auto"/>
      </w:divBdr>
    </w:div>
    <w:div w:id="137161402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76872032">
      <w:bodyDiv w:val="1"/>
      <w:marLeft w:val="0"/>
      <w:marRight w:val="0"/>
      <w:marTop w:val="0"/>
      <w:marBottom w:val="0"/>
      <w:divBdr>
        <w:top w:val="none" w:sz="0" w:space="0" w:color="auto"/>
        <w:left w:val="none" w:sz="0" w:space="0" w:color="auto"/>
        <w:bottom w:val="none" w:sz="0" w:space="0" w:color="auto"/>
        <w:right w:val="none" w:sz="0" w:space="0" w:color="auto"/>
      </w:divBdr>
    </w:div>
    <w:div w:id="1864783319">
      <w:bodyDiv w:val="1"/>
      <w:marLeft w:val="0"/>
      <w:marRight w:val="0"/>
      <w:marTop w:val="0"/>
      <w:marBottom w:val="0"/>
      <w:divBdr>
        <w:top w:val="none" w:sz="0" w:space="0" w:color="auto"/>
        <w:left w:val="none" w:sz="0" w:space="0" w:color="auto"/>
        <w:bottom w:val="none" w:sz="0" w:space="0" w:color="auto"/>
        <w:right w:val="none" w:sz="0" w:space="0" w:color="auto"/>
      </w:divBdr>
    </w:div>
    <w:div w:id="187800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business-economy-euro/banking-and-finance/insurance-and-pensions/motor-insuranc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664E3-AF2B-47F9-AF3B-5AEC3E81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20080</Words>
  <Characters>11446</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Likumprojekta “Grozījumi Sauszemes transportlīdzekļu īpašnieku civiltiesiskās atbildības apdrošināšanas likumā” sākotnējās ietekmes novērtējuma ziņojums (anotācija)</vt:lpstr>
    </vt:vector>
  </TitlesOfParts>
  <Company>Aizsardzības ministrija</Company>
  <LinksUpToDate>false</LinksUpToDate>
  <CharactersWithSpaces>31464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Sauszemes transportlīdzekļu īpašnieku civiltiesiskās atbildības apdrošināšanas likumā” sākotnējās ietekmes novērtējuma ziņojums (anotācija)</dc:title>
  <dc:subject>Anotācija</dc:subject>
  <dc:creator>Marina Baltā</dc:creator>
  <cp:keywords/>
  <dc:description/>
  <cp:lastModifiedBy>Irēna Kalna</cp:lastModifiedBy>
  <cp:revision>3</cp:revision>
  <cp:lastPrinted>2019-07-24T06:41:00Z</cp:lastPrinted>
  <dcterms:created xsi:type="dcterms:W3CDTF">2019-11-28T14:33:00Z</dcterms:created>
  <dcterms:modified xsi:type="dcterms:W3CDTF">2019-11-29T07:01:00Z</dcterms:modified>
</cp:coreProperties>
</file>