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25F1A3" w14:textId="77777777" w:rsidR="00DA1FAD" w:rsidRDefault="001F5FF5">
      <w:pPr>
        <w:spacing w:after="180"/>
        <w:jc w:val="center"/>
        <w:rPr>
          <w:b/>
        </w:rPr>
      </w:pPr>
      <w:r>
        <w:rPr>
          <w:b/>
        </w:rPr>
        <w:t>Ministru kabineta rīkojuma projekta “Par valstij dividendēs izmaksājamo sabiedrības ar ierobežotu atbildību “Latvijas standarts” peļņas daļu” sākotnējās ietekmes novērtējuma ziņojums (anotācija)</w:t>
      </w:r>
    </w:p>
    <w:tbl>
      <w:tblPr>
        <w:tblStyle w:val="TableGrid"/>
        <w:tblW w:w="9113" w:type="dxa"/>
        <w:tblInd w:w="-5" w:type="dxa"/>
        <w:tblLook w:val="04A0" w:firstRow="1" w:lastRow="0" w:firstColumn="1" w:lastColumn="0" w:noHBand="0" w:noVBand="1"/>
      </w:tblPr>
      <w:tblGrid>
        <w:gridCol w:w="3118"/>
        <w:gridCol w:w="5995"/>
      </w:tblGrid>
      <w:tr w:rsidR="00DA1FAD" w14:paraId="61F1EDB9" w14:textId="77777777">
        <w:trPr>
          <w:trHeight w:val="289"/>
        </w:trPr>
        <w:tc>
          <w:tcPr>
            <w:tcW w:w="9112" w:type="dxa"/>
            <w:gridSpan w:val="2"/>
            <w:shd w:val="clear" w:color="auto" w:fill="auto"/>
          </w:tcPr>
          <w:p w14:paraId="64B3D4A7" w14:textId="77777777" w:rsidR="00DA1FAD" w:rsidRDefault="001F5FF5">
            <w:pPr>
              <w:jc w:val="center"/>
              <w:rPr>
                <w:b/>
              </w:rPr>
            </w:pPr>
            <w:r>
              <w:rPr>
                <w:b/>
                <w:iCs/>
              </w:rPr>
              <w:t>Tiesību akta projekta anotācijas kopsavilkums</w:t>
            </w:r>
          </w:p>
        </w:tc>
      </w:tr>
      <w:tr w:rsidR="00DA1FAD" w14:paraId="499A1ED9" w14:textId="77777777">
        <w:trPr>
          <w:trHeight w:val="578"/>
        </w:trPr>
        <w:tc>
          <w:tcPr>
            <w:tcW w:w="3118" w:type="dxa"/>
            <w:shd w:val="clear" w:color="auto" w:fill="auto"/>
          </w:tcPr>
          <w:p w14:paraId="1939B0FE" w14:textId="77777777" w:rsidR="00DA1FAD" w:rsidRDefault="001F5FF5">
            <w:pPr>
              <w:jc w:val="both"/>
              <w:rPr>
                <w:b/>
                <w:iCs/>
              </w:rPr>
            </w:pPr>
            <w:r>
              <w:rPr>
                <w:lang w:eastAsia="en-US"/>
              </w:rPr>
              <w:t>Mērķis, risinājums un projekta spēkā stāšanās laiks (500 zīmes bez atstarpēm)</w:t>
            </w:r>
          </w:p>
        </w:tc>
        <w:tc>
          <w:tcPr>
            <w:tcW w:w="5994" w:type="dxa"/>
            <w:shd w:val="clear" w:color="auto" w:fill="auto"/>
          </w:tcPr>
          <w:p w14:paraId="5547D17F" w14:textId="49E00444" w:rsidR="00DA1FAD" w:rsidRDefault="001F5FF5">
            <w:pPr>
              <w:jc w:val="both"/>
            </w:pPr>
            <w:r>
              <w:tab/>
              <w:t>Ministru kabineta rīkojuma projekta “Par valstij dividendēs izmaksājamo sabiedrības ar ierobežotu atbildību “Latvijas standarts” peļņas daļu” (turpmāk – Projekts) mērķis ir sabiedrības ar ierobežotu atbildību “Latvijas standarts” (turpmāk – kapitālsabiedrība) ikgadējās prognozējamās dividendēs izmaksājamās peļņas daļas novirzīšana kapitālsabiedrības vidēja termiņa darbības stratēģijā 2019.-2023.gadam plānotajām investīcijām. Projekts paredz atļaut kapitālsabiedrībai vidēja termiņa darbības stratēģijā 2019.-2023.gadam</w:t>
            </w:r>
            <w:r>
              <w:rPr>
                <w:bCs/>
              </w:rPr>
              <w:t xml:space="preserve"> noteikt, ka kapitālsabiedrība nemaksā dividendes no prognozētās peļņas par 2019. - 202</w:t>
            </w:r>
            <w:r w:rsidR="006A36F7" w:rsidRPr="00B67D13">
              <w:rPr>
                <w:bCs/>
              </w:rPr>
              <w:t>2</w:t>
            </w:r>
            <w:r>
              <w:rPr>
                <w:bCs/>
              </w:rPr>
              <w:t>. pārskata gad</w:t>
            </w:r>
            <w:r w:rsidR="009A17A8">
              <w:rPr>
                <w:bCs/>
              </w:rPr>
              <w:t>iem</w:t>
            </w:r>
            <w:r>
              <w:rPr>
                <w:bCs/>
              </w:rPr>
              <w:t>.</w:t>
            </w:r>
          </w:p>
          <w:p w14:paraId="1A47A538" w14:textId="2D2A7E9D" w:rsidR="00DA1FAD" w:rsidRDefault="002D7C00">
            <w:pPr>
              <w:jc w:val="both"/>
            </w:pPr>
            <w:r>
              <w:t>Projekts</w:t>
            </w:r>
            <w:r w:rsidR="001F5FF5">
              <w:t xml:space="preserve"> stājas spēkā tā parakstīšanas brīdī.</w:t>
            </w:r>
            <w:bookmarkStart w:id="0" w:name="OLE_LINK2"/>
            <w:bookmarkStart w:id="1" w:name="OLE_LINK1"/>
            <w:bookmarkStart w:id="2" w:name="OLE_LINK5"/>
            <w:bookmarkStart w:id="3" w:name="OLE_LINK4"/>
            <w:bookmarkStart w:id="4" w:name="OLE_LINK3"/>
            <w:bookmarkEnd w:id="0"/>
            <w:bookmarkEnd w:id="1"/>
            <w:bookmarkEnd w:id="2"/>
            <w:bookmarkEnd w:id="3"/>
            <w:bookmarkEnd w:id="4"/>
          </w:p>
        </w:tc>
      </w:tr>
    </w:tbl>
    <w:p w14:paraId="389E4BF1" w14:textId="77777777" w:rsidR="00DA1FAD" w:rsidRDefault="00DA1FAD">
      <w:pPr>
        <w:tabs>
          <w:tab w:val="left" w:pos="7230"/>
        </w:tabs>
        <w:rPr>
          <w:color w:val="FF0000"/>
        </w:rPr>
      </w:pPr>
    </w:p>
    <w:tbl>
      <w:tblPr>
        <w:tblW w:w="9052" w:type="dxa"/>
        <w:tblInd w:w="15" w:type="dxa"/>
        <w:tblCellMar>
          <w:left w:w="5" w:type="dxa"/>
          <w:right w:w="5" w:type="dxa"/>
        </w:tblCellMar>
        <w:tblLook w:val="0000" w:firstRow="0" w:lastRow="0" w:firstColumn="0" w:lastColumn="0" w:noHBand="0" w:noVBand="0"/>
      </w:tblPr>
      <w:tblGrid>
        <w:gridCol w:w="523"/>
        <w:gridCol w:w="2574"/>
        <w:gridCol w:w="5955"/>
      </w:tblGrid>
      <w:tr w:rsidR="00DA1FAD" w14:paraId="03CD9352" w14:textId="77777777">
        <w:tc>
          <w:tcPr>
            <w:tcW w:w="905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BD41F9D" w14:textId="77777777" w:rsidR="00DA1FAD" w:rsidRDefault="001F5FF5">
            <w:pPr>
              <w:jc w:val="center"/>
            </w:pPr>
            <w:r>
              <w:rPr>
                <w:b/>
              </w:rPr>
              <w:t>I. Tiesību akta projekta izstrādes nepieciešamība</w:t>
            </w:r>
          </w:p>
        </w:tc>
      </w:tr>
      <w:tr w:rsidR="00DA1FAD" w14:paraId="2B4C5787" w14:textId="77777777">
        <w:trPr>
          <w:trHeight w:val="439"/>
        </w:trPr>
        <w:tc>
          <w:tcPr>
            <w:tcW w:w="523" w:type="dxa"/>
            <w:tcBorders>
              <w:top w:val="single" w:sz="4" w:space="0" w:color="000000"/>
              <w:left w:val="single" w:sz="4" w:space="0" w:color="000000"/>
              <w:bottom w:val="single" w:sz="4" w:space="0" w:color="000000"/>
              <w:right w:val="single" w:sz="4" w:space="0" w:color="000000"/>
            </w:tcBorders>
            <w:shd w:val="clear" w:color="auto" w:fill="auto"/>
          </w:tcPr>
          <w:p w14:paraId="009956A2" w14:textId="77777777" w:rsidR="00DA1FAD" w:rsidRDefault="001F5FF5">
            <w:r>
              <w:t>1.</w:t>
            </w:r>
          </w:p>
        </w:tc>
        <w:tc>
          <w:tcPr>
            <w:tcW w:w="2574" w:type="dxa"/>
            <w:tcBorders>
              <w:top w:val="single" w:sz="4" w:space="0" w:color="000000"/>
              <w:left w:val="single" w:sz="4" w:space="0" w:color="000000"/>
              <w:bottom w:val="single" w:sz="4" w:space="0" w:color="000000"/>
              <w:right w:val="single" w:sz="4" w:space="0" w:color="000000"/>
            </w:tcBorders>
            <w:shd w:val="clear" w:color="auto" w:fill="auto"/>
          </w:tcPr>
          <w:p w14:paraId="159D2DEA" w14:textId="77777777" w:rsidR="00DA1FAD" w:rsidRDefault="001F5FF5">
            <w:r>
              <w:t>Pamatojums</w:t>
            </w:r>
          </w:p>
        </w:tc>
        <w:tc>
          <w:tcPr>
            <w:tcW w:w="5955" w:type="dxa"/>
            <w:tcBorders>
              <w:top w:val="single" w:sz="4" w:space="0" w:color="000000"/>
              <w:left w:val="single" w:sz="4" w:space="0" w:color="000000"/>
              <w:bottom w:val="single" w:sz="4" w:space="0" w:color="000000"/>
              <w:right w:val="single" w:sz="4" w:space="0" w:color="000000"/>
            </w:tcBorders>
            <w:shd w:val="clear" w:color="auto" w:fill="auto"/>
          </w:tcPr>
          <w:p w14:paraId="49F7322A" w14:textId="77777777" w:rsidR="00DA1FAD" w:rsidRDefault="001F5FF5">
            <w:pPr>
              <w:jc w:val="both"/>
            </w:pPr>
            <w:r>
              <w:tab/>
              <w:t>Saskaņā ar Publiskas personas kapitāla daļu un kapitālsabiedrību pārvaldības likuma 28.panta pirmo daļu un Ministru kabineta 2015.gada 22.decembra noteikumu Nr.806 “Kārtība, kādā valsts kapitālsabiedrības un publiski privātās kapitālsabiedrības, kurās valsts ir dalībnieks (akcionārs), prognozē un nosaka dividendēs izmaksājamo peļņas daļu un veic maksājumus valsts budžetā par valsts kapitāla izmantošanu” (turpmāk – Noteikumi Nr.806) 5.punktu, kas nosaka, ka Ministru kabinets pēc valsts kapitāla daļu turētāja pamatota priekšlikuma ar Ministru kabineta rīkojumu var atļaut noteikt kapitālsabiedrības stratēģijā atšķirīgu prognozējamo dividendēs izmaksājamo peļņas daļu (procentos no prognozētās tīrās peļņas), nekā tas norādīts Noteikumu Nr.806 3.punktā vai citos tiesību aktos.</w:t>
            </w:r>
          </w:p>
        </w:tc>
      </w:tr>
      <w:tr w:rsidR="00DA1FAD" w14:paraId="27239277" w14:textId="77777777">
        <w:trPr>
          <w:trHeight w:val="705"/>
        </w:trPr>
        <w:tc>
          <w:tcPr>
            <w:tcW w:w="523" w:type="dxa"/>
            <w:tcBorders>
              <w:top w:val="single" w:sz="4" w:space="0" w:color="000000"/>
              <w:left w:val="single" w:sz="4" w:space="0" w:color="000000"/>
              <w:bottom w:val="single" w:sz="4" w:space="0" w:color="000000"/>
              <w:right w:val="single" w:sz="4" w:space="0" w:color="000000"/>
            </w:tcBorders>
            <w:shd w:val="clear" w:color="auto" w:fill="auto"/>
          </w:tcPr>
          <w:p w14:paraId="2AC6A52B" w14:textId="77777777" w:rsidR="00DA1FAD" w:rsidRDefault="001F5FF5">
            <w:r>
              <w:t>2.</w:t>
            </w:r>
          </w:p>
        </w:tc>
        <w:tc>
          <w:tcPr>
            <w:tcW w:w="2574" w:type="dxa"/>
            <w:tcBorders>
              <w:top w:val="single" w:sz="4" w:space="0" w:color="000000"/>
              <w:left w:val="single" w:sz="4" w:space="0" w:color="000000"/>
              <w:bottom w:val="single" w:sz="4" w:space="0" w:color="000000"/>
              <w:right w:val="single" w:sz="4" w:space="0" w:color="000000"/>
            </w:tcBorders>
            <w:shd w:val="clear" w:color="auto" w:fill="auto"/>
          </w:tcPr>
          <w:p w14:paraId="21BB3545" w14:textId="77777777" w:rsidR="00DA1FAD" w:rsidRDefault="001F5FF5">
            <w:r>
              <w:t>Pašreizējā situācija un problēmas, kuru risināšanai tiesību akta projekts izstrādāts, tiesiskā regulējuma mērķis un būtība</w:t>
            </w:r>
          </w:p>
        </w:tc>
        <w:tc>
          <w:tcPr>
            <w:tcW w:w="5955" w:type="dxa"/>
            <w:tcBorders>
              <w:top w:val="single" w:sz="4" w:space="0" w:color="000000"/>
              <w:left w:val="single" w:sz="4" w:space="0" w:color="000000"/>
              <w:bottom w:val="single" w:sz="4" w:space="0" w:color="000000"/>
              <w:right w:val="single" w:sz="4" w:space="0" w:color="000000"/>
            </w:tcBorders>
            <w:shd w:val="clear" w:color="auto" w:fill="auto"/>
          </w:tcPr>
          <w:p w14:paraId="25F758F5" w14:textId="77777777" w:rsidR="00DA1FAD" w:rsidRDefault="001F5FF5">
            <w:pPr>
              <w:pStyle w:val="naiskr"/>
              <w:spacing w:before="60" w:after="0"/>
              <w:jc w:val="both"/>
            </w:pPr>
            <w:r>
              <w:tab/>
              <w:t>Kapitālsabiedrība ir 100% valsts kapitālsabiedrība, kas atbilstoši Standartizācijas likumam darbojas kā nacionālā standartizācijas institūcija, kas īsteno valsts politiku standartizācijas jomā, kā arī attīsta standartizācijas sistēmas darbību valstī kopējas kvalitātes infrastruktūras nodrošināšanai.</w:t>
            </w:r>
          </w:p>
          <w:p w14:paraId="310066C9" w14:textId="67D4CBFA" w:rsidR="00D97A2F" w:rsidRPr="00611197" w:rsidRDefault="001F5FF5" w:rsidP="00611197">
            <w:pPr>
              <w:jc w:val="both"/>
            </w:pPr>
            <w:r>
              <w:tab/>
            </w:r>
            <w:r w:rsidR="007B5468" w:rsidRPr="00611197">
              <w:t xml:space="preserve">Saskaņā ar </w:t>
            </w:r>
            <w:r w:rsidR="00611197" w:rsidRPr="00611197">
              <w:t>Noteikumu Nr.806</w:t>
            </w:r>
            <w:r w:rsidR="007B5468" w:rsidRPr="00611197">
              <w:t xml:space="preserve"> 3.punktu minimālā prognozējamā peļņas daļa, kas izmaksājama dividendēs, ir </w:t>
            </w:r>
            <w:r w:rsidR="00611197" w:rsidRPr="00611197">
              <w:t>80</w:t>
            </w:r>
            <w:r w:rsidR="007B5468" w:rsidRPr="00611197">
              <w:t xml:space="preserve"> % </w:t>
            </w:r>
            <w:r w:rsidR="00611197" w:rsidRPr="00611197">
              <w:t>no kapitālsabiedrības pārskata gada peļņas, ja atbilstoši šo noteikumu II nodaļai kapitālsabiedrības vidēja termiņa darbības stratēģijā (turpmāk - stratēģija) nav noteikts citādi.</w:t>
            </w:r>
            <w:r w:rsidR="00611197">
              <w:t xml:space="preserve"> </w:t>
            </w:r>
            <w:r w:rsidR="001848E2" w:rsidRPr="00611197">
              <w:t xml:space="preserve">Vienlaikus saskaņā ar </w:t>
            </w:r>
            <w:r w:rsidR="00611197" w:rsidRPr="00611197">
              <w:t xml:space="preserve">Noteikumu Nr.806 </w:t>
            </w:r>
            <w:r w:rsidR="001848E2" w:rsidRPr="00611197">
              <w:t>5. un 6.punktu Ministru kabinet</w:t>
            </w:r>
            <w:r w:rsidR="00A10EDE">
              <w:t>s</w:t>
            </w:r>
            <w:r w:rsidR="001848E2" w:rsidRPr="00611197">
              <w:t xml:space="preserve"> pēc valsts kapitāla daļu turētāja pamatota priekšlikuma var atļaut noteikt </w:t>
            </w:r>
            <w:r w:rsidR="00A53D95" w:rsidRPr="00611197">
              <w:t>kapitāl</w:t>
            </w:r>
            <w:r w:rsidR="001848E2" w:rsidRPr="00611197">
              <w:t xml:space="preserve">sabiedrībai </w:t>
            </w:r>
            <w:r w:rsidR="00A53D95" w:rsidRPr="00611197">
              <w:t>atšķirīgu prognozējamo dividendēs izmaksājamo peļņas daļu (procentos no prognozētās tīrās peļņas).</w:t>
            </w:r>
          </w:p>
          <w:p w14:paraId="66B58670" w14:textId="459DEF42" w:rsidR="00DA1FAD" w:rsidRDefault="001F5FF5">
            <w:pPr>
              <w:pStyle w:val="naiskr"/>
              <w:spacing w:before="60" w:after="0"/>
              <w:jc w:val="both"/>
            </w:pPr>
            <w:r>
              <w:tab/>
              <w:t>Saskaņā ar Ministru kabineta 2018.gada 31.oktobra rīkojumu Nr.558 “</w:t>
            </w:r>
            <w:r>
              <w:rPr>
                <w:bCs/>
              </w:rPr>
              <w:t xml:space="preserve">Par sabiedrības ar ierobežotu atbildību </w:t>
            </w:r>
            <w:r>
              <w:rPr>
                <w:bCs/>
              </w:rPr>
              <w:lastRenderedPageBreak/>
              <w:t>“Latvijas standarts” vispārējo stratēģisko mērķi</w:t>
            </w:r>
            <w:r>
              <w:t>” ir noteikts kapitālsabiedrības vispārējais stratēģiskais mērķis – nodrošināt sabiedrībai pieejamus un uzticamus standartizācijas pakalpojumus, organizējot Latvijas nacionālo standartu izstrādi un Eiropas un starptautisko standartu adaptāciju atbilstoši starptautiskajiem standartizācijas principiem, novēršot tirgus nepilnību un sekmējot Latvijas uzņēmumu produktivitāti, konkurētspēju, eksportspēju un iekļaušanos globālajās vērtību ķēdēs.</w:t>
            </w:r>
          </w:p>
          <w:p w14:paraId="5CF3619C" w14:textId="5455D3DC" w:rsidR="00DA1FAD" w:rsidRDefault="001F5FF5">
            <w:pPr>
              <w:pStyle w:val="naiskr"/>
              <w:spacing w:before="0" w:after="0"/>
              <w:jc w:val="both"/>
              <w:rPr>
                <w:iCs/>
              </w:rPr>
            </w:pPr>
            <w:r>
              <w:rPr>
                <w:sz w:val="18"/>
                <w:szCs w:val="20"/>
              </w:rPr>
              <w:tab/>
            </w:r>
            <w:r>
              <w:t>Ievērojot kapitālsabiedrības noteikto vispārējo stratēģisko mērķi, kapitālsabiedrība ir izstrādājusi vidēja termiņa darbības stratēģiju “Sabiedrības ar ierobežotu atbildību “Latvijas standarts” vidēja termiņa darbības stratēģija 2019.-2023.gadam” (turpmāk – Stratēģija)</w:t>
            </w:r>
            <w:r>
              <w:rPr>
                <w:iCs/>
              </w:rPr>
              <w:t>, kurā sagatavots kapitālsabiedrības sekmīgai darbībai nepieciešamais investīciju plāns turpmākajiem gadiem, lai nodrošinātu Stratēģijā ietverto nefinanšu mērķu sasniegšanu un kapitālsabiedrības ilgtermiņa attīstību.</w:t>
            </w:r>
          </w:p>
          <w:p w14:paraId="1423D12C" w14:textId="47B29B4F" w:rsidR="000729D7" w:rsidRDefault="001F5FF5" w:rsidP="00E95CB6">
            <w:pPr>
              <w:pStyle w:val="naiskr"/>
              <w:spacing w:before="60" w:after="0"/>
              <w:jc w:val="both"/>
            </w:pPr>
            <w:r>
              <w:tab/>
            </w:r>
            <w:r w:rsidR="000729D7" w:rsidRPr="00100EE9">
              <w:t xml:space="preserve">Atbilstoši Standartizācijas likuma 17.panta pirmai daļai 2014.gadā sadarbībā ar Ekonomikas ministriju tika veiktas investīcijas un izveidota </w:t>
            </w:r>
            <w:r w:rsidR="0010447F" w:rsidRPr="00100EE9">
              <w:t>kapitālsabiedrības - N</w:t>
            </w:r>
            <w:r w:rsidR="000729D7" w:rsidRPr="00100EE9">
              <w:t>acionāl</w:t>
            </w:r>
            <w:r w:rsidR="0010447F" w:rsidRPr="00100EE9">
              <w:t>ās</w:t>
            </w:r>
            <w:r w:rsidR="000729D7" w:rsidRPr="00100EE9">
              <w:t xml:space="preserve"> standartizācijas institūcijas „Latvijas standarts” informācijas sistēm</w:t>
            </w:r>
            <w:r w:rsidR="00C01D80" w:rsidRPr="00100EE9">
              <w:t xml:space="preserve">a. </w:t>
            </w:r>
            <w:r w:rsidR="00AB667C" w:rsidRPr="00100EE9">
              <w:t xml:space="preserve">Lai kapitālsabiedrība varētu turpināt sekmīgi nodrošināt uzdotās valsts pārvaldes funkcijas reglamentētajā jomā, kā arī sekmēt ieguldīto investīciju atdeves saglabāšanos, ir nepieciešams nodrošināt ne tikai </w:t>
            </w:r>
            <w:r w:rsidR="00C0043D" w:rsidRPr="00100EE9">
              <w:t xml:space="preserve">nacionālās standartizācijas institūcijas </w:t>
            </w:r>
            <w:r w:rsidR="00AB667C" w:rsidRPr="00100EE9">
              <w:t xml:space="preserve">informācijas sistēmas patstāvīgu funkcionēšanu un </w:t>
            </w:r>
            <w:proofErr w:type="spellStart"/>
            <w:r w:rsidR="00AB667C" w:rsidRPr="00100EE9">
              <w:t>sadarbībspēju</w:t>
            </w:r>
            <w:proofErr w:type="spellEnd"/>
            <w:r w:rsidR="00AB667C" w:rsidRPr="00100EE9">
              <w:t xml:space="preserve"> ar Eiropas standartizācijas organizācij</w:t>
            </w:r>
            <w:r w:rsidR="00C0043D" w:rsidRPr="00100EE9">
              <w:t>u informācijas sistēmām</w:t>
            </w:r>
            <w:r w:rsidR="00AB667C" w:rsidRPr="00100EE9">
              <w:t>, bet arī</w:t>
            </w:r>
            <w:r w:rsidR="00C0043D" w:rsidRPr="00100EE9">
              <w:t xml:space="preserve"> nepieciešams nodrošināt </w:t>
            </w:r>
            <w:r w:rsidR="00AB667C" w:rsidRPr="00100EE9">
              <w:t>turpmāku attīstību integrējot sistēmu ar mūsdienu informācijas komunikāciju tehnoloģiju risinājumiem</w:t>
            </w:r>
            <w:r w:rsidR="00C0043D" w:rsidRPr="00100EE9">
              <w:t>, kā arī nodrošinot atbilstošu darbinieku kvalifikāciju un piemērotu darba vidi.</w:t>
            </w:r>
          </w:p>
          <w:p w14:paraId="74B9F589" w14:textId="3EA81861" w:rsidR="00E95CB6" w:rsidRDefault="00E95CB6" w:rsidP="00E95CB6">
            <w:pPr>
              <w:pStyle w:val="naiskr"/>
              <w:spacing w:before="60" w:after="0"/>
              <w:jc w:val="both"/>
              <w:rPr>
                <w:bCs/>
              </w:rPr>
            </w:pPr>
            <w:r>
              <w:t xml:space="preserve">Kapitālsabiedrības </w:t>
            </w:r>
            <w:r>
              <w:rPr>
                <w:bCs/>
              </w:rPr>
              <w:t>2019.-202</w:t>
            </w:r>
            <w:r w:rsidR="000317B7" w:rsidRPr="006F09E7">
              <w:rPr>
                <w:b/>
              </w:rPr>
              <w:t>2</w:t>
            </w:r>
            <w:r>
              <w:rPr>
                <w:bCs/>
              </w:rPr>
              <w:t>.pārskata gados plānoto peļņu paredzēts novirzīt kapitālsabiedrības vidējā termiņa darbības stratēģijas prioritātēm:</w:t>
            </w:r>
          </w:p>
          <w:p w14:paraId="36C80B62" w14:textId="77777777" w:rsidR="00D97A2F" w:rsidRDefault="00D97A2F" w:rsidP="00D97A2F">
            <w:pPr>
              <w:pStyle w:val="naiskr"/>
              <w:spacing w:before="60"/>
              <w:jc w:val="both"/>
            </w:pPr>
            <w:r>
              <w:t>1) standartu pieejamības un tulkošanas procesa uzlabošana:</w:t>
            </w:r>
          </w:p>
          <w:p w14:paraId="33698332" w14:textId="65E2F5CC" w:rsidR="00D97A2F" w:rsidRDefault="00D97A2F" w:rsidP="00DB4C6D">
            <w:pPr>
              <w:pStyle w:val="naiskr"/>
              <w:numPr>
                <w:ilvl w:val="0"/>
                <w:numId w:val="6"/>
              </w:numPr>
              <w:spacing w:before="60"/>
              <w:jc w:val="both"/>
            </w:pPr>
            <w:r>
              <w:t>2020.gads – Tildes neiron mašīntulkošanas (NMT) risinājuma pielāgošana jomām (Euro 2420,00)</w:t>
            </w:r>
            <w:r w:rsidR="007F5670">
              <w:t>;</w:t>
            </w:r>
          </w:p>
          <w:p w14:paraId="71DAF1C6" w14:textId="44F7F76F" w:rsidR="00D97A2F" w:rsidRDefault="00D97A2F" w:rsidP="00DB4C6D">
            <w:pPr>
              <w:pStyle w:val="naiskr"/>
              <w:numPr>
                <w:ilvl w:val="0"/>
                <w:numId w:val="6"/>
              </w:numPr>
              <w:spacing w:before="60"/>
              <w:jc w:val="both"/>
            </w:pPr>
            <w:r>
              <w:t xml:space="preserve">2020.gads – NMT risinājuma integrācija LVS </w:t>
            </w:r>
            <w:r w:rsidR="007F5670">
              <w:t>tīmekļa</w:t>
            </w:r>
            <w:r>
              <w:t xml:space="preserve"> vietnē (Euro 21681,52)</w:t>
            </w:r>
            <w:r w:rsidR="007F5670">
              <w:t>.</w:t>
            </w:r>
          </w:p>
          <w:p w14:paraId="777A263F" w14:textId="77777777" w:rsidR="00D97A2F" w:rsidRDefault="00D97A2F" w:rsidP="00D97A2F">
            <w:pPr>
              <w:pStyle w:val="naiskr"/>
              <w:spacing w:before="60"/>
              <w:jc w:val="both"/>
            </w:pPr>
            <w:r>
              <w:t>2) darbinieku un nozaru ekspertu darba vides uzlabošana:</w:t>
            </w:r>
          </w:p>
          <w:p w14:paraId="241A3FB1" w14:textId="53B37528" w:rsidR="00D97A2F" w:rsidRDefault="00D97A2F" w:rsidP="00DB4C6D">
            <w:pPr>
              <w:pStyle w:val="naiskr"/>
              <w:numPr>
                <w:ilvl w:val="0"/>
                <w:numId w:val="5"/>
              </w:numPr>
              <w:spacing w:before="60"/>
              <w:jc w:val="both"/>
            </w:pPr>
            <w:r>
              <w:t>2020.gads – Darbinieku un ekspertu kvalifikācijas celšana tulkošanas risinājumu izmantošanā (Euro 1500,00)</w:t>
            </w:r>
            <w:r w:rsidR="007F5670">
              <w:t>;</w:t>
            </w:r>
          </w:p>
          <w:p w14:paraId="1E0A2612" w14:textId="3ED25198" w:rsidR="00D97A2F" w:rsidRDefault="00D97A2F" w:rsidP="00DB4C6D">
            <w:pPr>
              <w:pStyle w:val="naiskr"/>
              <w:numPr>
                <w:ilvl w:val="0"/>
                <w:numId w:val="5"/>
              </w:numPr>
              <w:spacing w:before="60"/>
              <w:jc w:val="both"/>
            </w:pPr>
            <w:r>
              <w:t>2020.gads – Datoru un programmatūras iegāde Terminoloģijas speciālistam un Standartizācijas tehnisko komiteju koordinatoram (Euro 2481,00 )</w:t>
            </w:r>
            <w:r w:rsidR="007F5670">
              <w:t>;</w:t>
            </w:r>
          </w:p>
          <w:p w14:paraId="06633FEF" w14:textId="4B02CE08" w:rsidR="00D97A2F" w:rsidRDefault="00D97A2F" w:rsidP="00DB4C6D">
            <w:pPr>
              <w:pStyle w:val="naiskr"/>
              <w:numPr>
                <w:ilvl w:val="0"/>
                <w:numId w:val="5"/>
              </w:numPr>
              <w:spacing w:before="60"/>
              <w:jc w:val="both"/>
            </w:pPr>
            <w:r>
              <w:lastRenderedPageBreak/>
              <w:t>2021.gads – Datora un programmatūras iegāde Standartizācijas tehnisko komiteju koordinatoram (Euro 2000,00)</w:t>
            </w:r>
            <w:r w:rsidR="007F5670">
              <w:t>;</w:t>
            </w:r>
          </w:p>
          <w:p w14:paraId="28985A90" w14:textId="2F30013B" w:rsidR="00D97A2F" w:rsidRDefault="00D97A2F" w:rsidP="00DB4C6D">
            <w:pPr>
              <w:pStyle w:val="naiskr"/>
              <w:numPr>
                <w:ilvl w:val="0"/>
                <w:numId w:val="5"/>
              </w:numPr>
              <w:spacing w:before="60"/>
              <w:jc w:val="both"/>
            </w:pPr>
            <w:r>
              <w:t>2022.gads – Datora un programmatūras iegāde Standartizācijas tehnisko komiteju koordinatoram (Euro 2000,00)</w:t>
            </w:r>
            <w:r w:rsidR="007F5670">
              <w:t>;</w:t>
            </w:r>
          </w:p>
          <w:p w14:paraId="50C91FA0" w14:textId="5920689A" w:rsidR="00D97A2F" w:rsidRDefault="00D97A2F" w:rsidP="00DB4C6D">
            <w:pPr>
              <w:pStyle w:val="naiskr"/>
              <w:numPr>
                <w:ilvl w:val="0"/>
                <w:numId w:val="5"/>
              </w:numPr>
              <w:spacing w:before="60" w:after="0"/>
              <w:jc w:val="both"/>
            </w:pPr>
            <w:r>
              <w:t>2023.gads – Datora un programmatūras iegāde Standartizācijas tehnisko komiteju koordinatoram (Euro 2000,00).</w:t>
            </w:r>
          </w:p>
          <w:p w14:paraId="5DA38B03" w14:textId="421150CC" w:rsidR="00DA1FAD" w:rsidRDefault="001F5FF5">
            <w:pPr>
              <w:pStyle w:val="naiskr"/>
              <w:spacing w:before="60" w:after="0"/>
              <w:jc w:val="both"/>
            </w:pPr>
            <w:r>
              <w:rPr>
                <w:iCs/>
                <w:sz w:val="18"/>
                <w:szCs w:val="20"/>
              </w:rPr>
              <w:tab/>
            </w:r>
            <w:r>
              <w:rPr>
                <w:iCs/>
              </w:rPr>
              <w:t>Kapitālsabiedrības plānotā peļņa 2019.-202</w:t>
            </w:r>
            <w:r w:rsidR="00CD5A58">
              <w:rPr>
                <w:iCs/>
              </w:rPr>
              <w:t>2</w:t>
            </w:r>
            <w:r>
              <w:rPr>
                <w:iCs/>
              </w:rPr>
              <w:t>.</w:t>
            </w:r>
            <w:r w:rsidR="006A5296">
              <w:rPr>
                <w:iCs/>
              </w:rPr>
              <w:t xml:space="preserve">pārskata </w:t>
            </w:r>
            <w:r>
              <w:rPr>
                <w:iCs/>
              </w:rPr>
              <w:t xml:space="preserve"> periodam pa gadiem, EUR:</w:t>
            </w:r>
          </w:p>
          <w:tbl>
            <w:tblPr>
              <w:tblStyle w:val="TableGrid"/>
              <w:tblW w:w="5458" w:type="dxa"/>
              <w:tblLook w:val="04A0" w:firstRow="1" w:lastRow="0" w:firstColumn="1" w:lastColumn="0" w:noHBand="0" w:noVBand="1"/>
            </w:tblPr>
            <w:tblGrid>
              <w:gridCol w:w="1364"/>
              <w:gridCol w:w="1365"/>
              <w:gridCol w:w="1364"/>
              <w:gridCol w:w="1365"/>
            </w:tblGrid>
            <w:tr w:rsidR="00CD5A58" w14:paraId="5CABF16A" w14:textId="77777777" w:rsidTr="00CD5A58">
              <w:trPr>
                <w:trHeight w:val="365"/>
              </w:trPr>
              <w:tc>
                <w:tcPr>
                  <w:tcW w:w="1364" w:type="dxa"/>
                  <w:shd w:val="clear" w:color="auto" w:fill="auto"/>
                </w:tcPr>
                <w:p w14:paraId="6618D36C" w14:textId="77777777" w:rsidR="00CD5A58" w:rsidRDefault="00CD5A58">
                  <w:pPr>
                    <w:pStyle w:val="naiskr"/>
                    <w:spacing w:before="60" w:after="0"/>
                    <w:jc w:val="center"/>
                  </w:pPr>
                  <w:r>
                    <w:rPr>
                      <w:b/>
                      <w:iCs/>
                    </w:rPr>
                    <w:t>2019</w:t>
                  </w:r>
                </w:p>
              </w:tc>
              <w:tc>
                <w:tcPr>
                  <w:tcW w:w="1365" w:type="dxa"/>
                  <w:shd w:val="clear" w:color="auto" w:fill="auto"/>
                </w:tcPr>
                <w:p w14:paraId="6173C534" w14:textId="77777777" w:rsidR="00CD5A58" w:rsidRDefault="00CD5A58">
                  <w:pPr>
                    <w:pStyle w:val="naiskr"/>
                    <w:spacing w:before="60" w:after="0"/>
                    <w:jc w:val="center"/>
                  </w:pPr>
                  <w:r>
                    <w:rPr>
                      <w:b/>
                      <w:iCs/>
                    </w:rPr>
                    <w:t>2020</w:t>
                  </w:r>
                </w:p>
              </w:tc>
              <w:tc>
                <w:tcPr>
                  <w:tcW w:w="1364" w:type="dxa"/>
                  <w:shd w:val="clear" w:color="auto" w:fill="auto"/>
                </w:tcPr>
                <w:p w14:paraId="3161361B" w14:textId="77777777" w:rsidR="00CD5A58" w:rsidRDefault="00CD5A58">
                  <w:pPr>
                    <w:pStyle w:val="naiskr"/>
                    <w:spacing w:before="60" w:after="0"/>
                    <w:jc w:val="center"/>
                  </w:pPr>
                  <w:r>
                    <w:rPr>
                      <w:b/>
                      <w:iCs/>
                    </w:rPr>
                    <w:t>2021</w:t>
                  </w:r>
                </w:p>
              </w:tc>
              <w:tc>
                <w:tcPr>
                  <w:tcW w:w="1365" w:type="dxa"/>
                  <w:shd w:val="clear" w:color="auto" w:fill="auto"/>
                </w:tcPr>
                <w:p w14:paraId="796577F5" w14:textId="77777777" w:rsidR="00CD5A58" w:rsidRDefault="00CD5A58">
                  <w:pPr>
                    <w:pStyle w:val="naiskr"/>
                    <w:spacing w:before="60" w:after="0"/>
                    <w:jc w:val="center"/>
                  </w:pPr>
                  <w:r>
                    <w:rPr>
                      <w:b/>
                      <w:iCs/>
                    </w:rPr>
                    <w:t>2022</w:t>
                  </w:r>
                </w:p>
              </w:tc>
            </w:tr>
            <w:tr w:rsidR="00CD5A58" w14:paraId="6A3A17AB" w14:textId="77777777" w:rsidTr="00CD5A58">
              <w:trPr>
                <w:trHeight w:val="365"/>
              </w:trPr>
              <w:tc>
                <w:tcPr>
                  <w:tcW w:w="1364" w:type="dxa"/>
                  <w:shd w:val="clear" w:color="auto" w:fill="auto"/>
                </w:tcPr>
                <w:p w14:paraId="4B595DF4" w14:textId="77777777" w:rsidR="00CD5A58" w:rsidRDefault="00CD5A58">
                  <w:pPr>
                    <w:pStyle w:val="naiskr"/>
                    <w:spacing w:before="60" w:after="0"/>
                    <w:jc w:val="center"/>
                  </w:pPr>
                  <w:r>
                    <w:rPr>
                      <w:iCs/>
                    </w:rPr>
                    <w:t>28 093</w:t>
                  </w:r>
                </w:p>
              </w:tc>
              <w:tc>
                <w:tcPr>
                  <w:tcW w:w="1365" w:type="dxa"/>
                  <w:shd w:val="clear" w:color="auto" w:fill="auto"/>
                </w:tcPr>
                <w:p w14:paraId="3E762971" w14:textId="77777777" w:rsidR="00CD5A58" w:rsidRDefault="00CD5A58">
                  <w:pPr>
                    <w:pStyle w:val="naiskr"/>
                    <w:spacing w:before="60" w:after="0"/>
                    <w:jc w:val="center"/>
                  </w:pPr>
                  <w:r>
                    <w:rPr>
                      <w:iCs/>
                    </w:rPr>
                    <w:t>2 000</w:t>
                  </w:r>
                </w:p>
              </w:tc>
              <w:tc>
                <w:tcPr>
                  <w:tcW w:w="1364" w:type="dxa"/>
                  <w:shd w:val="clear" w:color="auto" w:fill="auto"/>
                </w:tcPr>
                <w:p w14:paraId="562098AF" w14:textId="77777777" w:rsidR="00CD5A58" w:rsidRDefault="00CD5A58">
                  <w:pPr>
                    <w:pStyle w:val="naiskr"/>
                    <w:spacing w:before="60" w:after="0"/>
                    <w:jc w:val="center"/>
                  </w:pPr>
                  <w:r>
                    <w:rPr>
                      <w:iCs/>
                    </w:rPr>
                    <w:t>2 000</w:t>
                  </w:r>
                </w:p>
              </w:tc>
              <w:tc>
                <w:tcPr>
                  <w:tcW w:w="1365" w:type="dxa"/>
                  <w:shd w:val="clear" w:color="auto" w:fill="auto"/>
                </w:tcPr>
                <w:p w14:paraId="3B8E5A1A" w14:textId="77777777" w:rsidR="00CD5A58" w:rsidRDefault="00CD5A58">
                  <w:pPr>
                    <w:pStyle w:val="naiskr"/>
                    <w:spacing w:before="60" w:after="0"/>
                    <w:jc w:val="center"/>
                  </w:pPr>
                  <w:r>
                    <w:rPr>
                      <w:iCs/>
                    </w:rPr>
                    <w:t>2 000</w:t>
                  </w:r>
                </w:p>
              </w:tc>
            </w:tr>
          </w:tbl>
          <w:p w14:paraId="516459B8" w14:textId="6ABFE04F" w:rsidR="00AC52E5" w:rsidRDefault="001F5FF5" w:rsidP="00AC52E5">
            <w:pPr>
              <w:pStyle w:val="naiskr"/>
              <w:spacing w:before="120"/>
              <w:jc w:val="both"/>
              <w:rPr>
                <w:color w:val="FF0000"/>
                <w:szCs w:val="28"/>
              </w:rPr>
            </w:pPr>
            <w:r>
              <w:rPr>
                <w:sz w:val="18"/>
                <w:szCs w:val="20"/>
              </w:rPr>
              <w:tab/>
            </w:r>
            <w:r w:rsidR="00E95CB6" w:rsidRPr="00AF4D17">
              <w:rPr>
                <w:szCs w:val="28"/>
              </w:rPr>
              <w:t>Kapitālsabiedrība darbojas kā nacionālā standartizācijas institūcija</w:t>
            </w:r>
            <w:r w:rsidR="00AF4D17" w:rsidRPr="00AF4D17">
              <w:rPr>
                <w:szCs w:val="28"/>
              </w:rPr>
              <w:t xml:space="preserve">, </w:t>
            </w:r>
            <w:r w:rsidR="00AF4D17" w:rsidRPr="00AF4D17">
              <w:t>kas īsteno valsts politiku standartizācijas jomā, kā arī attīsta standartizācijas sistēmas darbību valstī kopējās kvalitātes infrastruktūras nodrošināšanai</w:t>
            </w:r>
            <w:r w:rsidR="00AF4D17">
              <w:t>. Kapitālsabiedrība atbilstoši</w:t>
            </w:r>
            <w:r w:rsidR="00E95CB6">
              <w:rPr>
                <w:color w:val="FF0000"/>
                <w:szCs w:val="28"/>
              </w:rPr>
              <w:t xml:space="preserve"> </w:t>
            </w:r>
            <w:r w:rsidR="00E95CB6" w:rsidRPr="00AC52E5">
              <w:rPr>
                <w:szCs w:val="28"/>
              </w:rPr>
              <w:t>Standartizācijas likum</w:t>
            </w:r>
            <w:r w:rsidR="00792B40" w:rsidRPr="00AC52E5">
              <w:rPr>
                <w:szCs w:val="28"/>
              </w:rPr>
              <w:t>am realizē</w:t>
            </w:r>
            <w:r w:rsidR="00E95CB6" w:rsidRPr="00AC52E5">
              <w:rPr>
                <w:szCs w:val="28"/>
              </w:rPr>
              <w:t xml:space="preserve"> noteikt</w:t>
            </w:r>
            <w:r w:rsidR="00792B40" w:rsidRPr="00AC52E5">
              <w:rPr>
                <w:szCs w:val="28"/>
              </w:rPr>
              <w:t>ās</w:t>
            </w:r>
            <w:r w:rsidR="00E95CB6" w:rsidRPr="00AC52E5">
              <w:rPr>
                <w:szCs w:val="28"/>
              </w:rPr>
              <w:t xml:space="preserve"> funkcij</w:t>
            </w:r>
            <w:r w:rsidR="00AF4D17" w:rsidRPr="00AC52E5">
              <w:rPr>
                <w:szCs w:val="28"/>
              </w:rPr>
              <w:t>ā</w:t>
            </w:r>
            <w:r w:rsidR="00AC52E5" w:rsidRPr="00AC52E5">
              <w:rPr>
                <w:szCs w:val="28"/>
              </w:rPr>
              <w:t>s un nekonkurē ar privāto sektoru, bet palīdz tam realizēt normatīvi tehniskās vajadzības nacionālajā, Eiropas un starptautiskajā līmenī. Kapitālsabiedrības darbība nav</w:t>
            </w:r>
            <w:r w:rsidR="00792B40" w:rsidRPr="00AC52E5">
              <w:rPr>
                <w:szCs w:val="28"/>
              </w:rPr>
              <w:t xml:space="preserve"> vērsta uz peļņas </w:t>
            </w:r>
            <w:r w:rsidR="00AC52E5" w:rsidRPr="00AC52E5">
              <w:rPr>
                <w:szCs w:val="28"/>
              </w:rPr>
              <w:t xml:space="preserve">gūšanu, </w:t>
            </w:r>
            <w:r w:rsidR="00E95CB6" w:rsidRPr="00AC52E5">
              <w:rPr>
                <w:szCs w:val="28"/>
              </w:rPr>
              <w:t>līdz ar to</w:t>
            </w:r>
            <w:r w:rsidR="00AC52E5" w:rsidRPr="00AC52E5">
              <w:rPr>
                <w:szCs w:val="28"/>
              </w:rPr>
              <w:t>,</w:t>
            </w:r>
            <w:r w:rsidR="00E95CB6" w:rsidRPr="00AC52E5">
              <w:rPr>
                <w:szCs w:val="28"/>
              </w:rPr>
              <w:t xml:space="preserve"> kapitāl</w:t>
            </w:r>
            <w:r w:rsidR="00AC52E5" w:rsidRPr="00AC52E5">
              <w:rPr>
                <w:szCs w:val="28"/>
              </w:rPr>
              <w:t>sabiedrības p</w:t>
            </w:r>
            <w:r w:rsidR="00E95CB6" w:rsidRPr="00AC52E5">
              <w:rPr>
                <w:szCs w:val="28"/>
              </w:rPr>
              <w:t xml:space="preserve">eļņas neizmaksāšana dividendēs un tās reinvestēšana </w:t>
            </w:r>
            <w:r w:rsidR="000504EF">
              <w:rPr>
                <w:szCs w:val="28"/>
              </w:rPr>
              <w:t>nav</w:t>
            </w:r>
            <w:r w:rsidR="00E95CB6" w:rsidRPr="00AC52E5">
              <w:rPr>
                <w:szCs w:val="28"/>
              </w:rPr>
              <w:t xml:space="preserve"> kvalificējama kā komercdarbības atbalsts.</w:t>
            </w:r>
          </w:p>
          <w:p w14:paraId="4CE27807" w14:textId="1A234B6B" w:rsidR="00DA1FAD" w:rsidRDefault="001F5FF5" w:rsidP="00AC52E5">
            <w:pPr>
              <w:pStyle w:val="naiskr"/>
              <w:ind w:firstLine="720"/>
              <w:jc w:val="both"/>
            </w:pPr>
            <w:r>
              <w:t>Lai kapitālsabiedrība spētu īstenot Stratēģijā noteiktos mērķus, ir nepieciešams veikt regulārus ieguldījumus tās infrastruktūras</w:t>
            </w:r>
            <w:r w:rsidR="00D97A2F">
              <w:t xml:space="preserve"> </w:t>
            </w:r>
            <w:r>
              <w:t>attīstībā</w:t>
            </w:r>
            <w:r w:rsidR="00D97A2F">
              <w:t xml:space="preserve"> un darbinieku darba vides uzlabošanā</w:t>
            </w:r>
            <w:r>
              <w:t xml:space="preserve">, līdz ar to Ekonomikas ministrija ierosina Ministru kabinetam pieņemt lēmumu, ar kuru atļaut kapitālsabiedrības Stratēģijā </w:t>
            </w:r>
            <w:r>
              <w:rPr>
                <w:bCs/>
              </w:rPr>
              <w:t>noteikt, ka kapitālsabiedrība nemaksā dividendes no prognozētās peļņas par 2019. - 202</w:t>
            </w:r>
            <w:bookmarkStart w:id="5" w:name="_GoBack"/>
            <w:r w:rsidR="000317B7" w:rsidRPr="00B67D13">
              <w:rPr>
                <w:bCs/>
              </w:rPr>
              <w:t>2</w:t>
            </w:r>
            <w:bookmarkEnd w:id="5"/>
            <w:r>
              <w:rPr>
                <w:bCs/>
              </w:rPr>
              <w:t>. pārskata gadu.</w:t>
            </w:r>
          </w:p>
        </w:tc>
      </w:tr>
      <w:tr w:rsidR="00DA1FAD" w14:paraId="79C96198" w14:textId="77777777">
        <w:trPr>
          <w:trHeight w:val="455"/>
        </w:trPr>
        <w:tc>
          <w:tcPr>
            <w:tcW w:w="523" w:type="dxa"/>
            <w:tcBorders>
              <w:top w:val="single" w:sz="4" w:space="0" w:color="000000"/>
              <w:left w:val="single" w:sz="4" w:space="0" w:color="000000"/>
              <w:bottom w:val="single" w:sz="4" w:space="0" w:color="000000"/>
              <w:right w:val="single" w:sz="4" w:space="0" w:color="000000"/>
            </w:tcBorders>
            <w:shd w:val="clear" w:color="auto" w:fill="auto"/>
          </w:tcPr>
          <w:p w14:paraId="1AB6A49E" w14:textId="77777777" w:rsidR="00DA1FAD" w:rsidRDefault="001F5FF5">
            <w:r>
              <w:lastRenderedPageBreak/>
              <w:t>3.</w:t>
            </w:r>
          </w:p>
        </w:tc>
        <w:tc>
          <w:tcPr>
            <w:tcW w:w="2574" w:type="dxa"/>
            <w:tcBorders>
              <w:top w:val="single" w:sz="4" w:space="0" w:color="000000"/>
              <w:left w:val="single" w:sz="4" w:space="0" w:color="000000"/>
              <w:bottom w:val="single" w:sz="4" w:space="0" w:color="000000"/>
              <w:right w:val="single" w:sz="4" w:space="0" w:color="000000"/>
            </w:tcBorders>
            <w:shd w:val="clear" w:color="auto" w:fill="auto"/>
          </w:tcPr>
          <w:p w14:paraId="6BD5FC84" w14:textId="77777777" w:rsidR="00DA1FAD" w:rsidRDefault="001F5FF5">
            <w:r>
              <w:t>Projekta izstrādē iesaistītās institūcijas</w:t>
            </w:r>
          </w:p>
        </w:tc>
        <w:tc>
          <w:tcPr>
            <w:tcW w:w="5955" w:type="dxa"/>
            <w:tcBorders>
              <w:top w:val="single" w:sz="4" w:space="0" w:color="000000"/>
              <w:left w:val="single" w:sz="4" w:space="0" w:color="000000"/>
              <w:bottom w:val="single" w:sz="4" w:space="0" w:color="000000"/>
              <w:right w:val="single" w:sz="4" w:space="0" w:color="000000"/>
            </w:tcBorders>
            <w:shd w:val="clear" w:color="auto" w:fill="auto"/>
          </w:tcPr>
          <w:p w14:paraId="0B4539DC" w14:textId="77777777" w:rsidR="00DA1FAD" w:rsidRDefault="001F5FF5">
            <w:pPr>
              <w:jc w:val="both"/>
            </w:pPr>
            <w:r>
              <w:t>Ekonomikas ministrija</w:t>
            </w:r>
          </w:p>
        </w:tc>
      </w:tr>
      <w:tr w:rsidR="00DA1FAD" w14:paraId="29DF55CF" w14:textId="77777777">
        <w:trPr>
          <w:trHeight w:val="165"/>
        </w:trPr>
        <w:tc>
          <w:tcPr>
            <w:tcW w:w="523" w:type="dxa"/>
            <w:tcBorders>
              <w:top w:val="single" w:sz="4" w:space="0" w:color="000000"/>
              <w:left w:val="single" w:sz="4" w:space="0" w:color="000000"/>
              <w:bottom w:val="single" w:sz="4" w:space="0" w:color="000000"/>
              <w:right w:val="single" w:sz="4" w:space="0" w:color="000000"/>
            </w:tcBorders>
            <w:shd w:val="clear" w:color="auto" w:fill="auto"/>
          </w:tcPr>
          <w:p w14:paraId="3DB1F8A8" w14:textId="77777777" w:rsidR="00DA1FAD" w:rsidRDefault="001F5FF5">
            <w:r>
              <w:t>4.</w:t>
            </w:r>
          </w:p>
        </w:tc>
        <w:tc>
          <w:tcPr>
            <w:tcW w:w="2574" w:type="dxa"/>
            <w:tcBorders>
              <w:top w:val="single" w:sz="4" w:space="0" w:color="000000"/>
              <w:left w:val="single" w:sz="4" w:space="0" w:color="000000"/>
              <w:bottom w:val="single" w:sz="4" w:space="0" w:color="000000"/>
              <w:right w:val="single" w:sz="4" w:space="0" w:color="000000"/>
            </w:tcBorders>
            <w:shd w:val="clear" w:color="auto" w:fill="auto"/>
          </w:tcPr>
          <w:p w14:paraId="6F9D295C" w14:textId="77777777" w:rsidR="00DA1FAD" w:rsidRDefault="001F5FF5">
            <w:r>
              <w:t>Cita informācija</w:t>
            </w:r>
          </w:p>
        </w:tc>
        <w:tc>
          <w:tcPr>
            <w:tcW w:w="5955" w:type="dxa"/>
            <w:tcBorders>
              <w:top w:val="single" w:sz="4" w:space="0" w:color="000000"/>
              <w:left w:val="single" w:sz="4" w:space="0" w:color="000000"/>
              <w:bottom w:val="single" w:sz="4" w:space="0" w:color="000000"/>
              <w:right w:val="single" w:sz="4" w:space="0" w:color="000000"/>
            </w:tcBorders>
            <w:shd w:val="clear" w:color="auto" w:fill="auto"/>
          </w:tcPr>
          <w:p w14:paraId="7B489093" w14:textId="77777777" w:rsidR="00DA1FAD" w:rsidRDefault="001F5FF5">
            <w:pPr>
              <w:pStyle w:val="naiskr"/>
              <w:spacing w:before="0" w:after="0"/>
              <w:jc w:val="both"/>
            </w:pPr>
            <w:r>
              <w:t>Nav</w:t>
            </w:r>
          </w:p>
        </w:tc>
      </w:tr>
    </w:tbl>
    <w:p w14:paraId="77EBAA28" w14:textId="77777777" w:rsidR="00DA1FAD" w:rsidRDefault="00DA1FAD">
      <w:pPr>
        <w:rPr>
          <w:color w:val="FF0000"/>
        </w:rPr>
      </w:pPr>
    </w:p>
    <w:tbl>
      <w:tblPr>
        <w:tblW w:w="9061" w:type="dxa"/>
        <w:tblInd w:w="15" w:type="dxa"/>
        <w:tblCellMar>
          <w:left w:w="5" w:type="dxa"/>
          <w:right w:w="5" w:type="dxa"/>
        </w:tblCellMar>
        <w:tblLook w:val="04A0" w:firstRow="1" w:lastRow="0" w:firstColumn="1" w:lastColumn="0" w:noHBand="0" w:noVBand="1"/>
      </w:tblPr>
      <w:tblGrid>
        <w:gridCol w:w="9061"/>
      </w:tblGrid>
      <w:tr w:rsidR="00DA1FAD" w14:paraId="3BDAEECD" w14:textId="77777777">
        <w:tc>
          <w:tcPr>
            <w:tcW w:w="90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EBB712" w14:textId="77777777" w:rsidR="00DA1FAD" w:rsidRDefault="001F5FF5">
            <w:pPr>
              <w:jc w:val="center"/>
              <w:rPr>
                <w:b/>
              </w:rPr>
            </w:pPr>
            <w:r>
              <w:rPr>
                <w:b/>
              </w:rPr>
              <w:t>II. Tiesību akta projekta ietekme uz sabiedrību tautsaimniecības attīstību un administratīvo slogu</w:t>
            </w:r>
          </w:p>
        </w:tc>
      </w:tr>
      <w:tr w:rsidR="00DA1FAD" w14:paraId="256748E6" w14:textId="77777777">
        <w:tc>
          <w:tcPr>
            <w:tcW w:w="90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081054" w14:textId="77777777" w:rsidR="00DA1FAD" w:rsidRDefault="001F5FF5">
            <w:pPr>
              <w:jc w:val="center"/>
              <w:rPr>
                <w:bCs/>
              </w:rPr>
            </w:pPr>
            <w:r>
              <w:rPr>
                <w:bCs/>
              </w:rPr>
              <w:t>Projekts šo jomu neskar</w:t>
            </w:r>
          </w:p>
        </w:tc>
      </w:tr>
    </w:tbl>
    <w:p w14:paraId="066465FE" w14:textId="77777777" w:rsidR="00DA1FAD" w:rsidRDefault="00DA1FAD"/>
    <w:tbl>
      <w:tblPr>
        <w:tblW w:w="4850" w:type="pct"/>
        <w:tblCellMar>
          <w:top w:w="30" w:type="dxa"/>
          <w:left w:w="30" w:type="dxa"/>
          <w:bottom w:w="30" w:type="dxa"/>
          <w:right w:w="30" w:type="dxa"/>
        </w:tblCellMar>
        <w:tblLook w:val="04A0" w:firstRow="1" w:lastRow="0" w:firstColumn="1" w:lastColumn="0" w:noHBand="0" w:noVBand="1"/>
      </w:tblPr>
      <w:tblGrid>
        <w:gridCol w:w="1606"/>
        <w:gridCol w:w="1356"/>
        <w:gridCol w:w="994"/>
        <w:gridCol w:w="1081"/>
        <w:gridCol w:w="994"/>
        <w:gridCol w:w="972"/>
        <w:gridCol w:w="1027"/>
        <w:gridCol w:w="1028"/>
      </w:tblGrid>
      <w:tr w:rsidR="00DA1FAD" w14:paraId="02754C7F" w14:textId="77777777" w:rsidTr="001021F6">
        <w:tc>
          <w:tcPr>
            <w:tcW w:w="9058" w:type="dxa"/>
            <w:gridSpan w:val="8"/>
            <w:tcBorders>
              <w:top w:val="outset" w:sz="6" w:space="0" w:color="414142"/>
              <w:left w:val="outset" w:sz="6" w:space="0" w:color="414142"/>
              <w:bottom w:val="outset" w:sz="6" w:space="0" w:color="414142"/>
              <w:right w:val="outset" w:sz="6" w:space="0" w:color="414142"/>
            </w:tcBorders>
            <w:shd w:val="clear" w:color="auto" w:fill="FFFFFF"/>
            <w:vAlign w:val="center"/>
          </w:tcPr>
          <w:p w14:paraId="54A96ADC" w14:textId="77777777" w:rsidR="00DA1FAD" w:rsidRDefault="001F5FF5">
            <w:pPr>
              <w:rPr>
                <w:b/>
                <w:bCs/>
              </w:rPr>
            </w:pPr>
            <w:r>
              <w:rPr>
                <w:b/>
                <w:bCs/>
              </w:rPr>
              <w:t>III. Tiesību akta projekta ietekme uz valsts budžetu un pašvaldību budžetiem</w:t>
            </w:r>
          </w:p>
        </w:tc>
      </w:tr>
      <w:tr w:rsidR="00DA1FAD" w14:paraId="79320366" w14:textId="77777777" w:rsidTr="006E04CB">
        <w:tc>
          <w:tcPr>
            <w:tcW w:w="1606" w:type="dxa"/>
            <w:vMerge w:val="restart"/>
            <w:tcBorders>
              <w:top w:val="outset" w:sz="6" w:space="0" w:color="414142"/>
              <w:left w:val="outset" w:sz="6" w:space="0" w:color="414142"/>
              <w:bottom w:val="outset" w:sz="6" w:space="0" w:color="414142"/>
              <w:right w:val="outset" w:sz="6" w:space="0" w:color="414142"/>
            </w:tcBorders>
            <w:shd w:val="clear" w:color="auto" w:fill="FFFFFF"/>
            <w:vAlign w:val="center"/>
          </w:tcPr>
          <w:p w14:paraId="69045E0E" w14:textId="77777777" w:rsidR="00DA1FAD" w:rsidRDefault="001F5FF5">
            <w:r>
              <w:t>Rādītāji</w:t>
            </w:r>
          </w:p>
        </w:tc>
        <w:tc>
          <w:tcPr>
            <w:tcW w:w="2350" w:type="dxa"/>
            <w:gridSpan w:val="2"/>
            <w:vMerge w:val="restart"/>
            <w:tcBorders>
              <w:top w:val="outset" w:sz="6" w:space="0" w:color="414142"/>
              <w:left w:val="outset" w:sz="6" w:space="0" w:color="414142"/>
              <w:bottom w:val="outset" w:sz="6" w:space="0" w:color="414142"/>
              <w:right w:val="outset" w:sz="6" w:space="0" w:color="414142"/>
            </w:tcBorders>
            <w:shd w:val="clear" w:color="auto" w:fill="FFFFFF"/>
            <w:vAlign w:val="center"/>
          </w:tcPr>
          <w:p w14:paraId="67992896" w14:textId="46C437BA" w:rsidR="00DA1FAD" w:rsidRDefault="001F5FF5">
            <w:pPr>
              <w:jc w:val="center"/>
              <w:rPr>
                <w:b/>
              </w:rPr>
            </w:pPr>
            <w:r>
              <w:rPr>
                <w:b/>
              </w:rPr>
              <w:t>20</w:t>
            </w:r>
            <w:r w:rsidR="00370548">
              <w:rPr>
                <w:b/>
              </w:rPr>
              <w:t>20</w:t>
            </w:r>
          </w:p>
        </w:tc>
        <w:tc>
          <w:tcPr>
            <w:tcW w:w="5102" w:type="dxa"/>
            <w:gridSpan w:val="5"/>
            <w:tcBorders>
              <w:top w:val="outset" w:sz="6" w:space="0" w:color="414142"/>
              <w:left w:val="outset" w:sz="6" w:space="0" w:color="414142"/>
              <w:bottom w:val="outset" w:sz="6" w:space="0" w:color="414142"/>
              <w:right w:val="outset" w:sz="6" w:space="0" w:color="414142"/>
            </w:tcBorders>
            <w:shd w:val="clear" w:color="auto" w:fill="FFFFFF"/>
            <w:vAlign w:val="center"/>
          </w:tcPr>
          <w:p w14:paraId="79B6E9BD" w14:textId="77777777" w:rsidR="00DA1FAD" w:rsidRDefault="001F5FF5">
            <w:r>
              <w:t>Turpmākie trīs gadi (</w:t>
            </w:r>
            <w:r>
              <w:rPr>
                <w:i/>
                <w:iCs/>
              </w:rPr>
              <w:t>euro</w:t>
            </w:r>
            <w:r>
              <w:t>)</w:t>
            </w:r>
          </w:p>
        </w:tc>
      </w:tr>
      <w:tr w:rsidR="00DA1FAD" w14:paraId="566B7EE3" w14:textId="77777777" w:rsidTr="006E04CB">
        <w:tc>
          <w:tcPr>
            <w:tcW w:w="1606" w:type="dxa"/>
            <w:vMerge/>
            <w:tcBorders>
              <w:top w:val="outset" w:sz="6" w:space="0" w:color="414142"/>
              <w:left w:val="outset" w:sz="6" w:space="0" w:color="414142"/>
              <w:bottom w:val="outset" w:sz="6" w:space="0" w:color="414142"/>
              <w:right w:val="outset" w:sz="6" w:space="0" w:color="414142"/>
            </w:tcBorders>
            <w:shd w:val="clear" w:color="auto" w:fill="FFFFFF"/>
            <w:vAlign w:val="center"/>
          </w:tcPr>
          <w:p w14:paraId="0EB9571E" w14:textId="77777777" w:rsidR="00DA1FAD" w:rsidRDefault="00DA1FAD"/>
        </w:tc>
        <w:tc>
          <w:tcPr>
            <w:tcW w:w="2350" w:type="dxa"/>
            <w:gridSpan w:val="2"/>
            <w:vMerge/>
            <w:tcBorders>
              <w:top w:val="outset" w:sz="6" w:space="0" w:color="414142"/>
              <w:left w:val="outset" w:sz="6" w:space="0" w:color="414142"/>
              <w:bottom w:val="outset" w:sz="6" w:space="0" w:color="414142"/>
              <w:right w:val="outset" w:sz="6" w:space="0" w:color="414142"/>
            </w:tcBorders>
            <w:shd w:val="clear" w:color="auto" w:fill="FFFFFF"/>
            <w:vAlign w:val="center"/>
          </w:tcPr>
          <w:p w14:paraId="774FE57F" w14:textId="77777777" w:rsidR="00DA1FAD" w:rsidRDefault="00DA1FAD"/>
        </w:tc>
        <w:tc>
          <w:tcPr>
            <w:tcW w:w="2075" w:type="dxa"/>
            <w:gridSpan w:val="2"/>
            <w:tcBorders>
              <w:top w:val="outset" w:sz="6" w:space="0" w:color="414142"/>
              <w:left w:val="outset" w:sz="6" w:space="0" w:color="414142"/>
              <w:bottom w:val="outset" w:sz="6" w:space="0" w:color="414142"/>
              <w:right w:val="outset" w:sz="6" w:space="0" w:color="414142"/>
            </w:tcBorders>
            <w:shd w:val="clear" w:color="auto" w:fill="FFFFFF"/>
            <w:vAlign w:val="center"/>
          </w:tcPr>
          <w:p w14:paraId="4F2443E7" w14:textId="709AC185" w:rsidR="00DA1FAD" w:rsidRDefault="001F5FF5">
            <w:pPr>
              <w:jc w:val="center"/>
              <w:rPr>
                <w:b/>
              </w:rPr>
            </w:pPr>
            <w:r>
              <w:rPr>
                <w:b/>
              </w:rPr>
              <w:t>202</w:t>
            </w:r>
            <w:r w:rsidR="00370548">
              <w:rPr>
                <w:b/>
              </w:rPr>
              <w:t>1</w:t>
            </w:r>
          </w:p>
        </w:tc>
        <w:tc>
          <w:tcPr>
            <w:tcW w:w="1999" w:type="dxa"/>
            <w:gridSpan w:val="2"/>
            <w:tcBorders>
              <w:top w:val="outset" w:sz="6" w:space="0" w:color="414142"/>
              <w:left w:val="outset" w:sz="6" w:space="0" w:color="414142"/>
              <w:bottom w:val="outset" w:sz="6" w:space="0" w:color="414142"/>
              <w:right w:val="outset" w:sz="6" w:space="0" w:color="414142"/>
            </w:tcBorders>
            <w:shd w:val="clear" w:color="auto" w:fill="FFFFFF"/>
            <w:vAlign w:val="center"/>
          </w:tcPr>
          <w:p w14:paraId="3D4DDE0B" w14:textId="7BFEFB2E" w:rsidR="00DA1FAD" w:rsidRDefault="001F5FF5">
            <w:pPr>
              <w:jc w:val="center"/>
              <w:rPr>
                <w:b/>
              </w:rPr>
            </w:pPr>
            <w:r>
              <w:rPr>
                <w:b/>
              </w:rPr>
              <w:t>202</w:t>
            </w:r>
            <w:r w:rsidR="00370548">
              <w:rPr>
                <w:b/>
              </w:rPr>
              <w:t>2</w:t>
            </w:r>
          </w:p>
        </w:tc>
        <w:tc>
          <w:tcPr>
            <w:tcW w:w="1028" w:type="dxa"/>
            <w:tcBorders>
              <w:top w:val="outset" w:sz="6" w:space="0" w:color="414142"/>
              <w:left w:val="outset" w:sz="6" w:space="0" w:color="414142"/>
              <w:bottom w:val="outset" w:sz="6" w:space="0" w:color="414142"/>
              <w:right w:val="outset" w:sz="6" w:space="0" w:color="414142"/>
            </w:tcBorders>
            <w:shd w:val="clear" w:color="auto" w:fill="FFFFFF"/>
            <w:vAlign w:val="center"/>
          </w:tcPr>
          <w:p w14:paraId="6F4C1FC3" w14:textId="7FF71B41" w:rsidR="00DA1FAD" w:rsidRDefault="001F5FF5">
            <w:pPr>
              <w:jc w:val="center"/>
              <w:rPr>
                <w:b/>
              </w:rPr>
            </w:pPr>
            <w:r>
              <w:rPr>
                <w:b/>
              </w:rPr>
              <w:t>202</w:t>
            </w:r>
            <w:r w:rsidR="00370548">
              <w:rPr>
                <w:b/>
              </w:rPr>
              <w:t>3</w:t>
            </w:r>
          </w:p>
        </w:tc>
      </w:tr>
      <w:tr w:rsidR="001021F6" w14:paraId="7042FE1C" w14:textId="77777777" w:rsidTr="006E04CB">
        <w:tc>
          <w:tcPr>
            <w:tcW w:w="1606" w:type="dxa"/>
            <w:vMerge/>
            <w:tcBorders>
              <w:top w:val="outset" w:sz="6" w:space="0" w:color="414142"/>
              <w:left w:val="outset" w:sz="6" w:space="0" w:color="414142"/>
              <w:bottom w:val="outset" w:sz="6" w:space="0" w:color="414142"/>
              <w:right w:val="outset" w:sz="6" w:space="0" w:color="414142"/>
            </w:tcBorders>
            <w:shd w:val="clear" w:color="auto" w:fill="FFFFFF"/>
            <w:vAlign w:val="center"/>
          </w:tcPr>
          <w:p w14:paraId="74EFBED3" w14:textId="77777777" w:rsidR="00DA1FAD" w:rsidRDefault="00DA1FAD"/>
        </w:tc>
        <w:tc>
          <w:tcPr>
            <w:tcW w:w="1356" w:type="dxa"/>
            <w:tcBorders>
              <w:top w:val="outset" w:sz="6" w:space="0" w:color="414142"/>
              <w:left w:val="outset" w:sz="6" w:space="0" w:color="414142"/>
              <w:bottom w:val="outset" w:sz="6" w:space="0" w:color="414142"/>
              <w:right w:val="outset" w:sz="6" w:space="0" w:color="414142"/>
            </w:tcBorders>
            <w:shd w:val="clear" w:color="auto" w:fill="FFFFFF"/>
            <w:vAlign w:val="center"/>
          </w:tcPr>
          <w:p w14:paraId="2C78A83A" w14:textId="77777777" w:rsidR="00DA1FAD" w:rsidRDefault="001F5FF5">
            <w:r>
              <w:t>saskaņā ar valsts budžetu kārtējam gadam</w:t>
            </w:r>
          </w:p>
        </w:tc>
        <w:tc>
          <w:tcPr>
            <w:tcW w:w="994" w:type="dxa"/>
            <w:tcBorders>
              <w:top w:val="outset" w:sz="6" w:space="0" w:color="414142"/>
              <w:left w:val="outset" w:sz="6" w:space="0" w:color="414142"/>
              <w:bottom w:val="outset" w:sz="6" w:space="0" w:color="414142"/>
              <w:right w:val="outset" w:sz="6" w:space="0" w:color="414142"/>
            </w:tcBorders>
            <w:shd w:val="clear" w:color="auto" w:fill="FFFFFF"/>
            <w:vAlign w:val="center"/>
          </w:tcPr>
          <w:p w14:paraId="2BDA916A" w14:textId="77777777" w:rsidR="00DA1FAD" w:rsidRDefault="001F5FF5">
            <w:r>
              <w:t xml:space="preserve">izmaiņas kārtējā gadā, salīdzinot ar valsts budžetu </w:t>
            </w:r>
            <w:r>
              <w:lastRenderedPageBreak/>
              <w:t>kārtējam gadam</w:t>
            </w:r>
          </w:p>
        </w:tc>
        <w:tc>
          <w:tcPr>
            <w:tcW w:w="1081" w:type="dxa"/>
            <w:tcBorders>
              <w:top w:val="outset" w:sz="6" w:space="0" w:color="414142"/>
              <w:left w:val="outset" w:sz="6" w:space="0" w:color="414142"/>
              <w:bottom w:val="outset" w:sz="6" w:space="0" w:color="414142"/>
              <w:right w:val="outset" w:sz="6" w:space="0" w:color="414142"/>
            </w:tcBorders>
            <w:shd w:val="clear" w:color="auto" w:fill="FFFFFF"/>
            <w:vAlign w:val="center"/>
          </w:tcPr>
          <w:p w14:paraId="7B0948E6" w14:textId="77777777" w:rsidR="00DA1FAD" w:rsidRDefault="001F5FF5">
            <w:r>
              <w:lastRenderedPageBreak/>
              <w:t>saskaņā ar vidēja termiņa budžeta ietvaru</w:t>
            </w:r>
          </w:p>
        </w:tc>
        <w:tc>
          <w:tcPr>
            <w:tcW w:w="994" w:type="dxa"/>
            <w:tcBorders>
              <w:top w:val="outset" w:sz="6" w:space="0" w:color="414142"/>
              <w:left w:val="outset" w:sz="6" w:space="0" w:color="414142"/>
              <w:bottom w:val="outset" w:sz="6" w:space="0" w:color="414142"/>
              <w:right w:val="outset" w:sz="6" w:space="0" w:color="414142"/>
            </w:tcBorders>
            <w:shd w:val="clear" w:color="auto" w:fill="FFFFFF"/>
            <w:vAlign w:val="center"/>
          </w:tcPr>
          <w:p w14:paraId="2E3EA501" w14:textId="77777777" w:rsidR="00DA1FAD" w:rsidRDefault="001F5FF5">
            <w:r>
              <w:t xml:space="preserve">izmaiņas, salīdzinot ar vidēja termiņa budžeta ietvaru </w:t>
            </w:r>
            <w:r>
              <w:lastRenderedPageBreak/>
              <w:t>n+1 gadam</w:t>
            </w:r>
          </w:p>
        </w:tc>
        <w:tc>
          <w:tcPr>
            <w:tcW w:w="972" w:type="dxa"/>
            <w:tcBorders>
              <w:top w:val="outset" w:sz="6" w:space="0" w:color="414142"/>
              <w:left w:val="outset" w:sz="6" w:space="0" w:color="414142"/>
              <w:bottom w:val="outset" w:sz="6" w:space="0" w:color="414142"/>
              <w:right w:val="outset" w:sz="6" w:space="0" w:color="414142"/>
            </w:tcBorders>
            <w:shd w:val="clear" w:color="auto" w:fill="FFFFFF"/>
            <w:vAlign w:val="center"/>
          </w:tcPr>
          <w:p w14:paraId="344CDE2C" w14:textId="77777777" w:rsidR="00DA1FAD" w:rsidRDefault="001F5FF5">
            <w:r>
              <w:lastRenderedPageBreak/>
              <w:t>saskaņā ar vidēja termiņa budžeta ietvaru</w:t>
            </w:r>
          </w:p>
        </w:tc>
        <w:tc>
          <w:tcPr>
            <w:tcW w:w="1027" w:type="dxa"/>
            <w:tcBorders>
              <w:top w:val="outset" w:sz="6" w:space="0" w:color="414142"/>
              <w:left w:val="outset" w:sz="6" w:space="0" w:color="414142"/>
              <w:bottom w:val="outset" w:sz="6" w:space="0" w:color="414142"/>
              <w:right w:val="outset" w:sz="6" w:space="0" w:color="414142"/>
            </w:tcBorders>
            <w:shd w:val="clear" w:color="auto" w:fill="FFFFFF"/>
            <w:vAlign w:val="center"/>
          </w:tcPr>
          <w:p w14:paraId="03F40A6A" w14:textId="77777777" w:rsidR="00DA1FAD" w:rsidRDefault="001F5FF5">
            <w:r>
              <w:t xml:space="preserve">izmaiņas, salīdzinot ar vidēja termiņa budžeta ietvaru </w:t>
            </w:r>
            <w:r>
              <w:lastRenderedPageBreak/>
              <w:t>n+2 gadam</w:t>
            </w:r>
          </w:p>
        </w:tc>
        <w:tc>
          <w:tcPr>
            <w:tcW w:w="1028" w:type="dxa"/>
            <w:tcBorders>
              <w:top w:val="outset" w:sz="6" w:space="0" w:color="414142"/>
              <w:left w:val="outset" w:sz="6" w:space="0" w:color="414142"/>
              <w:bottom w:val="outset" w:sz="6" w:space="0" w:color="414142"/>
              <w:right w:val="outset" w:sz="6" w:space="0" w:color="414142"/>
            </w:tcBorders>
            <w:shd w:val="clear" w:color="auto" w:fill="FFFFFF"/>
            <w:vAlign w:val="center"/>
          </w:tcPr>
          <w:p w14:paraId="44404279" w14:textId="77777777" w:rsidR="00DA1FAD" w:rsidRDefault="001F5FF5">
            <w:r>
              <w:lastRenderedPageBreak/>
              <w:t xml:space="preserve">izmaiņas, salīdzinot ar vidēja termiņa budžeta ietvaru </w:t>
            </w:r>
            <w:r>
              <w:lastRenderedPageBreak/>
              <w:t>n+2 gadam</w:t>
            </w:r>
          </w:p>
        </w:tc>
      </w:tr>
      <w:tr w:rsidR="001021F6" w14:paraId="7383A658" w14:textId="77777777" w:rsidTr="006E04CB">
        <w:tc>
          <w:tcPr>
            <w:tcW w:w="1606" w:type="dxa"/>
            <w:tcBorders>
              <w:top w:val="outset" w:sz="6" w:space="0" w:color="414142"/>
              <w:left w:val="outset" w:sz="6" w:space="0" w:color="414142"/>
              <w:bottom w:val="outset" w:sz="6" w:space="0" w:color="414142"/>
              <w:right w:val="outset" w:sz="6" w:space="0" w:color="414142"/>
            </w:tcBorders>
            <w:shd w:val="clear" w:color="auto" w:fill="FFFFFF"/>
            <w:vAlign w:val="center"/>
          </w:tcPr>
          <w:p w14:paraId="551B766D" w14:textId="77777777" w:rsidR="00DA1FAD" w:rsidRDefault="001F5FF5">
            <w:pPr>
              <w:jc w:val="center"/>
            </w:pPr>
            <w:r>
              <w:lastRenderedPageBreak/>
              <w:t>1</w:t>
            </w:r>
          </w:p>
        </w:tc>
        <w:tc>
          <w:tcPr>
            <w:tcW w:w="1356" w:type="dxa"/>
            <w:tcBorders>
              <w:top w:val="outset" w:sz="6" w:space="0" w:color="414142"/>
              <w:left w:val="outset" w:sz="6" w:space="0" w:color="414142"/>
              <w:bottom w:val="outset" w:sz="6" w:space="0" w:color="414142"/>
              <w:right w:val="outset" w:sz="6" w:space="0" w:color="414142"/>
            </w:tcBorders>
            <w:shd w:val="clear" w:color="auto" w:fill="FFFFFF"/>
            <w:vAlign w:val="center"/>
          </w:tcPr>
          <w:p w14:paraId="199B0FFD" w14:textId="77777777" w:rsidR="00DA1FAD" w:rsidRDefault="001F5FF5">
            <w:pPr>
              <w:jc w:val="center"/>
            </w:pPr>
            <w:r>
              <w:t>2</w:t>
            </w:r>
          </w:p>
        </w:tc>
        <w:tc>
          <w:tcPr>
            <w:tcW w:w="994" w:type="dxa"/>
            <w:tcBorders>
              <w:top w:val="outset" w:sz="6" w:space="0" w:color="414142"/>
              <w:left w:val="outset" w:sz="6" w:space="0" w:color="414142"/>
              <w:bottom w:val="outset" w:sz="6" w:space="0" w:color="414142"/>
              <w:right w:val="outset" w:sz="6" w:space="0" w:color="414142"/>
            </w:tcBorders>
            <w:shd w:val="clear" w:color="auto" w:fill="FFFFFF"/>
            <w:vAlign w:val="center"/>
          </w:tcPr>
          <w:p w14:paraId="6CC10EF6" w14:textId="77777777" w:rsidR="00DA1FAD" w:rsidRDefault="001F5FF5">
            <w:pPr>
              <w:jc w:val="center"/>
            </w:pPr>
            <w:r>
              <w:t>3</w:t>
            </w:r>
          </w:p>
        </w:tc>
        <w:tc>
          <w:tcPr>
            <w:tcW w:w="1081" w:type="dxa"/>
            <w:tcBorders>
              <w:top w:val="outset" w:sz="6" w:space="0" w:color="414142"/>
              <w:left w:val="outset" w:sz="6" w:space="0" w:color="414142"/>
              <w:bottom w:val="outset" w:sz="6" w:space="0" w:color="414142"/>
              <w:right w:val="outset" w:sz="6" w:space="0" w:color="414142"/>
            </w:tcBorders>
            <w:shd w:val="clear" w:color="auto" w:fill="FFFFFF"/>
            <w:vAlign w:val="center"/>
          </w:tcPr>
          <w:p w14:paraId="4567DA18" w14:textId="77777777" w:rsidR="00DA1FAD" w:rsidRDefault="001F5FF5">
            <w:pPr>
              <w:jc w:val="center"/>
            </w:pPr>
            <w:r>
              <w:t>4</w:t>
            </w:r>
          </w:p>
        </w:tc>
        <w:tc>
          <w:tcPr>
            <w:tcW w:w="994" w:type="dxa"/>
            <w:tcBorders>
              <w:top w:val="outset" w:sz="6" w:space="0" w:color="414142"/>
              <w:left w:val="outset" w:sz="6" w:space="0" w:color="414142"/>
              <w:bottom w:val="outset" w:sz="6" w:space="0" w:color="414142"/>
              <w:right w:val="outset" w:sz="6" w:space="0" w:color="414142"/>
            </w:tcBorders>
            <w:shd w:val="clear" w:color="auto" w:fill="FFFFFF"/>
            <w:vAlign w:val="center"/>
          </w:tcPr>
          <w:p w14:paraId="3C26A5C2" w14:textId="77777777" w:rsidR="00DA1FAD" w:rsidRDefault="001F5FF5">
            <w:pPr>
              <w:jc w:val="center"/>
            </w:pPr>
            <w:r>
              <w:t>5</w:t>
            </w:r>
          </w:p>
        </w:tc>
        <w:tc>
          <w:tcPr>
            <w:tcW w:w="972" w:type="dxa"/>
            <w:tcBorders>
              <w:top w:val="outset" w:sz="6" w:space="0" w:color="414142"/>
              <w:left w:val="outset" w:sz="6" w:space="0" w:color="414142"/>
              <w:bottom w:val="outset" w:sz="6" w:space="0" w:color="414142"/>
              <w:right w:val="outset" w:sz="6" w:space="0" w:color="414142"/>
            </w:tcBorders>
            <w:shd w:val="clear" w:color="auto" w:fill="FFFFFF"/>
            <w:vAlign w:val="center"/>
          </w:tcPr>
          <w:p w14:paraId="31B1D18E" w14:textId="77777777" w:rsidR="00DA1FAD" w:rsidRDefault="001F5FF5">
            <w:pPr>
              <w:jc w:val="center"/>
            </w:pPr>
            <w:r>
              <w:t>6</w:t>
            </w:r>
          </w:p>
        </w:tc>
        <w:tc>
          <w:tcPr>
            <w:tcW w:w="1027" w:type="dxa"/>
            <w:tcBorders>
              <w:top w:val="outset" w:sz="6" w:space="0" w:color="414142"/>
              <w:left w:val="outset" w:sz="6" w:space="0" w:color="414142"/>
              <w:bottom w:val="outset" w:sz="6" w:space="0" w:color="414142"/>
              <w:right w:val="outset" w:sz="6" w:space="0" w:color="414142"/>
            </w:tcBorders>
            <w:shd w:val="clear" w:color="auto" w:fill="FFFFFF"/>
            <w:vAlign w:val="center"/>
          </w:tcPr>
          <w:p w14:paraId="0DC0F268" w14:textId="77777777" w:rsidR="00DA1FAD" w:rsidRDefault="001F5FF5">
            <w:pPr>
              <w:jc w:val="center"/>
            </w:pPr>
            <w:r>
              <w:t>7</w:t>
            </w:r>
          </w:p>
        </w:tc>
        <w:tc>
          <w:tcPr>
            <w:tcW w:w="1028" w:type="dxa"/>
            <w:tcBorders>
              <w:top w:val="outset" w:sz="6" w:space="0" w:color="414142"/>
              <w:left w:val="outset" w:sz="6" w:space="0" w:color="414142"/>
              <w:bottom w:val="outset" w:sz="6" w:space="0" w:color="414142"/>
              <w:right w:val="outset" w:sz="6" w:space="0" w:color="414142"/>
            </w:tcBorders>
            <w:shd w:val="clear" w:color="auto" w:fill="FFFFFF"/>
            <w:vAlign w:val="center"/>
          </w:tcPr>
          <w:p w14:paraId="3E202DA3" w14:textId="77777777" w:rsidR="00DA1FAD" w:rsidRDefault="001F5FF5">
            <w:pPr>
              <w:jc w:val="center"/>
            </w:pPr>
            <w:r>
              <w:t>8</w:t>
            </w:r>
          </w:p>
        </w:tc>
      </w:tr>
      <w:tr w:rsidR="006E04CB" w14:paraId="1FC43D4B" w14:textId="77777777" w:rsidTr="006E04CB">
        <w:tc>
          <w:tcPr>
            <w:tcW w:w="1606" w:type="dxa"/>
            <w:tcBorders>
              <w:top w:val="outset" w:sz="6" w:space="0" w:color="414142"/>
              <w:left w:val="outset" w:sz="6" w:space="0" w:color="414142"/>
              <w:bottom w:val="outset" w:sz="6" w:space="0" w:color="414142"/>
              <w:right w:val="outset" w:sz="6" w:space="0" w:color="414142"/>
            </w:tcBorders>
            <w:shd w:val="clear" w:color="auto" w:fill="FFFFFF"/>
          </w:tcPr>
          <w:p w14:paraId="1C917FE6" w14:textId="77777777" w:rsidR="006E04CB" w:rsidRDefault="006E04CB" w:rsidP="006E04CB">
            <w:r>
              <w:t>1. Budžeta ieņēmumi</w:t>
            </w:r>
          </w:p>
        </w:tc>
        <w:tc>
          <w:tcPr>
            <w:tcW w:w="1356" w:type="dxa"/>
            <w:tcBorders>
              <w:top w:val="outset" w:sz="6" w:space="0" w:color="414142"/>
              <w:left w:val="outset" w:sz="6" w:space="0" w:color="414142"/>
              <w:bottom w:val="outset" w:sz="6" w:space="0" w:color="414142"/>
              <w:right w:val="outset" w:sz="6" w:space="0" w:color="414142"/>
            </w:tcBorders>
            <w:shd w:val="clear" w:color="auto" w:fill="FFFFFF"/>
            <w:vAlign w:val="center"/>
          </w:tcPr>
          <w:p w14:paraId="14E44CD6" w14:textId="4E5C8D9D" w:rsidR="006E04CB" w:rsidRPr="006E04CB" w:rsidRDefault="006E04CB" w:rsidP="006E04CB">
            <w:pPr>
              <w:jc w:val="center"/>
            </w:pPr>
            <w:r w:rsidRPr="006E04CB">
              <w:rPr>
                <w:iCs/>
              </w:rPr>
              <w:t>198 388 262</w:t>
            </w:r>
          </w:p>
        </w:tc>
        <w:tc>
          <w:tcPr>
            <w:tcW w:w="994" w:type="dxa"/>
            <w:tcBorders>
              <w:top w:val="outset" w:sz="6" w:space="0" w:color="414142"/>
              <w:left w:val="outset" w:sz="6" w:space="0" w:color="414142"/>
              <w:bottom w:val="outset" w:sz="6" w:space="0" w:color="414142"/>
              <w:right w:val="outset" w:sz="6" w:space="0" w:color="414142"/>
            </w:tcBorders>
            <w:shd w:val="clear" w:color="auto" w:fill="FFFFFF"/>
            <w:vAlign w:val="center"/>
          </w:tcPr>
          <w:p w14:paraId="15645CA6" w14:textId="6A2F135A" w:rsidR="006E04CB" w:rsidRDefault="006E04CB" w:rsidP="006E04CB">
            <w:pPr>
              <w:jc w:val="center"/>
            </w:pPr>
            <w:r w:rsidRPr="002A0EB5">
              <w:t>-2</w:t>
            </w:r>
            <w:r w:rsidR="00124DDC">
              <w:t>2</w:t>
            </w:r>
            <w:r w:rsidRPr="002A0EB5">
              <w:t xml:space="preserve"> </w:t>
            </w:r>
            <w:r w:rsidR="00124DDC">
              <w:t>475</w:t>
            </w:r>
          </w:p>
        </w:tc>
        <w:tc>
          <w:tcPr>
            <w:tcW w:w="1081" w:type="dxa"/>
            <w:tcBorders>
              <w:top w:val="outset" w:sz="6" w:space="0" w:color="414142"/>
              <w:left w:val="outset" w:sz="6" w:space="0" w:color="414142"/>
              <w:bottom w:val="outset" w:sz="6" w:space="0" w:color="414142"/>
              <w:right w:val="outset" w:sz="6" w:space="0" w:color="414142"/>
            </w:tcBorders>
            <w:shd w:val="clear" w:color="auto" w:fill="FFFFFF"/>
            <w:vAlign w:val="center"/>
          </w:tcPr>
          <w:p w14:paraId="46431AE8" w14:textId="7C2D6973" w:rsidR="006E04CB" w:rsidRDefault="006E04CB" w:rsidP="006E04CB">
            <w:pPr>
              <w:jc w:val="center"/>
            </w:pPr>
            <w:r>
              <w:t>55 961 650</w:t>
            </w:r>
          </w:p>
        </w:tc>
        <w:tc>
          <w:tcPr>
            <w:tcW w:w="994" w:type="dxa"/>
            <w:tcBorders>
              <w:top w:val="outset" w:sz="6" w:space="0" w:color="414142"/>
              <w:left w:val="outset" w:sz="6" w:space="0" w:color="414142"/>
              <w:bottom w:val="outset" w:sz="6" w:space="0" w:color="414142"/>
              <w:right w:val="outset" w:sz="6" w:space="0" w:color="414142"/>
            </w:tcBorders>
            <w:shd w:val="clear" w:color="auto" w:fill="FFFFFF"/>
            <w:vAlign w:val="center"/>
          </w:tcPr>
          <w:p w14:paraId="176BFE84" w14:textId="13350501" w:rsidR="006E04CB" w:rsidRDefault="006E04CB" w:rsidP="006E04CB">
            <w:pPr>
              <w:jc w:val="center"/>
            </w:pPr>
            <w:r w:rsidRPr="002A0EB5">
              <w:t>-</w:t>
            </w:r>
            <w:r w:rsidR="00124DDC">
              <w:t>1600</w:t>
            </w:r>
          </w:p>
        </w:tc>
        <w:tc>
          <w:tcPr>
            <w:tcW w:w="972" w:type="dxa"/>
            <w:tcBorders>
              <w:top w:val="outset" w:sz="6" w:space="0" w:color="414142"/>
              <w:left w:val="outset" w:sz="6" w:space="0" w:color="414142"/>
              <w:bottom w:val="outset" w:sz="6" w:space="0" w:color="414142"/>
              <w:right w:val="outset" w:sz="6" w:space="0" w:color="414142"/>
            </w:tcBorders>
            <w:shd w:val="clear" w:color="auto" w:fill="FFFFFF"/>
            <w:vAlign w:val="center"/>
          </w:tcPr>
          <w:p w14:paraId="250FC554" w14:textId="723E8E4B" w:rsidR="006E04CB" w:rsidRDefault="006E04CB" w:rsidP="006E04CB">
            <w:pPr>
              <w:jc w:val="center"/>
            </w:pPr>
            <w:r>
              <w:t>57 080 146</w:t>
            </w:r>
          </w:p>
        </w:tc>
        <w:tc>
          <w:tcPr>
            <w:tcW w:w="1027" w:type="dxa"/>
            <w:tcBorders>
              <w:top w:val="outset" w:sz="6" w:space="0" w:color="414142"/>
              <w:left w:val="outset" w:sz="6" w:space="0" w:color="414142"/>
              <w:bottom w:val="outset" w:sz="6" w:space="0" w:color="414142"/>
              <w:right w:val="outset" w:sz="6" w:space="0" w:color="414142"/>
            </w:tcBorders>
            <w:shd w:val="clear" w:color="auto" w:fill="FFFFFF"/>
            <w:vAlign w:val="center"/>
          </w:tcPr>
          <w:p w14:paraId="6911E3E8" w14:textId="30CC302C" w:rsidR="006E04CB" w:rsidRDefault="006E04CB" w:rsidP="006E04CB">
            <w:pPr>
              <w:jc w:val="center"/>
            </w:pPr>
            <w:r w:rsidRPr="002A0EB5">
              <w:t>-</w:t>
            </w:r>
            <w:r w:rsidR="00124DDC">
              <w:t>1600</w:t>
            </w:r>
          </w:p>
        </w:tc>
        <w:tc>
          <w:tcPr>
            <w:tcW w:w="1028" w:type="dxa"/>
            <w:tcBorders>
              <w:top w:val="outset" w:sz="6" w:space="0" w:color="414142"/>
              <w:left w:val="outset" w:sz="6" w:space="0" w:color="414142"/>
              <w:bottom w:val="outset" w:sz="6" w:space="0" w:color="414142"/>
              <w:right w:val="outset" w:sz="6" w:space="0" w:color="414142"/>
            </w:tcBorders>
            <w:shd w:val="clear" w:color="auto" w:fill="FFFFFF"/>
            <w:vAlign w:val="center"/>
          </w:tcPr>
          <w:p w14:paraId="6E61248E" w14:textId="5ED8B6EF" w:rsidR="006E04CB" w:rsidRDefault="006E04CB" w:rsidP="006E04CB">
            <w:pPr>
              <w:jc w:val="center"/>
            </w:pPr>
            <w:r w:rsidRPr="002A0EB5">
              <w:t>-</w:t>
            </w:r>
            <w:r w:rsidR="00124DDC">
              <w:t>1600</w:t>
            </w:r>
          </w:p>
        </w:tc>
      </w:tr>
      <w:tr w:rsidR="006E04CB" w14:paraId="083B00D2" w14:textId="77777777" w:rsidTr="006E04CB">
        <w:tc>
          <w:tcPr>
            <w:tcW w:w="1606" w:type="dxa"/>
            <w:tcBorders>
              <w:top w:val="outset" w:sz="6" w:space="0" w:color="414142"/>
              <w:left w:val="outset" w:sz="6" w:space="0" w:color="414142"/>
              <w:bottom w:val="outset" w:sz="6" w:space="0" w:color="414142"/>
              <w:right w:val="outset" w:sz="6" w:space="0" w:color="414142"/>
            </w:tcBorders>
            <w:shd w:val="clear" w:color="auto" w:fill="FFFFFF"/>
          </w:tcPr>
          <w:p w14:paraId="46703AB1" w14:textId="77777777" w:rsidR="006E04CB" w:rsidRDefault="006E04CB" w:rsidP="006E04CB">
            <w:r>
              <w:t>1.1. valsts pamatbudžets, tai skaitā ieņēmumi no maksas pakalpojumiem un citi pašu ieņēmumi</w:t>
            </w:r>
          </w:p>
        </w:tc>
        <w:tc>
          <w:tcPr>
            <w:tcW w:w="1356" w:type="dxa"/>
            <w:tcBorders>
              <w:top w:val="outset" w:sz="6" w:space="0" w:color="414142"/>
              <w:left w:val="outset" w:sz="6" w:space="0" w:color="414142"/>
              <w:bottom w:val="outset" w:sz="6" w:space="0" w:color="414142"/>
              <w:right w:val="outset" w:sz="6" w:space="0" w:color="414142"/>
            </w:tcBorders>
            <w:shd w:val="clear" w:color="auto" w:fill="FFFFFF"/>
            <w:vAlign w:val="center"/>
          </w:tcPr>
          <w:p w14:paraId="5A8866F9" w14:textId="6C68CC89" w:rsidR="006E04CB" w:rsidRPr="006E04CB" w:rsidRDefault="006E04CB" w:rsidP="006E04CB">
            <w:pPr>
              <w:jc w:val="center"/>
              <w:rPr>
                <w:color w:val="FF0000"/>
              </w:rPr>
            </w:pPr>
            <w:r w:rsidRPr="006E04CB">
              <w:rPr>
                <w:iCs/>
              </w:rPr>
              <w:t>198 388 262</w:t>
            </w:r>
          </w:p>
        </w:tc>
        <w:tc>
          <w:tcPr>
            <w:tcW w:w="994" w:type="dxa"/>
            <w:tcBorders>
              <w:top w:val="outset" w:sz="6" w:space="0" w:color="414142"/>
              <w:left w:val="outset" w:sz="6" w:space="0" w:color="414142"/>
              <w:bottom w:val="outset" w:sz="6" w:space="0" w:color="414142"/>
              <w:right w:val="outset" w:sz="6" w:space="0" w:color="414142"/>
            </w:tcBorders>
            <w:shd w:val="clear" w:color="auto" w:fill="FFFFFF"/>
            <w:vAlign w:val="center"/>
          </w:tcPr>
          <w:p w14:paraId="3DE35405" w14:textId="3E3A974B" w:rsidR="006E04CB" w:rsidRDefault="006E04CB" w:rsidP="006E04CB">
            <w:pPr>
              <w:jc w:val="center"/>
            </w:pPr>
            <w:r w:rsidRPr="002A0EB5">
              <w:t>-2</w:t>
            </w:r>
            <w:r w:rsidR="00124DDC">
              <w:t>2 475</w:t>
            </w:r>
          </w:p>
        </w:tc>
        <w:tc>
          <w:tcPr>
            <w:tcW w:w="1081" w:type="dxa"/>
            <w:tcBorders>
              <w:top w:val="outset" w:sz="6" w:space="0" w:color="414142"/>
              <w:left w:val="outset" w:sz="6" w:space="0" w:color="414142"/>
              <w:bottom w:val="outset" w:sz="6" w:space="0" w:color="414142"/>
              <w:right w:val="outset" w:sz="6" w:space="0" w:color="414142"/>
            </w:tcBorders>
            <w:shd w:val="clear" w:color="auto" w:fill="FFFFFF"/>
            <w:vAlign w:val="center"/>
          </w:tcPr>
          <w:p w14:paraId="551B1D6E" w14:textId="131941B9" w:rsidR="006E04CB" w:rsidRDefault="006E04CB" w:rsidP="006E04CB">
            <w:pPr>
              <w:jc w:val="center"/>
            </w:pPr>
            <w:r w:rsidRPr="001021F6">
              <w:t>55</w:t>
            </w:r>
            <w:r>
              <w:t> </w:t>
            </w:r>
            <w:r w:rsidRPr="001021F6">
              <w:t>961</w:t>
            </w:r>
            <w:r>
              <w:t xml:space="preserve"> </w:t>
            </w:r>
            <w:r w:rsidRPr="001021F6">
              <w:t>650</w:t>
            </w:r>
          </w:p>
        </w:tc>
        <w:tc>
          <w:tcPr>
            <w:tcW w:w="994" w:type="dxa"/>
            <w:tcBorders>
              <w:top w:val="outset" w:sz="6" w:space="0" w:color="414142"/>
              <w:left w:val="outset" w:sz="6" w:space="0" w:color="414142"/>
              <w:bottom w:val="outset" w:sz="6" w:space="0" w:color="414142"/>
              <w:right w:val="outset" w:sz="6" w:space="0" w:color="414142"/>
            </w:tcBorders>
            <w:shd w:val="clear" w:color="auto" w:fill="FFFFFF"/>
            <w:vAlign w:val="center"/>
          </w:tcPr>
          <w:p w14:paraId="0C44E818" w14:textId="087830C1" w:rsidR="006E04CB" w:rsidRDefault="006E04CB" w:rsidP="006E04CB">
            <w:pPr>
              <w:jc w:val="center"/>
            </w:pPr>
            <w:r w:rsidRPr="002A0EB5">
              <w:t>-</w:t>
            </w:r>
            <w:r w:rsidR="00124DDC">
              <w:t>1600</w:t>
            </w:r>
          </w:p>
        </w:tc>
        <w:tc>
          <w:tcPr>
            <w:tcW w:w="972" w:type="dxa"/>
            <w:tcBorders>
              <w:top w:val="outset" w:sz="6" w:space="0" w:color="414142"/>
              <w:left w:val="outset" w:sz="6" w:space="0" w:color="414142"/>
              <w:bottom w:val="outset" w:sz="6" w:space="0" w:color="414142"/>
              <w:right w:val="outset" w:sz="6" w:space="0" w:color="414142"/>
            </w:tcBorders>
            <w:shd w:val="clear" w:color="auto" w:fill="FFFFFF"/>
            <w:vAlign w:val="center"/>
          </w:tcPr>
          <w:p w14:paraId="4A88A01C" w14:textId="614D3836" w:rsidR="006E04CB" w:rsidRDefault="006E04CB" w:rsidP="006E04CB">
            <w:pPr>
              <w:jc w:val="center"/>
            </w:pPr>
            <w:r w:rsidRPr="001021F6">
              <w:t>57</w:t>
            </w:r>
            <w:r>
              <w:t> </w:t>
            </w:r>
            <w:r w:rsidRPr="001021F6">
              <w:t>080</w:t>
            </w:r>
            <w:r>
              <w:t xml:space="preserve"> </w:t>
            </w:r>
            <w:r w:rsidRPr="001021F6">
              <w:t>146</w:t>
            </w:r>
          </w:p>
        </w:tc>
        <w:tc>
          <w:tcPr>
            <w:tcW w:w="1027" w:type="dxa"/>
            <w:tcBorders>
              <w:top w:val="outset" w:sz="6" w:space="0" w:color="414142"/>
              <w:left w:val="outset" w:sz="6" w:space="0" w:color="414142"/>
              <w:bottom w:val="outset" w:sz="6" w:space="0" w:color="414142"/>
              <w:right w:val="outset" w:sz="6" w:space="0" w:color="414142"/>
            </w:tcBorders>
            <w:shd w:val="clear" w:color="auto" w:fill="FFFFFF"/>
            <w:vAlign w:val="center"/>
          </w:tcPr>
          <w:p w14:paraId="76731F45" w14:textId="35C90BF0" w:rsidR="006E04CB" w:rsidRDefault="006E04CB" w:rsidP="006E04CB">
            <w:pPr>
              <w:jc w:val="center"/>
            </w:pPr>
            <w:r w:rsidRPr="002A0EB5">
              <w:t>-</w:t>
            </w:r>
            <w:r w:rsidR="00124DDC">
              <w:t>1600</w:t>
            </w:r>
          </w:p>
        </w:tc>
        <w:tc>
          <w:tcPr>
            <w:tcW w:w="1028" w:type="dxa"/>
            <w:tcBorders>
              <w:top w:val="outset" w:sz="6" w:space="0" w:color="414142"/>
              <w:left w:val="outset" w:sz="6" w:space="0" w:color="414142"/>
              <w:bottom w:val="outset" w:sz="6" w:space="0" w:color="414142"/>
              <w:right w:val="outset" w:sz="6" w:space="0" w:color="414142"/>
            </w:tcBorders>
            <w:shd w:val="clear" w:color="auto" w:fill="FFFFFF"/>
            <w:vAlign w:val="center"/>
          </w:tcPr>
          <w:p w14:paraId="398396BF" w14:textId="639C1F7E" w:rsidR="006E04CB" w:rsidRDefault="006E04CB" w:rsidP="006E04CB">
            <w:pPr>
              <w:jc w:val="center"/>
            </w:pPr>
            <w:r w:rsidRPr="002A0EB5">
              <w:t>-</w:t>
            </w:r>
            <w:r w:rsidR="00124DDC">
              <w:t>1600</w:t>
            </w:r>
          </w:p>
        </w:tc>
      </w:tr>
      <w:tr w:rsidR="001021F6" w14:paraId="1897B8DA" w14:textId="77777777" w:rsidTr="006E04CB">
        <w:tc>
          <w:tcPr>
            <w:tcW w:w="1606" w:type="dxa"/>
            <w:tcBorders>
              <w:top w:val="outset" w:sz="6" w:space="0" w:color="414142"/>
              <w:left w:val="outset" w:sz="6" w:space="0" w:color="414142"/>
              <w:bottom w:val="outset" w:sz="6" w:space="0" w:color="414142"/>
              <w:right w:val="outset" w:sz="6" w:space="0" w:color="414142"/>
            </w:tcBorders>
            <w:shd w:val="clear" w:color="auto" w:fill="FFFFFF"/>
          </w:tcPr>
          <w:p w14:paraId="5A9B2D30" w14:textId="77777777" w:rsidR="00DA1FAD" w:rsidRDefault="001F5FF5">
            <w:r>
              <w:t>1.2. valsts speciālais budžets</w:t>
            </w:r>
          </w:p>
        </w:tc>
        <w:tc>
          <w:tcPr>
            <w:tcW w:w="1356" w:type="dxa"/>
            <w:tcBorders>
              <w:top w:val="outset" w:sz="6" w:space="0" w:color="414142"/>
              <w:left w:val="outset" w:sz="6" w:space="0" w:color="414142"/>
              <w:bottom w:val="outset" w:sz="6" w:space="0" w:color="414142"/>
              <w:right w:val="outset" w:sz="6" w:space="0" w:color="414142"/>
            </w:tcBorders>
            <w:shd w:val="clear" w:color="auto" w:fill="FFFFFF"/>
            <w:vAlign w:val="center"/>
          </w:tcPr>
          <w:p w14:paraId="0E216D6C" w14:textId="77777777" w:rsidR="00DA1FAD" w:rsidRDefault="001F5FF5">
            <w:pPr>
              <w:jc w:val="center"/>
            </w:pPr>
            <w:r>
              <w:t>0</w:t>
            </w:r>
          </w:p>
        </w:tc>
        <w:tc>
          <w:tcPr>
            <w:tcW w:w="994" w:type="dxa"/>
            <w:tcBorders>
              <w:top w:val="outset" w:sz="6" w:space="0" w:color="414142"/>
              <w:left w:val="outset" w:sz="6" w:space="0" w:color="414142"/>
              <w:bottom w:val="outset" w:sz="6" w:space="0" w:color="414142"/>
              <w:right w:val="outset" w:sz="6" w:space="0" w:color="414142"/>
            </w:tcBorders>
            <w:shd w:val="clear" w:color="auto" w:fill="FFFFFF"/>
            <w:vAlign w:val="center"/>
          </w:tcPr>
          <w:p w14:paraId="336F79B0" w14:textId="77777777" w:rsidR="00DA1FAD" w:rsidRDefault="001F5FF5">
            <w:pPr>
              <w:jc w:val="center"/>
            </w:pPr>
            <w:r>
              <w:t>0</w:t>
            </w:r>
          </w:p>
        </w:tc>
        <w:tc>
          <w:tcPr>
            <w:tcW w:w="1081" w:type="dxa"/>
            <w:tcBorders>
              <w:top w:val="outset" w:sz="6" w:space="0" w:color="414142"/>
              <w:left w:val="outset" w:sz="6" w:space="0" w:color="414142"/>
              <w:bottom w:val="outset" w:sz="6" w:space="0" w:color="414142"/>
              <w:right w:val="outset" w:sz="6" w:space="0" w:color="414142"/>
            </w:tcBorders>
            <w:shd w:val="clear" w:color="auto" w:fill="FFFFFF"/>
            <w:vAlign w:val="center"/>
          </w:tcPr>
          <w:p w14:paraId="569C2A48" w14:textId="77777777" w:rsidR="00DA1FAD" w:rsidRDefault="001F5FF5">
            <w:pPr>
              <w:jc w:val="center"/>
            </w:pPr>
            <w:r>
              <w:t>0</w:t>
            </w:r>
          </w:p>
        </w:tc>
        <w:tc>
          <w:tcPr>
            <w:tcW w:w="994" w:type="dxa"/>
            <w:tcBorders>
              <w:top w:val="outset" w:sz="6" w:space="0" w:color="414142"/>
              <w:left w:val="outset" w:sz="6" w:space="0" w:color="414142"/>
              <w:bottom w:val="outset" w:sz="6" w:space="0" w:color="414142"/>
              <w:right w:val="outset" w:sz="6" w:space="0" w:color="414142"/>
            </w:tcBorders>
            <w:shd w:val="clear" w:color="auto" w:fill="FFFFFF"/>
            <w:vAlign w:val="center"/>
          </w:tcPr>
          <w:p w14:paraId="400EE1BA" w14:textId="77777777" w:rsidR="00DA1FAD" w:rsidRDefault="001F5FF5">
            <w:pPr>
              <w:jc w:val="center"/>
            </w:pPr>
            <w:r>
              <w:t>0</w:t>
            </w:r>
          </w:p>
        </w:tc>
        <w:tc>
          <w:tcPr>
            <w:tcW w:w="972" w:type="dxa"/>
            <w:tcBorders>
              <w:top w:val="outset" w:sz="6" w:space="0" w:color="414142"/>
              <w:left w:val="outset" w:sz="6" w:space="0" w:color="414142"/>
              <w:bottom w:val="outset" w:sz="6" w:space="0" w:color="414142"/>
              <w:right w:val="outset" w:sz="6" w:space="0" w:color="414142"/>
            </w:tcBorders>
            <w:shd w:val="clear" w:color="auto" w:fill="FFFFFF"/>
            <w:vAlign w:val="center"/>
          </w:tcPr>
          <w:p w14:paraId="15F660AF" w14:textId="77777777" w:rsidR="00DA1FAD" w:rsidRDefault="001F5FF5">
            <w:pPr>
              <w:jc w:val="center"/>
            </w:pPr>
            <w:r>
              <w:t>0</w:t>
            </w:r>
          </w:p>
        </w:tc>
        <w:tc>
          <w:tcPr>
            <w:tcW w:w="1027" w:type="dxa"/>
            <w:tcBorders>
              <w:top w:val="outset" w:sz="6" w:space="0" w:color="414142"/>
              <w:left w:val="outset" w:sz="6" w:space="0" w:color="414142"/>
              <w:bottom w:val="outset" w:sz="6" w:space="0" w:color="414142"/>
              <w:right w:val="outset" w:sz="6" w:space="0" w:color="414142"/>
            </w:tcBorders>
            <w:shd w:val="clear" w:color="auto" w:fill="FFFFFF"/>
            <w:vAlign w:val="center"/>
          </w:tcPr>
          <w:p w14:paraId="27E7D153" w14:textId="77777777" w:rsidR="00DA1FAD" w:rsidRDefault="001F5FF5">
            <w:pPr>
              <w:jc w:val="center"/>
            </w:pPr>
            <w:r>
              <w:t>0</w:t>
            </w:r>
          </w:p>
        </w:tc>
        <w:tc>
          <w:tcPr>
            <w:tcW w:w="1028" w:type="dxa"/>
            <w:tcBorders>
              <w:top w:val="outset" w:sz="6" w:space="0" w:color="414142"/>
              <w:left w:val="outset" w:sz="6" w:space="0" w:color="414142"/>
              <w:bottom w:val="outset" w:sz="6" w:space="0" w:color="414142"/>
              <w:right w:val="outset" w:sz="6" w:space="0" w:color="414142"/>
            </w:tcBorders>
            <w:shd w:val="clear" w:color="auto" w:fill="FFFFFF"/>
            <w:vAlign w:val="center"/>
          </w:tcPr>
          <w:p w14:paraId="03561607" w14:textId="77777777" w:rsidR="00DA1FAD" w:rsidRDefault="001F5FF5">
            <w:pPr>
              <w:jc w:val="center"/>
            </w:pPr>
            <w:r>
              <w:t>0</w:t>
            </w:r>
          </w:p>
        </w:tc>
      </w:tr>
      <w:tr w:rsidR="001021F6" w14:paraId="69C1F850" w14:textId="77777777" w:rsidTr="006E04CB">
        <w:tc>
          <w:tcPr>
            <w:tcW w:w="1606" w:type="dxa"/>
            <w:tcBorders>
              <w:top w:val="outset" w:sz="6" w:space="0" w:color="414142"/>
              <w:left w:val="outset" w:sz="6" w:space="0" w:color="414142"/>
              <w:bottom w:val="outset" w:sz="6" w:space="0" w:color="414142"/>
              <w:right w:val="outset" w:sz="6" w:space="0" w:color="414142"/>
            </w:tcBorders>
            <w:shd w:val="clear" w:color="auto" w:fill="FFFFFF"/>
          </w:tcPr>
          <w:p w14:paraId="0F9B406A" w14:textId="77777777" w:rsidR="00DA1FAD" w:rsidRDefault="001F5FF5">
            <w:r>
              <w:t>1.3. pašvaldību budžets</w:t>
            </w:r>
          </w:p>
        </w:tc>
        <w:tc>
          <w:tcPr>
            <w:tcW w:w="1356" w:type="dxa"/>
            <w:tcBorders>
              <w:top w:val="outset" w:sz="6" w:space="0" w:color="414142"/>
              <w:left w:val="outset" w:sz="6" w:space="0" w:color="414142"/>
              <w:bottom w:val="outset" w:sz="6" w:space="0" w:color="414142"/>
              <w:right w:val="outset" w:sz="6" w:space="0" w:color="414142"/>
            </w:tcBorders>
            <w:shd w:val="clear" w:color="auto" w:fill="FFFFFF"/>
            <w:vAlign w:val="center"/>
          </w:tcPr>
          <w:p w14:paraId="5202E558" w14:textId="77777777" w:rsidR="00DA1FAD" w:rsidRDefault="001F5FF5">
            <w:pPr>
              <w:jc w:val="center"/>
            </w:pPr>
            <w:r>
              <w:t>0</w:t>
            </w:r>
          </w:p>
        </w:tc>
        <w:tc>
          <w:tcPr>
            <w:tcW w:w="994" w:type="dxa"/>
            <w:tcBorders>
              <w:top w:val="outset" w:sz="6" w:space="0" w:color="414142"/>
              <w:left w:val="outset" w:sz="6" w:space="0" w:color="414142"/>
              <w:bottom w:val="outset" w:sz="6" w:space="0" w:color="414142"/>
              <w:right w:val="outset" w:sz="6" w:space="0" w:color="414142"/>
            </w:tcBorders>
            <w:shd w:val="clear" w:color="auto" w:fill="FFFFFF"/>
            <w:vAlign w:val="center"/>
          </w:tcPr>
          <w:p w14:paraId="54253BB5" w14:textId="77777777" w:rsidR="00DA1FAD" w:rsidRDefault="001F5FF5">
            <w:pPr>
              <w:jc w:val="center"/>
            </w:pPr>
            <w:r>
              <w:t>0</w:t>
            </w:r>
          </w:p>
        </w:tc>
        <w:tc>
          <w:tcPr>
            <w:tcW w:w="1081" w:type="dxa"/>
            <w:tcBorders>
              <w:top w:val="outset" w:sz="6" w:space="0" w:color="414142"/>
              <w:left w:val="outset" w:sz="6" w:space="0" w:color="414142"/>
              <w:bottom w:val="outset" w:sz="6" w:space="0" w:color="414142"/>
              <w:right w:val="outset" w:sz="6" w:space="0" w:color="414142"/>
            </w:tcBorders>
            <w:shd w:val="clear" w:color="auto" w:fill="FFFFFF"/>
            <w:vAlign w:val="center"/>
          </w:tcPr>
          <w:p w14:paraId="33706752" w14:textId="77777777" w:rsidR="00DA1FAD" w:rsidRDefault="001F5FF5">
            <w:pPr>
              <w:jc w:val="center"/>
            </w:pPr>
            <w:r>
              <w:t>0</w:t>
            </w:r>
          </w:p>
        </w:tc>
        <w:tc>
          <w:tcPr>
            <w:tcW w:w="994" w:type="dxa"/>
            <w:tcBorders>
              <w:top w:val="outset" w:sz="6" w:space="0" w:color="414142"/>
              <w:left w:val="outset" w:sz="6" w:space="0" w:color="414142"/>
              <w:bottom w:val="outset" w:sz="6" w:space="0" w:color="414142"/>
              <w:right w:val="outset" w:sz="6" w:space="0" w:color="414142"/>
            </w:tcBorders>
            <w:shd w:val="clear" w:color="auto" w:fill="FFFFFF"/>
            <w:vAlign w:val="center"/>
          </w:tcPr>
          <w:p w14:paraId="7A388316" w14:textId="77777777" w:rsidR="00DA1FAD" w:rsidRDefault="001F5FF5">
            <w:pPr>
              <w:jc w:val="center"/>
            </w:pPr>
            <w:r>
              <w:t>0</w:t>
            </w:r>
          </w:p>
        </w:tc>
        <w:tc>
          <w:tcPr>
            <w:tcW w:w="972" w:type="dxa"/>
            <w:tcBorders>
              <w:top w:val="outset" w:sz="6" w:space="0" w:color="414142"/>
              <w:left w:val="outset" w:sz="6" w:space="0" w:color="414142"/>
              <w:bottom w:val="outset" w:sz="6" w:space="0" w:color="414142"/>
              <w:right w:val="outset" w:sz="6" w:space="0" w:color="414142"/>
            </w:tcBorders>
            <w:shd w:val="clear" w:color="auto" w:fill="FFFFFF"/>
            <w:vAlign w:val="center"/>
          </w:tcPr>
          <w:p w14:paraId="6509DC13" w14:textId="77777777" w:rsidR="00DA1FAD" w:rsidRDefault="001F5FF5">
            <w:pPr>
              <w:jc w:val="center"/>
            </w:pPr>
            <w:r>
              <w:t>0</w:t>
            </w:r>
          </w:p>
        </w:tc>
        <w:tc>
          <w:tcPr>
            <w:tcW w:w="1027" w:type="dxa"/>
            <w:tcBorders>
              <w:top w:val="outset" w:sz="6" w:space="0" w:color="414142"/>
              <w:left w:val="outset" w:sz="6" w:space="0" w:color="414142"/>
              <w:bottom w:val="outset" w:sz="6" w:space="0" w:color="414142"/>
              <w:right w:val="outset" w:sz="6" w:space="0" w:color="414142"/>
            </w:tcBorders>
            <w:shd w:val="clear" w:color="auto" w:fill="FFFFFF"/>
            <w:vAlign w:val="center"/>
          </w:tcPr>
          <w:p w14:paraId="464CB31F" w14:textId="77777777" w:rsidR="00DA1FAD" w:rsidRDefault="001F5FF5">
            <w:pPr>
              <w:jc w:val="center"/>
            </w:pPr>
            <w:r>
              <w:t>0</w:t>
            </w:r>
          </w:p>
        </w:tc>
        <w:tc>
          <w:tcPr>
            <w:tcW w:w="1028" w:type="dxa"/>
            <w:tcBorders>
              <w:top w:val="outset" w:sz="6" w:space="0" w:color="414142"/>
              <w:left w:val="outset" w:sz="6" w:space="0" w:color="414142"/>
              <w:bottom w:val="outset" w:sz="6" w:space="0" w:color="414142"/>
              <w:right w:val="outset" w:sz="6" w:space="0" w:color="414142"/>
            </w:tcBorders>
            <w:shd w:val="clear" w:color="auto" w:fill="FFFFFF"/>
            <w:vAlign w:val="center"/>
          </w:tcPr>
          <w:p w14:paraId="07808D86" w14:textId="77777777" w:rsidR="00DA1FAD" w:rsidRDefault="001F5FF5">
            <w:pPr>
              <w:jc w:val="center"/>
            </w:pPr>
            <w:r>
              <w:t>0</w:t>
            </w:r>
          </w:p>
        </w:tc>
      </w:tr>
      <w:tr w:rsidR="001021F6" w14:paraId="4DF0651C" w14:textId="77777777" w:rsidTr="006E04CB">
        <w:tc>
          <w:tcPr>
            <w:tcW w:w="1606" w:type="dxa"/>
            <w:tcBorders>
              <w:top w:val="outset" w:sz="6" w:space="0" w:color="414142"/>
              <w:left w:val="outset" w:sz="6" w:space="0" w:color="414142"/>
              <w:bottom w:val="outset" w:sz="6" w:space="0" w:color="414142"/>
              <w:right w:val="outset" w:sz="6" w:space="0" w:color="414142"/>
            </w:tcBorders>
            <w:shd w:val="clear" w:color="auto" w:fill="FFFFFF"/>
          </w:tcPr>
          <w:p w14:paraId="515FFC76" w14:textId="77777777" w:rsidR="00DA1FAD" w:rsidRDefault="001F5FF5">
            <w:r>
              <w:t>2. Budžeta izdevumi</w:t>
            </w:r>
          </w:p>
        </w:tc>
        <w:tc>
          <w:tcPr>
            <w:tcW w:w="1356" w:type="dxa"/>
            <w:tcBorders>
              <w:top w:val="outset" w:sz="6" w:space="0" w:color="414142"/>
              <w:left w:val="outset" w:sz="6" w:space="0" w:color="414142"/>
              <w:bottom w:val="outset" w:sz="6" w:space="0" w:color="414142"/>
              <w:right w:val="outset" w:sz="6" w:space="0" w:color="414142"/>
            </w:tcBorders>
            <w:shd w:val="clear" w:color="auto" w:fill="FFFFFF"/>
            <w:vAlign w:val="center"/>
          </w:tcPr>
          <w:p w14:paraId="6A652E2E" w14:textId="77777777" w:rsidR="00DA1FAD" w:rsidRDefault="001F5FF5">
            <w:pPr>
              <w:jc w:val="center"/>
            </w:pPr>
            <w:r>
              <w:t>0</w:t>
            </w:r>
          </w:p>
        </w:tc>
        <w:tc>
          <w:tcPr>
            <w:tcW w:w="994" w:type="dxa"/>
            <w:tcBorders>
              <w:top w:val="outset" w:sz="6" w:space="0" w:color="414142"/>
              <w:left w:val="outset" w:sz="6" w:space="0" w:color="414142"/>
              <w:bottom w:val="outset" w:sz="6" w:space="0" w:color="414142"/>
              <w:right w:val="outset" w:sz="6" w:space="0" w:color="414142"/>
            </w:tcBorders>
            <w:shd w:val="clear" w:color="auto" w:fill="FFFFFF"/>
            <w:vAlign w:val="center"/>
          </w:tcPr>
          <w:p w14:paraId="46A98974" w14:textId="77777777" w:rsidR="00DA1FAD" w:rsidRDefault="001F5FF5">
            <w:pPr>
              <w:jc w:val="center"/>
            </w:pPr>
            <w:r>
              <w:t>0</w:t>
            </w:r>
          </w:p>
        </w:tc>
        <w:tc>
          <w:tcPr>
            <w:tcW w:w="1081" w:type="dxa"/>
            <w:tcBorders>
              <w:top w:val="outset" w:sz="6" w:space="0" w:color="414142"/>
              <w:left w:val="outset" w:sz="6" w:space="0" w:color="414142"/>
              <w:bottom w:val="outset" w:sz="6" w:space="0" w:color="414142"/>
              <w:right w:val="outset" w:sz="6" w:space="0" w:color="414142"/>
            </w:tcBorders>
            <w:shd w:val="clear" w:color="auto" w:fill="FFFFFF"/>
            <w:vAlign w:val="center"/>
          </w:tcPr>
          <w:p w14:paraId="710B12CF" w14:textId="77777777" w:rsidR="00DA1FAD" w:rsidRDefault="001F5FF5">
            <w:pPr>
              <w:jc w:val="center"/>
            </w:pPr>
            <w:r>
              <w:t>0</w:t>
            </w:r>
          </w:p>
        </w:tc>
        <w:tc>
          <w:tcPr>
            <w:tcW w:w="994" w:type="dxa"/>
            <w:tcBorders>
              <w:top w:val="outset" w:sz="6" w:space="0" w:color="414142"/>
              <w:left w:val="outset" w:sz="6" w:space="0" w:color="414142"/>
              <w:bottom w:val="outset" w:sz="6" w:space="0" w:color="414142"/>
              <w:right w:val="outset" w:sz="6" w:space="0" w:color="414142"/>
            </w:tcBorders>
            <w:shd w:val="clear" w:color="auto" w:fill="FFFFFF"/>
            <w:vAlign w:val="center"/>
          </w:tcPr>
          <w:p w14:paraId="50DD9013" w14:textId="77777777" w:rsidR="00DA1FAD" w:rsidRDefault="001F5FF5">
            <w:pPr>
              <w:jc w:val="center"/>
            </w:pPr>
            <w:r>
              <w:t>0</w:t>
            </w:r>
          </w:p>
        </w:tc>
        <w:tc>
          <w:tcPr>
            <w:tcW w:w="972" w:type="dxa"/>
            <w:tcBorders>
              <w:top w:val="outset" w:sz="6" w:space="0" w:color="414142"/>
              <w:left w:val="outset" w:sz="6" w:space="0" w:color="414142"/>
              <w:bottom w:val="outset" w:sz="6" w:space="0" w:color="414142"/>
              <w:right w:val="outset" w:sz="6" w:space="0" w:color="414142"/>
            </w:tcBorders>
            <w:shd w:val="clear" w:color="auto" w:fill="FFFFFF"/>
            <w:vAlign w:val="center"/>
          </w:tcPr>
          <w:p w14:paraId="5EED12ED" w14:textId="77777777" w:rsidR="00DA1FAD" w:rsidRDefault="001F5FF5">
            <w:pPr>
              <w:jc w:val="center"/>
            </w:pPr>
            <w:r>
              <w:t>0</w:t>
            </w:r>
          </w:p>
        </w:tc>
        <w:tc>
          <w:tcPr>
            <w:tcW w:w="1027" w:type="dxa"/>
            <w:tcBorders>
              <w:top w:val="outset" w:sz="6" w:space="0" w:color="414142"/>
              <w:left w:val="outset" w:sz="6" w:space="0" w:color="414142"/>
              <w:bottom w:val="outset" w:sz="6" w:space="0" w:color="414142"/>
              <w:right w:val="outset" w:sz="6" w:space="0" w:color="414142"/>
            </w:tcBorders>
            <w:shd w:val="clear" w:color="auto" w:fill="FFFFFF"/>
            <w:vAlign w:val="center"/>
          </w:tcPr>
          <w:p w14:paraId="47FBE8C3" w14:textId="77777777" w:rsidR="00DA1FAD" w:rsidRDefault="001F5FF5">
            <w:pPr>
              <w:jc w:val="center"/>
            </w:pPr>
            <w:r>
              <w:t>0</w:t>
            </w:r>
          </w:p>
        </w:tc>
        <w:tc>
          <w:tcPr>
            <w:tcW w:w="1028" w:type="dxa"/>
            <w:tcBorders>
              <w:top w:val="outset" w:sz="6" w:space="0" w:color="414142"/>
              <w:left w:val="outset" w:sz="6" w:space="0" w:color="414142"/>
              <w:bottom w:val="outset" w:sz="6" w:space="0" w:color="414142"/>
              <w:right w:val="outset" w:sz="6" w:space="0" w:color="414142"/>
            </w:tcBorders>
            <w:shd w:val="clear" w:color="auto" w:fill="FFFFFF"/>
            <w:vAlign w:val="center"/>
          </w:tcPr>
          <w:p w14:paraId="261D5270" w14:textId="77777777" w:rsidR="00DA1FAD" w:rsidRDefault="001F5FF5">
            <w:pPr>
              <w:jc w:val="center"/>
            </w:pPr>
            <w:r>
              <w:t>0</w:t>
            </w:r>
          </w:p>
        </w:tc>
      </w:tr>
      <w:tr w:rsidR="001021F6" w14:paraId="056C6A2E" w14:textId="77777777" w:rsidTr="006E04CB">
        <w:tc>
          <w:tcPr>
            <w:tcW w:w="1606" w:type="dxa"/>
            <w:tcBorders>
              <w:top w:val="outset" w:sz="6" w:space="0" w:color="414142"/>
              <w:left w:val="outset" w:sz="6" w:space="0" w:color="414142"/>
              <w:bottom w:val="outset" w:sz="6" w:space="0" w:color="414142"/>
              <w:right w:val="outset" w:sz="6" w:space="0" w:color="414142"/>
            </w:tcBorders>
            <w:shd w:val="clear" w:color="auto" w:fill="FFFFFF"/>
          </w:tcPr>
          <w:p w14:paraId="1A63B585" w14:textId="77777777" w:rsidR="00DA1FAD" w:rsidRDefault="001F5FF5">
            <w:r>
              <w:t>2.1. valsts pamatbudžets</w:t>
            </w:r>
          </w:p>
        </w:tc>
        <w:tc>
          <w:tcPr>
            <w:tcW w:w="1356" w:type="dxa"/>
            <w:tcBorders>
              <w:top w:val="outset" w:sz="6" w:space="0" w:color="414142"/>
              <w:left w:val="outset" w:sz="6" w:space="0" w:color="414142"/>
              <w:bottom w:val="outset" w:sz="6" w:space="0" w:color="414142"/>
              <w:right w:val="outset" w:sz="6" w:space="0" w:color="414142"/>
            </w:tcBorders>
            <w:shd w:val="clear" w:color="auto" w:fill="FFFFFF"/>
            <w:vAlign w:val="center"/>
          </w:tcPr>
          <w:p w14:paraId="7E377AB1" w14:textId="77777777" w:rsidR="00DA1FAD" w:rsidRDefault="001F5FF5">
            <w:pPr>
              <w:jc w:val="center"/>
            </w:pPr>
            <w:r>
              <w:t>0</w:t>
            </w:r>
          </w:p>
        </w:tc>
        <w:tc>
          <w:tcPr>
            <w:tcW w:w="994" w:type="dxa"/>
            <w:tcBorders>
              <w:top w:val="outset" w:sz="6" w:space="0" w:color="414142"/>
              <w:left w:val="outset" w:sz="6" w:space="0" w:color="414142"/>
              <w:bottom w:val="outset" w:sz="6" w:space="0" w:color="414142"/>
              <w:right w:val="outset" w:sz="6" w:space="0" w:color="414142"/>
            </w:tcBorders>
            <w:shd w:val="clear" w:color="auto" w:fill="FFFFFF"/>
            <w:vAlign w:val="center"/>
          </w:tcPr>
          <w:p w14:paraId="316ACE2A" w14:textId="77777777" w:rsidR="00DA1FAD" w:rsidRDefault="001F5FF5">
            <w:pPr>
              <w:jc w:val="center"/>
            </w:pPr>
            <w:r>
              <w:t>0</w:t>
            </w:r>
          </w:p>
        </w:tc>
        <w:tc>
          <w:tcPr>
            <w:tcW w:w="1081" w:type="dxa"/>
            <w:tcBorders>
              <w:top w:val="outset" w:sz="6" w:space="0" w:color="414142"/>
              <w:left w:val="outset" w:sz="6" w:space="0" w:color="414142"/>
              <w:bottom w:val="outset" w:sz="6" w:space="0" w:color="414142"/>
              <w:right w:val="outset" w:sz="6" w:space="0" w:color="414142"/>
            </w:tcBorders>
            <w:shd w:val="clear" w:color="auto" w:fill="FFFFFF"/>
            <w:vAlign w:val="center"/>
          </w:tcPr>
          <w:p w14:paraId="6973F074" w14:textId="77777777" w:rsidR="00DA1FAD" w:rsidRDefault="001F5FF5">
            <w:pPr>
              <w:jc w:val="center"/>
            </w:pPr>
            <w:r>
              <w:t>0</w:t>
            </w:r>
          </w:p>
        </w:tc>
        <w:tc>
          <w:tcPr>
            <w:tcW w:w="994" w:type="dxa"/>
            <w:tcBorders>
              <w:top w:val="outset" w:sz="6" w:space="0" w:color="414142"/>
              <w:left w:val="outset" w:sz="6" w:space="0" w:color="414142"/>
              <w:bottom w:val="outset" w:sz="6" w:space="0" w:color="414142"/>
              <w:right w:val="outset" w:sz="6" w:space="0" w:color="414142"/>
            </w:tcBorders>
            <w:shd w:val="clear" w:color="auto" w:fill="FFFFFF"/>
            <w:vAlign w:val="center"/>
          </w:tcPr>
          <w:p w14:paraId="1FDC921F" w14:textId="77777777" w:rsidR="00DA1FAD" w:rsidRDefault="001F5FF5">
            <w:pPr>
              <w:jc w:val="center"/>
            </w:pPr>
            <w:r>
              <w:t>0</w:t>
            </w:r>
          </w:p>
        </w:tc>
        <w:tc>
          <w:tcPr>
            <w:tcW w:w="972" w:type="dxa"/>
            <w:tcBorders>
              <w:top w:val="outset" w:sz="6" w:space="0" w:color="414142"/>
              <w:left w:val="outset" w:sz="6" w:space="0" w:color="414142"/>
              <w:bottom w:val="outset" w:sz="6" w:space="0" w:color="414142"/>
              <w:right w:val="outset" w:sz="6" w:space="0" w:color="414142"/>
            </w:tcBorders>
            <w:shd w:val="clear" w:color="auto" w:fill="FFFFFF"/>
            <w:vAlign w:val="center"/>
          </w:tcPr>
          <w:p w14:paraId="6BDE6C07" w14:textId="77777777" w:rsidR="00DA1FAD" w:rsidRDefault="001F5FF5">
            <w:pPr>
              <w:jc w:val="center"/>
            </w:pPr>
            <w:r>
              <w:t>0</w:t>
            </w:r>
          </w:p>
        </w:tc>
        <w:tc>
          <w:tcPr>
            <w:tcW w:w="1027" w:type="dxa"/>
            <w:tcBorders>
              <w:top w:val="outset" w:sz="6" w:space="0" w:color="414142"/>
              <w:left w:val="outset" w:sz="6" w:space="0" w:color="414142"/>
              <w:bottom w:val="outset" w:sz="6" w:space="0" w:color="414142"/>
              <w:right w:val="outset" w:sz="6" w:space="0" w:color="414142"/>
            </w:tcBorders>
            <w:shd w:val="clear" w:color="auto" w:fill="FFFFFF"/>
            <w:vAlign w:val="center"/>
          </w:tcPr>
          <w:p w14:paraId="4EE32E4C" w14:textId="77777777" w:rsidR="00DA1FAD" w:rsidRDefault="001F5FF5">
            <w:pPr>
              <w:jc w:val="center"/>
            </w:pPr>
            <w:r>
              <w:t>0</w:t>
            </w:r>
          </w:p>
        </w:tc>
        <w:tc>
          <w:tcPr>
            <w:tcW w:w="1028" w:type="dxa"/>
            <w:tcBorders>
              <w:top w:val="outset" w:sz="6" w:space="0" w:color="414142"/>
              <w:left w:val="outset" w:sz="6" w:space="0" w:color="414142"/>
              <w:bottom w:val="outset" w:sz="6" w:space="0" w:color="414142"/>
              <w:right w:val="outset" w:sz="6" w:space="0" w:color="414142"/>
            </w:tcBorders>
            <w:shd w:val="clear" w:color="auto" w:fill="FFFFFF"/>
            <w:vAlign w:val="center"/>
          </w:tcPr>
          <w:p w14:paraId="7C73E6DB" w14:textId="77777777" w:rsidR="00DA1FAD" w:rsidRDefault="001F5FF5">
            <w:pPr>
              <w:jc w:val="center"/>
            </w:pPr>
            <w:r>
              <w:t>0</w:t>
            </w:r>
          </w:p>
        </w:tc>
      </w:tr>
      <w:tr w:rsidR="001021F6" w14:paraId="0D24845A" w14:textId="77777777" w:rsidTr="006E04CB">
        <w:tc>
          <w:tcPr>
            <w:tcW w:w="1606" w:type="dxa"/>
            <w:tcBorders>
              <w:top w:val="outset" w:sz="6" w:space="0" w:color="414142"/>
              <w:left w:val="outset" w:sz="6" w:space="0" w:color="414142"/>
              <w:bottom w:val="outset" w:sz="6" w:space="0" w:color="414142"/>
              <w:right w:val="outset" w:sz="6" w:space="0" w:color="414142"/>
            </w:tcBorders>
            <w:shd w:val="clear" w:color="auto" w:fill="FFFFFF"/>
          </w:tcPr>
          <w:p w14:paraId="2B321BB0" w14:textId="77777777" w:rsidR="00DA1FAD" w:rsidRDefault="001F5FF5">
            <w:r>
              <w:t>2.2. valsts speciālais budžets</w:t>
            </w:r>
          </w:p>
        </w:tc>
        <w:tc>
          <w:tcPr>
            <w:tcW w:w="1356" w:type="dxa"/>
            <w:tcBorders>
              <w:top w:val="outset" w:sz="6" w:space="0" w:color="414142"/>
              <w:left w:val="outset" w:sz="6" w:space="0" w:color="414142"/>
              <w:bottom w:val="outset" w:sz="6" w:space="0" w:color="414142"/>
              <w:right w:val="outset" w:sz="6" w:space="0" w:color="414142"/>
            </w:tcBorders>
            <w:shd w:val="clear" w:color="auto" w:fill="FFFFFF"/>
            <w:vAlign w:val="center"/>
          </w:tcPr>
          <w:p w14:paraId="3C5CF286" w14:textId="77777777" w:rsidR="00DA1FAD" w:rsidRDefault="001F5FF5">
            <w:pPr>
              <w:jc w:val="center"/>
            </w:pPr>
            <w:r>
              <w:t>0</w:t>
            </w:r>
          </w:p>
        </w:tc>
        <w:tc>
          <w:tcPr>
            <w:tcW w:w="994" w:type="dxa"/>
            <w:tcBorders>
              <w:top w:val="outset" w:sz="6" w:space="0" w:color="414142"/>
              <w:left w:val="outset" w:sz="6" w:space="0" w:color="414142"/>
              <w:bottom w:val="outset" w:sz="6" w:space="0" w:color="414142"/>
              <w:right w:val="outset" w:sz="6" w:space="0" w:color="414142"/>
            </w:tcBorders>
            <w:shd w:val="clear" w:color="auto" w:fill="FFFFFF"/>
            <w:vAlign w:val="center"/>
          </w:tcPr>
          <w:p w14:paraId="54D0D260" w14:textId="77777777" w:rsidR="00DA1FAD" w:rsidRDefault="001F5FF5">
            <w:pPr>
              <w:jc w:val="center"/>
            </w:pPr>
            <w:r>
              <w:t>0</w:t>
            </w:r>
          </w:p>
        </w:tc>
        <w:tc>
          <w:tcPr>
            <w:tcW w:w="1081" w:type="dxa"/>
            <w:tcBorders>
              <w:top w:val="outset" w:sz="6" w:space="0" w:color="414142"/>
              <w:left w:val="outset" w:sz="6" w:space="0" w:color="414142"/>
              <w:bottom w:val="outset" w:sz="6" w:space="0" w:color="414142"/>
              <w:right w:val="outset" w:sz="6" w:space="0" w:color="414142"/>
            </w:tcBorders>
            <w:shd w:val="clear" w:color="auto" w:fill="FFFFFF"/>
            <w:vAlign w:val="center"/>
          </w:tcPr>
          <w:p w14:paraId="6A238297" w14:textId="77777777" w:rsidR="00DA1FAD" w:rsidRDefault="001F5FF5">
            <w:pPr>
              <w:jc w:val="center"/>
            </w:pPr>
            <w:r>
              <w:t>0</w:t>
            </w:r>
          </w:p>
        </w:tc>
        <w:tc>
          <w:tcPr>
            <w:tcW w:w="994" w:type="dxa"/>
            <w:tcBorders>
              <w:top w:val="outset" w:sz="6" w:space="0" w:color="414142"/>
              <w:left w:val="outset" w:sz="6" w:space="0" w:color="414142"/>
              <w:bottom w:val="outset" w:sz="6" w:space="0" w:color="414142"/>
              <w:right w:val="outset" w:sz="6" w:space="0" w:color="414142"/>
            </w:tcBorders>
            <w:shd w:val="clear" w:color="auto" w:fill="FFFFFF"/>
            <w:vAlign w:val="center"/>
          </w:tcPr>
          <w:p w14:paraId="6F55D343" w14:textId="77777777" w:rsidR="00DA1FAD" w:rsidRDefault="001F5FF5">
            <w:pPr>
              <w:jc w:val="center"/>
            </w:pPr>
            <w:r>
              <w:t>0</w:t>
            </w:r>
          </w:p>
        </w:tc>
        <w:tc>
          <w:tcPr>
            <w:tcW w:w="972" w:type="dxa"/>
            <w:tcBorders>
              <w:top w:val="outset" w:sz="6" w:space="0" w:color="414142"/>
              <w:left w:val="outset" w:sz="6" w:space="0" w:color="414142"/>
              <w:bottom w:val="outset" w:sz="6" w:space="0" w:color="414142"/>
              <w:right w:val="outset" w:sz="6" w:space="0" w:color="414142"/>
            </w:tcBorders>
            <w:shd w:val="clear" w:color="auto" w:fill="FFFFFF"/>
            <w:vAlign w:val="center"/>
          </w:tcPr>
          <w:p w14:paraId="4A96AD92" w14:textId="77777777" w:rsidR="00DA1FAD" w:rsidRDefault="001F5FF5">
            <w:pPr>
              <w:jc w:val="center"/>
            </w:pPr>
            <w:r>
              <w:t>0</w:t>
            </w:r>
          </w:p>
        </w:tc>
        <w:tc>
          <w:tcPr>
            <w:tcW w:w="1027" w:type="dxa"/>
            <w:tcBorders>
              <w:top w:val="outset" w:sz="6" w:space="0" w:color="414142"/>
              <w:left w:val="outset" w:sz="6" w:space="0" w:color="414142"/>
              <w:bottom w:val="outset" w:sz="6" w:space="0" w:color="414142"/>
              <w:right w:val="outset" w:sz="6" w:space="0" w:color="414142"/>
            </w:tcBorders>
            <w:shd w:val="clear" w:color="auto" w:fill="FFFFFF"/>
            <w:vAlign w:val="center"/>
          </w:tcPr>
          <w:p w14:paraId="118D9A2D" w14:textId="77777777" w:rsidR="00DA1FAD" w:rsidRDefault="001F5FF5">
            <w:pPr>
              <w:jc w:val="center"/>
            </w:pPr>
            <w:r>
              <w:t>0</w:t>
            </w:r>
          </w:p>
        </w:tc>
        <w:tc>
          <w:tcPr>
            <w:tcW w:w="1028" w:type="dxa"/>
            <w:tcBorders>
              <w:top w:val="outset" w:sz="6" w:space="0" w:color="414142"/>
              <w:left w:val="outset" w:sz="6" w:space="0" w:color="414142"/>
              <w:bottom w:val="outset" w:sz="6" w:space="0" w:color="414142"/>
              <w:right w:val="outset" w:sz="6" w:space="0" w:color="414142"/>
            </w:tcBorders>
            <w:shd w:val="clear" w:color="auto" w:fill="FFFFFF"/>
            <w:vAlign w:val="center"/>
          </w:tcPr>
          <w:p w14:paraId="0060658D" w14:textId="77777777" w:rsidR="00DA1FAD" w:rsidRDefault="001F5FF5">
            <w:pPr>
              <w:jc w:val="center"/>
            </w:pPr>
            <w:r>
              <w:t>0</w:t>
            </w:r>
          </w:p>
        </w:tc>
      </w:tr>
      <w:tr w:rsidR="001021F6" w14:paraId="0DAB4F75" w14:textId="77777777" w:rsidTr="006E04CB">
        <w:tc>
          <w:tcPr>
            <w:tcW w:w="1606" w:type="dxa"/>
            <w:tcBorders>
              <w:top w:val="outset" w:sz="6" w:space="0" w:color="414142"/>
              <w:left w:val="outset" w:sz="6" w:space="0" w:color="414142"/>
              <w:bottom w:val="outset" w:sz="6" w:space="0" w:color="414142"/>
              <w:right w:val="outset" w:sz="6" w:space="0" w:color="414142"/>
            </w:tcBorders>
            <w:shd w:val="clear" w:color="auto" w:fill="FFFFFF"/>
          </w:tcPr>
          <w:p w14:paraId="4CF63807" w14:textId="77777777" w:rsidR="00DA1FAD" w:rsidRDefault="001F5FF5">
            <w:r>
              <w:t>2.3. pašvaldību budžets</w:t>
            </w:r>
          </w:p>
        </w:tc>
        <w:tc>
          <w:tcPr>
            <w:tcW w:w="1356" w:type="dxa"/>
            <w:tcBorders>
              <w:top w:val="outset" w:sz="6" w:space="0" w:color="414142"/>
              <w:left w:val="outset" w:sz="6" w:space="0" w:color="414142"/>
              <w:bottom w:val="outset" w:sz="6" w:space="0" w:color="414142"/>
              <w:right w:val="outset" w:sz="6" w:space="0" w:color="414142"/>
            </w:tcBorders>
            <w:shd w:val="clear" w:color="auto" w:fill="FFFFFF"/>
            <w:vAlign w:val="center"/>
          </w:tcPr>
          <w:p w14:paraId="1CD049C4" w14:textId="77777777" w:rsidR="00DA1FAD" w:rsidRDefault="001F5FF5">
            <w:pPr>
              <w:jc w:val="center"/>
            </w:pPr>
            <w:r>
              <w:t>0</w:t>
            </w:r>
          </w:p>
        </w:tc>
        <w:tc>
          <w:tcPr>
            <w:tcW w:w="994" w:type="dxa"/>
            <w:tcBorders>
              <w:top w:val="outset" w:sz="6" w:space="0" w:color="414142"/>
              <w:left w:val="outset" w:sz="6" w:space="0" w:color="414142"/>
              <w:bottom w:val="outset" w:sz="6" w:space="0" w:color="414142"/>
              <w:right w:val="outset" w:sz="6" w:space="0" w:color="414142"/>
            </w:tcBorders>
            <w:shd w:val="clear" w:color="auto" w:fill="FFFFFF"/>
            <w:vAlign w:val="center"/>
          </w:tcPr>
          <w:p w14:paraId="7DAA979A" w14:textId="77777777" w:rsidR="00DA1FAD" w:rsidRDefault="001F5FF5">
            <w:pPr>
              <w:jc w:val="center"/>
            </w:pPr>
            <w:r>
              <w:t>0</w:t>
            </w:r>
          </w:p>
        </w:tc>
        <w:tc>
          <w:tcPr>
            <w:tcW w:w="1081" w:type="dxa"/>
            <w:tcBorders>
              <w:top w:val="outset" w:sz="6" w:space="0" w:color="414142"/>
              <w:left w:val="outset" w:sz="6" w:space="0" w:color="414142"/>
              <w:bottom w:val="outset" w:sz="6" w:space="0" w:color="414142"/>
              <w:right w:val="outset" w:sz="6" w:space="0" w:color="414142"/>
            </w:tcBorders>
            <w:shd w:val="clear" w:color="auto" w:fill="FFFFFF"/>
            <w:vAlign w:val="center"/>
          </w:tcPr>
          <w:p w14:paraId="1486E004" w14:textId="77777777" w:rsidR="00DA1FAD" w:rsidRDefault="001F5FF5">
            <w:pPr>
              <w:jc w:val="center"/>
            </w:pPr>
            <w:r>
              <w:t>0</w:t>
            </w:r>
          </w:p>
        </w:tc>
        <w:tc>
          <w:tcPr>
            <w:tcW w:w="994" w:type="dxa"/>
            <w:tcBorders>
              <w:top w:val="outset" w:sz="6" w:space="0" w:color="414142"/>
              <w:left w:val="outset" w:sz="6" w:space="0" w:color="414142"/>
              <w:bottom w:val="outset" w:sz="6" w:space="0" w:color="414142"/>
              <w:right w:val="outset" w:sz="6" w:space="0" w:color="414142"/>
            </w:tcBorders>
            <w:shd w:val="clear" w:color="auto" w:fill="FFFFFF"/>
            <w:vAlign w:val="center"/>
          </w:tcPr>
          <w:p w14:paraId="154CB0AE" w14:textId="77777777" w:rsidR="00DA1FAD" w:rsidRDefault="001F5FF5">
            <w:pPr>
              <w:jc w:val="center"/>
            </w:pPr>
            <w:r>
              <w:t>0</w:t>
            </w:r>
          </w:p>
        </w:tc>
        <w:tc>
          <w:tcPr>
            <w:tcW w:w="972" w:type="dxa"/>
            <w:tcBorders>
              <w:top w:val="outset" w:sz="6" w:space="0" w:color="414142"/>
              <w:left w:val="outset" w:sz="6" w:space="0" w:color="414142"/>
              <w:bottom w:val="outset" w:sz="6" w:space="0" w:color="414142"/>
              <w:right w:val="outset" w:sz="6" w:space="0" w:color="414142"/>
            </w:tcBorders>
            <w:shd w:val="clear" w:color="auto" w:fill="FFFFFF"/>
            <w:vAlign w:val="center"/>
          </w:tcPr>
          <w:p w14:paraId="3A22B1AB" w14:textId="77777777" w:rsidR="00DA1FAD" w:rsidRDefault="001F5FF5">
            <w:pPr>
              <w:jc w:val="center"/>
            </w:pPr>
            <w:r>
              <w:t>0</w:t>
            </w:r>
          </w:p>
        </w:tc>
        <w:tc>
          <w:tcPr>
            <w:tcW w:w="1027" w:type="dxa"/>
            <w:tcBorders>
              <w:top w:val="outset" w:sz="6" w:space="0" w:color="414142"/>
              <w:left w:val="outset" w:sz="6" w:space="0" w:color="414142"/>
              <w:bottom w:val="outset" w:sz="6" w:space="0" w:color="414142"/>
              <w:right w:val="outset" w:sz="6" w:space="0" w:color="414142"/>
            </w:tcBorders>
            <w:shd w:val="clear" w:color="auto" w:fill="FFFFFF"/>
            <w:vAlign w:val="center"/>
          </w:tcPr>
          <w:p w14:paraId="6006B846" w14:textId="77777777" w:rsidR="00DA1FAD" w:rsidRDefault="001F5FF5">
            <w:pPr>
              <w:jc w:val="center"/>
            </w:pPr>
            <w:r>
              <w:t>0</w:t>
            </w:r>
          </w:p>
        </w:tc>
        <w:tc>
          <w:tcPr>
            <w:tcW w:w="1028" w:type="dxa"/>
            <w:tcBorders>
              <w:top w:val="outset" w:sz="6" w:space="0" w:color="414142"/>
              <w:left w:val="outset" w:sz="6" w:space="0" w:color="414142"/>
              <w:bottom w:val="outset" w:sz="6" w:space="0" w:color="414142"/>
              <w:right w:val="outset" w:sz="6" w:space="0" w:color="414142"/>
            </w:tcBorders>
            <w:shd w:val="clear" w:color="auto" w:fill="FFFFFF"/>
            <w:vAlign w:val="center"/>
          </w:tcPr>
          <w:p w14:paraId="7CD83662" w14:textId="77777777" w:rsidR="00DA1FAD" w:rsidRDefault="001F5FF5">
            <w:pPr>
              <w:jc w:val="center"/>
            </w:pPr>
            <w:r>
              <w:t>0</w:t>
            </w:r>
          </w:p>
        </w:tc>
      </w:tr>
      <w:tr w:rsidR="001021F6" w14:paraId="5E55DDBE" w14:textId="77777777" w:rsidTr="006E04CB">
        <w:tc>
          <w:tcPr>
            <w:tcW w:w="1606" w:type="dxa"/>
            <w:tcBorders>
              <w:top w:val="outset" w:sz="6" w:space="0" w:color="414142"/>
              <w:left w:val="outset" w:sz="6" w:space="0" w:color="414142"/>
              <w:bottom w:val="outset" w:sz="6" w:space="0" w:color="414142"/>
              <w:right w:val="outset" w:sz="6" w:space="0" w:color="414142"/>
            </w:tcBorders>
            <w:shd w:val="clear" w:color="auto" w:fill="FFFFFF"/>
          </w:tcPr>
          <w:p w14:paraId="0013E6BE" w14:textId="77777777" w:rsidR="00DA1FAD" w:rsidRDefault="001F5FF5">
            <w:r>
              <w:t>3. Finansiālā ietekme</w:t>
            </w:r>
          </w:p>
        </w:tc>
        <w:tc>
          <w:tcPr>
            <w:tcW w:w="1356" w:type="dxa"/>
            <w:tcBorders>
              <w:top w:val="outset" w:sz="6" w:space="0" w:color="414142"/>
              <w:left w:val="outset" w:sz="6" w:space="0" w:color="414142"/>
              <w:bottom w:val="outset" w:sz="6" w:space="0" w:color="414142"/>
              <w:right w:val="outset" w:sz="6" w:space="0" w:color="414142"/>
            </w:tcBorders>
            <w:shd w:val="clear" w:color="auto" w:fill="FFFFFF"/>
            <w:vAlign w:val="center"/>
          </w:tcPr>
          <w:p w14:paraId="1687B316" w14:textId="0716478D" w:rsidR="00DA1FAD" w:rsidRPr="006E04CB" w:rsidRDefault="00BF2B43">
            <w:pPr>
              <w:jc w:val="center"/>
            </w:pPr>
            <w:r w:rsidRPr="006E04CB">
              <w:rPr>
                <w:iCs/>
              </w:rPr>
              <w:t>198 388 262</w:t>
            </w:r>
          </w:p>
        </w:tc>
        <w:tc>
          <w:tcPr>
            <w:tcW w:w="994" w:type="dxa"/>
            <w:tcBorders>
              <w:top w:val="outset" w:sz="6" w:space="0" w:color="414142"/>
              <w:left w:val="outset" w:sz="6" w:space="0" w:color="414142"/>
              <w:bottom w:val="outset" w:sz="6" w:space="0" w:color="414142"/>
              <w:right w:val="outset" w:sz="6" w:space="0" w:color="414142"/>
            </w:tcBorders>
            <w:shd w:val="clear" w:color="auto" w:fill="FFFFFF"/>
            <w:vAlign w:val="center"/>
          </w:tcPr>
          <w:p w14:paraId="6EEDFEF9" w14:textId="18D7087B" w:rsidR="00DA1FAD" w:rsidRPr="002A0EB5" w:rsidRDefault="000408EA">
            <w:pPr>
              <w:jc w:val="center"/>
            </w:pPr>
            <w:r w:rsidRPr="002A0EB5">
              <w:t>-</w:t>
            </w:r>
            <w:r w:rsidR="00124DDC" w:rsidRPr="00124DDC">
              <w:t>22 475</w:t>
            </w:r>
          </w:p>
        </w:tc>
        <w:tc>
          <w:tcPr>
            <w:tcW w:w="1081" w:type="dxa"/>
            <w:tcBorders>
              <w:top w:val="outset" w:sz="6" w:space="0" w:color="414142"/>
              <w:left w:val="outset" w:sz="6" w:space="0" w:color="414142"/>
              <w:bottom w:val="outset" w:sz="6" w:space="0" w:color="414142"/>
              <w:right w:val="outset" w:sz="6" w:space="0" w:color="414142"/>
            </w:tcBorders>
            <w:shd w:val="clear" w:color="auto" w:fill="FFFFFF"/>
            <w:vAlign w:val="center"/>
          </w:tcPr>
          <w:p w14:paraId="3B5B95DB" w14:textId="21349E1F" w:rsidR="00DA1FAD" w:rsidRPr="002A0EB5" w:rsidRDefault="00BF2B43">
            <w:pPr>
              <w:jc w:val="center"/>
            </w:pPr>
            <w:r w:rsidRPr="002A0EB5">
              <w:t>55 961 650</w:t>
            </w:r>
          </w:p>
        </w:tc>
        <w:tc>
          <w:tcPr>
            <w:tcW w:w="994" w:type="dxa"/>
            <w:tcBorders>
              <w:top w:val="outset" w:sz="6" w:space="0" w:color="414142"/>
              <w:left w:val="outset" w:sz="6" w:space="0" w:color="414142"/>
              <w:bottom w:val="outset" w:sz="6" w:space="0" w:color="414142"/>
              <w:right w:val="outset" w:sz="6" w:space="0" w:color="414142"/>
            </w:tcBorders>
            <w:shd w:val="clear" w:color="auto" w:fill="FFFFFF"/>
            <w:vAlign w:val="center"/>
          </w:tcPr>
          <w:p w14:paraId="4390BC83" w14:textId="3B59C1B6" w:rsidR="00406952" w:rsidRPr="002A0EB5" w:rsidRDefault="001F5FF5" w:rsidP="00406952">
            <w:pPr>
              <w:jc w:val="center"/>
            </w:pPr>
            <w:r w:rsidRPr="002A0EB5">
              <w:t>-</w:t>
            </w:r>
            <w:r w:rsidR="00124DDC">
              <w:t>1600</w:t>
            </w:r>
          </w:p>
        </w:tc>
        <w:tc>
          <w:tcPr>
            <w:tcW w:w="972" w:type="dxa"/>
            <w:tcBorders>
              <w:top w:val="outset" w:sz="6" w:space="0" w:color="414142"/>
              <w:left w:val="outset" w:sz="6" w:space="0" w:color="414142"/>
              <w:bottom w:val="outset" w:sz="6" w:space="0" w:color="414142"/>
              <w:right w:val="outset" w:sz="6" w:space="0" w:color="414142"/>
            </w:tcBorders>
            <w:shd w:val="clear" w:color="auto" w:fill="FFFFFF"/>
            <w:vAlign w:val="center"/>
          </w:tcPr>
          <w:p w14:paraId="229CD225" w14:textId="47561ADF" w:rsidR="00DA1FAD" w:rsidRPr="002A0EB5" w:rsidRDefault="00BF2B43">
            <w:pPr>
              <w:jc w:val="center"/>
            </w:pPr>
            <w:r w:rsidRPr="002A0EB5">
              <w:t>57 080 146</w:t>
            </w:r>
          </w:p>
        </w:tc>
        <w:tc>
          <w:tcPr>
            <w:tcW w:w="1027" w:type="dxa"/>
            <w:tcBorders>
              <w:top w:val="outset" w:sz="6" w:space="0" w:color="414142"/>
              <w:left w:val="outset" w:sz="6" w:space="0" w:color="414142"/>
              <w:bottom w:val="outset" w:sz="6" w:space="0" w:color="414142"/>
              <w:right w:val="outset" w:sz="6" w:space="0" w:color="414142"/>
            </w:tcBorders>
            <w:shd w:val="clear" w:color="auto" w:fill="FFFFFF"/>
            <w:vAlign w:val="center"/>
          </w:tcPr>
          <w:p w14:paraId="7536A623" w14:textId="0100DC27" w:rsidR="00DA1FAD" w:rsidRPr="002A0EB5" w:rsidRDefault="00B73BC9">
            <w:pPr>
              <w:jc w:val="center"/>
            </w:pPr>
            <w:r w:rsidRPr="002A0EB5">
              <w:t>-</w:t>
            </w:r>
            <w:r w:rsidR="00124DDC">
              <w:t>1600</w:t>
            </w:r>
          </w:p>
        </w:tc>
        <w:tc>
          <w:tcPr>
            <w:tcW w:w="1028" w:type="dxa"/>
            <w:tcBorders>
              <w:top w:val="outset" w:sz="6" w:space="0" w:color="414142"/>
              <w:left w:val="outset" w:sz="6" w:space="0" w:color="414142"/>
              <w:bottom w:val="outset" w:sz="6" w:space="0" w:color="414142"/>
              <w:right w:val="outset" w:sz="6" w:space="0" w:color="414142"/>
            </w:tcBorders>
            <w:shd w:val="clear" w:color="auto" w:fill="FFFFFF"/>
            <w:vAlign w:val="center"/>
          </w:tcPr>
          <w:p w14:paraId="4C907E9B" w14:textId="60AC94F0" w:rsidR="00DA1FAD" w:rsidRPr="002A0EB5" w:rsidRDefault="00B73BC9">
            <w:pPr>
              <w:jc w:val="center"/>
            </w:pPr>
            <w:r w:rsidRPr="002A0EB5">
              <w:t>-</w:t>
            </w:r>
            <w:r w:rsidR="00124DDC">
              <w:t>1600</w:t>
            </w:r>
          </w:p>
        </w:tc>
      </w:tr>
      <w:tr w:rsidR="001021F6" w14:paraId="6989976B" w14:textId="77777777" w:rsidTr="006E04CB">
        <w:tc>
          <w:tcPr>
            <w:tcW w:w="1606" w:type="dxa"/>
            <w:tcBorders>
              <w:top w:val="outset" w:sz="6" w:space="0" w:color="414142"/>
              <w:left w:val="outset" w:sz="6" w:space="0" w:color="414142"/>
              <w:bottom w:val="outset" w:sz="6" w:space="0" w:color="414142"/>
              <w:right w:val="outset" w:sz="6" w:space="0" w:color="414142"/>
            </w:tcBorders>
            <w:shd w:val="clear" w:color="auto" w:fill="FFFFFF"/>
          </w:tcPr>
          <w:p w14:paraId="1F28AF45" w14:textId="77777777" w:rsidR="00DA1FAD" w:rsidRDefault="001F5FF5">
            <w:r>
              <w:t>3.1. valsts pamatbudžets</w:t>
            </w:r>
          </w:p>
        </w:tc>
        <w:tc>
          <w:tcPr>
            <w:tcW w:w="1356" w:type="dxa"/>
            <w:tcBorders>
              <w:top w:val="outset" w:sz="6" w:space="0" w:color="414142"/>
              <w:left w:val="outset" w:sz="6" w:space="0" w:color="414142"/>
              <w:bottom w:val="outset" w:sz="6" w:space="0" w:color="414142"/>
              <w:right w:val="outset" w:sz="6" w:space="0" w:color="414142"/>
            </w:tcBorders>
            <w:shd w:val="clear" w:color="auto" w:fill="FFFFFF"/>
            <w:vAlign w:val="center"/>
          </w:tcPr>
          <w:p w14:paraId="76D8BD75" w14:textId="7AD1E52A" w:rsidR="000408EA" w:rsidRPr="006E04CB" w:rsidRDefault="00BF2B43" w:rsidP="000408EA">
            <w:pPr>
              <w:jc w:val="center"/>
            </w:pPr>
            <w:r w:rsidRPr="006E04CB">
              <w:rPr>
                <w:iCs/>
              </w:rPr>
              <w:t>198 388 262</w:t>
            </w:r>
          </w:p>
        </w:tc>
        <w:tc>
          <w:tcPr>
            <w:tcW w:w="994" w:type="dxa"/>
            <w:tcBorders>
              <w:top w:val="outset" w:sz="6" w:space="0" w:color="414142"/>
              <w:left w:val="outset" w:sz="6" w:space="0" w:color="414142"/>
              <w:bottom w:val="outset" w:sz="6" w:space="0" w:color="414142"/>
              <w:right w:val="outset" w:sz="6" w:space="0" w:color="414142"/>
            </w:tcBorders>
            <w:shd w:val="clear" w:color="auto" w:fill="FFFFFF"/>
            <w:vAlign w:val="center"/>
          </w:tcPr>
          <w:p w14:paraId="73E93813" w14:textId="2169F063" w:rsidR="00DA1FAD" w:rsidRPr="002A0EB5" w:rsidRDefault="00DA409C" w:rsidP="00DA409C">
            <w:pPr>
              <w:jc w:val="center"/>
            </w:pPr>
            <w:r w:rsidRPr="002A0EB5">
              <w:t>-</w:t>
            </w:r>
            <w:r w:rsidR="00124DDC" w:rsidRPr="00124DDC">
              <w:t>22 475</w:t>
            </w:r>
          </w:p>
        </w:tc>
        <w:tc>
          <w:tcPr>
            <w:tcW w:w="1081" w:type="dxa"/>
            <w:tcBorders>
              <w:top w:val="outset" w:sz="6" w:space="0" w:color="414142"/>
              <w:left w:val="outset" w:sz="6" w:space="0" w:color="414142"/>
              <w:bottom w:val="outset" w:sz="6" w:space="0" w:color="414142"/>
              <w:right w:val="outset" w:sz="6" w:space="0" w:color="414142"/>
            </w:tcBorders>
            <w:shd w:val="clear" w:color="auto" w:fill="FFFFFF"/>
            <w:vAlign w:val="center"/>
          </w:tcPr>
          <w:p w14:paraId="5519136F" w14:textId="7AA2C3D4" w:rsidR="00DA1FAD" w:rsidRPr="002A0EB5" w:rsidRDefault="00BF2B43">
            <w:pPr>
              <w:jc w:val="center"/>
            </w:pPr>
            <w:r w:rsidRPr="002A0EB5">
              <w:t>55 961 650</w:t>
            </w:r>
          </w:p>
        </w:tc>
        <w:tc>
          <w:tcPr>
            <w:tcW w:w="994" w:type="dxa"/>
            <w:tcBorders>
              <w:top w:val="outset" w:sz="6" w:space="0" w:color="414142"/>
              <w:left w:val="outset" w:sz="6" w:space="0" w:color="414142"/>
              <w:bottom w:val="outset" w:sz="6" w:space="0" w:color="414142"/>
              <w:right w:val="outset" w:sz="6" w:space="0" w:color="414142"/>
            </w:tcBorders>
            <w:shd w:val="clear" w:color="auto" w:fill="FFFFFF"/>
            <w:vAlign w:val="center"/>
          </w:tcPr>
          <w:p w14:paraId="3E0B5DC5" w14:textId="78481BC2" w:rsidR="001021F6" w:rsidRPr="002A0EB5" w:rsidRDefault="001F5FF5" w:rsidP="001021F6">
            <w:pPr>
              <w:jc w:val="center"/>
            </w:pPr>
            <w:r w:rsidRPr="002A0EB5">
              <w:t>-</w:t>
            </w:r>
            <w:r w:rsidR="00124DDC">
              <w:t>1600</w:t>
            </w:r>
          </w:p>
        </w:tc>
        <w:tc>
          <w:tcPr>
            <w:tcW w:w="972" w:type="dxa"/>
            <w:tcBorders>
              <w:top w:val="outset" w:sz="6" w:space="0" w:color="414142"/>
              <w:left w:val="outset" w:sz="6" w:space="0" w:color="414142"/>
              <w:bottom w:val="outset" w:sz="6" w:space="0" w:color="414142"/>
              <w:right w:val="outset" w:sz="6" w:space="0" w:color="414142"/>
            </w:tcBorders>
            <w:shd w:val="clear" w:color="auto" w:fill="FFFFFF"/>
            <w:vAlign w:val="center"/>
          </w:tcPr>
          <w:p w14:paraId="55191D3D" w14:textId="53A6F1F1" w:rsidR="00DA1FAD" w:rsidRPr="002A0EB5" w:rsidRDefault="00BF2B43">
            <w:pPr>
              <w:jc w:val="center"/>
            </w:pPr>
            <w:r w:rsidRPr="002A0EB5">
              <w:t>57 080 146</w:t>
            </w:r>
          </w:p>
        </w:tc>
        <w:tc>
          <w:tcPr>
            <w:tcW w:w="1027" w:type="dxa"/>
            <w:tcBorders>
              <w:top w:val="outset" w:sz="6" w:space="0" w:color="414142"/>
              <w:left w:val="outset" w:sz="6" w:space="0" w:color="414142"/>
              <w:bottom w:val="outset" w:sz="6" w:space="0" w:color="414142"/>
              <w:right w:val="outset" w:sz="6" w:space="0" w:color="414142"/>
            </w:tcBorders>
            <w:shd w:val="clear" w:color="auto" w:fill="FFFFFF"/>
            <w:vAlign w:val="center"/>
          </w:tcPr>
          <w:p w14:paraId="3F83A2B9" w14:textId="40460FC9" w:rsidR="00DA1FAD" w:rsidRPr="002A0EB5" w:rsidRDefault="001F5FF5">
            <w:pPr>
              <w:jc w:val="center"/>
            </w:pPr>
            <w:r w:rsidRPr="002A0EB5">
              <w:t>-</w:t>
            </w:r>
            <w:r w:rsidR="00124DDC">
              <w:t>1600</w:t>
            </w:r>
          </w:p>
        </w:tc>
        <w:tc>
          <w:tcPr>
            <w:tcW w:w="1028" w:type="dxa"/>
            <w:tcBorders>
              <w:top w:val="outset" w:sz="6" w:space="0" w:color="414142"/>
              <w:left w:val="outset" w:sz="6" w:space="0" w:color="414142"/>
              <w:bottom w:val="outset" w:sz="6" w:space="0" w:color="414142"/>
              <w:right w:val="outset" w:sz="6" w:space="0" w:color="414142"/>
            </w:tcBorders>
            <w:shd w:val="clear" w:color="auto" w:fill="FFFFFF"/>
            <w:vAlign w:val="center"/>
          </w:tcPr>
          <w:p w14:paraId="38066CD2" w14:textId="6B96DE25" w:rsidR="00DA1FAD" w:rsidRPr="002A0EB5" w:rsidRDefault="00B73BC9">
            <w:pPr>
              <w:jc w:val="center"/>
            </w:pPr>
            <w:r w:rsidRPr="002A0EB5">
              <w:t>-</w:t>
            </w:r>
            <w:r w:rsidR="00124DDC">
              <w:t>1600</w:t>
            </w:r>
          </w:p>
        </w:tc>
      </w:tr>
      <w:tr w:rsidR="001021F6" w14:paraId="4E4E5DBD" w14:textId="77777777" w:rsidTr="006E04CB">
        <w:tc>
          <w:tcPr>
            <w:tcW w:w="1606" w:type="dxa"/>
            <w:tcBorders>
              <w:top w:val="outset" w:sz="6" w:space="0" w:color="414142"/>
              <w:left w:val="outset" w:sz="6" w:space="0" w:color="414142"/>
              <w:bottom w:val="outset" w:sz="6" w:space="0" w:color="414142"/>
              <w:right w:val="outset" w:sz="6" w:space="0" w:color="414142"/>
            </w:tcBorders>
            <w:shd w:val="clear" w:color="auto" w:fill="FFFFFF"/>
          </w:tcPr>
          <w:p w14:paraId="5E82C99F" w14:textId="77777777" w:rsidR="00DA1FAD" w:rsidRDefault="001F5FF5">
            <w:r>
              <w:t>3.2. speciālais budžets</w:t>
            </w:r>
          </w:p>
        </w:tc>
        <w:tc>
          <w:tcPr>
            <w:tcW w:w="1356" w:type="dxa"/>
            <w:tcBorders>
              <w:top w:val="outset" w:sz="6" w:space="0" w:color="414142"/>
              <w:left w:val="outset" w:sz="6" w:space="0" w:color="414142"/>
              <w:bottom w:val="outset" w:sz="6" w:space="0" w:color="414142"/>
              <w:right w:val="outset" w:sz="6" w:space="0" w:color="414142"/>
            </w:tcBorders>
            <w:shd w:val="clear" w:color="auto" w:fill="FFFFFF"/>
            <w:vAlign w:val="center"/>
          </w:tcPr>
          <w:p w14:paraId="5A7DCC3A" w14:textId="77777777" w:rsidR="00DA1FAD" w:rsidRDefault="001F5FF5">
            <w:pPr>
              <w:jc w:val="center"/>
            </w:pPr>
            <w:r>
              <w:t>0</w:t>
            </w:r>
          </w:p>
        </w:tc>
        <w:tc>
          <w:tcPr>
            <w:tcW w:w="994" w:type="dxa"/>
            <w:tcBorders>
              <w:top w:val="outset" w:sz="6" w:space="0" w:color="414142"/>
              <w:left w:val="outset" w:sz="6" w:space="0" w:color="414142"/>
              <w:bottom w:val="outset" w:sz="6" w:space="0" w:color="414142"/>
              <w:right w:val="outset" w:sz="6" w:space="0" w:color="414142"/>
            </w:tcBorders>
            <w:shd w:val="clear" w:color="auto" w:fill="FFFFFF"/>
            <w:vAlign w:val="center"/>
          </w:tcPr>
          <w:p w14:paraId="2710A364" w14:textId="77777777" w:rsidR="00DA1FAD" w:rsidRDefault="001F5FF5">
            <w:pPr>
              <w:jc w:val="center"/>
            </w:pPr>
            <w:r>
              <w:t>0</w:t>
            </w:r>
          </w:p>
        </w:tc>
        <w:tc>
          <w:tcPr>
            <w:tcW w:w="1081" w:type="dxa"/>
            <w:tcBorders>
              <w:top w:val="outset" w:sz="6" w:space="0" w:color="414142"/>
              <w:left w:val="outset" w:sz="6" w:space="0" w:color="414142"/>
              <w:bottom w:val="outset" w:sz="6" w:space="0" w:color="414142"/>
              <w:right w:val="outset" w:sz="6" w:space="0" w:color="414142"/>
            </w:tcBorders>
            <w:shd w:val="clear" w:color="auto" w:fill="FFFFFF"/>
            <w:vAlign w:val="center"/>
          </w:tcPr>
          <w:p w14:paraId="4458F065" w14:textId="77777777" w:rsidR="00DA1FAD" w:rsidRDefault="001F5FF5">
            <w:pPr>
              <w:jc w:val="center"/>
            </w:pPr>
            <w:r>
              <w:t>0</w:t>
            </w:r>
          </w:p>
        </w:tc>
        <w:tc>
          <w:tcPr>
            <w:tcW w:w="994" w:type="dxa"/>
            <w:tcBorders>
              <w:top w:val="outset" w:sz="6" w:space="0" w:color="414142"/>
              <w:left w:val="outset" w:sz="6" w:space="0" w:color="414142"/>
              <w:bottom w:val="outset" w:sz="6" w:space="0" w:color="414142"/>
              <w:right w:val="outset" w:sz="6" w:space="0" w:color="414142"/>
            </w:tcBorders>
            <w:shd w:val="clear" w:color="auto" w:fill="FFFFFF"/>
            <w:vAlign w:val="center"/>
          </w:tcPr>
          <w:p w14:paraId="230B2DF5" w14:textId="77777777" w:rsidR="00DA1FAD" w:rsidRDefault="001F5FF5">
            <w:pPr>
              <w:jc w:val="center"/>
            </w:pPr>
            <w:r>
              <w:t>0</w:t>
            </w:r>
          </w:p>
        </w:tc>
        <w:tc>
          <w:tcPr>
            <w:tcW w:w="972" w:type="dxa"/>
            <w:tcBorders>
              <w:top w:val="outset" w:sz="6" w:space="0" w:color="414142"/>
              <w:left w:val="outset" w:sz="6" w:space="0" w:color="414142"/>
              <w:bottom w:val="outset" w:sz="6" w:space="0" w:color="414142"/>
              <w:right w:val="outset" w:sz="6" w:space="0" w:color="414142"/>
            </w:tcBorders>
            <w:shd w:val="clear" w:color="auto" w:fill="FFFFFF"/>
            <w:vAlign w:val="center"/>
          </w:tcPr>
          <w:p w14:paraId="7EEECC9E" w14:textId="77777777" w:rsidR="00DA1FAD" w:rsidRDefault="001F5FF5">
            <w:pPr>
              <w:jc w:val="center"/>
            </w:pPr>
            <w:r>
              <w:t>0</w:t>
            </w:r>
          </w:p>
        </w:tc>
        <w:tc>
          <w:tcPr>
            <w:tcW w:w="1027" w:type="dxa"/>
            <w:tcBorders>
              <w:top w:val="outset" w:sz="6" w:space="0" w:color="414142"/>
              <w:left w:val="outset" w:sz="6" w:space="0" w:color="414142"/>
              <w:bottom w:val="outset" w:sz="6" w:space="0" w:color="414142"/>
              <w:right w:val="outset" w:sz="6" w:space="0" w:color="414142"/>
            </w:tcBorders>
            <w:shd w:val="clear" w:color="auto" w:fill="FFFFFF"/>
            <w:vAlign w:val="center"/>
          </w:tcPr>
          <w:p w14:paraId="2A2CC794" w14:textId="77777777" w:rsidR="00DA1FAD" w:rsidRDefault="001F5FF5">
            <w:pPr>
              <w:jc w:val="center"/>
            </w:pPr>
            <w:r>
              <w:t>0</w:t>
            </w:r>
          </w:p>
        </w:tc>
        <w:tc>
          <w:tcPr>
            <w:tcW w:w="1028" w:type="dxa"/>
            <w:tcBorders>
              <w:top w:val="outset" w:sz="6" w:space="0" w:color="414142"/>
              <w:left w:val="outset" w:sz="6" w:space="0" w:color="414142"/>
              <w:bottom w:val="outset" w:sz="6" w:space="0" w:color="414142"/>
              <w:right w:val="outset" w:sz="6" w:space="0" w:color="414142"/>
            </w:tcBorders>
            <w:shd w:val="clear" w:color="auto" w:fill="FFFFFF"/>
            <w:vAlign w:val="center"/>
          </w:tcPr>
          <w:p w14:paraId="12F14E1D" w14:textId="77777777" w:rsidR="00DA1FAD" w:rsidRDefault="001F5FF5">
            <w:pPr>
              <w:jc w:val="center"/>
            </w:pPr>
            <w:r>
              <w:t>0</w:t>
            </w:r>
          </w:p>
        </w:tc>
      </w:tr>
      <w:tr w:rsidR="001021F6" w14:paraId="5C06710A" w14:textId="77777777" w:rsidTr="006E04CB">
        <w:tc>
          <w:tcPr>
            <w:tcW w:w="1606" w:type="dxa"/>
            <w:tcBorders>
              <w:top w:val="outset" w:sz="6" w:space="0" w:color="414142"/>
              <w:left w:val="outset" w:sz="6" w:space="0" w:color="414142"/>
              <w:bottom w:val="outset" w:sz="6" w:space="0" w:color="414142"/>
              <w:right w:val="outset" w:sz="6" w:space="0" w:color="414142"/>
            </w:tcBorders>
            <w:shd w:val="clear" w:color="auto" w:fill="FFFFFF"/>
          </w:tcPr>
          <w:p w14:paraId="2F6F0622" w14:textId="77777777" w:rsidR="00DA1FAD" w:rsidRDefault="001F5FF5">
            <w:r>
              <w:t>3.3. pašvaldību budžets</w:t>
            </w:r>
          </w:p>
        </w:tc>
        <w:tc>
          <w:tcPr>
            <w:tcW w:w="1356" w:type="dxa"/>
            <w:tcBorders>
              <w:top w:val="outset" w:sz="6" w:space="0" w:color="414142"/>
              <w:left w:val="outset" w:sz="6" w:space="0" w:color="414142"/>
              <w:bottom w:val="outset" w:sz="6" w:space="0" w:color="414142"/>
              <w:right w:val="outset" w:sz="6" w:space="0" w:color="414142"/>
            </w:tcBorders>
            <w:shd w:val="clear" w:color="auto" w:fill="FFFFFF"/>
            <w:vAlign w:val="center"/>
          </w:tcPr>
          <w:p w14:paraId="514B2476" w14:textId="77777777" w:rsidR="00DA1FAD" w:rsidRDefault="001F5FF5">
            <w:pPr>
              <w:jc w:val="center"/>
            </w:pPr>
            <w:r>
              <w:t>0</w:t>
            </w:r>
          </w:p>
        </w:tc>
        <w:tc>
          <w:tcPr>
            <w:tcW w:w="994" w:type="dxa"/>
            <w:tcBorders>
              <w:top w:val="outset" w:sz="6" w:space="0" w:color="414142"/>
              <w:left w:val="outset" w:sz="6" w:space="0" w:color="414142"/>
              <w:bottom w:val="outset" w:sz="6" w:space="0" w:color="414142"/>
              <w:right w:val="outset" w:sz="6" w:space="0" w:color="414142"/>
            </w:tcBorders>
            <w:shd w:val="clear" w:color="auto" w:fill="FFFFFF"/>
            <w:vAlign w:val="center"/>
          </w:tcPr>
          <w:p w14:paraId="4AC2A21A" w14:textId="77777777" w:rsidR="00DA1FAD" w:rsidRDefault="001F5FF5">
            <w:pPr>
              <w:jc w:val="center"/>
            </w:pPr>
            <w:r>
              <w:t>0</w:t>
            </w:r>
          </w:p>
        </w:tc>
        <w:tc>
          <w:tcPr>
            <w:tcW w:w="1081" w:type="dxa"/>
            <w:tcBorders>
              <w:top w:val="outset" w:sz="6" w:space="0" w:color="414142"/>
              <w:left w:val="outset" w:sz="6" w:space="0" w:color="414142"/>
              <w:bottom w:val="outset" w:sz="6" w:space="0" w:color="414142"/>
              <w:right w:val="outset" w:sz="6" w:space="0" w:color="414142"/>
            </w:tcBorders>
            <w:shd w:val="clear" w:color="auto" w:fill="FFFFFF"/>
            <w:vAlign w:val="center"/>
          </w:tcPr>
          <w:p w14:paraId="27D1941E" w14:textId="77777777" w:rsidR="00DA1FAD" w:rsidRDefault="001F5FF5">
            <w:pPr>
              <w:jc w:val="center"/>
            </w:pPr>
            <w:r>
              <w:t>0</w:t>
            </w:r>
          </w:p>
        </w:tc>
        <w:tc>
          <w:tcPr>
            <w:tcW w:w="994" w:type="dxa"/>
            <w:tcBorders>
              <w:top w:val="outset" w:sz="6" w:space="0" w:color="414142"/>
              <w:left w:val="outset" w:sz="6" w:space="0" w:color="414142"/>
              <w:bottom w:val="outset" w:sz="6" w:space="0" w:color="414142"/>
              <w:right w:val="outset" w:sz="6" w:space="0" w:color="414142"/>
            </w:tcBorders>
            <w:shd w:val="clear" w:color="auto" w:fill="FFFFFF"/>
            <w:vAlign w:val="center"/>
          </w:tcPr>
          <w:p w14:paraId="2E2C001E" w14:textId="77777777" w:rsidR="00DA1FAD" w:rsidRDefault="001F5FF5">
            <w:pPr>
              <w:jc w:val="center"/>
            </w:pPr>
            <w:r>
              <w:t>0</w:t>
            </w:r>
          </w:p>
        </w:tc>
        <w:tc>
          <w:tcPr>
            <w:tcW w:w="972" w:type="dxa"/>
            <w:tcBorders>
              <w:top w:val="outset" w:sz="6" w:space="0" w:color="414142"/>
              <w:left w:val="outset" w:sz="6" w:space="0" w:color="414142"/>
              <w:bottom w:val="outset" w:sz="6" w:space="0" w:color="414142"/>
              <w:right w:val="outset" w:sz="6" w:space="0" w:color="414142"/>
            </w:tcBorders>
            <w:shd w:val="clear" w:color="auto" w:fill="FFFFFF"/>
            <w:vAlign w:val="center"/>
          </w:tcPr>
          <w:p w14:paraId="690D41BB" w14:textId="77777777" w:rsidR="00DA1FAD" w:rsidRDefault="001F5FF5">
            <w:pPr>
              <w:jc w:val="center"/>
            </w:pPr>
            <w:r>
              <w:t>0</w:t>
            </w:r>
          </w:p>
        </w:tc>
        <w:tc>
          <w:tcPr>
            <w:tcW w:w="1027" w:type="dxa"/>
            <w:tcBorders>
              <w:top w:val="outset" w:sz="6" w:space="0" w:color="414142"/>
              <w:left w:val="outset" w:sz="6" w:space="0" w:color="414142"/>
              <w:bottom w:val="outset" w:sz="6" w:space="0" w:color="414142"/>
              <w:right w:val="outset" w:sz="6" w:space="0" w:color="414142"/>
            </w:tcBorders>
            <w:shd w:val="clear" w:color="auto" w:fill="FFFFFF"/>
            <w:vAlign w:val="center"/>
          </w:tcPr>
          <w:p w14:paraId="3C9FA409" w14:textId="77777777" w:rsidR="00DA1FAD" w:rsidRDefault="001F5FF5">
            <w:pPr>
              <w:jc w:val="center"/>
            </w:pPr>
            <w:r>
              <w:t>0</w:t>
            </w:r>
          </w:p>
        </w:tc>
        <w:tc>
          <w:tcPr>
            <w:tcW w:w="1028" w:type="dxa"/>
            <w:tcBorders>
              <w:top w:val="outset" w:sz="6" w:space="0" w:color="414142"/>
              <w:left w:val="outset" w:sz="6" w:space="0" w:color="414142"/>
              <w:bottom w:val="outset" w:sz="6" w:space="0" w:color="414142"/>
              <w:right w:val="outset" w:sz="6" w:space="0" w:color="414142"/>
            </w:tcBorders>
            <w:shd w:val="clear" w:color="auto" w:fill="FFFFFF"/>
            <w:vAlign w:val="center"/>
          </w:tcPr>
          <w:p w14:paraId="5364C5D5" w14:textId="77777777" w:rsidR="00DA1FAD" w:rsidRDefault="001F5FF5">
            <w:pPr>
              <w:jc w:val="center"/>
            </w:pPr>
            <w:r>
              <w:t>0</w:t>
            </w:r>
          </w:p>
        </w:tc>
      </w:tr>
      <w:tr w:rsidR="001021F6" w14:paraId="57446085" w14:textId="77777777" w:rsidTr="006E04CB">
        <w:tc>
          <w:tcPr>
            <w:tcW w:w="1606" w:type="dxa"/>
            <w:tcBorders>
              <w:top w:val="outset" w:sz="6" w:space="0" w:color="414142"/>
              <w:left w:val="outset" w:sz="6" w:space="0" w:color="414142"/>
              <w:bottom w:val="outset" w:sz="6" w:space="0" w:color="414142"/>
              <w:right w:val="outset" w:sz="6" w:space="0" w:color="414142"/>
            </w:tcBorders>
            <w:shd w:val="clear" w:color="auto" w:fill="FFFFFF"/>
          </w:tcPr>
          <w:p w14:paraId="7E2B85B7" w14:textId="77777777" w:rsidR="00DA1FAD" w:rsidRDefault="001F5FF5">
            <w:r>
              <w:t>4. Finanšu līdzekļi papildu izdevumu finansēšanai (kompensējošu izdevumu samazinājumu norāda ar "+" zīmi)</w:t>
            </w:r>
          </w:p>
        </w:tc>
        <w:tc>
          <w:tcPr>
            <w:tcW w:w="1356" w:type="dxa"/>
            <w:tcBorders>
              <w:top w:val="outset" w:sz="6" w:space="0" w:color="414142"/>
              <w:left w:val="outset" w:sz="6" w:space="0" w:color="414142"/>
              <w:bottom w:val="outset" w:sz="6" w:space="0" w:color="414142"/>
              <w:right w:val="outset" w:sz="6" w:space="0" w:color="414142"/>
            </w:tcBorders>
            <w:shd w:val="clear" w:color="auto" w:fill="FFFFFF"/>
            <w:vAlign w:val="center"/>
          </w:tcPr>
          <w:p w14:paraId="66B5ABB3" w14:textId="77777777" w:rsidR="00DA1FAD" w:rsidRDefault="001F5FF5">
            <w:pPr>
              <w:jc w:val="center"/>
            </w:pPr>
            <w:r>
              <w:t>X</w:t>
            </w:r>
          </w:p>
        </w:tc>
        <w:tc>
          <w:tcPr>
            <w:tcW w:w="994" w:type="dxa"/>
            <w:tcBorders>
              <w:top w:val="outset" w:sz="6" w:space="0" w:color="414142"/>
              <w:left w:val="outset" w:sz="6" w:space="0" w:color="414142"/>
              <w:bottom w:val="outset" w:sz="6" w:space="0" w:color="414142"/>
              <w:right w:val="outset" w:sz="6" w:space="0" w:color="414142"/>
            </w:tcBorders>
            <w:shd w:val="clear" w:color="auto" w:fill="FFFFFF"/>
            <w:vAlign w:val="center"/>
          </w:tcPr>
          <w:p w14:paraId="6288D35B" w14:textId="77777777" w:rsidR="00DA1FAD" w:rsidRDefault="001F5FF5">
            <w:pPr>
              <w:jc w:val="center"/>
            </w:pPr>
            <w:r>
              <w:t>0</w:t>
            </w:r>
          </w:p>
        </w:tc>
        <w:tc>
          <w:tcPr>
            <w:tcW w:w="1081" w:type="dxa"/>
            <w:tcBorders>
              <w:top w:val="outset" w:sz="6" w:space="0" w:color="414142"/>
              <w:left w:val="outset" w:sz="6" w:space="0" w:color="414142"/>
              <w:bottom w:val="outset" w:sz="6" w:space="0" w:color="414142"/>
              <w:right w:val="outset" w:sz="6" w:space="0" w:color="414142"/>
            </w:tcBorders>
            <w:shd w:val="clear" w:color="auto" w:fill="FFFFFF"/>
            <w:vAlign w:val="center"/>
          </w:tcPr>
          <w:p w14:paraId="36214863" w14:textId="77777777" w:rsidR="00DA1FAD" w:rsidRDefault="001F5FF5">
            <w:pPr>
              <w:jc w:val="center"/>
            </w:pPr>
            <w:r>
              <w:t>0</w:t>
            </w:r>
          </w:p>
        </w:tc>
        <w:tc>
          <w:tcPr>
            <w:tcW w:w="994" w:type="dxa"/>
            <w:tcBorders>
              <w:top w:val="outset" w:sz="6" w:space="0" w:color="414142"/>
              <w:left w:val="outset" w:sz="6" w:space="0" w:color="414142"/>
              <w:bottom w:val="outset" w:sz="6" w:space="0" w:color="414142"/>
              <w:right w:val="outset" w:sz="6" w:space="0" w:color="414142"/>
            </w:tcBorders>
            <w:shd w:val="clear" w:color="auto" w:fill="FFFFFF"/>
            <w:vAlign w:val="center"/>
          </w:tcPr>
          <w:p w14:paraId="35E2E13F" w14:textId="77777777" w:rsidR="00DA1FAD" w:rsidRDefault="001F5FF5">
            <w:pPr>
              <w:jc w:val="center"/>
            </w:pPr>
            <w:r>
              <w:t>0</w:t>
            </w:r>
          </w:p>
        </w:tc>
        <w:tc>
          <w:tcPr>
            <w:tcW w:w="972" w:type="dxa"/>
            <w:tcBorders>
              <w:top w:val="outset" w:sz="6" w:space="0" w:color="414142"/>
              <w:left w:val="outset" w:sz="6" w:space="0" w:color="414142"/>
              <w:bottom w:val="outset" w:sz="6" w:space="0" w:color="414142"/>
              <w:right w:val="outset" w:sz="6" w:space="0" w:color="414142"/>
            </w:tcBorders>
            <w:shd w:val="clear" w:color="auto" w:fill="FFFFFF"/>
            <w:vAlign w:val="center"/>
          </w:tcPr>
          <w:p w14:paraId="5BE7FB36" w14:textId="77777777" w:rsidR="00DA1FAD" w:rsidRDefault="001F5FF5">
            <w:pPr>
              <w:jc w:val="center"/>
            </w:pPr>
            <w:r>
              <w:t>0</w:t>
            </w:r>
          </w:p>
        </w:tc>
        <w:tc>
          <w:tcPr>
            <w:tcW w:w="1027" w:type="dxa"/>
            <w:tcBorders>
              <w:top w:val="outset" w:sz="6" w:space="0" w:color="414142"/>
              <w:left w:val="outset" w:sz="6" w:space="0" w:color="414142"/>
              <w:bottom w:val="outset" w:sz="6" w:space="0" w:color="414142"/>
              <w:right w:val="outset" w:sz="6" w:space="0" w:color="414142"/>
            </w:tcBorders>
            <w:shd w:val="clear" w:color="auto" w:fill="FFFFFF"/>
            <w:vAlign w:val="center"/>
          </w:tcPr>
          <w:p w14:paraId="6D9D31D6" w14:textId="77777777" w:rsidR="00DA1FAD" w:rsidRDefault="001F5FF5">
            <w:pPr>
              <w:jc w:val="center"/>
            </w:pPr>
            <w:r>
              <w:t>0</w:t>
            </w:r>
          </w:p>
        </w:tc>
        <w:tc>
          <w:tcPr>
            <w:tcW w:w="1028" w:type="dxa"/>
            <w:tcBorders>
              <w:top w:val="outset" w:sz="6" w:space="0" w:color="414142"/>
              <w:left w:val="outset" w:sz="6" w:space="0" w:color="414142"/>
              <w:bottom w:val="outset" w:sz="6" w:space="0" w:color="414142"/>
              <w:right w:val="outset" w:sz="6" w:space="0" w:color="414142"/>
            </w:tcBorders>
            <w:shd w:val="clear" w:color="auto" w:fill="FFFFFF"/>
            <w:vAlign w:val="center"/>
          </w:tcPr>
          <w:p w14:paraId="428DDC2C" w14:textId="77777777" w:rsidR="00DA1FAD" w:rsidRDefault="001F5FF5">
            <w:pPr>
              <w:jc w:val="center"/>
            </w:pPr>
            <w:r>
              <w:t>0</w:t>
            </w:r>
          </w:p>
        </w:tc>
      </w:tr>
      <w:tr w:rsidR="001021F6" w14:paraId="11EA30E2" w14:textId="77777777" w:rsidTr="006E04CB">
        <w:tc>
          <w:tcPr>
            <w:tcW w:w="1606" w:type="dxa"/>
            <w:tcBorders>
              <w:top w:val="outset" w:sz="6" w:space="0" w:color="414142"/>
              <w:left w:val="outset" w:sz="6" w:space="0" w:color="414142"/>
              <w:bottom w:val="outset" w:sz="6" w:space="0" w:color="414142"/>
              <w:right w:val="outset" w:sz="6" w:space="0" w:color="414142"/>
            </w:tcBorders>
            <w:shd w:val="clear" w:color="auto" w:fill="FFFFFF"/>
          </w:tcPr>
          <w:p w14:paraId="7537B4AA" w14:textId="77777777" w:rsidR="00DA1FAD" w:rsidRDefault="001F5FF5">
            <w:r>
              <w:t>5. Precizēta finansiālā ietekme</w:t>
            </w:r>
          </w:p>
        </w:tc>
        <w:tc>
          <w:tcPr>
            <w:tcW w:w="1356" w:type="dxa"/>
            <w:vMerge w:val="restart"/>
            <w:tcBorders>
              <w:top w:val="outset" w:sz="6" w:space="0" w:color="414142"/>
              <w:left w:val="outset" w:sz="6" w:space="0" w:color="414142"/>
              <w:bottom w:val="outset" w:sz="6" w:space="0" w:color="414142"/>
              <w:right w:val="outset" w:sz="6" w:space="0" w:color="414142"/>
            </w:tcBorders>
            <w:shd w:val="clear" w:color="auto" w:fill="FFFFFF"/>
            <w:vAlign w:val="center"/>
          </w:tcPr>
          <w:p w14:paraId="751AE29A" w14:textId="77777777" w:rsidR="00DA1FAD" w:rsidRDefault="001F5FF5">
            <w:pPr>
              <w:jc w:val="center"/>
            </w:pPr>
            <w:r>
              <w:t>X</w:t>
            </w:r>
          </w:p>
        </w:tc>
        <w:tc>
          <w:tcPr>
            <w:tcW w:w="994" w:type="dxa"/>
            <w:tcBorders>
              <w:top w:val="outset" w:sz="6" w:space="0" w:color="414142"/>
              <w:left w:val="outset" w:sz="6" w:space="0" w:color="414142"/>
              <w:bottom w:val="outset" w:sz="6" w:space="0" w:color="414142"/>
              <w:right w:val="outset" w:sz="6" w:space="0" w:color="414142"/>
            </w:tcBorders>
            <w:shd w:val="clear" w:color="auto" w:fill="FFFFFF"/>
            <w:vAlign w:val="center"/>
          </w:tcPr>
          <w:p w14:paraId="23743019" w14:textId="77777777" w:rsidR="00DA1FAD" w:rsidRDefault="001F5FF5">
            <w:pPr>
              <w:jc w:val="center"/>
            </w:pPr>
            <w:r>
              <w:t>0</w:t>
            </w:r>
          </w:p>
        </w:tc>
        <w:tc>
          <w:tcPr>
            <w:tcW w:w="1081" w:type="dxa"/>
            <w:vMerge w:val="restart"/>
            <w:tcBorders>
              <w:top w:val="outset" w:sz="6" w:space="0" w:color="414142"/>
              <w:left w:val="outset" w:sz="6" w:space="0" w:color="414142"/>
              <w:bottom w:val="outset" w:sz="6" w:space="0" w:color="414142"/>
              <w:right w:val="outset" w:sz="6" w:space="0" w:color="414142"/>
            </w:tcBorders>
            <w:shd w:val="clear" w:color="auto" w:fill="FFFFFF"/>
            <w:vAlign w:val="center"/>
          </w:tcPr>
          <w:p w14:paraId="3B65F631" w14:textId="77777777" w:rsidR="00DA1FAD" w:rsidRDefault="001F5FF5">
            <w:pPr>
              <w:jc w:val="center"/>
            </w:pPr>
            <w:r>
              <w:t>0</w:t>
            </w:r>
          </w:p>
        </w:tc>
        <w:tc>
          <w:tcPr>
            <w:tcW w:w="994" w:type="dxa"/>
            <w:tcBorders>
              <w:top w:val="outset" w:sz="6" w:space="0" w:color="414142"/>
              <w:left w:val="outset" w:sz="6" w:space="0" w:color="414142"/>
              <w:bottom w:val="outset" w:sz="6" w:space="0" w:color="414142"/>
              <w:right w:val="outset" w:sz="6" w:space="0" w:color="414142"/>
            </w:tcBorders>
            <w:shd w:val="clear" w:color="auto" w:fill="FFFFFF"/>
            <w:vAlign w:val="center"/>
          </w:tcPr>
          <w:p w14:paraId="51A277BD" w14:textId="77777777" w:rsidR="00DA1FAD" w:rsidRDefault="001F5FF5">
            <w:pPr>
              <w:jc w:val="center"/>
            </w:pPr>
            <w:r>
              <w:t>0</w:t>
            </w:r>
          </w:p>
        </w:tc>
        <w:tc>
          <w:tcPr>
            <w:tcW w:w="972" w:type="dxa"/>
            <w:vMerge w:val="restart"/>
            <w:tcBorders>
              <w:top w:val="outset" w:sz="6" w:space="0" w:color="414142"/>
              <w:left w:val="outset" w:sz="6" w:space="0" w:color="414142"/>
              <w:bottom w:val="outset" w:sz="6" w:space="0" w:color="414142"/>
              <w:right w:val="outset" w:sz="6" w:space="0" w:color="414142"/>
            </w:tcBorders>
            <w:shd w:val="clear" w:color="auto" w:fill="FFFFFF"/>
            <w:vAlign w:val="center"/>
          </w:tcPr>
          <w:p w14:paraId="60D86181" w14:textId="77777777" w:rsidR="00DA1FAD" w:rsidRDefault="001F5FF5">
            <w:pPr>
              <w:jc w:val="center"/>
            </w:pPr>
            <w:r>
              <w:t>0</w:t>
            </w:r>
          </w:p>
        </w:tc>
        <w:tc>
          <w:tcPr>
            <w:tcW w:w="1027" w:type="dxa"/>
            <w:tcBorders>
              <w:top w:val="outset" w:sz="6" w:space="0" w:color="414142"/>
              <w:left w:val="outset" w:sz="6" w:space="0" w:color="414142"/>
              <w:bottom w:val="outset" w:sz="6" w:space="0" w:color="414142"/>
              <w:right w:val="outset" w:sz="6" w:space="0" w:color="414142"/>
            </w:tcBorders>
            <w:shd w:val="clear" w:color="auto" w:fill="FFFFFF"/>
            <w:vAlign w:val="center"/>
          </w:tcPr>
          <w:p w14:paraId="68217584" w14:textId="77777777" w:rsidR="00DA1FAD" w:rsidRDefault="001F5FF5">
            <w:pPr>
              <w:jc w:val="center"/>
            </w:pPr>
            <w:r>
              <w:t>0</w:t>
            </w:r>
          </w:p>
        </w:tc>
        <w:tc>
          <w:tcPr>
            <w:tcW w:w="1028" w:type="dxa"/>
            <w:tcBorders>
              <w:top w:val="outset" w:sz="6" w:space="0" w:color="414142"/>
              <w:left w:val="outset" w:sz="6" w:space="0" w:color="414142"/>
              <w:bottom w:val="outset" w:sz="6" w:space="0" w:color="414142"/>
              <w:right w:val="outset" w:sz="6" w:space="0" w:color="414142"/>
            </w:tcBorders>
            <w:shd w:val="clear" w:color="auto" w:fill="FFFFFF"/>
            <w:vAlign w:val="center"/>
          </w:tcPr>
          <w:p w14:paraId="66A6391E" w14:textId="77777777" w:rsidR="00DA1FAD" w:rsidRDefault="001F5FF5">
            <w:pPr>
              <w:jc w:val="center"/>
            </w:pPr>
            <w:r>
              <w:t>0</w:t>
            </w:r>
          </w:p>
        </w:tc>
      </w:tr>
      <w:tr w:rsidR="001021F6" w14:paraId="111BDCEF" w14:textId="77777777" w:rsidTr="006E04CB">
        <w:tc>
          <w:tcPr>
            <w:tcW w:w="1606" w:type="dxa"/>
            <w:tcBorders>
              <w:top w:val="outset" w:sz="6" w:space="0" w:color="414142"/>
              <w:left w:val="outset" w:sz="6" w:space="0" w:color="414142"/>
              <w:bottom w:val="outset" w:sz="6" w:space="0" w:color="414142"/>
              <w:right w:val="outset" w:sz="6" w:space="0" w:color="414142"/>
            </w:tcBorders>
            <w:shd w:val="clear" w:color="auto" w:fill="FFFFFF"/>
          </w:tcPr>
          <w:p w14:paraId="606200AD" w14:textId="77777777" w:rsidR="00DA1FAD" w:rsidRDefault="001F5FF5">
            <w:r>
              <w:lastRenderedPageBreak/>
              <w:t>5.1. valsts pamatbudžets</w:t>
            </w:r>
          </w:p>
        </w:tc>
        <w:tc>
          <w:tcPr>
            <w:tcW w:w="1356" w:type="dxa"/>
            <w:vMerge/>
            <w:tcBorders>
              <w:top w:val="outset" w:sz="6" w:space="0" w:color="414142"/>
              <w:left w:val="outset" w:sz="6" w:space="0" w:color="414142"/>
              <w:bottom w:val="outset" w:sz="6" w:space="0" w:color="414142"/>
              <w:right w:val="outset" w:sz="6" w:space="0" w:color="414142"/>
            </w:tcBorders>
            <w:shd w:val="clear" w:color="auto" w:fill="FFFFFF"/>
            <w:vAlign w:val="center"/>
          </w:tcPr>
          <w:p w14:paraId="2AC0DDFE" w14:textId="77777777" w:rsidR="00DA1FAD" w:rsidRDefault="00DA1FAD">
            <w:pPr>
              <w:jc w:val="center"/>
            </w:pPr>
          </w:p>
        </w:tc>
        <w:tc>
          <w:tcPr>
            <w:tcW w:w="994" w:type="dxa"/>
            <w:tcBorders>
              <w:top w:val="outset" w:sz="6" w:space="0" w:color="414142"/>
              <w:left w:val="outset" w:sz="6" w:space="0" w:color="414142"/>
              <w:bottom w:val="outset" w:sz="6" w:space="0" w:color="414142"/>
              <w:right w:val="outset" w:sz="6" w:space="0" w:color="414142"/>
            </w:tcBorders>
            <w:shd w:val="clear" w:color="auto" w:fill="FFFFFF"/>
            <w:vAlign w:val="center"/>
          </w:tcPr>
          <w:p w14:paraId="44111764" w14:textId="77777777" w:rsidR="00DA1FAD" w:rsidRDefault="001F5FF5">
            <w:pPr>
              <w:jc w:val="center"/>
            </w:pPr>
            <w:r>
              <w:t>0</w:t>
            </w:r>
          </w:p>
        </w:tc>
        <w:tc>
          <w:tcPr>
            <w:tcW w:w="1081" w:type="dxa"/>
            <w:vMerge/>
            <w:tcBorders>
              <w:top w:val="outset" w:sz="6" w:space="0" w:color="414142"/>
              <w:left w:val="outset" w:sz="6" w:space="0" w:color="414142"/>
              <w:bottom w:val="outset" w:sz="6" w:space="0" w:color="414142"/>
              <w:right w:val="outset" w:sz="6" w:space="0" w:color="414142"/>
            </w:tcBorders>
            <w:shd w:val="clear" w:color="auto" w:fill="FFFFFF"/>
            <w:vAlign w:val="center"/>
          </w:tcPr>
          <w:p w14:paraId="5EBB210E" w14:textId="77777777" w:rsidR="00DA1FAD" w:rsidRDefault="00DA1FAD">
            <w:pPr>
              <w:jc w:val="center"/>
            </w:pPr>
          </w:p>
        </w:tc>
        <w:tc>
          <w:tcPr>
            <w:tcW w:w="994" w:type="dxa"/>
            <w:tcBorders>
              <w:top w:val="outset" w:sz="6" w:space="0" w:color="414142"/>
              <w:left w:val="outset" w:sz="6" w:space="0" w:color="414142"/>
              <w:bottom w:val="outset" w:sz="6" w:space="0" w:color="414142"/>
              <w:right w:val="outset" w:sz="6" w:space="0" w:color="414142"/>
            </w:tcBorders>
            <w:shd w:val="clear" w:color="auto" w:fill="FFFFFF"/>
            <w:vAlign w:val="center"/>
          </w:tcPr>
          <w:p w14:paraId="4BF00C19" w14:textId="77777777" w:rsidR="00DA1FAD" w:rsidRDefault="001F5FF5">
            <w:pPr>
              <w:jc w:val="center"/>
            </w:pPr>
            <w:r>
              <w:t>0</w:t>
            </w:r>
          </w:p>
        </w:tc>
        <w:tc>
          <w:tcPr>
            <w:tcW w:w="972" w:type="dxa"/>
            <w:vMerge/>
            <w:tcBorders>
              <w:top w:val="outset" w:sz="6" w:space="0" w:color="414142"/>
              <w:left w:val="outset" w:sz="6" w:space="0" w:color="414142"/>
              <w:bottom w:val="outset" w:sz="6" w:space="0" w:color="414142"/>
              <w:right w:val="outset" w:sz="6" w:space="0" w:color="414142"/>
            </w:tcBorders>
            <w:shd w:val="clear" w:color="auto" w:fill="FFFFFF"/>
            <w:vAlign w:val="center"/>
          </w:tcPr>
          <w:p w14:paraId="530CF824" w14:textId="77777777" w:rsidR="00DA1FAD" w:rsidRDefault="00DA1FAD">
            <w:pPr>
              <w:jc w:val="center"/>
            </w:pPr>
          </w:p>
        </w:tc>
        <w:tc>
          <w:tcPr>
            <w:tcW w:w="1027" w:type="dxa"/>
            <w:tcBorders>
              <w:top w:val="outset" w:sz="6" w:space="0" w:color="414142"/>
              <w:left w:val="outset" w:sz="6" w:space="0" w:color="414142"/>
              <w:bottom w:val="outset" w:sz="6" w:space="0" w:color="414142"/>
              <w:right w:val="outset" w:sz="6" w:space="0" w:color="414142"/>
            </w:tcBorders>
            <w:shd w:val="clear" w:color="auto" w:fill="FFFFFF"/>
            <w:vAlign w:val="center"/>
          </w:tcPr>
          <w:p w14:paraId="33986DD9" w14:textId="77777777" w:rsidR="00DA1FAD" w:rsidRDefault="001F5FF5">
            <w:pPr>
              <w:jc w:val="center"/>
            </w:pPr>
            <w:r>
              <w:t>0</w:t>
            </w:r>
          </w:p>
        </w:tc>
        <w:tc>
          <w:tcPr>
            <w:tcW w:w="1028" w:type="dxa"/>
            <w:tcBorders>
              <w:top w:val="outset" w:sz="6" w:space="0" w:color="414142"/>
              <w:left w:val="outset" w:sz="6" w:space="0" w:color="414142"/>
              <w:bottom w:val="outset" w:sz="6" w:space="0" w:color="414142"/>
              <w:right w:val="outset" w:sz="6" w:space="0" w:color="414142"/>
            </w:tcBorders>
            <w:shd w:val="clear" w:color="auto" w:fill="FFFFFF"/>
            <w:vAlign w:val="center"/>
          </w:tcPr>
          <w:p w14:paraId="79BADF77" w14:textId="77777777" w:rsidR="00DA1FAD" w:rsidRDefault="001F5FF5">
            <w:pPr>
              <w:jc w:val="center"/>
            </w:pPr>
            <w:r>
              <w:t>0</w:t>
            </w:r>
          </w:p>
        </w:tc>
      </w:tr>
      <w:tr w:rsidR="001021F6" w14:paraId="5E483DA8" w14:textId="77777777" w:rsidTr="006E04CB">
        <w:tc>
          <w:tcPr>
            <w:tcW w:w="1606" w:type="dxa"/>
            <w:tcBorders>
              <w:top w:val="outset" w:sz="6" w:space="0" w:color="414142"/>
              <w:left w:val="outset" w:sz="6" w:space="0" w:color="414142"/>
              <w:bottom w:val="outset" w:sz="6" w:space="0" w:color="414142"/>
              <w:right w:val="outset" w:sz="6" w:space="0" w:color="414142"/>
            </w:tcBorders>
            <w:shd w:val="clear" w:color="auto" w:fill="FFFFFF"/>
          </w:tcPr>
          <w:p w14:paraId="74F7644F" w14:textId="77777777" w:rsidR="00DA1FAD" w:rsidRDefault="001F5FF5">
            <w:r>
              <w:t>5.2. speciālais budžets</w:t>
            </w:r>
          </w:p>
        </w:tc>
        <w:tc>
          <w:tcPr>
            <w:tcW w:w="1356" w:type="dxa"/>
            <w:vMerge/>
            <w:tcBorders>
              <w:top w:val="outset" w:sz="6" w:space="0" w:color="414142"/>
              <w:left w:val="outset" w:sz="6" w:space="0" w:color="414142"/>
              <w:bottom w:val="outset" w:sz="6" w:space="0" w:color="414142"/>
              <w:right w:val="outset" w:sz="6" w:space="0" w:color="414142"/>
            </w:tcBorders>
            <w:shd w:val="clear" w:color="auto" w:fill="FFFFFF"/>
            <w:vAlign w:val="center"/>
          </w:tcPr>
          <w:p w14:paraId="51D02056" w14:textId="77777777" w:rsidR="00DA1FAD" w:rsidRDefault="00DA1FAD">
            <w:pPr>
              <w:jc w:val="center"/>
            </w:pPr>
          </w:p>
        </w:tc>
        <w:tc>
          <w:tcPr>
            <w:tcW w:w="994" w:type="dxa"/>
            <w:tcBorders>
              <w:top w:val="outset" w:sz="6" w:space="0" w:color="414142"/>
              <w:left w:val="outset" w:sz="6" w:space="0" w:color="414142"/>
              <w:bottom w:val="outset" w:sz="6" w:space="0" w:color="414142"/>
              <w:right w:val="outset" w:sz="6" w:space="0" w:color="414142"/>
            </w:tcBorders>
            <w:shd w:val="clear" w:color="auto" w:fill="FFFFFF"/>
            <w:vAlign w:val="center"/>
          </w:tcPr>
          <w:p w14:paraId="387563FA" w14:textId="77777777" w:rsidR="00DA1FAD" w:rsidRDefault="001F5FF5">
            <w:pPr>
              <w:jc w:val="center"/>
            </w:pPr>
            <w:r>
              <w:t>0</w:t>
            </w:r>
          </w:p>
        </w:tc>
        <w:tc>
          <w:tcPr>
            <w:tcW w:w="1081" w:type="dxa"/>
            <w:vMerge/>
            <w:tcBorders>
              <w:top w:val="outset" w:sz="6" w:space="0" w:color="414142"/>
              <w:left w:val="outset" w:sz="6" w:space="0" w:color="414142"/>
              <w:bottom w:val="outset" w:sz="6" w:space="0" w:color="414142"/>
              <w:right w:val="outset" w:sz="6" w:space="0" w:color="414142"/>
            </w:tcBorders>
            <w:shd w:val="clear" w:color="auto" w:fill="FFFFFF"/>
            <w:vAlign w:val="center"/>
          </w:tcPr>
          <w:p w14:paraId="0A893468" w14:textId="77777777" w:rsidR="00DA1FAD" w:rsidRDefault="00DA1FAD">
            <w:pPr>
              <w:jc w:val="center"/>
            </w:pPr>
          </w:p>
        </w:tc>
        <w:tc>
          <w:tcPr>
            <w:tcW w:w="994" w:type="dxa"/>
            <w:tcBorders>
              <w:top w:val="outset" w:sz="6" w:space="0" w:color="414142"/>
              <w:left w:val="outset" w:sz="6" w:space="0" w:color="414142"/>
              <w:bottom w:val="outset" w:sz="6" w:space="0" w:color="414142"/>
              <w:right w:val="outset" w:sz="6" w:space="0" w:color="414142"/>
            </w:tcBorders>
            <w:shd w:val="clear" w:color="auto" w:fill="FFFFFF"/>
            <w:vAlign w:val="center"/>
          </w:tcPr>
          <w:p w14:paraId="4CAC314D" w14:textId="77777777" w:rsidR="00DA1FAD" w:rsidRDefault="001F5FF5">
            <w:pPr>
              <w:jc w:val="center"/>
            </w:pPr>
            <w:r>
              <w:t>0</w:t>
            </w:r>
          </w:p>
        </w:tc>
        <w:tc>
          <w:tcPr>
            <w:tcW w:w="972" w:type="dxa"/>
            <w:vMerge/>
            <w:tcBorders>
              <w:top w:val="outset" w:sz="6" w:space="0" w:color="414142"/>
              <w:left w:val="outset" w:sz="6" w:space="0" w:color="414142"/>
              <w:bottom w:val="outset" w:sz="6" w:space="0" w:color="414142"/>
              <w:right w:val="outset" w:sz="6" w:space="0" w:color="414142"/>
            </w:tcBorders>
            <w:shd w:val="clear" w:color="auto" w:fill="FFFFFF"/>
            <w:vAlign w:val="center"/>
          </w:tcPr>
          <w:p w14:paraId="04EC47AB" w14:textId="77777777" w:rsidR="00DA1FAD" w:rsidRDefault="00DA1FAD">
            <w:pPr>
              <w:jc w:val="center"/>
            </w:pPr>
          </w:p>
        </w:tc>
        <w:tc>
          <w:tcPr>
            <w:tcW w:w="1027" w:type="dxa"/>
            <w:tcBorders>
              <w:top w:val="outset" w:sz="6" w:space="0" w:color="414142"/>
              <w:left w:val="outset" w:sz="6" w:space="0" w:color="414142"/>
              <w:bottom w:val="outset" w:sz="6" w:space="0" w:color="414142"/>
              <w:right w:val="outset" w:sz="6" w:space="0" w:color="414142"/>
            </w:tcBorders>
            <w:shd w:val="clear" w:color="auto" w:fill="FFFFFF"/>
            <w:vAlign w:val="center"/>
          </w:tcPr>
          <w:p w14:paraId="778625C9" w14:textId="77777777" w:rsidR="00DA1FAD" w:rsidRDefault="001F5FF5">
            <w:pPr>
              <w:jc w:val="center"/>
            </w:pPr>
            <w:r>
              <w:t>0</w:t>
            </w:r>
          </w:p>
        </w:tc>
        <w:tc>
          <w:tcPr>
            <w:tcW w:w="1028" w:type="dxa"/>
            <w:tcBorders>
              <w:top w:val="outset" w:sz="6" w:space="0" w:color="414142"/>
              <w:left w:val="outset" w:sz="6" w:space="0" w:color="414142"/>
              <w:bottom w:val="outset" w:sz="6" w:space="0" w:color="414142"/>
              <w:right w:val="outset" w:sz="6" w:space="0" w:color="414142"/>
            </w:tcBorders>
            <w:shd w:val="clear" w:color="auto" w:fill="FFFFFF"/>
            <w:vAlign w:val="center"/>
          </w:tcPr>
          <w:p w14:paraId="706498D6" w14:textId="77777777" w:rsidR="00DA1FAD" w:rsidRDefault="001F5FF5">
            <w:pPr>
              <w:jc w:val="center"/>
            </w:pPr>
            <w:r>
              <w:t>0</w:t>
            </w:r>
          </w:p>
        </w:tc>
      </w:tr>
      <w:tr w:rsidR="001021F6" w14:paraId="102C4A94" w14:textId="77777777" w:rsidTr="006E04CB">
        <w:tc>
          <w:tcPr>
            <w:tcW w:w="1606" w:type="dxa"/>
            <w:tcBorders>
              <w:top w:val="outset" w:sz="6" w:space="0" w:color="414142"/>
              <w:left w:val="outset" w:sz="6" w:space="0" w:color="414142"/>
              <w:bottom w:val="outset" w:sz="6" w:space="0" w:color="414142"/>
              <w:right w:val="outset" w:sz="6" w:space="0" w:color="414142"/>
            </w:tcBorders>
            <w:shd w:val="clear" w:color="auto" w:fill="FFFFFF"/>
          </w:tcPr>
          <w:p w14:paraId="14722FE0" w14:textId="77777777" w:rsidR="00DA1FAD" w:rsidRDefault="001F5FF5">
            <w:r>
              <w:t>5.3. pašvaldību budžets</w:t>
            </w:r>
          </w:p>
        </w:tc>
        <w:tc>
          <w:tcPr>
            <w:tcW w:w="1356" w:type="dxa"/>
            <w:vMerge/>
            <w:tcBorders>
              <w:top w:val="outset" w:sz="6" w:space="0" w:color="414142"/>
              <w:left w:val="outset" w:sz="6" w:space="0" w:color="414142"/>
              <w:bottom w:val="outset" w:sz="6" w:space="0" w:color="414142"/>
              <w:right w:val="outset" w:sz="6" w:space="0" w:color="414142"/>
            </w:tcBorders>
            <w:shd w:val="clear" w:color="auto" w:fill="FFFFFF"/>
            <w:vAlign w:val="center"/>
          </w:tcPr>
          <w:p w14:paraId="7BA34FAE" w14:textId="77777777" w:rsidR="00DA1FAD" w:rsidRDefault="00DA1FAD">
            <w:pPr>
              <w:jc w:val="center"/>
            </w:pPr>
          </w:p>
        </w:tc>
        <w:tc>
          <w:tcPr>
            <w:tcW w:w="994" w:type="dxa"/>
            <w:tcBorders>
              <w:top w:val="outset" w:sz="6" w:space="0" w:color="414142"/>
              <w:left w:val="outset" w:sz="6" w:space="0" w:color="414142"/>
              <w:bottom w:val="outset" w:sz="6" w:space="0" w:color="414142"/>
              <w:right w:val="outset" w:sz="6" w:space="0" w:color="414142"/>
            </w:tcBorders>
            <w:shd w:val="clear" w:color="auto" w:fill="FFFFFF"/>
            <w:vAlign w:val="center"/>
          </w:tcPr>
          <w:p w14:paraId="4334C5F7" w14:textId="77777777" w:rsidR="00DA1FAD" w:rsidRDefault="001F5FF5">
            <w:pPr>
              <w:jc w:val="center"/>
            </w:pPr>
            <w:r>
              <w:t>0</w:t>
            </w:r>
          </w:p>
        </w:tc>
        <w:tc>
          <w:tcPr>
            <w:tcW w:w="1081" w:type="dxa"/>
            <w:vMerge/>
            <w:tcBorders>
              <w:top w:val="outset" w:sz="6" w:space="0" w:color="414142"/>
              <w:left w:val="outset" w:sz="6" w:space="0" w:color="414142"/>
              <w:bottom w:val="outset" w:sz="6" w:space="0" w:color="414142"/>
              <w:right w:val="outset" w:sz="6" w:space="0" w:color="414142"/>
            </w:tcBorders>
            <w:shd w:val="clear" w:color="auto" w:fill="FFFFFF"/>
            <w:vAlign w:val="center"/>
          </w:tcPr>
          <w:p w14:paraId="5A9B6307" w14:textId="77777777" w:rsidR="00DA1FAD" w:rsidRDefault="00DA1FAD">
            <w:pPr>
              <w:jc w:val="center"/>
            </w:pPr>
          </w:p>
        </w:tc>
        <w:tc>
          <w:tcPr>
            <w:tcW w:w="994" w:type="dxa"/>
            <w:tcBorders>
              <w:top w:val="outset" w:sz="6" w:space="0" w:color="414142"/>
              <w:left w:val="outset" w:sz="6" w:space="0" w:color="414142"/>
              <w:bottom w:val="outset" w:sz="6" w:space="0" w:color="414142"/>
              <w:right w:val="outset" w:sz="6" w:space="0" w:color="414142"/>
            </w:tcBorders>
            <w:shd w:val="clear" w:color="auto" w:fill="FFFFFF"/>
            <w:vAlign w:val="center"/>
          </w:tcPr>
          <w:p w14:paraId="1632FCA1" w14:textId="77777777" w:rsidR="00DA1FAD" w:rsidRDefault="001F5FF5">
            <w:pPr>
              <w:jc w:val="center"/>
            </w:pPr>
            <w:r>
              <w:t>0</w:t>
            </w:r>
          </w:p>
        </w:tc>
        <w:tc>
          <w:tcPr>
            <w:tcW w:w="972" w:type="dxa"/>
            <w:vMerge/>
            <w:tcBorders>
              <w:top w:val="outset" w:sz="6" w:space="0" w:color="414142"/>
              <w:left w:val="outset" w:sz="6" w:space="0" w:color="414142"/>
              <w:bottom w:val="outset" w:sz="6" w:space="0" w:color="414142"/>
              <w:right w:val="outset" w:sz="6" w:space="0" w:color="414142"/>
            </w:tcBorders>
            <w:shd w:val="clear" w:color="auto" w:fill="FFFFFF"/>
            <w:vAlign w:val="center"/>
          </w:tcPr>
          <w:p w14:paraId="3D127458" w14:textId="77777777" w:rsidR="00DA1FAD" w:rsidRDefault="00DA1FAD">
            <w:pPr>
              <w:jc w:val="center"/>
            </w:pPr>
          </w:p>
        </w:tc>
        <w:tc>
          <w:tcPr>
            <w:tcW w:w="1027" w:type="dxa"/>
            <w:tcBorders>
              <w:top w:val="outset" w:sz="6" w:space="0" w:color="414142"/>
              <w:left w:val="outset" w:sz="6" w:space="0" w:color="414142"/>
              <w:bottom w:val="outset" w:sz="6" w:space="0" w:color="414142"/>
              <w:right w:val="outset" w:sz="6" w:space="0" w:color="414142"/>
            </w:tcBorders>
            <w:shd w:val="clear" w:color="auto" w:fill="FFFFFF"/>
            <w:vAlign w:val="center"/>
          </w:tcPr>
          <w:p w14:paraId="0806353B" w14:textId="77777777" w:rsidR="00DA1FAD" w:rsidRDefault="001F5FF5">
            <w:pPr>
              <w:jc w:val="center"/>
            </w:pPr>
            <w:r>
              <w:t>0</w:t>
            </w:r>
          </w:p>
        </w:tc>
        <w:tc>
          <w:tcPr>
            <w:tcW w:w="1028" w:type="dxa"/>
            <w:tcBorders>
              <w:top w:val="outset" w:sz="6" w:space="0" w:color="414142"/>
              <w:left w:val="outset" w:sz="6" w:space="0" w:color="414142"/>
              <w:bottom w:val="outset" w:sz="6" w:space="0" w:color="414142"/>
              <w:right w:val="outset" w:sz="6" w:space="0" w:color="414142"/>
            </w:tcBorders>
            <w:shd w:val="clear" w:color="auto" w:fill="FFFFFF"/>
            <w:vAlign w:val="center"/>
          </w:tcPr>
          <w:p w14:paraId="7134C311" w14:textId="77777777" w:rsidR="00DA1FAD" w:rsidRDefault="001F5FF5">
            <w:pPr>
              <w:jc w:val="center"/>
            </w:pPr>
            <w:r>
              <w:t>0</w:t>
            </w:r>
          </w:p>
        </w:tc>
      </w:tr>
      <w:tr w:rsidR="00DA1FAD" w14:paraId="05F64162" w14:textId="77777777" w:rsidTr="006E04CB">
        <w:tc>
          <w:tcPr>
            <w:tcW w:w="1606" w:type="dxa"/>
            <w:tcBorders>
              <w:top w:val="outset" w:sz="6" w:space="0" w:color="414142"/>
              <w:left w:val="outset" w:sz="6" w:space="0" w:color="414142"/>
              <w:bottom w:val="outset" w:sz="6" w:space="0" w:color="414142"/>
              <w:right w:val="outset" w:sz="6" w:space="0" w:color="414142"/>
            </w:tcBorders>
            <w:shd w:val="clear" w:color="auto" w:fill="FFFFFF"/>
          </w:tcPr>
          <w:p w14:paraId="0E35DCB8" w14:textId="77777777" w:rsidR="00DA1FAD" w:rsidRDefault="001F5FF5">
            <w:r>
              <w:t>6. Detalizēts ieņēmumu un izdevumu aprēķins (ja nepieciešams, detalizētu ieņēmumu un izdevumu aprēķinu var pievienot anotācijas pielikumā)</w:t>
            </w:r>
          </w:p>
        </w:tc>
        <w:tc>
          <w:tcPr>
            <w:tcW w:w="7452" w:type="dxa"/>
            <w:gridSpan w:val="7"/>
            <w:vMerge w:val="restart"/>
            <w:tcBorders>
              <w:top w:val="outset" w:sz="6" w:space="0" w:color="414142"/>
              <w:left w:val="outset" w:sz="6" w:space="0" w:color="414142"/>
              <w:bottom w:val="outset" w:sz="6" w:space="0" w:color="414142"/>
              <w:right w:val="outset" w:sz="6" w:space="0" w:color="414142"/>
            </w:tcBorders>
            <w:shd w:val="clear" w:color="auto" w:fill="FFFFFF"/>
            <w:vAlign w:val="center"/>
          </w:tcPr>
          <w:p w14:paraId="43614739" w14:textId="77777777" w:rsidR="00DA1FAD" w:rsidRDefault="001F5FF5">
            <w:r>
              <w:t>Nav attiecināms</w:t>
            </w:r>
          </w:p>
        </w:tc>
      </w:tr>
      <w:tr w:rsidR="00DA1FAD" w14:paraId="1A781998" w14:textId="77777777" w:rsidTr="006E04CB">
        <w:tc>
          <w:tcPr>
            <w:tcW w:w="1606" w:type="dxa"/>
            <w:tcBorders>
              <w:top w:val="outset" w:sz="6" w:space="0" w:color="414142"/>
              <w:left w:val="outset" w:sz="6" w:space="0" w:color="414142"/>
              <w:bottom w:val="outset" w:sz="6" w:space="0" w:color="414142"/>
              <w:right w:val="outset" w:sz="6" w:space="0" w:color="414142"/>
            </w:tcBorders>
            <w:shd w:val="clear" w:color="auto" w:fill="FFFFFF"/>
          </w:tcPr>
          <w:p w14:paraId="533700C0" w14:textId="77777777" w:rsidR="00DA1FAD" w:rsidRDefault="001F5FF5">
            <w:r>
              <w:t>6.1. detalizēts ieņēmumu aprēķins</w:t>
            </w:r>
          </w:p>
        </w:tc>
        <w:tc>
          <w:tcPr>
            <w:tcW w:w="7452" w:type="dxa"/>
            <w:gridSpan w:val="7"/>
            <w:vMerge/>
            <w:tcBorders>
              <w:top w:val="outset" w:sz="6" w:space="0" w:color="414142"/>
              <w:left w:val="outset" w:sz="6" w:space="0" w:color="414142"/>
              <w:bottom w:val="outset" w:sz="6" w:space="0" w:color="414142"/>
              <w:right w:val="outset" w:sz="6" w:space="0" w:color="414142"/>
            </w:tcBorders>
            <w:shd w:val="clear" w:color="auto" w:fill="FFFFFF"/>
            <w:vAlign w:val="center"/>
          </w:tcPr>
          <w:p w14:paraId="0024AFC7" w14:textId="77777777" w:rsidR="00DA1FAD" w:rsidRDefault="00DA1FAD"/>
        </w:tc>
      </w:tr>
      <w:tr w:rsidR="00DA1FAD" w14:paraId="7AAD40E0" w14:textId="77777777" w:rsidTr="006E04CB">
        <w:trPr>
          <w:trHeight w:val="488"/>
        </w:trPr>
        <w:tc>
          <w:tcPr>
            <w:tcW w:w="1606" w:type="dxa"/>
            <w:tcBorders>
              <w:top w:val="outset" w:sz="6" w:space="0" w:color="414142"/>
              <w:left w:val="outset" w:sz="6" w:space="0" w:color="414142"/>
              <w:bottom w:val="outset" w:sz="6" w:space="0" w:color="414142"/>
              <w:right w:val="outset" w:sz="6" w:space="0" w:color="414142"/>
            </w:tcBorders>
            <w:shd w:val="clear" w:color="auto" w:fill="FFFFFF"/>
          </w:tcPr>
          <w:p w14:paraId="0C7AADD2" w14:textId="77777777" w:rsidR="00DA1FAD" w:rsidRDefault="001F5FF5">
            <w:r>
              <w:t>6.2. detalizēts izdevumu aprēķins</w:t>
            </w:r>
          </w:p>
        </w:tc>
        <w:tc>
          <w:tcPr>
            <w:tcW w:w="7452" w:type="dxa"/>
            <w:gridSpan w:val="7"/>
            <w:vMerge/>
            <w:tcBorders>
              <w:top w:val="outset" w:sz="6" w:space="0" w:color="414142"/>
              <w:left w:val="outset" w:sz="6" w:space="0" w:color="414142"/>
              <w:bottom w:val="outset" w:sz="6" w:space="0" w:color="414142"/>
              <w:right w:val="outset" w:sz="6" w:space="0" w:color="414142"/>
            </w:tcBorders>
            <w:shd w:val="clear" w:color="auto" w:fill="FFFFFF"/>
            <w:vAlign w:val="center"/>
          </w:tcPr>
          <w:p w14:paraId="596B0BB7" w14:textId="77777777" w:rsidR="00DA1FAD" w:rsidRDefault="00DA1FAD"/>
        </w:tc>
      </w:tr>
      <w:tr w:rsidR="00DA1FAD" w14:paraId="4C75B0A9" w14:textId="77777777" w:rsidTr="006E04CB">
        <w:tc>
          <w:tcPr>
            <w:tcW w:w="1606" w:type="dxa"/>
            <w:tcBorders>
              <w:top w:val="outset" w:sz="6" w:space="0" w:color="414142"/>
              <w:left w:val="outset" w:sz="6" w:space="0" w:color="414142"/>
              <w:bottom w:val="outset" w:sz="6" w:space="0" w:color="414142"/>
              <w:right w:val="outset" w:sz="6" w:space="0" w:color="414142"/>
            </w:tcBorders>
            <w:shd w:val="clear" w:color="auto" w:fill="FFFFFF"/>
          </w:tcPr>
          <w:p w14:paraId="639EDC24" w14:textId="77777777" w:rsidR="00DA1FAD" w:rsidRDefault="001F5FF5">
            <w:r>
              <w:t>7. Amata vietu skaita izmaiņas</w:t>
            </w:r>
          </w:p>
        </w:tc>
        <w:tc>
          <w:tcPr>
            <w:tcW w:w="7452" w:type="dxa"/>
            <w:gridSpan w:val="7"/>
            <w:tcBorders>
              <w:top w:val="outset" w:sz="6" w:space="0" w:color="414142"/>
              <w:left w:val="outset" w:sz="6" w:space="0" w:color="414142"/>
              <w:bottom w:val="outset" w:sz="6" w:space="0" w:color="414142"/>
              <w:right w:val="outset" w:sz="6" w:space="0" w:color="414142"/>
            </w:tcBorders>
            <w:shd w:val="clear" w:color="auto" w:fill="FFFFFF"/>
          </w:tcPr>
          <w:p w14:paraId="60703A33" w14:textId="77777777" w:rsidR="00DA1FAD" w:rsidRDefault="001F5FF5">
            <w:r>
              <w:t>Nav</w:t>
            </w:r>
          </w:p>
        </w:tc>
      </w:tr>
      <w:tr w:rsidR="00DA1FAD" w14:paraId="203784D5" w14:textId="77777777" w:rsidTr="006E04CB">
        <w:tc>
          <w:tcPr>
            <w:tcW w:w="1606" w:type="dxa"/>
            <w:tcBorders>
              <w:top w:val="outset" w:sz="6" w:space="0" w:color="414142"/>
              <w:left w:val="outset" w:sz="6" w:space="0" w:color="414142"/>
              <w:bottom w:val="outset" w:sz="6" w:space="0" w:color="414142"/>
              <w:right w:val="outset" w:sz="6" w:space="0" w:color="414142"/>
            </w:tcBorders>
            <w:shd w:val="clear" w:color="auto" w:fill="FFFFFF"/>
          </w:tcPr>
          <w:p w14:paraId="5A072014" w14:textId="77777777" w:rsidR="00DA1FAD" w:rsidRDefault="001F5FF5">
            <w:r>
              <w:t>8. Cita informācija</w:t>
            </w:r>
          </w:p>
        </w:tc>
        <w:tc>
          <w:tcPr>
            <w:tcW w:w="7452" w:type="dxa"/>
            <w:gridSpan w:val="7"/>
            <w:tcBorders>
              <w:top w:val="outset" w:sz="6" w:space="0" w:color="414142"/>
              <w:left w:val="outset" w:sz="6" w:space="0" w:color="414142"/>
              <w:bottom w:val="outset" w:sz="6" w:space="0" w:color="414142"/>
              <w:right w:val="outset" w:sz="6" w:space="0" w:color="414142"/>
            </w:tcBorders>
            <w:shd w:val="clear" w:color="auto" w:fill="FFFFFF"/>
          </w:tcPr>
          <w:p w14:paraId="5E66938E" w14:textId="41D9C878" w:rsidR="00DA1FAD" w:rsidRDefault="00D52C57">
            <w:r>
              <w:t>Nav</w:t>
            </w:r>
          </w:p>
        </w:tc>
      </w:tr>
    </w:tbl>
    <w:p w14:paraId="0CEF957B" w14:textId="77777777" w:rsidR="00DA1FAD" w:rsidRDefault="00DA1FAD"/>
    <w:tbl>
      <w:tblPr>
        <w:tblStyle w:val="TableGrid"/>
        <w:tblW w:w="9067" w:type="dxa"/>
        <w:tblLook w:val="04A0" w:firstRow="1" w:lastRow="0" w:firstColumn="1" w:lastColumn="0" w:noHBand="0" w:noVBand="1"/>
      </w:tblPr>
      <w:tblGrid>
        <w:gridCol w:w="9067"/>
      </w:tblGrid>
      <w:tr w:rsidR="00DA1FAD" w14:paraId="496003FF" w14:textId="77777777">
        <w:trPr>
          <w:trHeight w:val="273"/>
        </w:trPr>
        <w:tc>
          <w:tcPr>
            <w:tcW w:w="9067" w:type="dxa"/>
            <w:shd w:val="clear" w:color="auto" w:fill="auto"/>
          </w:tcPr>
          <w:p w14:paraId="5E4648B4" w14:textId="77777777" w:rsidR="00DA1FAD" w:rsidRDefault="001F5FF5">
            <w:pPr>
              <w:jc w:val="center"/>
              <w:rPr>
                <w:b/>
              </w:rPr>
            </w:pPr>
            <w:r>
              <w:rPr>
                <w:b/>
              </w:rPr>
              <w:t>IV. Tiesību akta projekta ietekme uz spēkā esošo tiesību normu sistēmu</w:t>
            </w:r>
          </w:p>
        </w:tc>
      </w:tr>
      <w:tr w:rsidR="00DA1FAD" w14:paraId="4CDEC268" w14:textId="77777777">
        <w:trPr>
          <w:trHeight w:val="273"/>
        </w:trPr>
        <w:tc>
          <w:tcPr>
            <w:tcW w:w="9067" w:type="dxa"/>
            <w:shd w:val="clear" w:color="auto" w:fill="auto"/>
          </w:tcPr>
          <w:p w14:paraId="038628FA" w14:textId="77777777" w:rsidR="00DA1FAD" w:rsidRDefault="001F5FF5">
            <w:pPr>
              <w:jc w:val="center"/>
            </w:pPr>
            <w:r>
              <w:t>Projekts šo jomu neskar</w:t>
            </w:r>
          </w:p>
        </w:tc>
      </w:tr>
    </w:tbl>
    <w:p w14:paraId="18D4E37B" w14:textId="77777777" w:rsidR="00DA1FAD" w:rsidRDefault="00DA1FAD"/>
    <w:tbl>
      <w:tblPr>
        <w:tblStyle w:val="TableGrid"/>
        <w:tblW w:w="9067" w:type="dxa"/>
        <w:tblLook w:val="04A0" w:firstRow="1" w:lastRow="0" w:firstColumn="1" w:lastColumn="0" w:noHBand="0" w:noVBand="1"/>
      </w:tblPr>
      <w:tblGrid>
        <w:gridCol w:w="9067"/>
      </w:tblGrid>
      <w:tr w:rsidR="00DA1FAD" w14:paraId="1B8D72AF" w14:textId="77777777">
        <w:trPr>
          <w:trHeight w:val="273"/>
        </w:trPr>
        <w:tc>
          <w:tcPr>
            <w:tcW w:w="9067" w:type="dxa"/>
            <w:shd w:val="clear" w:color="auto" w:fill="auto"/>
          </w:tcPr>
          <w:p w14:paraId="3A27950A" w14:textId="77777777" w:rsidR="00DA1FAD" w:rsidRDefault="001F5FF5">
            <w:pPr>
              <w:jc w:val="center"/>
              <w:rPr>
                <w:b/>
              </w:rPr>
            </w:pPr>
            <w:r>
              <w:rPr>
                <w:b/>
              </w:rPr>
              <w:t>V. Tiesību akta projekta atbilstība Latvijas Republikas starptautiskajām saistībām</w:t>
            </w:r>
          </w:p>
        </w:tc>
      </w:tr>
      <w:tr w:rsidR="00DA1FAD" w14:paraId="5C01063F" w14:textId="77777777">
        <w:trPr>
          <w:trHeight w:val="273"/>
        </w:trPr>
        <w:tc>
          <w:tcPr>
            <w:tcW w:w="9067" w:type="dxa"/>
            <w:shd w:val="clear" w:color="auto" w:fill="auto"/>
          </w:tcPr>
          <w:p w14:paraId="1C755315" w14:textId="77777777" w:rsidR="00DA1FAD" w:rsidRDefault="001F5FF5">
            <w:pPr>
              <w:jc w:val="center"/>
            </w:pPr>
            <w:r>
              <w:t>Projekts šo jomu neskar</w:t>
            </w:r>
          </w:p>
        </w:tc>
      </w:tr>
    </w:tbl>
    <w:p w14:paraId="2E5992E1" w14:textId="77777777" w:rsidR="00DA1FAD" w:rsidRDefault="00DA1FAD"/>
    <w:tbl>
      <w:tblPr>
        <w:tblStyle w:val="TableGrid"/>
        <w:tblW w:w="9067" w:type="dxa"/>
        <w:tblLook w:val="04A0" w:firstRow="1" w:lastRow="0" w:firstColumn="1" w:lastColumn="0" w:noHBand="0" w:noVBand="1"/>
      </w:tblPr>
      <w:tblGrid>
        <w:gridCol w:w="9067"/>
      </w:tblGrid>
      <w:tr w:rsidR="00DA1FAD" w14:paraId="52FA04C1" w14:textId="77777777">
        <w:trPr>
          <w:trHeight w:val="273"/>
        </w:trPr>
        <w:tc>
          <w:tcPr>
            <w:tcW w:w="9067" w:type="dxa"/>
            <w:shd w:val="clear" w:color="auto" w:fill="auto"/>
          </w:tcPr>
          <w:p w14:paraId="3D647C1C" w14:textId="77777777" w:rsidR="00DA1FAD" w:rsidRDefault="001F5FF5">
            <w:pPr>
              <w:jc w:val="center"/>
              <w:rPr>
                <w:b/>
              </w:rPr>
            </w:pPr>
            <w:r>
              <w:rPr>
                <w:b/>
              </w:rPr>
              <w:t>VI. Sabiedrības līdzdalība un komunikācijas aktivitātes</w:t>
            </w:r>
          </w:p>
        </w:tc>
      </w:tr>
      <w:tr w:rsidR="00DA1FAD" w14:paraId="64785054" w14:textId="77777777">
        <w:trPr>
          <w:trHeight w:val="273"/>
        </w:trPr>
        <w:tc>
          <w:tcPr>
            <w:tcW w:w="9067" w:type="dxa"/>
            <w:shd w:val="clear" w:color="auto" w:fill="auto"/>
          </w:tcPr>
          <w:p w14:paraId="5C953DFF" w14:textId="77777777" w:rsidR="00DA1FAD" w:rsidRDefault="001F5FF5">
            <w:pPr>
              <w:jc w:val="center"/>
            </w:pPr>
            <w:r>
              <w:t>Projekts šo jomu neskar</w:t>
            </w:r>
          </w:p>
        </w:tc>
      </w:tr>
    </w:tbl>
    <w:p w14:paraId="76AE878B" w14:textId="77777777" w:rsidR="00DA1FAD" w:rsidRDefault="00DA1FAD"/>
    <w:tbl>
      <w:tblPr>
        <w:tblW w:w="9072" w:type="dxa"/>
        <w:tblInd w:w="-5" w:type="dxa"/>
        <w:tblCellMar>
          <w:top w:w="28" w:type="dxa"/>
          <w:left w:w="28" w:type="dxa"/>
          <w:bottom w:w="28" w:type="dxa"/>
          <w:right w:w="28" w:type="dxa"/>
        </w:tblCellMar>
        <w:tblLook w:val="0000" w:firstRow="0" w:lastRow="0" w:firstColumn="0" w:lastColumn="0" w:noHBand="0" w:noVBand="0"/>
      </w:tblPr>
      <w:tblGrid>
        <w:gridCol w:w="425"/>
        <w:gridCol w:w="3969"/>
        <w:gridCol w:w="4678"/>
      </w:tblGrid>
      <w:tr w:rsidR="00DA1FAD" w14:paraId="3EE738FA" w14:textId="77777777">
        <w:tc>
          <w:tcPr>
            <w:tcW w:w="9072" w:type="dxa"/>
            <w:gridSpan w:val="3"/>
            <w:tcBorders>
              <w:top w:val="single" w:sz="4" w:space="0" w:color="000000"/>
              <w:left w:val="single" w:sz="4" w:space="0" w:color="000000"/>
              <w:bottom w:val="single" w:sz="4" w:space="0" w:color="000000"/>
              <w:right w:val="single" w:sz="4" w:space="0" w:color="000000"/>
            </w:tcBorders>
            <w:shd w:val="clear" w:color="auto" w:fill="auto"/>
          </w:tcPr>
          <w:p w14:paraId="2092E851" w14:textId="77777777" w:rsidR="00DA1FAD" w:rsidRDefault="001F5FF5">
            <w:pPr>
              <w:spacing w:before="120"/>
              <w:ind w:left="-142" w:right="57"/>
              <w:jc w:val="center"/>
              <w:rPr>
                <w:b/>
                <w:bCs/>
              </w:rPr>
            </w:pPr>
            <w:r>
              <w:rPr>
                <w:b/>
                <w:bCs/>
              </w:rPr>
              <w:t>VII. Tiesību akta projekta izpildes nodrošināšana un tās ietekme uz institūcijām</w:t>
            </w:r>
          </w:p>
        </w:tc>
      </w:tr>
      <w:tr w:rsidR="00DA1FAD" w14:paraId="670A284D" w14:textId="77777777">
        <w:trPr>
          <w:trHeight w:val="427"/>
        </w:trPr>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4781A896" w14:textId="77777777" w:rsidR="00DA1FAD" w:rsidRDefault="001F5FF5">
            <w:pPr>
              <w:tabs>
                <w:tab w:val="left" w:pos="546"/>
              </w:tabs>
              <w:spacing w:before="120"/>
              <w:ind w:right="3"/>
              <w:rPr>
                <w:bCs/>
              </w:rPr>
            </w:pPr>
            <w:r>
              <w:rPr>
                <w:bCs/>
              </w:rPr>
              <w:t>1.</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14:paraId="542D4D32" w14:textId="77777777" w:rsidR="00DA1FAD" w:rsidRDefault="001F5FF5">
            <w:pPr>
              <w:spacing w:before="120"/>
              <w:ind w:left="80" w:right="57"/>
            </w:pPr>
            <w:r>
              <w:t xml:space="preserve">Projekta izpildē iesaistītās institūcijas </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14:paraId="68F754AC" w14:textId="76628BAE" w:rsidR="00DA1FAD" w:rsidRDefault="001F5FF5">
            <w:pPr>
              <w:jc w:val="both"/>
            </w:pPr>
            <w:r>
              <w:t>Ekonomikas ministrija,</w:t>
            </w:r>
          </w:p>
          <w:p w14:paraId="73783EB2" w14:textId="77777777" w:rsidR="00DA1FAD" w:rsidRDefault="001F5FF5">
            <w:pPr>
              <w:jc w:val="both"/>
            </w:pPr>
            <w:r>
              <w:t>kapitālsabiedrība</w:t>
            </w:r>
          </w:p>
        </w:tc>
      </w:tr>
      <w:tr w:rsidR="00DA1FAD" w14:paraId="5CFAE975" w14:textId="77777777">
        <w:trPr>
          <w:trHeight w:val="463"/>
        </w:trPr>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0BB8F2B5" w14:textId="77777777" w:rsidR="00DA1FAD" w:rsidRDefault="001F5FF5">
            <w:pPr>
              <w:tabs>
                <w:tab w:val="left" w:pos="546"/>
              </w:tabs>
              <w:spacing w:before="120"/>
              <w:ind w:right="3"/>
            </w:pPr>
            <w:r>
              <w:t>2.</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14:paraId="5143D056" w14:textId="77777777" w:rsidR="00DA1FAD" w:rsidRDefault="001F5FF5">
            <w:pPr>
              <w:ind w:left="80"/>
            </w:pPr>
            <w:r>
              <w:t xml:space="preserve">Projekta izpildes ietekme uz pārvaldes funkcijām un institucionālo struktūru. </w:t>
            </w:r>
          </w:p>
          <w:p w14:paraId="319C5121" w14:textId="77777777" w:rsidR="00DA1FAD" w:rsidRDefault="001F5FF5">
            <w:pPr>
              <w:spacing w:beforeAutospacing="1"/>
              <w:ind w:left="80"/>
            </w:pPr>
            <w:r>
              <w:t>Jaunu institūciju izveide, esošu institūciju likvidācija vai reorganizācija, to ietekme uz institūcijas cilvēkresursiem</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14:paraId="54E12951" w14:textId="77777777" w:rsidR="00DA1FAD" w:rsidRDefault="001F5FF5">
            <w:pPr>
              <w:spacing w:before="120"/>
              <w:ind w:right="57"/>
              <w:jc w:val="both"/>
              <w:rPr>
                <w:bCs/>
              </w:rPr>
            </w:pPr>
            <w:r>
              <w:rPr>
                <w:bCs/>
                <w:iCs/>
              </w:rPr>
              <w:t>Nav attiecināms</w:t>
            </w:r>
          </w:p>
        </w:tc>
      </w:tr>
      <w:tr w:rsidR="00DA1FAD" w14:paraId="410127A3" w14:textId="77777777">
        <w:trPr>
          <w:trHeight w:val="476"/>
        </w:trPr>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20DB0FF6" w14:textId="77777777" w:rsidR="00DA1FAD" w:rsidRDefault="001F5FF5">
            <w:pPr>
              <w:spacing w:before="120"/>
              <w:ind w:left="57" w:right="57"/>
            </w:pPr>
            <w:r>
              <w:lastRenderedPageBreak/>
              <w:t>3.</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14:paraId="0F001DC5" w14:textId="77777777" w:rsidR="00DA1FAD" w:rsidRDefault="001F5FF5">
            <w:pPr>
              <w:spacing w:before="120"/>
              <w:ind w:left="57" w:right="57"/>
            </w:pPr>
            <w:r>
              <w:t>Cita informācija</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14:paraId="1282DA66" w14:textId="77777777" w:rsidR="00DA1FAD" w:rsidRDefault="001F5FF5">
            <w:pPr>
              <w:spacing w:before="120"/>
              <w:ind w:left="57" w:right="57"/>
            </w:pPr>
            <w:r>
              <w:t>Nav</w:t>
            </w:r>
          </w:p>
        </w:tc>
      </w:tr>
    </w:tbl>
    <w:p w14:paraId="645A74F9" w14:textId="77777777" w:rsidR="00DA1FAD" w:rsidRDefault="00DA1FAD">
      <w:pPr>
        <w:rPr>
          <w:b/>
        </w:rPr>
      </w:pPr>
    </w:p>
    <w:p w14:paraId="7D466FB6" w14:textId="77777777" w:rsidR="00DA1FAD" w:rsidRDefault="001F5FF5">
      <w:pPr>
        <w:rPr>
          <w:b/>
          <w:bCs/>
        </w:rPr>
      </w:pPr>
      <w:r>
        <w:rPr>
          <w:b/>
          <w:bCs/>
        </w:rPr>
        <w:t>Ekonomikas ministrs</w:t>
      </w:r>
      <w:r>
        <w:rPr>
          <w:b/>
          <w:bCs/>
        </w:rPr>
        <w:tab/>
      </w:r>
      <w:r>
        <w:rPr>
          <w:b/>
          <w:bCs/>
        </w:rPr>
        <w:tab/>
      </w:r>
      <w:r>
        <w:rPr>
          <w:b/>
          <w:bCs/>
        </w:rPr>
        <w:tab/>
      </w:r>
      <w:r>
        <w:rPr>
          <w:b/>
          <w:bCs/>
        </w:rPr>
        <w:tab/>
      </w:r>
      <w:r>
        <w:rPr>
          <w:b/>
          <w:bCs/>
        </w:rPr>
        <w:tab/>
      </w:r>
      <w:r>
        <w:rPr>
          <w:b/>
          <w:bCs/>
        </w:rPr>
        <w:tab/>
      </w:r>
      <w:r>
        <w:rPr>
          <w:b/>
          <w:bCs/>
        </w:rPr>
        <w:tab/>
      </w:r>
      <w:r>
        <w:rPr>
          <w:b/>
          <w:bCs/>
        </w:rPr>
        <w:tab/>
        <w:t xml:space="preserve">R. Nemiro </w:t>
      </w:r>
    </w:p>
    <w:p w14:paraId="1238919B" w14:textId="77777777" w:rsidR="00DA1FAD" w:rsidRDefault="00DA1FAD">
      <w:pPr>
        <w:rPr>
          <w:b/>
          <w:bCs/>
        </w:rPr>
      </w:pPr>
    </w:p>
    <w:p w14:paraId="1F369DC9" w14:textId="77777777" w:rsidR="00DA1FAD" w:rsidRDefault="001F5FF5">
      <w:pPr>
        <w:jc w:val="both"/>
        <w:rPr>
          <w:b/>
          <w:bCs/>
        </w:rPr>
      </w:pPr>
      <w:r>
        <w:rPr>
          <w:b/>
          <w:bCs/>
        </w:rPr>
        <w:t>Valsts sekretārs</w:t>
      </w:r>
      <w:r>
        <w:rPr>
          <w:b/>
          <w:bCs/>
        </w:rPr>
        <w:tab/>
      </w:r>
      <w:r>
        <w:rPr>
          <w:b/>
          <w:bCs/>
        </w:rPr>
        <w:tab/>
      </w:r>
      <w:r>
        <w:rPr>
          <w:b/>
          <w:bCs/>
        </w:rPr>
        <w:tab/>
      </w:r>
      <w:r>
        <w:rPr>
          <w:b/>
          <w:bCs/>
        </w:rPr>
        <w:tab/>
      </w:r>
      <w:r>
        <w:rPr>
          <w:b/>
          <w:bCs/>
        </w:rPr>
        <w:tab/>
      </w:r>
      <w:r>
        <w:rPr>
          <w:b/>
          <w:bCs/>
        </w:rPr>
        <w:tab/>
      </w:r>
      <w:r>
        <w:rPr>
          <w:b/>
          <w:bCs/>
        </w:rPr>
        <w:tab/>
      </w:r>
      <w:r>
        <w:rPr>
          <w:b/>
          <w:bCs/>
        </w:rPr>
        <w:tab/>
      </w:r>
      <w:r>
        <w:rPr>
          <w:b/>
          <w:bCs/>
        </w:rPr>
        <w:tab/>
        <w:t>Ē. Eglītis</w:t>
      </w:r>
    </w:p>
    <w:p w14:paraId="0D4FDD86" w14:textId="77777777" w:rsidR="00DA1FAD" w:rsidRDefault="00DA1FAD">
      <w:pPr>
        <w:spacing w:before="180"/>
        <w:jc w:val="both"/>
        <w:rPr>
          <w:b/>
          <w:bCs/>
        </w:rPr>
      </w:pPr>
    </w:p>
    <w:p w14:paraId="1EC2D1A4" w14:textId="77777777" w:rsidR="00DA1FAD" w:rsidRDefault="00DA1FAD">
      <w:pPr>
        <w:spacing w:before="180"/>
        <w:jc w:val="both"/>
        <w:rPr>
          <w:sz w:val="26"/>
          <w:szCs w:val="26"/>
        </w:rPr>
      </w:pPr>
    </w:p>
    <w:p w14:paraId="32F1328E" w14:textId="77777777" w:rsidR="00DA1FAD" w:rsidRDefault="00DA1FAD">
      <w:pPr>
        <w:spacing w:before="180"/>
        <w:jc w:val="both"/>
        <w:rPr>
          <w:sz w:val="18"/>
          <w:szCs w:val="20"/>
        </w:rPr>
      </w:pPr>
    </w:p>
    <w:p w14:paraId="6A2D5158" w14:textId="77777777" w:rsidR="00DA1FAD" w:rsidRDefault="001F5FF5">
      <w:pPr>
        <w:spacing w:before="180"/>
        <w:jc w:val="both"/>
        <w:rPr>
          <w:sz w:val="18"/>
          <w:szCs w:val="20"/>
        </w:rPr>
      </w:pPr>
      <w:r>
        <w:rPr>
          <w:sz w:val="18"/>
          <w:szCs w:val="20"/>
        </w:rPr>
        <w:t>Freibergs N., 67013286</w:t>
      </w:r>
    </w:p>
    <w:p w14:paraId="67967C0D" w14:textId="77777777" w:rsidR="00DA1FAD" w:rsidRDefault="001F5FF5">
      <w:pPr>
        <w:jc w:val="both"/>
      </w:pPr>
      <w:r>
        <w:rPr>
          <w:rStyle w:val="InternetLink"/>
          <w:color w:val="000000" w:themeColor="text1"/>
          <w:sz w:val="18"/>
          <w:szCs w:val="20"/>
          <w:u w:val="none"/>
        </w:rPr>
        <w:t>Normunds.Freibergs@em.gov.lv</w:t>
      </w:r>
    </w:p>
    <w:sectPr w:rsidR="00DA1FAD">
      <w:headerReference w:type="default" r:id="rId8"/>
      <w:footerReference w:type="default" r:id="rId9"/>
      <w:footerReference w:type="first" r:id="rId10"/>
      <w:pgSz w:w="11906" w:h="16838"/>
      <w:pgMar w:top="1134" w:right="851" w:bottom="1134" w:left="1701" w:header="709" w:footer="646"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90422A" w14:textId="77777777" w:rsidR="00A76DD9" w:rsidRDefault="001F5FF5">
      <w:r>
        <w:separator/>
      </w:r>
    </w:p>
  </w:endnote>
  <w:endnote w:type="continuationSeparator" w:id="0">
    <w:p w14:paraId="4B017FE5" w14:textId="77777777" w:rsidR="00A76DD9" w:rsidRDefault="001F5F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Liberation Serif">
    <w:altName w:val="Times New Roman"/>
    <w:charset w:val="01"/>
    <w:family w:val="roman"/>
    <w:pitch w:val="variable"/>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Liberation Sans">
    <w:altName w:val="Arial"/>
    <w:charset w:val="01"/>
    <w:family w:val="roman"/>
    <w:pitch w:val="variable"/>
  </w:font>
  <w:font w:name="PingFang SC">
    <w:panose1 w:val="00000000000000000000"/>
    <w:charset w:val="00"/>
    <w:family w:val="roman"/>
    <w:notTrueType/>
    <w:pitch w:val="default"/>
  </w:font>
  <w:font w:name="Arial Unicode MS">
    <w:altName w:val="Yu Gothic"/>
    <w:panose1 w:val="020B0604020202020204"/>
    <w:charset w:val="80"/>
    <w:family w:val="swiss"/>
    <w:pitch w:val="variable"/>
    <w:sig w:usb0="F7FFAFFF" w:usb1="E9DFFFFF" w:usb2="0000003F" w:usb3="00000000" w:csb0="003F01FF" w:csb1="00000000"/>
  </w:font>
  <w:font w:name="Verdana">
    <w:panose1 w:val="020B0604030504040204"/>
    <w:charset w:val="BA"/>
    <w:family w:val="swiss"/>
    <w:pitch w:val="variable"/>
    <w:sig w:usb0="A00006FF" w:usb1="4000205B" w:usb2="00000010" w:usb3="00000000" w:csb0="0000019F" w:csb1="00000000"/>
  </w:font>
  <w:font w:name="EUAlbertina">
    <w:altName w:val="Cambria"/>
    <w:panose1 w:val="00000000000000000000"/>
    <w:charset w:val="00"/>
    <w:family w:val="roman"/>
    <w:notTrueType/>
    <w:pitch w:val="default"/>
    <w:sig w:usb0="00000003" w:usb1="00000000" w:usb2="00000000" w:usb3="00000000" w:csb0="00000001" w:csb1="00000000"/>
  </w:font>
  <w:font w:name="Calibri">
    <w:panose1 w:val="020F0502020204030204"/>
    <w:charset w:val="BA"/>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36E8A2" w14:textId="5B36322A" w:rsidR="00DA1FAD" w:rsidRDefault="001F5FF5">
    <w:pPr>
      <w:tabs>
        <w:tab w:val="center" w:pos="4513"/>
        <w:tab w:val="right" w:pos="9026"/>
      </w:tabs>
      <w:jc w:val="both"/>
      <w:rPr>
        <w:bCs/>
        <w:sz w:val="20"/>
        <w:szCs w:val="20"/>
      </w:rPr>
    </w:pPr>
    <w:r>
      <w:rPr>
        <w:sz w:val="20"/>
        <w:szCs w:val="20"/>
      </w:rPr>
      <w:t>EMAnot_</w:t>
    </w:r>
    <w:r w:rsidR="00100EE9">
      <w:rPr>
        <w:sz w:val="20"/>
        <w:szCs w:val="20"/>
      </w:rPr>
      <w:t>13</w:t>
    </w:r>
    <w:r w:rsidR="00F24BC3">
      <w:rPr>
        <w:sz w:val="20"/>
        <w:szCs w:val="20"/>
      </w:rPr>
      <w:t>0120</w:t>
    </w:r>
    <w:r>
      <w:rPr>
        <w:sz w:val="20"/>
        <w:szCs w:val="20"/>
      </w:rPr>
      <w:t>_LSdividendes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6C4F9F" w14:textId="6E8CE3F6" w:rsidR="00DA1FAD" w:rsidRDefault="001F5FF5">
    <w:pPr>
      <w:tabs>
        <w:tab w:val="center" w:pos="4513"/>
        <w:tab w:val="right" w:pos="9026"/>
      </w:tabs>
      <w:jc w:val="both"/>
      <w:rPr>
        <w:bCs/>
        <w:sz w:val="20"/>
        <w:szCs w:val="20"/>
      </w:rPr>
    </w:pPr>
    <w:r>
      <w:rPr>
        <w:sz w:val="20"/>
        <w:szCs w:val="20"/>
      </w:rPr>
      <w:t>EMAnot_</w:t>
    </w:r>
    <w:r w:rsidR="00100EE9">
      <w:rPr>
        <w:sz w:val="20"/>
        <w:szCs w:val="20"/>
      </w:rPr>
      <w:t>13</w:t>
    </w:r>
    <w:r w:rsidR="00F24BC3">
      <w:rPr>
        <w:sz w:val="20"/>
        <w:szCs w:val="20"/>
      </w:rPr>
      <w:t>0120</w:t>
    </w:r>
    <w:r>
      <w:rPr>
        <w:sz w:val="20"/>
        <w:szCs w:val="20"/>
      </w:rPr>
      <w:t>_LSdividendes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21EBD2" w14:textId="77777777" w:rsidR="00A76DD9" w:rsidRDefault="001F5FF5">
      <w:r>
        <w:separator/>
      </w:r>
    </w:p>
  </w:footnote>
  <w:footnote w:type="continuationSeparator" w:id="0">
    <w:p w14:paraId="706A33D6" w14:textId="77777777" w:rsidR="00A76DD9" w:rsidRDefault="001F5F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010066" w14:textId="77777777" w:rsidR="00DA1FAD" w:rsidRDefault="001F5FF5">
    <w:pPr>
      <w:pStyle w:val="Header"/>
    </w:pPr>
    <w:r>
      <w:rPr>
        <w:noProof/>
      </w:rPr>
      <mc:AlternateContent>
        <mc:Choice Requires="wps">
          <w:drawing>
            <wp:anchor distT="0" distB="0" distL="0" distR="0" simplePos="0" relativeHeight="5" behindDoc="0" locked="0" layoutInCell="1" allowOverlap="1" wp14:anchorId="309A328E" wp14:editId="26923D31">
              <wp:simplePos x="0" y="0"/>
              <wp:positionH relativeFrom="margin">
                <wp:align>center</wp:align>
              </wp:positionH>
              <wp:positionV relativeFrom="paragraph">
                <wp:posOffset>635</wp:posOffset>
              </wp:positionV>
              <wp:extent cx="76835" cy="175260"/>
              <wp:effectExtent l="0" t="0" r="0" b="0"/>
              <wp:wrapSquare wrapText="largest"/>
              <wp:docPr id="1" name="Frame1"/>
              <wp:cNvGraphicFramePr/>
              <a:graphic xmlns:a="http://schemas.openxmlformats.org/drawingml/2006/main">
                <a:graphicData uri="http://schemas.microsoft.com/office/word/2010/wordprocessingShape">
                  <wps:wsp>
                    <wps:cNvSpPr txBox="1"/>
                    <wps:spPr>
                      <a:xfrm>
                        <a:off x="0" y="0"/>
                        <a:ext cx="76835" cy="175260"/>
                      </a:xfrm>
                      <a:prstGeom prst="rect">
                        <a:avLst/>
                      </a:prstGeom>
                      <a:solidFill>
                        <a:srgbClr val="FFFFFF">
                          <a:alpha val="0"/>
                        </a:srgbClr>
                      </a:solidFill>
                    </wps:spPr>
                    <wps:txbx>
                      <w:txbxContent>
                        <w:p w14:paraId="53423ED7" w14:textId="77777777" w:rsidR="00DA1FAD" w:rsidRDefault="001F5FF5">
                          <w:pPr>
                            <w:pStyle w:val="Header"/>
                          </w:pPr>
                          <w:r>
                            <w:rPr>
                              <w:rStyle w:val="PageNumber"/>
                            </w:rPr>
                            <w:fldChar w:fldCharType="begin"/>
                          </w:r>
                          <w:r>
                            <w:rPr>
                              <w:rStyle w:val="PageNumber"/>
                            </w:rPr>
                            <w:instrText>PAGE</w:instrText>
                          </w:r>
                          <w:r>
                            <w:rPr>
                              <w:rStyle w:val="PageNumber"/>
                            </w:rPr>
                            <w:fldChar w:fldCharType="separate"/>
                          </w:r>
                          <w:r>
                            <w:rPr>
                              <w:rStyle w:val="PageNumber"/>
                            </w:rPr>
                            <w:t>5</w:t>
                          </w:r>
                          <w:r>
                            <w:rPr>
                              <w:rStyle w:val="PageNumber"/>
                            </w:rPr>
                            <w:fldChar w:fldCharType="end"/>
                          </w:r>
                        </w:p>
                      </w:txbxContent>
                    </wps:txbx>
                    <wps:bodyPr lIns="0" tIns="0" rIns="0" bIns="0" anchor="t">
                      <a:spAutoFit/>
                    </wps:bodyPr>
                  </wps:wsp>
                </a:graphicData>
              </a:graphic>
            </wp:anchor>
          </w:drawing>
        </mc:Choice>
        <mc:Fallback>
          <w:pict>
            <v:shapetype w14:anchorId="309A328E" id="_x0000_t202" coordsize="21600,21600" o:spt="202" path="m,l,21600r21600,l21600,xe">
              <v:stroke joinstyle="miter"/>
              <v:path gradientshapeok="t" o:connecttype="rect"/>
            </v:shapetype>
            <v:shape id="Frame1" o:spid="_x0000_s1026" type="#_x0000_t202" style="position:absolute;margin-left:0;margin-top:.05pt;width:6.05pt;height:13.8pt;z-index:5;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" stroked="f">
              <v:fill opacity="0"/>
              <v:textbox style="mso-fit-shape-to-text:t" inset="0,0,0,0">
                <w:txbxContent>
                  <w:p w14:paraId="53423ED7" w14:textId="77777777" w:rsidR="00DA1FAD" w:rsidRDefault="001F5FF5">
                    <w:pPr>
                      <w:pStyle w:val="Header"/>
                    </w:pPr>
                    <w:r>
                      <w:rPr>
                        <w:rStyle w:val="PageNumber"/>
                      </w:rPr>
                      <w:fldChar w:fldCharType="begin"/>
                    </w:r>
                    <w:r>
                      <w:rPr>
                        <w:rStyle w:val="PageNumber"/>
                      </w:rPr>
                      <w:instrText>PAGE</w:instrText>
                    </w:r>
                    <w:r>
                      <w:rPr>
                        <w:rStyle w:val="PageNumber"/>
                      </w:rPr>
                      <w:fldChar w:fldCharType="separate"/>
                    </w:r>
                    <w:r>
                      <w:rPr>
                        <w:rStyle w:val="PageNumber"/>
                      </w:rPr>
                      <w:t>5</w:t>
                    </w:r>
                    <w:r>
                      <w:rPr>
                        <w:rStyle w:val="PageNumber"/>
                      </w:rPr>
                      <w:fldChar w:fldCharType="end"/>
                    </w:r>
                  </w:p>
                </w:txbxContent>
              </v:textbox>
              <w10:wrap type="square" side="largest"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C4E27"/>
    <w:multiLevelType w:val="hybridMultilevel"/>
    <w:tmpl w:val="0692712E"/>
    <w:lvl w:ilvl="0" w:tplc="0426000B">
      <w:start w:val="1"/>
      <w:numFmt w:val="bullet"/>
      <w:lvlText w:val=""/>
      <w:lvlJc w:val="left"/>
      <w:pPr>
        <w:ind w:left="720" w:hanging="360"/>
      </w:pPr>
      <w:rPr>
        <w:rFonts w:ascii="Wingdings" w:hAnsi="Wingdings" w:hint="default"/>
      </w:rPr>
    </w:lvl>
    <w:lvl w:ilvl="1" w:tplc="0426000D">
      <w:start w:val="1"/>
      <w:numFmt w:val="bullet"/>
      <w:lvlText w:val=""/>
      <w:lvlJc w:val="left"/>
      <w:pPr>
        <w:ind w:left="1440" w:hanging="360"/>
      </w:pPr>
      <w:rPr>
        <w:rFonts w:ascii="Wingdings" w:hAnsi="Wingdings"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C390B8E"/>
    <w:multiLevelType w:val="hybridMultilevel"/>
    <w:tmpl w:val="DFDA3E56"/>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24B26CFE"/>
    <w:multiLevelType w:val="hybridMultilevel"/>
    <w:tmpl w:val="16F64D9A"/>
    <w:lvl w:ilvl="0" w:tplc="0426000D">
      <w:start w:val="1"/>
      <w:numFmt w:val="bullet"/>
      <w:lvlText w:val=""/>
      <w:lvlJc w:val="left"/>
      <w:pPr>
        <w:ind w:left="720" w:hanging="360"/>
      </w:pPr>
      <w:rPr>
        <w:rFonts w:ascii="Wingdings" w:hAnsi="Wingdings" w:hint="default"/>
      </w:rPr>
    </w:lvl>
    <w:lvl w:ilvl="1" w:tplc="0426000D">
      <w:start w:val="1"/>
      <w:numFmt w:val="bullet"/>
      <w:lvlText w:val=""/>
      <w:lvlJc w:val="left"/>
      <w:pPr>
        <w:ind w:left="1440" w:hanging="360"/>
      </w:pPr>
      <w:rPr>
        <w:rFonts w:ascii="Wingdings" w:hAnsi="Wingdings"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35BB067C"/>
    <w:multiLevelType w:val="hybridMultilevel"/>
    <w:tmpl w:val="06FEBF8C"/>
    <w:lvl w:ilvl="0" w:tplc="0426000D">
      <w:start w:val="1"/>
      <w:numFmt w:val="bullet"/>
      <w:lvlText w:val=""/>
      <w:lvlJc w:val="left"/>
      <w:pPr>
        <w:ind w:left="720" w:hanging="360"/>
      </w:pPr>
      <w:rPr>
        <w:rFonts w:ascii="Wingdings" w:hAnsi="Wingdings" w:hint="default"/>
      </w:rPr>
    </w:lvl>
    <w:lvl w:ilvl="1" w:tplc="0426000D">
      <w:start w:val="1"/>
      <w:numFmt w:val="bullet"/>
      <w:lvlText w:val=""/>
      <w:lvlJc w:val="left"/>
      <w:pPr>
        <w:ind w:left="1440" w:hanging="360"/>
      </w:pPr>
      <w:rPr>
        <w:rFonts w:ascii="Wingdings" w:hAnsi="Wingdings"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3F124761"/>
    <w:multiLevelType w:val="hybridMultilevel"/>
    <w:tmpl w:val="532667CE"/>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4BA11734"/>
    <w:multiLevelType w:val="hybridMultilevel"/>
    <w:tmpl w:val="C4CE8C58"/>
    <w:lvl w:ilvl="0" w:tplc="0426000B">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1FAD"/>
    <w:rsid w:val="000317B7"/>
    <w:rsid w:val="000408EA"/>
    <w:rsid w:val="000504EF"/>
    <w:rsid w:val="000678F3"/>
    <w:rsid w:val="000729D7"/>
    <w:rsid w:val="000B5863"/>
    <w:rsid w:val="00100EE9"/>
    <w:rsid w:val="001021F6"/>
    <w:rsid w:val="0010447F"/>
    <w:rsid w:val="00124DDC"/>
    <w:rsid w:val="0017075A"/>
    <w:rsid w:val="001848E2"/>
    <w:rsid w:val="001F5FF5"/>
    <w:rsid w:val="00291E22"/>
    <w:rsid w:val="00294531"/>
    <w:rsid w:val="002A0EB5"/>
    <w:rsid w:val="002A5078"/>
    <w:rsid w:val="002D7C00"/>
    <w:rsid w:val="00370548"/>
    <w:rsid w:val="00406952"/>
    <w:rsid w:val="005D4AD0"/>
    <w:rsid w:val="00611197"/>
    <w:rsid w:val="00645957"/>
    <w:rsid w:val="006A36F7"/>
    <w:rsid w:val="006A5296"/>
    <w:rsid w:val="006E04CB"/>
    <w:rsid w:val="006F09E7"/>
    <w:rsid w:val="00713B71"/>
    <w:rsid w:val="00734067"/>
    <w:rsid w:val="00792B40"/>
    <w:rsid w:val="007B5468"/>
    <w:rsid w:val="007F5670"/>
    <w:rsid w:val="00855A78"/>
    <w:rsid w:val="0087589F"/>
    <w:rsid w:val="0088380D"/>
    <w:rsid w:val="008D5505"/>
    <w:rsid w:val="00921316"/>
    <w:rsid w:val="009A17A8"/>
    <w:rsid w:val="009C24B7"/>
    <w:rsid w:val="00A10EDE"/>
    <w:rsid w:val="00A41AE6"/>
    <w:rsid w:val="00A53D95"/>
    <w:rsid w:val="00A76DD9"/>
    <w:rsid w:val="00AA3B6E"/>
    <w:rsid w:val="00AB667C"/>
    <w:rsid w:val="00AC52E5"/>
    <w:rsid w:val="00AF4D17"/>
    <w:rsid w:val="00B67D13"/>
    <w:rsid w:val="00B73BC9"/>
    <w:rsid w:val="00BF2B43"/>
    <w:rsid w:val="00C0043D"/>
    <w:rsid w:val="00C01D80"/>
    <w:rsid w:val="00C16AF1"/>
    <w:rsid w:val="00C260F3"/>
    <w:rsid w:val="00C440EF"/>
    <w:rsid w:val="00C756B8"/>
    <w:rsid w:val="00CD5A58"/>
    <w:rsid w:val="00CE4DD6"/>
    <w:rsid w:val="00D16EA1"/>
    <w:rsid w:val="00D52C57"/>
    <w:rsid w:val="00D742F1"/>
    <w:rsid w:val="00D97A2F"/>
    <w:rsid w:val="00DA1FAD"/>
    <w:rsid w:val="00DA409C"/>
    <w:rsid w:val="00DB4C6D"/>
    <w:rsid w:val="00E95CB6"/>
    <w:rsid w:val="00F24BC3"/>
    <w:rsid w:val="00FF40CA"/>
  </w:rsids>
  <m:mathPr>
    <m:mathFont m:val="Cambria Math"/>
    <m:brkBin m:val="before"/>
    <m:brkBinSub m:val="--"/>
    <m:smallFrac m:val="0"/>
    <m:dispDef/>
    <m:lMargin m:val="0"/>
    <m:rMargin m:val="0"/>
    <m:defJc m:val="centerGroup"/>
    <m:wrapIndent m:val="1440"/>
    <m:intLim m:val="subSup"/>
    <m:naryLim m:val="undOvr"/>
  </m:mathPr>
  <w:themeFontLang w:val="lv-LV"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02CB1"/>
  <w15:docId w15:val="{53714AED-5E53-4DDD-A958-D79B64F3B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C5649"/>
    <w:rPr>
      <w:sz w:val="24"/>
      <w:szCs w:val="24"/>
    </w:rPr>
  </w:style>
  <w:style w:type="paragraph" w:styleId="Heading1">
    <w:name w:val="heading 1"/>
    <w:basedOn w:val="Heading"/>
    <w:next w:val="BodyText"/>
    <w:qFormat/>
    <w:pPr>
      <w:outlineLvl w:val="0"/>
    </w:pPr>
    <w:rPr>
      <w:rFonts w:ascii="Liberation Serif" w:eastAsia="Tahoma" w:hAnsi="Liberation Serif" w:cs="Tahoma"/>
      <w:b/>
      <w:bCs/>
      <w:sz w:val="48"/>
      <w:szCs w:val="48"/>
    </w:rPr>
  </w:style>
  <w:style w:type="paragraph" w:styleId="Heading3">
    <w:name w:val="heading 3"/>
    <w:basedOn w:val="Normal"/>
    <w:next w:val="Normal"/>
    <w:link w:val="Heading3Char"/>
    <w:semiHidden/>
    <w:unhideWhenUsed/>
    <w:qFormat/>
    <w:rsid w:val="00192000"/>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qFormat/>
    <w:rsid w:val="008C5649"/>
  </w:style>
  <w:style w:type="character" w:customStyle="1" w:styleId="th1">
    <w:name w:val="th1"/>
    <w:qFormat/>
    <w:rsid w:val="008C5649"/>
    <w:rPr>
      <w:b/>
      <w:bCs/>
      <w:color w:val="333333"/>
    </w:rPr>
  </w:style>
  <w:style w:type="character" w:styleId="CommentReference">
    <w:name w:val="annotation reference"/>
    <w:semiHidden/>
    <w:qFormat/>
    <w:rsid w:val="008C5649"/>
    <w:rPr>
      <w:sz w:val="16"/>
      <w:szCs w:val="16"/>
    </w:rPr>
  </w:style>
  <w:style w:type="character" w:customStyle="1" w:styleId="CommentTextChar">
    <w:name w:val="Comment Text Char"/>
    <w:link w:val="CommentText"/>
    <w:qFormat/>
    <w:rsid w:val="008C5649"/>
    <w:rPr>
      <w:lang w:val="lv-LV" w:eastAsia="lv-LV" w:bidi="ar-SA"/>
    </w:rPr>
  </w:style>
  <w:style w:type="character" w:customStyle="1" w:styleId="FootnoteCharacters">
    <w:name w:val="Footnote Characters"/>
    <w:semiHidden/>
    <w:qFormat/>
    <w:rsid w:val="008C5649"/>
    <w:rPr>
      <w:vertAlign w:val="superscript"/>
    </w:rPr>
  </w:style>
  <w:style w:type="character" w:customStyle="1" w:styleId="FootnoteAnchor">
    <w:name w:val="Footnote Anchor"/>
    <w:rPr>
      <w:vertAlign w:val="superscript"/>
    </w:rPr>
  </w:style>
  <w:style w:type="character" w:customStyle="1" w:styleId="FooterChar">
    <w:name w:val="Footer Char"/>
    <w:link w:val="Footer"/>
    <w:qFormat/>
    <w:rsid w:val="00231344"/>
    <w:rPr>
      <w:sz w:val="24"/>
      <w:szCs w:val="24"/>
      <w:lang w:val="lv-LV" w:eastAsia="lv-LV" w:bidi="ar-SA"/>
    </w:rPr>
  </w:style>
  <w:style w:type="character" w:customStyle="1" w:styleId="InternetLink">
    <w:name w:val="Internet Link"/>
    <w:uiPriority w:val="99"/>
    <w:rsid w:val="007004FC"/>
    <w:rPr>
      <w:color w:val="0000FF"/>
      <w:u w:val="single"/>
    </w:rPr>
  </w:style>
  <w:style w:type="character" w:customStyle="1" w:styleId="BodyTextIndent3Char">
    <w:name w:val="Body Text Indent 3 Char"/>
    <w:link w:val="BodyTextIndent3"/>
    <w:qFormat/>
    <w:rsid w:val="008937A7"/>
    <w:rPr>
      <w:sz w:val="16"/>
      <w:szCs w:val="16"/>
      <w:lang w:val="en-US"/>
    </w:rPr>
  </w:style>
  <w:style w:type="character" w:styleId="Strong">
    <w:name w:val="Strong"/>
    <w:qFormat/>
    <w:rsid w:val="003C3BAB"/>
    <w:rPr>
      <w:b/>
      <w:bCs/>
    </w:rPr>
  </w:style>
  <w:style w:type="character" w:styleId="FollowedHyperlink">
    <w:name w:val="FollowedHyperlink"/>
    <w:qFormat/>
    <w:rsid w:val="00551541"/>
    <w:rPr>
      <w:color w:val="800080"/>
      <w:u w:val="single"/>
    </w:rPr>
  </w:style>
  <w:style w:type="character" w:customStyle="1" w:styleId="AigarsS">
    <w:name w:val="AigarsS"/>
    <w:semiHidden/>
    <w:qFormat/>
    <w:rsid w:val="00D7399A"/>
    <w:rPr>
      <w:rFonts w:ascii="Arial" w:hAnsi="Arial" w:cs="Arial"/>
      <w:color w:val="000080"/>
      <w:sz w:val="20"/>
      <w:szCs w:val="20"/>
    </w:rPr>
  </w:style>
  <w:style w:type="character" w:customStyle="1" w:styleId="BodyTextChar">
    <w:name w:val="Body Text Char"/>
    <w:link w:val="BodyText"/>
    <w:qFormat/>
    <w:rsid w:val="00343716"/>
    <w:rPr>
      <w:sz w:val="24"/>
      <w:szCs w:val="24"/>
      <w:lang w:val="lv-LV" w:eastAsia="lv-LV"/>
    </w:rPr>
  </w:style>
  <w:style w:type="character" w:customStyle="1" w:styleId="BodyTextIndent2Char">
    <w:name w:val="Body Text Indent 2 Char"/>
    <w:link w:val="BodyTextIndent2"/>
    <w:qFormat/>
    <w:rsid w:val="00343716"/>
    <w:rPr>
      <w:sz w:val="24"/>
      <w:szCs w:val="24"/>
      <w:lang w:val="lv-LV" w:eastAsia="lv-LV"/>
    </w:rPr>
  </w:style>
  <w:style w:type="character" w:customStyle="1" w:styleId="BalloonTextChar">
    <w:name w:val="Balloon Text Char"/>
    <w:basedOn w:val="DefaultParagraphFont"/>
    <w:link w:val="BalloonText"/>
    <w:uiPriority w:val="99"/>
    <w:semiHidden/>
    <w:qFormat/>
    <w:rsid w:val="00FA6C30"/>
    <w:rPr>
      <w:rFonts w:ascii="Tahoma" w:hAnsi="Tahoma" w:cs="Tahoma"/>
      <w:sz w:val="16"/>
      <w:szCs w:val="16"/>
    </w:rPr>
  </w:style>
  <w:style w:type="character" w:customStyle="1" w:styleId="Heading3Char">
    <w:name w:val="Heading 3 Char"/>
    <w:basedOn w:val="DefaultParagraphFont"/>
    <w:link w:val="Heading3"/>
    <w:semiHidden/>
    <w:qFormat/>
    <w:rsid w:val="00192000"/>
    <w:rPr>
      <w:rFonts w:asciiTheme="majorHAnsi" w:eastAsiaTheme="majorEastAsia" w:hAnsiTheme="majorHAnsi" w:cstheme="majorBidi"/>
      <w:color w:val="243F60" w:themeColor="accent1" w:themeShade="7F"/>
      <w:sz w:val="24"/>
      <w:szCs w:val="24"/>
    </w:rPr>
  </w:style>
  <w:style w:type="paragraph" w:customStyle="1" w:styleId="Heading">
    <w:name w:val="Heading"/>
    <w:basedOn w:val="Normal"/>
    <w:next w:val="BodyText"/>
    <w:qFormat/>
    <w:pPr>
      <w:keepNext/>
      <w:spacing w:before="240" w:after="120"/>
    </w:pPr>
    <w:rPr>
      <w:rFonts w:ascii="Liberation Sans" w:eastAsia="PingFang SC" w:hAnsi="Liberation Sans" w:cs="Arial Unicode MS"/>
      <w:sz w:val="28"/>
      <w:szCs w:val="28"/>
    </w:rPr>
  </w:style>
  <w:style w:type="paragraph" w:styleId="BodyText">
    <w:name w:val="Body Text"/>
    <w:basedOn w:val="Normal"/>
    <w:link w:val="BodyTextChar"/>
    <w:rsid w:val="00343716"/>
    <w:pPr>
      <w:spacing w:after="120"/>
    </w:pPr>
  </w:style>
  <w:style w:type="paragraph" w:styleId="List">
    <w:name w:val="List"/>
    <w:basedOn w:val="BodyText"/>
    <w:rPr>
      <w:rFonts w:cs="Arial Unicode MS"/>
    </w:rPr>
  </w:style>
  <w:style w:type="paragraph" w:styleId="Caption">
    <w:name w:val="caption"/>
    <w:basedOn w:val="Normal"/>
    <w:qFormat/>
    <w:pPr>
      <w:suppressLineNumbers/>
      <w:spacing w:before="120" w:after="120"/>
    </w:pPr>
    <w:rPr>
      <w:rFonts w:cs="Arial Unicode MS"/>
      <w:i/>
      <w:iCs/>
    </w:rPr>
  </w:style>
  <w:style w:type="paragraph" w:customStyle="1" w:styleId="Index">
    <w:name w:val="Index"/>
    <w:basedOn w:val="Normal"/>
    <w:qFormat/>
    <w:pPr>
      <w:suppressLineNumbers/>
    </w:pPr>
    <w:rPr>
      <w:rFonts w:cs="Arial Unicode MS"/>
    </w:rPr>
  </w:style>
  <w:style w:type="paragraph" w:customStyle="1" w:styleId="HeaderandFooter">
    <w:name w:val="Header and Footer"/>
    <w:basedOn w:val="Normal"/>
    <w:qFormat/>
  </w:style>
  <w:style w:type="paragraph" w:styleId="Header">
    <w:name w:val="header"/>
    <w:basedOn w:val="Normal"/>
    <w:rsid w:val="008C5649"/>
    <w:pPr>
      <w:tabs>
        <w:tab w:val="center" w:pos="4153"/>
        <w:tab w:val="right" w:pos="8306"/>
      </w:tabs>
    </w:pPr>
  </w:style>
  <w:style w:type="paragraph" w:customStyle="1" w:styleId="naisf">
    <w:name w:val="naisf"/>
    <w:basedOn w:val="Normal"/>
    <w:qFormat/>
    <w:rsid w:val="008C5649"/>
    <w:pPr>
      <w:spacing w:before="75" w:after="75"/>
      <w:ind w:firstLine="375"/>
      <w:jc w:val="both"/>
    </w:pPr>
  </w:style>
  <w:style w:type="paragraph" w:customStyle="1" w:styleId="naisnod">
    <w:name w:val="naisnod"/>
    <w:basedOn w:val="Normal"/>
    <w:qFormat/>
    <w:rsid w:val="008C5649"/>
    <w:pPr>
      <w:spacing w:before="150" w:after="150"/>
      <w:jc w:val="center"/>
    </w:pPr>
    <w:rPr>
      <w:b/>
      <w:bCs/>
    </w:rPr>
  </w:style>
  <w:style w:type="paragraph" w:customStyle="1" w:styleId="naislab">
    <w:name w:val="naislab"/>
    <w:basedOn w:val="Normal"/>
    <w:qFormat/>
    <w:rsid w:val="008C5649"/>
    <w:pPr>
      <w:spacing w:before="75" w:after="75"/>
      <w:jc w:val="right"/>
    </w:pPr>
  </w:style>
  <w:style w:type="paragraph" w:customStyle="1" w:styleId="naiskr">
    <w:name w:val="naiskr"/>
    <w:basedOn w:val="Normal"/>
    <w:qFormat/>
    <w:rsid w:val="008C5649"/>
    <w:pPr>
      <w:spacing w:before="75" w:after="75"/>
    </w:pPr>
  </w:style>
  <w:style w:type="paragraph" w:customStyle="1" w:styleId="naisc">
    <w:name w:val="naisc"/>
    <w:basedOn w:val="Normal"/>
    <w:qFormat/>
    <w:rsid w:val="008C5649"/>
    <w:pPr>
      <w:spacing w:before="75" w:after="75"/>
      <w:jc w:val="center"/>
    </w:pPr>
  </w:style>
  <w:style w:type="paragraph" w:styleId="CommentText">
    <w:name w:val="annotation text"/>
    <w:basedOn w:val="Normal"/>
    <w:link w:val="CommentTextChar"/>
    <w:qFormat/>
    <w:rsid w:val="008C5649"/>
    <w:rPr>
      <w:sz w:val="20"/>
      <w:szCs w:val="20"/>
    </w:rPr>
  </w:style>
  <w:style w:type="paragraph" w:styleId="BalloonText">
    <w:name w:val="Balloon Text"/>
    <w:basedOn w:val="Normal"/>
    <w:link w:val="BalloonTextChar"/>
    <w:uiPriority w:val="99"/>
    <w:semiHidden/>
    <w:qFormat/>
    <w:rsid w:val="008C5649"/>
    <w:rPr>
      <w:rFonts w:ascii="Tahoma" w:hAnsi="Tahoma" w:cs="Tahoma"/>
      <w:sz w:val="16"/>
      <w:szCs w:val="16"/>
    </w:rPr>
  </w:style>
  <w:style w:type="paragraph" w:styleId="FootnoteText">
    <w:name w:val="footnote text"/>
    <w:basedOn w:val="Normal"/>
    <w:semiHidden/>
    <w:rsid w:val="008C5649"/>
    <w:rPr>
      <w:sz w:val="20"/>
      <w:szCs w:val="20"/>
    </w:rPr>
  </w:style>
  <w:style w:type="paragraph" w:styleId="CommentSubject">
    <w:name w:val="annotation subject"/>
    <w:basedOn w:val="CommentText"/>
    <w:next w:val="CommentText"/>
    <w:semiHidden/>
    <w:qFormat/>
    <w:rsid w:val="00262E2B"/>
    <w:rPr>
      <w:b/>
      <w:bCs/>
    </w:rPr>
  </w:style>
  <w:style w:type="paragraph" w:styleId="Footer">
    <w:name w:val="footer"/>
    <w:basedOn w:val="Normal"/>
    <w:link w:val="FooterChar"/>
    <w:rsid w:val="00262E2B"/>
    <w:pPr>
      <w:tabs>
        <w:tab w:val="center" w:pos="4153"/>
        <w:tab w:val="right" w:pos="8306"/>
      </w:tabs>
    </w:pPr>
  </w:style>
  <w:style w:type="paragraph" w:styleId="DocumentMap">
    <w:name w:val="Document Map"/>
    <w:basedOn w:val="Normal"/>
    <w:semiHidden/>
    <w:qFormat/>
    <w:rsid w:val="00846994"/>
    <w:pPr>
      <w:shd w:val="clear" w:color="auto" w:fill="000080"/>
    </w:pPr>
    <w:rPr>
      <w:rFonts w:ascii="Tahoma" w:hAnsi="Tahoma" w:cs="Tahoma"/>
      <w:sz w:val="20"/>
      <w:szCs w:val="20"/>
    </w:rPr>
  </w:style>
  <w:style w:type="paragraph" w:styleId="BodyTextIndent3">
    <w:name w:val="Body Text Indent 3"/>
    <w:basedOn w:val="Normal"/>
    <w:link w:val="BodyTextIndent3Char"/>
    <w:qFormat/>
    <w:rsid w:val="008937A7"/>
    <w:pPr>
      <w:spacing w:after="120"/>
      <w:ind w:left="283"/>
    </w:pPr>
    <w:rPr>
      <w:sz w:val="16"/>
      <w:szCs w:val="16"/>
      <w:lang w:val="en-US"/>
    </w:rPr>
  </w:style>
  <w:style w:type="paragraph" w:customStyle="1" w:styleId="RakstzRakstzRakstzCharCharChar1CharChar">
    <w:name w:val="Rakstz. Rakstz. Rakstz. Char Char Char1 Char Char"/>
    <w:basedOn w:val="Normal"/>
    <w:qFormat/>
    <w:rsid w:val="000B65B3"/>
    <w:pPr>
      <w:spacing w:before="40"/>
    </w:pPr>
    <w:rPr>
      <w:lang w:val="pl-PL" w:eastAsia="pl-PL"/>
    </w:rPr>
  </w:style>
  <w:style w:type="paragraph" w:customStyle="1" w:styleId="tvhtml">
    <w:name w:val="tv_html"/>
    <w:basedOn w:val="Normal"/>
    <w:qFormat/>
    <w:rsid w:val="006570D6"/>
    <w:pPr>
      <w:spacing w:beforeAutospacing="1" w:afterAutospacing="1"/>
    </w:pPr>
    <w:rPr>
      <w:rFonts w:ascii="Verdana" w:hAnsi="Verdana"/>
      <w:sz w:val="18"/>
      <w:szCs w:val="18"/>
      <w:lang w:val="en-US" w:eastAsia="en-US"/>
    </w:rPr>
  </w:style>
  <w:style w:type="paragraph" w:styleId="BodyTextIndent2">
    <w:name w:val="Body Text Indent 2"/>
    <w:basedOn w:val="Normal"/>
    <w:link w:val="BodyTextIndent2Char"/>
    <w:qFormat/>
    <w:rsid w:val="00343716"/>
    <w:pPr>
      <w:spacing w:after="120" w:line="480" w:lineRule="auto"/>
      <w:ind w:left="283"/>
    </w:pPr>
  </w:style>
  <w:style w:type="paragraph" w:styleId="BlockText">
    <w:name w:val="Block Text"/>
    <w:basedOn w:val="Normal"/>
    <w:qFormat/>
    <w:rsid w:val="00343716"/>
    <w:pPr>
      <w:ind w:left="567" w:right="3777"/>
      <w:jc w:val="both"/>
    </w:pPr>
    <w:rPr>
      <w:szCs w:val="20"/>
    </w:rPr>
  </w:style>
  <w:style w:type="paragraph" w:styleId="ListParagraph">
    <w:name w:val="List Paragraph"/>
    <w:basedOn w:val="Normal"/>
    <w:uiPriority w:val="34"/>
    <w:qFormat/>
    <w:rsid w:val="005477F7"/>
    <w:pPr>
      <w:ind w:left="720"/>
      <w:contextualSpacing/>
    </w:pPr>
    <w:rPr>
      <w:lang w:val="en-GB" w:eastAsia="en-US"/>
    </w:rPr>
  </w:style>
  <w:style w:type="paragraph" w:customStyle="1" w:styleId="Default">
    <w:name w:val="Default"/>
    <w:qFormat/>
    <w:rsid w:val="00D16159"/>
    <w:rPr>
      <w:rFonts w:ascii="EUAlbertina" w:hAnsi="EUAlbertina" w:cs="EUAlbertina"/>
      <w:color w:val="000000"/>
      <w:sz w:val="24"/>
      <w:szCs w:val="24"/>
    </w:rPr>
  </w:style>
  <w:style w:type="paragraph" w:customStyle="1" w:styleId="CM4">
    <w:name w:val="CM4"/>
    <w:basedOn w:val="Default"/>
    <w:next w:val="Default"/>
    <w:uiPriority w:val="99"/>
    <w:qFormat/>
    <w:rsid w:val="00D16159"/>
    <w:rPr>
      <w:rFonts w:cs="Times New Roman"/>
      <w:color w:val="auto"/>
    </w:rPr>
  </w:style>
  <w:style w:type="paragraph" w:styleId="NoSpacing">
    <w:name w:val="No Spacing"/>
    <w:uiPriority w:val="1"/>
    <w:qFormat/>
    <w:rsid w:val="002775AF"/>
    <w:rPr>
      <w:sz w:val="24"/>
      <w:szCs w:val="24"/>
    </w:rPr>
  </w:style>
  <w:style w:type="paragraph" w:styleId="NormalWeb">
    <w:name w:val="Normal (Web)"/>
    <w:basedOn w:val="Normal"/>
    <w:uiPriority w:val="99"/>
    <w:semiHidden/>
    <w:unhideWhenUsed/>
    <w:qFormat/>
    <w:rsid w:val="000178E6"/>
    <w:pPr>
      <w:spacing w:beforeAutospacing="1" w:afterAutospacing="1"/>
    </w:pPr>
  </w:style>
  <w:style w:type="paragraph" w:customStyle="1" w:styleId="FrameContents">
    <w:name w:val="Frame Contents"/>
    <w:basedOn w:val="Normal"/>
    <w:qFormat/>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table" w:styleId="TableGrid">
    <w:name w:val="Table Grid"/>
    <w:basedOn w:val="TableNormal"/>
    <w:uiPriority w:val="59"/>
    <w:rsid w:val="008C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C081D9-AB7E-4A40-8E9E-68DF5C867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6251</Words>
  <Characters>3564</Characters>
  <Application>Microsoft Office Word</Application>
  <DocSecurity>0</DocSecurity>
  <Lines>29</Lines>
  <Paragraphs>19</Paragraphs>
  <ScaleCrop>false</ScaleCrop>
  <HeadingPairs>
    <vt:vector size="2" baseType="variant">
      <vt:variant>
        <vt:lpstr>Title</vt:lpstr>
      </vt:variant>
      <vt:variant>
        <vt:i4>1</vt:i4>
      </vt:variant>
    </vt:vector>
  </HeadingPairs>
  <TitlesOfParts>
    <vt:vector size="1" baseType="lpstr">
      <vt:lpstr>Ministru kabineta rīkojuma projekts</vt:lpstr>
    </vt:vector>
  </TitlesOfParts>
  <Company>Ekonomikas ministrija</Company>
  <LinksUpToDate>false</LinksUpToDate>
  <CharactersWithSpaces>9796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projekts</dc:title>
  <dc:subject/>
  <dc:creator>Normunds Freibergs</dc:creator>
  <dc:description/>
  <cp:lastModifiedBy>Normunds Freibergs</cp:lastModifiedBy>
  <cp:revision>33</cp:revision>
  <cp:lastPrinted>2019-10-17T11:30:00Z</cp:lastPrinted>
  <dcterms:created xsi:type="dcterms:W3CDTF">2020-01-06T12:15:00Z</dcterms:created>
  <dcterms:modified xsi:type="dcterms:W3CDTF">2020-01-22T14:05:00Z</dcterms:modified>
  <dc:language>lv-LV</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Ekonomikas ministrija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