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FF12" w14:textId="77777777" w:rsidR="00E543FA" w:rsidRPr="00E543FA" w:rsidRDefault="00E543FA" w:rsidP="00E472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64181992" w14:textId="77777777" w:rsidR="00E543FA" w:rsidRPr="00E543FA" w:rsidRDefault="00E543FA" w:rsidP="00E472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0B99F38C" w14:textId="77777777" w:rsidR="00E543FA" w:rsidRPr="00E543FA" w:rsidRDefault="00E543FA" w:rsidP="00E472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 </w:t>
      </w:r>
    </w:p>
    <w:p w14:paraId="2C20FEDA" w14:textId="77777777" w:rsidR="00E543FA" w:rsidRPr="00E543FA" w:rsidRDefault="00E543FA" w:rsidP="00E472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DC57E" w14:textId="77777777" w:rsidR="00E543FA" w:rsidRPr="00E543FA" w:rsidRDefault="00E543FA" w:rsidP="00E472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E3383" w14:textId="42605AC5" w:rsidR="00E543FA" w:rsidRPr="00E543FA" w:rsidRDefault="00E543FA" w:rsidP="00E472F8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20</w:t>
      </w:r>
      <w:r w:rsidR="00760F63">
        <w:rPr>
          <w:rFonts w:ascii="Times New Roman" w:hAnsi="Times New Roman" w:cs="Times New Roman"/>
          <w:sz w:val="24"/>
          <w:szCs w:val="24"/>
        </w:rPr>
        <w:t>20</w:t>
      </w:r>
      <w:r w:rsidRPr="00E543FA">
        <w:rPr>
          <w:rFonts w:ascii="Times New Roman" w:hAnsi="Times New Roman" w:cs="Times New Roman"/>
          <w:sz w:val="24"/>
          <w:szCs w:val="24"/>
        </w:rPr>
        <w:t xml:space="preserve">. gada </w:t>
      </w:r>
      <w:r w:rsidRPr="00E543FA">
        <w:rPr>
          <w:rFonts w:ascii="Times New Roman" w:hAnsi="Times New Roman" w:cs="Times New Roman"/>
          <w:sz w:val="24"/>
          <w:szCs w:val="24"/>
        </w:rPr>
        <w:tab/>
      </w:r>
      <w:r w:rsidRPr="00E543FA">
        <w:rPr>
          <w:rFonts w:ascii="Times New Roman" w:hAnsi="Times New Roman" w:cs="Times New Roman"/>
          <w:color w:val="000000"/>
          <w:sz w:val="24"/>
          <w:szCs w:val="24"/>
        </w:rPr>
        <w:t>Noteikumi Nr. </w:t>
      </w:r>
    </w:p>
    <w:p w14:paraId="533B0008" w14:textId="77777777" w:rsidR="00E543FA" w:rsidRPr="00E543FA" w:rsidRDefault="00E543FA" w:rsidP="00E472F8">
      <w:pPr>
        <w:tabs>
          <w:tab w:val="left" w:pos="6237"/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43FA">
        <w:rPr>
          <w:rFonts w:ascii="Times New Roman" w:hAnsi="Times New Roman" w:cs="Times New Roman"/>
          <w:color w:val="000000"/>
          <w:sz w:val="24"/>
          <w:szCs w:val="24"/>
        </w:rPr>
        <w:t>Rīgā</w:t>
      </w:r>
      <w:r w:rsidRPr="00E543FA">
        <w:rPr>
          <w:rFonts w:ascii="Times New Roman" w:hAnsi="Times New Roman" w:cs="Times New Roman"/>
          <w:color w:val="000000"/>
          <w:sz w:val="24"/>
          <w:szCs w:val="24"/>
        </w:rPr>
        <w:tab/>
        <w:t>(prot. Nr.         . §)</w:t>
      </w:r>
    </w:p>
    <w:p w14:paraId="41C6071D" w14:textId="77777777" w:rsidR="00F7384B" w:rsidRPr="00F7384B" w:rsidRDefault="00F7384B" w:rsidP="00E472F8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7633F44F" w14:textId="52CD22CF" w:rsidR="00D57623" w:rsidRPr="00A974F3" w:rsidRDefault="00D57623" w:rsidP="00E472F8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2015.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 </w:t>
      </w:r>
      <w:r w:rsidR="002B7E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30</w:t>
      </w:r>
      <w:r w:rsidR="00D16F4C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16F4C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jūnija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noteikumos Nr.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AA19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40</w:t>
      </w:r>
      <w:r w:rsidR="006E0534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Latvijas būvnormatīvu LBN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AA19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-15 </w:t>
      </w:r>
      <w:r w:rsidR="003A4603" w:rsidRPr="00A974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AA19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Dzīvojamās ēkas</w:t>
      </w:r>
      <w:r w:rsidR="003A4603" w:rsidRPr="00A974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01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8E3C17" w14:textId="77777777" w:rsidR="00E472F8" w:rsidRDefault="00E472F8" w:rsidP="00E472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F9AEEE" w14:textId="2F8B4978" w:rsidR="00D57623" w:rsidRPr="00A974F3" w:rsidRDefault="00D57623" w:rsidP="00E472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Izdoti 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saskaņā ar Būvniecības likuma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5.</w:t>
      </w:r>
      <w:r w:rsidR="0060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panta pirmās 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daļas 3.</w:t>
      </w:r>
      <w:r w:rsidR="0060016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</w:t>
      </w:r>
    </w:p>
    <w:p w14:paraId="41C8FB4F" w14:textId="77777777" w:rsidR="00E472F8" w:rsidRDefault="00E472F8" w:rsidP="00751A97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088BA4" w14:textId="565DD5A6" w:rsidR="00D16F4C" w:rsidRDefault="00D57623" w:rsidP="00E472F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Ministru kabineta 2015.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2B7ECD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 noteikumos Nr.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AA19FD"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616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561634" w:rsidRPr="00D16F4C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par Latvijas būvnormatīvu LBN 2</w:t>
      </w:r>
      <w:r w:rsidR="00AA19FD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61634" w:rsidRPr="00D16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-15 </w:t>
      </w:r>
      <w:r w:rsidR="005616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AA19FD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ēkas</w:t>
      </w:r>
      <w:r w:rsidR="00561634" w:rsidRPr="00A974F3">
        <w:rPr>
          <w:rFonts w:ascii="Times New Roman" w:hAnsi="Times New Roman" w:cs="Times New Roman"/>
          <w:sz w:val="24"/>
          <w:szCs w:val="24"/>
        </w:rPr>
        <w:t>”</w:t>
      </w:r>
      <w:r w:rsidR="0060016A">
        <w:rPr>
          <w:rFonts w:ascii="Times New Roman" w:hAnsi="Times New Roman" w:cs="Times New Roman"/>
          <w:sz w:val="24"/>
          <w:szCs w:val="24"/>
        </w:rPr>
        <w:t>”</w:t>
      </w:r>
      <w:r w:rsidR="006E05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(Latvijas Vēstnesis, 2015, 125. nr.) šādus grozījumus</w:t>
      </w:r>
      <w:r w:rsidR="00D23C76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8DA13E0" w14:textId="77777777" w:rsidR="00E472F8" w:rsidRPr="00A974F3" w:rsidRDefault="00E472F8" w:rsidP="00E472F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00F5960" w14:textId="5D364178" w:rsidR="004E49A4" w:rsidRPr="001D2FBC" w:rsidRDefault="001D2FBC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153E1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apildināt noteikumus ar </w:t>
      </w:r>
      <w:r w:rsidR="003D3E7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65260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00B0E87" w14:textId="77777777" w:rsidR="00E472F8" w:rsidRPr="00E472F8" w:rsidRDefault="00E472F8" w:rsidP="00E4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FD7CA5" w14:textId="113958A9" w:rsidR="00865260" w:rsidRPr="005B5E86" w:rsidRDefault="004E49A4" w:rsidP="00E472F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3D3E7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Būv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, kur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zstrādāti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pamatojoties uz būvatļaujām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izdotas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2968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763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763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D42968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, v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pārstrādā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</w:t>
      </w:r>
      <w:r w:rsidR="00077E60" w:rsidRPr="00077E60">
        <w:rPr>
          <w:rFonts w:ascii="Times New Roman" w:hAnsi="Times New Roman" w:cs="Times New Roman"/>
          <w:sz w:val="24"/>
          <w:szCs w:val="24"/>
          <w:shd w:val="clear" w:color="auto" w:fill="FFFFFF"/>
        </w:rPr>
        <w:t>Latvijas būvnormatīva LBN 2</w:t>
      </w:r>
      <w:r w:rsidR="003D3E7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77E60" w:rsidRPr="00077E60">
        <w:rPr>
          <w:rFonts w:ascii="Times New Roman" w:hAnsi="Times New Roman" w:cs="Times New Roman"/>
          <w:sz w:val="24"/>
          <w:szCs w:val="24"/>
          <w:shd w:val="clear" w:color="auto" w:fill="FFFFFF"/>
        </w:rPr>
        <w:t>-15</w:t>
      </w:r>
      <w:r w:rsidR="003D3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E7B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3D3E7B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ēkas</w:t>
      </w:r>
      <w:r w:rsidR="003D3E7B" w:rsidRPr="00A974F3">
        <w:rPr>
          <w:rFonts w:ascii="Times New Roman" w:hAnsi="Times New Roman" w:cs="Times New Roman"/>
          <w:sz w:val="24"/>
          <w:szCs w:val="24"/>
        </w:rPr>
        <w:t>”</w:t>
      </w:r>
      <w:r w:rsidR="00077E60" w:rsidRPr="0007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E7B">
        <w:rPr>
          <w:rFonts w:ascii="Times New Roman" w:hAnsi="Times New Roman" w:cs="Times New Roman"/>
          <w:sz w:val="24"/>
          <w:szCs w:val="24"/>
          <w:shd w:val="clear" w:color="auto" w:fill="FFFFFF"/>
        </w:rPr>
        <w:t>58.5. apakšpunkta u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 </w:t>
      </w:r>
      <w:r w:rsidR="003D3E7B">
        <w:rPr>
          <w:rFonts w:ascii="Times New Roman" w:eastAsia="Times New Roman" w:hAnsi="Times New Roman" w:cs="Times New Roman"/>
          <w:sz w:val="24"/>
          <w:szCs w:val="24"/>
          <w:lang w:eastAsia="lv-LV"/>
        </w:rPr>
        <w:t>58</w:t>
      </w:r>
      <w:r w:rsidR="00BF4B9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D3E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 p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unkta prasībām</w:t>
      </w:r>
      <w:r w:rsidR="00F7635B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65260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0DCA13A1" w14:textId="77777777" w:rsidR="00E472F8" w:rsidRDefault="00E472F8" w:rsidP="00E47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773DB4" w14:textId="282791F5" w:rsidR="00F71D35" w:rsidRPr="001D2FBC" w:rsidRDefault="001D2FBC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</w:t>
      </w:r>
      <w:r w:rsidR="004E49A4" w:rsidRPr="001D2FBC">
        <w:rPr>
          <w:rFonts w:ascii="Times New Roman" w:hAnsi="Times New Roman" w:cs="Times New Roman"/>
          <w:sz w:val="24"/>
          <w:szCs w:val="24"/>
        </w:rPr>
        <w:t>būvnormatīv</w:t>
      </w:r>
      <w:r w:rsidR="003D3E7B">
        <w:rPr>
          <w:rFonts w:ascii="Times New Roman" w:hAnsi="Times New Roman" w:cs="Times New Roman"/>
          <w:sz w:val="24"/>
          <w:szCs w:val="24"/>
        </w:rPr>
        <w:t>a 58. punktu ar 58.5. apakšpunktu</w:t>
      </w:r>
      <w:r w:rsidR="00F71D35" w:rsidRPr="001D2FBC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5C5D674F" w14:textId="77777777" w:rsidR="00D72DBA" w:rsidRPr="00E472F8" w:rsidRDefault="00D72DBA" w:rsidP="00E4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3A23E" w14:textId="7CAE4B2C" w:rsidR="00D72DBA" w:rsidRPr="00D72DBA" w:rsidRDefault="003D3E7B" w:rsidP="00E472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“58.5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dzīvojam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ās </w:t>
      </w:r>
      <w:r w:rsidR="00593185">
        <w:rPr>
          <w:rFonts w:ascii="Times New Roman" w:hAnsi="Times New Roman" w:cs="Times New Roman"/>
          <w:sz w:val="24"/>
          <w:szCs w:val="24"/>
        </w:rPr>
        <w:t>ēkā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s ar vairāk kā </w:t>
      </w:r>
      <w:r w:rsidR="00292639">
        <w:rPr>
          <w:rFonts w:ascii="Times New Roman" w:hAnsi="Times New Roman" w:cs="Times New Roman"/>
          <w:sz w:val="24"/>
          <w:szCs w:val="24"/>
        </w:rPr>
        <w:t>10</w:t>
      </w:r>
      <w:r w:rsidR="00292639" w:rsidRPr="00D72DBA">
        <w:rPr>
          <w:rFonts w:ascii="Times New Roman" w:hAnsi="Times New Roman" w:cs="Times New Roman"/>
          <w:sz w:val="24"/>
          <w:szCs w:val="24"/>
        </w:rPr>
        <w:t xml:space="preserve"> 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autostāvvietām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atrai automašīnu stāvvietai paredz kanālus elektrības kabeļiem, lai nepieciešamības gadījumā varētu ierīkot elektrotransportlīdzekļu uzlādes punktus. Šīs prasības piemēro arī ar </w:t>
      </w:r>
      <w:r>
        <w:rPr>
          <w:rFonts w:ascii="Times New Roman" w:hAnsi="Times New Roman" w:cs="Times New Roman"/>
          <w:sz w:val="24"/>
          <w:szCs w:val="24"/>
        </w:rPr>
        <w:t>dzīvojamo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 </w:t>
      </w:r>
      <w:r w:rsidR="00593185">
        <w:rPr>
          <w:rFonts w:ascii="Times New Roman" w:hAnsi="Times New Roman" w:cs="Times New Roman"/>
          <w:sz w:val="24"/>
          <w:szCs w:val="24"/>
        </w:rPr>
        <w:t>ēku</w:t>
      </w:r>
      <w:r w:rsidR="00D72DBA" w:rsidRPr="00D72DBA">
        <w:rPr>
          <w:rFonts w:ascii="Times New Roman" w:hAnsi="Times New Roman" w:cs="Times New Roman"/>
          <w:sz w:val="24"/>
          <w:szCs w:val="24"/>
        </w:rPr>
        <w:t xml:space="preserve"> funkcionāli saistītu, bet ārpus šīs </w:t>
      </w:r>
      <w:r w:rsidR="00593185">
        <w:rPr>
          <w:rFonts w:ascii="Times New Roman" w:hAnsi="Times New Roman" w:cs="Times New Roman"/>
          <w:sz w:val="24"/>
          <w:szCs w:val="24"/>
        </w:rPr>
        <w:t>ēka</w:t>
      </w:r>
      <w:r w:rsidR="00D72DBA" w:rsidRPr="00D72DBA">
        <w:rPr>
          <w:rFonts w:ascii="Times New Roman" w:hAnsi="Times New Roman" w:cs="Times New Roman"/>
          <w:sz w:val="24"/>
          <w:szCs w:val="24"/>
        </w:rPr>
        <w:t>s esošu stāvvietu projektēšanai.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04CB24B" w14:textId="77E58CA3" w:rsidR="00D72DBA" w:rsidRDefault="00D72DBA" w:rsidP="00E472F8">
      <w:pPr>
        <w:pStyle w:val="paragraph"/>
        <w:spacing w:before="0" w:beforeAutospacing="0" w:after="0" w:afterAutospacing="0"/>
        <w:contextualSpacing/>
        <w:jc w:val="both"/>
        <w:textAlignment w:val="baseline"/>
      </w:pPr>
    </w:p>
    <w:p w14:paraId="0BB00AC9" w14:textId="51083B16" w:rsidR="003D3E7B" w:rsidRPr="001D2FBC" w:rsidRDefault="003D3E7B" w:rsidP="00E47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3. </w:t>
      </w:r>
      <w:r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</w:t>
      </w:r>
      <w:r w:rsidRPr="001D2FBC">
        <w:rPr>
          <w:rFonts w:ascii="Times New Roman" w:hAnsi="Times New Roman" w:cs="Times New Roman"/>
          <w:sz w:val="24"/>
          <w:szCs w:val="24"/>
        </w:rPr>
        <w:t>būvnormatīv</w:t>
      </w:r>
      <w:r>
        <w:rPr>
          <w:rFonts w:ascii="Times New Roman" w:hAnsi="Times New Roman" w:cs="Times New Roman"/>
          <w:sz w:val="24"/>
          <w:szCs w:val="24"/>
        </w:rPr>
        <w:t>u ar 58.</w:t>
      </w:r>
      <w:r w:rsidRPr="003D3E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punktu</w:t>
      </w:r>
      <w:r w:rsidRPr="001D2FBC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45F60F26" w14:textId="77777777" w:rsidR="003D3E7B" w:rsidRDefault="003D3E7B" w:rsidP="00E472F8">
      <w:pPr>
        <w:pStyle w:val="paragraph"/>
        <w:spacing w:before="0" w:beforeAutospacing="0" w:after="0" w:afterAutospacing="0"/>
        <w:contextualSpacing/>
        <w:jc w:val="both"/>
        <w:textAlignment w:val="baseline"/>
      </w:pPr>
    </w:p>
    <w:p w14:paraId="43608622" w14:textId="6F0B275D" w:rsidR="00A974F3" w:rsidRPr="00D72DBA" w:rsidRDefault="003D3E7B" w:rsidP="00E472F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</w:rPr>
      </w:pPr>
      <w:r>
        <w:t>“58</w:t>
      </w:r>
      <w:r w:rsidR="00D72DBA" w:rsidRPr="00D72DBA">
        <w:t>.</w:t>
      </w:r>
      <w:r>
        <w:rPr>
          <w:vertAlign w:val="superscript"/>
        </w:rPr>
        <w:t>1</w:t>
      </w:r>
      <w:r w:rsidR="00D72DBA" w:rsidRPr="00D72DBA">
        <w:t xml:space="preserve"> </w:t>
      </w:r>
      <w:r w:rsidR="0006609A">
        <w:t xml:space="preserve">Pārbūves gadījumā </w:t>
      </w:r>
      <w:r w:rsidR="0006609A" w:rsidRPr="00D72DBA">
        <w:t xml:space="preserve">šī būvnormatīva </w:t>
      </w:r>
      <w:r w:rsidR="0006609A">
        <w:t>58.5. </w:t>
      </w:r>
      <w:r w:rsidR="00E53923">
        <w:t>apakš</w:t>
      </w:r>
      <w:r w:rsidR="0006609A" w:rsidRPr="00D72DBA">
        <w:t>punkta prasības piemēro</w:t>
      </w:r>
      <w:r w:rsidR="0006609A">
        <w:t xml:space="preserve"> attiecībā uz pārbūvējamo daļu, ja šī daļa ir paredzēta automašīnu stāvvietām.</w:t>
      </w:r>
      <w:r w:rsidR="00153E1B" w:rsidRPr="00D72DBA">
        <w:rPr>
          <w:rStyle w:val="normaltextrun"/>
        </w:rPr>
        <w:t>”</w:t>
      </w:r>
    </w:p>
    <w:p w14:paraId="73A997E2" w14:textId="4C34A1A0" w:rsidR="00153E1B" w:rsidRDefault="00153E1B" w:rsidP="00E472F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</w:p>
    <w:p w14:paraId="446D08DF" w14:textId="77777777" w:rsidR="00865260" w:rsidRPr="00A974F3" w:rsidRDefault="00865260" w:rsidP="00E472F8">
      <w:pPr>
        <w:pStyle w:val="paragraph"/>
        <w:spacing w:before="0" w:beforeAutospacing="0" w:after="0" w:afterAutospacing="0"/>
        <w:contextualSpacing/>
        <w:jc w:val="both"/>
        <w:textAlignment w:val="baseline"/>
      </w:pPr>
    </w:p>
    <w:p w14:paraId="4017BFE5" w14:textId="77777777" w:rsidR="004E49A4" w:rsidRPr="00A974F3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A. K. Kariņš</w:t>
      </w:r>
    </w:p>
    <w:p w14:paraId="55F2E952" w14:textId="1ED696E3" w:rsidR="004E49A4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74501" w14:textId="77777777" w:rsidR="00007DC1" w:rsidRPr="00A974F3" w:rsidRDefault="00007DC1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DD19E" w14:textId="77777777" w:rsidR="004E49A4" w:rsidRPr="00A974F3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Ekonomikas ministrs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R. Nemiro</w:t>
      </w:r>
    </w:p>
    <w:p w14:paraId="15C6932B" w14:textId="5FD54B5E" w:rsidR="004E49A4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B92BEB" w14:textId="77777777" w:rsidR="00007DC1" w:rsidRPr="00A974F3" w:rsidRDefault="00007DC1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088713" w14:textId="77777777" w:rsidR="004E49A4" w:rsidRPr="00A974F3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2832D56C" w14:textId="77777777" w:rsidR="004E49A4" w:rsidRPr="00A974F3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Ekonomikas ministrs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R. Nemiro</w:t>
      </w:r>
    </w:p>
    <w:p w14:paraId="41706260" w14:textId="11173036" w:rsidR="004E49A4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A130AE" w14:textId="77777777" w:rsidR="00007DC1" w:rsidRPr="004E49A4" w:rsidRDefault="00007DC1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7ACA47" w14:textId="77777777" w:rsidR="004E49A4" w:rsidRPr="004E49A4" w:rsidRDefault="004E49A4" w:rsidP="00E472F8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9A4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14:paraId="6C71D60E" w14:textId="77777777" w:rsidR="00770D2D" w:rsidRDefault="00770D2D" w:rsidP="00770D2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3B0F">
        <w:rPr>
          <w:rFonts w:ascii="Times New Roman" w:hAnsi="Times New Roman" w:cs="Times New Roman"/>
          <w:bCs/>
          <w:sz w:val="24"/>
          <w:szCs w:val="24"/>
        </w:rPr>
        <w:t>Valsts sekretār</w:t>
      </w:r>
      <w:r>
        <w:rPr>
          <w:rFonts w:ascii="Times New Roman" w:hAnsi="Times New Roman" w:cs="Times New Roman"/>
          <w:bCs/>
          <w:sz w:val="24"/>
          <w:szCs w:val="24"/>
        </w:rPr>
        <w:t>a vietā –</w:t>
      </w:r>
    </w:p>
    <w:p w14:paraId="615A463B" w14:textId="0831E913" w:rsidR="006E0534" w:rsidRPr="004E49A4" w:rsidRDefault="00770D2D" w:rsidP="00770D2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83B0F">
        <w:rPr>
          <w:rFonts w:ascii="Times New Roman" w:hAnsi="Times New Roman" w:cs="Times New Roman"/>
          <w:bCs/>
          <w:sz w:val="24"/>
          <w:szCs w:val="24"/>
        </w:rPr>
        <w:t>alsts sekretār</w:t>
      </w:r>
      <w:r>
        <w:rPr>
          <w:rFonts w:ascii="Times New Roman" w:hAnsi="Times New Roman" w:cs="Times New Roman"/>
          <w:bCs/>
          <w:sz w:val="24"/>
          <w:szCs w:val="24"/>
        </w:rPr>
        <w:t>a vietnieks</w:t>
      </w:r>
      <w:r w:rsidRPr="00683B0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Dz</w:t>
      </w:r>
      <w:r w:rsidRPr="00683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Kauliņš</w:t>
      </w:r>
      <w:bookmarkStart w:id="0" w:name="_GoBack"/>
      <w:bookmarkEnd w:id="0"/>
    </w:p>
    <w:sectPr w:rsidR="006E0534" w:rsidRPr="004E49A4" w:rsidSect="004B7A51">
      <w:headerReference w:type="default" r:id="rId7"/>
      <w:footerReference w:type="default" r:id="rId8"/>
      <w:footerReference w:type="first" r:id="rId9"/>
      <w:pgSz w:w="11906" w:h="16838"/>
      <w:pgMar w:top="1276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A20B" w14:textId="77777777" w:rsidR="00AD6964" w:rsidRDefault="00AD6964" w:rsidP="001D2FBC">
      <w:pPr>
        <w:spacing w:after="0" w:line="240" w:lineRule="auto"/>
      </w:pPr>
      <w:r>
        <w:separator/>
      </w:r>
    </w:p>
  </w:endnote>
  <w:endnote w:type="continuationSeparator" w:id="0">
    <w:p w14:paraId="3A7103A6" w14:textId="77777777" w:rsidR="00AD6964" w:rsidRDefault="00AD6964" w:rsidP="001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4703" w14:textId="05082666" w:rsidR="001D2FBC" w:rsidRPr="001D2FBC" w:rsidRDefault="001D2FB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</w:t>
    </w:r>
    <w:r w:rsidR="00E20C7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1219_LBN231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4DEE" w14:textId="22665FDE" w:rsidR="00624FBB" w:rsidRPr="00624FBB" w:rsidRDefault="00624FB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</w:t>
    </w:r>
    <w:r w:rsidR="00BA1049">
      <w:rPr>
        <w:rFonts w:ascii="Times New Roman" w:hAnsi="Times New Roman" w:cs="Times New Roman"/>
        <w:sz w:val="20"/>
        <w:szCs w:val="20"/>
      </w:rPr>
      <w:t>1202</w:t>
    </w:r>
    <w:r w:rsidR="00E20C7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_LBN2</w:t>
    </w:r>
    <w:r w:rsidR="00F87E0D">
      <w:rPr>
        <w:rFonts w:ascii="Times New Roman" w:hAnsi="Times New Roman" w:cs="Times New Roman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2361" w14:textId="77777777" w:rsidR="00AD6964" w:rsidRDefault="00AD6964" w:rsidP="001D2FBC">
      <w:pPr>
        <w:spacing w:after="0" w:line="240" w:lineRule="auto"/>
      </w:pPr>
      <w:r>
        <w:separator/>
      </w:r>
    </w:p>
  </w:footnote>
  <w:footnote w:type="continuationSeparator" w:id="0">
    <w:p w14:paraId="509FC05A" w14:textId="77777777" w:rsidR="00AD6964" w:rsidRDefault="00AD6964" w:rsidP="001D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99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5979B6" w14:textId="7F41692E" w:rsidR="00624FBB" w:rsidRPr="00624FBB" w:rsidRDefault="00624F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3DFFC2A" w14:textId="77777777" w:rsidR="00624FBB" w:rsidRDefault="0062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0D"/>
    <w:multiLevelType w:val="hybridMultilevel"/>
    <w:tmpl w:val="4F2A7FA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736"/>
    <w:multiLevelType w:val="hybridMultilevel"/>
    <w:tmpl w:val="3DD2EE14"/>
    <w:lvl w:ilvl="0" w:tplc="EA183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9192F"/>
    <w:multiLevelType w:val="multilevel"/>
    <w:tmpl w:val="8C7A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1B6"/>
    <w:multiLevelType w:val="hybridMultilevel"/>
    <w:tmpl w:val="0072802A"/>
    <w:lvl w:ilvl="0" w:tplc="16006A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8026D3"/>
    <w:multiLevelType w:val="multilevel"/>
    <w:tmpl w:val="90A238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323B78"/>
    <w:multiLevelType w:val="hybridMultilevel"/>
    <w:tmpl w:val="271A8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A6"/>
    <w:multiLevelType w:val="multilevel"/>
    <w:tmpl w:val="D50E2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3"/>
    <w:rsid w:val="00007DC1"/>
    <w:rsid w:val="00046F31"/>
    <w:rsid w:val="0006609A"/>
    <w:rsid w:val="00077E60"/>
    <w:rsid w:val="000E567C"/>
    <w:rsid w:val="000F08B2"/>
    <w:rsid w:val="00121A6B"/>
    <w:rsid w:val="00153E1B"/>
    <w:rsid w:val="00156D91"/>
    <w:rsid w:val="00175A4A"/>
    <w:rsid w:val="001D2FBC"/>
    <w:rsid w:val="001D5830"/>
    <w:rsid w:val="00292639"/>
    <w:rsid w:val="002A5127"/>
    <w:rsid w:val="002B7ECD"/>
    <w:rsid w:val="002F2771"/>
    <w:rsid w:val="003A4603"/>
    <w:rsid w:val="003D3E7B"/>
    <w:rsid w:val="003D6407"/>
    <w:rsid w:val="003D7825"/>
    <w:rsid w:val="004258E2"/>
    <w:rsid w:val="00454266"/>
    <w:rsid w:val="004B7A51"/>
    <w:rsid w:val="004D5EF4"/>
    <w:rsid w:val="004E49A4"/>
    <w:rsid w:val="00502E05"/>
    <w:rsid w:val="00561634"/>
    <w:rsid w:val="00593185"/>
    <w:rsid w:val="005A4D6E"/>
    <w:rsid w:val="005B5E86"/>
    <w:rsid w:val="005C6490"/>
    <w:rsid w:val="005D72D8"/>
    <w:rsid w:val="0060016A"/>
    <w:rsid w:val="00624FBB"/>
    <w:rsid w:val="00646707"/>
    <w:rsid w:val="0065761C"/>
    <w:rsid w:val="00686213"/>
    <w:rsid w:val="006E0534"/>
    <w:rsid w:val="006E2F04"/>
    <w:rsid w:val="00710BA6"/>
    <w:rsid w:val="00751A97"/>
    <w:rsid w:val="00760F63"/>
    <w:rsid w:val="00764641"/>
    <w:rsid w:val="00770D2D"/>
    <w:rsid w:val="0077582D"/>
    <w:rsid w:val="007B1B7A"/>
    <w:rsid w:val="007E3EC4"/>
    <w:rsid w:val="007F6EC3"/>
    <w:rsid w:val="008254BB"/>
    <w:rsid w:val="00827C5A"/>
    <w:rsid w:val="008454D7"/>
    <w:rsid w:val="00865260"/>
    <w:rsid w:val="008907B4"/>
    <w:rsid w:val="008941AB"/>
    <w:rsid w:val="00963D12"/>
    <w:rsid w:val="009A696A"/>
    <w:rsid w:val="00A87DB2"/>
    <w:rsid w:val="00A974F3"/>
    <w:rsid w:val="00AA19FD"/>
    <w:rsid w:val="00AB487C"/>
    <w:rsid w:val="00AC27FB"/>
    <w:rsid w:val="00AD6964"/>
    <w:rsid w:val="00AE030C"/>
    <w:rsid w:val="00B3715D"/>
    <w:rsid w:val="00BA1049"/>
    <w:rsid w:val="00BE43D2"/>
    <w:rsid w:val="00BF4B96"/>
    <w:rsid w:val="00C353D6"/>
    <w:rsid w:val="00C461A4"/>
    <w:rsid w:val="00C714F6"/>
    <w:rsid w:val="00D16F4C"/>
    <w:rsid w:val="00D23C76"/>
    <w:rsid w:val="00D42968"/>
    <w:rsid w:val="00D57623"/>
    <w:rsid w:val="00D72DBA"/>
    <w:rsid w:val="00DE1E21"/>
    <w:rsid w:val="00E20C77"/>
    <w:rsid w:val="00E36C78"/>
    <w:rsid w:val="00E37B82"/>
    <w:rsid w:val="00E472F8"/>
    <w:rsid w:val="00E53923"/>
    <w:rsid w:val="00E543FA"/>
    <w:rsid w:val="00EC4259"/>
    <w:rsid w:val="00EE51B4"/>
    <w:rsid w:val="00F71D35"/>
    <w:rsid w:val="00F7384B"/>
    <w:rsid w:val="00F7635B"/>
    <w:rsid w:val="00F87E0D"/>
    <w:rsid w:val="00FD16B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00F8C0"/>
  <w15:chartTrackingRefBased/>
  <w15:docId w15:val="{13E7875E-6D0F-4116-9578-8F3CF06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E0534"/>
    <w:rPr>
      <w:color w:val="0000FF"/>
      <w:u w:val="single"/>
    </w:rPr>
  </w:style>
  <w:style w:type="character" w:customStyle="1" w:styleId="superscript">
    <w:name w:val="superscript"/>
    <w:basedOn w:val="DefaultParagraphFont"/>
    <w:rsid w:val="006E0534"/>
  </w:style>
  <w:style w:type="paragraph" w:styleId="ListParagraph">
    <w:name w:val="List Paragraph"/>
    <w:basedOn w:val="Normal"/>
    <w:uiPriority w:val="34"/>
    <w:qFormat/>
    <w:rsid w:val="00D23C76"/>
    <w:pPr>
      <w:ind w:left="720"/>
      <w:contextualSpacing/>
    </w:pPr>
  </w:style>
  <w:style w:type="paragraph" w:customStyle="1" w:styleId="paragraph">
    <w:name w:val="paragraph"/>
    <w:basedOn w:val="Normal"/>
    <w:rsid w:val="00F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71D35"/>
  </w:style>
  <w:style w:type="character" w:customStyle="1" w:styleId="spellingerror">
    <w:name w:val="spellingerror"/>
    <w:basedOn w:val="DefaultParagraphFont"/>
    <w:rsid w:val="00F71D35"/>
  </w:style>
  <w:style w:type="character" w:customStyle="1" w:styleId="eop">
    <w:name w:val="eop"/>
    <w:basedOn w:val="DefaultParagraphFont"/>
    <w:rsid w:val="00A974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7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C"/>
  </w:style>
  <w:style w:type="paragraph" w:styleId="Footer">
    <w:name w:val="footer"/>
    <w:basedOn w:val="Normal"/>
    <w:link w:val="Foot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C"/>
  </w:style>
  <w:style w:type="paragraph" w:styleId="BalloonText">
    <w:name w:val="Balloon Text"/>
    <w:basedOn w:val="Normal"/>
    <w:link w:val="BalloonTextChar"/>
    <w:uiPriority w:val="99"/>
    <w:semiHidden/>
    <w:unhideWhenUsed/>
    <w:rsid w:val="00E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2015. gada 30. jūnija noteikumos Nr. 340 “Noteikumi par Latvijas būvnormatīvu LBN 211-15 “Dzīvojamās ēkas”””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340 “Noteikumi par Latvijas būvnormatīvu LBN 211-15 “Dzīvojamās ēkas”””</dc:title>
  <dc:subject/>
  <dc:creator>Marta.Bergmane@em.gov.lv</dc:creator>
  <cp:keywords>MK noteikumi</cp:keywords>
  <dc:description>67013041,
Marta.Bergmane@em.gov.lv</dc:description>
  <cp:lastModifiedBy>Rolands Vītiņš</cp:lastModifiedBy>
  <cp:revision>3</cp:revision>
  <cp:lastPrinted>2020-01-22T10:30:00Z</cp:lastPrinted>
  <dcterms:created xsi:type="dcterms:W3CDTF">2020-02-12T07:13:00Z</dcterms:created>
  <dcterms:modified xsi:type="dcterms:W3CDTF">2020-02-13T09:02:00Z</dcterms:modified>
</cp:coreProperties>
</file>