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F572" w14:textId="48FBC305" w:rsidR="00192C15" w:rsidRPr="00DD7698" w:rsidRDefault="00192C15" w:rsidP="00306532">
      <w:pPr>
        <w:spacing w:before="0" w:after="0" w:line="240" w:lineRule="auto"/>
        <w:jc w:val="center"/>
        <w:rPr>
          <w:b/>
          <w:sz w:val="28"/>
          <w:szCs w:val="28"/>
          <w:lang w:val="lv-LV"/>
        </w:rPr>
      </w:pPr>
      <w:bookmarkStart w:id="0" w:name="_Hlk1397384"/>
      <w:r w:rsidRPr="00DD7698">
        <w:rPr>
          <w:b/>
          <w:sz w:val="28"/>
          <w:szCs w:val="28"/>
          <w:lang w:val="lv-LV"/>
        </w:rPr>
        <w:t xml:space="preserve">Informatīvais ziņojums </w:t>
      </w:r>
      <w:r w:rsidR="00C075F8" w:rsidRPr="00DD7698">
        <w:rPr>
          <w:b/>
          <w:sz w:val="28"/>
          <w:szCs w:val="28"/>
          <w:lang w:val="lv-LV"/>
        </w:rPr>
        <w:t>p</w:t>
      </w:r>
      <w:r w:rsidRPr="00DD7698">
        <w:rPr>
          <w:b/>
          <w:sz w:val="28"/>
          <w:szCs w:val="28"/>
          <w:lang w:val="lv-LV"/>
        </w:rPr>
        <w:t>ar</w:t>
      </w:r>
      <w:r w:rsidR="00D966AE" w:rsidRPr="00DD7698">
        <w:rPr>
          <w:b/>
          <w:sz w:val="28"/>
          <w:szCs w:val="28"/>
          <w:lang w:val="lv-LV"/>
        </w:rPr>
        <w:t xml:space="preserve"> </w:t>
      </w:r>
      <w:bookmarkStart w:id="1" w:name="_Hlk15392856"/>
      <w:r w:rsidR="00306532" w:rsidRPr="00DD7698">
        <w:rPr>
          <w:rFonts w:eastAsia="Calibri"/>
          <w:b/>
          <w:sz w:val="28"/>
          <w:szCs w:val="28"/>
          <w:lang w:val="lv-LV"/>
        </w:rPr>
        <w:t>Eiropas Parlamenta un Eiropas Padomes regulu (ES) 2019/452 (2019. gada 19. marts), ar ko izveido regulējumu ārvalstu tiešo ieguldījumu Savienībā izvērtēšanai</w:t>
      </w:r>
      <w:bookmarkEnd w:id="1"/>
      <w:r w:rsidR="00306532" w:rsidRPr="00DD7698">
        <w:rPr>
          <w:rFonts w:eastAsia="Calibri"/>
          <w:b/>
          <w:sz w:val="28"/>
          <w:szCs w:val="28"/>
          <w:lang w:val="lv-LV"/>
        </w:rPr>
        <w:t>, kontaktpunkta ieviešanu Latvijas Republikā</w:t>
      </w:r>
    </w:p>
    <w:bookmarkEnd w:id="0"/>
    <w:p w14:paraId="31407157" w14:textId="77777777" w:rsidR="00306532" w:rsidRPr="00DD7698" w:rsidRDefault="00306532" w:rsidP="004B71FE">
      <w:pPr>
        <w:spacing w:before="0" w:after="0" w:line="240" w:lineRule="auto"/>
        <w:rPr>
          <w:sz w:val="28"/>
          <w:szCs w:val="28"/>
          <w:lang w:val="lv-LV"/>
        </w:rPr>
      </w:pPr>
    </w:p>
    <w:p w14:paraId="3FE74AC3" w14:textId="12AA62FF" w:rsidR="00292CA0" w:rsidRPr="00DD7698" w:rsidRDefault="00292CA0" w:rsidP="00AC52DD">
      <w:pPr>
        <w:pStyle w:val="ListParagraph"/>
        <w:numPr>
          <w:ilvl w:val="0"/>
          <w:numId w:val="19"/>
        </w:numPr>
        <w:spacing w:before="0" w:after="0" w:line="240" w:lineRule="auto"/>
        <w:jc w:val="center"/>
        <w:rPr>
          <w:rFonts w:eastAsia="Calibri"/>
          <w:b/>
          <w:sz w:val="28"/>
          <w:szCs w:val="28"/>
          <w:lang w:val="lv-LV"/>
        </w:rPr>
      </w:pPr>
      <w:r w:rsidRPr="00DD7698">
        <w:rPr>
          <w:rFonts w:eastAsia="Calibri"/>
          <w:b/>
          <w:sz w:val="28"/>
          <w:szCs w:val="28"/>
          <w:lang w:val="lv-LV"/>
        </w:rPr>
        <w:t>Ievads</w:t>
      </w:r>
    </w:p>
    <w:p w14:paraId="5BAFD062" w14:textId="77777777" w:rsidR="00292CA0" w:rsidRPr="00DD7698" w:rsidRDefault="00292CA0" w:rsidP="004B71FE">
      <w:pPr>
        <w:spacing w:before="0" w:after="0" w:line="240" w:lineRule="auto"/>
        <w:rPr>
          <w:rFonts w:eastAsia="Calibri"/>
          <w:bCs/>
          <w:sz w:val="28"/>
          <w:szCs w:val="28"/>
          <w:lang w:val="lv-LV"/>
        </w:rPr>
      </w:pPr>
    </w:p>
    <w:p w14:paraId="39E175E8" w14:textId="10B8F35F" w:rsidR="004058AC" w:rsidRPr="00DD7698" w:rsidRDefault="00B36F80" w:rsidP="004B71FE">
      <w:pPr>
        <w:spacing w:before="0" w:after="0" w:line="240" w:lineRule="auto"/>
        <w:rPr>
          <w:rFonts w:eastAsia="Calibri"/>
          <w:bCs/>
          <w:sz w:val="28"/>
          <w:szCs w:val="28"/>
          <w:lang w:val="lv-LV"/>
        </w:rPr>
      </w:pPr>
      <w:r w:rsidRPr="00DD7698">
        <w:rPr>
          <w:rFonts w:eastAsia="Calibri"/>
          <w:bCs/>
          <w:sz w:val="28"/>
          <w:szCs w:val="28"/>
          <w:lang w:val="lv-LV"/>
        </w:rPr>
        <w:t>Eiropas Parlamenta un Eiropas Padomes regul</w:t>
      </w:r>
      <w:r w:rsidR="00FF1D95" w:rsidRPr="00DD7698">
        <w:rPr>
          <w:rFonts w:eastAsia="Calibri"/>
          <w:bCs/>
          <w:sz w:val="28"/>
          <w:szCs w:val="28"/>
          <w:lang w:val="lv-LV"/>
        </w:rPr>
        <w:t>a</w:t>
      </w:r>
      <w:r w:rsidRPr="00DD7698">
        <w:rPr>
          <w:rFonts w:eastAsia="Calibri"/>
          <w:bCs/>
          <w:sz w:val="28"/>
          <w:szCs w:val="28"/>
          <w:lang w:val="lv-LV"/>
        </w:rPr>
        <w:t xml:space="preserve"> (ES) 2019/452 (2019. gada 19. marts), ar ko izveido regulējumu ārvalstu tiešo ieguldījumu Savienībā izvērtēšanai (turpmāk – </w:t>
      </w:r>
      <w:r w:rsidR="0081331A" w:rsidRPr="00DD7698">
        <w:rPr>
          <w:rFonts w:eastAsia="Calibri"/>
          <w:bCs/>
          <w:sz w:val="28"/>
          <w:szCs w:val="28"/>
          <w:lang w:val="lv-LV"/>
        </w:rPr>
        <w:t>R</w:t>
      </w:r>
      <w:r w:rsidRPr="00DD7698">
        <w:rPr>
          <w:rFonts w:eastAsia="Calibri"/>
          <w:bCs/>
          <w:sz w:val="28"/>
          <w:szCs w:val="28"/>
          <w:lang w:val="lv-LV"/>
        </w:rPr>
        <w:t>egula)</w:t>
      </w:r>
      <w:r w:rsidR="00FF1D95" w:rsidRPr="00DD7698">
        <w:rPr>
          <w:rFonts w:eastAsia="Calibri"/>
          <w:bCs/>
          <w:sz w:val="28"/>
          <w:szCs w:val="28"/>
          <w:lang w:val="lv-LV"/>
        </w:rPr>
        <w:t>,</w:t>
      </w:r>
      <w:r w:rsidRPr="00DD7698">
        <w:rPr>
          <w:rFonts w:eastAsia="Calibri"/>
          <w:bCs/>
          <w:sz w:val="28"/>
          <w:szCs w:val="28"/>
          <w:lang w:val="lv-LV"/>
        </w:rPr>
        <w:t xml:space="preserve"> stājās spēkā 2019. gada 10. aprīlī</w:t>
      </w:r>
      <w:r w:rsidR="00FF1D95" w:rsidRPr="00DD7698">
        <w:rPr>
          <w:rFonts w:eastAsia="Calibri"/>
          <w:bCs/>
          <w:sz w:val="28"/>
          <w:szCs w:val="28"/>
          <w:lang w:val="lv-LV"/>
        </w:rPr>
        <w:t>.</w:t>
      </w:r>
      <w:r w:rsidR="004058AC" w:rsidRPr="00DD7698">
        <w:rPr>
          <w:rFonts w:eastAsia="Calibri"/>
          <w:bCs/>
          <w:sz w:val="28"/>
          <w:szCs w:val="28"/>
          <w:lang w:val="lv-LV"/>
        </w:rPr>
        <w:t xml:space="preserve"> Savukārt piemērojama tā būs no 2020.gada 1.oktobra.</w:t>
      </w:r>
    </w:p>
    <w:p w14:paraId="22B90839" w14:textId="77777777" w:rsidR="006B5A5F" w:rsidRPr="00DD7698" w:rsidRDefault="00FE69DC" w:rsidP="006B5A5F">
      <w:pPr>
        <w:spacing w:before="0" w:after="0" w:line="240" w:lineRule="auto"/>
        <w:rPr>
          <w:rFonts w:eastAsia="Calibri"/>
          <w:bCs/>
          <w:sz w:val="28"/>
          <w:szCs w:val="28"/>
          <w:lang w:val="lv-LV"/>
        </w:rPr>
      </w:pPr>
      <w:r w:rsidRPr="00DD7698">
        <w:rPr>
          <w:rFonts w:eastAsia="Calibri"/>
          <w:bCs/>
          <w:sz w:val="28"/>
          <w:szCs w:val="28"/>
          <w:lang w:val="lv-LV"/>
        </w:rPr>
        <w:t xml:space="preserve">Ar </w:t>
      </w:r>
      <w:r w:rsidR="00AC52DD" w:rsidRPr="00DD7698">
        <w:rPr>
          <w:rFonts w:eastAsia="Calibri"/>
          <w:bCs/>
          <w:sz w:val="28"/>
          <w:szCs w:val="28"/>
          <w:lang w:val="lv-LV"/>
        </w:rPr>
        <w:t>R</w:t>
      </w:r>
      <w:r w:rsidR="002C73A9" w:rsidRPr="00DD7698">
        <w:rPr>
          <w:rFonts w:eastAsia="Calibri"/>
          <w:bCs/>
          <w:sz w:val="28"/>
          <w:szCs w:val="28"/>
          <w:lang w:val="lv-LV"/>
        </w:rPr>
        <w:t>egulu</w:t>
      </w:r>
      <w:r w:rsidR="004058AC" w:rsidRPr="00DD7698">
        <w:rPr>
          <w:rFonts w:eastAsia="Calibri"/>
          <w:bCs/>
          <w:sz w:val="28"/>
          <w:szCs w:val="28"/>
          <w:lang w:val="lv-LV"/>
        </w:rPr>
        <w:t xml:space="preserve"> </w:t>
      </w:r>
      <w:r w:rsidRPr="00DD7698">
        <w:rPr>
          <w:rFonts w:eastAsia="Calibri"/>
          <w:bCs/>
          <w:sz w:val="28"/>
          <w:szCs w:val="28"/>
          <w:lang w:val="lv-LV"/>
        </w:rPr>
        <w:t>tiek ieviests vienots tiesiskais regulējums ar mērķi novērst apdraudējumu drošībai un sabiedriskajai kārtībai, ko var radīt ārvalstu tiešie ieguldījumi. Lai sasniegtu minēto mērķi, dalībvalstīm</w:t>
      </w:r>
      <w:r w:rsidR="003F0BDB" w:rsidRPr="00DD7698">
        <w:rPr>
          <w:rFonts w:eastAsia="Calibri"/>
          <w:bCs/>
          <w:sz w:val="28"/>
          <w:szCs w:val="28"/>
          <w:lang w:val="lv-LV"/>
        </w:rPr>
        <w:t xml:space="preserve"> paredzēts</w:t>
      </w:r>
      <w:r w:rsidRPr="00DD7698">
        <w:rPr>
          <w:rFonts w:eastAsia="Calibri"/>
          <w:bCs/>
          <w:sz w:val="28"/>
          <w:szCs w:val="28"/>
          <w:lang w:val="lv-LV"/>
        </w:rPr>
        <w:t xml:space="preserve"> veikt ārvalstu tiešo ieguldījumu izvērtēšanu </w:t>
      </w:r>
      <w:r w:rsidR="00C06BB8" w:rsidRPr="00DD7698">
        <w:rPr>
          <w:rFonts w:eastAsia="Calibri"/>
          <w:bCs/>
          <w:sz w:val="28"/>
          <w:szCs w:val="28"/>
          <w:lang w:val="lv-LV"/>
        </w:rPr>
        <w:t>Eiropas Savienībā</w:t>
      </w:r>
      <w:r w:rsidRPr="00DD7698">
        <w:rPr>
          <w:rFonts w:eastAsia="Calibri"/>
          <w:bCs/>
          <w:sz w:val="28"/>
          <w:szCs w:val="28"/>
          <w:lang w:val="lv-LV"/>
        </w:rPr>
        <w:t>, stiprinot E</w:t>
      </w:r>
      <w:r w:rsidR="00292CA0" w:rsidRPr="00DD7698">
        <w:rPr>
          <w:rFonts w:eastAsia="Calibri"/>
          <w:bCs/>
          <w:sz w:val="28"/>
          <w:szCs w:val="28"/>
          <w:lang w:val="lv-LV"/>
        </w:rPr>
        <w:t xml:space="preserve">iropas </w:t>
      </w:r>
      <w:r w:rsidR="003F0BDB" w:rsidRPr="00DD7698">
        <w:rPr>
          <w:rFonts w:eastAsia="Calibri"/>
          <w:bCs/>
          <w:sz w:val="28"/>
          <w:szCs w:val="28"/>
          <w:lang w:val="lv-LV"/>
        </w:rPr>
        <w:t>S</w:t>
      </w:r>
      <w:r w:rsidR="00292CA0" w:rsidRPr="00DD7698">
        <w:rPr>
          <w:rFonts w:eastAsia="Calibri"/>
          <w:bCs/>
          <w:sz w:val="28"/>
          <w:szCs w:val="28"/>
          <w:lang w:val="lv-LV"/>
        </w:rPr>
        <w:t>avienības</w:t>
      </w:r>
      <w:r w:rsidRPr="00DD7698">
        <w:rPr>
          <w:rFonts w:eastAsia="Calibri"/>
          <w:bCs/>
          <w:sz w:val="28"/>
          <w:szCs w:val="28"/>
          <w:lang w:val="lv-LV"/>
        </w:rPr>
        <w:t xml:space="preserve"> mēroga saziņu un sadarbību attiecībā uz tādu ārvalstu tiešo ieguldījumu izvērtēšanu, kas varētu ietekmēt drošību un sabiedrisko kārtību</w:t>
      </w:r>
      <w:r w:rsidR="006B5A5F" w:rsidRPr="00DD7698">
        <w:rPr>
          <w:rFonts w:eastAsia="Calibri"/>
          <w:bCs/>
          <w:sz w:val="28"/>
          <w:szCs w:val="28"/>
          <w:lang w:val="lv-LV"/>
        </w:rPr>
        <w:t>,</w:t>
      </w:r>
      <w:r w:rsidRPr="00DD7698">
        <w:rPr>
          <w:rFonts w:eastAsia="Calibri"/>
          <w:bCs/>
          <w:sz w:val="28"/>
          <w:szCs w:val="28"/>
          <w:lang w:val="lv-LV"/>
        </w:rPr>
        <w:t xml:space="preserve"> </w:t>
      </w:r>
      <w:r w:rsidR="00C06BB8" w:rsidRPr="00DD7698">
        <w:rPr>
          <w:rFonts w:eastAsia="Calibri"/>
          <w:bCs/>
          <w:sz w:val="28"/>
          <w:szCs w:val="28"/>
          <w:lang w:val="lv-LV"/>
        </w:rPr>
        <w:t>paredz</w:t>
      </w:r>
      <w:r w:rsidR="006B5A5F" w:rsidRPr="00DD7698">
        <w:rPr>
          <w:rFonts w:eastAsia="Calibri"/>
          <w:bCs/>
          <w:sz w:val="28"/>
          <w:szCs w:val="28"/>
          <w:lang w:val="lv-LV"/>
        </w:rPr>
        <w:t>ot</w:t>
      </w:r>
      <w:r w:rsidRPr="00DD7698">
        <w:rPr>
          <w:rFonts w:eastAsia="Calibri"/>
          <w:bCs/>
          <w:sz w:val="28"/>
          <w:szCs w:val="28"/>
          <w:lang w:val="lv-LV"/>
        </w:rPr>
        <w:t xml:space="preserve"> savstarpējā</w:t>
      </w:r>
      <w:r w:rsidR="00C06BB8" w:rsidRPr="00DD7698">
        <w:rPr>
          <w:rFonts w:eastAsia="Calibri"/>
          <w:bCs/>
          <w:sz w:val="28"/>
          <w:szCs w:val="28"/>
          <w:lang w:val="lv-LV"/>
        </w:rPr>
        <w:t>s</w:t>
      </w:r>
      <w:r w:rsidRPr="00DD7698">
        <w:rPr>
          <w:rFonts w:eastAsia="Calibri"/>
          <w:bCs/>
          <w:sz w:val="28"/>
          <w:szCs w:val="28"/>
          <w:lang w:val="lv-LV"/>
        </w:rPr>
        <w:t xml:space="preserve"> sadarbības mehānisma starp dalībvalstīm un Eiropas Komisiju (turpmāk – Komisija) jeb kontaktpunkta izveid</w:t>
      </w:r>
      <w:r w:rsidR="00C06BB8" w:rsidRPr="00DD7698">
        <w:rPr>
          <w:rFonts w:eastAsia="Calibri"/>
          <w:bCs/>
          <w:sz w:val="28"/>
          <w:szCs w:val="28"/>
          <w:lang w:val="lv-LV"/>
        </w:rPr>
        <w:t>i</w:t>
      </w:r>
      <w:r w:rsidRPr="00DD7698">
        <w:rPr>
          <w:rFonts w:eastAsia="Calibri"/>
          <w:bCs/>
          <w:sz w:val="28"/>
          <w:szCs w:val="28"/>
          <w:lang w:val="lv-LV"/>
        </w:rPr>
        <w:t xml:space="preserve"> katrā dalībvalstī un Komisijā, informācijas par ārvalstu tiešo ieguldījumu katrā dalībvalstī apkopošanai un savstarpējai apmaiņai.</w:t>
      </w:r>
    </w:p>
    <w:p w14:paraId="39FF0F85" w14:textId="3EC83918" w:rsidR="004C39F1" w:rsidRPr="00DD7698" w:rsidRDefault="006B5A5F" w:rsidP="006B5A5F">
      <w:pPr>
        <w:spacing w:before="0" w:after="0" w:line="240" w:lineRule="auto"/>
        <w:rPr>
          <w:rFonts w:eastAsia="Calibri"/>
          <w:bCs/>
          <w:sz w:val="28"/>
          <w:szCs w:val="28"/>
          <w:lang w:val="lv-LV"/>
        </w:rPr>
      </w:pPr>
      <w:r w:rsidRPr="00DD7698">
        <w:rPr>
          <w:rFonts w:eastAsia="Calibri"/>
          <w:bCs/>
          <w:sz w:val="28"/>
          <w:szCs w:val="28"/>
          <w:lang w:val="lv-LV"/>
        </w:rPr>
        <w:t>R</w:t>
      </w:r>
      <w:r w:rsidR="00414660" w:rsidRPr="00DD7698">
        <w:rPr>
          <w:rFonts w:eastAsia="Calibri"/>
          <w:bCs/>
          <w:sz w:val="28"/>
          <w:szCs w:val="28"/>
          <w:lang w:val="lv-LV"/>
        </w:rPr>
        <w:t>egul</w:t>
      </w:r>
      <w:r w:rsidR="00AE041B" w:rsidRPr="00DD7698">
        <w:rPr>
          <w:rFonts w:eastAsia="Calibri"/>
          <w:bCs/>
          <w:sz w:val="28"/>
          <w:szCs w:val="28"/>
          <w:lang w:val="lv-LV"/>
        </w:rPr>
        <w:t>a</w:t>
      </w:r>
      <w:r w:rsidR="00414660" w:rsidRPr="00DD7698">
        <w:rPr>
          <w:rFonts w:eastAsia="Calibri"/>
          <w:bCs/>
          <w:sz w:val="28"/>
          <w:szCs w:val="28"/>
          <w:lang w:val="lv-LV"/>
        </w:rPr>
        <w:t xml:space="preserve"> saglabā</w:t>
      </w:r>
      <w:r w:rsidR="00FA062B" w:rsidRPr="00DD7698">
        <w:rPr>
          <w:rFonts w:eastAsia="Calibri"/>
          <w:bCs/>
          <w:sz w:val="28"/>
          <w:szCs w:val="28"/>
          <w:lang w:val="lv-LV"/>
        </w:rPr>
        <w:t xml:space="preserve"> katras</w:t>
      </w:r>
      <w:r w:rsidR="00414660" w:rsidRPr="00DD7698">
        <w:rPr>
          <w:rFonts w:eastAsia="Calibri"/>
          <w:bCs/>
          <w:sz w:val="28"/>
          <w:szCs w:val="28"/>
          <w:lang w:val="lv-LV"/>
        </w:rPr>
        <w:t xml:space="preserve"> dalībvalst</w:t>
      </w:r>
      <w:r w:rsidR="00FA062B" w:rsidRPr="00DD7698">
        <w:rPr>
          <w:rFonts w:eastAsia="Calibri"/>
          <w:bCs/>
          <w:sz w:val="28"/>
          <w:szCs w:val="28"/>
          <w:lang w:val="lv-LV"/>
        </w:rPr>
        <w:t>s</w:t>
      </w:r>
      <w:r w:rsidR="00414660" w:rsidRPr="00DD7698">
        <w:rPr>
          <w:rFonts w:eastAsia="Calibri"/>
          <w:bCs/>
          <w:sz w:val="28"/>
          <w:szCs w:val="28"/>
          <w:lang w:val="lv-LV"/>
        </w:rPr>
        <w:t xml:space="preserve"> ārvalstu tiešo ieguldījumu pārbaudes mehānismu valstiskajā līmenī saskaņā ar katras valsts tiesisko regulējumu, ievērojot katras valsts intereses</w:t>
      </w:r>
      <w:r w:rsidR="00D102C2" w:rsidRPr="00DD7698">
        <w:rPr>
          <w:rFonts w:eastAsia="Calibri"/>
          <w:bCs/>
          <w:sz w:val="28"/>
          <w:szCs w:val="28"/>
          <w:lang w:val="lv-LV"/>
        </w:rPr>
        <w:t xml:space="preserve"> un</w:t>
      </w:r>
      <w:r w:rsidR="00414660" w:rsidRPr="00DD7698">
        <w:rPr>
          <w:rFonts w:eastAsia="Calibri"/>
          <w:bCs/>
          <w:sz w:val="28"/>
          <w:szCs w:val="28"/>
          <w:lang w:val="lv-LV"/>
        </w:rPr>
        <w:t xml:space="preserve"> </w:t>
      </w:r>
      <w:r w:rsidR="00FA062B" w:rsidRPr="00DD7698">
        <w:rPr>
          <w:rFonts w:eastAsia="Calibri"/>
          <w:bCs/>
          <w:sz w:val="28"/>
          <w:szCs w:val="28"/>
          <w:lang w:val="lv-LV"/>
        </w:rPr>
        <w:t>specifiku</w:t>
      </w:r>
      <w:r w:rsidR="00414660" w:rsidRPr="00DD7698">
        <w:rPr>
          <w:rFonts w:eastAsia="Calibri"/>
          <w:bCs/>
          <w:sz w:val="28"/>
          <w:szCs w:val="28"/>
          <w:lang w:val="lv-LV"/>
        </w:rPr>
        <w:t xml:space="preserve">. </w:t>
      </w:r>
      <w:r w:rsidRPr="00DD7698">
        <w:rPr>
          <w:rFonts w:eastAsia="Calibri"/>
          <w:bCs/>
          <w:sz w:val="28"/>
          <w:szCs w:val="28"/>
          <w:lang w:val="lv-LV"/>
        </w:rPr>
        <w:t>D</w:t>
      </w:r>
      <w:r w:rsidR="00D9404D" w:rsidRPr="00DD7698">
        <w:rPr>
          <w:rFonts w:eastAsia="Calibri"/>
          <w:bCs/>
          <w:sz w:val="28"/>
          <w:szCs w:val="28"/>
          <w:lang w:val="lv-LV"/>
        </w:rPr>
        <w:t>alībvalstīm netiek uzlikts par pienākumu izveidot vai papildināt jau esošos ārvalstu</w:t>
      </w:r>
      <w:r w:rsidRPr="00DD7698">
        <w:rPr>
          <w:rFonts w:eastAsia="Calibri"/>
          <w:bCs/>
          <w:sz w:val="28"/>
          <w:szCs w:val="28"/>
          <w:lang w:val="lv-LV"/>
        </w:rPr>
        <w:t xml:space="preserve"> tiešo</w:t>
      </w:r>
      <w:r w:rsidR="00D9404D" w:rsidRPr="00DD7698">
        <w:rPr>
          <w:rFonts w:eastAsia="Calibri"/>
          <w:bCs/>
          <w:sz w:val="28"/>
          <w:szCs w:val="28"/>
          <w:lang w:val="lv-LV"/>
        </w:rPr>
        <w:t xml:space="preserve"> ieguldījumu izvērtēšanas mehānismus</w:t>
      </w:r>
      <w:r w:rsidR="00FA062B" w:rsidRPr="00DD7698">
        <w:rPr>
          <w:rFonts w:eastAsia="Calibri"/>
          <w:bCs/>
          <w:sz w:val="28"/>
          <w:szCs w:val="28"/>
          <w:lang w:val="lv-LV"/>
        </w:rPr>
        <w:t>, tā kā atbilstoši Līguma par Eiropas Savienības darbību 65.panta 1.punkta b) apakšpunktam katra</w:t>
      </w:r>
      <w:r w:rsidR="00D102C2" w:rsidRPr="00DD7698">
        <w:rPr>
          <w:rFonts w:eastAsia="Calibri"/>
          <w:bCs/>
          <w:sz w:val="28"/>
          <w:szCs w:val="28"/>
          <w:lang w:val="lv-LV"/>
        </w:rPr>
        <w:t>s</w:t>
      </w:r>
      <w:r w:rsidR="00FA062B" w:rsidRPr="00DD7698">
        <w:rPr>
          <w:rFonts w:eastAsia="Calibri"/>
          <w:bCs/>
          <w:sz w:val="28"/>
          <w:szCs w:val="28"/>
          <w:lang w:val="lv-LV"/>
        </w:rPr>
        <w:t xml:space="preserve"> dalībvalst</w:t>
      </w:r>
      <w:r w:rsidR="00D102C2" w:rsidRPr="00DD7698">
        <w:rPr>
          <w:rFonts w:eastAsia="Calibri"/>
          <w:bCs/>
          <w:sz w:val="28"/>
          <w:szCs w:val="28"/>
          <w:lang w:val="lv-LV"/>
        </w:rPr>
        <w:t>s</w:t>
      </w:r>
      <w:r w:rsidR="00FA062B" w:rsidRPr="00DD7698">
        <w:rPr>
          <w:rFonts w:eastAsia="Calibri"/>
          <w:bCs/>
          <w:sz w:val="28"/>
          <w:szCs w:val="28"/>
          <w:lang w:val="lv-LV"/>
        </w:rPr>
        <w:t xml:space="preserve"> ekskluzīv</w:t>
      </w:r>
      <w:r w:rsidR="00D102C2" w:rsidRPr="00DD7698">
        <w:rPr>
          <w:rFonts w:eastAsia="Calibri"/>
          <w:bCs/>
          <w:sz w:val="28"/>
          <w:szCs w:val="28"/>
          <w:lang w:val="lv-LV"/>
        </w:rPr>
        <w:t>ā</w:t>
      </w:r>
      <w:r w:rsidR="00FA062B" w:rsidRPr="00DD7698">
        <w:rPr>
          <w:rFonts w:eastAsia="Calibri"/>
          <w:bCs/>
          <w:sz w:val="28"/>
          <w:szCs w:val="28"/>
          <w:lang w:val="lv-LV"/>
        </w:rPr>
        <w:t xml:space="preserve"> </w:t>
      </w:r>
      <w:r w:rsidR="00BB06E7" w:rsidRPr="00DD7698">
        <w:rPr>
          <w:rFonts w:eastAsia="Calibri"/>
          <w:bCs/>
          <w:sz w:val="28"/>
          <w:szCs w:val="28"/>
          <w:lang w:val="lv-LV"/>
        </w:rPr>
        <w:t xml:space="preserve">kompetencē ir </w:t>
      </w:r>
      <w:r w:rsidR="00FE69DC" w:rsidRPr="00DD7698">
        <w:rPr>
          <w:rFonts w:eastAsia="Calibri"/>
          <w:bCs/>
          <w:sz w:val="28"/>
          <w:szCs w:val="28"/>
          <w:lang w:val="lv-LV"/>
        </w:rPr>
        <w:t>izvērtēt, vai ir pamats</w:t>
      </w:r>
      <w:r w:rsidR="00FA062B" w:rsidRPr="00DD7698">
        <w:rPr>
          <w:rFonts w:eastAsia="Calibri"/>
          <w:bCs/>
          <w:sz w:val="28"/>
          <w:szCs w:val="28"/>
          <w:lang w:val="lv-LV"/>
        </w:rPr>
        <w:t xml:space="preserve"> atkāpties no kapitāla brīvas aprites</w:t>
      </w:r>
      <w:r w:rsidR="00D9404D" w:rsidRPr="00DD7698">
        <w:rPr>
          <w:rFonts w:eastAsia="Calibri"/>
          <w:bCs/>
          <w:sz w:val="28"/>
          <w:szCs w:val="28"/>
          <w:lang w:val="lv-LV"/>
        </w:rPr>
        <w:t xml:space="preserve">. </w:t>
      </w:r>
      <w:r w:rsidR="004C39F1" w:rsidRPr="00DD7698">
        <w:rPr>
          <w:rFonts w:eastAsia="Calibri"/>
          <w:bCs/>
          <w:sz w:val="28"/>
          <w:szCs w:val="28"/>
          <w:lang w:val="lv-LV"/>
        </w:rPr>
        <w:t>Līdz ar to l</w:t>
      </w:r>
      <w:r w:rsidR="00D9404D" w:rsidRPr="00DD7698">
        <w:rPr>
          <w:rFonts w:eastAsia="Calibri"/>
          <w:bCs/>
          <w:sz w:val="28"/>
          <w:szCs w:val="28"/>
          <w:lang w:val="lv-LV"/>
        </w:rPr>
        <w:t xml:space="preserve">ēmums par ārvalstu tiešo ieguldījumu izvērtēšanas mehānisma izveidi vai konkrētu ārvalstu tiešo ieguldījumu izvērtēšanu paliek vienīgi katras attiecīgās dalībvalsts </w:t>
      </w:r>
      <w:r w:rsidR="00FE69DC" w:rsidRPr="00DD7698">
        <w:rPr>
          <w:rFonts w:eastAsia="Calibri"/>
          <w:bCs/>
          <w:sz w:val="28"/>
          <w:szCs w:val="28"/>
          <w:lang w:val="lv-LV"/>
        </w:rPr>
        <w:t>kompetencē</w:t>
      </w:r>
      <w:r w:rsidR="00D9404D" w:rsidRPr="00DD7698">
        <w:rPr>
          <w:rFonts w:eastAsia="Calibri"/>
          <w:bCs/>
          <w:sz w:val="28"/>
          <w:szCs w:val="28"/>
          <w:lang w:val="lv-LV"/>
        </w:rPr>
        <w:t>.</w:t>
      </w:r>
    </w:p>
    <w:p w14:paraId="2D925A95" w14:textId="77777777" w:rsidR="004058AC" w:rsidRPr="00DD7698" w:rsidRDefault="004058AC" w:rsidP="00260932">
      <w:pPr>
        <w:spacing w:before="0" w:after="0" w:line="240" w:lineRule="auto"/>
        <w:ind w:firstLine="0"/>
        <w:rPr>
          <w:rFonts w:eastAsia="Calibri"/>
          <w:bCs/>
          <w:sz w:val="28"/>
          <w:szCs w:val="28"/>
          <w:lang w:val="lv-LV"/>
        </w:rPr>
      </w:pPr>
    </w:p>
    <w:p w14:paraId="1506B508" w14:textId="3C5A276E" w:rsidR="00FC027E" w:rsidRPr="00DD7698" w:rsidRDefault="00292CA0" w:rsidP="00FD42F0">
      <w:pPr>
        <w:spacing w:before="0" w:after="0" w:line="240" w:lineRule="auto"/>
        <w:ind w:firstLine="0"/>
        <w:jc w:val="center"/>
        <w:rPr>
          <w:rFonts w:eastAsia="Calibri"/>
          <w:b/>
          <w:sz w:val="28"/>
          <w:szCs w:val="28"/>
          <w:lang w:val="lv-LV"/>
        </w:rPr>
      </w:pPr>
      <w:r w:rsidRPr="00DD7698">
        <w:rPr>
          <w:rFonts w:eastAsia="Calibri"/>
          <w:b/>
          <w:sz w:val="28"/>
          <w:szCs w:val="28"/>
          <w:lang w:val="lv-LV"/>
        </w:rPr>
        <w:t>II. R</w:t>
      </w:r>
      <w:r w:rsidR="00FC027E" w:rsidRPr="00DD7698">
        <w:rPr>
          <w:rFonts w:eastAsia="Calibri"/>
          <w:b/>
          <w:sz w:val="28"/>
          <w:szCs w:val="28"/>
          <w:lang w:val="lv-LV"/>
        </w:rPr>
        <w:t>egul</w:t>
      </w:r>
      <w:r w:rsidR="009A086F" w:rsidRPr="00DD7698">
        <w:rPr>
          <w:rFonts w:eastAsia="Calibri"/>
          <w:b/>
          <w:sz w:val="28"/>
          <w:szCs w:val="28"/>
          <w:lang w:val="lv-LV"/>
        </w:rPr>
        <w:t xml:space="preserve">ā paredzētais </w:t>
      </w:r>
      <w:r w:rsidR="00346FB6" w:rsidRPr="00DD7698">
        <w:rPr>
          <w:rFonts w:eastAsia="Calibri"/>
          <w:b/>
          <w:sz w:val="28"/>
          <w:szCs w:val="28"/>
          <w:lang w:val="lv-LV"/>
        </w:rPr>
        <w:t>savstarpējās sadarbības mehānism</w:t>
      </w:r>
      <w:r w:rsidR="009A086F" w:rsidRPr="00DD7698">
        <w:rPr>
          <w:rFonts w:eastAsia="Calibri"/>
          <w:b/>
          <w:sz w:val="28"/>
          <w:szCs w:val="28"/>
          <w:lang w:val="lv-LV"/>
        </w:rPr>
        <w:t>s</w:t>
      </w:r>
    </w:p>
    <w:p w14:paraId="341A6894" w14:textId="77777777" w:rsidR="00292CA0" w:rsidRPr="00DD7698" w:rsidRDefault="00292CA0" w:rsidP="007C6667">
      <w:pPr>
        <w:spacing w:before="0" w:after="0" w:line="240" w:lineRule="auto"/>
        <w:ind w:firstLine="0"/>
        <w:jc w:val="left"/>
        <w:rPr>
          <w:rFonts w:eastAsia="Calibri"/>
          <w:b/>
          <w:sz w:val="28"/>
          <w:szCs w:val="28"/>
          <w:lang w:val="lv-LV"/>
        </w:rPr>
      </w:pPr>
    </w:p>
    <w:p w14:paraId="50B03F7F" w14:textId="3C0D6F0F" w:rsidR="0017645D" w:rsidRPr="00DD7698" w:rsidRDefault="006B5A5F" w:rsidP="00FC027E">
      <w:pPr>
        <w:spacing w:before="0" w:after="0" w:line="240" w:lineRule="auto"/>
        <w:rPr>
          <w:rFonts w:eastAsia="Calibri"/>
          <w:bCs/>
          <w:sz w:val="28"/>
          <w:szCs w:val="28"/>
          <w:lang w:val="lv-LV"/>
        </w:rPr>
      </w:pPr>
      <w:r w:rsidRPr="00DD7698">
        <w:rPr>
          <w:rFonts w:eastAsia="Calibri"/>
          <w:bCs/>
          <w:sz w:val="28"/>
          <w:szCs w:val="28"/>
          <w:lang w:val="lv-LV"/>
        </w:rPr>
        <w:t>K</w:t>
      </w:r>
      <w:r w:rsidR="00FC027E" w:rsidRPr="00DD7698">
        <w:rPr>
          <w:rFonts w:eastAsia="Calibri"/>
          <w:bCs/>
          <w:sz w:val="28"/>
          <w:szCs w:val="28"/>
          <w:lang w:val="lv-LV"/>
        </w:rPr>
        <w:t>atr</w:t>
      </w:r>
      <w:r w:rsidR="00A014FE" w:rsidRPr="00DD7698">
        <w:rPr>
          <w:rFonts w:eastAsia="Calibri"/>
          <w:bCs/>
          <w:sz w:val="28"/>
          <w:szCs w:val="28"/>
          <w:lang w:val="lv-LV"/>
        </w:rPr>
        <w:t>ai</w:t>
      </w:r>
      <w:r w:rsidR="00FC027E" w:rsidRPr="00DD7698">
        <w:rPr>
          <w:rFonts w:eastAsia="Calibri"/>
          <w:bCs/>
          <w:sz w:val="28"/>
          <w:szCs w:val="28"/>
          <w:lang w:val="lv-LV"/>
        </w:rPr>
        <w:t xml:space="preserve"> dalībvalst</w:t>
      </w:r>
      <w:r w:rsidR="00A014FE" w:rsidRPr="00DD7698">
        <w:rPr>
          <w:rFonts w:eastAsia="Calibri"/>
          <w:bCs/>
          <w:sz w:val="28"/>
          <w:szCs w:val="28"/>
          <w:lang w:val="lv-LV"/>
        </w:rPr>
        <w:t>ij</w:t>
      </w:r>
      <w:r w:rsidR="00FC027E" w:rsidRPr="00DD7698">
        <w:rPr>
          <w:rFonts w:eastAsia="Calibri"/>
          <w:bCs/>
          <w:sz w:val="28"/>
          <w:szCs w:val="28"/>
          <w:lang w:val="lv-LV"/>
        </w:rPr>
        <w:t xml:space="preserve"> un Komisij</w:t>
      </w:r>
      <w:r w:rsidR="00D102C2" w:rsidRPr="00DD7698">
        <w:rPr>
          <w:rFonts w:eastAsia="Calibri"/>
          <w:bCs/>
          <w:sz w:val="28"/>
          <w:szCs w:val="28"/>
          <w:lang w:val="lv-LV"/>
        </w:rPr>
        <w:t>ai</w:t>
      </w:r>
      <w:r w:rsidR="00260932" w:rsidRPr="00DD7698">
        <w:rPr>
          <w:rFonts w:eastAsia="Calibri"/>
          <w:bCs/>
          <w:sz w:val="28"/>
          <w:szCs w:val="28"/>
          <w:lang w:val="lv-LV"/>
        </w:rPr>
        <w:t xml:space="preserve"> </w:t>
      </w:r>
      <w:r w:rsidRPr="00DD7698">
        <w:rPr>
          <w:rFonts w:eastAsia="Calibri"/>
          <w:bCs/>
          <w:sz w:val="28"/>
          <w:szCs w:val="28"/>
          <w:lang w:val="lv-LV"/>
        </w:rPr>
        <w:t>jāizveido</w:t>
      </w:r>
      <w:r w:rsidR="00260932" w:rsidRPr="00DD7698">
        <w:rPr>
          <w:rFonts w:eastAsia="Calibri"/>
          <w:bCs/>
          <w:sz w:val="28"/>
          <w:szCs w:val="28"/>
          <w:lang w:val="lv-LV"/>
        </w:rPr>
        <w:t xml:space="preserve"> </w:t>
      </w:r>
      <w:r w:rsidR="00FC027E" w:rsidRPr="00DD7698">
        <w:rPr>
          <w:rFonts w:eastAsia="Calibri"/>
          <w:bCs/>
          <w:sz w:val="28"/>
          <w:szCs w:val="28"/>
          <w:lang w:val="lv-LV"/>
        </w:rPr>
        <w:t>kontaktpunkt</w:t>
      </w:r>
      <w:r w:rsidRPr="00DD7698">
        <w:rPr>
          <w:rFonts w:eastAsia="Calibri"/>
          <w:bCs/>
          <w:sz w:val="28"/>
          <w:szCs w:val="28"/>
          <w:lang w:val="lv-LV"/>
        </w:rPr>
        <w:t>s</w:t>
      </w:r>
      <w:r w:rsidR="002435C7" w:rsidRPr="00DD7698">
        <w:rPr>
          <w:rFonts w:eastAsia="Calibri"/>
          <w:bCs/>
          <w:sz w:val="28"/>
          <w:szCs w:val="28"/>
          <w:lang w:val="lv-LV"/>
        </w:rPr>
        <w:t>, informācijas par ārvalstu tiešajiem ieguldījumiem</w:t>
      </w:r>
      <w:r w:rsidR="0017645D" w:rsidRPr="00DD7698">
        <w:rPr>
          <w:rFonts w:eastAsia="Calibri"/>
          <w:bCs/>
          <w:sz w:val="28"/>
          <w:szCs w:val="28"/>
          <w:lang w:val="lv-LV"/>
        </w:rPr>
        <w:t xml:space="preserve"> apkopošanas un</w:t>
      </w:r>
      <w:r w:rsidR="002435C7" w:rsidRPr="00DD7698">
        <w:rPr>
          <w:rFonts w:eastAsia="Calibri"/>
          <w:bCs/>
          <w:sz w:val="28"/>
          <w:szCs w:val="28"/>
          <w:lang w:val="lv-LV"/>
        </w:rPr>
        <w:t xml:space="preserve"> apmaiņas nolūkos</w:t>
      </w:r>
      <w:r w:rsidR="0017645D" w:rsidRPr="00DD7698">
        <w:rPr>
          <w:rFonts w:eastAsia="Calibri"/>
          <w:bCs/>
          <w:sz w:val="28"/>
          <w:szCs w:val="28"/>
          <w:lang w:val="lv-LV"/>
        </w:rPr>
        <w:t xml:space="preserve">, tādējādi ne tikai apkopojot dalībvalstu pieredzi ārvalstu tiešo </w:t>
      </w:r>
      <w:r w:rsidR="00A014FE" w:rsidRPr="00DD7698">
        <w:rPr>
          <w:rFonts w:eastAsia="Calibri"/>
          <w:bCs/>
          <w:sz w:val="28"/>
          <w:szCs w:val="28"/>
          <w:lang w:val="lv-LV"/>
        </w:rPr>
        <w:t xml:space="preserve">ieguldījumu </w:t>
      </w:r>
      <w:r w:rsidR="0017645D" w:rsidRPr="00DD7698">
        <w:rPr>
          <w:rFonts w:eastAsia="Calibri"/>
          <w:bCs/>
          <w:sz w:val="28"/>
          <w:szCs w:val="28"/>
          <w:lang w:val="lv-LV"/>
        </w:rPr>
        <w:t>izvērtēšanas mehānismu piemērošanā, bet arī veidojot ārvalstu tiešo ieguldījumu izvērtēšanas paraugpraksi</w:t>
      </w:r>
      <w:r w:rsidR="002435C7" w:rsidRPr="00DD7698">
        <w:rPr>
          <w:rFonts w:eastAsia="Calibri"/>
          <w:bCs/>
          <w:sz w:val="28"/>
          <w:szCs w:val="28"/>
          <w:lang w:val="lv-LV"/>
        </w:rPr>
        <w:t>.</w:t>
      </w:r>
    </w:p>
    <w:p w14:paraId="26298C63" w14:textId="2D73F304" w:rsidR="00744ED1" w:rsidRPr="00DD7698" w:rsidRDefault="00D102C2" w:rsidP="00FC027E">
      <w:pPr>
        <w:spacing w:before="0" w:after="0" w:line="240" w:lineRule="auto"/>
        <w:rPr>
          <w:rFonts w:eastAsia="Calibri"/>
          <w:bCs/>
          <w:sz w:val="28"/>
          <w:szCs w:val="28"/>
          <w:lang w:val="lv-LV"/>
        </w:rPr>
      </w:pPr>
      <w:r w:rsidRPr="00DD7698">
        <w:rPr>
          <w:rFonts w:eastAsia="Calibri"/>
          <w:bCs/>
          <w:sz w:val="28"/>
          <w:szCs w:val="28"/>
          <w:lang w:val="lv-LV"/>
        </w:rPr>
        <w:t xml:space="preserve">Tāpat </w:t>
      </w:r>
      <w:r w:rsidR="006B5A5F" w:rsidRPr="00DD7698">
        <w:rPr>
          <w:rFonts w:eastAsia="Calibri"/>
          <w:bCs/>
          <w:sz w:val="28"/>
          <w:szCs w:val="28"/>
          <w:lang w:val="lv-LV"/>
        </w:rPr>
        <w:t>ir</w:t>
      </w:r>
      <w:r w:rsidR="0017645D" w:rsidRPr="00DD7698">
        <w:rPr>
          <w:rFonts w:eastAsia="Calibri"/>
          <w:bCs/>
          <w:sz w:val="28"/>
          <w:szCs w:val="28"/>
          <w:lang w:val="lv-LV"/>
        </w:rPr>
        <w:t xml:space="preserve"> </w:t>
      </w:r>
      <w:r w:rsidRPr="00DD7698">
        <w:rPr>
          <w:rFonts w:eastAsia="Calibri"/>
          <w:bCs/>
          <w:sz w:val="28"/>
          <w:szCs w:val="28"/>
          <w:lang w:val="lv-LV"/>
        </w:rPr>
        <w:t>paredz</w:t>
      </w:r>
      <w:r w:rsidR="006B5A5F" w:rsidRPr="00DD7698">
        <w:rPr>
          <w:rFonts w:eastAsia="Calibri"/>
          <w:bCs/>
          <w:sz w:val="28"/>
          <w:szCs w:val="28"/>
          <w:lang w:val="lv-LV"/>
        </w:rPr>
        <w:t>ēta</w:t>
      </w:r>
      <w:r w:rsidRPr="00DD7698">
        <w:rPr>
          <w:rFonts w:eastAsia="Calibri"/>
          <w:bCs/>
          <w:sz w:val="28"/>
          <w:szCs w:val="28"/>
          <w:lang w:val="lv-LV"/>
        </w:rPr>
        <w:t xml:space="preserve"> rīcīb</w:t>
      </w:r>
      <w:r w:rsidR="006B5A5F" w:rsidRPr="00DD7698">
        <w:rPr>
          <w:rFonts w:eastAsia="Calibri"/>
          <w:bCs/>
          <w:sz w:val="28"/>
          <w:szCs w:val="28"/>
          <w:lang w:val="lv-LV"/>
        </w:rPr>
        <w:t>a</w:t>
      </w:r>
      <w:r w:rsidRPr="00DD7698">
        <w:rPr>
          <w:rFonts w:eastAsia="Calibri"/>
          <w:bCs/>
          <w:sz w:val="28"/>
          <w:szCs w:val="28"/>
          <w:lang w:val="lv-LV"/>
        </w:rPr>
        <w:t xml:space="preserve"> </w:t>
      </w:r>
      <w:r w:rsidR="009A086F" w:rsidRPr="00DD7698">
        <w:rPr>
          <w:rFonts w:eastAsia="Calibri"/>
          <w:bCs/>
          <w:sz w:val="28"/>
          <w:szCs w:val="28"/>
          <w:lang w:val="lv-LV"/>
        </w:rPr>
        <w:t>turpmāk minētajos gadījumos</w:t>
      </w:r>
      <w:r w:rsidR="00744ED1" w:rsidRPr="00DD7698">
        <w:rPr>
          <w:rFonts w:eastAsia="Calibri"/>
          <w:bCs/>
          <w:sz w:val="28"/>
          <w:szCs w:val="28"/>
          <w:lang w:val="lv-LV"/>
        </w:rPr>
        <w:t>:</w:t>
      </w:r>
    </w:p>
    <w:p w14:paraId="67147AE5" w14:textId="14C6BFF4" w:rsidR="00744ED1" w:rsidRPr="00DD7698" w:rsidRDefault="00744ED1" w:rsidP="0068672E">
      <w:pPr>
        <w:pStyle w:val="ListParagraph"/>
        <w:numPr>
          <w:ilvl w:val="0"/>
          <w:numId w:val="16"/>
        </w:numPr>
        <w:spacing w:before="0" w:after="0" w:line="240" w:lineRule="auto"/>
        <w:ind w:left="0" w:firstLine="720"/>
        <w:rPr>
          <w:rFonts w:eastAsia="Calibri"/>
          <w:bCs/>
          <w:sz w:val="28"/>
          <w:szCs w:val="28"/>
          <w:lang w:val="lv-LV"/>
        </w:rPr>
      </w:pPr>
      <w:r w:rsidRPr="00DD7698">
        <w:rPr>
          <w:rFonts w:eastAsia="Calibri"/>
          <w:bCs/>
          <w:sz w:val="28"/>
          <w:szCs w:val="28"/>
          <w:lang w:val="lv-LV"/>
        </w:rPr>
        <w:t xml:space="preserve">katru gadu līdz 31.martam </w:t>
      </w:r>
      <w:r w:rsidR="00D102C2" w:rsidRPr="00DD7698">
        <w:rPr>
          <w:rFonts w:eastAsia="Calibri"/>
          <w:bCs/>
          <w:sz w:val="28"/>
          <w:szCs w:val="28"/>
          <w:lang w:val="lv-LV"/>
        </w:rPr>
        <w:t xml:space="preserve">dalībvalstīm jāiesniedz Komisijai </w:t>
      </w:r>
      <w:r w:rsidRPr="00DD7698">
        <w:rPr>
          <w:rFonts w:eastAsia="Calibri"/>
          <w:bCs/>
          <w:sz w:val="28"/>
          <w:szCs w:val="28"/>
          <w:lang w:val="lv-LV"/>
        </w:rPr>
        <w:t>gada ziņojum</w:t>
      </w:r>
      <w:r w:rsidR="006B5A5F" w:rsidRPr="00DD7698">
        <w:rPr>
          <w:rFonts w:eastAsia="Calibri"/>
          <w:bCs/>
          <w:sz w:val="28"/>
          <w:szCs w:val="28"/>
          <w:lang w:val="lv-LV"/>
        </w:rPr>
        <w:t>s</w:t>
      </w:r>
      <w:r w:rsidRPr="00DD7698">
        <w:rPr>
          <w:rFonts w:eastAsia="Calibri"/>
          <w:bCs/>
          <w:sz w:val="28"/>
          <w:szCs w:val="28"/>
          <w:lang w:val="lv-LV"/>
        </w:rPr>
        <w:t>, kurā ir iekļauta informācija par iepriekšējo gadu un kurā informācija ir apkopota par dalībvalsts teritorijā veiktajiem ārvalstu tiešajiem ieguldījumiem, pamatojoties uz tai pieejamo informāciju, kā arī informācija apkopotā veidā par pieprasījumiem, kas saņemti no citām dalībvalstīm</w:t>
      </w:r>
      <w:r w:rsidR="001A4182" w:rsidRPr="00DD7698">
        <w:rPr>
          <w:rFonts w:eastAsia="Calibri"/>
          <w:bCs/>
          <w:sz w:val="28"/>
          <w:szCs w:val="28"/>
          <w:lang w:val="lv-LV"/>
        </w:rPr>
        <w:t>, un</w:t>
      </w:r>
      <w:r w:rsidRPr="00DD7698">
        <w:rPr>
          <w:rFonts w:eastAsia="Calibri"/>
          <w:bCs/>
          <w:sz w:val="28"/>
          <w:szCs w:val="28"/>
          <w:lang w:val="lv-LV"/>
        </w:rPr>
        <w:t xml:space="preserve"> informācij</w:t>
      </w:r>
      <w:r w:rsidR="006B5A5F" w:rsidRPr="00DD7698">
        <w:rPr>
          <w:rFonts w:eastAsia="Calibri"/>
          <w:bCs/>
          <w:sz w:val="28"/>
          <w:szCs w:val="28"/>
          <w:lang w:val="lv-LV"/>
        </w:rPr>
        <w:t>a</w:t>
      </w:r>
      <w:r w:rsidRPr="00DD7698">
        <w:rPr>
          <w:rFonts w:eastAsia="Calibri"/>
          <w:bCs/>
          <w:sz w:val="28"/>
          <w:szCs w:val="28"/>
          <w:lang w:val="lv-LV"/>
        </w:rPr>
        <w:t xml:space="preserve"> apkopotā veidā par attiecīgās dalībvalsts izvērtēšanas mehānisma piemērošanu;</w:t>
      </w:r>
    </w:p>
    <w:p w14:paraId="3A268D78" w14:textId="32672071" w:rsidR="009C77FD" w:rsidRPr="00DD7698" w:rsidRDefault="009C77FD" w:rsidP="0068672E">
      <w:pPr>
        <w:pStyle w:val="ListParagraph"/>
        <w:numPr>
          <w:ilvl w:val="0"/>
          <w:numId w:val="16"/>
        </w:numPr>
        <w:spacing w:before="0" w:after="0" w:line="240" w:lineRule="auto"/>
        <w:ind w:left="0" w:firstLine="720"/>
        <w:rPr>
          <w:rFonts w:eastAsia="Calibri"/>
          <w:bCs/>
          <w:sz w:val="28"/>
          <w:szCs w:val="28"/>
          <w:lang w:val="lv-LV"/>
        </w:rPr>
      </w:pPr>
      <w:r w:rsidRPr="00DD7698">
        <w:rPr>
          <w:rFonts w:eastAsia="Calibri"/>
          <w:bCs/>
          <w:sz w:val="28"/>
          <w:szCs w:val="28"/>
          <w:lang w:val="lv-LV"/>
        </w:rPr>
        <w:lastRenderedPageBreak/>
        <w:t xml:space="preserve">pirmreizēji līdz 2023.gadam un pēc tam ik pēc pieciem gadiem </w:t>
      </w:r>
      <w:r w:rsidR="00D102C2" w:rsidRPr="00DD7698">
        <w:rPr>
          <w:rFonts w:eastAsia="Calibri"/>
          <w:bCs/>
          <w:sz w:val="28"/>
          <w:szCs w:val="28"/>
          <w:lang w:val="lv-LV"/>
        </w:rPr>
        <w:t xml:space="preserve">dalībvalstīm jāiesaistītās </w:t>
      </w:r>
      <w:r w:rsidRPr="00DD7698">
        <w:rPr>
          <w:rFonts w:eastAsia="Calibri"/>
          <w:bCs/>
          <w:sz w:val="28"/>
          <w:szCs w:val="28"/>
          <w:lang w:val="lv-LV"/>
        </w:rPr>
        <w:t xml:space="preserve">un vajadzības gadījumā </w:t>
      </w:r>
      <w:r w:rsidR="00D102C2" w:rsidRPr="00DD7698">
        <w:rPr>
          <w:rFonts w:eastAsia="Calibri"/>
          <w:bCs/>
          <w:sz w:val="28"/>
          <w:szCs w:val="28"/>
          <w:lang w:val="lv-LV"/>
        </w:rPr>
        <w:t>jā</w:t>
      </w:r>
      <w:r w:rsidRPr="00DD7698">
        <w:rPr>
          <w:rFonts w:eastAsia="Calibri"/>
          <w:bCs/>
          <w:sz w:val="28"/>
          <w:szCs w:val="28"/>
          <w:lang w:val="lv-LV"/>
        </w:rPr>
        <w:t>snie</w:t>
      </w:r>
      <w:r w:rsidR="00D102C2" w:rsidRPr="00DD7698">
        <w:rPr>
          <w:rFonts w:eastAsia="Calibri"/>
          <w:bCs/>
          <w:sz w:val="28"/>
          <w:szCs w:val="28"/>
          <w:lang w:val="lv-LV"/>
        </w:rPr>
        <w:t>dz</w:t>
      </w:r>
      <w:r w:rsidRPr="00DD7698">
        <w:rPr>
          <w:rFonts w:eastAsia="Calibri"/>
          <w:bCs/>
          <w:sz w:val="28"/>
          <w:szCs w:val="28"/>
          <w:lang w:val="lv-LV"/>
        </w:rPr>
        <w:t xml:space="preserve"> Komisijai papildu informāciju, kas nepieciešama ziņojuma par </w:t>
      </w:r>
      <w:r w:rsidR="006B5A5F" w:rsidRPr="00DD7698">
        <w:rPr>
          <w:rFonts w:eastAsia="Calibri"/>
          <w:bCs/>
          <w:sz w:val="28"/>
          <w:szCs w:val="28"/>
          <w:lang w:val="lv-LV"/>
        </w:rPr>
        <w:t>Regulas</w:t>
      </w:r>
      <w:r w:rsidRPr="00DD7698">
        <w:rPr>
          <w:rFonts w:eastAsia="Calibri"/>
          <w:bCs/>
          <w:sz w:val="28"/>
          <w:szCs w:val="28"/>
          <w:lang w:val="lv-LV"/>
        </w:rPr>
        <w:t xml:space="preserve"> darbību un efektivitāti izvērtēšanu sniegšanai Eiropas Parlamentam un Padomei;</w:t>
      </w:r>
    </w:p>
    <w:p w14:paraId="295110AB" w14:textId="395461FF" w:rsidR="0017645D" w:rsidRPr="00DD7698" w:rsidRDefault="00744ED1" w:rsidP="0068672E">
      <w:pPr>
        <w:pStyle w:val="ListParagraph"/>
        <w:numPr>
          <w:ilvl w:val="0"/>
          <w:numId w:val="16"/>
        </w:numPr>
        <w:spacing w:before="0" w:after="0" w:line="240" w:lineRule="auto"/>
        <w:ind w:left="0" w:firstLine="720"/>
        <w:rPr>
          <w:rFonts w:eastAsia="Calibri"/>
          <w:bCs/>
          <w:sz w:val="28"/>
          <w:szCs w:val="28"/>
          <w:lang w:val="lv-LV"/>
        </w:rPr>
      </w:pPr>
      <w:r w:rsidRPr="00DD7698">
        <w:rPr>
          <w:rFonts w:eastAsia="Calibri"/>
          <w:bCs/>
          <w:sz w:val="28"/>
          <w:szCs w:val="28"/>
          <w:lang w:val="lv-LV"/>
        </w:rPr>
        <w:t xml:space="preserve">tiklīdz iespējams, </w:t>
      </w:r>
      <w:r w:rsidR="00D102C2" w:rsidRPr="00DD7698">
        <w:rPr>
          <w:rFonts w:eastAsia="Calibri"/>
          <w:bCs/>
          <w:sz w:val="28"/>
          <w:szCs w:val="28"/>
          <w:lang w:val="lv-LV"/>
        </w:rPr>
        <w:t xml:space="preserve">jāsniedz </w:t>
      </w:r>
      <w:r w:rsidRPr="00DD7698">
        <w:rPr>
          <w:rFonts w:eastAsia="Calibri"/>
          <w:bCs/>
          <w:sz w:val="28"/>
          <w:szCs w:val="28"/>
          <w:lang w:val="lv-LV"/>
        </w:rPr>
        <w:t xml:space="preserve">Komisijai un citām dalībvalstīm </w:t>
      </w:r>
      <w:r w:rsidR="00D102C2" w:rsidRPr="00DD7698">
        <w:rPr>
          <w:rFonts w:eastAsia="Calibri"/>
          <w:bCs/>
          <w:sz w:val="28"/>
          <w:szCs w:val="28"/>
          <w:lang w:val="lv-LV"/>
        </w:rPr>
        <w:t>informācija</w:t>
      </w:r>
      <w:r w:rsidRPr="00DD7698">
        <w:rPr>
          <w:rFonts w:eastAsia="Calibri"/>
          <w:bCs/>
          <w:sz w:val="28"/>
          <w:szCs w:val="28"/>
          <w:lang w:val="lv-LV"/>
        </w:rPr>
        <w:t xml:space="preserve"> par visiem ārvalstu tiešajiem ieguldījumiem to teritorijā, kas tiek pakļauti izvērtēšanai</w:t>
      </w:r>
      <w:r w:rsidR="00234C3F" w:rsidRPr="00DD7698">
        <w:rPr>
          <w:rFonts w:eastAsia="Calibri"/>
          <w:bCs/>
          <w:sz w:val="28"/>
          <w:szCs w:val="28"/>
          <w:lang w:val="lv-LV"/>
        </w:rPr>
        <w:t>. Attiecīgi no paziņotās informācijas citai dalībvalstij, ja tā uzskata, ka attiecīgais ārvalstu tiešais ieguldījums varētu ietekmēt tās drošību vai sabiedrisko kārtību, ir tiesīga iesniegt komentārus dalībvalstij</w:t>
      </w:r>
      <w:r w:rsidR="0068672E" w:rsidRPr="00DD7698">
        <w:rPr>
          <w:rFonts w:eastAsia="Calibri"/>
          <w:bCs/>
          <w:sz w:val="28"/>
          <w:szCs w:val="28"/>
          <w:lang w:val="lv-LV"/>
        </w:rPr>
        <w:t>, ko vienlaikus nosūta arī Komisijai. Savukārt Komisija, ja tā uzskatīs, ka attiecīgais ārvalstu tiešai</w:t>
      </w:r>
      <w:r w:rsidR="007C6667" w:rsidRPr="00DD7698">
        <w:rPr>
          <w:rFonts w:eastAsia="Calibri"/>
          <w:bCs/>
          <w:sz w:val="28"/>
          <w:szCs w:val="28"/>
          <w:lang w:val="lv-LV"/>
        </w:rPr>
        <w:t>s</w:t>
      </w:r>
      <w:r w:rsidR="0068672E" w:rsidRPr="00DD7698">
        <w:rPr>
          <w:rFonts w:eastAsia="Calibri"/>
          <w:bCs/>
          <w:sz w:val="28"/>
          <w:szCs w:val="28"/>
          <w:lang w:val="lv-LV"/>
        </w:rPr>
        <w:t xml:space="preserve"> ieguldījums, ko izvērtē varētu ietekmēt drošību vai sabiedrisko kārtību vairāk nekā vienā dalībvalstī, neatkarīgi no tā vai kāda no dalībvalstīm komentārus ir sniegusi, vai, ja tās rīcībā</w:t>
      </w:r>
      <w:r w:rsidR="007C6667" w:rsidRPr="00DD7698">
        <w:rPr>
          <w:rFonts w:eastAsia="Calibri"/>
          <w:bCs/>
          <w:sz w:val="28"/>
          <w:szCs w:val="28"/>
          <w:lang w:val="lv-LV"/>
        </w:rPr>
        <w:t xml:space="preserve"> būs</w:t>
      </w:r>
      <w:r w:rsidR="0068672E" w:rsidRPr="00DD7698">
        <w:rPr>
          <w:rFonts w:eastAsia="Calibri"/>
          <w:bCs/>
          <w:sz w:val="28"/>
          <w:szCs w:val="28"/>
          <w:lang w:val="lv-LV"/>
        </w:rPr>
        <w:t xml:space="preserve"> informācija, kas attiecas uz minētajiem ārvalstu tiešajiem ieguldījumiem, tā var</w:t>
      </w:r>
      <w:r w:rsidR="007C6667" w:rsidRPr="00DD7698">
        <w:rPr>
          <w:rFonts w:eastAsia="Calibri"/>
          <w:bCs/>
          <w:sz w:val="28"/>
          <w:szCs w:val="28"/>
          <w:lang w:val="lv-LV"/>
        </w:rPr>
        <w:t>ēs</w:t>
      </w:r>
      <w:r w:rsidR="0068672E" w:rsidRPr="00DD7698">
        <w:rPr>
          <w:rFonts w:eastAsia="Calibri"/>
          <w:bCs/>
          <w:sz w:val="28"/>
          <w:szCs w:val="28"/>
          <w:lang w:val="lv-LV"/>
        </w:rPr>
        <w:t xml:space="preserve"> sniegt atzinumu, kas adresēts dalībvalstij, kas veic izvērtēšanu</w:t>
      </w:r>
      <w:r w:rsidRPr="00DD7698">
        <w:rPr>
          <w:rFonts w:eastAsia="Calibri"/>
          <w:bCs/>
          <w:sz w:val="28"/>
          <w:szCs w:val="28"/>
          <w:lang w:val="lv-LV"/>
        </w:rPr>
        <w:t>;</w:t>
      </w:r>
    </w:p>
    <w:p w14:paraId="1667D18A" w14:textId="6BFC33E7" w:rsidR="00C13154" w:rsidRPr="00DD7698" w:rsidRDefault="00C13154" w:rsidP="0068672E">
      <w:pPr>
        <w:pStyle w:val="ListParagraph"/>
        <w:numPr>
          <w:ilvl w:val="0"/>
          <w:numId w:val="16"/>
        </w:numPr>
        <w:spacing w:before="0" w:after="0" w:line="240" w:lineRule="auto"/>
        <w:ind w:left="0" w:firstLine="720"/>
        <w:rPr>
          <w:rFonts w:eastAsia="Calibri"/>
          <w:bCs/>
          <w:sz w:val="28"/>
          <w:szCs w:val="28"/>
          <w:lang w:val="lv-LV"/>
        </w:rPr>
      </w:pPr>
      <w:r w:rsidRPr="00DD7698">
        <w:rPr>
          <w:rFonts w:eastAsia="Calibri"/>
          <w:bCs/>
          <w:sz w:val="28"/>
          <w:szCs w:val="28"/>
          <w:lang w:val="lv-LV"/>
        </w:rPr>
        <w:t>citai dalībvalstij un Komisijai ir tiesības dalībvalstij, kura neizvērtē ārvalsts tiešo ieguldījumu</w:t>
      </w:r>
      <w:r w:rsidR="00A014FE" w:rsidRPr="00DD7698">
        <w:rPr>
          <w:rFonts w:eastAsia="Calibri"/>
          <w:bCs/>
          <w:sz w:val="28"/>
          <w:szCs w:val="28"/>
          <w:lang w:val="lv-LV"/>
        </w:rPr>
        <w:t xml:space="preserve"> (</w:t>
      </w:r>
      <w:r w:rsidRPr="00DD7698">
        <w:rPr>
          <w:rFonts w:eastAsia="Calibri"/>
          <w:bCs/>
          <w:sz w:val="28"/>
          <w:szCs w:val="28"/>
          <w:lang w:val="lv-LV"/>
        </w:rPr>
        <w:t>darījums ir plānots vai jau īstenots</w:t>
      </w:r>
      <w:r w:rsidR="00A014FE" w:rsidRPr="00DD7698">
        <w:rPr>
          <w:rFonts w:eastAsia="Calibri"/>
          <w:bCs/>
          <w:sz w:val="28"/>
          <w:szCs w:val="28"/>
          <w:lang w:val="lv-LV"/>
        </w:rPr>
        <w:t>)</w:t>
      </w:r>
      <w:r w:rsidRPr="00DD7698">
        <w:rPr>
          <w:rFonts w:eastAsia="Calibri"/>
          <w:bCs/>
          <w:sz w:val="28"/>
          <w:szCs w:val="28"/>
          <w:lang w:val="lv-LV"/>
        </w:rPr>
        <w:t xml:space="preserve"> pieprasīt sniegt informāciju par attiecīgo darījumu;</w:t>
      </w:r>
    </w:p>
    <w:p w14:paraId="69A3080E" w14:textId="3F884095" w:rsidR="0092570F" w:rsidRPr="00DD7698" w:rsidRDefault="0092570F" w:rsidP="0092570F">
      <w:pPr>
        <w:pStyle w:val="ListParagraph"/>
        <w:numPr>
          <w:ilvl w:val="0"/>
          <w:numId w:val="16"/>
        </w:numPr>
        <w:spacing w:before="0" w:after="0" w:line="240" w:lineRule="auto"/>
        <w:ind w:left="0" w:firstLine="720"/>
        <w:rPr>
          <w:rFonts w:eastAsia="Calibri"/>
          <w:bCs/>
          <w:sz w:val="28"/>
          <w:szCs w:val="28"/>
          <w:lang w:val="lv-LV"/>
        </w:rPr>
      </w:pPr>
      <w:r w:rsidRPr="00DD7698">
        <w:rPr>
          <w:rFonts w:eastAsia="Calibri"/>
          <w:bCs/>
          <w:sz w:val="28"/>
          <w:szCs w:val="28"/>
          <w:lang w:val="lv-LV"/>
        </w:rPr>
        <w:t>cita</w:t>
      </w:r>
      <w:r w:rsidR="007C6667" w:rsidRPr="00DD7698">
        <w:rPr>
          <w:rFonts w:eastAsia="Calibri"/>
          <w:bCs/>
          <w:sz w:val="28"/>
          <w:szCs w:val="28"/>
          <w:lang w:val="lv-LV"/>
        </w:rPr>
        <w:t>i</w:t>
      </w:r>
      <w:r w:rsidRPr="00DD7698">
        <w:rPr>
          <w:rFonts w:eastAsia="Calibri"/>
          <w:bCs/>
          <w:sz w:val="28"/>
          <w:szCs w:val="28"/>
          <w:lang w:val="lv-LV"/>
        </w:rPr>
        <w:t xml:space="preserve"> dalībvalst</w:t>
      </w:r>
      <w:r w:rsidR="007C6667" w:rsidRPr="00DD7698">
        <w:rPr>
          <w:rFonts w:eastAsia="Calibri"/>
          <w:bCs/>
          <w:sz w:val="28"/>
          <w:szCs w:val="28"/>
          <w:lang w:val="lv-LV"/>
        </w:rPr>
        <w:t>ij</w:t>
      </w:r>
      <w:r w:rsidRPr="00DD7698">
        <w:rPr>
          <w:rFonts w:eastAsia="Calibri"/>
          <w:bCs/>
          <w:sz w:val="28"/>
          <w:szCs w:val="28"/>
          <w:lang w:val="lv-LV"/>
        </w:rPr>
        <w:t xml:space="preserve"> un Komisija</w:t>
      </w:r>
      <w:r w:rsidR="007C6667" w:rsidRPr="00DD7698">
        <w:rPr>
          <w:rFonts w:eastAsia="Calibri"/>
          <w:bCs/>
          <w:sz w:val="28"/>
          <w:szCs w:val="28"/>
          <w:lang w:val="lv-LV"/>
        </w:rPr>
        <w:t>i ir tiesības</w:t>
      </w:r>
      <w:r w:rsidRPr="00DD7698">
        <w:rPr>
          <w:rFonts w:eastAsia="Calibri"/>
          <w:bCs/>
          <w:sz w:val="28"/>
          <w:szCs w:val="28"/>
          <w:lang w:val="lv-LV"/>
        </w:rPr>
        <w:t xml:space="preserve"> dalībvalstij, kura izvērtē ārvalsts tiešo ieguldījumu, pieprasīt sniegt papildu informāciju, kas ir nepieciešama komentāru un/vai atzinuma sniegšanai;</w:t>
      </w:r>
    </w:p>
    <w:p w14:paraId="00300AFD" w14:textId="142170D6" w:rsidR="0092570F" w:rsidRPr="00DD7698" w:rsidRDefault="00FB2471" w:rsidP="0092570F">
      <w:pPr>
        <w:pStyle w:val="ListParagraph"/>
        <w:numPr>
          <w:ilvl w:val="0"/>
          <w:numId w:val="16"/>
        </w:numPr>
        <w:spacing w:before="0" w:after="0" w:line="240" w:lineRule="auto"/>
        <w:ind w:left="0" w:firstLine="720"/>
        <w:rPr>
          <w:rFonts w:eastAsia="Calibri"/>
          <w:bCs/>
          <w:sz w:val="28"/>
          <w:szCs w:val="28"/>
          <w:lang w:val="lv-LV"/>
        </w:rPr>
      </w:pPr>
      <w:r w:rsidRPr="00DD7698">
        <w:rPr>
          <w:rFonts w:eastAsia="Calibri"/>
          <w:bCs/>
          <w:sz w:val="28"/>
          <w:szCs w:val="28"/>
          <w:lang w:val="lv-LV"/>
        </w:rPr>
        <w:t>t</w:t>
      </w:r>
      <w:r w:rsidR="0092570F" w:rsidRPr="00DD7698">
        <w:rPr>
          <w:rFonts w:eastAsia="Calibri"/>
          <w:bCs/>
          <w:sz w:val="28"/>
          <w:szCs w:val="28"/>
          <w:lang w:val="lv-LV"/>
        </w:rPr>
        <w:t xml:space="preserve">āpat dalībvalsts, kas pamatoti uzskata, ka ārvalstu tiešais ieguldījums tās teritorijā varētu ietekmēt tās drošību vai sabiedrisko kārtību, var pēc savas iniciatīvas lūgt Komisijai sniegt atzinumu vai citām dalībvalstīm – iesniegt komentārus. </w:t>
      </w:r>
    </w:p>
    <w:p w14:paraId="7056566C" w14:textId="2E5EB195" w:rsidR="002435C7" w:rsidRPr="00DD7698" w:rsidRDefault="006B5A5F" w:rsidP="00FC027E">
      <w:pPr>
        <w:spacing w:before="0" w:after="0" w:line="240" w:lineRule="auto"/>
        <w:rPr>
          <w:rFonts w:eastAsia="Calibri"/>
          <w:bCs/>
          <w:sz w:val="28"/>
          <w:szCs w:val="28"/>
          <w:lang w:val="lv-LV"/>
        </w:rPr>
      </w:pPr>
      <w:r w:rsidRPr="00DD7698">
        <w:rPr>
          <w:rFonts w:eastAsia="Calibri"/>
          <w:bCs/>
          <w:sz w:val="28"/>
          <w:szCs w:val="28"/>
          <w:lang w:val="lv-LV"/>
        </w:rPr>
        <w:t>Savukārt i</w:t>
      </w:r>
      <w:r w:rsidR="00820A15" w:rsidRPr="00DD7698">
        <w:rPr>
          <w:rFonts w:eastAsia="Calibri"/>
          <w:bCs/>
          <w:sz w:val="28"/>
          <w:szCs w:val="28"/>
          <w:lang w:val="lv-LV"/>
        </w:rPr>
        <w:t>nformācijas apmaiņa starp dalībvalstīm jāizmanto tikai drošības vai sabiedriskās kārtības aizsardzības nolūkos. Tādēļ jebkādi lūgumi sniegt informāciju par ārvalstu tiešajiem ieguldījumiem</w:t>
      </w:r>
      <w:r w:rsidR="008E638D" w:rsidRPr="00DD7698">
        <w:rPr>
          <w:rFonts w:eastAsia="Calibri"/>
          <w:bCs/>
          <w:sz w:val="28"/>
          <w:szCs w:val="28"/>
          <w:lang w:val="lv-LV"/>
        </w:rPr>
        <w:t>, kā arī jebkādi komentāri</w:t>
      </w:r>
      <w:r w:rsidR="0092570F" w:rsidRPr="00DD7698">
        <w:rPr>
          <w:rFonts w:eastAsia="Calibri"/>
          <w:bCs/>
          <w:sz w:val="28"/>
          <w:szCs w:val="28"/>
          <w:lang w:val="lv-LV"/>
        </w:rPr>
        <w:t xml:space="preserve"> un atzinumi</w:t>
      </w:r>
      <w:r w:rsidR="008E638D" w:rsidRPr="00DD7698">
        <w:rPr>
          <w:rFonts w:eastAsia="Calibri"/>
          <w:bCs/>
          <w:sz w:val="28"/>
          <w:szCs w:val="28"/>
          <w:lang w:val="lv-LV"/>
        </w:rPr>
        <w:t xml:space="preserve">, </w:t>
      </w:r>
      <w:r w:rsidR="0092570F" w:rsidRPr="00DD7698">
        <w:rPr>
          <w:rFonts w:eastAsia="Calibri"/>
          <w:bCs/>
          <w:sz w:val="28"/>
          <w:szCs w:val="28"/>
          <w:lang w:val="lv-LV"/>
        </w:rPr>
        <w:t>ir</w:t>
      </w:r>
      <w:r w:rsidR="008E638D" w:rsidRPr="00DD7698">
        <w:rPr>
          <w:rFonts w:eastAsia="Calibri"/>
          <w:bCs/>
          <w:sz w:val="28"/>
          <w:szCs w:val="28"/>
          <w:lang w:val="lv-LV"/>
        </w:rPr>
        <w:t xml:space="preserve"> </w:t>
      </w:r>
      <w:r w:rsidR="009A086F" w:rsidRPr="00DD7698">
        <w:rPr>
          <w:rFonts w:eastAsia="Calibri"/>
          <w:bCs/>
          <w:sz w:val="28"/>
          <w:szCs w:val="28"/>
          <w:lang w:val="lv-LV"/>
        </w:rPr>
        <w:t>jāpamato</w:t>
      </w:r>
      <w:r w:rsidR="008E638D" w:rsidRPr="00DD7698">
        <w:rPr>
          <w:rFonts w:eastAsia="Calibri"/>
          <w:bCs/>
          <w:sz w:val="28"/>
          <w:szCs w:val="28"/>
          <w:lang w:val="lv-LV"/>
        </w:rPr>
        <w:t>.</w:t>
      </w:r>
      <w:r w:rsidR="001071DA" w:rsidRPr="00DD7698">
        <w:rPr>
          <w:rFonts w:eastAsia="Calibri"/>
          <w:bCs/>
          <w:sz w:val="28"/>
          <w:szCs w:val="28"/>
          <w:lang w:val="lv-LV"/>
        </w:rPr>
        <w:t xml:space="preserve"> </w:t>
      </w:r>
      <w:r w:rsidR="009A086F" w:rsidRPr="00DD7698">
        <w:rPr>
          <w:rFonts w:eastAsia="Calibri"/>
          <w:bCs/>
          <w:sz w:val="28"/>
          <w:szCs w:val="28"/>
          <w:lang w:val="lv-LV"/>
        </w:rPr>
        <w:t>D</w:t>
      </w:r>
      <w:r w:rsidR="001071DA" w:rsidRPr="00DD7698">
        <w:rPr>
          <w:rFonts w:eastAsia="Calibri"/>
          <w:bCs/>
          <w:sz w:val="28"/>
          <w:szCs w:val="28"/>
          <w:lang w:val="lv-LV"/>
        </w:rPr>
        <w:t xml:space="preserve">alībvalstu lūgumi sniegt informāciju un komentārus, kā arī atbildes vienlaikus nosūtāmas arī Komisijai. </w:t>
      </w:r>
    </w:p>
    <w:p w14:paraId="207E3F7E" w14:textId="1827AA9A" w:rsidR="00233D07" w:rsidRPr="00DD7698" w:rsidRDefault="00497CBD" w:rsidP="00FC027E">
      <w:pPr>
        <w:spacing w:before="0" w:after="0" w:line="240" w:lineRule="auto"/>
        <w:rPr>
          <w:rFonts w:eastAsia="Calibri"/>
          <w:bCs/>
          <w:sz w:val="28"/>
          <w:szCs w:val="28"/>
          <w:lang w:val="lv-LV"/>
        </w:rPr>
      </w:pPr>
      <w:r w:rsidRPr="00DD7698">
        <w:rPr>
          <w:rFonts w:eastAsia="Calibri"/>
          <w:bCs/>
          <w:sz w:val="28"/>
          <w:szCs w:val="28"/>
          <w:lang w:val="lv-LV"/>
        </w:rPr>
        <w:t>S</w:t>
      </w:r>
      <w:r w:rsidR="00C13154" w:rsidRPr="00DD7698">
        <w:rPr>
          <w:rFonts w:eastAsia="Calibri"/>
          <w:bCs/>
          <w:sz w:val="28"/>
          <w:szCs w:val="28"/>
          <w:lang w:val="lv-LV"/>
        </w:rPr>
        <w:t>adarbības mehānisms attiecībā uz ārvalstu tiešajiem ieguldījumiem, ko neizvērtē, nav piemērojams attiecībā uz tādiem ārvalstu tiešajiem ieguldījumiem, kas īstenoti pirms 2019.gada 10.aprīļa.</w:t>
      </w:r>
    </w:p>
    <w:p w14:paraId="7575005A" w14:textId="44C8866D" w:rsidR="00FE1D62" w:rsidRPr="00DD7698" w:rsidRDefault="001F389F" w:rsidP="00260932">
      <w:pPr>
        <w:spacing w:before="0" w:after="0" w:line="240" w:lineRule="auto"/>
        <w:rPr>
          <w:rFonts w:eastAsia="Calibri"/>
          <w:bCs/>
          <w:i/>
          <w:iCs/>
          <w:sz w:val="28"/>
          <w:szCs w:val="28"/>
          <w:lang w:val="lv-LV"/>
        </w:rPr>
      </w:pPr>
      <w:r w:rsidRPr="00DD7698">
        <w:rPr>
          <w:rFonts w:eastAsia="Calibri"/>
          <w:bCs/>
          <w:sz w:val="28"/>
          <w:szCs w:val="28"/>
          <w:lang w:val="lv-LV"/>
        </w:rPr>
        <w:t>Komisija</w:t>
      </w:r>
      <w:r w:rsidR="00D26984" w:rsidRPr="00DD7698">
        <w:rPr>
          <w:rFonts w:eastAsia="Calibri"/>
          <w:bCs/>
          <w:sz w:val="28"/>
          <w:szCs w:val="28"/>
          <w:lang w:val="lv-LV"/>
        </w:rPr>
        <w:t xml:space="preserve"> </w:t>
      </w:r>
      <w:r w:rsidR="00932206" w:rsidRPr="00DD7698">
        <w:rPr>
          <w:rFonts w:eastAsia="Calibri"/>
          <w:bCs/>
          <w:sz w:val="28"/>
          <w:szCs w:val="28"/>
          <w:lang w:val="lv-LV"/>
        </w:rPr>
        <w:t>var</w:t>
      </w:r>
      <w:r w:rsidR="00D26984" w:rsidRPr="00DD7698">
        <w:rPr>
          <w:rFonts w:eastAsia="Calibri"/>
          <w:bCs/>
          <w:sz w:val="28"/>
          <w:szCs w:val="28"/>
          <w:lang w:val="lv-LV"/>
        </w:rPr>
        <w:t xml:space="preserve"> sniegt atzinumu </w:t>
      </w:r>
      <w:r w:rsidR="00932206" w:rsidRPr="00DD7698">
        <w:rPr>
          <w:rFonts w:eastAsia="Calibri"/>
          <w:bCs/>
          <w:sz w:val="28"/>
          <w:szCs w:val="28"/>
          <w:lang w:val="lv-LV"/>
        </w:rPr>
        <w:t>par</w:t>
      </w:r>
      <w:r w:rsidR="00D26984" w:rsidRPr="00DD7698">
        <w:rPr>
          <w:rFonts w:eastAsia="Calibri"/>
          <w:bCs/>
          <w:sz w:val="28"/>
          <w:szCs w:val="28"/>
          <w:lang w:val="lv-LV"/>
        </w:rPr>
        <w:t xml:space="preserve"> ārvalstu tiešiem ieguldījumiem, kas varētu ietekmēt ES interešu projektus un programmas, pamatojoties uz drošības vai sabiedriskās kārtības apsvērumiem. </w:t>
      </w:r>
      <w:r w:rsidR="005B57FD" w:rsidRPr="00DD7698">
        <w:rPr>
          <w:rFonts w:eastAsia="Calibri"/>
          <w:bCs/>
          <w:sz w:val="28"/>
          <w:szCs w:val="28"/>
          <w:lang w:val="lv-LV"/>
        </w:rPr>
        <w:t>Tādējādi</w:t>
      </w:r>
      <w:r w:rsidR="00D26984" w:rsidRPr="00DD7698">
        <w:rPr>
          <w:rFonts w:eastAsia="Calibri"/>
          <w:bCs/>
          <w:sz w:val="28"/>
          <w:szCs w:val="28"/>
          <w:lang w:val="lv-LV"/>
        </w:rPr>
        <w:t xml:space="preserve"> </w:t>
      </w:r>
      <w:r w:rsidR="001071DA" w:rsidRPr="00DD7698">
        <w:rPr>
          <w:rFonts w:eastAsia="Calibri"/>
          <w:bCs/>
          <w:sz w:val="28"/>
          <w:szCs w:val="28"/>
          <w:lang w:val="lv-LV"/>
        </w:rPr>
        <w:t xml:space="preserve">Komisija </w:t>
      </w:r>
      <w:r w:rsidR="00D26984" w:rsidRPr="00DD7698">
        <w:rPr>
          <w:rFonts w:eastAsia="Calibri"/>
          <w:bCs/>
          <w:sz w:val="28"/>
          <w:szCs w:val="28"/>
          <w:lang w:val="lv-LV"/>
        </w:rPr>
        <w:t>aizsargā projektus un programmas, kas kalpo ES kopumā un dod nozīmīgu ieguldījumu ekonomikas izaugsmē, nodarbinātībā un konkurētspējā. Minētais attiecas uz projektiem un programmām, kur ir iesaistīts ES finansējums vai kas ir izveidotas ar ES tiesību aktiem par kritisko infrastruktūru, kritiskām tehnoloģijām vai kritiskiem resursiem.</w:t>
      </w:r>
      <w:r w:rsidR="00932206" w:rsidRPr="00DD7698">
        <w:rPr>
          <w:rFonts w:eastAsia="Calibri"/>
          <w:bCs/>
          <w:sz w:val="28"/>
          <w:szCs w:val="28"/>
          <w:lang w:val="lv-LV"/>
        </w:rPr>
        <w:t xml:space="preserve"> Arī dalībvalstis var sniegt komentārus, norādot, vai tā uzskata, ka ārvalstu tiešais ieguldījums varētu ietekmēt ES interešu projektus un programmas.</w:t>
      </w:r>
    </w:p>
    <w:p w14:paraId="4ACC7315" w14:textId="6C1C4623" w:rsidR="00FE1D62" w:rsidRPr="00DD7698" w:rsidRDefault="00932206" w:rsidP="00260932">
      <w:pPr>
        <w:spacing w:before="0" w:after="0" w:line="240" w:lineRule="auto"/>
        <w:rPr>
          <w:rFonts w:eastAsia="Calibri"/>
          <w:bCs/>
          <w:sz w:val="28"/>
          <w:szCs w:val="28"/>
          <w:lang w:val="lv-LV"/>
        </w:rPr>
      </w:pPr>
      <w:r w:rsidRPr="00DD7698">
        <w:rPr>
          <w:rFonts w:eastAsia="Calibri"/>
          <w:bCs/>
          <w:sz w:val="28"/>
          <w:szCs w:val="28"/>
          <w:lang w:val="lv-LV"/>
        </w:rPr>
        <w:t>Sniegtajiem komentāriem un atzinumiem ir rekomendējošs raksturs. G</w:t>
      </w:r>
      <w:r w:rsidR="00FE1D62" w:rsidRPr="00DD7698">
        <w:rPr>
          <w:rFonts w:eastAsia="Calibri"/>
          <w:bCs/>
          <w:sz w:val="28"/>
          <w:szCs w:val="28"/>
          <w:lang w:val="lv-LV"/>
        </w:rPr>
        <w:t xml:space="preserve">alīgais </w:t>
      </w:r>
      <w:r w:rsidR="00FE1D62" w:rsidRPr="00DD7698">
        <w:rPr>
          <w:rFonts w:eastAsia="Calibri"/>
          <w:bCs/>
          <w:sz w:val="28"/>
          <w:szCs w:val="28"/>
          <w:lang w:val="lv-LV"/>
        </w:rPr>
        <w:lastRenderedPageBreak/>
        <w:t>lēmums par jebkuru ārvalstu tiešo ieguldījumu, ko izvērtē, vai jebkuru pasākumu, ko veic attiecībā uz ārvalstu tiešo ieguldījumu, ko neizvērtē, paliek vienīgi katras tās dalībvalsts atbildībā</w:t>
      </w:r>
      <w:r w:rsidRPr="00DD7698">
        <w:rPr>
          <w:rFonts w:eastAsia="Calibri"/>
          <w:bCs/>
          <w:sz w:val="28"/>
          <w:szCs w:val="28"/>
          <w:lang w:val="lv-LV"/>
        </w:rPr>
        <w:t>.</w:t>
      </w:r>
    </w:p>
    <w:p w14:paraId="666A9555" w14:textId="608C27CC" w:rsidR="001E2042" w:rsidRPr="00DD7698" w:rsidRDefault="00497CBD" w:rsidP="00260932">
      <w:pPr>
        <w:spacing w:before="0" w:after="0" w:line="240" w:lineRule="auto"/>
        <w:rPr>
          <w:rFonts w:eastAsia="Calibri"/>
          <w:bCs/>
          <w:sz w:val="28"/>
          <w:szCs w:val="28"/>
          <w:lang w:val="lv-LV"/>
        </w:rPr>
      </w:pPr>
      <w:r w:rsidRPr="00DD7698">
        <w:rPr>
          <w:rFonts w:eastAsia="Calibri"/>
          <w:bCs/>
          <w:sz w:val="28"/>
          <w:szCs w:val="28"/>
          <w:lang w:val="lv-LV"/>
        </w:rPr>
        <w:t>R</w:t>
      </w:r>
      <w:r w:rsidR="008641E5" w:rsidRPr="00DD7698">
        <w:rPr>
          <w:rFonts w:eastAsia="Calibri"/>
          <w:bCs/>
          <w:sz w:val="28"/>
          <w:szCs w:val="28"/>
          <w:lang w:val="lv-LV"/>
        </w:rPr>
        <w:t>egul</w:t>
      </w:r>
      <w:r w:rsidRPr="00DD7698">
        <w:rPr>
          <w:rFonts w:eastAsia="Calibri"/>
          <w:bCs/>
          <w:sz w:val="28"/>
          <w:szCs w:val="28"/>
          <w:lang w:val="lv-LV"/>
        </w:rPr>
        <w:t>ā</w:t>
      </w:r>
      <w:r w:rsidR="008641E5" w:rsidRPr="00DD7698">
        <w:rPr>
          <w:rFonts w:eastAsia="Calibri"/>
          <w:bCs/>
          <w:sz w:val="28"/>
          <w:szCs w:val="28"/>
          <w:lang w:val="lv-LV"/>
        </w:rPr>
        <w:t xml:space="preserve"> paredz</w:t>
      </w:r>
      <w:r w:rsidRPr="00DD7698">
        <w:rPr>
          <w:rFonts w:eastAsia="Calibri"/>
          <w:bCs/>
          <w:sz w:val="28"/>
          <w:szCs w:val="28"/>
          <w:lang w:val="lv-LV"/>
        </w:rPr>
        <w:t>i</w:t>
      </w:r>
      <w:r w:rsidR="008641E5" w:rsidRPr="00DD7698">
        <w:rPr>
          <w:rFonts w:eastAsia="Calibri"/>
          <w:bCs/>
          <w:sz w:val="28"/>
          <w:szCs w:val="28"/>
          <w:lang w:val="lv-LV"/>
        </w:rPr>
        <w:t xml:space="preserve"> atšķirīg</w:t>
      </w:r>
      <w:r w:rsidRPr="00DD7698">
        <w:rPr>
          <w:rFonts w:eastAsia="Calibri"/>
          <w:bCs/>
          <w:sz w:val="28"/>
          <w:szCs w:val="28"/>
          <w:lang w:val="lv-LV"/>
        </w:rPr>
        <w:t>i</w:t>
      </w:r>
      <w:r w:rsidR="00932206" w:rsidRPr="00DD7698">
        <w:rPr>
          <w:rFonts w:eastAsia="Calibri"/>
          <w:bCs/>
          <w:sz w:val="28"/>
          <w:szCs w:val="28"/>
          <w:lang w:val="lv-LV"/>
        </w:rPr>
        <w:t xml:space="preserve"> </w:t>
      </w:r>
      <w:r w:rsidR="008641E5" w:rsidRPr="00DD7698">
        <w:rPr>
          <w:rFonts w:eastAsia="Calibri"/>
          <w:bCs/>
          <w:sz w:val="28"/>
          <w:szCs w:val="28"/>
          <w:lang w:val="lv-LV"/>
        </w:rPr>
        <w:t>komentāru un atzinumu sniegšanas</w:t>
      </w:r>
      <w:r w:rsidR="00B0797F" w:rsidRPr="00DD7698">
        <w:rPr>
          <w:rFonts w:eastAsia="Calibri"/>
          <w:bCs/>
          <w:sz w:val="28"/>
          <w:szCs w:val="28"/>
          <w:lang w:val="lv-LV"/>
        </w:rPr>
        <w:t xml:space="preserve"> termiņ</w:t>
      </w:r>
      <w:r w:rsidRPr="00DD7698">
        <w:rPr>
          <w:rFonts w:eastAsia="Calibri"/>
          <w:bCs/>
          <w:sz w:val="28"/>
          <w:szCs w:val="28"/>
          <w:lang w:val="lv-LV"/>
        </w:rPr>
        <w:t>i</w:t>
      </w:r>
      <w:r w:rsidR="00E3603B" w:rsidRPr="00DD7698">
        <w:rPr>
          <w:rFonts w:eastAsia="Calibri"/>
          <w:bCs/>
          <w:sz w:val="28"/>
          <w:szCs w:val="28"/>
          <w:lang w:val="lv-LV"/>
        </w:rPr>
        <w:t xml:space="preserve"> attiecībā uz ārvalstu tiešajiem ieguldījumiem, ko izvērtē, vai arī attiecībā uz ārvalstu tiešajiem ieguldījumiem, ko neizvērtē.</w:t>
      </w:r>
    </w:p>
    <w:p w14:paraId="4898917E" w14:textId="1C4FA3A7" w:rsidR="00E3603B" w:rsidRPr="00DD7698" w:rsidRDefault="00A014FE" w:rsidP="00260932">
      <w:pPr>
        <w:spacing w:before="0" w:after="0" w:line="240" w:lineRule="auto"/>
        <w:rPr>
          <w:rFonts w:eastAsia="Calibri"/>
          <w:bCs/>
          <w:sz w:val="28"/>
          <w:szCs w:val="28"/>
          <w:lang w:val="lv-LV"/>
        </w:rPr>
      </w:pPr>
      <w:r w:rsidRPr="00DD7698">
        <w:rPr>
          <w:rFonts w:eastAsia="Calibri"/>
          <w:bCs/>
          <w:sz w:val="28"/>
          <w:szCs w:val="28"/>
          <w:lang w:val="lv-LV"/>
        </w:rPr>
        <w:t>D</w:t>
      </w:r>
      <w:r w:rsidR="008641E5" w:rsidRPr="00DD7698">
        <w:rPr>
          <w:rFonts w:eastAsia="Calibri"/>
          <w:bCs/>
          <w:sz w:val="28"/>
          <w:szCs w:val="28"/>
          <w:lang w:val="lv-LV"/>
        </w:rPr>
        <w:t xml:space="preserve">alībvalstis un Komisija pirms komentāru un atzinumu sniegšanas 15 kalendāro dienu laikā no informācijas saņemšanas par </w:t>
      </w:r>
      <w:r w:rsidRPr="00DD7698">
        <w:rPr>
          <w:rFonts w:eastAsia="Calibri"/>
          <w:bCs/>
          <w:sz w:val="28"/>
          <w:szCs w:val="28"/>
          <w:lang w:val="lv-LV"/>
        </w:rPr>
        <w:t>ā</w:t>
      </w:r>
      <w:r w:rsidR="00E3603B" w:rsidRPr="00DD7698">
        <w:rPr>
          <w:rFonts w:eastAsia="Calibri"/>
          <w:bCs/>
          <w:sz w:val="28"/>
          <w:szCs w:val="28"/>
          <w:lang w:val="lv-LV"/>
        </w:rPr>
        <w:t>rvalstu tiešajiem ieguldījumiem, ko izvērtē,</w:t>
      </w:r>
      <w:r w:rsidR="008641E5" w:rsidRPr="00DD7698">
        <w:rPr>
          <w:rFonts w:eastAsia="Calibri"/>
          <w:bCs/>
          <w:sz w:val="28"/>
          <w:szCs w:val="28"/>
          <w:lang w:val="lv-LV"/>
        </w:rPr>
        <w:t xml:space="preserve"> </w:t>
      </w:r>
      <w:r w:rsidR="00E3603B" w:rsidRPr="00DD7698">
        <w:rPr>
          <w:rFonts w:eastAsia="Calibri"/>
          <w:bCs/>
          <w:sz w:val="28"/>
          <w:szCs w:val="28"/>
          <w:lang w:val="lv-LV"/>
        </w:rPr>
        <w:t>paziņo attiecīgajai dalībvalstij par nodomu iesniegt komentārus vai atzinumu, kas ir izskaidrojams ar to, ka attiecīgajai dalībvalstij, kas izvērtē ārvalstu tiešo ieguldījumu, ir noteikti termiņi lēmumu pieņemšanai.</w:t>
      </w:r>
      <w:r w:rsidR="00305F9F" w:rsidRPr="00DD7698">
        <w:rPr>
          <w:rFonts w:eastAsia="Calibri"/>
          <w:bCs/>
          <w:sz w:val="28"/>
          <w:szCs w:val="28"/>
          <w:lang w:val="lv-LV"/>
        </w:rPr>
        <w:t xml:space="preserve"> Vienlaikus dalībvalstis un Komisija citai dalībvalstij, kas izvērtē ārvalstu tiešo ieguldījumu, var pieprasīt sniegt papildu informāciju.</w:t>
      </w:r>
      <w:r w:rsidR="00E3603B" w:rsidRPr="00DD7698">
        <w:rPr>
          <w:rFonts w:eastAsia="Calibri"/>
          <w:bCs/>
          <w:sz w:val="28"/>
          <w:szCs w:val="28"/>
          <w:lang w:val="lv-LV"/>
        </w:rPr>
        <w:t xml:space="preserve"> Savukārt gan attiecībā uz ārvalstu tiešajiem ieguldījumiem, ko izvērtē, gan attiecībā uz ārvalstu tiešajiem ieguldījumiem, ko neizvērtē, </w:t>
      </w:r>
      <w:r w:rsidR="00B0797F" w:rsidRPr="00DD7698">
        <w:rPr>
          <w:rFonts w:eastAsia="Calibri"/>
          <w:bCs/>
          <w:sz w:val="28"/>
          <w:szCs w:val="28"/>
          <w:lang w:val="lv-LV"/>
        </w:rPr>
        <w:t>paredz</w:t>
      </w:r>
      <w:r w:rsidR="00E3603B" w:rsidRPr="00DD7698">
        <w:rPr>
          <w:rFonts w:eastAsia="Calibri"/>
          <w:bCs/>
          <w:sz w:val="28"/>
          <w:szCs w:val="28"/>
          <w:lang w:val="lv-LV"/>
        </w:rPr>
        <w:t>ēts</w:t>
      </w:r>
      <w:r w:rsidR="00B0797F" w:rsidRPr="00DD7698">
        <w:rPr>
          <w:rFonts w:eastAsia="Calibri"/>
          <w:bCs/>
          <w:sz w:val="28"/>
          <w:szCs w:val="28"/>
          <w:lang w:val="lv-LV"/>
        </w:rPr>
        <w:t xml:space="preserve">, ka </w:t>
      </w:r>
      <w:r w:rsidR="001E2042" w:rsidRPr="00DD7698">
        <w:rPr>
          <w:rFonts w:eastAsia="Calibri"/>
          <w:bCs/>
          <w:sz w:val="28"/>
          <w:szCs w:val="28"/>
          <w:lang w:val="lv-LV"/>
        </w:rPr>
        <w:t xml:space="preserve">komentāri un atzinums ir sniedzams ne vēlāk kā 35 kalendāro dienu laikā pēc tam, kad ir saņemta informācija, vai arī dalībvalsts ir nosūtījusi paziņojumu Komisijai un citām dalībvalstīm par to, ka tā nevar iegūt </w:t>
      </w:r>
      <w:r w:rsidR="00497CBD" w:rsidRPr="00DD7698">
        <w:rPr>
          <w:rFonts w:eastAsia="Calibri"/>
          <w:bCs/>
          <w:sz w:val="28"/>
          <w:szCs w:val="28"/>
          <w:lang w:val="lv-LV"/>
        </w:rPr>
        <w:t>R</w:t>
      </w:r>
      <w:r w:rsidR="001E2042" w:rsidRPr="00DD7698">
        <w:rPr>
          <w:rFonts w:eastAsia="Calibri"/>
          <w:bCs/>
          <w:sz w:val="28"/>
          <w:szCs w:val="28"/>
          <w:lang w:val="lv-LV"/>
        </w:rPr>
        <w:t>egulas 9.panta 1.punktā minēto informāciju.</w:t>
      </w:r>
    </w:p>
    <w:p w14:paraId="558D409D" w14:textId="1BB09B7F" w:rsidR="0037010E" w:rsidRPr="00DD7698" w:rsidRDefault="00497CBD" w:rsidP="00260932">
      <w:pPr>
        <w:spacing w:before="0" w:after="0" w:line="240" w:lineRule="auto"/>
        <w:rPr>
          <w:rFonts w:eastAsia="Calibri"/>
          <w:bCs/>
          <w:sz w:val="28"/>
          <w:szCs w:val="28"/>
          <w:lang w:val="lv-LV"/>
        </w:rPr>
      </w:pPr>
      <w:r w:rsidRPr="00DD7698">
        <w:rPr>
          <w:rFonts w:eastAsia="Calibri"/>
          <w:bCs/>
          <w:sz w:val="28"/>
          <w:szCs w:val="28"/>
          <w:lang w:val="lv-LV"/>
        </w:rPr>
        <w:t>A</w:t>
      </w:r>
      <w:r w:rsidR="00E3603B" w:rsidRPr="00DD7698">
        <w:rPr>
          <w:rFonts w:eastAsia="Calibri"/>
          <w:bCs/>
          <w:sz w:val="28"/>
          <w:szCs w:val="28"/>
          <w:lang w:val="lv-LV"/>
        </w:rPr>
        <w:t xml:space="preserve">tkāpe no </w:t>
      </w:r>
      <w:r w:rsidR="00305F9F" w:rsidRPr="00DD7698">
        <w:rPr>
          <w:rFonts w:eastAsia="Calibri"/>
          <w:bCs/>
          <w:sz w:val="28"/>
          <w:szCs w:val="28"/>
          <w:lang w:val="lv-LV"/>
        </w:rPr>
        <w:t xml:space="preserve">35 kalendāro dienu termiņa ir </w:t>
      </w:r>
      <w:r w:rsidR="00D102C2" w:rsidRPr="00DD7698">
        <w:rPr>
          <w:rFonts w:eastAsia="Calibri"/>
          <w:bCs/>
          <w:sz w:val="28"/>
          <w:szCs w:val="28"/>
          <w:lang w:val="lv-LV"/>
        </w:rPr>
        <w:t>pieļaujama</w:t>
      </w:r>
      <w:r w:rsidR="00305F9F" w:rsidRPr="00DD7698">
        <w:rPr>
          <w:rFonts w:eastAsia="Calibri"/>
          <w:bCs/>
          <w:sz w:val="28"/>
          <w:szCs w:val="28"/>
          <w:lang w:val="lv-LV"/>
        </w:rPr>
        <w:t xml:space="preserve">, ja dalībvalstis vai Komisija ir lūgusi dalībvalstij, kas izvērtē ārvalstu tiešo ieguldījumu, sniegt papildu informāciju, proti, šādā gadījumā komentāri un atzinums </w:t>
      </w:r>
      <w:r w:rsidR="00C13154" w:rsidRPr="00DD7698">
        <w:rPr>
          <w:rFonts w:eastAsia="Calibri"/>
          <w:bCs/>
          <w:sz w:val="28"/>
          <w:szCs w:val="28"/>
          <w:lang w:val="lv-LV"/>
        </w:rPr>
        <w:t xml:space="preserve">var tikt </w:t>
      </w:r>
      <w:r w:rsidR="008641E5" w:rsidRPr="00DD7698">
        <w:rPr>
          <w:rFonts w:eastAsia="Calibri"/>
          <w:bCs/>
          <w:sz w:val="28"/>
          <w:szCs w:val="28"/>
          <w:lang w:val="lv-LV"/>
        </w:rPr>
        <w:t xml:space="preserve">sniegti </w:t>
      </w:r>
      <w:r w:rsidR="00305F9F" w:rsidRPr="00DD7698">
        <w:rPr>
          <w:rFonts w:eastAsia="Calibri"/>
          <w:bCs/>
          <w:sz w:val="28"/>
          <w:szCs w:val="28"/>
          <w:lang w:val="lv-LV"/>
        </w:rPr>
        <w:t xml:space="preserve">20 kalendāro dienu laikā no dienas, kad saņemta pieprasītā papildu informācija. Tāpat </w:t>
      </w:r>
      <w:r w:rsidR="00FC0846" w:rsidRPr="00DD7698">
        <w:rPr>
          <w:rFonts w:eastAsia="Calibri"/>
          <w:bCs/>
          <w:sz w:val="28"/>
          <w:szCs w:val="28"/>
          <w:lang w:val="lv-LV"/>
        </w:rPr>
        <w:t>par</w:t>
      </w:r>
      <w:r w:rsidR="00305F9F" w:rsidRPr="00DD7698">
        <w:rPr>
          <w:rFonts w:eastAsia="Calibri"/>
          <w:bCs/>
          <w:sz w:val="28"/>
          <w:szCs w:val="28"/>
          <w:lang w:val="lv-LV"/>
        </w:rPr>
        <w:t xml:space="preserve"> ārvalstu tiešajiem ieguldījumiem, ko izvērtē paredzēts, ka Komisija</w:t>
      </w:r>
      <w:r w:rsidR="00B4361E" w:rsidRPr="00DD7698">
        <w:rPr>
          <w:rFonts w:eastAsia="Calibri"/>
          <w:bCs/>
          <w:sz w:val="28"/>
          <w:szCs w:val="28"/>
          <w:lang w:val="lv-LV"/>
        </w:rPr>
        <w:t xml:space="preserve"> pēc tam, kad saņemti citu dalībvalstu komentāri, var sniegt atzinumu ne vēlāk kā piecu kalendāro dienu laikā pēc minēto termiņu beigām. Savukārt attiecībā uz ārvalstu tiešajiem ieguldījumiem, ko neizvērtē (ir plānoti vai jau īstenoti), pēc tam, kad ir saņemti komentāri, Komisijas rīcībā atzinuma sniegšanai ir papildu 15 kalendārās dienas. </w:t>
      </w:r>
      <w:r w:rsidR="00FC0846" w:rsidRPr="00DD7698">
        <w:rPr>
          <w:rFonts w:eastAsia="Calibri"/>
          <w:bCs/>
          <w:sz w:val="28"/>
          <w:szCs w:val="28"/>
          <w:lang w:val="lv-LV"/>
        </w:rPr>
        <w:t>No minētā izriet</w:t>
      </w:r>
      <w:r w:rsidR="00305F9F" w:rsidRPr="00DD7698">
        <w:rPr>
          <w:rFonts w:eastAsia="Calibri"/>
          <w:bCs/>
          <w:sz w:val="28"/>
          <w:szCs w:val="28"/>
          <w:lang w:val="lv-LV"/>
        </w:rPr>
        <w:t>, ka termiņi komentāru un atzinuma sniegšanai var arī pārsniegt 35 kalendārās dienas</w:t>
      </w:r>
      <w:r w:rsidR="00B4361E" w:rsidRPr="00DD7698">
        <w:rPr>
          <w:rFonts w:eastAsia="Calibri"/>
          <w:bCs/>
          <w:sz w:val="28"/>
          <w:szCs w:val="28"/>
          <w:lang w:val="lv-LV"/>
        </w:rPr>
        <w:t>.</w:t>
      </w:r>
    </w:p>
    <w:p w14:paraId="080AA096" w14:textId="5BE4A9B4" w:rsidR="00B4361E" w:rsidRPr="00DD7698" w:rsidRDefault="008641E5" w:rsidP="00260932">
      <w:pPr>
        <w:spacing w:before="0" w:after="0" w:line="240" w:lineRule="auto"/>
        <w:rPr>
          <w:rFonts w:eastAsia="Calibri"/>
          <w:bCs/>
          <w:sz w:val="28"/>
          <w:szCs w:val="28"/>
          <w:lang w:val="lv-LV"/>
        </w:rPr>
      </w:pPr>
      <w:r w:rsidRPr="00DD7698">
        <w:rPr>
          <w:rFonts w:eastAsia="Calibri"/>
          <w:bCs/>
          <w:sz w:val="28"/>
          <w:szCs w:val="28"/>
          <w:lang w:val="lv-LV"/>
        </w:rPr>
        <w:t>Vienlaikus šobrīd nav iespējams prognozēt, cik aktīvi Komisija un dalībvalstis sniegs atzinumus</w:t>
      </w:r>
      <w:r w:rsidR="00497CBD" w:rsidRPr="00DD7698">
        <w:rPr>
          <w:rFonts w:eastAsia="Calibri"/>
          <w:bCs/>
          <w:sz w:val="28"/>
          <w:szCs w:val="28"/>
          <w:lang w:val="lv-LV"/>
        </w:rPr>
        <w:t xml:space="preserve"> un komentārus</w:t>
      </w:r>
      <w:r w:rsidRPr="00DD7698">
        <w:rPr>
          <w:rFonts w:eastAsia="Calibri"/>
          <w:bCs/>
          <w:sz w:val="28"/>
          <w:szCs w:val="28"/>
          <w:lang w:val="lv-LV"/>
        </w:rPr>
        <w:t xml:space="preserve">. </w:t>
      </w:r>
    </w:p>
    <w:p w14:paraId="4AAC99F7" w14:textId="5A9B7C4F" w:rsidR="001502F7" w:rsidRPr="00DD7698" w:rsidRDefault="001502F7" w:rsidP="00260932">
      <w:pPr>
        <w:spacing w:before="0" w:after="0" w:line="240" w:lineRule="auto"/>
        <w:rPr>
          <w:rFonts w:eastAsia="Calibri"/>
          <w:bCs/>
          <w:sz w:val="28"/>
          <w:szCs w:val="28"/>
          <w:lang w:val="lv-LV"/>
        </w:rPr>
      </w:pPr>
    </w:p>
    <w:p w14:paraId="106721FE" w14:textId="26622BC7" w:rsidR="001502F7" w:rsidRPr="00DD7698" w:rsidRDefault="002E2BC6" w:rsidP="003F0BDB">
      <w:pPr>
        <w:pStyle w:val="ListParagraph"/>
        <w:numPr>
          <w:ilvl w:val="0"/>
          <w:numId w:val="20"/>
        </w:numPr>
        <w:spacing w:before="0" w:after="0" w:line="240" w:lineRule="auto"/>
        <w:jc w:val="center"/>
        <w:rPr>
          <w:rFonts w:eastAsia="Calibri"/>
          <w:b/>
          <w:sz w:val="28"/>
          <w:szCs w:val="28"/>
          <w:lang w:val="lv-LV"/>
        </w:rPr>
      </w:pPr>
      <w:r w:rsidRPr="00DD7698">
        <w:rPr>
          <w:rFonts w:eastAsia="Calibri"/>
          <w:b/>
          <w:sz w:val="28"/>
          <w:szCs w:val="28"/>
          <w:lang w:val="lv-LV"/>
        </w:rPr>
        <w:t>Sniedzamās informācijas apjoms</w:t>
      </w:r>
    </w:p>
    <w:p w14:paraId="2AD14F33" w14:textId="0ACA6C4E" w:rsidR="00043FBC" w:rsidRPr="00DD7698" w:rsidRDefault="00497CBD" w:rsidP="0072305F">
      <w:pPr>
        <w:spacing w:before="0" w:after="0" w:line="240" w:lineRule="auto"/>
        <w:ind w:firstLine="709"/>
        <w:rPr>
          <w:rFonts w:eastAsia="Calibri"/>
          <w:bCs/>
          <w:sz w:val="28"/>
          <w:szCs w:val="28"/>
          <w:lang w:val="lv-LV"/>
        </w:rPr>
      </w:pPr>
      <w:r w:rsidRPr="00DD7698">
        <w:rPr>
          <w:rFonts w:eastAsia="Calibri"/>
          <w:bCs/>
          <w:sz w:val="28"/>
          <w:szCs w:val="28"/>
          <w:lang w:val="lv-LV"/>
        </w:rPr>
        <w:t>R</w:t>
      </w:r>
      <w:r w:rsidR="002E2BC6" w:rsidRPr="00DD7698">
        <w:rPr>
          <w:rFonts w:eastAsia="Calibri"/>
          <w:bCs/>
          <w:sz w:val="28"/>
          <w:szCs w:val="28"/>
          <w:lang w:val="lv-LV"/>
        </w:rPr>
        <w:t>egul</w:t>
      </w:r>
      <w:r w:rsidRPr="00DD7698">
        <w:rPr>
          <w:rFonts w:eastAsia="Calibri"/>
          <w:bCs/>
          <w:sz w:val="28"/>
          <w:szCs w:val="28"/>
          <w:lang w:val="lv-LV"/>
        </w:rPr>
        <w:t>ā</w:t>
      </w:r>
      <w:r w:rsidR="002E2BC6" w:rsidRPr="00DD7698">
        <w:rPr>
          <w:rFonts w:eastAsia="Calibri"/>
          <w:bCs/>
          <w:sz w:val="28"/>
          <w:szCs w:val="28"/>
          <w:lang w:val="lv-LV"/>
        </w:rPr>
        <w:t xml:space="preserve"> </w:t>
      </w:r>
      <w:r w:rsidR="0072305F" w:rsidRPr="00DD7698">
        <w:rPr>
          <w:rFonts w:eastAsia="Calibri"/>
          <w:bCs/>
          <w:sz w:val="28"/>
          <w:szCs w:val="28"/>
          <w:lang w:val="lv-LV"/>
        </w:rPr>
        <w:t>paredz</w:t>
      </w:r>
      <w:r w:rsidRPr="00DD7698">
        <w:rPr>
          <w:rFonts w:eastAsia="Calibri"/>
          <w:bCs/>
          <w:sz w:val="28"/>
          <w:szCs w:val="28"/>
          <w:lang w:val="lv-LV"/>
        </w:rPr>
        <w:t>ētas</w:t>
      </w:r>
      <w:r w:rsidR="0072305F" w:rsidRPr="00DD7698">
        <w:rPr>
          <w:rFonts w:eastAsia="Calibri"/>
          <w:bCs/>
          <w:sz w:val="28"/>
          <w:szCs w:val="28"/>
          <w:lang w:val="lv-LV"/>
        </w:rPr>
        <w:t xml:space="preserve"> prasības </w:t>
      </w:r>
      <w:r w:rsidR="00BC76F3" w:rsidRPr="00DD7698">
        <w:rPr>
          <w:rFonts w:eastAsia="Calibri"/>
          <w:bCs/>
          <w:sz w:val="28"/>
          <w:szCs w:val="28"/>
          <w:lang w:val="lv-LV"/>
        </w:rPr>
        <w:t>par</w:t>
      </w:r>
      <w:r w:rsidR="0072305F" w:rsidRPr="00DD7698">
        <w:rPr>
          <w:rFonts w:eastAsia="Calibri"/>
          <w:bCs/>
          <w:sz w:val="28"/>
          <w:szCs w:val="28"/>
          <w:lang w:val="lv-LV"/>
        </w:rPr>
        <w:t xml:space="preserve"> sniedzamās informācijas apjomu, sniedzot informāciju dalībvalstīm un Komisijai saistībā ar ārvalstu tiešo ieguldījumu, ko attiecīgā dalībvalsts izvērtē. </w:t>
      </w:r>
    </w:p>
    <w:p w14:paraId="2C7559D3" w14:textId="4BDC8C8A" w:rsidR="00043FBC" w:rsidRPr="00DD7698" w:rsidRDefault="00497CBD" w:rsidP="0072305F">
      <w:pPr>
        <w:spacing w:before="0" w:after="0" w:line="240" w:lineRule="auto"/>
        <w:ind w:firstLine="709"/>
        <w:rPr>
          <w:rFonts w:eastAsia="Calibri"/>
          <w:bCs/>
          <w:sz w:val="28"/>
          <w:szCs w:val="28"/>
          <w:lang w:val="lv-LV"/>
        </w:rPr>
      </w:pPr>
      <w:r w:rsidRPr="00DD7698">
        <w:rPr>
          <w:rFonts w:eastAsia="Calibri"/>
          <w:bCs/>
          <w:sz w:val="28"/>
          <w:szCs w:val="28"/>
          <w:lang w:val="lv-LV"/>
        </w:rPr>
        <w:t>I</w:t>
      </w:r>
      <w:r w:rsidR="00043FBC" w:rsidRPr="00DD7698">
        <w:rPr>
          <w:rFonts w:eastAsia="Calibri"/>
          <w:bCs/>
          <w:sz w:val="28"/>
          <w:szCs w:val="28"/>
          <w:lang w:val="lv-LV"/>
        </w:rPr>
        <w:t xml:space="preserve">nformācija, kas sniedzama dalībvalstīm un Komisijai </w:t>
      </w:r>
      <w:r w:rsidR="002E2BC6" w:rsidRPr="00DD7698">
        <w:rPr>
          <w:rFonts w:eastAsia="Calibri"/>
          <w:bCs/>
          <w:sz w:val="28"/>
          <w:szCs w:val="28"/>
          <w:lang w:val="lv-LV"/>
        </w:rPr>
        <w:t>ietver</w:t>
      </w:r>
      <w:r w:rsidR="00043FBC" w:rsidRPr="00DD7698">
        <w:rPr>
          <w:rFonts w:eastAsia="Calibri"/>
          <w:bCs/>
          <w:sz w:val="28"/>
          <w:szCs w:val="28"/>
          <w:lang w:val="lv-LV"/>
        </w:rPr>
        <w:t>:</w:t>
      </w:r>
    </w:p>
    <w:p w14:paraId="3CA56D2B" w14:textId="77777777" w:rsidR="00867F14" w:rsidRPr="00DD7698" w:rsidRDefault="00043FBC" w:rsidP="00867F14">
      <w:pPr>
        <w:pStyle w:val="ListParagraph"/>
        <w:numPr>
          <w:ilvl w:val="0"/>
          <w:numId w:val="17"/>
        </w:numPr>
        <w:spacing w:before="0" w:after="0" w:line="240" w:lineRule="auto"/>
        <w:ind w:left="0" w:firstLine="709"/>
        <w:rPr>
          <w:rFonts w:eastAsia="Calibri"/>
          <w:bCs/>
          <w:sz w:val="28"/>
          <w:szCs w:val="28"/>
          <w:lang w:val="lv-LV"/>
        </w:rPr>
      </w:pPr>
      <w:r w:rsidRPr="00DD7698">
        <w:rPr>
          <w:rFonts w:eastAsia="Calibri"/>
          <w:bCs/>
          <w:sz w:val="28"/>
          <w:szCs w:val="28"/>
          <w:lang w:val="lv-LV"/>
        </w:rPr>
        <w:t>ārvalstu ieguldītāja un tā uzņēmuma, kurā ārvalstu tiešie ieguldījumi ir plānoti vai jau ir īstenoti, īpašumtiesību struktūru, tostarp informāciju par faktisko ieguldītāju un līdzdalību kapitālā;</w:t>
      </w:r>
    </w:p>
    <w:p w14:paraId="13C8F2AD" w14:textId="77EF9148" w:rsidR="00043FBC" w:rsidRPr="00DD7698" w:rsidRDefault="00043FBC" w:rsidP="00867F14">
      <w:pPr>
        <w:pStyle w:val="ListParagraph"/>
        <w:numPr>
          <w:ilvl w:val="0"/>
          <w:numId w:val="17"/>
        </w:numPr>
        <w:spacing w:before="0" w:after="0" w:line="240" w:lineRule="auto"/>
        <w:ind w:left="0" w:firstLine="709"/>
        <w:rPr>
          <w:rFonts w:eastAsia="Calibri"/>
          <w:bCs/>
          <w:sz w:val="28"/>
          <w:szCs w:val="28"/>
          <w:lang w:val="lv-LV"/>
        </w:rPr>
      </w:pPr>
      <w:r w:rsidRPr="00DD7698">
        <w:rPr>
          <w:rFonts w:eastAsia="Calibri"/>
          <w:bCs/>
          <w:sz w:val="28"/>
          <w:szCs w:val="28"/>
          <w:lang w:val="lv-LV"/>
        </w:rPr>
        <w:t>aptuvenu ārvalstu tiešo ieguldījumu vērtību;</w:t>
      </w:r>
    </w:p>
    <w:p w14:paraId="427563B7" w14:textId="77777777" w:rsidR="00043FBC" w:rsidRPr="00DD7698" w:rsidRDefault="00043FBC" w:rsidP="00867F14">
      <w:pPr>
        <w:pStyle w:val="ListParagraph"/>
        <w:numPr>
          <w:ilvl w:val="0"/>
          <w:numId w:val="17"/>
        </w:numPr>
        <w:spacing w:before="0" w:after="0" w:line="240" w:lineRule="auto"/>
        <w:ind w:left="0" w:firstLine="709"/>
        <w:rPr>
          <w:rFonts w:eastAsia="Calibri"/>
          <w:bCs/>
          <w:sz w:val="28"/>
          <w:szCs w:val="28"/>
          <w:lang w:val="lv-LV"/>
        </w:rPr>
      </w:pPr>
      <w:r w:rsidRPr="00DD7698">
        <w:rPr>
          <w:rFonts w:eastAsia="Calibri"/>
          <w:bCs/>
          <w:sz w:val="28"/>
          <w:szCs w:val="28"/>
          <w:lang w:val="lv-LV"/>
        </w:rPr>
        <w:t>ārvalstu ieguldītāja un tā uzņēmuma, kurā ārvalstu tiešie ieguldījumi ir plānoti vai jau ir īstenoti, produktus, pakalpojumus un darījumus;</w:t>
      </w:r>
    </w:p>
    <w:p w14:paraId="2FE1149D" w14:textId="77777777" w:rsidR="00867F14" w:rsidRPr="00DD7698" w:rsidRDefault="00043FBC" w:rsidP="00867F14">
      <w:pPr>
        <w:pStyle w:val="ListParagraph"/>
        <w:numPr>
          <w:ilvl w:val="0"/>
          <w:numId w:val="17"/>
        </w:numPr>
        <w:spacing w:before="0" w:after="0" w:line="240" w:lineRule="auto"/>
        <w:ind w:left="0" w:firstLine="709"/>
        <w:rPr>
          <w:rFonts w:eastAsia="Calibri"/>
          <w:bCs/>
          <w:sz w:val="28"/>
          <w:szCs w:val="28"/>
          <w:lang w:val="lv-LV"/>
        </w:rPr>
      </w:pPr>
      <w:r w:rsidRPr="00DD7698">
        <w:rPr>
          <w:rFonts w:eastAsia="Calibri"/>
          <w:bCs/>
          <w:sz w:val="28"/>
          <w:szCs w:val="28"/>
          <w:lang w:val="lv-LV"/>
        </w:rPr>
        <w:lastRenderedPageBreak/>
        <w:t xml:space="preserve">dalībvalstis, kurā ārvalstu ieguldītājs un uzņēmums, kurā </w:t>
      </w:r>
      <w:r w:rsidR="00867F14" w:rsidRPr="00DD7698">
        <w:rPr>
          <w:rFonts w:eastAsia="Calibri"/>
          <w:bCs/>
          <w:sz w:val="28"/>
          <w:szCs w:val="28"/>
          <w:lang w:val="lv-LV"/>
        </w:rPr>
        <w:t>ā</w:t>
      </w:r>
      <w:r w:rsidRPr="00DD7698">
        <w:rPr>
          <w:rFonts w:eastAsia="Calibri"/>
          <w:bCs/>
          <w:sz w:val="28"/>
          <w:szCs w:val="28"/>
          <w:lang w:val="lv-LV"/>
        </w:rPr>
        <w:t>rvalstu tiešie ieguldījumi ir plānoti vai jau īstenoti, veic attiecīgos darījumus</w:t>
      </w:r>
      <w:r w:rsidR="00867F14" w:rsidRPr="00DD7698">
        <w:rPr>
          <w:rFonts w:eastAsia="Calibri"/>
          <w:bCs/>
          <w:sz w:val="28"/>
          <w:szCs w:val="28"/>
          <w:lang w:val="lv-LV"/>
        </w:rPr>
        <w:t>;</w:t>
      </w:r>
    </w:p>
    <w:p w14:paraId="465DB367" w14:textId="77777777" w:rsidR="00867F14" w:rsidRPr="00DD7698" w:rsidRDefault="00867F14" w:rsidP="00867F14">
      <w:pPr>
        <w:pStyle w:val="ListParagraph"/>
        <w:numPr>
          <w:ilvl w:val="0"/>
          <w:numId w:val="17"/>
        </w:numPr>
        <w:spacing w:before="0" w:after="0" w:line="240" w:lineRule="auto"/>
        <w:ind w:left="0" w:firstLine="709"/>
        <w:rPr>
          <w:rFonts w:eastAsia="Calibri"/>
          <w:bCs/>
          <w:sz w:val="28"/>
          <w:szCs w:val="28"/>
          <w:lang w:val="lv-LV"/>
        </w:rPr>
      </w:pPr>
      <w:r w:rsidRPr="00DD7698">
        <w:rPr>
          <w:rFonts w:eastAsia="Calibri"/>
          <w:bCs/>
          <w:sz w:val="28"/>
          <w:szCs w:val="28"/>
          <w:lang w:val="lv-LV"/>
        </w:rPr>
        <w:t>ieguldījuma finansējumu un tā izcelsmi, pamatojoties uz labāko dalībvalstij pieejamo informāciju;</w:t>
      </w:r>
    </w:p>
    <w:p w14:paraId="021A7EBF" w14:textId="77777777" w:rsidR="00867F14" w:rsidRPr="00DD7698" w:rsidRDefault="00867F14" w:rsidP="00867F14">
      <w:pPr>
        <w:pStyle w:val="ListParagraph"/>
        <w:numPr>
          <w:ilvl w:val="0"/>
          <w:numId w:val="17"/>
        </w:numPr>
        <w:spacing w:before="0" w:after="0" w:line="240" w:lineRule="auto"/>
        <w:ind w:left="0" w:firstLine="633"/>
        <w:rPr>
          <w:rFonts w:eastAsia="Calibri"/>
          <w:bCs/>
          <w:sz w:val="28"/>
          <w:szCs w:val="28"/>
          <w:lang w:val="lv-LV"/>
        </w:rPr>
      </w:pPr>
      <w:r w:rsidRPr="00DD7698">
        <w:rPr>
          <w:rFonts w:eastAsia="Calibri"/>
          <w:bCs/>
          <w:sz w:val="28"/>
          <w:szCs w:val="28"/>
          <w:lang w:val="lv-LV"/>
        </w:rPr>
        <w:t>datumu, kad ir plānots īstenot ārvalstu tiešos ieguldījumus vai kad tie ir īstenoti.</w:t>
      </w:r>
    </w:p>
    <w:p w14:paraId="2A0A6A1A" w14:textId="3E1AECF5" w:rsidR="001502F7" w:rsidRPr="00DD7698" w:rsidRDefault="00497CBD" w:rsidP="00867F14">
      <w:pPr>
        <w:spacing w:before="0" w:after="0" w:line="240" w:lineRule="auto"/>
        <w:rPr>
          <w:rFonts w:eastAsia="Calibri"/>
          <w:bCs/>
          <w:sz w:val="28"/>
          <w:szCs w:val="28"/>
          <w:lang w:val="lv-LV"/>
        </w:rPr>
      </w:pPr>
      <w:r w:rsidRPr="00DD7698">
        <w:rPr>
          <w:rFonts w:eastAsia="Calibri"/>
          <w:bCs/>
          <w:sz w:val="28"/>
          <w:szCs w:val="28"/>
          <w:lang w:val="lv-LV"/>
        </w:rPr>
        <w:t>D</w:t>
      </w:r>
      <w:r w:rsidR="00D102C2" w:rsidRPr="00DD7698">
        <w:rPr>
          <w:rFonts w:eastAsia="Calibri"/>
          <w:bCs/>
          <w:sz w:val="28"/>
          <w:szCs w:val="28"/>
          <w:lang w:val="lv-LV"/>
        </w:rPr>
        <w:t xml:space="preserve">alībvalstīm ir pienākums sniegt citu informāciju Komisijai, kas papildina minēto informāciju. </w:t>
      </w:r>
      <w:r w:rsidRPr="00DD7698">
        <w:rPr>
          <w:rFonts w:eastAsia="Calibri"/>
          <w:bCs/>
          <w:sz w:val="28"/>
          <w:szCs w:val="28"/>
          <w:lang w:val="lv-LV"/>
        </w:rPr>
        <w:t>R</w:t>
      </w:r>
      <w:r w:rsidR="00E50A92" w:rsidRPr="00DD7698">
        <w:rPr>
          <w:rFonts w:eastAsia="Calibri"/>
          <w:bCs/>
          <w:sz w:val="28"/>
          <w:szCs w:val="28"/>
          <w:lang w:val="lv-LV"/>
        </w:rPr>
        <w:t xml:space="preserve">egulas 9.panta 4.punktā dalībvalstij, kurā ārvalstu tiešie ieguldījumi ir plānoti vai jau īstenoti, noteiktas tiesības pieprasīt, bet ārvalsts ieguldītājam vai uzņēmumam, kurā ārvalstu tiešais ieguldījums ir plānots vai jau īstenots, </w:t>
      </w:r>
      <w:r w:rsidR="004373FB" w:rsidRPr="00DD7698">
        <w:rPr>
          <w:rFonts w:eastAsia="Calibri"/>
          <w:bCs/>
          <w:sz w:val="28"/>
          <w:szCs w:val="28"/>
          <w:lang w:val="lv-LV"/>
        </w:rPr>
        <w:t xml:space="preserve">ir pienākums </w:t>
      </w:r>
      <w:r w:rsidR="00E50A92" w:rsidRPr="00DD7698">
        <w:rPr>
          <w:rFonts w:eastAsia="Calibri"/>
          <w:bCs/>
          <w:sz w:val="28"/>
          <w:szCs w:val="28"/>
          <w:lang w:val="lv-LV"/>
        </w:rPr>
        <w:t xml:space="preserve">sniegt </w:t>
      </w:r>
      <w:r w:rsidRPr="00DD7698">
        <w:rPr>
          <w:rFonts w:eastAsia="Calibri"/>
          <w:bCs/>
          <w:sz w:val="28"/>
          <w:szCs w:val="28"/>
          <w:lang w:val="lv-LV"/>
        </w:rPr>
        <w:t>R</w:t>
      </w:r>
      <w:r w:rsidR="00E50A92" w:rsidRPr="00DD7698">
        <w:rPr>
          <w:rFonts w:eastAsia="Calibri"/>
          <w:bCs/>
          <w:sz w:val="28"/>
          <w:szCs w:val="28"/>
          <w:lang w:val="lv-LV"/>
        </w:rPr>
        <w:t xml:space="preserve">egulā </w:t>
      </w:r>
      <w:r w:rsidRPr="00DD7698">
        <w:rPr>
          <w:rFonts w:eastAsia="Calibri"/>
          <w:bCs/>
          <w:sz w:val="28"/>
          <w:szCs w:val="28"/>
          <w:lang w:val="lv-LV"/>
        </w:rPr>
        <w:t>noteikto</w:t>
      </w:r>
      <w:r w:rsidR="00E50A92" w:rsidRPr="00DD7698">
        <w:rPr>
          <w:rFonts w:eastAsia="Calibri"/>
          <w:bCs/>
          <w:sz w:val="28"/>
          <w:szCs w:val="28"/>
          <w:lang w:val="lv-LV"/>
        </w:rPr>
        <w:t xml:space="preserve"> informācijas apjomu.</w:t>
      </w:r>
    </w:p>
    <w:p w14:paraId="7FE95994" w14:textId="0E7F20D3" w:rsidR="00686235" w:rsidRPr="00DD7698" w:rsidRDefault="00497CBD" w:rsidP="00686235">
      <w:pPr>
        <w:spacing w:before="0" w:after="0" w:line="240" w:lineRule="auto"/>
        <w:rPr>
          <w:rFonts w:eastAsia="Calibri"/>
          <w:bCs/>
          <w:sz w:val="28"/>
          <w:szCs w:val="28"/>
          <w:lang w:val="lv-LV"/>
        </w:rPr>
      </w:pPr>
      <w:r w:rsidRPr="00DD7698">
        <w:rPr>
          <w:rFonts w:eastAsia="Calibri"/>
          <w:bCs/>
          <w:sz w:val="28"/>
          <w:szCs w:val="28"/>
          <w:lang w:val="lv-LV"/>
        </w:rPr>
        <w:t>R</w:t>
      </w:r>
      <w:r w:rsidR="007F50FD" w:rsidRPr="00DD7698">
        <w:rPr>
          <w:rFonts w:eastAsia="Calibri"/>
          <w:bCs/>
          <w:sz w:val="28"/>
          <w:szCs w:val="28"/>
          <w:lang w:val="lv-LV"/>
        </w:rPr>
        <w:t>egulas izpratnē pasākumiem, kas veicami, tostarp informācijas apkopošanā, ir jābūt tādiem, kas pēc būtības ir vērsti uz to, lai novērstu ārvalstu tiešo ieguldījumu fikciju, kas ne tikai apdraud, bet var apdraudēt drošību un sabiedrisko kārtību. Līdz ar to</w:t>
      </w:r>
      <w:r w:rsidR="0029154F" w:rsidRPr="00DD7698">
        <w:rPr>
          <w:rFonts w:eastAsia="Calibri"/>
          <w:bCs/>
          <w:sz w:val="28"/>
          <w:szCs w:val="28"/>
          <w:lang w:val="lv-LV"/>
        </w:rPr>
        <w:t xml:space="preserve"> dalībvalstīm ir jābūt iespējai iegūt</w:t>
      </w:r>
      <w:r w:rsidR="007F50FD" w:rsidRPr="00DD7698">
        <w:rPr>
          <w:rFonts w:eastAsia="Calibri"/>
          <w:bCs/>
          <w:sz w:val="28"/>
          <w:szCs w:val="28"/>
          <w:lang w:val="lv-LV"/>
        </w:rPr>
        <w:t xml:space="preserve"> informāci</w:t>
      </w:r>
      <w:r w:rsidR="0029154F" w:rsidRPr="00DD7698">
        <w:rPr>
          <w:rFonts w:eastAsia="Calibri"/>
          <w:bCs/>
          <w:sz w:val="28"/>
          <w:szCs w:val="28"/>
          <w:lang w:val="lv-LV"/>
        </w:rPr>
        <w:t xml:space="preserve">ju </w:t>
      </w:r>
      <w:r w:rsidR="002E2BC6" w:rsidRPr="00DD7698">
        <w:rPr>
          <w:rFonts w:eastAsia="Calibri"/>
          <w:bCs/>
          <w:sz w:val="28"/>
          <w:szCs w:val="28"/>
          <w:lang w:val="lv-LV"/>
        </w:rPr>
        <w:t>tādā apmērā</w:t>
      </w:r>
      <w:r w:rsidR="007F50FD" w:rsidRPr="00DD7698">
        <w:rPr>
          <w:rFonts w:eastAsia="Calibri"/>
          <w:bCs/>
          <w:sz w:val="28"/>
          <w:szCs w:val="28"/>
          <w:lang w:val="lv-LV"/>
        </w:rPr>
        <w:t xml:space="preserve">, </w:t>
      </w:r>
      <w:r w:rsidR="0029154F" w:rsidRPr="00DD7698">
        <w:rPr>
          <w:rFonts w:eastAsia="Calibri"/>
          <w:bCs/>
          <w:sz w:val="28"/>
          <w:szCs w:val="28"/>
          <w:lang w:val="lv-LV"/>
        </w:rPr>
        <w:t>lai</w:t>
      </w:r>
      <w:r w:rsidR="007F50FD" w:rsidRPr="00DD7698">
        <w:rPr>
          <w:rFonts w:eastAsia="Calibri"/>
          <w:bCs/>
          <w:sz w:val="28"/>
          <w:szCs w:val="28"/>
          <w:lang w:val="lv-LV"/>
        </w:rPr>
        <w:t xml:space="preserve"> vērtē</w:t>
      </w:r>
      <w:r w:rsidR="0029154F" w:rsidRPr="00DD7698">
        <w:rPr>
          <w:rFonts w:eastAsia="Calibri"/>
          <w:bCs/>
          <w:sz w:val="28"/>
          <w:szCs w:val="28"/>
          <w:lang w:val="lv-LV"/>
        </w:rPr>
        <w:t>jot</w:t>
      </w:r>
      <w:r w:rsidR="007F50FD" w:rsidRPr="00DD7698">
        <w:rPr>
          <w:rFonts w:eastAsia="Calibri"/>
          <w:bCs/>
          <w:sz w:val="28"/>
          <w:szCs w:val="28"/>
          <w:lang w:val="lv-LV"/>
        </w:rPr>
        <w:t xml:space="preserve"> darījuma potenciālo apdraudējumu nacionālās drošības interesēm, </w:t>
      </w:r>
      <w:r w:rsidR="0029154F" w:rsidRPr="00DD7698">
        <w:rPr>
          <w:rFonts w:eastAsia="Calibri"/>
          <w:bCs/>
          <w:sz w:val="28"/>
          <w:szCs w:val="28"/>
          <w:lang w:val="lv-LV"/>
        </w:rPr>
        <w:t>nepieļautu darījuma formālu izvērtēšanu.</w:t>
      </w:r>
    </w:p>
    <w:p w14:paraId="7790448C" w14:textId="77777777" w:rsidR="00686235" w:rsidRPr="00DD7698" w:rsidRDefault="00686235" w:rsidP="00686235">
      <w:pPr>
        <w:spacing w:before="0" w:after="0" w:line="240" w:lineRule="auto"/>
        <w:rPr>
          <w:rFonts w:eastAsia="Calibri"/>
          <w:bCs/>
          <w:sz w:val="28"/>
          <w:szCs w:val="28"/>
          <w:lang w:val="lv-LV"/>
        </w:rPr>
      </w:pPr>
    </w:p>
    <w:p w14:paraId="6590F575" w14:textId="15FC5104" w:rsidR="00D410A5" w:rsidRPr="00DD7698" w:rsidRDefault="00D410A5" w:rsidP="003F0BDB">
      <w:pPr>
        <w:pStyle w:val="ListParagraph"/>
        <w:numPr>
          <w:ilvl w:val="0"/>
          <w:numId w:val="20"/>
        </w:numPr>
        <w:spacing w:before="0" w:after="0" w:line="240" w:lineRule="auto"/>
        <w:jc w:val="center"/>
        <w:rPr>
          <w:rFonts w:eastAsia="Calibri"/>
          <w:b/>
          <w:sz w:val="28"/>
          <w:szCs w:val="28"/>
          <w:lang w:val="lv-LV"/>
        </w:rPr>
      </w:pPr>
      <w:r w:rsidRPr="00DD7698">
        <w:rPr>
          <w:rFonts w:eastAsia="Calibri"/>
          <w:b/>
          <w:sz w:val="28"/>
          <w:szCs w:val="28"/>
          <w:lang w:val="lv-LV"/>
        </w:rPr>
        <w:t>Apkopojot minēto, dalībvalstīm paredzēts veikt turpmāk minētos pasākumus:</w:t>
      </w:r>
    </w:p>
    <w:p w14:paraId="05256B70" w14:textId="77777777" w:rsidR="00D410A5" w:rsidRPr="00DD7698" w:rsidRDefault="00D410A5" w:rsidP="00D410A5">
      <w:pPr>
        <w:pStyle w:val="ListParagraph"/>
        <w:numPr>
          <w:ilvl w:val="0"/>
          <w:numId w:val="14"/>
        </w:numPr>
        <w:spacing w:before="0" w:after="0" w:line="240" w:lineRule="auto"/>
        <w:ind w:left="0" w:firstLine="720"/>
        <w:rPr>
          <w:rFonts w:eastAsia="Calibri"/>
          <w:bCs/>
          <w:sz w:val="28"/>
          <w:szCs w:val="28"/>
          <w:lang w:val="lv-LV"/>
        </w:rPr>
      </w:pPr>
      <w:r w:rsidRPr="00DD7698">
        <w:rPr>
          <w:rFonts w:eastAsia="Calibri"/>
          <w:bCs/>
          <w:sz w:val="28"/>
          <w:szCs w:val="28"/>
          <w:lang w:val="lv-LV"/>
        </w:rPr>
        <w:t>Ik gadu līdz 31.martam sniegt informāciju Komisijai par ārvalstu tiešajiem ieguldījumiem tās teritorijā, kā arī apkopotu informāciju par saņemtajiem pieteikumiem dalībvalstu ārvalstu tiešo investīciju izvērtēšanas mehānisma ietvaros un apkopotu informāciju par savu ārvalstu tiešo investīciju izvērtēšanas mehānismu piemērošanu.</w:t>
      </w:r>
    </w:p>
    <w:p w14:paraId="07976AAD" w14:textId="77777777" w:rsidR="00D410A5" w:rsidRPr="00DD7698" w:rsidRDefault="00D410A5" w:rsidP="00D410A5">
      <w:pPr>
        <w:pStyle w:val="ListParagraph"/>
        <w:numPr>
          <w:ilvl w:val="0"/>
          <w:numId w:val="14"/>
        </w:numPr>
        <w:spacing w:before="0" w:after="0" w:line="240" w:lineRule="auto"/>
        <w:ind w:left="0" w:firstLine="720"/>
        <w:rPr>
          <w:rFonts w:eastAsia="Calibri"/>
          <w:bCs/>
          <w:sz w:val="28"/>
          <w:szCs w:val="28"/>
          <w:lang w:val="lv-LV"/>
        </w:rPr>
      </w:pPr>
      <w:r w:rsidRPr="00DD7698">
        <w:rPr>
          <w:rFonts w:eastAsia="Calibri"/>
          <w:bCs/>
          <w:sz w:val="28"/>
          <w:szCs w:val="28"/>
          <w:lang w:val="lv-LV"/>
        </w:rPr>
        <w:t>Sniegt informāciju Komisijai un dalībvalstīm par pieteikumu, kas tiek izvērtēts dalībvalsts ārvalstu tiešo investīciju izvērtēšanas mehānisma ietvaros, kā arī nepieciešamības gadījumā sniegt papildu informāciju.</w:t>
      </w:r>
    </w:p>
    <w:p w14:paraId="56E43128" w14:textId="77777777" w:rsidR="00D410A5" w:rsidRPr="00DD7698" w:rsidRDefault="00D410A5" w:rsidP="00D410A5">
      <w:pPr>
        <w:pStyle w:val="ListParagraph"/>
        <w:numPr>
          <w:ilvl w:val="0"/>
          <w:numId w:val="14"/>
        </w:numPr>
        <w:spacing w:before="0" w:after="0" w:line="240" w:lineRule="auto"/>
        <w:ind w:left="0" w:firstLine="720"/>
        <w:rPr>
          <w:rFonts w:eastAsia="Calibri"/>
          <w:bCs/>
          <w:sz w:val="28"/>
          <w:szCs w:val="28"/>
          <w:lang w:val="lv-LV"/>
        </w:rPr>
      </w:pPr>
      <w:r w:rsidRPr="00DD7698">
        <w:rPr>
          <w:rFonts w:eastAsia="Calibri"/>
          <w:bCs/>
          <w:sz w:val="28"/>
          <w:szCs w:val="28"/>
          <w:lang w:val="lv-LV"/>
        </w:rPr>
        <w:t>Iesaistīties pirmreizēji līdz 2023.gadam un pēc tam ik pēc pieciem gadiem, un pēc nepieciešamības sniegt Komisijai papildu informāciju, kas nepieciešama ziņojuma par ĀTI regulas darbību un efektivitāti izvērtēšanu sniegšanai Eiropas Parlamentam un Padomei.</w:t>
      </w:r>
    </w:p>
    <w:p w14:paraId="0B3EC239" w14:textId="66B74D19" w:rsidR="00D410A5" w:rsidRPr="00DD7698" w:rsidRDefault="00D410A5" w:rsidP="00D410A5">
      <w:pPr>
        <w:pStyle w:val="ListParagraph"/>
        <w:numPr>
          <w:ilvl w:val="0"/>
          <w:numId w:val="14"/>
        </w:numPr>
        <w:spacing w:before="0" w:after="0" w:line="240" w:lineRule="auto"/>
        <w:ind w:left="0" w:firstLine="720"/>
        <w:rPr>
          <w:rFonts w:eastAsia="Calibri"/>
          <w:bCs/>
          <w:sz w:val="28"/>
          <w:szCs w:val="28"/>
          <w:lang w:val="lv-LV"/>
        </w:rPr>
      </w:pPr>
      <w:r w:rsidRPr="00DD7698">
        <w:rPr>
          <w:rFonts w:eastAsia="Calibri"/>
          <w:bCs/>
          <w:sz w:val="28"/>
          <w:szCs w:val="28"/>
          <w:lang w:val="lv-LV"/>
        </w:rPr>
        <w:t xml:space="preserve">Izveidot kontaktpunktu, lai nodrošinātu informācijas </w:t>
      </w:r>
      <w:r w:rsidR="00D102C2" w:rsidRPr="00DD7698">
        <w:rPr>
          <w:rFonts w:eastAsia="Calibri"/>
          <w:bCs/>
          <w:sz w:val="28"/>
          <w:szCs w:val="28"/>
          <w:lang w:val="lv-LV"/>
        </w:rPr>
        <w:t>apmaiņu starp</w:t>
      </w:r>
      <w:r w:rsidRPr="00DD7698">
        <w:rPr>
          <w:rFonts w:eastAsia="Calibri"/>
          <w:bCs/>
          <w:sz w:val="28"/>
          <w:szCs w:val="28"/>
          <w:lang w:val="lv-LV"/>
        </w:rPr>
        <w:t xml:space="preserve"> dalībvalstīm</w:t>
      </w:r>
      <w:r w:rsidR="00D102C2" w:rsidRPr="00DD7698">
        <w:rPr>
          <w:rFonts w:eastAsia="Calibri"/>
          <w:bCs/>
          <w:sz w:val="28"/>
          <w:szCs w:val="28"/>
          <w:lang w:val="lv-LV"/>
        </w:rPr>
        <w:t xml:space="preserve"> un Komisiju.</w:t>
      </w:r>
    </w:p>
    <w:p w14:paraId="25A3D113" w14:textId="77777777" w:rsidR="004058AC" w:rsidRPr="00DD7698" w:rsidRDefault="004058AC" w:rsidP="005B5A34">
      <w:pPr>
        <w:spacing w:before="0" w:after="0" w:line="240" w:lineRule="auto"/>
        <w:ind w:firstLine="0"/>
        <w:rPr>
          <w:rFonts w:eastAsia="Calibri"/>
          <w:bCs/>
          <w:sz w:val="28"/>
          <w:szCs w:val="28"/>
          <w:lang w:val="lv-LV"/>
        </w:rPr>
      </w:pPr>
    </w:p>
    <w:p w14:paraId="520A55E6" w14:textId="7C57B80E" w:rsidR="0017071A" w:rsidRPr="00DD7698" w:rsidRDefault="0017071A" w:rsidP="00DB4A62">
      <w:pPr>
        <w:pStyle w:val="ListParagraph"/>
        <w:numPr>
          <w:ilvl w:val="0"/>
          <w:numId w:val="20"/>
        </w:numPr>
        <w:spacing w:before="0" w:after="0" w:line="240" w:lineRule="auto"/>
        <w:jc w:val="center"/>
        <w:rPr>
          <w:rFonts w:eastAsia="Calibri"/>
          <w:b/>
          <w:sz w:val="28"/>
          <w:szCs w:val="28"/>
          <w:lang w:val="lv-LV"/>
        </w:rPr>
      </w:pPr>
      <w:r w:rsidRPr="00DD7698">
        <w:rPr>
          <w:rFonts w:eastAsia="Calibri"/>
          <w:b/>
          <w:sz w:val="28"/>
          <w:szCs w:val="28"/>
          <w:lang w:val="lv-LV"/>
        </w:rPr>
        <w:t>Latvijas Republikā spēkā esošais regulējums</w:t>
      </w:r>
    </w:p>
    <w:p w14:paraId="0369FA96" w14:textId="6EA8C566" w:rsidR="00220ACF" w:rsidRPr="00DD7698" w:rsidRDefault="0017071A" w:rsidP="00220ACF">
      <w:pPr>
        <w:spacing w:before="0" w:after="0" w:line="240" w:lineRule="auto"/>
        <w:rPr>
          <w:rFonts w:eastAsia="Calibri"/>
          <w:bCs/>
          <w:sz w:val="28"/>
          <w:szCs w:val="28"/>
          <w:lang w:val="lv-LV"/>
        </w:rPr>
      </w:pPr>
      <w:r w:rsidRPr="00DD7698">
        <w:rPr>
          <w:rFonts w:eastAsia="Calibri"/>
          <w:bCs/>
          <w:sz w:val="28"/>
          <w:szCs w:val="28"/>
          <w:lang w:val="lv-LV"/>
        </w:rPr>
        <w:t xml:space="preserve">Latvijā ārvalstu tiešo ieguldījumu mehānisms ir izveidots ar 2017.gada 23.marta grozījumiem Nacionālās drošības likumā, kas stājās spēkā 2017.gada 29.martā. Ar minētajiem grozījumiem Nacionālās drošības likumā ir noteikti ierobežojumi gan darījumiem ar kritisko infrastruktūru, gan darījumiem ar nacionālai drošībai nozīmīgām komercsabiedrībām. Uz Nacionālās drošības likuma deleģējuma pamata Ministru kabinets 2017.gada 3.oktobrī pieņēma noteikumus Nr.606 “Noteikumi par Nacionālās drošības likumā noteikto institūciju, institūcijā </w:t>
      </w:r>
      <w:r w:rsidRPr="00DD7698">
        <w:rPr>
          <w:rFonts w:eastAsia="Calibri"/>
          <w:bCs/>
          <w:sz w:val="28"/>
          <w:szCs w:val="28"/>
          <w:lang w:val="lv-LV"/>
        </w:rPr>
        <w:lastRenderedPageBreak/>
        <w:t>iesniedzamās informācijas apjomu, iesniegšanas kārtību un iesniegtās informācijas izvērtēšanu, kā arī Nacionālās drošības likumā noteiktā lēmuma pieņemšanu un paziņošanu”</w:t>
      </w:r>
      <w:r w:rsidR="00F44FE0" w:rsidRPr="00DD7698">
        <w:rPr>
          <w:rFonts w:eastAsia="Calibri"/>
          <w:bCs/>
          <w:sz w:val="28"/>
          <w:szCs w:val="28"/>
          <w:lang w:val="lv-LV"/>
        </w:rPr>
        <w:t xml:space="preserve"> (turpmāk – Noteikumi Nr.606)</w:t>
      </w:r>
      <w:r w:rsidRPr="00DD7698">
        <w:rPr>
          <w:rFonts w:eastAsia="Calibri"/>
          <w:bCs/>
          <w:sz w:val="28"/>
          <w:szCs w:val="28"/>
          <w:lang w:val="lv-LV"/>
        </w:rPr>
        <w:t xml:space="preserve">. </w:t>
      </w:r>
      <w:r w:rsidR="00220ACF" w:rsidRPr="00DD7698">
        <w:rPr>
          <w:rFonts w:eastAsia="Calibri"/>
          <w:bCs/>
          <w:sz w:val="28"/>
          <w:szCs w:val="28"/>
          <w:lang w:val="lv-LV"/>
        </w:rPr>
        <w:t>Saskaņā ar</w:t>
      </w:r>
      <w:r w:rsidRPr="00DD7698">
        <w:rPr>
          <w:rFonts w:eastAsia="Calibri"/>
          <w:bCs/>
          <w:sz w:val="28"/>
          <w:szCs w:val="28"/>
          <w:lang w:val="lv-LV"/>
        </w:rPr>
        <w:t xml:space="preserve"> minētajiem noteikumiem par atbildīgo institūciju ir noteikta Ekonomikas ministrija.</w:t>
      </w:r>
    </w:p>
    <w:p w14:paraId="2FFFE31A" w14:textId="2B2AE412" w:rsidR="00293F3C" w:rsidRPr="00DD7698" w:rsidRDefault="00293F3C" w:rsidP="00293F3C">
      <w:pPr>
        <w:spacing w:before="0" w:after="0" w:line="240" w:lineRule="auto"/>
        <w:rPr>
          <w:rFonts w:eastAsia="Calibri"/>
          <w:bCs/>
          <w:sz w:val="28"/>
          <w:szCs w:val="28"/>
          <w:lang w:val="lv-LV"/>
        </w:rPr>
      </w:pPr>
      <w:r w:rsidRPr="00DD7698">
        <w:rPr>
          <w:rFonts w:eastAsia="Calibri"/>
          <w:bCs/>
          <w:sz w:val="28"/>
          <w:szCs w:val="28"/>
          <w:lang w:val="lv-LV"/>
        </w:rPr>
        <w:t xml:space="preserve">Nacionālās drošības likuma 39.panta </w:t>
      </w:r>
      <w:r w:rsidR="00220ACF" w:rsidRPr="00DD7698">
        <w:rPr>
          <w:rFonts w:eastAsia="Calibri"/>
          <w:bCs/>
          <w:sz w:val="28"/>
          <w:szCs w:val="28"/>
          <w:lang w:val="lv-LV"/>
        </w:rPr>
        <w:t xml:space="preserve">pirmās daļas </w:t>
      </w:r>
      <w:r w:rsidRPr="00DD7698">
        <w:rPr>
          <w:rFonts w:eastAsia="Calibri"/>
          <w:bCs/>
          <w:sz w:val="28"/>
          <w:szCs w:val="28"/>
          <w:lang w:val="lv-LV"/>
        </w:rPr>
        <w:t>4.punkt</w:t>
      </w:r>
      <w:r w:rsidR="00220ACF" w:rsidRPr="00DD7698">
        <w:rPr>
          <w:rFonts w:eastAsia="Calibri"/>
          <w:bCs/>
          <w:sz w:val="28"/>
          <w:szCs w:val="28"/>
          <w:lang w:val="lv-LV"/>
        </w:rPr>
        <w:t>ā noteikts, ka</w:t>
      </w:r>
      <w:r w:rsidRPr="00DD7698">
        <w:rPr>
          <w:rFonts w:eastAsia="Calibri"/>
          <w:bCs/>
          <w:sz w:val="28"/>
          <w:szCs w:val="28"/>
          <w:lang w:val="lv-LV"/>
        </w:rPr>
        <w:t xml:space="preserve"> komercsabiedrībai, kas atbilst nacionālai drošībai nozīmīgas komercsabiedrības statusam ir pienākums sniegt informāciju Ekonomikas ministrijai par tās dalībniekiem, akcionāriem un personām, kuras izmanto netiešo līdzdalību (balsstiesības), vai par biedriem, kā arī patiesajiem labuma guvējiem – fiziskajām personām, kurām tieši vai netieši ir būtiska līdzdalība šajā komercsabiedrībā. </w:t>
      </w:r>
    </w:p>
    <w:p w14:paraId="0DCC6DCF" w14:textId="286496C4" w:rsidR="0017071A" w:rsidRPr="00DD7698" w:rsidRDefault="0017071A" w:rsidP="0017071A">
      <w:pPr>
        <w:spacing w:before="0" w:after="0" w:line="240" w:lineRule="auto"/>
        <w:ind w:firstLine="709"/>
        <w:rPr>
          <w:rFonts w:eastAsia="Calibri"/>
          <w:bCs/>
          <w:sz w:val="28"/>
          <w:szCs w:val="28"/>
          <w:lang w:val="lv-LV"/>
        </w:rPr>
      </w:pPr>
      <w:r w:rsidRPr="00DD7698">
        <w:rPr>
          <w:rFonts w:eastAsia="Calibri"/>
          <w:bCs/>
          <w:sz w:val="28"/>
          <w:szCs w:val="28"/>
          <w:lang w:val="lv-LV"/>
        </w:rPr>
        <w:t>Informatīvā ziņojuma sagatavošanas brīdī 26 komersanti atbilst Nacionālās drošības likuma 37.pantā noteiktajiem nacionālajai drošībai nozīmīgas komercsabiedrības kritērijiem. Norādāms, ka atsevišķi komersanti vienlaikus atbilst vairākiem Nacionālās drošības likuma 37.pantā noteiktajiem kritērijiem.</w:t>
      </w:r>
    </w:p>
    <w:p w14:paraId="35F8A164" w14:textId="77777777" w:rsidR="00D102C2" w:rsidRPr="00DD7698" w:rsidRDefault="00D102C2" w:rsidP="0017071A">
      <w:pPr>
        <w:spacing w:before="0" w:after="0" w:line="240" w:lineRule="auto"/>
        <w:ind w:firstLine="709"/>
        <w:rPr>
          <w:rFonts w:eastAsia="Calibri"/>
          <w:bCs/>
          <w:sz w:val="28"/>
          <w:szCs w:val="28"/>
          <w:lang w:val="lv-LV"/>
        </w:rPr>
      </w:pPr>
    </w:p>
    <w:tbl>
      <w:tblPr>
        <w:tblStyle w:val="TableGrid"/>
        <w:tblW w:w="0" w:type="auto"/>
        <w:tblLook w:val="04A0" w:firstRow="1" w:lastRow="0" w:firstColumn="1" w:lastColumn="0" w:noHBand="0" w:noVBand="1"/>
      </w:tblPr>
      <w:tblGrid>
        <w:gridCol w:w="4672"/>
        <w:gridCol w:w="4673"/>
      </w:tblGrid>
      <w:tr w:rsidR="0017071A" w:rsidRPr="00DD7698" w14:paraId="1393D49C" w14:textId="77777777" w:rsidTr="005644F9">
        <w:tc>
          <w:tcPr>
            <w:tcW w:w="4672" w:type="dxa"/>
            <w:shd w:val="clear" w:color="auto" w:fill="BFBFBF" w:themeFill="background1" w:themeFillShade="BF"/>
          </w:tcPr>
          <w:p w14:paraId="0E94F187"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Komersantu skaits</w:t>
            </w:r>
          </w:p>
        </w:tc>
        <w:tc>
          <w:tcPr>
            <w:tcW w:w="4673" w:type="dxa"/>
            <w:shd w:val="clear" w:color="auto" w:fill="BFBFBF" w:themeFill="background1" w:themeFillShade="BF"/>
          </w:tcPr>
          <w:p w14:paraId="03028ACF"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Komersantu apraksts</w:t>
            </w:r>
          </w:p>
        </w:tc>
      </w:tr>
      <w:tr w:rsidR="0017071A" w:rsidRPr="004A1FBF" w14:paraId="0BCBC0DB" w14:textId="77777777" w:rsidTr="005644F9">
        <w:tc>
          <w:tcPr>
            <w:tcW w:w="4672" w:type="dxa"/>
          </w:tcPr>
          <w:p w14:paraId="29501B00"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SIA “Latvijas Mobilais telefons”, SIA “Tele 2”, SIA “BITE Latvija”, SIA “Tet”</w:t>
            </w:r>
          </w:p>
        </w:tc>
        <w:tc>
          <w:tcPr>
            <w:tcW w:w="4673" w:type="dxa"/>
          </w:tcPr>
          <w:p w14:paraId="01288D92"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Elektronisko sakaru komersants ar būtisku ietekmi tirgū, kuram noteiktas tarifu regulēšanas un izmaksu aprēķināšanas saistības Elektronisko sakaru likumā paredzētajā kārtībā</w:t>
            </w:r>
          </w:p>
        </w:tc>
      </w:tr>
      <w:tr w:rsidR="0017071A" w:rsidRPr="004A1FBF" w14:paraId="31DBA90F" w14:textId="77777777" w:rsidTr="005644F9">
        <w:tc>
          <w:tcPr>
            <w:tcW w:w="4672" w:type="dxa"/>
          </w:tcPr>
          <w:p w14:paraId="22B2487C"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VSIA “Latvijas Radio”, AS “Radio SWH”, VSIA “Latvijas Televīzija”, SIA “All Media Latvia”, SIA “VIDZEMES TELEVĪZIJA”, AS “TV Latvija”, SIA “4.vara”, Biedrība “Chaula.tv”, SIA “Pirmais Baltijas Kanāls”</w:t>
            </w:r>
          </w:p>
        </w:tc>
        <w:tc>
          <w:tcPr>
            <w:tcW w:w="4673" w:type="dxa"/>
          </w:tcPr>
          <w:p w14:paraId="2C93817F"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Audiāls elektroniskais plašsaziņas līdzeklis, kura programmas aptveršanas zona, izmantojot zemes apraides tehnisko līdzekļus, atbilstoši Nacionālās elektronisko plašsaziņas līdzekļu padomes izsniegtajai apraides atļaujai ir Latvija vai vismaz 60 procenti no tās teritorijas, vai ir audiovizuāls elektroniskais plašsaziņas līdzeklis, kura programmas aptveršanas zona, izmantojot zemes apraides tehniskos līdzekļus, atbilstoši Nacionālās elektronisko plašsaziņas līdzekļu padomes izsniegtajai apraides atļaujai ir Latvija vai vismaz 95 procenti no tās teritorijas.</w:t>
            </w:r>
          </w:p>
        </w:tc>
      </w:tr>
      <w:tr w:rsidR="0017071A" w:rsidRPr="004A1FBF" w14:paraId="1807A337" w14:textId="77777777" w:rsidTr="005644F9">
        <w:tc>
          <w:tcPr>
            <w:tcW w:w="4672" w:type="dxa"/>
          </w:tcPr>
          <w:p w14:paraId="52F18452"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AS “Gaso”, AS “Conexus Baltic Grid”</w:t>
            </w:r>
          </w:p>
        </w:tc>
        <w:tc>
          <w:tcPr>
            <w:tcW w:w="4673" w:type="dxa"/>
          </w:tcPr>
          <w:p w14:paraId="166E1426"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Komercsabiedrība, kura Latvijas Republikā ir saņēmusi licenci dabasgāzes pārvadei, sadalei, uzglabāšanai vai tai pieder sašķidrinātās dabasgāzes iekārta, kas savienota ar pārvades sistēmu.</w:t>
            </w:r>
          </w:p>
        </w:tc>
      </w:tr>
      <w:tr w:rsidR="0017071A" w:rsidRPr="004A1FBF" w14:paraId="25C66996" w14:textId="77777777" w:rsidTr="005644F9">
        <w:tc>
          <w:tcPr>
            <w:tcW w:w="4672" w:type="dxa"/>
          </w:tcPr>
          <w:p w14:paraId="780D2B4D"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lastRenderedPageBreak/>
              <w:t>PAS “Daugavpils Siltumtīkli”, SIA “Fortum Jelgava”, SIA “Jūrmalas siltums”, SIA “LIEPĀJAS ENERĢIJA”, AS “Rēzeknes siltumtīkli”, AS “Valmieras enerģija”, AS “Latvenergo”, AS “Rīgas Siltums”, SIA “Ogres Namsaimnieks”, PSIA “Ventspils siltums”</w:t>
            </w:r>
          </w:p>
        </w:tc>
        <w:tc>
          <w:tcPr>
            <w:tcW w:w="4673" w:type="dxa"/>
          </w:tcPr>
          <w:p w14:paraId="2C431D43"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Elektroenerģijas vai siltumenerģijas ražotājs, kura uzstādītā faktiskā jauda pārsniedz 50 megavatus.</w:t>
            </w:r>
          </w:p>
        </w:tc>
      </w:tr>
      <w:tr w:rsidR="0017071A" w:rsidRPr="00DD7698" w14:paraId="1EF443C5" w14:textId="77777777" w:rsidTr="005644F9">
        <w:tc>
          <w:tcPr>
            <w:tcW w:w="4672" w:type="dxa"/>
          </w:tcPr>
          <w:p w14:paraId="47CD5597"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AS “RĪGAS SILTUMS”, SIA “LIEPĀJAS ENERĢIJA”, PAS “Daugavpils siltumtīkli”</w:t>
            </w:r>
          </w:p>
        </w:tc>
        <w:tc>
          <w:tcPr>
            <w:tcW w:w="4673" w:type="dxa"/>
          </w:tcPr>
          <w:p w14:paraId="2B59613E"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Siltumenerģijas pārvades un sadales operators, kura pieder siltumtīkli vismaz 100 kilometru garumā.</w:t>
            </w:r>
          </w:p>
        </w:tc>
      </w:tr>
      <w:tr w:rsidR="0017071A" w:rsidRPr="00DD7698" w14:paraId="61EB0A52" w14:textId="77777777" w:rsidTr="005644F9">
        <w:tc>
          <w:tcPr>
            <w:tcW w:w="4672" w:type="dxa"/>
          </w:tcPr>
          <w:p w14:paraId="1BD8918B"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AS “Augstsprieguma tīkls”</w:t>
            </w:r>
          </w:p>
        </w:tc>
        <w:tc>
          <w:tcPr>
            <w:tcW w:w="4673" w:type="dxa"/>
          </w:tcPr>
          <w:p w14:paraId="5E544514" w14:textId="77777777" w:rsidR="0017071A" w:rsidRPr="00DD7698" w:rsidRDefault="0017071A" w:rsidP="005644F9">
            <w:pPr>
              <w:spacing w:before="0" w:after="0" w:line="240" w:lineRule="auto"/>
              <w:ind w:firstLine="0"/>
              <w:rPr>
                <w:rFonts w:eastAsia="Calibri"/>
                <w:bCs/>
                <w:sz w:val="28"/>
                <w:szCs w:val="28"/>
                <w:lang w:val="lv-LV"/>
              </w:rPr>
            </w:pPr>
            <w:r w:rsidRPr="00DD7698">
              <w:rPr>
                <w:rFonts w:eastAsia="Calibri"/>
                <w:bCs/>
                <w:sz w:val="28"/>
                <w:szCs w:val="28"/>
                <w:lang w:val="lv-LV"/>
              </w:rPr>
              <w:t>Latvijas Republikā saņēmusi licenci elektroenerģijas pārvadei.</w:t>
            </w:r>
          </w:p>
        </w:tc>
      </w:tr>
    </w:tbl>
    <w:p w14:paraId="6F8804DC" w14:textId="77777777" w:rsidR="002E2BC6" w:rsidRPr="00DD7698" w:rsidRDefault="002E2BC6" w:rsidP="00220ACF">
      <w:pPr>
        <w:spacing w:before="0" w:after="0" w:line="240" w:lineRule="auto"/>
        <w:rPr>
          <w:rFonts w:eastAsia="Calibri"/>
          <w:bCs/>
          <w:sz w:val="28"/>
          <w:szCs w:val="28"/>
          <w:lang w:val="lv-LV"/>
        </w:rPr>
      </w:pPr>
    </w:p>
    <w:p w14:paraId="28075B14" w14:textId="7613C561" w:rsidR="00220ACF" w:rsidRPr="00DD7698" w:rsidRDefault="00220ACF" w:rsidP="00220ACF">
      <w:pPr>
        <w:spacing w:before="0" w:after="0" w:line="240" w:lineRule="auto"/>
        <w:rPr>
          <w:rFonts w:eastAsia="Calibri"/>
          <w:bCs/>
          <w:sz w:val="28"/>
          <w:szCs w:val="28"/>
          <w:lang w:val="lv-LV"/>
        </w:rPr>
      </w:pPr>
      <w:r w:rsidRPr="00DD7698">
        <w:rPr>
          <w:rFonts w:eastAsia="Calibri"/>
          <w:bCs/>
          <w:sz w:val="28"/>
          <w:szCs w:val="28"/>
          <w:lang w:val="lv-LV"/>
        </w:rPr>
        <w:t>Atbilstoši Nacionālās drošības likuma 10.panta pirmās daļas 9.punkta, 22.</w:t>
      </w:r>
      <w:r w:rsidRPr="00DD7698">
        <w:rPr>
          <w:rFonts w:eastAsia="Calibri"/>
          <w:bCs/>
          <w:sz w:val="28"/>
          <w:szCs w:val="28"/>
          <w:vertAlign w:val="superscript"/>
          <w:lang w:val="lv-LV"/>
        </w:rPr>
        <w:t xml:space="preserve">2 </w:t>
      </w:r>
      <w:r w:rsidRPr="00DD7698">
        <w:rPr>
          <w:rFonts w:eastAsia="Calibri"/>
          <w:bCs/>
          <w:sz w:val="28"/>
          <w:szCs w:val="28"/>
          <w:lang w:val="lv-LV"/>
        </w:rPr>
        <w:t>panta septītajā daļā, 28.panta pirmajā daļā, 40.panta pirmajā daļā, 41.panta pirmajā daļā un 42.panta pirmajā daļā noteiktajam, Ministru kabinets pieņem lēmumu:</w:t>
      </w:r>
    </w:p>
    <w:p w14:paraId="3D3DE4CF" w14:textId="77777777" w:rsidR="00220ACF" w:rsidRPr="00DD7698" w:rsidRDefault="00220ACF" w:rsidP="00220ACF">
      <w:pPr>
        <w:pStyle w:val="ListParagraph"/>
        <w:numPr>
          <w:ilvl w:val="0"/>
          <w:numId w:val="18"/>
        </w:numPr>
        <w:spacing w:before="0" w:after="0" w:line="240" w:lineRule="auto"/>
        <w:rPr>
          <w:rFonts w:eastAsia="Calibri"/>
          <w:bCs/>
          <w:sz w:val="28"/>
          <w:szCs w:val="28"/>
          <w:lang w:val="lv-LV"/>
        </w:rPr>
      </w:pPr>
      <w:r w:rsidRPr="00DD7698">
        <w:rPr>
          <w:rFonts w:eastAsia="Calibri"/>
          <w:bCs/>
          <w:sz w:val="28"/>
          <w:szCs w:val="28"/>
          <w:lang w:val="lv-LV"/>
        </w:rPr>
        <w:t>par atļauju būtiskas līdzdalības (pieder 10% vai vairāk no balsstiesīgajām kapitāla daļām (akcijām)) vai izšķirošas ietekmes (veido 50% vai vairāk no balsstiesīgajām kapitāla daļām (akcijām)) iegūšanai nacionālajai drošībai nozīmīgā komercsabiedrībā;</w:t>
      </w:r>
    </w:p>
    <w:p w14:paraId="0A7FAB2D" w14:textId="77777777" w:rsidR="00220ACF" w:rsidRPr="00DD7698" w:rsidRDefault="00220ACF" w:rsidP="00220ACF">
      <w:pPr>
        <w:pStyle w:val="ListParagraph"/>
        <w:numPr>
          <w:ilvl w:val="0"/>
          <w:numId w:val="18"/>
        </w:numPr>
        <w:spacing w:before="0" w:after="0" w:line="240" w:lineRule="auto"/>
        <w:rPr>
          <w:rFonts w:eastAsia="Calibri"/>
          <w:bCs/>
          <w:sz w:val="28"/>
          <w:szCs w:val="28"/>
          <w:lang w:val="lv-LV"/>
        </w:rPr>
      </w:pPr>
      <w:r w:rsidRPr="00DD7698">
        <w:rPr>
          <w:rFonts w:eastAsia="Calibri"/>
          <w:bCs/>
          <w:sz w:val="28"/>
          <w:szCs w:val="28"/>
          <w:lang w:val="lv-LV"/>
        </w:rPr>
        <w:t>par atļauju uzņēmuma pārejai (īpašuma tiesību pāreja, kā rezultātā cita persona iegūst īpašumā tādu aktīvu no nacionālajai drošībai nozīmīgas komercsabiedrības, kas tiek izmantoti Nacionālās drošības likuma 37.pantā minētās darbības veikšanai);</w:t>
      </w:r>
    </w:p>
    <w:p w14:paraId="5ED685E2" w14:textId="77777777" w:rsidR="00220ACF" w:rsidRPr="00DD7698" w:rsidRDefault="00220ACF" w:rsidP="00220ACF">
      <w:pPr>
        <w:pStyle w:val="ListParagraph"/>
        <w:numPr>
          <w:ilvl w:val="0"/>
          <w:numId w:val="18"/>
        </w:numPr>
        <w:spacing w:before="0" w:after="0" w:line="240" w:lineRule="auto"/>
        <w:rPr>
          <w:rFonts w:eastAsia="Calibri"/>
          <w:bCs/>
          <w:sz w:val="28"/>
          <w:szCs w:val="28"/>
          <w:lang w:val="lv-LV"/>
        </w:rPr>
      </w:pPr>
      <w:r w:rsidRPr="00DD7698">
        <w:rPr>
          <w:rFonts w:eastAsia="Calibri"/>
          <w:bCs/>
          <w:sz w:val="28"/>
          <w:szCs w:val="28"/>
          <w:lang w:val="lv-LV"/>
        </w:rPr>
        <w:t>par līdzdalības saglabāšanu, ja mainās patiesā labuma guvējs, kam ir tieša vai netieša (pastarpināta) būtiska līdzdalība vai izšķirošā ietekme nacionālajai drošībai nozīmīgā komercsabiedrībā;</w:t>
      </w:r>
    </w:p>
    <w:p w14:paraId="66DB1334" w14:textId="77777777" w:rsidR="00220ACF" w:rsidRPr="00DD7698" w:rsidRDefault="00220ACF" w:rsidP="00220ACF">
      <w:pPr>
        <w:pStyle w:val="ListParagraph"/>
        <w:numPr>
          <w:ilvl w:val="0"/>
          <w:numId w:val="18"/>
        </w:numPr>
        <w:spacing w:before="0" w:after="0" w:line="240" w:lineRule="auto"/>
        <w:rPr>
          <w:rFonts w:eastAsia="Calibri"/>
          <w:bCs/>
          <w:sz w:val="28"/>
          <w:szCs w:val="28"/>
          <w:lang w:val="lv-LV"/>
        </w:rPr>
      </w:pPr>
      <w:r w:rsidRPr="00DD7698">
        <w:rPr>
          <w:rFonts w:eastAsia="Calibri"/>
          <w:bCs/>
          <w:sz w:val="28"/>
          <w:szCs w:val="28"/>
          <w:lang w:val="lv-LV"/>
        </w:rPr>
        <w:t>par atļauju kritiskās infrastruktūras nodošanai valdījumā vai īpašumā citai personai.</w:t>
      </w:r>
    </w:p>
    <w:p w14:paraId="0A3A496C" w14:textId="1CAE5898" w:rsidR="00FC10BB" w:rsidRPr="00DD7698" w:rsidRDefault="00FC10BB" w:rsidP="00FC10BB">
      <w:pPr>
        <w:spacing w:before="0" w:after="0" w:line="240" w:lineRule="auto"/>
        <w:rPr>
          <w:rFonts w:eastAsia="Calibri"/>
          <w:bCs/>
          <w:sz w:val="28"/>
          <w:szCs w:val="28"/>
          <w:lang w:val="lv-LV"/>
        </w:rPr>
      </w:pPr>
      <w:r w:rsidRPr="00DD7698">
        <w:rPr>
          <w:rFonts w:eastAsia="Calibri"/>
          <w:bCs/>
          <w:sz w:val="28"/>
          <w:szCs w:val="28"/>
          <w:lang w:val="lv-LV"/>
        </w:rPr>
        <w:t xml:space="preserve">Saistībā ar nacionālajai drošībai nozīmīgām komercsabiedrībām informatīvā ziņojuma sagatavošanas </w:t>
      </w:r>
      <w:r w:rsidR="002E2BC6" w:rsidRPr="00DD7698">
        <w:rPr>
          <w:rFonts w:eastAsia="Calibri"/>
          <w:bCs/>
          <w:sz w:val="28"/>
          <w:szCs w:val="28"/>
          <w:lang w:val="lv-LV"/>
        </w:rPr>
        <w:t xml:space="preserve">brīdī </w:t>
      </w:r>
      <w:r w:rsidRPr="00DD7698">
        <w:rPr>
          <w:rFonts w:eastAsia="Calibri"/>
          <w:bCs/>
          <w:sz w:val="28"/>
          <w:szCs w:val="28"/>
          <w:lang w:val="lv-LV"/>
        </w:rPr>
        <w:t>Ministru kabinets ir pieņēmis piecus lēmumus, ar kuriem atbilstoši Nacionālās drošības likumam ir atļāvis vai atteicis atļauju iegūt būtisku līdzdalību vai izšķirošu ietekmi nacionālajai drošībai nozīmīgā komercsabiedrībā.</w:t>
      </w:r>
    </w:p>
    <w:p w14:paraId="19E782F4" w14:textId="5C9B66D5" w:rsidR="00FC10BB" w:rsidRPr="00DD7698" w:rsidRDefault="00FC10BB" w:rsidP="00FC10BB">
      <w:pPr>
        <w:spacing w:before="0" w:after="0" w:line="240" w:lineRule="auto"/>
        <w:rPr>
          <w:rFonts w:eastAsia="Calibri"/>
          <w:bCs/>
          <w:sz w:val="28"/>
          <w:szCs w:val="28"/>
          <w:lang w:val="lv-LV"/>
        </w:rPr>
      </w:pPr>
      <w:r w:rsidRPr="00DD7698">
        <w:rPr>
          <w:rFonts w:eastAsia="Calibri"/>
          <w:bCs/>
          <w:sz w:val="28"/>
          <w:szCs w:val="28"/>
          <w:lang w:val="lv-LV"/>
        </w:rPr>
        <w:t xml:space="preserve">Saskaņā ar </w:t>
      </w:r>
      <w:r w:rsidR="00220ACF" w:rsidRPr="00DD7698">
        <w:rPr>
          <w:rFonts w:eastAsia="Calibri"/>
          <w:bCs/>
          <w:sz w:val="28"/>
          <w:szCs w:val="28"/>
          <w:lang w:val="lv-LV"/>
        </w:rPr>
        <w:t>Nacionālās drošības likuma 44.panta otr</w:t>
      </w:r>
      <w:r w:rsidRPr="00DD7698">
        <w:rPr>
          <w:rFonts w:eastAsia="Calibri"/>
          <w:bCs/>
          <w:sz w:val="28"/>
          <w:szCs w:val="28"/>
          <w:lang w:val="lv-LV"/>
        </w:rPr>
        <w:t>o</w:t>
      </w:r>
      <w:r w:rsidR="00220ACF" w:rsidRPr="00DD7698">
        <w:rPr>
          <w:rFonts w:eastAsia="Calibri"/>
          <w:bCs/>
          <w:sz w:val="28"/>
          <w:szCs w:val="28"/>
          <w:lang w:val="lv-LV"/>
        </w:rPr>
        <w:t xml:space="preserve"> daļ</w:t>
      </w:r>
      <w:r w:rsidRPr="00DD7698">
        <w:rPr>
          <w:rFonts w:eastAsia="Calibri"/>
          <w:bCs/>
          <w:sz w:val="28"/>
          <w:szCs w:val="28"/>
          <w:lang w:val="lv-LV"/>
        </w:rPr>
        <w:t>u</w:t>
      </w:r>
      <w:r w:rsidR="00220ACF" w:rsidRPr="00DD7698">
        <w:rPr>
          <w:rFonts w:eastAsia="Calibri"/>
          <w:bCs/>
          <w:sz w:val="28"/>
          <w:szCs w:val="28"/>
          <w:lang w:val="lv-LV"/>
        </w:rPr>
        <w:t xml:space="preserve">, pieņemot lēmumu šajā nodaļā minētajos gadījumos, Ministru kabinets izvērtē personas tiesību ierobežojumu, tā samērīgumu ar nacionālās drošības interesēm un valsts drošības iestādes atzinumu, kā arī atbilstību tiesiskās paļāvības principam. Savukārt </w:t>
      </w:r>
      <w:r w:rsidR="007F63B8" w:rsidRPr="00DD7698">
        <w:rPr>
          <w:rFonts w:eastAsia="Calibri"/>
          <w:bCs/>
          <w:sz w:val="28"/>
          <w:szCs w:val="28"/>
          <w:lang w:val="lv-LV"/>
        </w:rPr>
        <w:t xml:space="preserve">atbilstoši </w:t>
      </w:r>
      <w:r w:rsidR="00220ACF" w:rsidRPr="00DD7698">
        <w:rPr>
          <w:rFonts w:eastAsia="Calibri"/>
          <w:bCs/>
          <w:sz w:val="28"/>
          <w:szCs w:val="28"/>
          <w:lang w:val="lv-LV"/>
        </w:rPr>
        <w:t>Noteikumu Nr.606 9.</w:t>
      </w:r>
      <w:r w:rsidR="007F63B8" w:rsidRPr="00DD7698">
        <w:rPr>
          <w:rFonts w:eastAsia="Calibri"/>
          <w:bCs/>
          <w:sz w:val="28"/>
          <w:szCs w:val="28"/>
          <w:lang w:val="lv-LV"/>
        </w:rPr>
        <w:t xml:space="preserve"> un 10.</w:t>
      </w:r>
      <w:r w:rsidR="00220ACF" w:rsidRPr="00DD7698">
        <w:rPr>
          <w:rFonts w:eastAsia="Calibri"/>
          <w:bCs/>
          <w:sz w:val="28"/>
          <w:szCs w:val="28"/>
          <w:lang w:val="lv-LV"/>
        </w:rPr>
        <w:t>punkt</w:t>
      </w:r>
      <w:r w:rsidR="007F63B8" w:rsidRPr="00DD7698">
        <w:rPr>
          <w:rFonts w:eastAsia="Calibri"/>
          <w:bCs/>
          <w:sz w:val="28"/>
          <w:szCs w:val="28"/>
          <w:lang w:val="lv-LV"/>
        </w:rPr>
        <w:t>am</w:t>
      </w:r>
      <w:r w:rsidR="0012488A" w:rsidRPr="00DD7698">
        <w:rPr>
          <w:rFonts w:eastAsia="Calibri"/>
          <w:bCs/>
          <w:sz w:val="28"/>
          <w:szCs w:val="28"/>
          <w:lang w:val="lv-LV"/>
        </w:rPr>
        <w:t xml:space="preserve"> Ekonomikas ministrija saņemto </w:t>
      </w:r>
      <w:r w:rsidR="007F63B8" w:rsidRPr="00DD7698">
        <w:rPr>
          <w:rFonts w:eastAsia="Calibri"/>
          <w:bCs/>
          <w:sz w:val="28"/>
          <w:szCs w:val="28"/>
          <w:lang w:val="lv-LV"/>
        </w:rPr>
        <w:t>pieteikumu nekavējoties pārsūta valsts drošības iestādēm atzinuma sniegšanai.</w:t>
      </w:r>
      <w:r w:rsidRPr="00DD7698">
        <w:rPr>
          <w:rFonts w:eastAsia="Calibri"/>
          <w:bCs/>
          <w:sz w:val="28"/>
          <w:szCs w:val="28"/>
          <w:lang w:val="lv-LV"/>
        </w:rPr>
        <w:t xml:space="preserve"> Valsts drošības iestādes atzinumā norāda, vai atļaujas izsniegšana neapdraud nacionālās drošības intereses. </w:t>
      </w:r>
      <w:r w:rsidR="00781AAB" w:rsidRPr="00DD7698">
        <w:rPr>
          <w:rFonts w:eastAsia="Calibri"/>
          <w:bCs/>
          <w:sz w:val="28"/>
          <w:szCs w:val="28"/>
          <w:lang w:val="lv-LV"/>
        </w:rPr>
        <w:t>T</w:t>
      </w:r>
      <w:r w:rsidR="00184C44" w:rsidRPr="00DD7698">
        <w:rPr>
          <w:rFonts w:eastAsia="Calibri"/>
          <w:bCs/>
          <w:sz w:val="28"/>
          <w:szCs w:val="28"/>
          <w:lang w:val="lv-LV"/>
        </w:rPr>
        <w:t xml:space="preserve">ā kā Ministru kabineta </w:t>
      </w:r>
      <w:r w:rsidR="00781AAB" w:rsidRPr="00DD7698">
        <w:rPr>
          <w:rFonts w:eastAsia="Calibri"/>
          <w:bCs/>
          <w:sz w:val="28"/>
          <w:szCs w:val="28"/>
          <w:lang w:val="lv-LV"/>
        </w:rPr>
        <w:t xml:space="preserve">lēmums par atļaujas izsniegšanu vai atteikums to </w:t>
      </w:r>
      <w:r w:rsidR="00781AAB" w:rsidRPr="00DD7698">
        <w:rPr>
          <w:rFonts w:eastAsia="Calibri"/>
          <w:bCs/>
          <w:sz w:val="28"/>
          <w:szCs w:val="28"/>
          <w:lang w:val="lv-LV"/>
        </w:rPr>
        <w:lastRenderedPageBreak/>
        <w:t xml:space="preserve">izsniegt tiek pieņemts vadoties no nacionālās drošības interešu aspekta, kas balstīts uz valsts drošības dienesta sniegtā atzinuma pamata, </w:t>
      </w:r>
      <w:r w:rsidR="005A1B50" w:rsidRPr="00DD7698">
        <w:rPr>
          <w:rFonts w:eastAsia="Calibri"/>
          <w:bCs/>
          <w:sz w:val="28"/>
          <w:szCs w:val="28"/>
          <w:lang w:val="lv-LV"/>
        </w:rPr>
        <w:t>R</w:t>
      </w:r>
      <w:r w:rsidR="00781AAB" w:rsidRPr="00DD7698">
        <w:rPr>
          <w:rFonts w:eastAsia="Calibri"/>
          <w:bCs/>
          <w:sz w:val="28"/>
          <w:szCs w:val="28"/>
          <w:lang w:val="lv-LV"/>
        </w:rPr>
        <w:t>egulā minētie dalībvalstu sniegtie komentāri un Komisijas atzinums var saturēt informāciju, kas valsts drošības iestādēm ir būtiska atzinuma sniegšanai.</w:t>
      </w:r>
    </w:p>
    <w:p w14:paraId="7411F639" w14:textId="0258FA03" w:rsidR="00D102C2" w:rsidRPr="00DD7698" w:rsidRDefault="00D102C2" w:rsidP="00FC10BB">
      <w:pPr>
        <w:spacing w:before="0" w:after="0" w:line="240" w:lineRule="auto"/>
        <w:rPr>
          <w:rFonts w:eastAsia="Calibri"/>
          <w:bCs/>
          <w:sz w:val="28"/>
          <w:szCs w:val="28"/>
          <w:lang w:val="lv-LV"/>
        </w:rPr>
      </w:pPr>
      <w:r w:rsidRPr="00DD7698">
        <w:rPr>
          <w:rFonts w:eastAsia="Calibri"/>
          <w:bCs/>
          <w:sz w:val="28"/>
          <w:szCs w:val="28"/>
          <w:lang w:val="lv-LV"/>
        </w:rPr>
        <w:t>Atbilstoši Nacionālās drošības likuma 44.panta pirmajai daļai Ministru kabineta lēmums tiek pieņemts mēneša laikā no pieteikuma ar lūgumu atļaut veikt darījumu, kas var ietekmēt nacionālās drošības intereses, saņemšanas dienas. Tomēr minētā norma paredz iespēju lēmuma pieņemšanas termiņu pagarināt līdz četriem mēnešiem. Līdz šim praksē, izvērtējot minēto pieteikumu, ir ievērots minētajā normā noteiktais lēmuma pieņemšanas termiņš, tādēļ</w:t>
      </w:r>
      <w:r w:rsidR="00702E78" w:rsidRPr="00DD7698">
        <w:rPr>
          <w:rFonts w:eastAsia="Calibri"/>
          <w:bCs/>
          <w:sz w:val="28"/>
          <w:szCs w:val="28"/>
          <w:lang w:val="lv-LV"/>
        </w:rPr>
        <w:t xml:space="preserve"> </w:t>
      </w:r>
      <w:r w:rsidRPr="00DD7698">
        <w:rPr>
          <w:rFonts w:eastAsia="Calibri"/>
          <w:bCs/>
          <w:sz w:val="28"/>
          <w:szCs w:val="28"/>
          <w:lang w:val="lv-LV"/>
        </w:rPr>
        <w:t xml:space="preserve">saistībā ar </w:t>
      </w:r>
      <w:r w:rsidR="005A1B50" w:rsidRPr="00DD7698">
        <w:rPr>
          <w:rFonts w:eastAsia="Calibri"/>
          <w:bCs/>
          <w:sz w:val="28"/>
          <w:szCs w:val="28"/>
          <w:lang w:val="lv-LV"/>
        </w:rPr>
        <w:t>R</w:t>
      </w:r>
      <w:r w:rsidRPr="00DD7698">
        <w:rPr>
          <w:rFonts w:eastAsia="Calibri"/>
          <w:bCs/>
          <w:sz w:val="28"/>
          <w:szCs w:val="28"/>
          <w:lang w:val="lv-LV"/>
        </w:rPr>
        <w:t>egulā noteiktajām dalībvalsts un Komisijas tiesībām iesniegt komentārus un sniegt atzinumu, un to sniegšanai noteiktos termiņus, Nacionālās drošības likuma 41.panta pirmajā daļā noteiktais viena mēneša lēmuma pieņemšanas termiņš varētu pieaugt.</w:t>
      </w:r>
    </w:p>
    <w:p w14:paraId="1BC05163" w14:textId="5BC205C9" w:rsidR="00293F3C" w:rsidRPr="00DD7698" w:rsidRDefault="00781AAB" w:rsidP="0017071A">
      <w:pPr>
        <w:spacing w:before="0" w:after="0" w:line="240" w:lineRule="auto"/>
        <w:rPr>
          <w:rFonts w:eastAsia="Calibri"/>
          <w:bCs/>
          <w:sz w:val="28"/>
          <w:szCs w:val="28"/>
          <w:lang w:val="lv-LV"/>
        </w:rPr>
      </w:pPr>
      <w:r w:rsidRPr="00DD7698">
        <w:rPr>
          <w:rFonts w:eastAsia="Calibri"/>
          <w:bCs/>
          <w:sz w:val="28"/>
          <w:szCs w:val="28"/>
          <w:lang w:val="lv-LV"/>
        </w:rPr>
        <w:t xml:space="preserve">Noteikumu Nr.606 </w:t>
      </w:r>
      <w:r w:rsidR="00293F3C" w:rsidRPr="00DD7698">
        <w:rPr>
          <w:rFonts w:eastAsia="Calibri"/>
          <w:bCs/>
          <w:sz w:val="28"/>
          <w:szCs w:val="28"/>
          <w:lang w:val="lv-LV"/>
        </w:rPr>
        <w:t>2. un 3.punktā paredzēt</w:t>
      </w:r>
      <w:r w:rsidR="0012488A" w:rsidRPr="00DD7698">
        <w:rPr>
          <w:rFonts w:eastAsia="Calibri"/>
          <w:bCs/>
          <w:sz w:val="28"/>
          <w:szCs w:val="28"/>
          <w:lang w:val="lv-LV"/>
        </w:rPr>
        <w:t>a informācija, kas jāiesniedz</w:t>
      </w:r>
      <w:r w:rsidR="00293F3C" w:rsidRPr="00DD7698">
        <w:rPr>
          <w:rFonts w:eastAsia="Calibri"/>
          <w:bCs/>
          <w:sz w:val="28"/>
          <w:szCs w:val="28"/>
          <w:lang w:val="lv-LV"/>
        </w:rPr>
        <w:t xml:space="preserve"> </w:t>
      </w:r>
      <w:r w:rsidR="00757BA6" w:rsidRPr="00DD7698">
        <w:rPr>
          <w:rFonts w:eastAsia="Calibri"/>
          <w:bCs/>
          <w:sz w:val="28"/>
          <w:szCs w:val="28"/>
          <w:lang w:val="lv-LV"/>
        </w:rPr>
        <w:t>Ekonomikas ministrijai</w:t>
      </w:r>
      <w:r w:rsidR="0012488A" w:rsidRPr="00DD7698">
        <w:rPr>
          <w:rFonts w:eastAsia="Calibri"/>
          <w:bCs/>
          <w:sz w:val="28"/>
          <w:szCs w:val="28"/>
          <w:lang w:val="lv-LV"/>
        </w:rPr>
        <w:t xml:space="preserve">, lai saņemtu atļauju </w:t>
      </w:r>
      <w:r w:rsidR="00256A7F" w:rsidRPr="00DD7698">
        <w:rPr>
          <w:rFonts w:eastAsia="Calibri"/>
          <w:bCs/>
          <w:sz w:val="28"/>
          <w:szCs w:val="28"/>
          <w:lang w:val="lv-LV"/>
        </w:rPr>
        <w:t>Nacionālās drošības likuma 40. – 42.pantā paredzētā darījuma veikšanai</w:t>
      </w:r>
      <w:r w:rsidR="00293F3C" w:rsidRPr="00DD7698">
        <w:rPr>
          <w:rFonts w:eastAsia="Calibri"/>
          <w:bCs/>
          <w:sz w:val="28"/>
          <w:szCs w:val="28"/>
          <w:lang w:val="lv-LV"/>
        </w:rPr>
        <w:t xml:space="preserve">. </w:t>
      </w:r>
      <w:r w:rsidR="00256A7F" w:rsidRPr="00DD7698">
        <w:rPr>
          <w:rFonts w:eastAsia="Calibri"/>
          <w:bCs/>
          <w:sz w:val="28"/>
          <w:szCs w:val="28"/>
          <w:lang w:val="lv-LV"/>
        </w:rPr>
        <w:t>Noteikumu Nr.606</w:t>
      </w:r>
      <w:r w:rsidR="00293F3C" w:rsidRPr="00DD7698">
        <w:rPr>
          <w:rFonts w:eastAsia="Calibri"/>
          <w:bCs/>
          <w:sz w:val="28"/>
          <w:szCs w:val="28"/>
          <w:lang w:val="lv-LV"/>
        </w:rPr>
        <w:t xml:space="preserve"> 4., 5. un 6.punktā reglamentēts iesniedzamās informācijas apjoms gadījumos, kad Ekonomikas ministrijā tiek iesniegts pieteikums Ministru kabineta atļaujas saņemšanai, nododot valdījumā vai īpašumā citai personai kritisko infrastruktūru, iegūstot būtisku līdzdalību vai izšķirošu ietekmi, mainoties patiesajam labuma guvējam un notiekot uzņēmuma pārejai nacionālajai drošībai nozīmīgā komercsabiedrībā. Tādējādi </w:t>
      </w:r>
      <w:r w:rsidR="00256A7F" w:rsidRPr="00DD7698">
        <w:rPr>
          <w:rFonts w:eastAsia="Calibri"/>
          <w:bCs/>
          <w:sz w:val="28"/>
          <w:szCs w:val="28"/>
          <w:lang w:val="lv-LV"/>
        </w:rPr>
        <w:t xml:space="preserve">nacionālajā  </w:t>
      </w:r>
      <w:r w:rsidR="00293F3C" w:rsidRPr="00DD7698">
        <w:rPr>
          <w:rFonts w:eastAsia="Calibri"/>
          <w:bCs/>
          <w:sz w:val="28"/>
          <w:szCs w:val="28"/>
          <w:lang w:val="lv-LV"/>
        </w:rPr>
        <w:t>normatīva</w:t>
      </w:r>
      <w:r w:rsidR="007D1393" w:rsidRPr="00DD7698">
        <w:rPr>
          <w:rFonts w:eastAsia="Calibri"/>
          <w:bCs/>
          <w:sz w:val="28"/>
          <w:szCs w:val="28"/>
          <w:lang w:val="lv-LV"/>
        </w:rPr>
        <w:t>jā</w:t>
      </w:r>
      <w:r w:rsidR="00293F3C" w:rsidRPr="00DD7698">
        <w:rPr>
          <w:rFonts w:eastAsia="Calibri"/>
          <w:bCs/>
          <w:sz w:val="28"/>
          <w:szCs w:val="28"/>
          <w:lang w:val="lv-LV"/>
        </w:rPr>
        <w:t xml:space="preserve"> regulējum</w:t>
      </w:r>
      <w:r w:rsidR="007D1393" w:rsidRPr="00DD7698">
        <w:rPr>
          <w:rFonts w:eastAsia="Calibri"/>
          <w:bCs/>
          <w:sz w:val="28"/>
          <w:szCs w:val="28"/>
          <w:lang w:val="lv-LV"/>
        </w:rPr>
        <w:t>ā</w:t>
      </w:r>
      <w:r w:rsidR="00293F3C" w:rsidRPr="00DD7698">
        <w:rPr>
          <w:rFonts w:eastAsia="Calibri"/>
          <w:bCs/>
          <w:sz w:val="28"/>
          <w:szCs w:val="28"/>
          <w:lang w:val="lv-LV"/>
        </w:rPr>
        <w:t xml:space="preserve"> </w:t>
      </w:r>
      <w:r w:rsidR="007D1393" w:rsidRPr="00DD7698">
        <w:rPr>
          <w:rFonts w:eastAsia="Calibri"/>
          <w:bCs/>
          <w:sz w:val="28"/>
          <w:szCs w:val="28"/>
          <w:lang w:val="lv-LV"/>
        </w:rPr>
        <w:t xml:space="preserve">ir </w:t>
      </w:r>
      <w:r w:rsidR="00293F3C" w:rsidRPr="00DD7698">
        <w:rPr>
          <w:rFonts w:eastAsia="Calibri"/>
          <w:bCs/>
          <w:sz w:val="28"/>
          <w:szCs w:val="28"/>
          <w:lang w:val="lv-LV"/>
        </w:rPr>
        <w:t>paredz</w:t>
      </w:r>
      <w:r w:rsidR="007D1393" w:rsidRPr="00DD7698">
        <w:rPr>
          <w:rFonts w:eastAsia="Calibri"/>
          <w:bCs/>
          <w:sz w:val="28"/>
          <w:szCs w:val="28"/>
          <w:lang w:val="lv-LV"/>
        </w:rPr>
        <w:t>ēts</w:t>
      </w:r>
      <w:r w:rsidR="00293F3C" w:rsidRPr="00DD7698">
        <w:rPr>
          <w:rFonts w:eastAsia="Calibri"/>
          <w:bCs/>
          <w:sz w:val="28"/>
          <w:szCs w:val="28"/>
          <w:lang w:val="lv-LV"/>
        </w:rPr>
        <w:t xml:space="preserve"> pienākum</w:t>
      </w:r>
      <w:r w:rsidR="007D1393" w:rsidRPr="00DD7698">
        <w:rPr>
          <w:rFonts w:eastAsia="Calibri"/>
          <w:bCs/>
          <w:sz w:val="28"/>
          <w:szCs w:val="28"/>
          <w:lang w:val="lv-LV"/>
        </w:rPr>
        <w:t>s</w:t>
      </w:r>
      <w:r w:rsidR="00293F3C" w:rsidRPr="00DD7698">
        <w:rPr>
          <w:rFonts w:eastAsia="Calibri"/>
          <w:bCs/>
          <w:sz w:val="28"/>
          <w:szCs w:val="28"/>
          <w:lang w:val="lv-LV"/>
        </w:rPr>
        <w:t xml:space="preserve"> sniegt informāciju, kas daļēji pārklājas ar</w:t>
      </w:r>
      <w:r w:rsidR="005A1B50" w:rsidRPr="00DD7698">
        <w:rPr>
          <w:rFonts w:eastAsia="Calibri"/>
          <w:bCs/>
          <w:sz w:val="28"/>
          <w:szCs w:val="28"/>
          <w:lang w:val="lv-LV"/>
        </w:rPr>
        <w:t xml:space="preserve"> R</w:t>
      </w:r>
      <w:r w:rsidR="00293F3C" w:rsidRPr="00DD7698">
        <w:rPr>
          <w:rFonts w:eastAsia="Calibri"/>
          <w:bCs/>
          <w:sz w:val="28"/>
          <w:szCs w:val="28"/>
          <w:lang w:val="lv-LV"/>
        </w:rPr>
        <w:t>egulā minēto informācijas apjomu. Tomēr normatīvajā regulējumā nav paredzēts komersantam vai ieguvējam iesniegt informāciju, piemēram, par ārvalstu ieguldītāja saimnieciskās darbības rezultātā sniegtajiem pakalpojumiem, piedāvātajiem produktiem un darījumiem, ko tas veic. Tāpat, lai gan ir paredzēts noskaidrot informāciju par patiesā labuma guvēju, tomēr nav paredzēts noskaidrot detalizētu informāciju par finanšu līdzekļu izcelsmi.</w:t>
      </w:r>
    </w:p>
    <w:p w14:paraId="1F1062B8" w14:textId="52A7FF6A" w:rsidR="00D26984" w:rsidRPr="00DD7698" w:rsidRDefault="00D26984" w:rsidP="0079225F">
      <w:pPr>
        <w:spacing w:before="0" w:after="0" w:line="240" w:lineRule="auto"/>
        <w:ind w:firstLine="0"/>
        <w:rPr>
          <w:rFonts w:eastAsia="Calibri"/>
          <w:bCs/>
          <w:sz w:val="28"/>
          <w:szCs w:val="28"/>
          <w:lang w:val="lv-LV"/>
        </w:rPr>
      </w:pPr>
    </w:p>
    <w:p w14:paraId="11FE65CB" w14:textId="263B7DA8" w:rsidR="00D26984" w:rsidRPr="00DD7698" w:rsidRDefault="00D102C2" w:rsidP="003F0BDB">
      <w:pPr>
        <w:pStyle w:val="ListParagraph"/>
        <w:numPr>
          <w:ilvl w:val="0"/>
          <w:numId w:val="20"/>
        </w:numPr>
        <w:spacing w:before="0" w:after="0" w:line="240" w:lineRule="auto"/>
        <w:rPr>
          <w:rFonts w:eastAsia="Calibri"/>
          <w:b/>
          <w:sz w:val="28"/>
          <w:szCs w:val="28"/>
          <w:lang w:val="lv-LV"/>
        </w:rPr>
      </w:pPr>
      <w:r w:rsidRPr="00DD7698">
        <w:rPr>
          <w:rFonts w:eastAsia="Calibri"/>
          <w:b/>
          <w:sz w:val="28"/>
          <w:szCs w:val="28"/>
          <w:lang w:val="lv-LV"/>
        </w:rPr>
        <w:t>Ņemot vērā minēto, l</w:t>
      </w:r>
      <w:r w:rsidR="0007357E" w:rsidRPr="00DD7698">
        <w:rPr>
          <w:rFonts w:eastAsia="Calibri"/>
          <w:b/>
          <w:sz w:val="28"/>
          <w:szCs w:val="28"/>
          <w:lang w:val="lv-LV"/>
        </w:rPr>
        <w:t xml:space="preserve">ai </w:t>
      </w:r>
      <w:r w:rsidR="00C254E1" w:rsidRPr="00DD7698">
        <w:rPr>
          <w:rFonts w:eastAsia="Calibri"/>
          <w:b/>
          <w:sz w:val="28"/>
          <w:szCs w:val="28"/>
          <w:lang w:val="lv-LV"/>
        </w:rPr>
        <w:t xml:space="preserve">izpildītu </w:t>
      </w:r>
      <w:r w:rsidR="005A1B50" w:rsidRPr="00DD7698">
        <w:rPr>
          <w:rFonts w:eastAsia="Calibri"/>
          <w:b/>
          <w:sz w:val="28"/>
          <w:szCs w:val="28"/>
          <w:lang w:val="lv-LV"/>
        </w:rPr>
        <w:t>R</w:t>
      </w:r>
      <w:r w:rsidR="00825397" w:rsidRPr="00DD7698">
        <w:rPr>
          <w:rFonts w:eastAsia="Calibri"/>
          <w:b/>
          <w:sz w:val="28"/>
          <w:szCs w:val="28"/>
          <w:lang w:val="lv-LV"/>
        </w:rPr>
        <w:t>egul</w:t>
      </w:r>
      <w:r w:rsidR="005A1B50" w:rsidRPr="00DD7698">
        <w:rPr>
          <w:rFonts w:eastAsia="Calibri"/>
          <w:b/>
          <w:sz w:val="28"/>
          <w:szCs w:val="28"/>
          <w:lang w:val="lv-LV"/>
        </w:rPr>
        <w:t>as</w:t>
      </w:r>
      <w:r w:rsidR="00825397" w:rsidRPr="00DD7698">
        <w:rPr>
          <w:rFonts w:eastAsia="Calibri"/>
          <w:b/>
          <w:sz w:val="28"/>
          <w:szCs w:val="28"/>
          <w:lang w:val="lv-LV"/>
        </w:rPr>
        <w:t xml:space="preserve"> </w:t>
      </w:r>
      <w:r w:rsidR="0007357E" w:rsidRPr="00DD7698">
        <w:rPr>
          <w:rFonts w:eastAsia="Calibri"/>
          <w:b/>
          <w:sz w:val="28"/>
          <w:szCs w:val="28"/>
          <w:lang w:val="lv-LV"/>
        </w:rPr>
        <w:t>p</w:t>
      </w:r>
      <w:r w:rsidR="00C254E1" w:rsidRPr="00DD7698">
        <w:rPr>
          <w:rFonts w:eastAsia="Calibri"/>
          <w:b/>
          <w:sz w:val="28"/>
          <w:szCs w:val="28"/>
          <w:lang w:val="lv-LV"/>
        </w:rPr>
        <w:t>rasības</w:t>
      </w:r>
      <w:r w:rsidR="0007357E" w:rsidRPr="00DD7698">
        <w:rPr>
          <w:rFonts w:eastAsia="Calibri"/>
          <w:b/>
          <w:sz w:val="28"/>
          <w:szCs w:val="28"/>
          <w:lang w:val="lv-LV"/>
        </w:rPr>
        <w:t>, nepieciešams</w:t>
      </w:r>
      <w:r w:rsidR="00613E7B" w:rsidRPr="00DD7698">
        <w:rPr>
          <w:rFonts w:eastAsia="Calibri"/>
          <w:b/>
          <w:sz w:val="28"/>
          <w:szCs w:val="28"/>
          <w:lang w:val="lv-LV"/>
        </w:rPr>
        <w:t xml:space="preserve"> </w:t>
      </w:r>
      <w:r w:rsidR="00DB4A62" w:rsidRPr="00DD7698">
        <w:rPr>
          <w:rFonts w:eastAsia="Calibri"/>
          <w:b/>
          <w:sz w:val="28"/>
          <w:szCs w:val="28"/>
          <w:lang w:val="lv-LV"/>
        </w:rPr>
        <w:t>veikt turpmāk minētās darbības</w:t>
      </w:r>
      <w:r w:rsidR="0007357E" w:rsidRPr="00DD7698">
        <w:rPr>
          <w:rFonts w:eastAsia="Calibri"/>
          <w:b/>
          <w:sz w:val="28"/>
          <w:szCs w:val="28"/>
          <w:lang w:val="lv-LV"/>
        </w:rPr>
        <w:t>:</w:t>
      </w:r>
    </w:p>
    <w:p w14:paraId="350DA389" w14:textId="22ADFD40" w:rsidR="001502F7" w:rsidRPr="00DD7698" w:rsidRDefault="00810CC5" w:rsidP="001502F7">
      <w:pPr>
        <w:pStyle w:val="ListParagraph"/>
        <w:numPr>
          <w:ilvl w:val="0"/>
          <w:numId w:val="15"/>
        </w:numPr>
        <w:spacing w:before="0" w:after="0" w:line="240" w:lineRule="auto"/>
        <w:ind w:left="0" w:firstLine="709"/>
        <w:rPr>
          <w:rFonts w:eastAsia="Calibri"/>
          <w:bCs/>
          <w:sz w:val="28"/>
          <w:szCs w:val="28"/>
          <w:lang w:val="lv-LV"/>
        </w:rPr>
      </w:pPr>
      <w:r w:rsidRPr="00DD7698">
        <w:rPr>
          <w:rFonts w:eastAsia="Calibri"/>
          <w:bCs/>
          <w:sz w:val="28"/>
          <w:szCs w:val="28"/>
          <w:lang w:val="lv-LV"/>
        </w:rPr>
        <w:t xml:space="preserve">Veikt grozījumus Nacionālās drošības likumā, paredzot Ministru kabinetam deleģējumu izdot Ministru kabineta noteikumus, ar ko noteiktu </w:t>
      </w:r>
      <w:r w:rsidR="005F2EBD" w:rsidRPr="00DD7698">
        <w:rPr>
          <w:rFonts w:eastAsia="Calibri"/>
          <w:bCs/>
          <w:sz w:val="28"/>
          <w:szCs w:val="28"/>
          <w:lang w:val="lv-LV"/>
        </w:rPr>
        <w:t>kontaktpunktu</w:t>
      </w:r>
      <w:r w:rsidRPr="00DD7698">
        <w:rPr>
          <w:rFonts w:eastAsia="Calibri"/>
          <w:bCs/>
          <w:sz w:val="28"/>
          <w:szCs w:val="28"/>
          <w:lang w:val="lv-LV"/>
        </w:rPr>
        <w:t>, kas</w:t>
      </w:r>
      <w:r w:rsidR="00825397" w:rsidRPr="00DD7698">
        <w:rPr>
          <w:rFonts w:eastAsia="Calibri"/>
          <w:bCs/>
          <w:sz w:val="28"/>
          <w:szCs w:val="28"/>
          <w:lang w:val="lv-LV"/>
        </w:rPr>
        <w:t xml:space="preserve"> sākot ar 2020.gada 1.oktobri</w:t>
      </w:r>
      <w:r w:rsidRPr="00DD7698">
        <w:rPr>
          <w:rFonts w:eastAsia="Calibri"/>
          <w:bCs/>
          <w:sz w:val="28"/>
          <w:szCs w:val="28"/>
          <w:lang w:val="lv-LV"/>
        </w:rPr>
        <w:t xml:space="preserve"> īstenos </w:t>
      </w:r>
      <w:r w:rsidR="005A1B50" w:rsidRPr="00DD7698">
        <w:rPr>
          <w:rFonts w:eastAsia="Calibri"/>
          <w:bCs/>
          <w:sz w:val="28"/>
          <w:szCs w:val="28"/>
          <w:lang w:val="lv-LV"/>
        </w:rPr>
        <w:t>R</w:t>
      </w:r>
      <w:r w:rsidRPr="00DD7698">
        <w:rPr>
          <w:rFonts w:eastAsia="Calibri"/>
          <w:bCs/>
          <w:sz w:val="28"/>
          <w:szCs w:val="28"/>
          <w:lang w:val="lv-LV"/>
        </w:rPr>
        <w:t>egulā paredzētos pasākumus</w:t>
      </w:r>
      <w:r w:rsidR="003F0BDB" w:rsidRPr="00DD7698">
        <w:rPr>
          <w:rFonts w:eastAsia="Calibri"/>
          <w:bCs/>
          <w:sz w:val="28"/>
          <w:szCs w:val="28"/>
          <w:lang w:val="lv-LV"/>
        </w:rPr>
        <w:t xml:space="preserve">, </w:t>
      </w:r>
      <w:r w:rsidR="00DD7698" w:rsidRPr="00DD7698">
        <w:rPr>
          <w:sz w:val="28"/>
          <w:szCs w:val="28"/>
          <w:lang w:val="lv-LV" w:eastAsia="lv-LV"/>
        </w:rPr>
        <w:t>saņemtās informācijas apstrādes, nosūtīšanas un izvērtēšanas kārtību</w:t>
      </w:r>
      <w:r w:rsidR="006B5A5F" w:rsidRPr="00DD7698">
        <w:rPr>
          <w:rFonts w:eastAsia="Calibri"/>
          <w:bCs/>
          <w:sz w:val="28"/>
          <w:szCs w:val="28"/>
          <w:lang w:val="lv-LV"/>
        </w:rPr>
        <w:t>.</w:t>
      </w:r>
    </w:p>
    <w:p w14:paraId="35F48E7B" w14:textId="62822CDD" w:rsidR="00810CC5" w:rsidRPr="00DD7698" w:rsidRDefault="005F2EBD" w:rsidP="001502F7">
      <w:pPr>
        <w:pStyle w:val="ListParagraph"/>
        <w:numPr>
          <w:ilvl w:val="0"/>
          <w:numId w:val="15"/>
        </w:numPr>
        <w:spacing w:before="0" w:after="0" w:line="240" w:lineRule="auto"/>
        <w:ind w:left="0" w:firstLine="709"/>
        <w:rPr>
          <w:rFonts w:eastAsia="Calibri"/>
          <w:bCs/>
          <w:sz w:val="28"/>
          <w:szCs w:val="28"/>
          <w:lang w:val="lv-LV"/>
        </w:rPr>
      </w:pPr>
      <w:r w:rsidRPr="00DD7698">
        <w:rPr>
          <w:rFonts w:eastAsia="Calibri"/>
          <w:bCs/>
          <w:sz w:val="28"/>
          <w:szCs w:val="28"/>
          <w:lang w:val="lv-LV"/>
        </w:rPr>
        <w:t>Uz Nacionālās drošības likumā veikto grozījumu pamata izstrādāt Ministru kabineta noteikumus, paredzot kontaktpunkt</w:t>
      </w:r>
      <w:r w:rsidR="00B839FB" w:rsidRPr="00DD7698">
        <w:rPr>
          <w:rFonts w:eastAsia="Calibri"/>
          <w:bCs/>
          <w:sz w:val="28"/>
          <w:szCs w:val="28"/>
          <w:lang w:val="lv-LV"/>
        </w:rPr>
        <w:t>u, tā</w:t>
      </w:r>
      <w:r w:rsidRPr="00DD7698">
        <w:rPr>
          <w:rFonts w:eastAsia="Calibri"/>
          <w:bCs/>
          <w:sz w:val="28"/>
          <w:szCs w:val="28"/>
          <w:lang w:val="lv-LV"/>
        </w:rPr>
        <w:t xml:space="preserve"> uzdevumus un tiesības, </w:t>
      </w:r>
      <w:r w:rsidR="00D9404D" w:rsidRPr="00DD7698">
        <w:rPr>
          <w:rFonts w:eastAsia="Calibri"/>
          <w:bCs/>
          <w:sz w:val="28"/>
          <w:szCs w:val="28"/>
          <w:lang w:val="lv-LV"/>
        </w:rPr>
        <w:t>paredzot</w:t>
      </w:r>
      <w:r w:rsidRPr="00DD7698">
        <w:rPr>
          <w:rFonts w:eastAsia="Calibri"/>
          <w:bCs/>
          <w:sz w:val="28"/>
          <w:szCs w:val="28"/>
          <w:lang w:val="lv-LV"/>
        </w:rPr>
        <w:t xml:space="preserve">, ka kontaktpunktam būs jānodrošina informācijas aprite ar citām dalībvalstīm un Komisiju, jāuzkrāj un jāanalizē informācija. </w:t>
      </w:r>
    </w:p>
    <w:p w14:paraId="3E2427F6" w14:textId="56F04ACE" w:rsidR="001502F7" w:rsidRPr="00DD7698" w:rsidRDefault="001A4182" w:rsidP="001502F7">
      <w:pPr>
        <w:pStyle w:val="ListParagraph"/>
        <w:numPr>
          <w:ilvl w:val="0"/>
          <w:numId w:val="15"/>
        </w:numPr>
        <w:spacing w:before="0" w:after="0" w:line="240" w:lineRule="auto"/>
        <w:ind w:left="0" w:firstLine="709"/>
        <w:rPr>
          <w:rFonts w:eastAsia="Calibri"/>
          <w:bCs/>
          <w:sz w:val="28"/>
          <w:szCs w:val="28"/>
          <w:lang w:val="lv-LV"/>
        </w:rPr>
      </w:pPr>
      <w:r w:rsidRPr="00DD7698">
        <w:rPr>
          <w:rFonts w:eastAsia="Calibri"/>
          <w:bCs/>
          <w:sz w:val="28"/>
          <w:szCs w:val="28"/>
          <w:lang w:val="lv-LV"/>
        </w:rPr>
        <w:t>V</w:t>
      </w:r>
      <w:r w:rsidR="001502F7" w:rsidRPr="00DD7698">
        <w:rPr>
          <w:rFonts w:eastAsia="Calibri"/>
          <w:bCs/>
          <w:sz w:val="28"/>
          <w:szCs w:val="28"/>
          <w:lang w:val="lv-LV"/>
        </w:rPr>
        <w:t xml:space="preserve">eikt grozījumus Ministru kabineta 2017.gada 3.oktobra noteikumos Nr.606 “Noteikumi par Nacionālās drošības likumā noteikto institūciju, institūcijā iesniedzamās informācijas apjomu, iesniegšanas kārtību un iesniegtās informācijas izvērtēšanu, kā arī Nacionālās drošības likumā noteiktā lēmuma pieņemšanu un </w:t>
      </w:r>
      <w:r w:rsidR="001502F7" w:rsidRPr="00DD7698">
        <w:rPr>
          <w:rFonts w:eastAsia="Calibri"/>
          <w:bCs/>
          <w:sz w:val="28"/>
          <w:szCs w:val="28"/>
          <w:lang w:val="lv-LV"/>
        </w:rPr>
        <w:lastRenderedPageBreak/>
        <w:t>paziņošanu”</w:t>
      </w:r>
      <w:r w:rsidR="00D87738" w:rsidRPr="00DD7698">
        <w:rPr>
          <w:rFonts w:eastAsia="Calibri"/>
          <w:bCs/>
          <w:sz w:val="28"/>
          <w:szCs w:val="28"/>
          <w:lang w:val="lv-LV"/>
        </w:rPr>
        <w:t xml:space="preserve"> precizējot iesniedzamās informācijas apjomu</w:t>
      </w:r>
      <w:r w:rsidR="004373FB" w:rsidRPr="00DD7698">
        <w:rPr>
          <w:rFonts w:eastAsia="Calibri"/>
          <w:bCs/>
          <w:sz w:val="28"/>
          <w:szCs w:val="28"/>
          <w:lang w:val="lv-LV"/>
        </w:rPr>
        <w:t xml:space="preserve"> saistībā ar Ministru kabineta atļaujas saņemšanu darījuma īstenošanai</w:t>
      </w:r>
      <w:r w:rsidR="00AD3A5D" w:rsidRPr="00DD7698">
        <w:rPr>
          <w:rFonts w:eastAsia="Calibri"/>
          <w:bCs/>
          <w:sz w:val="28"/>
          <w:szCs w:val="28"/>
          <w:lang w:val="lv-LV"/>
        </w:rPr>
        <w:t>, kā arī</w:t>
      </w:r>
      <w:r w:rsidR="00DD7698">
        <w:rPr>
          <w:rFonts w:eastAsia="Calibri"/>
          <w:bCs/>
          <w:sz w:val="28"/>
          <w:szCs w:val="28"/>
          <w:lang w:val="lv-LV"/>
        </w:rPr>
        <w:t xml:space="preserve"> paredzot no dalībvalstīm saņemtās un Komisijas saņemtās informācijas izvērtēšanas kārtību</w:t>
      </w:r>
      <w:r w:rsidR="00AD3A5D" w:rsidRPr="00DD7698">
        <w:rPr>
          <w:rFonts w:eastAsia="Calibri"/>
          <w:bCs/>
          <w:sz w:val="28"/>
          <w:szCs w:val="28"/>
          <w:lang w:val="lv-LV"/>
        </w:rPr>
        <w:t>.</w:t>
      </w:r>
    </w:p>
    <w:p w14:paraId="4B926E4B" w14:textId="63F7ED2C" w:rsidR="005A1B50" w:rsidRPr="00DD7698" w:rsidRDefault="005A1B50" w:rsidP="003E4CC7">
      <w:pPr>
        <w:spacing w:before="0" w:after="0" w:line="240" w:lineRule="auto"/>
        <w:ind w:firstLine="0"/>
        <w:rPr>
          <w:rFonts w:eastAsia="Calibri"/>
          <w:bCs/>
          <w:sz w:val="28"/>
          <w:szCs w:val="28"/>
          <w:lang w:val="lv-LV"/>
        </w:rPr>
      </w:pPr>
    </w:p>
    <w:p w14:paraId="39529EAE" w14:textId="319E500E" w:rsidR="00D4616C" w:rsidRPr="00DD7698" w:rsidRDefault="00D4616C" w:rsidP="003E4CC7">
      <w:pPr>
        <w:spacing w:before="0" w:after="0" w:line="240" w:lineRule="auto"/>
        <w:ind w:firstLine="0"/>
        <w:rPr>
          <w:rFonts w:eastAsia="Calibri"/>
          <w:bCs/>
          <w:sz w:val="28"/>
          <w:szCs w:val="28"/>
          <w:lang w:val="lv-LV"/>
        </w:rPr>
      </w:pPr>
    </w:p>
    <w:p w14:paraId="2B26CF75" w14:textId="5050E59B" w:rsidR="00D4616C" w:rsidRPr="00DD7698" w:rsidRDefault="00D4616C" w:rsidP="00D4616C">
      <w:pPr>
        <w:tabs>
          <w:tab w:val="left" w:pos="5670"/>
        </w:tabs>
        <w:spacing w:after="0" w:line="240" w:lineRule="auto"/>
        <w:ind w:firstLine="0"/>
        <w:rPr>
          <w:sz w:val="28"/>
          <w:szCs w:val="28"/>
          <w:lang w:val="lv-LV"/>
        </w:rPr>
      </w:pPr>
      <w:bookmarkStart w:id="2" w:name="_Hlk16498009"/>
      <w:r w:rsidRPr="00DD7698">
        <w:rPr>
          <w:noProof/>
          <w:sz w:val="28"/>
          <w:szCs w:val="28"/>
          <w:lang w:val="lv-LV"/>
        </w:rPr>
        <w:t>Ekonomikas ministrs</w:t>
      </w:r>
      <w:r w:rsidRPr="00DD7698">
        <w:rPr>
          <w:sz w:val="28"/>
          <w:szCs w:val="28"/>
          <w:lang w:val="lv-LV"/>
        </w:rPr>
        <w:tab/>
      </w:r>
      <w:r w:rsidRPr="00DD7698">
        <w:rPr>
          <w:sz w:val="28"/>
          <w:szCs w:val="28"/>
          <w:lang w:val="lv-LV"/>
        </w:rPr>
        <w:tab/>
      </w:r>
      <w:r w:rsidRPr="00DD7698">
        <w:rPr>
          <w:sz w:val="28"/>
          <w:szCs w:val="28"/>
          <w:lang w:val="lv-LV"/>
        </w:rPr>
        <w:tab/>
      </w:r>
      <w:r w:rsidRPr="00DD7698">
        <w:rPr>
          <w:sz w:val="28"/>
          <w:szCs w:val="28"/>
          <w:lang w:val="lv-LV"/>
        </w:rPr>
        <w:tab/>
        <w:t>Ralfs Nemiro</w:t>
      </w:r>
    </w:p>
    <w:bookmarkEnd w:id="2"/>
    <w:p w14:paraId="0AF17ABF" w14:textId="52C53B85" w:rsidR="00D4616C" w:rsidRPr="00DD7698" w:rsidRDefault="00D4616C" w:rsidP="00D4616C">
      <w:pPr>
        <w:tabs>
          <w:tab w:val="left" w:pos="5670"/>
        </w:tabs>
        <w:spacing w:after="0" w:line="240" w:lineRule="auto"/>
        <w:rPr>
          <w:sz w:val="28"/>
          <w:szCs w:val="28"/>
          <w:lang w:val="lv-LV"/>
        </w:rPr>
      </w:pPr>
    </w:p>
    <w:p w14:paraId="1B0A5C04" w14:textId="77777777" w:rsidR="00D4616C" w:rsidRPr="00DD7698" w:rsidRDefault="00D4616C" w:rsidP="00D4616C">
      <w:pPr>
        <w:ind w:firstLine="0"/>
        <w:rPr>
          <w:sz w:val="28"/>
          <w:szCs w:val="28"/>
          <w:lang w:val="lv-LV" w:eastAsia="lv-LV"/>
        </w:rPr>
      </w:pPr>
      <w:r w:rsidRPr="00DD7698">
        <w:rPr>
          <w:sz w:val="28"/>
          <w:szCs w:val="28"/>
          <w:lang w:val="lv-LV" w:eastAsia="lv-LV"/>
        </w:rPr>
        <w:t xml:space="preserve">Vīza: </w:t>
      </w:r>
    </w:p>
    <w:p w14:paraId="6E3FC2AC" w14:textId="77777777" w:rsidR="004A1FBF" w:rsidRDefault="00D4616C" w:rsidP="00D4616C">
      <w:pPr>
        <w:ind w:firstLine="0"/>
        <w:rPr>
          <w:sz w:val="28"/>
          <w:szCs w:val="28"/>
          <w:lang w:val="lv-LV" w:eastAsia="lv-LV"/>
        </w:rPr>
      </w:pPr>
      <w:r w:rsidRPr="00DD7698">
        <w:rPr>
          <w:sz w:val="28"/>
          <w:szCs w:val="28"/>
          <w:lang w:val="lv-LV" w:eastAsia="lv-LV"/>
        </w:rPr>
        <w:t>Valsts sekretār</w:t>
      </w:r>
      <w:r w:rsidR="004A1FBF">
        <w:rPr>
          <w:sz w:val="28"/>
          <w:szCs w:val="28"/>
          <w:lang w:val="lv-LV" w:eastAsia="lv-LV"/>
        </w:rPr>
        <w:t>a pienākumu izpildītājs</w:t>
      </w:r>
    </w:p>
    <w:p w14:paraId="7778D519" w14:textId="67BE8947" w:rsidR="00D4616C" w:rsidRPr="00DD7698" w:rsidRDefault="004A1FBF" w:rsidP="00D4616C">
      <w:pPr>
        <w:ind w:firstLine="0"/>
        <w:rPr>
          <w:b/>
          <w:bCs/>
          <w:szCs w:val="26"/>
          <w:lang w:val="lv-LV" w:eastAsia="lv-LV"/>
        </w:rPr>
      </w:pPr>
      <w:r>
        <w:rPr>
          <w:sz w:val="28"/>
          <w:szCs w:val="28"/>
          <w:lang w:val="lv-LV" w:eastAsia="lv-LV"/>
        </w:rPr>
        <w:t>Valsts sekretāra vietnieks</w:t>
      </w:r>
      <w:r w:rsidR="00D4616C" w:rsidRPr="00DD7698">
        <w:rPr>
          <w:sz w:val="28"/>
          <w:szCs w:val="28"/>
          <w:lang w:val="lv-LV" w:eastAsia="lv-LV"/>
        </w:rPr>
        <w:tab/>
      </w:r>
      <w:r w:rsidR="00D4616C" w:rsidRPr="00DD7698">
        <w:rPr>
          <w:sz w:val="28"/>
          <w:szCs w:val="28"/>
          <w:lang w:val="lv-LV" w:eastAsia="lv-LV"/>
        </w:rPr>
        <w:tab/>
      </w:r>
      <w:r w:rsidR="00D4616C" w:rsidRPr="00DD7698">
        <w:rPr>
          <w:sz w:val="28"/>
          <w:szCs w:val="28"/>
          <w:lang w:val="lv-LV" w:eastAsia="lv-LV"/>
        </w:rPr>
        <w:tab/>
      </w:r>
      <w:r w:rsidR="00D4616C" w:rsidRPr="00DD7698">
        <w:rPr>
          <w:sz w:val="28"/>
          <w:szCs w:val="28"/>
          <w:lang w:val="lv-LV" w:eastAsia="lv-LV"/>
        </w:rPr>
        <w:tab/>
      </w:r>
      <w:r w:rsidR="00D4616C" w:rsidRPr="00DD7698">
        <w:rPr>
          <w:sz w:val="28"/>
          <w:szCs w:val="28"/>
          <w:lang w:val="lv-LV" w:eastAsia="lv-LV"/>
        </w:rPr>
        <w:tab/>
      </w:r>
      <w:r w:rsidR="00D4616C" w:rsidRPr="00DD7698">
        <w:rPr>
          <w:sz w:val="28"/>
          <w:szCs w:val="28"/>
          <w:lang w:val="lv-LV" w:eastAsia="lv-LV"/>
        </w:rPr>
        <w:tab/>
      </w:r>
      <w:r w:rsidR="00D4616C" w:rsidRPr="00DD7698">
        <w:rPr>
          <w:sz w:val="28"/>
          <w:szCs w:val="28"/>
          <w:lang w:val="lv-LV" w:eastAsia="lv-LV"/>
        </w:rPr>
        <w:tab/>
      </w:r>
      <w:bookmarkStart w:id="3" w:name="_GoBack"/>
      <w:bookmarkEnd w:id="3"/>
      <w:r>
        <w:rPr>
          <w:sz w:val="28"/>
          <w:szCs w:val="28"/>
          <w:lang w:val="lv-LV" w:eastAsia="lv-LV"/>
        </w:rPr>
        <w:t>Edmunds Valantis</w:t>
      </w:r>
      <w:r w:rsidR="00D4616C" w:rsidRPr="00DD7698">
        <w:rPr>
          <w:b/>
          <w:bCs/>
          <w:szCs w:val="28"/>
          <w:lang w:val="lv-LV" w:eastAsia="lv-LV"/>
        </w:rPr>
        <w:tab/>
      </w:r>
    </w:p>
    <w:p w14:paraId="2D68E480" w14:textId="77777777" w:rsidR="00D4616C" w:rsidRPr="00DD7698" w:rsidRDefault="00D4616C" w:rsidP="00D4616C">
      <w:pPr>
        <w:tabs>
          <w:tab w:val="left" w:pos="5670"/>
        </w:tabs>
        <w:spacing w:after="0" w:line="240" w:lineRule="auto"/>
        <w:ind w:firstLine="0"/>
        <w:rPr>
          <w:sz w:val="28"/>
          <w:szCs w:val="28"/>
          <w:lang w:val="lv-LV"/>
        </w:rPr>
      </w:pPr>
    </w:p>
    <w:tbl>
      <w:tblPr>
        <w:tblpPr w:leftFromText="180" w:rightFromText="180" w:vertAnchor="text" w:tblpY="1"/>
        <w:tblOverlap w:val="never"/>
        <w:tblW w:w="0" w:type="auto"/>
        <w:tblLook w:val="04A0" w:firstRow="1" w:lastRow="0" w:firstColumn="1" w:lastColumn="0" w:noHBand="0" w:noVBand="1"/>
      </w:tblPr>
      <w:tblGrid>
        <w:gridCol w:w="8222"/>
      </w:tblGrid>
      <w:tr w:rsidR="00D4616C" w:rsidRPr="00DD7698" w14:paraId="01C7EFC9" w14:textId="77777777" w:rsidTr="00E61E66">
        <w:trPr>
          <w:cantSplit/>
          <w:trHeight w:val="579"/>
        </w:trPr>
        <w:tc>
          <w:tcPr>
            <w:tcW w:w="8222" w:type="dxa"/>
          </w:tcPr>
          <w:p w14:paraId="6CFEB08D" w14:textId="77777777" w:rsidR="00D4616C" w:rsidRPr="00DD7698" w:rsidRDefault="00D4616C" w:rsidP="00E61E66">
            <w:pPr>
              <w:pStyle w:val="BodyTextIndent"/>
              <w:spacing w:before="0" w:after="0"/>
              <w:ind w:left="0"/>
            </w:pPr>
            <w:r w:rsidRPr="00DD7698">
              <w:t>ŠIS DOKUMENTS IR ELEKTRONISKI PARAKSTĪTS AR DROŠU ELEKTRONISKO PARAKSTU UN SATUR LAIKA ZĪMOGU</w:t>
            </w:r>
          </w:p>
        </w:tc>
      </w:tr>
    </w:tbl>
    <w:p w14:paraId="6E46AE7C" w14:textId="77777777" w:rsidR="00D4616C" w:rsidRPr="00DD7698" w:rsidRDefault="00D4616C" w:rsidP="00D4616C">
      <w:pPr>
        <w:spacing w:after="0" w:line="240" w:lineRule="auto"/>
        <w:rPr>
          <w:sz w:val="20"/>
          <w:lang w:val="lv-LV"/>
        </w:rPr>
      </w:pPr>
    </w:p>
    <w:p w14:paraId="28A0BB4B" w14:textId="77D13C6B" w:rsidR="00D4616C" w:rsidRPr="00DD7698" w:rsidRDefault="00D4616C" w:rsidP="00D4616C">
      <w:pPr>
        <w:spacing w:after="0" w:line="240" w:lineRule="auto"/>
        <w:rPr>
          <w:sz w:val="20"/>
          <w:lang w:val="lv-LV"/>
        </w:rPr>
      </w:pPr>
      <w:r w:rsidRPr="00DD7698">
        <w:rPr>
          <w:sz w:val="20"/>
          <w:lang w:val="lv-LV"/>
        </w:rPr>
        <w:br w:type="textWrapping" w:clear="all"/>
      </w:r>
    </w:p>
    <w:p w14:paraId="3107D560" w14:textId="14918B23" w:rsidR="00D4616C" w:rsidRPr="00DD7698" w:rsidRDefault="00D4616C" w:rsidP="00D4616C">
      <w:pPr>
        <w:spacing w:after="0" w:line="240" w:lineRule="auto"/>
        <w:rPr>
          <w:sz w:val="20"/>
          <w:lang w:val="lv-LV"/>
        </w:rPr>
      </w:pPr>
    </w:p>
    <w:p w14:paraId="2E93673A" w14:textId="77777777" w:rsidR="00D4616C" w:rsidRPr="00DD7698" w:rsidRDefault="00D4616C" w:rsidP="00D4616C">
      <w:pPr>
        <w:spacing w:after="0" w:line="240" w:lineRule="auto"/>
        <w:rPr>
          <w:sz w:val="20"/>
          <w:lang w:val="lv-LV"/>
        </w:rPr>
      </w:pPr>
    </w:p>
    <w:p w14:paraId="393DFA8C" w14:textId="77777777" w:rsidR="00D4616C" w:rsidRPr="00DD7698" w:rsidRDefault="00D4616C" w:rsidP="00D4616C">
      <w:pPr>
        <w:spacing w:after="0" w:line="240" w:lineRule="auto"/>
        <w:ind w:firstLine="0"/>
        <w:rPr>
          <w:i/>
          <w:iCs/>
          <w:noProof/>
          <w:sz w:val="20"/>
          <w:lang w:val="lv-LV"/>
        </w:rPr>
      </w:pPr>
      <w:bookmarkStart w:id="4" w:name="_Hlk16498020"/>
      <w:r w:rsidRPr="00DD7698">
        <w:rPr>
          <w:i/>
          <w:iCs/>
          <w:noProof/>
          <w:sz w:val="20"/>
          <w:lang w:val="lv-LV"/>
        </w:rPr>
        <w:t>Agnese Bugaja, 67013176</w:t>
      </w:r>
    </w:p>
    <w:bookmarkEnd w:id="4"/>
    <w:p w14:paraId="19C19F95" w14:textId="77777777" w:rsidR="00D4616C" w:rsidRPr="00DD7698" w:rsidRDefault="00D4616C" w:rsidP="00D4616C">
      <w:pPr>
        <w:spacing w:after="0" w:line="240" w:lineRule="auto"/>
        <w:ind w:firstLine="0"/>
        <w:rPr>
          <w:i/>
          <w:iCs/>
          <w:noProof/>
          <w:sz w:val="20"/>
          <w:lang w:val="lv-LV"/>
        </w:rPr>
      </w:pPr>
      <w:r w:rsidRPr="00DD7698">
        <w:rPr>
          <w:i/>
          <w:iCs/>
          <w:noProof/>
          <w:sz w:val="20"/>
          <w:lang w:val="lv-LV"/>
        </w:rPr>
        <w:t>Agnese.Bugaja@em.gov.lv</w:t>
      </w:r>
    </w:p>
    <w:p w14:paraId="2171F092" w14:textId="77777777" w:rsidR="00D4616C" w:rsidRPr="00DD7698" w:rsidRDefault="00D4616C" w:rsidP="003E4CC7">
      <w:pPr>
        <w:spacing w:before="0" w:after="0" w:line="240" w:lineRule="auto"/>
        <w:ind w:firstLine="0"/>
        <w:rPr>
          <w:rFonts w:eastAsia="Calibri"/>
          <w:bCs/>
          <w:sz w:val="28"/>
          <w:szCs w:val="28"/>
          <w:lang w:val="lv-LV"/>
        </w:rPr>
      </w:pPr>
    </w:p>
    <w:sectPr w:rsidR="00D4616C" w:rsidRPr="00DD7698" w:rsidSect="00D966AE">
      <w:headerReference w:type="even" r:id="rId8"/>
      <w:headerReference w:type="default" r:id="rId9"/>
      <w:footerReference w:type="default" r:id="rId10"/>
      <w:headerReference w:type="first" r:id="rId11"/>
      <w:footerReference w:type="first" r:id="rId12"/>
      <w:endnotePr>
        <w:numFmt w:val="decimal"/>
      </w:endnotePr>
      <w:pgSz w:w="11907" w:h="16840"/>
      <w:pgMar w:top="1134" w:right="851" w:bottom="1134"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92E3" w14:textId="77777777" w:rsidR="00B247CD" w:rsidRDefault="00B247CD">
      <w:r>
        <w:separator/>
      </w:r>
    </w:p>
  </w:endnote>
  <w:endnote w:type="continuationSeparator" w:id="0">
    <w:p w14:paraId="555BA6E8" w14:textId="77777777" w:rsidR="00B247CD" w:rsidRDefault="00B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495742"/>
      <w:docPartObj>
        <w:docPartGallery w:val="Page Numbers (Bottom of Page)"/>
        <w:docPartUnique/>
      </w:docPartObj>
    </w:sdtPr>
    <w:sdtEndPr>
      <w:rPr>
        <w:noProof/>
      </w:rPr>
    </w:sdtEndPr>
    <w:sdtContent>
      <w:p w14:paraId="40802C10" w14:textId="4A98B951" w:rsidR="00CF4500" w:rsidRDefault="00CF45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AB6CE" w14:textId="7B27489F" w:rsidR="00AB10C3" w:rsidRPr="00CF4500" w:rsidRDefault="005778A8" w:rsidP="00CF4500">
    <w:pPr>
      <w:pStyle w:val="Footer"/>
      <w:ind w:firstLine="0"/>
      <w:jc w:val="left"/>
      <w:rPr>
        <w:sz w:val="20"/>
      </w:rPr>
    </w:pPr>
    <w:r>
      <w:rPr>
        <w:sz w:val="20"/>
      </w:rPr>
      <w:fldChar w:fldCharType="begin"/>
    </w:r>
    <w:r>
      <w:rPr>
        <w:sz w:val="20"/>
      </w:rPr>
      <w:instrText xml:space="preserve"> FILENAME   \* MERGEFORMAT </w:instrText>
    </w:r>
    <w:r>
      <w:rPr>
        <w:sz w:val="20"/>
      </w:rPr>
      <w:fldChar w:fldCharType="separate"/>
    </w:r>
    <w:r w:rsidR="00E566FB">
      <w:rPr>
        <w:noProof/>
        <w:sz w:val="20"/>
      </w:rPr>
      <w:t>EMiz_23012020_ATI.docx</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A05A" w14:textId="57CE89D4" w:rsidR="00AB10C3" w:rsidRPr="005778A8" w:rsidRDefault="005778A8" w:rsidP="005778A8">
    <w:pPr>
      <w:pStyle w:val="Footer"/>
      <w:widowControl/>
      <w:tabs>
        <w:tab w:val="clear" w:pos="4153"/>
        <w:tab w:val="clear" w:pos="8306"/>
        <w:tab w:val="center" w:pos="2835"/>
        <w:tab w:val="center" w:pos="4536"/>
        <w:tab w:val="center" w:pos="4677"/>
        <w:tab w:val="left" w:pos="6589"/>
        <w:tab w:val="right" w:pos="8789"/>
      </w:tabs>
      <w:spacing w:before="240" w:line="240" w:lineRule="auto"/>
      <w:ind w:firstLine="0"/>
      <w:jc w:val="left"/>
      <w:rPr>
        <w:sz w:val="20"/>
        <w:lang w:val="lv-LV"/>
      </w:rPr>
    </w:pPr>
    <w:r w:rsidRPr="005778A8">
      <w:rPr>
        <w:sz w:val="20"/>
        <w:lang w:val="lv-LV"/>
      </w:rPr>
      <w:fldChar w:fldCharType="begin"/>
    </w:r>
    <w:r w:rsidRPr="005778A8">
      <w:rPr>
        <w:sz w:val="20"/>
        <w:lang w:val="lv-LV"/>
      </w:rPr>
      <w:instrText xml:space="preserve"> FILENAME   \* MERGEFORMAT </w:instrText>
    </w:r>
    <w:r w:rsidRPr="005778A8">
      <w:rPr>
        <w:sz w:val="20"/>
        <w:lang w:val="lv-LV"/>
      </w:rPr>
      <w:fldChar w:fldCharType="separate"/>
    </w:r>
    <w:r w:rsidR="00E566FB">
      <w:rPr>
        <w:noProof/>
        <w:sz w:val="20"/>
        <w:lang w:val="lv-LV"/>
      </w:rPr>
      <w:t>EMiz_23012020_ATI.docx</w:t>
    </w:r>
    <w:r w:rsidRPr="005778A8">
      <w:rPr>
        <w:sz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AFD7" w14:textId="77777777" w:rsidR="00B247CD" w:rsidRDefault="00B247CD">
      <w:r>
        <w:separator/>
      </w:r>
    </w:p>
  </w:footnote>
  <w:footnote w:type="continuationSeparator" w:id="0">
    <w:p w14:paraId="588B74B5" w14:textId="77777777" w:rsidR="00B247CD" w:rsidRDefault="00B2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D02D" w14:textId="77777777" w:rsidR="00AB10C3" w:rsidRDefault="00AB10C3">
    <w:pPr>
      <w:pStyle w:val="Head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14:paraId="61644987" w14:textId="77777777" w:rsidR="00AB10C3" w:rsidRDefault="00AB10C3">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599D" w14:textId="29569337" w:rsidR="00AB38AE" w:rsidRPr="00AB38AE" w:rsidRDefault="00AB38AE" w:rsidP="00AB38AE">
    <w:pPr>
      <w:pStyle w:val="Header"/>
      <w:jc w:val="right"/>
      <w:rPr>
        <w:i/>
        <w:iCs/>
        <w:sz w:val="28"/>
        <w:szCs w:val="22"/>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1887" w14:textId="102F927E" w:rsidR="00837718" w:rsidRPr="00837718" w:rsidRDefault="00837718" w:rsidP="00837718">
    <w:pPr>
      <w:pStyle w:val="Header"/>
      <w:jc w:val="right"/>
      <w:rPr>
        <w:i/>
        <w:iCs/>
        <w:sz w:val="28"/>
        <w:szCs w:val="22"/>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E7E"/>
    <w:multiLevelType w:val="hybridMultilevel"/>
    <w:tmpl w:val="D8C82A88"/>
    <w:lvl w:ilvl="0" w:tplc="7ABE46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FA27EF5"/>
    <w:multiLevelType w:val="multilevel"/>
    <w:tmpl w:val="D1AC45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47693D"/>
    <w:multiLevelType w:val="hybridMultilevel"/>
    <w:tmpl w:val="5150E1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3E5E67"/>
    <w:multiLevelType w:val="hybridMultilevel"/>
    <w:tmpl w:val="4190A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357E09"/>
    <w:multiLevelType w:val="hybridMultilevel"/>
    <w:tmpl w:val="A72AA4D6"/>
    <w:lvl w:ilvl="0" w:tplc="93E0724E">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1A56893"/>
    <w:multiLevelType w:val="hybridMultilevel"/>
    <w:tmpl w:val="F620C03A"/>
    <w:lvl w:ilvl="0" w:tplc="E0DCE0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0C58F3"/>
    <w:multiLevelType w:val="hybridMultilevel"/>
    <w:tmpl w:val="C540BDA2"/>
    <w:lvl w:ilvl="0" w:tplc="FD0C600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D11112E"/>
    <w:multiLevelType w:val="hybridMultilevel"/>
    <w:tmpl w:val="E020B76E"/>
    <w:lvl w:ilvl="0" w:tplc="6554CA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DA41E2D"/>
    <w:multiLevelType w:val="hybridMultilevel"/>
    <w:tmpl w:val="AC4ECD66"/>
    <w:lvl w:ilvl="0" w:tplc="6DB2C4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99622C"/>
    <w:multiLevelType w:val="hybridMultilevel"/>
    <w:tmpl w:val="FE7682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835D5E"/>
    <w:multiLevelType w:val="hybridMultilevel"/>
    <w:tmpl w:val="61E40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D95CF1"/>
    <w:multiLevelType w:val="hybridMultilevel"/>
    <w:tmpl w:val="819485CA"/>
    <w:lvl w:ilvl="0" w:tplc="3B5000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561186E"/>
    <w:multiLevelType w:val="hybridMultilevel"/>
    <w:tmpl w:val="F8382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287575"/>
    <w:multiLevelType w:val="multilevel"/>
    <w:tmpl w:val="D1AC45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F90B59"/>
    <w:multiLevelType w:val="hybridMultilevel"/>
    <w:tmpl w:val="F8987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F17495"/>
    <w:multiLevelType w:val="hybridMultilevel"/>
    <w:tmpl w:val="20722B4C"/>
    <w:lvl w:ilvl="0" w:tplc="012EB9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EFD23B8"/>
    <w:multiLevelType w:val="hybridMultilevel"/>
    <w:tmpl w:val="CFE2C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591140A"/>
    <w:multiLevelType w:val="hybridMultilevel"/>
    <w:tmpl w:val="00E806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800C81"/>
    <w:multiLevelType w:val="multilevel"/>
    <w:tmpl w:val="95847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18"/>
  </w:num>
  <w:num w:numId="4">
    <w:abstractNumId w:val="13"/>
  </w:num>
  <w:num w:numId="5">
    <w:abstractNumId w:val="9"/>
  </w:num>
  <w:num w:numId="6">
    <w:abstractNumId w:val="15"/>
  </w:num>
  <w:num w:numId="7">
    <w:abstractNumId w:val="7"/>
  </w:num>
  <w:num w:numId="8">
    <w:abstractNumId w:val="14"/>
  </w:num>
  <w:num w:numId="9">
    <w:abstractNumId w:val="11"/>
  </w:num>
  <w:num w:numId="10">
    <w:abstractNumId w:val="19"/>
  </w:num>
  <w:num w:numId="11">
    <w:abstractNumId w:val="17"/>
  </w:num>
  <w:num w:numId="12">
    <w:abstractNumId w:val="5"/>
  </w:num>
  <w:num w:numId="13">
    <w:abstractNumId w:val="12"/>
  </w:num>
  <w:num w:numId="14">
    <w:abstractNumId w:val="16"/>
  </w:num>
  <w:num w:numId="15">
    <w:abstractNumId w:val="3"/>
  </w:num>
  <w:num w:numId="16">
    <w:abstractNumId w:val="10"/>
  </w:num>
  <w:num w:numId="17">
    <w:abstractNumId w:val="0"/>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5D"/>
    <w:rsid w:val="000059FF"/>
    <w:rsid w:val="00007C01"/>
    <w:rsid w:val="000170B0"/>
    <w:rsid w:val="00025976"/>
    <w:rsid w:val="000270A5"/>
    <w:rsid w:val="00032839"/>
    <w:rsid w:val="00032C59"/>
    <w:rsid w:val="00043FBC"/>
    <w:rsid w:val="00046297"/>
    <w:rsid w:val="000604B6"/>
    <w:rsid w:val="000615F5"/>
    <w:rsid w:val="00066F67"/>
    <w:rsid w:val="00070D8E"/>
    <w:rsid w:val="00071749"/>
    <w:rsid w:val="00071EB2"/>
    <w:rsid w:val="0007357E"/>
    <w:rsid w:val="00080B67"/>
    <w:rsid w:val="0008394C"/>
    <w:rsid w:val="00085FE0"/>
    <w:rsid w:val="00086524"/>
    <w:rsid w:val="00090BFD"/>
    <w:rsid w:val="00093F96"/>
    <w:rsid w:val="00096DBB"/>
    <w:rsid w:val="000A6ECA"/>
    <w:rsid w:val="000B085C"/>
    <w:rsid w:val="000B3D3A"/>
    <w:rsid w:val="000B64FA"/>
    <w:rsid w:val="000C10C1"/>
    <w:rsid w:val="000C4966"/>
    <w:rsid w:val="000C5092"/>
    <w:rsid w:val="000D0339"/>
    <w:rsid w:val="000D507C"/>
    <w:rsid w:val="000D58E4"/>
    <w:rsid w:val="000D7DB9"/>
    <w:rsid w:val="000E50C1"/>
    <w:rsid w:val="000F202E"/>
    <w:rsid w:val="000F2A52"/>
    <w:rsid w:val="000F3692"/>
    <w:rsid w:val="000F5129"/>
    <w:rsid w:val="000F5491"/>
    <w:rsid w:val="00104A76"/>
    <w:rsid w:val="001071DA"/>
    <w:rsid w:val="00112E9F"/>
    <w:rsid w:val="00114F3F"/>
    <w:rsid w:val="00116FC8"/>
    <w:rsid w:val="001175D6"/>
    <w:rsid w:val="00122CB5"/>
    <w:rsid w:val="0012300E"/>
    <w:rsid w:val="00123D44"/>
    <w:rsid w:val="0012488A"/>
    <w:rsid w:val="001267FA"/>
    <w:rsid w:val="00130019"/>
    <w:rsid w:val="00131759"/>
    <w:rsid w:val="001356DA"/>
    <w:rsid w:val="001445C8"/>
    <w:rsid w:val="00144FAC"/>
    <w:rsid w:val="00147767"/>
    <w:rsid w:val="0015019C"/>
    <w:rsid w:val="001502F7"/>
    <w:rsid w:val="00150D2A"/>
    <w:rsid w:val="001514A9"/>
    <w:rsid w:val="00155EB1"/>
    <w:rsid w:val="0015714B"/>
    <w:rsid w:val="00166CF2"/>
    <w:rsid w:val="0017071A"/>
    <w:rsid w:val="00175442"/>
    <w:rsid w:val="00175D02"/>
    <w:rsid w:val="0017645D"/>
    <w:rsid w:val="00182916"/>
    <w:rsid w:val="00184729"/>
    <w:rsid w:val="00184C44"/>
    <w:rsid w:val="001854CF"/>
    <w:rsid w:val="00192C15"/>
    <w:rsid w:val="00196ED4"/>
    <w:rsid w:val="001A4182"/>
    <w:rsid w:val="001A502A"/>
    <w:rsid w:val="001B5FE0"/>
    <w:rsid w:val="001B6425"/>
    <w:rsid w:val="001C186E"/>
    <w:rsid w:val="001C335C"/>
    <w:rsid w:val="001C34DE"/>
    <w:rsid w:val="001C7D4B"/>
    <w:rsid w:val="001D34EF"/>
    <w:rsid w:val="001D3F59"/>
    <w:rsid w:val="001D577E"/>
    <w:rsid w:val="001D7484"/>
    <w:rsid w:val="001D7EAC"/>
    <w:rsid w:val="001E2042"/>
    <w:rsid w:val="001E34E4"/>
    <w:rsid w:val="001E39E0"/>
    <w:rsid w:val="001E3A24"/>
    <w:rsid w:val="001E3E8C"/>
    <w:rsid w:val="001E474A"/>
    <w:rsid w:val="001F203F"/>
    <w:rsid w:val="001F2842"/>
    <w:rsid w:val="001F389F"/>
    <w:rsid w:val="00204A50"/>
    <w:rsid w:val="00206235"/>
    <w:rsid w:val="00211C7D"/>
    <w:rsid w:val="00212874"/>
    <w:rsid w:val="00213B68"/>
    <w:rsid w:val="002141D8"/>
    <w:rsid w:val="00215DC6"/>
    <w:rsid w:val="0021790E"/>
    <w:rsid w:val="00220079"/>
    <w:rsid w:val="002202D7"/>
    <w:rsid w:val="00220ACF"/>
    <w:rsid w:val="002218C2"/>
    <w:rsid w:val="002225F5"/>
    <w:rsid w:val="002267F6"/>
    <w:rsid w:val="002319E7"/>
    <w:rsid w:val="00233D07"/>
    <w:rsid w:val="00234C3F"/>
    <w:rsid w:val="002365B3"/>
    <w:rsid w:val="00236EC5"/>
    <w:rsid w:val="002415D0"/>
    <w:rsid w:val="002435C7"/>
    <w:rsid w:val="002528E5"/>
    <w:rsid w:val="00254E48"/>
    <w:rsid w:val="00256A7F"/>
    <w:rsid w:val="00257350"/>
    <w:rsid w:val="00260932"/>
    <w:rsid w:val="002761EF"/>
    <w:rsid w:val="00285D19"/>
    <w:rsid w:val="00286B29"/>
    <w:rsid w:val="002870C2"/>
    <w:rsid w:val="002906BC"/>
    <w:rsid w:val="0029154F"/>
    <w:rsid w:val="00292CA0"/>
    <w:rsid w:val="00293F3C"/>
    <w:rsid w:val="00294324"/>
    <w:rsid w:val="0029612A"/>
    <w:rsid w:val="00297ABF"/>
    <w:rsid w:val="002A2D92"/>
    <w:rsid w:val="002A7F04"/>
    <w:rsid w:val="002B2A24"/>
    <w:rsid w:val="002B4D8B"/>
    <w:rsid w:val="002B4E73"/>
    <w:rsid w:val="002C006D"/>
    <w:rsid w:val="002C152F"/>
    <w:rsid w:val="002C41D9"/>
    <w:rsid w:val="002C4EFD"/>
    <w:rsid w:val="002C73A9"/>
    <w:rsid w:val="002D0F41"/>
    <w:rsid w:val="002E22AA"/>
    <w:rsid w:val="002E2BC6"/>
    <w:rsid w:val="002E2D33"/>
    <w:rsid w:val="002F4DBE"/>
    <w:rsid w:val="002F5719"/>
    <w:rsid w:val="00300E27"/>
    <w:rsid w:val="003036A1"/>
    <w:rsid w:val="0030481F"/>
    <w:rsid w:val="00305F9F"/>
    <w:rsid w:val="003063C7"/>
    <w:rsid w:val="00306532"/>
    <w:rsid w:val="00306BAB"/>
    <w:rsid w:val="00307F51"/>
    <w:rsid w:val="003105A8"/>
    <w:rsid w:val="00317359"/>
    <w:rsid w:val="003219E0"/>
    <w:rsid w:val="00321F7A"/>
    <w:rsid w:val="0032236C"/>
    <w:rsid w:val="00322743"/>
    <w:rsid w:val="003239FA"/>
    <w:rsid w:val="00324C97"/>
    <w:rsid w:val="003270D6"/>
    <w:rsid w:val="00336884"/>
    <w:rsid w:val="003434B7"/>
    <w:rsid w:val="00346FB6"/>
    <w:rsid w:val="00347345"/>
    <w:rsid w:val="00351BF2"/>
    <w:rsid w:val="003549D5"/>
    <w:rsid w:val="0035660F"/>
    <w:rsid w:val="0036350F"/>
    <w:rsid w:val="0037010E"/>
    <w:rsid w:val="00370413"/>
    <w:rsid w:val="00371DF1"/>
    <w:rsid w:val="00383F06"/>
    <w:rsid w:val="003873C1"/>
    <w:rsid w:val="00392A95"/>
    <w:rsid w:val="003939FA"/>
    <w:rsid w:val="00397023"/>
    <w:rsid w:val="003A5E7A"/>
    <w:rsid w:val="003A6082"/>
    <w:rsid w:val="003B2508"/>
    <w:rsid w:val="003B4972"/>
    <w:rsid w:val="003B4F8E"/>
    <w:rsid w:val="003B5C9D"/>
    <w:rsid w:val="003B6071"/>
    <w:rsid w:val="003B62CD"/>
    <w:rsid w:val="003C3507"/>
    <w:rsid w:val="003C4657"/>
    <w:rsid w:val="003C6F7B"/>
    <w:rsid w:val="003D0B48"/>
    <w:rsid w:val="003D0D1B"/>
    <w:rsid w:val="003E3B4B"/>
    <w:rsid w:val="003E4CC7"/>
    <w:rsid w:val="003F0BDB"/>
    <w:rsid w:val="003F514A"/>
    <w:rsid w:val="004031E1"/>
    <w:rsid w:val="004058AC"/>
    <w:rsid w:val="004065F9"/>
    <w:rsid w:val="00414660"/>
    <w:rsid w:val="00415252"/>
    <w:rsid w:val="00420905"/>
    <w:rsid w:val="00430EE1"/>
    <w:rsid w:val="004317A6"/>
    <w:rsid w:val="00435631"/>
    <w:rsid w:val="0043651E"/>
    <w:rsid w:val="00436948"/>
    <w:rsid w:val="004373FB"/>
    <w:rsid w:val="004402C3"/>
    <w:rsid w:val="00441C40"/>
    <w:rsid w:val="00443B83"/>
    <w:rsid w:val="00447967"/>
    <w:rsid w:val="004504F9"/>
    <w:rsid w:val="00451324"/>
    <w:rsid w:val="0045610A"/>
    <w:rsid w:val="00460916"/>
    <w:rsid w:val="00460A4A"/>
    <w:rsid w:val="00464A8F"/>
    <w:rsid w:val="004653BE"/>
    <w:rsid w:val="004705FF"/>
    <w:rsid w:val="00471ABB"/>
    <w:rsid w:val="00472298"/>
    <w:rsid w:val="0047434E"/>
    <w:rsid w:val="00477856"/>
    <w:rsid w:val="00477A42"/>
    <w:rsid w:val="00491D66"/>
    <w:rsid w:val="00491EFB"/>
    <w:rsid w:val="00494D6A"/>
    <w:rsid w:val="004952E6"/>
    <w:rsid w:val="004974FD"/>
    <w:rsid w:val="00497CBD"/>
    <w:rsid w:val="004A125D"/>
    <w:rsid w:val="004A1FBF"/>
    <w:rsid w:val="004A3725"/>
    <w:rsid w:val="004A74C5"/>
    <w:rsid w:val="004B2E14"/>
    <w:rsid w:val="004B50B8"/>
    <w:rsid w:val="004B71FE"/>
    <w:rsid w:val="004C09F3"/>
    <w:rsid w:val="004C39F1"/>
    <w:rsid w:val="004C4EB4"/>
    <w:rsid w:val="004C558B"/>
    <w:rsid w:val="004D17FB"/>
    <w:rsid w:val="004D2624"/>
    <w:rsid w:val="004D2FB1"/>
    <w:rsid w:val="004D5225"/>
    <w:rsid w:val="004D64B1"/>
    <w:rsid w:val="004D651D"/>
    <w:rsid w:val="004D72B7"/>
    <w:rsid w:val="004E1FD2"/>
    <w:rsid w:val="004E5D22"/>
    <w:rsid w:val="004F1B16"/>
    <w:rsid w:val="004F27AD"/>
    <w:rsid w:val="00500CBD"/>
    <w:rsid w:val="00501918"/>
    <w:rsid w:val="00502F57"/>
    <w:rsid w:val="00507EC1"/>
    <w:rsid w:val="005103A2"/>
    <w:rsid w:val="0051410B"/>
    <w:rsid w:val="0051435C"/>
    <w:rsid w:val="0051531B"/>
    <w:rsid w:val="005166C7"/>
    <w:rsid w:val="00516924"/>
    <w:rsid w:val="00517469"/>
    <w:rsid w:val="00524720"/>
    <w:rsid w:val="005260F4"/>
    <w:rsid w:val="0053231F"/>
    <w:rsid w:val="00532D63"/>
    <w:rsid w:val="0053342D"/>
    <w:rsid w:val="00533E31"/>
    <w:rsid w:val="00533E4D"/>
    <w:rsid w:val="00536371"/>
    <w:rsid w:val="00536CAD"/>
    <w:rsid w:val="0053778E"/>
    <w:rsid w:val="005412A4"/>
    <w:rsid w:val="00542EAE"/>
    <w:rsid w:val="00543EDD"/>
    <w:rsid w:val="00544B68"/>
    <w:rsid w:val="005473DF"/>
    <w:rsid w:val="00550F18"/>
    <w:rsid w:val="00551375"/>
    <w:rsid w:val="00552B99"/>
    <w:rsid w:val="005532B6"/>
    <w:rsid w:val="0055363B"/>
    <w:rsid w:val="0055425D"/>
    <w:rsid w:val="00554FE1"/>
    <w:rsid w:val="00555358"/>
    <w:rsid w:val="00555491"/>
    <w:rsid w:val="00555F5C"/>
    <w:rsid w:val="005644F9"/>
    <w:rsid w:val="00565E4B"/>
    <w:rsid w:val="00566E84"/>
    <w:rsid w:val="005702F2"/>
    <w:rsid w:val="005728D7"/>
    <w:rsid w:val="005756BF"/>
    <w:rsid w:val="0057702F"/>
    <w:rsid w:val="005778A8"/>
    <w:rsid w:val="005807DA"/>
    <w:rsid w:val="0058085E"/>
    <w:rsid w:val="00587433"/>
    <w:rsid w:val="005949F8"/>
    <w:rsid w:val="00594B1A"/>
    <w:rsid w:val="00596C11"/>
    <w:rsid w:val="005A1B50"/>
    <w:rsid w:val="005A1D9A"/>
    <w:rsid w:val="005A5AF1"/>
    <w:rsid w:val="005A5C14"/>
    <w:rsid w:val="005A674A"/>
    <w:rsid w:val="005A6F8F"/>
    <w:rsid w:val="005A796E"/>
    <w:rsid w:val="005B1462"/>
    <w:rsid w:val="005B4206"/>
    <w:rsid w:val="005B57FD"/>
    <w:rsid w:val="005B5A34"/>
    <w:rsid w:val="005C26B8"/>
    <w:rsid w:val="005C3164"/>
    <w:rsid w:val="005C3A7F"/>
    <w:rsid w:val="005D41EE"/>
    <w:rsid w:val="005D4670"/>
    <w:rsid w:val="005E22CB"/>
    <w:rsid w:val="005E460F"/>
    <w:rsid w:val="005E5F72"/>
    <w:rsid w:val="005E7ED3"/>
    <w:rsid w:val="005F1F85"/>
    <w:rsid w:val="005F2EBD"/>
    <w:rsid w:val="005F3346"/>
    <w:rsid w:val="005F68BC"/>
    <w:rsid w:val="00601204"/>
    <w:rsid w:val="00605AB1"/>
    <w:rsid w:val="00607788"/>
    <w:rsid w:val="00613741"/>
    <w:rsid w:val="00613E7B"/>
    <w:rsid w:val="006145E8"/>
    <w:rsid w:val="00615997"/>
    <w:rsid w:val="00620BD7"/>
    <w:rsid w:val="00621E91"/>
    <w:rsid w:val="00622975"/>
    <w:rsid w:val="00623DD2"/>
    <w:rsid w:val="00625C35"/>
    <w:rsid w:val="006266AC"/>
    <w:rsid w:val="00627347"/>
    <w:rsid w:val="006320E5"/>
    <w:rsid w:val="00633D14"/>
    <w:rsid w:val="00636D69"/>
    <w:rsid w:val="00637791"/>
    <w:rsid w:val="00637E92"/>
    <w:rsid w:val="006412BC"/>
    <w:rsid w:val="00652225"/>
    <w:rsid w:val="00655DE9"/>
    <w:rsid w:val="00656E15"/>
    <w:rsid w:val="00664CBB"/>
    <w:rsid w:val="00664CF0"/>
    <w:rsid w:val="00664ED0"/>
    <w:rsid w:val="00670C85"/>
    <w:rsid w:val="00670D4A"/>
    <w:rsid w:val="00686235"/>
    <w:rsid w:val="0068672E"/>
    <w:rsid w:val="006877EC"/>
    <w:rsid w:val="0069091B"/>
    <w:rsid w:val="00691F10"/>
    <w:rsid w:val="0069464A"/>
    <w:rsid w:val="006958E1"/>
    <w:rsid w:val="0069655B"/>
    <w:rsid w:val="006A0112"/>
    <w:rsid w:val="006A6540"/>
    <w:rsid w:val="006B5A5F"/>
    <w:rsid w:val="006B65DE"/>
    <w:rsid w:val="006C12D4"/>
    <w:rsid w:val="006C617B"/>
    <w:rsid w:val="006E002C"/>
    <w:rsid w:val="006E1E36"/>
    <w:rsid w:val="006E2C12"/>
    <w:rsid w:val="006E37BC"/>
    <w:rsid w:val="006E6AF2"/>
    <w:rsid w:val="006F0175"/>
    <w:rsid w:val="006F0A9E"/>
    <w:rsid w:val="0070278F"/>
    <w:rsid w:val="00702E78"/>
    <w:rsid w:val="007118B6"/>
    <w:rsid w:val="00711C8E"/>
    <w:rsid w:val="007138B9"/>
    <w:rsid w:val="0072305F"/>
    <w:rsid w:val="007256D5"/>
    <w:rsid w:val="00725845"/>
    <w:rsid w:val="00734F19"/>
    <w:rsid w:val="007421C7"/>
    <w:rsid w:val="00744ED1"/>
    <w:rsid w:val="00745BCC"/>
    <w:rsid w:val="007476F8"/>
    <w:rsid w:val="0075440A"/>
    <w:rsid w:val="00756F59"/>
    <w:rsid w:val="00757077"/>
    <w:rsid w:val="00757BA6"/>
    <w:rsid w:val="0076387C"/>
    <w:rsid w:val="007648FC"/>
    <w:rsid w:val="007664B6"/>
    <w:rsid w:val="00774C7F"/>
    <w:rsid w:val="007771D5"/>
    <w:rsid w:val="00777F59"/>
    <w:rsid w:val="00780966"/>
    <w:rsid w:val="00780EB0"/>
    <w:rsid w:val="007813DA"/>
    <w:rsid w:val="00781AAB"/>
    <w:rsid w:val="00784D2C"/>
    <w:rsid w:val="00790F18"/>
    <w:rsid w:val="0079225F"/>
    <w:rsid w:val="00792CA8"/>
    <w:rsid w:val="00795769"/>
    <w:rsid w:val="00795849"/>
    <w:rsid w:val="0079752F"/>
    <w:rsid w:val="007A0314"/>
    <w:rsid w:val="007A75B3"/>
    <w:rsid w:val="007B2D5F"/>
    <w:rsid w:val="007B3FB5"/>
    <w:rsid w:val="007B4214"/>
    <w:rsid w:val="007B6213"/>
    <w:rsid w:val="007C0504"/>
    <w:rsid w:val="007C0CB2"/>
    <w:rsid w:val="007C6667"/>
    <w:rsid w:val="007D1393"/>
    <w:rsid w:val="007D2A24"/>
    <w:rsid w:val="007D5CCF"/>
    <w:rsid w:val="007D5D2B"/>
    <w:rsid w:val="007E286D"/>
    <w:rsid w:val="007E3B6D"/>
    <w:rsid w:val="007E41B1"/>
    <w:rsid w:val="007F1A2C"/>
    <w:rsid w:val="007F3408"/>
    <w:rsid w:val="007F50FD"/>
    <w:rsid w:val="007F5B50"/>
    <w:rsid w:val="007F63B8"/>
    <w:rsid w:val="007F74F5"/>
    <w:rsid w:val="007F7F8F"/>
    <w:rsid w:val="008003F8"/>
    <w:rsid w:val="00800A25"/>
    <w:rsid w:val="00810C8B"/>
    <w:rsid w:val="00810CC5"/>
    <w:rsid w:val="0081331A"/>
    <w:rsid w:val="00820A15"/>
    <w:rsid w:val="00825397"/>
    <w:rsid w:val="00826FC4"/>
    <w:rsid w:val="00832E80"/>
    <w:rsid w:val="00834202"/>
    <w:rsid w:val="00837718"/>
    <w:rsid w:val="008421DA"/>
    <w:rsid w:val="008446B7"/>
    <w:rsid w:val="0084574B"/>
    <w:rsid w:val="00846EC7"/>
    <w:rsid w:val="0085154C"/>
    <w:rsid w:val="0085643C"/>
    <w:rsid w:val="00860A86"/>
    <w:rsid w:val="00861491"/>
    <w:rsid w:val="008641E5"/>
    <w:rsid w:val="00864A79"/>
    <w:rsid w:val="0086676A"/>
    <w:rsid w:val="00867F14"/>
    <w:rsid w:val="00871746"/>
    <w:rsid w:val="00873241"/>
    <w:rsid w:val="00880DC0"/>
    <w:rsid w:val="00882E77"/>
    <w:rsid w:val="008832D7"/>
    <w:rsid w:val="008853D5"/>
    <w:rsid w:val="00885FCA"/>
    <w:rsid w:val="00896C6A"/>
    <w:rsid w:val="008A632F"/>
    <w:rsid w:val="008B216C"/>
    <w:rsid w:val="008B5C5D"/>
    <w:rsid w:val="008C185C"/>
    <w:rsid w:val="008C25A2"/>
    <w:rsid w:val="008C2A30"/>
    <w:rsid w:val="008C5F43"/>
    <w:rsid w:val="008C648A"/>
    <w:rsid w:val="008C6BD0"/>
    <w:rsid w:val="008D110D"/>
    <w:rsid w:val="008E638D"/>
    <w:rsid w:val="008F1C4B"/>
    <w:rsid w:val="008F28B0"/>
    <w:rsid w:val="008F3484"/>
    <w:rsid w:val="008F3F35"/>
    <w:rsid w:val="009006AF"/>
    <w:rsid w:val="009009C9"/>
    <w:rsid w:val="00902A3C"/>
    <w:rsid w:val="00906644"/>
    <w:rsid w:val="00910D58"/>
    <w:rsid w:val="0091373E"/>
    <w:rsid w:val="009143AD"/>
    <w:rsid w:val="00914BAA"/>
    <w:rsid w:val="00915691"/>
    <w:rsid w:val="00917E91"/>
    <w:rsid w:val="00921B5A"/>
    <w:rsid w:val="0092570F"/>
    <w:rsid w:val="009262E1"/>
    <w:rsid w:val="00932206"/>
    <w:rsid w:val="009439E2"/>
    <w:rsid w:val="00951108"/>
    <w:rsid w:val="009522FC"/>
    <w:rsid w:val="00954465"/>
    <w:rsid w:val="00962EF7"/>
    <w:rsid w:val="00972321"/>
    <w:rsid w:val="00982331"/>
    <w:rsid w:val="009823C5"/>
    <w:rsid w:val="0098482F"/>
    <w:rsid w:val="00985956"/>
    <w:rsid w:val="0099024B"/>
    <w:rsid w:val="009918EB"/>
    <w:rsid w:val="00992104"/>
    <w:rsid w:val="0099429A"/>
    <w:rsid w:val="00995B7D"/>
    <w:rsid w:val="00996DDD"/>
    <w:rsid w:val="00997AB8"/>
    <w:rsid w:val="009A086F"/>
    <w:rsid w:val="009A19B8"/>
    <w:rsid w:val="009A2A6F"/>
    <w:rsid w:val="009A363B"/>
    <w:rsid w:val="009A43E9"/>
    <w:rsid w:val="009A4EC5"/>
    <w:rsid w:val="009B111D"/>
    <w:rsid w:val="009B16CD"/>
    <w:rsid w:val="009B7168"/>
    <w:rsid w:val="009C169B"/>
    <w:rsid w:val="009C5B31"/>
    <w:rsid w:val="009C77FD"/>
    <w:rsid w:val="009D0B00"/>
    <w:rsid w:val="009D0DDD"/>
    <w:rsid w:val="009D2B45"/>
    <w:rsid w:val="009D33D4"/>
    <w:rsid w:val="009D4748"/>
    <w:rsid w:val="009D4B56"/>
    <w:rsid w:val="009E1C13"/>
    <w:rsid w:val="009E2A98"/>
    <w:rsid w:val="009E5270"/>
    <w:rsid w:val="009F3728"/>
    <w:rsid w:val="009F75A8"/>
    <w:rsid w:val="00A014FE"/>
    <w:rsid w:val="00A01F17"/>
    <w:rsid w:val="00A02EEB"/>
    <w:rsid w:val="00A0352E"/>
    <w:rsid w:val="00A05108"/>
    <w:rsid w:val="00A06D68"/>
    <w:rsid w:val="00A07810"/>
    <w:rsid w:val="00A100E9"/>
    <w:rsid w:val="00A11E45"/>
    <w:rsid w:val="00A21791"/>
    <w:rsid w:val="00A26D5C"/>
    <w:rsid w:val="00A26FC1"/>
    <w:rsid w:val="00A272FD"/>
    <w:rsid w:val="00A4338D"/>
    <w:rsid w:val="00A45507"/>
    <w:rsid w:val="00A465FC"/>
    <w:rsid w:val="00A46710"/>
    <w:rsid w:val="00A47256"/>
    <w:rsid w:val="00A47F9E"/>
    <w:rsid w:val="00A50618"/>
    <w:rsid w:val="00A50ADB"/>
    <w:rsid w:val="00A511AD"/>
    <w:rsid w:val="00A5228D"/>
    <w:rsid w:val="00A62E95"/>
    <w:rsid w:val="00A64E27"/>
    <w:rsid w:val="00A664FB"/>
    <w:rsid w:val="00A70225"/>
    <w:rsid w:val="00A7110C"/>
    <w:rsid w:val="00A80089"/>
    <w:rsid w:val="00A80BDB"/>
    <w:rsid w:val="00A8138C"/>
    <w:rsid w:val="00A816F9"/>
    <w:rsid w:val="00A92862"/>
    <w:rsid w:val="00A931B8"/>
    <w:rsid w:val="00A972C1"/>
    <w:rsid w:val="00AA38B8"/>
    <w:rsid w:val="00AA474E"/>
    <w:rsid w:val="00AB10C3"/>
    <w:rsid w:val="00AB38AE"/>
    <w:rsid w:val="00AC023A"/>
    <w:rsid w:val="00AC093A"/>
    <w:rsid w:val="00AC3F92"/>
    <w:rsid w:val="00AC41C4"/>
    <w:rsid w:val="00AC52DD"/>
    <w:rsid w:val="00AC62DC"/>
    <w:rsid w:val="00AC7037"/>
    <w:rsid w:val="00AC7D74"/>
    <w:rsid w:val="00AD3A5D"/>
    <w:rsid w:val="00AD5AAF"/>
    <w:rsid w:val="00AD7AA6"/>
    <w:rsid w:val="00AD7D79"/>
    <w:rsid w:val="00AE041B"/>
    <w:rsid w:val="00AE2008"/>
    <w:rsid w:val="00AE3675"/>
    <w:rsid w:val="00AE6B79"/>
    <w:rsid w:val="00AE7409"/>
    <w:rsid w:val="00AE792D"/>
    <w:rsid w:val="00AF1A69"/>
    <w:rsid w:val="00B072CF"/>
    <w:rsid w:val="00B0763D"/>
    <w:rsid w:val="00B0797F"/>
    <w:rsid w:val="00B21304"/>
    <w:rsid w:val="00B2358B"/>
    <w:rsid w:val="00B247CD"/>
    <w:rsid w:val="00B30DA2"/>
    <w:rsid w:val="00B36F80"/>
    <w:rsid w:val="00B40DDB"/>
    <w:rsid w:val="00B432FB"/>
    <w:rsid w:val="00B4361E"/>
    <w:rsid w:val="00B4563D"/>
    <w:rsid w:val="00B5187C"/>
    <w:rsid w:val="00B5600A"/>
    <w:rsid w:val="00B5717B"/>
    <w:rsid w:val="00B63633"/>
    <w:rsid w:val="00B72D5A"/>
    <w:rsid w:val="00B8008E"/>
    <w:rsid w:val="00B80494"/>
    <w:rsid w:val="00B81FDA"/>
    <w:rsid w:val="00B839FB"/>
    <w:rsid w:val="00B8707F"/>
    <w:rsid w:val="00BB06E7"/>
    <w:rsid w:val="00BB54DB"/>
    <w:rsid w:val="00BB693F"/>
    <w:rsid w:val="00BC3646"/>
    <w:rsid w:val="00BC76F3"/>
    <w:rsid w:val="00BC7E78"/>
    <w:rsid w:val="00BD175C"/>
    <w:rsid w:val="00BE78B3"/>
    <w:rsid w:val="00BF1716"/>
    <w:rsid w:val="00BF2123"/>
    <w:rsid w:val="00BF490C"/>
    <w:rsid w:val="00BF5D6C"/>
    <w:rsid w:val="00BF7C41"/>
    <w:rsid w:val="00C0309F"/>
    <w:rsid w:val="00C04142"/>
    <w:rsid w:val="00C06BB8"/>
    <w:rsid w:val="00C075F8"/>
    <w:rsid w:val="00C07EA9"/>
    <w:rsid w:val="00C110A9"/>
    <w:rsid w:val="00C13154"/>
    <w:rsid w:val="00C1431C"/>
    <w:rsid w:val="00C205A4"/>
    <w:rsid w:val="00C21354"/>
    <w:rsid w:val="00C23A61"/>
    <w:rsid w:val="00C254E1"/>
    <w:rsid w:val="00C32130"/>
    <w:rsid w:val="00C35863"/>
    <w:rsid w:val="00C406AD"/>
    <w:rsid w:val="00C40FCC"/>
    <w:rsid w:val="00C411C6"/>
    <w:rsid w:val="00C41F05"/>
    <w:rsid w:val="00C45472"/>
    <w:rsid w:val="00C47828"/>
    <w:rsid w:val="00C47EA9"/>
    <w:rsid w:val="00C52D2C"/>
    <w:rsid w:val="00C6061C"/>
    <w:rsid w:val="00C6070F"/>
    <w:rsid w:val="00C64B3E"/>
    <w:rsid w:val="00C64D92"/>
    <w:rsid w:val="00C6780B"/>
    <w:rsid w:val="00C7354C"/>
    <w:rsid w:val="00C802F0"/>
    <w:rsid w:val="00C839EC"/>
    <w:rsid w:val="00C86304"/>
    <w:rsid w:val="00C86BD4"/>
    <w:rsid w:val="00C902D7"/>
    <w:rsid w:val="00C95155"/>
    <w:rsid w:val="00CA22CB"/>
    <w:rsid w:val="00CA2A61"/>
    <w:rsid w:val="00CA5A71"/>
    <w:rsid w:val="00CA5CE8"/>
    <w:rsid w:val="00CA66E5"/>
    <w:rsid w:val="00CA7C29"/>
    <w:rsid w:val="00CB219D"/>
    <w:rsid w:val="00CC3CD5"/>
    <w:rsid w:val="00CC3F61"/>
    <w:rsid w:val="00CC70C0"/>
    <w:rsid w:val="00CC786F"/>
    <w:rsid w:val="00CD1662"/>
    <w:rsid w:val="00CD3464"/>
    <w:rsid w:val="00CD4DD0"/>
    <w:rsid w:val="00CD6577"/>
    <w:rsid w:val="00CE00BA"/>
    <w:rsid w:val="00CE4D30"/>
    <w:rsid w:val="00CE5760"/>
    <w:rsid w:val="00CE6898"/>
    <w:rsid w:val="00CF1D63"/>
    <w:rsid w:val="00CF2C9B"/>
    <w:rsid w:val="00CF4500"/>
    <w:rsid w:val="00CF4BE3"/>
    <w:rsid w:val="00CF52B9"/>
    <w:rsid w:val="00CF604C"/>
    <w:rsid w:val="00D06C9E"/>
    <w:rsid w:val="00D07983"/>
    <w:rsid w:val="00D102C2"/>
    <w:rsid w:val="00D10647"/>
    <w:rsid w:val="00D10667"/>
    <w:rsid w:val="00D116E4"/>
    <w:rsid w:val="00D13207"/>
    <w:rsid w:val="00D17D75"/>
    <w:rsid w:val="00D25F1E"/>
    <w:rsid w:val="00D26984"/>
    <w:rsid w:val="00D26B71"/>
    <w:rsid w:val="00D273DC"/>
    <w:rsid w:val="00D30F32"/>
    <w:rsid w:val="00D31B58"/>
    <w:rsid w:val="00D32534"/>
    <w:rsid w:val="00D32B71"/>
    <w:rsid w:val="00D35204"/>
    <w:rsid w:val="00D368CF"/>
    <w:rsid w:val="00D36B4A"/>
    <w:rsid w:val="00D410A5"/>
    <w:rsid w:val="00D42709"/>
    <w:rsid w:val="00D4446D"/>
    <w:rsid w:val="00D4616C"/>
    <w:rsid w:val="00D515ED"/>
    <w:rsid w:val="00D60BF0"/>
    <w:rsid w:val="00D61C0B"/>
    <w:rsid w:val="00D648F0"/>
    <w:rsid w:val="00D6696A"/>
    <w:rsid w:val="00D676E5"/>
    <w:rsid w:val="00D71CB5"/>
    <w:rsid w:val="00D72A7C"/>
    <w:rsid w:val="00D73F16"/>
    <w:rsid w:val="00D77988"/>
    <w:rsid w:val="00D87738"/>
    <w:rsid w:val="00D92C33"/>
    <w:rsid w:val="00D9404D"/>
    <w:rsid w:val="00D966AE"/>
    <w:rsid w:val="00D971A1"/>
    <w:rsid w:val="00DA13AA"/>
    <w:rsid w:val="00DA14A1"/>
    <w:rsid w:val="00DA1973"/>
    <w:rsid w:val="00DA2F62"/>
    <w:rsid w:val="00DA31D8"/>
    <w:rsid w:val="00DA49A6"/>
    <w:rsid w:val="00DB4A62"/>
    <w:rsid w:val="00DB61B7"/>
    <w:rsid w:val="00DB72FA"/>
    <w:rsid w:val="00DD154C"/>
    <w:rsid w:val="00DD2728"/>
    <w:rsid w:val="00DD7698"/>
    <w:rsid w:val="00DD7D4C"/>
    <w:rsid w:val="00DD7D71"/>
    <w:rsid w:val="00DE13F3"/>
    <w:rsid w:val="00DF6297"/>
    <w:rsid w:val="00E114C2"/>
    <w:rsid w:val="00E12015"/>
    <w:rsid w:val="00E1466E"/>
    <w:rsid w:val="00E148DA"/>
    <w:rsid w:val="00E152E4"/>
    <w:rsid w:val="00E15362"/>
    <w:rsid w:val="00E17330"/>
    <w:rsid w:val="00E255D3"/>
    <w:rsid w:val="00E26FFD"/>
    <w:rsid w:val="00E34ED2"/>
    <w:rsid w:val="00E3515D"/>
    <w:rsid w:val="00E3603B"/>
    <w:rsid w:val="00E36A22"/>
    <w:rsid w:val="00E40DB1"/>
    <w:rsid w:val="00E47209"/>
    <w:rsid w:val="00E47FC8"/>
    <w:rsid w:val="00E50A92"/>
    <w:rsid w:val="00E566FB"/>
    <w:rsid w:val="00E579C7"/>
    <w:rsid w:val="00E60144"/>
    <w:rsid w:val="00E61153"/>
    <w:rsid w:val="00E6176B"/>
    <w:rsid w:val="00E73B51"/>
    <w:rsid w:val="00E76A85"/>
    <w:rsid w:val="00E76ABC"/>
    <w:rsid w:val="00E83B6B"/>
    <w:rsid w:val="00E8594E"/>
    <w:rsid w:val="00E86864"/>
    <w:rsid w:val="00E86FC3"/>
    <w:rsid w:val="00E91321"/>
    <w:rsid w:val="00E9476D"/>
    <w:rsid w:val="00EA30FC"/>
    <w:rsid w:val="00EB1B9F"/>
    <w:rsid w:val="00EB3A12"/>
    <w:rsid w:val="00EB75C8"/>
    <w:rsid w:val="00EC4ED1"/>
    <w:rsid w:val="00ED7990"/>
    <w:rsid w:val="00EE134D"/>
    <w:rsid w:val="00EE5E92"/>
    <w:rsid w:val="00EF7E79"/>
    <w:rsid w:val="00F0026C"/>
    <w:rsid w:val="00F05ED3"/>
    <w:rsid w:val="00F109BB"/>
    <w:rsid w:val="00F11F71"/>
    <w:rsid w:val="00F21601"/>
    <w:rsid w:val="00F22B8B"/>
    <w:rsid w:val="00F25B48"/>
    <w:rsid w:val="00F27582"/>
    <w:rsid w:val="00F302B6"/>
    <w:rsid w:val="00F30560"/>
    <w:rsid w:val="00F323EA"/>
    <w:rsid w:val="00F34472"/>
    <w:rsid w:val="00F34A18"/>
    <w:rsid w:val="00F35A3D"/>
    <w:rsid w:val="00F35CAD"/>
    <w:rsid w:val="00F41D00"/>
    <w:rsid w:val="00F44FE0"/>
    <w:rsid w:val="00F538C9"/>
    <w:rsid w:val="00F54293"/>
    <w:rsid w:val="00F57A29"/>
    <w:rsid w:val="00F60A3E"/>
    <w:rsid w:val="00F6712F"/>
    <w:rsid w:val="00F6786B"/>
    <w:rsid w:val="00F67880"/>
    <w:rsid w:val="00F70E58"/>
    <w:rsid w:val="00F72CDE"/>
    <w:rsid w:val="00F73846"/>
    <w:rsid w:val="00F74276"/>
    <w:rsid w:val="00F76C2D"/>
    <w:rsid w:val="00F805B3"/>
    <w:rsid w:val="00F80FC7"/>
    <w:rsid w:val="00F816E3"/>
    <w:rsid w:val="00F82BE2"/>
    <w:rsid w:val="00F835EF"/>
    <w:rsid w:val="00F878DB"/>
    <w:rsid w:val="00F9053A"/>
    <w:rsid w:val="00F91F03"/>
    <w:rsid w:val="00F93E6A"/>
    <w:rsid w:val="00FA062B"/>
    <w:rsid w:val="00FA66AA"/>
    <w:rsid w:val="00FB1AC8"/>
    <w:rsid w:val="00FB2471"/>
    <w:rsid w:val="00FB377C"/>
    <w:rsid w:val="00FB4A30"/>
    <w:rsid w:val="00FB7CBE"/>
    <w:rsid w:val="00FC027E"/>
    <w:rsid w:val="00FC0846"/>
    <w:rsid w:val="00FC10BB"/>
    <w:rsid w:val="00FC1E44"/>
    <w:rsid w:val="00FC5EF3"/>
    <w:rsid w:val="00FD17F6"/>
    <w:rsid w:val="00FD2C47"/>
    <w:rsid w:val="00FD42F0"/>
    <w:rsid w:val="00FD5CAD"/>
    <w:rsid w:val="00FE1D62"/>
    <w:rsid w:val="00FE2B85"/>
    <w:rsid w:val="00FE4E4C"/>
    <w:rsid w:val="00FE69DC"/>
    <w:rsid w:val="00FF1D95"/>
    <w:rsid w:val="00FF23E0"/>
    <w:rsid w:val="00FF2897"/>
    <w:rsid w:val="00FF437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9EB6C6"/>
  <w15:docId w15:val="{8AFA74D3-37D4-4946-B03D-858CDAC0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60" w:after="60" w:line="360" w:lineRule="auto"/>
      <w:ind w:firstLine="720"/>
      <w:jc w:val="both"/>
    </w:pPr>
    <w:rPr>
      <w:sz w:val="26"/>
      <w:lang w:val="en-AU" w:eastAsia="en-US"/>
    </w:rPr>
  </w:style>
  <w:style w:type="paragraph" w:styleId="Heading1">
    <w:name w:val="heading 1"/>
    <w:basedOn w:val="Normal"/>
    <w:next w:val="Normal"/>
    <w:link w:val="Heading1Char"/>
    <w:qFormat/>
    <w:rsid w:val="008853D5"/>
    <w:pPr>
      <w:keepNext/>
      <w:widowControl/>
      <w:spacing w:before="0" w:after="0" w:line="240" w:lineRule="auto"/>
      <w:ind w:firstLine="0"/>
      <w:jc w:val="center"/>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rPr>
      <w:sz w:val="20"/>
    </w:r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next w:val="Normal"/>
    <w:link w:val="SubtitleChar"/>
    <w:qFormat/>
    <w:pPr>
      <w:keepNext/>
      <w:keepLines/>
      <w:suppressAutoHyphens/>
      <w:spacing w:before="600" w:after="600" w:line="240" w:lineRule="auto"/>
      <w:ind w:right="4820" w:firstLine="0"/>
      <w:jc w:val="left"/>
    </w:pPr>
    <w:rPr>
      <w:b/>
    </w:rPr>
  </w:style>
  <w:style w:type="paragraph" w:styleId="Signature">
    <w:name w:val="Signature"/>
    <w:basedOn w:val="Normal"/>
    <w:next w:val="EnvelopeReturn"/>
    <w:pPr>
      <w:keepNext/>
      <w:keepLines/>
      <w:tabs>
        <w:tab w:val="right" w:pos="9072"/>
      </w:tabs>
      <w:suppressAutoHyphens/>
      <w:spacing w:before="600" w:after="0" w:line="240" w:lineRule="auto"/>
      <w:jc w:val="left"/>
    </w:pPr>
  </w:style>
  <w:style w:type="paragraph" w:styleId="EnvelopeAddress">
    <w:name w:val="envelope address"/>
    <w:basedOn w:val="Normal"/>
    <w:next w:val="Subtitle"/>
    <w:pPr>
      <w:keepNext/>
      <w:keepLines/>
      <w:spacing w:line="240" w:lineRule="auto"/>
      <w:ind w:left="5103" w:firstLine="0"/>
      <w:jc w:val="left"/>
    </w:pPr>
  </w:style>
  <w:style w:type="paragraph" w:styleId="EnvelopeReturn">
    <w:name w:val="envelope return"/>
    <w:basedOn w:val="Normal"/>
    <w:pPr>
      <w:keepLines/>
      <w:spacing w:before="600" w:after="0" w:line="240" w:lineRule="auto"/>
      <w:ind w:firstLine="0"/>
      <w:jc w:val="left"/>
    </w:pPr>
  </w:style>
  <w:style w:type="paragraph" w:styleId="Date">
    <w:name w:val="Date"/>
    <w:basedOn w:val="Normal"/>
    <w:next w:val="Subtitle"/>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pPr>
      <w:keepNext/>
      <w:keepLines/>
      <w:ind w:left="1134" w:hanging="1134"/>
      <w:jc w:val="left"/>
    </w:pPr>
  </w:style>
  <w:style w:type="paragraph" w:customStyle="1" w:styleId="Vstulesdatumsunnumurs">
    <w:name w:val="Vçstules datums un numurs"/>
    <w:basedOn w:val="Normal"/>
    <w:next w:val="EnvelopeAddress"/>
    <w:pPr>
      <w:keepNext/>
      <w:keepLines/>
      <w:suppressAutoHyphens/>
      <w:spacing w:line="240" w:lineRule="auto"/>
      <w:ind w:right="4820" w:firstLine="0"/>
      <w:jc w:val="left"/>
    </w:pPr>
  </w:style>
  <w:style w:type="character" w:customStyle="1" w:styleId="HeaderChar">
    <w:name w:val="Header Char"/>
    <w:link w:val="Header"/>
    <w:uiPriority w:val="99"/>
    <w:rsid w:val="0069464A"/>
    <w:rPr>
      <w:sz w:val="26"/>
      <w:lang w:val="en-AU" w:eastAsia="en-US"/>
    </w:rPr>
  </w:style>
  <w:style w:type="table" w:styleId="TableGrid">
    <w:name w:val="Table Grid"/>
    <w:basedOn w:val="TableNormal"/>
    <w:rsid w:val="00CA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53D5"/>
    <w:rPr>
      <w:sz w:val="28"/>
      <w:szCs w:val="24"/>
      <w:lang w:val="en-AU" w:eastAsia="en-US"/>
    </w:rPr>
  </w:style>
  <w:style w:type="character" w:customStyle="1" w:styleId="SubtitleChar">
    <w:name w:val="Subtitle Char"/>
    <w:link w:val="Subtitle"/>
    <w:rsid w:val="008853D5"/>
    <w:rPr>
      <w:b/>
      <w:sz w:val="26"/>
      <w:lang w:val="en-AU" w:eastAsia="en-US"/>
    </w:rPr>
  </w:style>
  <w:style w:type="character" w:styleId="Hyperlink">
    <w:name w:val="Hyperlink"/>
    <w:basedOn w:val="DefaultParagraphFont"/>
    <w:uiPriority w:val="99"/>
    <w:rsid w:val="00257350"/>
    <w:rPr>
      <w:color w:val="0000FF" w:themeColor="hyperlink"/>
      <w:u w:val="single"/>
    </w:rPr>
  </w:style>
  <w:style w:type="paragraph" w:styleId="BalloonText">
    <w:name w:val="Balloon Text"/>
    <w:basedOn w:val="Normal"/>
    <w:link w:val="BalloonTextChar"/>
    <w:semiHidden/>
    <w:unhideWhenUsed/>
    <w:rsid w:val="00536CA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6CAD"/>
    <w:rPr>
      <w:rFonts w:ascii="Segoe UI" w:hAnsi="Segoe UI" w:cs="Segoe UI"/>
      <w:sz w:val="18"/>
      <w:szCs w:val="18"/>
      <w:lang w:val="en-AU" w:eastAsia="en-US"/>
    </w:rPr>
  </w:style>
  <w:style w:type="paragraph" w:styleId="ListParagraph">
    <w:name w:val="List Paragraph"/>
    <w:basedOn w:val="Normal"/>
    <w:uiPriority w:val="34"/>
    <w:qFormat/>
    <w:rsid w:val="004653BE"/>
    <w:pPr>
      <w:ind w:left="720"/>
      <w:contextualSpacing/>
    </w:pPr>
  </w:style>
  <w:style w:type="paragraph" w:styleId="FootnoteText">
    <w:name w:val="footnote text"/>
    <w:basedOn w:val="Normal"/>
    <w:link w:val="FootnoteTextChar"/>
    <w:uiPriority w:val="99"/>
    <w:unhideWhenUsed/>
    <w:qFormat/>
    <w:rsid w:val="00CD4DD0"/>
    <w:pPr>
      <w:spacing w:before="0" w:after="0" w:line="240" w:lineRule="auto"/>
    </w:pPr>
    <w:rPr>
      <w:sz w:val="20"/>
    </w:rPr>
  </w:style>
  <w:style w:type="character" w:customStyle="1" w:styleId="FootnoteTextChar">
    <w:name w:val="Footnote Text Char"/>
    <w:basedOn w:val="DefaultParagraphFont"/>
    <w:link w:val="FootnoteText"/>
    <w:uiPriority w:val="99"/>
    <w:rsid w:val="00CD4DD0"/>
    <w:rPr>
      <w:lang w:val="en-AU" w:eastAsia="en-US"/>
    </w:rPr>
  </w:style>
  <w:style w:type="character" w:styleId="FootnoteReference">
    <w:name w:val="footnote reference"/>
    <w:basedOn w:val="DefaultParagraphFont"/>
    <w:uiPriority w:val="99"/>
    <w:unhideWhenUsed/>
    <w:rsid w:val="00CD4DD0"/>
    <w:rPr>
      <w:vertAlign w:val="superscript"/>
    </w:rPr>
  </w:style>
  <w:style w:type="paragraph" w:styleId="NoSpacing">
    <w:name w:val="No Spacing"/>
    <w:uiPriority w:val="1"/>
    <w:qFormat/>
    <w:rsid w:val="00A70225"/>
    <w:rPr>
      <w:rFonts w:ascii="Arial" w:eastAsiaTheme="minorHAnsi" w:hAnsi="Arial" w:cstheme="minorBidi"/>
      <w:szCs w:val="24"/>
      <w:lang w:eastAsia="en-US"/>
    </w:rPr>
  </w:style>
  <w:style w:type="character" w:customStyle="1" w:styleId="FooterChar">
    <w:name w:val="Footer Char"/>
    <w:basedOn w:val="DefaultParagraphFont"/>
    <w:link w:val="Footer"/>
    <w:uiPriority w:val="99"/>
    <w:rsid w:val="00636D69"/>
    <w:rPr>
      <w:sz w:val="26"/>
      <w:lang w:val="en-AU" w:eastAsia="en-US"/>
    </w:rPr>
  </w:style>
  <w:style w:type="character" w:styleId="CommentReference">
    <w:name w:val="annotation reference"/>
    <w:basedOn w:val="DefaultParagraphFont"/>
    <w:semiHidden/>
    <w:unhideWhenUsed/>
    <w:rsid w:val="0076387C"/>
    <w:rPr>
      <w:sz w:val="16"/>
      <w:szCs w:val="16"/>
    </w:rPr>
  </w:style>
  <w:style w:type="paragraph" w:styleId="CommentText">
    <w:name w:val="annotation text"/>
    <w:basedOn w:val="Normal"/>
    <w:link w:val="CommentTextChar"/>
    <w:semiHidden/>
    <w:unhideWhenUsed/>
    <w:rsid w:val="0076387C"/>
    <w:pPr>
      <w:spacing w:line="240" w:lineRule="auto"/>
    </w:pPr>
    <w:rPr>
      <w:sz w:val="20"/>
    </w:rPr>
  </w:style>
  <w:style w:type="character" w:customStyle="1" w:styleId="CommentTextChar">
    <w:name w:val="Comment Text Char"/>
    <w:basedOn w:val="DefaultParagraphFont"/>
    <w:link w:val="CommentText"/>
    <w:semiHidden/>
    <w:rsid w:val="0076387C"/>
    <w:rPr>
      <w:lang w:val="en-AU" w:eastAsia="en-US"/>
    </w:rPr>
  </w:style>
  <w:style w:type="paragraph" w:styleId="CommentSubject">
    <w:name w:val="annotation subject"/>
    <w:basedOn w:val="CommentText"/>
    <w:next w:val="CommentText"/>
    <w:link w:val="CommentSubjectChar"/>
    <w:semiHidden/>
    <w:unhideWhenUsed/>
    <w:rsid w:val="0076387C"/>
    <w:rPr>
      <w:b/>
      <w:bCs/>
    </w:rPr>
  </w:style>
  <w:style w:type="character" w:customStyle="1" w:styleId="CommentSubjectChar">
    <w:name w:val="Comment Subject Char"/>
    <w:basedOn w:val="CommentTextChar"/>
    <w:link w:val="CommentSubject"/>
    <w:semiHidden/>
    <w:rsid w:val="0076387C"/>
    <w:rPr>
      <w:b/>
      <w:bCs/>
      <w:lang w:val="en-AU" w:eastAsia="en-US"/>
    </w:rPr>
  </w:style>
  <w:style w:type="character" w:styleId="FollowedHyperlink">
    <w:name w:val="FollowedHyperlink"/>
    <w:basedOn w:val="DefaultParagraphFont"/>
    <w:semiHidden/>
    <w:unhideWhenUsed/>
    <w:rsid w:val="00552B99"/>
    <w:rPr>
      <w:color w:val="800080" w:themeColor="followedHyperlink"/>
      <w:u w:val="single"/>
    </w:rPr>
  </w:style>
  <w:style w:type="paragraph" w:customStyle="1" w:styleId="tv213">
    <w:name w:val="tv213"/>
    <w:basedOn w:val="Normal"/>
    <w:rsid w:val="00867F14"/>
    <w:pPr>
      <w:widowControl/>
      <w:spacing w:before="100" w:beforeAutospacing="1" w:after="100" w:afterAutospacing="1" w:line="240" w:lineRule="auto"/>
      <w:ind w:firstLine="0"/>
      <w:jc w:val="left"/>
    </w:pPr>
    <w:rPr>
      <w:sz w:val="24"/>
      <w:szCs w:val="24"/>
      <w:lang w:val="lv-LV" w:eastAsia="lv-LV"/>
    </w:rPr>
  </w:style>
  <w:style w:type="paragraph" w:styleId="BodyTextIndent">
    <w:name w:val="Body Text Indent"/>
    <w:basedOn w:val="Normal"/>
    <w:link w:val="BodyTextIndentChar"/>
    <w:uiPriority w:val="99"/>
    <w:unhideWhenUsed/>
    <w:rsid w:val="00D4616C"/>
    <w:pPr>
      <w:widowControl/>
      <w:spacing w:before="120" w:after="120" w:line="240" w:lineRule="auto"/>
      <w:ind w:left="283" w:firstLine="0"/>
      <w:jc w:val="left"/>
    </w:pPr>
    <w:rPr>
      <w:sz w:val="20"/>
      <w:lang w:val="lv-LV"/>
    </w:rPr>
  </w:style>
  <w:style w:type="character" w:customStyle="1" w:styleId="BodyTextIndentChar">
    <w:name w:val="Body Text Indent Char"/>
    <w:basedOn w:val="DefaultParagraphFont"/>
    <w:link w:val="BodyTextIndent"/>
    <w:uiPriority w:val="99"/>
    <w:rsid w:val="00D461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7668">
      <w:bodyDiv w:val="1"/>
      <w:marLeft w:val="0"/>
      <w:marRight w:val="0"/>
      <w:marTop w:val="0"/>
      <w:marBottom w:val="0"/>
      <w:divBdr>
        <w:top w:val="none" w:sz="0" w:space="0" w:color="auto"/>
        <w:left w:val="none" w:sz="0" w:space="0" w:color="auto"/>
        <w:bottom w:val="none" w:sz="0" w:space="0" w:color="auto"/>
        <w:right w:val="none" w:sz="0" w:space="0" w:color="auto"/>
      </w:divBdr>
    </w:div>
    <w:div w:id="376011499">
      <w:bodyDiv w:val="1"/>
      <w:marLeft w:val="0"/>
      <w:marRight w:val="0"/>
      <w:marTop w:val="0"/>
      <w:marBottom w:val="0"/>
      <w:divBdr>
        <w:top w:val="none" w:sz="0" w:space="0" w:color="auto"/>
        <w:left w:val="none" w:sz="0" w:space="0" w:color="auto"/>
        <w:bottom w:val="none" w:sz="0" w:space="0" w:color="auto"/>
        <w:right w:val="none" w:sz="0" w:space="0" w:color="auto"/>
      </w:divBdr>
    </w:div>
    <w:div w:id="5249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esktop\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90FC-973C-4DEF-9265-AF80981E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Veidlapa.dotx</Template>
  <TotalTime>74</TotalTime>
  <Pages>8</Pages>
  <Words>2460</Words>
  <Characters>17546</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___</vt:lpstr>
    </vt:vector>
  </TitlesOfParts>
  <Company>Ministry of Economy</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
  <dc:creator>MisirovsR</dc:creator>
  <cp:keywords/>
  <dc:description/>
  <cp:lastModifiedBy>Agnese Bugaja</cp:lastModifiedBy>
  <cp:revision>11</cp:revision>
  <cp:lastPrinted>2020-01-17T10:42:00Z</cp:lastPrinted>
  <dcterms:created xsi:type="dcterms:W3CDTF">2020-01-23T07:20:00Z</dcterms:created>
  <dcterms:modified xsi:type="dcterms:W3CDTF">2020-01-24T13:51:00Z</dcterms:modified>
</cp:coreProperties>
</file>