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1CF" w:rsidRPr="00855461" w:rsidRDefault="00C061CF" w:rsidP="00C061CF">
      <w:pPr>
        <w:pStyle w:val="naislab"/>
        <w:spacing w:before="0" w:after="0"/>
        <w:ind w:firstLine="720"/>
        <w:rPr>
          <w:sz w:val="28"/>
          <w:szCs w:val="28"/>
        </w:rPr>
      </w:pPr>
    </w:p>
    <w:p w:rsidR="00C061CF" w:rsidRPr="00855461" w:rsidRDefault="00C061CF" w:rsidP="00C061CF">
      <w:pPr>
        <w:pStyle w:val="naisnod"/>
        <w:spacing w:before="0" w:after="0"/>
        <w:ind w:firstLine="720"/>
        <w:rPr>
          <w:sz w:val="28"/>
          <w:szCs w:val="28"/>
        </w:rPr>
      </w:pPr>
      <w:r w:rsidRPr="00855461">
        <w:rPr>
          <w:sz w:val="28"/>
          <w:szCs w:val="28"/>
        </w:rPr>
        <w:t>Izziņa par atzinumos sniegtajiem iebildumiem</w:t>
      </w:r>
    </w:p>
    <w:p w:rsidR="00C061CF" w:rsidRPr="00855461" w:rsidRDefault="00C061CF" w:rsidP="00C061CF">
      <w:pPr>
        <w:pStyle w:val="naisf"/>
        <w:spacing w:before="0" w:after="0"/>
        <w:ind w:firstLine="720"/>
      </w:pPr>
    </w:p>
    <w:tbl>
      <w:tblPr>
        <w:tblW w:w="0" w:type="auto"/>
        <w:jc w:val="center"/>
        <w:tblLook w:val="00A0" w:firstRow="1" w:lastRow="0" w:firstColumn="1" w:lastColumn="0" w:noHBand="0" w:noVBand="0"/>
      </w:tblPr>
      <w:tblGrid>
        <w:gridCol w:w="10188"/>
      </w:tblGrid>
      <w:tr w:rsidR="00C061CF" w:rsidRPr="00855461" w:rsidTr="000E764C">
        <w:trPr>
          <w:jc w:val="center"/>
        </w:trPr>
        <w:tc>
          <w:tcPr>
            <w:tcW w:w="10188" w:type="dxa"/>
            <w:tcBorders>
              <w:bottom w:val="single" w:sz="6" w:space="0" w:color="000000"/>
            </w:tcBorders>
          </w:tcPr>
          <w:p w:rsidR="00C061CF" w:rsidRPr="00855461" w:rsidRDefault="00C061CF" w:rsidP="0046004C">
            <w:pPr>
              <w:ind w:firstLine="720"/>
              <w:jc w:val="center"/>
            </w:pPr>
            <w:r w:rsidRPr="00855461">
              <w:t xml:space="preserve">Par </w:t>
            </w:r>
            <w:r w:rsidR="0046004C" w:rsidRPr="0046004C">
              <w:t>Ministru kabineta noteikumu projekt</w:t>
            </w:r>
            <w:r w:rsidR="0046004C">
              <w:t>u</w:t>
            </w:r>
            <w:r w:rsidR="0046004C" w:rsidRPr="0046004C">
              <w:t xml:space="preserve"> “Noteikumi par izložu un azartspēļu nodokļa pārskatu veidlapu paraugiem un to aizpildīšanas kārtību” </w:t>
            </w:r>
            <w:r w:rsidR="00A664D6">
              <w:t xml:space="preserve">(turpmāk – noteikumu projekts) </w:t>
            </w:r>
            <w:r w:rsidR="00BE17CB">
              <w:t>(VSS-</w:t>
            </w:r>
            <w:r w:rsidR="0046004C">
              <w:t>971</w:t>
            </w:r>
            <w:r w:rsidR="00BE17CB">
              <w:t>)</w:t>
            </w:r>
          </w:p>
        </w:tc>
      </w:tr>
    </w:tbl>
    <w:p w:rsidR="00C061CF" w:rsidRPr="00855461" w:rsidRDefault="00C061CF" w:rsidP="00C061CF">
      <w:pPr>
        <w:pStyle w:val="naisc"/>
        <w:spacing w:before="0" w:after="0"/>
        <w:ind w:firstLine="1080"/>
      </w:pPr>
      <w:r w:rsidRPr="00855461">
        <w:t>(dokumenta veids un nosaukums)</w:t>
      </w:r>
    </w:p>
    <w:p w:rsidR="00C061CF" w:rsidRPr="00855461" w:rsidRDefault="00C061CF" w:rsidP="00C061CF">
      <w:pPr>
        <w:pStyle w:val="naisf"/>
        <w:spacing w:before="0" w:after="0"/>
        <w:ind w:firstLine="720"/>
      </w:pPr>
    </w:p>
    <w:p w:rsidR="00C061CF" w:rsidRPr="00855461" w:rsidRDefault="00C061CF" w:rsidP="00C061CF">
      <w:pPr>
        <w:pStyle w:val="naisf"/>
        <w:spacing w:before="0" w:after="0"/>
        <w:ind w:firstLine="0"/>
        <w:jc w:val="center"/>
        <w:rPr>
          <w:b/>
        </w:rPr>
      </w:pPr>
      <w:r w:rsidRPr="00855461">
        <w:rPr>
          <w:b/>
        </w:rPr>
        <w:t>I. Jautājumi, par kuriem saskaņošanā vienošanās nav panākta</w:t>
      </w:r>
    </w:p>
    <w:p w:rsidR="00C061CF" w:rsidRPr="00855461" w:rsidRDefault="00C061CF" w:rsidP="00C061CF">
      <w:pPr>
        <w:pStyle w:val="naisf"/>
        <w:spacing w:before="0" w:after="0"/>
        <w:ind w:firstLine="720"/>
      </w:pPr>
    </w:p>
    <w:tbl>
      <w:tblPr>
        <w:tblW w:w="1456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235"/>
        <w:gridCol w:w="3686"/>
        <w:gridCol w:w="4252"/>
        <w:gridCol w:w="1276"/>
        <w:gridCol w:w="2409"/>
      </w:tblGrid>
      <w:tr w:rsidR="00C061CF" w:rsidRPr="00855461" w:rsidTr="00982624">
        <w:tc>
          <w:tcPr>
            <w:tcW w:w="708" w:type="dxa"/>
            <w:tcBorders>
              <w:top w:val="single" w:sz="6" w:space="0" w:color="000000"/>
              <w:left w:val="single" w:sz="6" w:space="0" w:color="000000"/>
              <w:bottom w:val="single" w:sz="6" w:space="0" w:color="000000"/>
              <w:right w:val="single" w:sz="6" w:space="0" w:color="000000"/>
            </w:tcBorders>
            <w:vAlign w:val="center"/>
          </w:tcPr>
          <w:p w:rsidR="00C061CF" w:rsidRPr="00855461" w:rsidRDefault="00C061CF" w:rsidP="000E764C">
            <w:pPr>
              <w:pStyle w:val="naisc"/>
              <w:spacing w:before="0" w:after="0"/>
            </w:pPr>
            <w:r w:rsidRPr="00855461">
              <w:t>Nr. p.k.</w:t>
            </w:r>
          </w:p>
        </w:tc>
        <w:tc>
          <w:tcPr>
            <w:tcW w:w="2235" w:type="dxa"/>
            <w:tcBorders>
              <w:top w:val="single" w:sz="6" w:space="0" w:color="000000"/>
              <w:left w:val="single" w:sz="6" w:space="0" w:color="000000"/>
              <w:bottom w:val="single" w:sz="6" w:space="0" w:color="000000"/>
              <w:right w:val="single" w:sz="6" w:space="0" w:color="000000"/>
            </w:tcBorders>
            <w:vAlign w:val="center"/>
          </w:tcPr>
          <w:p w:rsidR="00C061CF" w:rsidRPr="00855461" w:rsidRDefault="00C061CF" w:rsidP="000E764C">
            <w:pPr>
              <w:pStyle w:val="naisc"/>
              <w:spacing w:before="0" w:after="0"/>
              <w:ind w:firstLine="12"/>
            </w:pPr>
            <w:r w:rsidRPr="00855461">
              <w:t>Saskaņošanai nosūtītā projekta redakcija (konkrēta punkta (panta) redakcija)</w:t>
            </w:r>
          </w:p>
        </w:tc>
        <w:tc>
          <w:tcPr>
            <w:tcW w:w="3686" w:type="dxa"/>
            <w:tcBorders>
              <w:top w:val="single" w:sz="6" w:space="0" w:color="000000"/>
              <w:left w:val="single" w:sz="6" w:space="0" w:color="000000"/>
              <w:bottom w:val="single" w:sz="6" w:space="0" w:color="000000"/>
              <w:right w:val="single" w:sz="6" w:space="0" w:color="000000"/>
            </w:tcBorders>
            <w:vAlign w:val="center"/>
          </w:tcPr>
          <w:p w:rsidR="00C061CF" w:rsidRPr="00855461" w:rsidRDefault="00C061CF" w:rsidP="000E764C">
            <w:pPr>
              <w:pStyle w:val="naisc"/>
              <w:spacing w:before="0" w:after="0"/>
              <w:ind w:right="3"/>
            </w:pPr>
            <w:r w:rsidRPr="00855461">
              <w:t>Atzinumā norādītais ministrijas (citas institūcijas) iebildums, kā arī saskaņošanā papildus izteiktais iebildums par projekta konkrēto punktu (pantu)</w:t>
            </w:r>
          </w:p>
        </w:tc>
        <w:tc>
          <w:tcPr>
            <w:tcW w:w="4252" w:type="dxa"/>
            <w:tcBorders>
              <w:top w:val="single" w:sz="6" w:space="0" w:color="000000"/>
              <w:left w:val="single" w:sz="6" w:space="0" w:color="000000"/>
              <w:bottom w:val="single" w:sz="6" w:space="0" w:color="000000"/>
              <w:right w:val="single" w:sz="6" w:space="0" w:color="000000"/>
            </w:tcBorders>
            <w:vAlign w:val="center"/>
          </w:tcPr>
          <w:p w:rsidR="00C061CF" w:rsidRPr="00855461" w:rsidRDefault="00C061CF" w:rsidP="000E764C">
            <w:pPr>
              <w:pStyle w:val="naisc"/>
              <w:spacing w:before="0" w:after="0"/>
              <w:ind w:firstLine="21"/>
            </w:pPr>
            <w:r w:rsidRPr="00855461">
              <w:t>Atbildīgās ministrijas pamatojums iebilduma noraidījumam</w:t>
            </w:r>
          </w:p>
        </w:tc>
        <w:tc>
          <w:tcPr>
            <w:tcW w:w="1276" w:type="dxa"/>
            <w:tcBorders>
              <w:top w:val="single" w:sz="4" w:space="0" w:color="auto"/>
              <w:left w:val="single" w:sz="4" w:space="0" w:color="auto"/>
              <w:bottom w:val="single" w:sz="4" w:space="0" w:color="auto"/>
              <w:right w:val="single" w:sz="4" w:space="0" w:color="auto"/>
            </w:tcBorders>
            <w:vAlign w:val="center"/>
          </w:tcPr>
          <w:p w:rsidR="00C061CF" w:rsidRPr="00855461" w:rsidRDefault="00C061CF" w:rsidP="000E764C">
            <w:pPr>
              <w:jc w:val="center"/>
            </w:pPr>
            <w:r w:rsidRPr="00855461">
              <w:t>Atzinuma sniedzēja uzturētais iebildums, ja tas atšķiras no atzinumā norādītā iebilduma pamatojuma</w:t>
            </w:r>
          </w:p>
        </w:tc>
        <w:tc>
          <w:tcPr>
            <w:tcW w:w="2409" w:type="dxa"/>
            <w:tcBorders>
              <w:top w:val="single" w:sz="4" w:space="0" w:color="auto"/>
              <w:left w:val="single" w:sz="4" w:space="0" w:color="auto"/>
              <w:bottom w:val="single" w:sz="4" w:space="0" w:color="auto"/>
            </w:tcBorders>
            <w:vAlign w:val="center"/>
          </w:tcPr>
          <w:p w:rsidR="00C061CF" w:rsidRPr="00855461" w:rsidRDefault="00C061CF" w:rsidP="000E764C">
            <w:pPr>
              <w:jc w:val="center"/>
            </w:pPr>
            <w:r w:rsidRPr="00855461">
              <w:t>Projekta attiecīgā punkta (panta) galīgā redakcija</w:t>
            </w:r>
          </w:p>
        </w:tc>
      </w:tr>
      <w:tr w:rsidR="00C061CF" w:rsidRPr="00855461" w:rsidTr="00982624">
        <w:tc>
          <w:tcPr>
            <w:tcW w:w="708" w:type="dxa"/>
            <w:tcBorders>
              <w:top w:val="single" w:sz="6" w:space="0" w:color="000000"/>
              <w:left w:val="single" w:sz="6" w:space="0" w:color="000000"/>
              <w:bottom w:val="single" w:sz="6" w:space="0" w:color="000000"/>
              <w:right w:val="single" w:sz="6" w:space="0" w:color="000000"/>
            </w:tcBorders>
          </w:tcPr>
          <w:p w:rsidR="00C061CF" w:rsidRPr="00855461" w:rsidRDefault="00C061CF" w:rsidP="000E764C">
            <w:pPr>
              <w:pStyle w:val="naisc"/>
              <w:spacing w:before="0" w:after="0"/>
              <w:rPr>
                <w:sz w:val="20"/>
                <w:szCs w:val="20"/>
              </w:rPr>
            </w:pPr>
            <w:r w:rsidRPr="00855461">
              <w:rPr>
                <w:sz w:val="20"/>
                <w:szCs w:val="20"/>
              </w:rPr>
              <w:t>1</w:t>
            </w:r>
          </w:p>
        </w:tc>
        <w:tc>
          <w:tcPr>
            <w:tcW w:w="2235" w:type="dxa"/>
            <w:tcBorders>
              <w:top w:val="single" w:sz="6" w:space="0" w:color="000000"/>
              <w:left w:val="single" w:sz="6" w:space="0" w:color="000000"/>
              <w:bottom w:val="single" w:sz="6" w:space="0" w:color="000000"/>
              <w:right w:val="single" w:sz="6" w:space="0" w:color="000000"/>
            </w:tcBorders>
          </w:tcPr>
          <w:p w:rsidR="00C061CF" w:rsidRPr="00855461" w:rsidRDefault="00C061CF" w:rsidP="000E764C">
            <w:pPr>
              <w:pStyle w:val="naisc"/>
              <w:spacing w:before="0" w:after="0"/>
              <w:ind w:firstLine="720"/>
              <w:rPr>
                <w:sz w:val="20"/>
                <w:szCs w:val="20"/>
              </w:rPr>
            </w:pPr>
            <w:r w:rsidRPr="00855461">
              <w:rPr>
                <w:sz w:val="20"/>
                <w:szCs w:val="20"/>
              </w:rPr>
              <w:t>2</w:t>
            </w:r>
          </w:p>
        </w:tc>
        <w:tc>
          <w:tcPr>
            <w:tcW w:w="3686" w:type="dxa"/>
            <w:tcBorders>
              <w:top w:val="single" w:sz="6" w:space="0" w:color="000000"/>
              <w:left w:val="single" w:sz="6" w:space="0" w:color="000000"/>
              <w:bottom w:val="single" w:sz="6" w:space="0" w:color="000000"/>
              <w:right w:val="single" w:sz="6" w:space="0" w:color="000000"/>
            </w:tcBorders>
          </w:tcPr>
          <w:p w:rsidR="00C061CF" w:rsidRPr="00855461" w:rsidRDefault="00C061CF" w:rsidP="000E764C">
            <w:pPr>
              <w:pStyle w:val="naisc"/>
              <w:spacing w:before="0" w:after="0"/>
              <w:ind w:firstLine="720"/>
              <w:rPr>
                <w:sz w:val="20"/>
                <w:szCs w:val="20"/>
              </w:rPr>
            </w:pPr>
            <w:r w:rsidRPr="00855461">
              <w:rPr>
                <w:sz w:val="20"/>
                <w:szCs w:val="20"/>
              </w:rPr>
              <w:t>3</w:t>
            </w:r>
          </w:p>
        </w:tc>
        <w:tc>
          <w:tcPr>
            <w:tcW w:w="4252" w:type="dxa"/>
            <w:tcBorders>
              <w:top w:val="single" w:sz="6" w:space="0" w:color="000000"/>
              <w:left w:val="single" w:sz="6" w:space="0" w:color="000000"/>
              <w:bottom w:val="single" w:sz="6" w:space="0" w:color="000000"/>
              <w:right w:val="single" w:sz="6" w:space="0" w:color="000000"/>
            </w:tcBorders>
          </w:tcPr>
          <w:p w:rsidR="00C061CF" w:rsidRPr="00855461" w:rsidRDefault="00C061CF" w:rsidP="000E764C">
            <w:pPr>
              <w:pStyle w:val="naisc"/>
              <w:spacing w:before="0" w:after="0"/>
              <w:ind w:firstLine="720"/>
              <w:rPr>
                <w:sz w:val="20"/>
                <w:szCs w:val="20"/>
              </w:rPr>
            </w:pPr>
            <w:r w:rsidRPr="00855461">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C061CF" w:rsidRPr="00855461" w:rsidRDefault="00C061CF" w:rsidP="000E764C">
            <w:pPr>
              <w:jc w:val="center"/>
              <w:rPr>
                <w:sz w:val="20"/>
                <w:szCs w:val="20"/>
              </w:rPr>
            </w:pPr>
            <w:r w:rsidRPr="00855461">
              <w:rPr>
                <w:sz w:val="20"/>
                <w:szCs w:val="20"/>
              </w:rPr>
              <w:t>5</w:t>
            </w:r>
          </w:p>
        </w:tc>
        <w:tc>
          <w:tcPr>
            <w:tcW w:w="2409" w:type="dxa"/>
            <w:tcBorders>
              <w:top w:val="single" w:sz="4" w:space="0" w:color="auto"/>
              <w:left w:val="single" w:sz="4" w:space="0" w:color="auto"/>
              <w:bottom w:val="single" w:sz="4" w:space="0" w:color="auto"/>
            </w:tcBorders>
          </w:tcPr>
          <w:p w:rsidR="00C061CF" w:rsidRPr="00855461" w:rsidRDefault="00C061CF" w:rsidP="000E764C">
            <w:pPr>
              <w:jc w:val="center"/>
              <w:rPr>
                <w:sz w:val="20"/>
                <w:szCs w:val="20"/>
              </w:rPr>
            </w:pPr>
            <w:r w:rsidRPr="00855461">
              <w:rPr>
                <w:sz w:val="20"/>
                <w:szCs w:val="20"/>
              </w:rPr>
              <w:t>6</w:t>
            </w:r>
          </w:p>
        </w:tc>
      </w:tr>
      <w:tr w:rsidR="00214EB0" w:rsidRPr="00214EB0" w:rsidTr="00982624">
        <w:trPr>
          <w:trHeight w:val="298"/>
        </w:trPr>
        <w:tc>
          <w:tcPr>
            <w:tcW w:w="708" w:type="dxa"/>
            <w:tcBorders>
              <w:top w:val="single" w:sz="4" w:space="0" w:color="auto"/>
              <w:left w:val="single" w:sz="4" w:space="0" w:color="auto"/>
              <w:right w:val="single" w:sz="4" w:space="0" w:color="auto"/>
            </w:tcBorders>
          </w:tcPr>
          <w:p w:rsidR="00C74A59" w:rsidRDefault="00C74A59" w:rsidP="00F31ACD">
            <w:pPr>
              <w:pStyle w:val="naisc"/>
              <w:spacing w:before="0" w:after="0"/>
              <w:rPr>
                <w:sz w:val="20"/>
                <w:szCs w:val="20"/>
              </w:rPr>
            </w:pPr>
          </w:p>
          <w:p w:rsidR="001A3995" w:rsidRPr="00214EB0" w:rsidRDefault="001A3995" w:rsidP="00F31ACD">
            <w:pPr>
              <w:pStyle w:val="naisc"/>
              <w:spacing w:before="0" w:after="0"/>
              <w:rPr>
                <w:sz w:val="20"/>
                <w:szCs w:val="20"/>
              </w:rPr>
            </w:pPr>
          </w:p>
        </w:tc>
        <w:tc>
          <w:tcPr>
            <w:tcW w:w="2235" w:type="dxa"/>
            <w:tcBorders>
              <w:top w:val="single" w:sz="4" w:space="0" w:color="auto"/>
              <w:left w:val="single" w:sz="4" w:space="0" w:color="auto"/>
              <w:right w:val="single" w:sz="4" w:space="0" w:color="auto"/>
            </w:tcBorders>
          </w:tcPr>
          <w:p w:rsidR="001A3995" w:rsidRPr="00BE4D07" w:rsidRDefault="001A3995" w:rsidP="00884226">
            <w:pPr>
              <w:jc w:val="both"/>
            </w:pPr>
          </w:p>
        </w:tc>
        <w:tc>
          <w:tcPr>
            <w:tcW w:w="3686" w:type="dxa"/>
            <w:tcBorders>
              <w:top w:val="single" w:sz="4" w:space="0" w:color="auto"/>
              <w:left w:val="single" w:sz="4" w:space="0" w:color="auto"/>
              <w:right w:val="single" w:sz="4" w:space="0" w:color="auto"/>
            </w:tcBorders>
          </w:tcPr>
          <w:p w:rsidR="00B0068C" w:rsidRPr="00BE4D07" w:rsidRDefault="00B0068C" w:rsidP="00C460E8">
            <w:pPr>
              <w:widowControl w:val="0"/>
              <w:ind w:left="34"/>
              <w:jc w:val="both"/>
              <w:rPr>
                <w:b/>
              </w:rPr>
            </w:pPr>
          </w:p>
        </w:tc>
        <w:tc>
          <w:tcPr>
            <w:tcW w:w="4252" w:type="dxa"/>
            <w:tcBorders>
              <w:top w:val="single" w:sz="4" w:space="0" w:color="auto"/>
              <w:left w:val="single" w:sz="4" w:space="0" w:color="auto"/>
              <w:right w:val="single" w:sz="4" w:space="0" w:color="auto"/>
            </w:tcBorders>
          </w:tcPr>
          <w:p w:rsidR="001A3995" w:rsidRPr="00BE4D07" w:rsidRDefault="001A3995" w:rsidP="001D4AB9">
            <w:pPr>
              <w:pStyle w:val="naisc"/>
              <w:jc w:val="both"/>
            </w:pPr>
          </w:p>
        </w:tc>
        <w:tc>
          <w:tcPr>
            <w:tcW w:w="1276" w:type="dxa"/>
            <w:tcBorders>
              <w:top w:val="single" w:sz="4" w:space="0" w:color="auto"/>
              <w:left w:val="single" w:sz="4" w:space="0" w:color="auto"/>
              <w:right w:val="single" w:sz="4" w:space="0" w:color="auto"/>
            </w:tcBorders>
          </w:tcPr>
          <w:p w:rsidR="00214EB0" w:rsidRPr="00BE4D07" w:rsidRDefault="00214EB0" w:rsidP="00244B0C">
            <w:pPr>
              <w:jc w:val="both"/>
              <w:rPr>
                <w:b/>
              </w:rPr>
            </w:pPr>
          </w:p>
        </w:tc>
        <w:tc>
          <w:tcPr>
            <w:tcW w:w="2409" w:type="dxa"/>
            <w:tcBorders>
              <w:top w:val="single" w:sz="4" w:space="0" w:color="auto"/>
              <w:left w:val="single" w:sz="4" w:space="0" w:color="auto"/>
              <w:right w:val="single" w:sz="4" w:space="0" w:color="auto"/>
            </w:tcBorders>
          </w:tcPr>
          <w:p w:rsidR="00982624" w:rsidRPr="00BE4D07" w:rsidRDefault="00982624" w:rsidP="003567E5">
            <w:pPr>
              <w:jc w:val="both"/>
            </w:pPr>
          </w:p>
        </w:tc>
      </w:tr>
    </w:tbl>
    <w:p w:rsidR="00E37190" w:rsidRPr="00855461" w:rsidRDefault="00E37190" w:rsidP="00E37190">
      <w:pPr>
        <w:pStyle w:val="naisf"/>
        <w:spacing w:before="0" w:after="0"/>
        <w:ind w:firstLine="0"/>
      </w:pPr>
    </w:p>
    <w:p w:rsidR="00C061CF" w:rsidRDefault="00C061CF" w:rsidP="00C061CF">
      <w:pPr>
        <w:pStyle w:val="naisf"/>
        <w:spacing w:before="0" w:after="0"/>
        <w:ind w:firstLine="0"/>
        <w:rPr>
          <w:b/>
        </w:rPr>
      </w:pPr>
      <w:r w:rsidRPr="00855461">
        <w:rPr>
          <w:b/>
        </w:rPr>
        <w:t>Informācija par starpministriju</w:t>
      </w:r>
      <w:bookmarkStart w:id="0" w:name="_GoBack"/>
      <w:bookmarkEnd w:id="0"/>
      <w:r w:rsidRPr="00855461">
        <w:rPr>
          <w:b/>
        </w:rPr>
        <w:t xml:space="preserve"> (starpinstitūciju) sanāksmi vai elektronisko saskaņošanu</w:t>
      </w:r>
    </w:p>
    <w:p w:rsidR="00A54AEC" w:rsidRPr="00855461" w:rsidRDefault="00A54AEC" w:rsidP="00C061CF">
      <w:pPr>
        <w:pStyle w:val="naisf"/>
        <w:spacing w:before="0" w:after="0"/>
        <w:ind w:firstLine="0"/>
        <w:rPr>
          <w:b/>
        </w:rPr>
      </w:pPr>
    </w:p>
    <w:tbl>
      <w:tblPr>
        <w:tblW w:w="12582" w:type="dxa"/>
        <w:tblLook w:val="00A0" w:firstRow="1" w:lastRow="0" w:firstColumn="1" w:lastColumn="0" w:noHBand="0" w:noVBand="0"/>
      </w:tblPr>
      <w:tblGrid>
        <w:gridCol w:w="6345"/>
        <w:gridCol w:w="363"/>
        <w:gridCol w:w="840"/>
        <w:gridCol w:w="5034"/>
      </w:tblGrid>
      <w:tr w:rsidR="00C061CF" w:rsidRPr="00855461" w:rsidTr="000E764C">
        <w:tc>
          <w:tcPr>
            <w:tcW w:w="6345" w:type="dxa"/>
          </w:tcPr>
          <w:p w:rsidR="00C061CF" w:rsidRPr="00855461" w:rsidRDefault="00C061CF" w:rsidP="000E764C">
            <w:pPr>
              <w:pStyle w:val="naisf"/>
              <w:spacing w:before="0" w:after="0"/>
              <w:ind w:firstLine="0"/>
            </w:pPr>
            <w:r w:rsidRPr="00855461">
              <w:t>Datums</w:t>
            </w:r>
          </w:p>
        </w:tc>
        <w:tc>
          <w:tcPr>
            <w:tcW w:w="6237" w:type="dxa"/>
            <w:gridSpan w:val="3"/>
            <w:tcBorders>
              <w:bottom w:val="single" w:sz="4" w:space="0" w:color="auto"/>
            </w:tcBorders>
          </w:tcPr>
          <w:p w:rsidR="00C061CF" w:rsidRPr="00590BB2" w:rsidRDefault="00B16A42" w:rsidP="0046004C">
            <w:pPr>
              <w:pStyle w:val="NormalWeb"/>
              <w:spacing w:before="0" w:beforeAutospacing="0" w:after="0" w:afterAutospacing="0"/>
              <w:ind w:firstLine="720"/>
              <w:rPr>
                <w:b/>
              </w:rPr>
            </w:pPr>
            <w:r>
              <w:t>1</w:t>
            </w:r>
            <w:r w:rsidR="0046004C">
              <w:t>8</w:t>
            </w:r>
            <w:r w:rsidR="007748F1">
              <w:t>.</w:t>
            </w:r>
            <w:r w:rsidR="0046004C">
              <w:t>10</w:t>
            </w:r>
            <w:r w:rsidR="007748F1">
              <w:t>.201</w:t>
            </w:r>
            <w:r>
              <w:t>9</w:t>
            </w:r>
            <w:r w:rsidR="007748F1">
              <w:t>.</w:t>
            </w:r>
          </w:p>
        </w:tc>
      </w:tr>
      <w:tr w:rsidR="00C061CF" w:rsidRPr="00855461" w:rsidTr="000E764C">
        <w:tc>
          <w:tcPr>
            <w:tcW w:w="6345" w:type="dxa"/>
          </w:tcPr>
          <w:p w:rsidR="00C061CF" w:rsidRPr="00855461" w:rsidRDefault="00C061CF" w:rsidP="000E764C">
            <w:pPr>
              <w:pStyle w:val="naisf"/>
              <w:spacing w:before="0" w:after="0"/>
              <w:ind w:firstLine="0"/>
            </w:pPr>
          </w:p>
        </w:tc>
        <w:tc>
          <w:tcPr>
            <w:tcW w:w="6237" w:type="dxa"/>
            <w:gridSpan w:val="3"/>
            <w:tcBorders>
              <w:top w:val="single" w:sz="4" w:space="0" w:color="auto"/>
            </w:tcBorders>
          </w:tcPr>
          <w:p w:rsidR="00C061CF" w:rsidRPr="00855461" w:rsidRDefault="00C061CF" w:rsidP="000E764C">
            <w:pPr>
              <w:pStyle w:val="NormalWeb"/>
              <w:spacing w:before="0" w:beforeAutospacing="0" w:after="0" w:afterAutospacing="0"/>
              <w:ind w:firstLine="720"/>
              <w:rPr>
                <w:b/>
              </w:rPr>
            </w:pPr>
          </w:p>
        </w:tc>
      </w:tr>
      <w:tr w:rsidR="00C061CF" w:rsidRPr="00855461" w:rsidTr="000E764C">
        <w:tc>
          <w:tcPr>
            <w:tcW w:w="6345" w:type="dxa"/>
          </w:tcPr>
          <w:p w:rsidR="00C061CF" w:rsidRPr="00855461" w:rsidRDefault="00C061CF" w:rsidP="000E764C">
            <w:pPr>
              <w:pStyle w:val="naiskr"/>
              <w:spacing w:before="0" w:after="0"/>
            </w:pPr>
            <w:r w:rsidRPr="00855461">
              <w:t>Saskaņošanas dalībnieki</w:t>
            </w:r>
          </w:p>
        </w:tc>
        <w:tc>
          <w:tcPr>
            <w:tcW w:w="6237" w:type="dxa"/>
            <w:gridSpan w:val="3"/>
          </w:tcPr>
          <w:p w:rsidR="00C061CF" w:rsidRPr="00855461" w:rsidRDefault="003F4C96" w:rsidP="00791DA2">
            <w:pPr>
              <w:pStyle w:val="NormalWeb"/>
              <w:spacing w:before="0" w:beforeAutospacing="0" w:after="0" w:afterAutospacing="0"/>
              <w:jc w:val="both"/>
            </w:pPr>
            <w:r w:rsidRPr="00855461">
              <w:t xml:space="preserve">Tieslietu ministrija, </w:t>
            </w:r>
            <w:r w:rsidR="00A54AEC">
              <w:t>Vides aizsardzības un reģionālās attīstības ministrija, Latvijas Tirdzniecības un rūpniecības kamera, Latvijas Brīvo arodbiedrību savienība, Latvijas Darba devēju konfederācija, Latvijas Spēļu biznesa asociācija un Latvijas interaktīvo azartspēļu biedrība.</w:t>
            </w:r>
          </w:p>
        </w:tc>
      </w:tr>
      <w:tr w:rsidR="00C061CF" w:rsidRPr="00855461" w:rsidTr="000E764C">
        <w:trPr>
          <w:trHeight w:val="285"/>
        </w:trPr>
        <w:tc>
          <w:tcPr>
            <w:tcW w:w="6345" w:type="dxa"/>
          </w:tcPr>
          <w:p w:rsidR="00C061CF" w:rsidRPr="00855461" w:rsidRDefault="00C061CF" w:rsidP="000E764C">
            <w:pPr>
              <w:pStyle w:val="naiskr"/>
              <w:spacing w:before="0" w:after="0"/>
            </w:pPr>
          </w:p>
        </w:tc>
        <w:tc>
          <w:tcPr>
            <w:tcW w:w="1203" w:type="dxa"/>
            <w:gridSpan w:val="2"/>
          </w:tcPr>
          <w:p w:rsidR="00C061CF" w:rsidRPr="00855461" w:rsidRDefault="00C061CF" w:rsidP="000E764C">
            <w:pPr>
              <w:pStyle w:val="naiskr"/>
              <w:spacing w:before="0" w:after="0"/>
              <w:ind w:firstLine="720"/>
            </w:pPr>
          </w:p>
        </w:tc>
        <w:tc>
          <w:tcPr>
            <w:tcW w:w="5034" w:type="dxa"/>
          </w:tcPr>
          <w:p w:rsidR="00C061CF" w:rsidRPr="00855461" w:rsidRDefault="00C061CF" w:rsidP="000E764C">
            <w:pPr>
              <w:pStyle w:val="naiskr"/>
              <w:spacing w:before="0" w:after="0"/>
              <w:ind w:firstLine="12"/>
            </w:pPr>
          </w:p>
        </w:tc>
      </w:tr>
      <w:tr w:rsidR="00C061CF" w:rsidRPr="00855461" w:rsidTr="000E764C">
        <w:trPr>
          <w:trHeight w:val="285"/>
        </w:trPr>
        <w:tc>
          <w:tcPr>
            <w:tcW w:w="6708" w:type="dxa"/>
            <w:gridSpan w:val="2"/>
          </w:tcPr>
          <w:p w:rsidR="00C061CF" w:rsidRPr="00855461" w:rsidRDefault="00C061CF" w:rsidP="000E764C">
            <w:pPr>
              <w:pStyle w:val="naiskr"/>
              <w:spacing w:before="0" w:after="0"/>
            </w:pPr>
            <w:r w:rsidRPr="00855461">
              <w:t>Saskaņošanas dalībnieki izskatīja šādu ministriju (citu institūciju) iebildumus</w:t>
            </w:r>
          </w:p>
        </w:tc>
        <w:tc>
          <w:tcPr>
            <w:tcW w:w="840" w:type="dxa"/>
          </w:tcPr>
          <w:p w:rsidR="00C061CF" w:rsidRPr="00855461" w:rsidRDefault="00C061CF" w:rsidP="000E764C">
            <w:pPr>
              <w:pStyle w:val="naiskr"/>
              <w:spacing w:before="0" w:after="0"/>
              <w:ind w:firstLine="720"/>
            </w:pPr>
          </w:p>
        </w:tc>
        <w:tc>
          <w:tcPr>
            <w:tcW w:w="5034" w:type="dxa"/>
          </w:tcPr>
          <w:p w:rsidR="00C061CF" w:rsidRPr="000532F8" w:rsidRDefault="00445D2E" w:rsidP="00D37164">
            <w:pPr>
              <w:pStyle w:val="naiskr"/>
              <w:spacing w:before="0" w:after="0"/>
              <w:ind w:firstLine="12"/>
            </w:pPr>
            <w:r>
              <w:t>Tieslietu ministrija</w:t>
            </w:r>
            <w:r w:rsidR="00A54AEC">
              <w:t xml:space="preserve">, </w:t>
            </w:r>
            <w:r w:rsidR="00A54AEC" w:rsidRPr="00A54AEC">
              <w:t>Vides aizsardzības un reģionālās attīstības ministrija</w:t>
            </w:r>
          </w:p>
        </w:tc>
      </w:tr>
      <w:tr w:rsidR="00C061CF" w:rsidRPr="00855461" w:rsidTr="000E764C">
        <w:trPr>
          <w:trHeight w:val="465"/>
        </w:trPr>
        <w:tc>
          <w:tcPr>
            <w:tcW w:w="6708" w:type="dxa"/>
            <w:gridSpan w:val="2"/>
          </w:tcPr>
          <w:p w:rsidR="00C061CF" w:rsidRPr="00855461" w:rsidRDefault="00C061CF" w:rsidP="000E764C">
            <w:pPr>
              <w:pStyle w:val="naiskr"/>
              <w:spacing w:before="0" w:after="0"/>
              <w:ind w:firstLine="720"/>
            </w:pPr>
          </w:p>
        </w:tc>
        <w:tc>
          <w:tcPr>
            <w:tcW w:w="5874" w:type="dxa"/>
            <w:gridSpan w:val="2"/>
            <w:tcBorders>
              <w:top w:val="single" w:sz="6" w:space="0" w:color="000000"/>
              <w:bottom w:val="single" w:sz="6" w:space="0" w:color="000000"/>
            </w:tcBorders>
          </w:tcPr>
          <w:p w:rsidR="00C061CF" w:rsidRPr="00855461" w:rsidRDefault="00C061CF" w:rsidP="00FB7EF5">
            <w:pPr>
              <w:pStyle w:val="NormalWeb"/>
              <w:spacing w:before="0" w:beforeAutospacing="0" w:after="0" w:afterAutospacing="0"/>
              <w:ind w:firstLine="720"/>
            </w:pPr>
          </w:p>
        </w:tc>
      </w:tr>
      <w:tr w:rsidR="00C061CF" w:rsidRPr="00855461" w:rsidTr="000E764C">
        <w:tc>
          <w:tcPr>
            <w:tcW w:w="6708" w:type="dxa"/>
            <w:gridSpan w:val="2"/>
          </w:tcPr>
          <w:p w:rsidR="00C061CF" w:rsidRPr="00855461" w:rsidRDefault="00C061CF" w:rsidP="000E764C">
            <w:pPr>
              <w:pStyle w:val="naiskr"/>
              <w:spacing w:before="0" w:after="0"/>
            </w:pPr>
            <w:r w:rsidRPr="00855461">
              <w:t>Ministrijas (citas institūcijas), kuras nav ieradušās uz sanāksmi vai kuras nav atbildējušas uz uzaicinājumu piedalīties elektroniskajā saskaņošanā</w:t>
            </w:r>
          </w:p>
        </w:tc>
        <w:tc>
          <w:tcPr>
            <w:tcW w:w="5874" w:type="dxa"/>
            <w:gridSpan w:val="2"/>
          </w:tcPr>
          <w:p w:rsidR="00C061CF" w:rsidRPr="00855461" w:rsidRDefault="00C061CF" w:rsidP="000E764C">
            <w:pPr>
              <w:pStyle w:val="naiskr"/>
              <w:spacing w:before="0" w:after="0"/>
              <w:ind w:firstLine="720"/>
            </w:pPr>
          </w:p>
        </w:tc>
      </w:tr>
      <w:tr w:rsidR="00C061CF" w:rsidRPr="00855461" w:rsidTr="000E764C">
        <w:tc>
          <w:tcPr>
            <w:tcW w:w="6708" w:type="dxa"/>
            <w:gridSpan w:val="2"/>
          </w:tcPr>
          <w:p w:rsidR="00C061CF" w:rsidRPr="00855461" w:rsidRDefault="00C061CF" w:rsidP="000E764C">
            <w:pPr>
              <w:pStyle w:val="naiskr"/>
              <w:spacing w:before="0" w:after="0"/>
              <w:ind w:firstLine="720"/>
            </w:pPr>
            <w:r w:rsidRPr="00855461">
              <w:t>  </w:t>
            </w:r>
          </w:p>
        </w:tc>
        <w:tc>
          <w:tcPr>
            <w:tcW w:w="5874" w:type="dxa"/>
            <w:gridSpan w:val="2"/>
            <w:tcBorders>
              <w:top w:val="single" w:sz="6" w:space="0" w:color="000000"/>
              <w:bottom w:val="single" w:sz="6" w:space="0" w:color="000000"/>
            </w:tcBorders>
          </w:tcPr>
          <w:p w:rsidR="00C061CF" w:rsidRPr="00855461" w:rsidRDefault="00C061CF" w:rsidP="000E764C">
            <w:pPr>
              <w:pStyle w:val="naiskr"/>
              <w:spacing w:before="0" w:after="0"/>
              <w:ind w:firstLine="720"/>
            </w:pPr>
          </w:p>
        </w:tc>
      </w:tr>
      <w:tr w:rsidR="00C061CF" w:rsidRPr="00855461" w:rsidTr="000E764C">
        <w:tc>
          <w:tcPr>
            <w:tcW w:w="6708" w:type="dxa"/>
            <w:gridSpan w:val="2"/>
          </w:tcPr>
          <w:p w:rsidR="00C061CF" w:rsidRPr="00855461" w:rsidRDefault="00C061CF" w:rsidP="000E764C">
            <w:pPr>
              <w:pStyle w:val="naiskr"/>
              <w:spacing w:before="0" w:after="0"/>
              <w:ind w:firstLine="720"/>
            </w:pPr>
            <w:r w:rsidRPr="00855461">
              <w:t>  </w:t>
            </w:r>
          </w:p>
        </w:tc>
        <w:tc>
          <w:tcPr>
            <w:tcW w:w="5874" w:type="dxa"/>
            <w:gridSpan w:val="2"/>
            <w:tcBorders>
              <w:bottom w:val="single" w:sz="6" w:space="0" w:color="000000"/>
            </w:tcBorders>
          </w:tcPr>
          <w:p w:rsidR="00C061CF" w:rsidRPr="00855461" w:rsidRDefault="00C061CF" w:rsidP="000E764C">
            <w:pPr>
              <w:pStyle w:val="naiskr"/>
              <w:spacing w:before="0" w:after="0"/>
              <w:ind w:firstLine="720"/>
            </w:pPr>
          </w:p>
        </w:tc>
      </w:tr>
    </w:tbl>
    <w:p w:rsidR="00C061CF" w:rsidRPr="00855461" w:rsidRDefault="00C061CF" w:rsidP="00C061CF">
      <w:pPr>
        <w:pStyle w:val="naisf"/>
        <w:spacing w:before="0" w:after="0"/>
        <w:ind w:firstLine="720"/>
      </w:pPr>
    </w:p>
    <w:p w:rsidR="00175B4F" w:rsidRDefault="00175B4F" w:rsidP="00C061CF">
      <w:pPr>
        <w:pStyle w:val="naisf"/>
        <w:spacing w:before="0" w:after="0"/>
        <w:ind w:firstLine="0"/>
        <w:jc w:val="center"/>
        <w:rPr>
          <w:b/>
        </w:rPr>
      </w:pPr>
    </w:p>
    <w:p w:rsidR="00C061CF" w:rsidRPr="00855461" w:rsidRDefault="00C061CF" w:rsidP="00C061CF">
      <w:pPr>
        <w:pStyle w:val="naisf"/>
        <w:spacing w:before="0" w:after="0"/>
        <w:ind w:firstLine="0"/>
        <w:jc w:val="center"/>
        <w:rPr>
          <w:b/>
        </w:rPr>
      </w:pPr>
      <w:r w:rsidRPr="00855461">
        <w:rPr>
          <w:b/>
        </w:rPr>
        <w:t>II. Jautājumi, par kuriem saskaņošanā vienošanās ir panākta</w:t>
      </w:r>
    </w:p>
    <w:p w:rsidR="00C061CF" w:rsidRPr="00855461" w:rsidRDefault="00C061CF" w:rsidP="00C061CF">
      <w:pPr>
        <w:pStyle w:val="naisf"/>
        <w:spacing w:before="0" w:after="0"/>
        <w:ind w:firstLine="720"/>
      </w:pP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407"/>
        <w:gridCol w:w="1137"/>
        <w:gridCol w:w="3093"/>
        <w:gridCol w:w="1949"/>
        <w:gridCol w:w="460"/>
        <w:gridCol w:w="4820"/>
      </w:tblGrid>
      <w:tr w:rsidR="00C061CF" w:rsidRPr="00855461" w:rsidTr="005549E2">
        <w:tc>
          <w:tcPr>
            <w:tcW w:w="701" w:type="dxa"/>
            <w:tcBorders>
              <w:top w:val="single" w:sz="6" w:space="0" w:color="000000"/>
              <w:left w:val="single" w:sz="6" w:space="0" w:color="000000"/>
              <w:bottom w:val="single" w:sz="6" w:space="0" w:color="000000"/>
              <w:right w:val="single" w:sz="6" w:space="0" w:color="000000"/>
            </w:tcBorders>
            <w:vAlign w:val="center"/>
          </w:tcPr>
          <w:p w:rsidR="00C061CF" w:rsidRPr="00855461" w:rsidRDefault="00C061CF" w:rsidP="000E764C">
            <w:pPr>
              <w:pStyle w:val="naisc"/>
              <w:spacing w:before="0" w:after="0"/>
            </w:pPr>
            <w:r w:rsidRPr="00855461">
              <w:t>Nr. p.k.</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rsidR="00C061CF" w:rsidRPr="00855461" w:rsidRDefault="00C061CF" w:rsidP="000E764C">
            <w:pPr>
              <w:pStyle w:val="naisc"/>
              <w:spacing w:before="0" w:after="0"/>
              <w:ind w:firstLine="12"/>
            </w:pPr>
            <w:r w:rsidRPr="00855461">
              <w:t>Saskaņošanai nosūtītā projekta redakcija (konkrēta punkta (panta) redakcija)</w:t>
            </w:r>
          </w:p>
        </w:tc>
        <w:tc>
          <w:tcPr>
            <w:tcW w:w="3093" w:type="dxa"/>
            <w:tcBorders>
              <w:top w:val="single" w:sz="6" w:space="0" w:color="000000"/>
              <w:left w:val="single" w:sz="6" w:space="0" w:color="000000"/>
              <w:bottom w:val="single" w:sz="6" w:space="0" w:color="000000"/>
              <w:right w:val="single" w:sz="6" w:space="0" w:color="000000"/>
            </w:tcBorders>
            <w:vAlign w:val="center"/>
          </w:tcPr>
          <w:p w:rsidR="00C061CF" w:rsidRPr="00855461" w:rsidRDefault="00C061CF" w:rsidP="000E764C">
            <w:pPr>
              <w:pStyle w:val="naisc"/>
              <w:spacing w:before="0" w:after="0"/>
              <w:ind w:right="3"/>
            </w:pPr>
            <w:r w:rsidRPr="00855461">
              <w:t>Atzinumā norādītais ministrijas (citas institūcijas) iebildums, kā arī saskaņošanā papildus izteiktais iebildums par projekta konkrēto punktu (pantu)</w:t>
            </w:r>
          </w:p>
        </w:tc>
        <w:tc>
          <w:tcPr>
            <w:tcW w:w="2409" w:type="dxa"/>
            <w:gridSpan w:val="2"/>
            <w:tcBorders>
              <w:top w:val="single" w:sz="6" w:space="0" w:color="000000"/>
              <w:left w:val="single" w:sz="6" w:space="0" w:color="000000"/>
              <w:bottom w:val="single" w:sz="6" w:space="0" w:color="000000"/>
              <w:right w:val="single" w:sz="6" w:space="0" w:color="000000"/>
            </w:tcBorders>
            <w:vAlign w:val="center"/>
          </w:tcPr>
          <w:p w:rsidR="00C061CF" w:rsidRPr="00855461" w:rsidRDefault="00C061CF" w:rsidP="000E764C">
            <w:pPr>
              <w:pStyle w:val="naisc"/>
              <w:spacing w:before="0" w:after="0"/>
              <w:ind w:firstLine="21"/>
            </w:pPr>
            <w:r w:rsidRPr="00855461">
              <w:t>Atbildīgās ministrijas norāde par to, ka iebildums ir ņemts vērā, vai informācija par saskaņošanā panākto alternatīvo risinājumu</w:t>
            </w:r>
          </w:p>
        </w:tc>
        <w:tc>
          <w:tcPr>
            <w:tcW w:w="4820" w:type="dxa"/>
            <w:tcBorders>
              <w:top w:val="single" w:sz="4" w:space="0" w:color="auto"/>
              <w:left w:val="single" w:sz="4" w:space="0" w:color="auto"/>
              <w:bottom w:val="single" w:sz="4" w:space="0" w:color="auto"/>
            </w:tcBorders>
            <w:vAlign w:val="center"/>
          </w:tcPr>
          <w:p w:rsidR="00C061CF" w:rsidRPr="00855461" w:rsidRDefault="00C061CF" w:rsidP="000E764C">
            <w:pPr>
              <w:jc w:val="center"/>
            </w:pPr>
            <w:r w:rsidRPr="00855461">
              <w:t>Projekta attiecīgā punkta (panta) galīgā redakcija</w:t>
            </w:r>
          </w:p>
        </w:tc>
      </w:tr>
      <w:tr w:rsidR="00C061CF" w:rsidRPr="00855461" w:rsidTr="005549E2">
        <w:tc>
          <w:tcPr>
            <w:tcW w:w="701" w:type="dxa"/>
            <w:tcBorders>
              <w:top w:val="single" w:sz="6" w:space="0" w:color="000000"/>
              <w:left w:val="single" w:sz="6" w:space="0" w:color="000000"/>
              <w:bottom w:val="single" w:sz="6" w:space="0" w:color="000000"/>
              <w:right w:val="single" w:sz="6" w:space="0" w:color="000000"/>
            </w:tcBorders>
          </w:tcPr>
          <w:p w:rsidR="00C061CF" w:rsidRPr="00855461" w:rsidRDefault="00C061CF" w:rsidP="000E764C">
            <w:pPr>
              <w:pStyle w:val="naisc"/>
              <w:spacing w:before="0" w:after="0"/>
              <w:rPr>
                <w:sz w:val="20"/>
                <w:szCs w:val="20"/>
              </w:rPr>
            </w:pPr>
            <w:r w:rsidRPr="00855461">
              <w:rPr>
                <w:sz w:val="20"/>
                <w:szCs w:val="20"/>
              </w:rPr>
              <w:t>1</w:t>
            </w:r>
          </w:p>
        </w:tc>
        <w:tc>
          <w:tcPr>
            <w:tcW w:w="3544" w:type="dxa"/>
            <w:gridSpan w:val="2"/>
            <w:tcBorders>
              <w:top w:val="single" w:sz="6" w:space="0" w:color="000000"/>
              <w:left w:val="single" w:sz="6" w:space="0" w:color="000000"/>
              <w:bottom w:val="single" w:sz="6" w:space="0" w:color="000000"/>
              <w:right w:val="single" w:sz="6" w:space="0" w:color="000000"/>
            </w:tcBorders>
          </w:tcPr>
          <w:p w:rsidR="00C061CF" w:rsidRPr="00855461" w:rsidRDefault="00C061CF" w:rsidP="000E764C">
            <w:pPr>
              <w:pStyle w:val="naisc"/>
              <w:spacing w:before="0" w:after="0"/>
              <w:ind w:firstLine="720"/>
              <w:rPr>
                <w:sz w:val="20"/>
                <w:szCs w:val="20"/>
              </w:rPr>
            </w:pPr>
            <w:r w:rsidRPr="00855461">
              <w:rPr>
                <w:sz w:val="20"/>
                <w:szCs w:val="20"/>
              </w:rPr>
              <w:t>2</w:t>
            </w:r>
          </w:p>
        </w:tc>
        <w:tc>
          <w:tcPr>
            <w:tcW w:w="3093" w:type="dxa"/>
            <w:tcBorders>
              <w:top w:val="single" w:sz="6" w:space="0" w:color="000000"/>
              <w:left w:val="single" w:sz="6" w:space="0" w:color="000000"/>
              <w:bottom w:val="single" w:sz="6" w:space="0" w:color="000000"/>
              <w:right w:val="single" w:sz="6" w:space="0" w:color="000000"/>
            </w:tcBorders>
          </w:tcPr>
          <w:p w:rsidR="00C061CF" w:rsidRPr="00855461" w:rsidRDefault="00C061CF" w:rsidP="000E764C">
            <w:pPr>
              <w:pStyle w:val="naisc"/>
              <w:spacing w:before="0" w:after="0"/>
              <w:ind w:firstLine="720"/>
              <w:rPr>
                <w:sz w:val="20"/>
                <w:szCs w:val="20"/>
              </w:rPr>
            </w:pPr>
            <w:r w:rsidRPr="00855461">
              <w:rPr>
                <w:sz w:val="20"/>
                <w:szCs w:val="20"/>
              </w:rPr>
              <w:t>3</w:t>
            </w:r>
          </w:p>
        </w:tc>
        <w:tc>
          <w:tcPr>
            <w:tcW w:w="2409" w:type="dxa"/>
            <w:gridSpan w:val="2"/>
            <w:tcBorders>
              <w:top w:val="single" w:sz="6" w:space="0" w:color="000000"/>
              <w:left w:val="single" w:sz="6" w:space="0" w:color="000000"/>
              <w:bottom w:val="single" w:sz="6" w:space="0" w:color="000000"/>
              <w:right w:val="single" w:sz="6" w:space="0" w:color="000000"/>
            </w:tcBorders>
          </w:tcPr>
          <w:p w:rsidR="00C061CF" w:rsidRPr="00855461" w:rsidRDefault="00C061CF" w:rsidP="000E764C">
            <w:pPr>
              <w:pStyle w:val="naisc"/>
              <w:spacing w:before="0" w:after="0"/>
              <w:ind w:firstLine="720"/>
              <w:rPr>
                <w:sz w:val="20"/>
                <w:szCs w:val="20"/>
              </w:rPr>
            </w:pPr>
            <w:r w:rsidRPr="00855461">
              <w:rPr>
                <w:sz w:val="20"/>
                <w:szCs w:val="20"/>
              </w:rPr>
              <w:t>4</w:t>
            </w:r>
          </w:p>
        </w:tc>
        <w:tc>
          <w:tcPr>
            <w:tcW w:w="4820" w:type="dxa"/>
            <w:tcBorders>
              <w:top w:val="single" w:sz="4" w:space="0" w:color="auto"/>
              <w:left w:val="single" w:sz="4" w:space="0" w:color="auto"/>
              <w:bottom w:val="single" w:sz="4" w:space="0" w:color="auto"/>
            </w:tcBorders>
          </w:tcPr>
          <w:p w:rsidR="00C061CF" w:rsidRPr="00855461" w:rsidRDefault="00C061CF" w:rsidP="000E764C">
            <w:pPr>
              <w:jc w:val="center"/>
              <w:rPr>
                <w:sz w:val="20"/>
                <w:szCs w:val="20"/>
              </w:rPr>
            </w:pPr>
            <w:r w:rsidRPr="00855461">
              <w:rPr>
                <w:sz w:val="20"/>
                <w:szCs w:val="20"/>
              </w:rPr>
              <w:t>5</w:t>
            </w:r>
          </w:p>
        </w:tc>
      </w:tr>
      <w:tr w:rsidR="00CB15BD" w:rsidRPr="00F73B2E" w:rsidTr="005549E2">
        <w:tc>
          <w:tcPr>
            <w:tcW w:w="701" w:type="dxa"/>
            <w:tcBorders>
              <w:top w:val="single" w:sz="6" w:space="0" w:color="000000"/>
              <w:left w:val="single" w:sz="6" w:space="0" w:color="000000"/>
              <w:bottom w:val="single" w:sz="6" w:space="0" w:color="000000"/>
              <w:right w:val="single" w:sz="6" w:space="0" w:color="000000"/>
            </w:tcBorders>
          </w:tcPr>
          <w:p w:rsidR="000318C4" w:rsidRDefault="006F3F86" w:rsidP="00CB15BD">
            <w:pPr>
              <w:pStyle w:val="naisc"/>
              <w:spacing w:before="0" w:after="0"/>
            </w:pPr>
            <w:r>
              <w:t>1.</w:t>
            </w:r>
          </w:p>
          <w:p w:rsidR="006F3F86" w:rsidRDefault="006F3F86" w:rsidP="00CB15BD">
            <w:pPr>
              <w:pStyle w:val="naisc"/>
              <w:spacing w:before="0" w:after="0"/>
            </w:pPr>
          </w:p>
          <w:p w:rsidR="006F3F86" w:rsidRDefault="006F3F86" w:rsidP="00CB15BD">
            <w:pPr>
              <w:pStyle w:val="naisc"/>
              <w:spacing w:before="0" w:after="0"/>
            </w:pPr>
          </w:p>
          <w:p w:rsidR="006F3F86" w:rsidRDefault="006F3F86" w:rsidP="00CB15BD">
            <w:pPr>
              <w:pStyle w:val="naisc"/>
              <w:spacing w:before="0" w:after="0"/>
            </w:pPr>
          </w:p>
          <w:p w:rsidR="006F3F86" w:rsidRDefault="006F3F86" w:rsidP="00CB15BD">
            <w:pPr>
              <w:pStyle w:val="naisc"/>
              <w:spacing w:before="0" w:after="0"/>
            </w:pPr>
          </w:p>
          <w:p w:rsidR="006F3F86" w:rsidRDefault="006F3F86" w:rsidP="00CB15BD">
            <w:pPr>
              <w:pStyle w:val="naisc"/>
              <w:spacing w:before="0" w:after="0"/>
            </w:pPr>
          </w:p>
          <w:p w:rsidR="006F3F86" w:rsidRDefault="006F3F86" w:rsidP="00CB15BD">
            <w:pPr>
              <w:pStyle w:val="naisc"/>
              <w:spacing w:before="0" w:after="0"/>
            </w:pPr>
          </w:p>
          <w:p w:rsidR="006F3F86" w:rsidRDefault="006F3F86" w:rsidP="00CB15BD">
            <w:pPr>
              <w:pStyle w:val="naisc"/>
              <w:spacing w:before="0" w:after="0"/>
            </w:pPr>
          </w:p>
          <w:p w:rsidR="006F3F86" w:rsidRDefault="006F3F86" w:rsidP="00CB15BD">
            <w:pPr>
              <w:pStyle w:val="naisc"/>
              <w:spacing w:before="0" w:after="0"/>
            </w:pPr>
          </w:p>
          <w:p w:rsidR="006F3F86" w:rsidRDefault="006F3F86" w:rsidP="00CB15BD">
            <w:pPr>
              <w:pStyle w:val="naisc"/>
              <w:spacing w:before="0" w:after="0"/>
            </w:pPr>
          </w:p>
          <w:p w:rsidR="006F3F86" w:rsidRDefault="006F3F86" w:rsidP="00CB15BD">
            <w:pPr>
              <w:pStyle w:val="naisc"/>
              <w:spacing w:before="0" w:after="0"/>
            </w:pPr>
          </w:p>
          <w:p w:rsidR="006F3F86" w:rsidRDefault="006F3F86" w:rsidP="00CB15BD">
            <w:pPr>
              <w:pStyle w:val="naisc"/>
              <w:spacing w:before="0" w:after="0"/>
            </w:pPr>
          </w:p>
          <w:p w:rsidR="006F3F86" w:rsidRDefault="006F3F86" w:rsidP="00CB15BD">
            <w:pPr>
              <w:pStyle w:val="naisc"/>
              <w:spacing w:before="0" w:after="0"/>
            </w:pPr>
          </w:p>
          <w:p w:rsidR="006F3F86" w:rsidRDefault="006F3F86" w:rsidP="00CB15BD">
            <w:pPr>
              <w:pStyle w:val="naisc"/>
              <w:spacing w:before="0" w:after="0"/>
            </w:pPr>
          </w:p>
          <w:p w:rsidR="006F3F86" w:rsidRDefault="006F3F86" w:rsidP="00CB15BD">
            <w:pPr>
              <w:pStyle w:val="naisc"/>
              <w:spacing w:before="0" w:after="0"/>
            </w:pPr>
          </w:p>
          <w:p w:rsidR="006F3F86" w:rsidRDefault="006F3F86" w:rsidP="00CB15BD">
            <w:pPr>
              <w:pStyle w:val="naisc"/>
              <w:spacing w:before="0" w:after="0"/>
            </w:pPr>
          </w:p>
          <w:p w:rsidR="006F3F86" w:rsidRDefault="006F3F86" w:rsidP="00CB15BD">
            <w:pPr>
              <w:pStyle w:val="naisc"/>
              <w:spacing w:before="0" w:after="0"/>
            </w:pPr>
          </w:p>
          <w:p w:rsidR="006F3F86" w:rsidRDefault="006F3F86" w:rsidP="00CB15BD">
            <w:pPr>
              <w:pStyle w:val="naisc"/>
              <w:spacing w:before="0" w:after="0"/>
            </w:pPr>
          </w:p>
          <w:p w:rsidR="006F3F86" w:rsidRDefault="006F3F86" w:rsidP="00CB15BD">
            <w:pPr>
              <w:pStyle w:val="naisc"/>
              <w:spacing w:before="0" w:after="0"/>
            </w:pPr>
          </w:p>
          <w:p w:rsidR="006F3F86" w:rsidRDefault="006F3F86" w:rsidP="00CB15BD">
            <w:pPr>
              <w:pStyle w:val="naisc"/>
              <w:spacing w:before="0" w:after="0"/>
            </w:pPr>
          </w:p>
          <w:p w:rsidR="006F3F86" w:rsidRDefault="006F3F86" w:rsidP="00CB15BD">
            <w:pPr>
              <w:pStyle w:val="naisc"/>
              <w:spacing w:before="0" w:after="0"/>
            </w:pPr>
          </w:p>
          <w:p w:rsidR="006F3F86" w:rsidRDefault="006F3F86" w:rsidP="00CB15BD">
            <w:pPr>
              <w:pStyle w:val="naisc"/>
              <w:spacing w:before="0" w:after="0"/>
            </w:pPr>
          </w:p>
          <w:p w:rsidR="006F3F86" w:rsidRDefault="006F3F86" w:rsidP="00CB15BD">
            <w:pPr>
              <w:pStyle w:val="naisc"/>
              <w:spacing w:before="0" w:after="0"/>
            </w:pPr>
          </w:p>
          <w:p w:rsidR="006F3F86" w:rsidRDefault="006F3F86" w:rsidP="00CB15BD">
            <w:pPr>
              <w:pStyle w:val="naisc"/>
              <w:spacing w:before="0" w:after="0"/>
            </w:pPr>
          </w:p>
          <w:p w:rsidR="006F3F86" w:rsidRDefault="006F3F86" w:rsidP="00CB15BD">
            <w:pPr>
              <w:pStyle w:val="naisc"/>
              <w:spacing w:before="0" w:after="0"/>
            </w:pPr>
          </w:p>
          <w:p w:rsidR="006F3F86" w:rsidRDefault="006F3F86" w:rsidP="00CB15BD">
            <w:pPr>
              <w:pStyle w:val="naisc"/>
              <w:spacing w:before="0" w:after="0"/>
            </w:pPr>
          </w:p>
          <w:p w:rsidR="006F3F86" w:rsidRDefault="006F3F86" w:rsidP="00CB15BD">
            <w:pPr>
              <w:pStyle w:val="naisc"/>
              <w:spacing w:before="0" w:after="0"/>
            </w:pPr>
          </w:p>
          <w:p w:rsidR="006F3F86" w:rsidRDefault="006F3F86" w:rsidP="00CB15BD">
            <w:pPr>
              <w:pStyle w:val="naisc"/>
              <w:spacing w:before="0" w:after="0"/>
            </w:pPr>
          </w:p>
          <w:p w:rsidR="006F3F86" w:rsidRDefault="006F3F86" w:rsidP="00CB15BD">
            <w:pPr>
              <w:pStyle w:val="naisc"/>
              <w:spacing w:before="0" w:after="0"/>
            </w:pPr>
            <w:r>
              <w:t>2.</w:t>
            </w:r>
          </w:p>
          <w:p w:rsidR="00172EEE" w:rsidRDefault="00172EEE" w:rsidP="00CB15BD">
            <w:pPr>
              <w:pStyle w:val="naisc"/>
              <w:spacing w:before="0" w:after="0"/>
            </w:pPr>
          </w:p>
          <w:p w:rsidR="00172EEE" w:rsidRDefault="00172EEE" w:rsidP="00CB15BD">
            <w:pPr>
              <w:pStyle w:val="naisc"/>
              <w:spacing w:before="0" w:after="0"/>
            </w:pPr>
          </w:p>
          <w:p w:rsidR="00172EEE" w:rsidRDefault="00172EEE" w:rsidP="00CB15BD">
            <w:pPr>
              <w:pStyle w:val="naisc"/>
              <w:spacing w:before="0" w:after="0"/>
            </w:pPr>
          </w:p>
          <w:p w:rsidR="00172EEE" w:rsidRDefault="00172EEE" w:rsidP="00CB15BD">
            <w:pPr>
              <w:pStyle w:val="naisc"/>
              <w:spacing w:before="0" w:after="0"/>
            </w:pPr>
          </w:p>
          <w:p w:rsidR="00172EEE" w:rsidRDefault="00172EEE" w:rsidP="00CB15BD">
            <w:pPr>
              <w:pStyle w:val="naisc"/>
              <w:spacing w:before="0" w:after="0"/>
            </w:pPr>
          </w:p>
          <w:p w:rsidR="00172EEE" w:rsidRDefault="00172EEE" w:rsidP="00CB15BD">
            <w:pPr>
              <w:pStyle w:val="naisc"/>
              <w:spacing w:before="0" w:after="0"/>
            </w:pPr>
          </w:p>
          <w:p w:rsidR="00172EEE" w:rsidRDefault="00172EEE" w:rsidP="00CB15BD">
            <w:pPr>
              <w:pStyle w:val="naisc"/>
              <w:spacing w:before="0" w:after="0"/>
            </w:pPr>
          </w:p>
          <w:p w:rsidR="00172EEE" w:rsidRDefault="00172EEE" w:rsidP="00CB15BD">
            <w:pPr>
              <w:pStyle w:val="naisc"/>
              <w:spacing w:before="0" w:after="0"/>
            </w:pPr>
          </w:p>
          <w:p w:rsidR="00172EEE" w:rsidRDefault="00172EEE" w:rsidP="00CB15BD">
            <w:pPr>
              <w:pStyle w:val="naisc"/>
              <w:spacing w:before="0" w:after="0"/>
            </w:pPr>
          </w:p>
          <w:p w:rsidR="00172EEE" w:rsidRDefault="00172EEE" w:rsidP="00CB15BD">
            <w:pPr>
              <w:pStyle w:val="naisc"/>
              <w:spacing w:before="0" w:after="0"/>
            </w:pPr>
          </w:p>
          <w:p w:rsidR="00172EEE" w:rsidRDefault="00172EEE" w:rsidP="00CB15BD">
            <w:pPr>
              <w:pStyle w:val="naisc"/>
              <w:spacing w:before="0" w:after="0"/>
            </w:pPr>
          </w:p>
          <w:p w:rsidR="00172EEE" w:rsidRDefault="00172EEE" w:rsidP="00CB15BD">
            <w:pPr>
              <w:pStyle w:val="naisc"/>
              <w:spacing w:before="0" w:after="0"/>
            </w:pPr>
          </w:p>
          <w:p w:rsidR="00172EEE" w:rsidRDefault="00172EEE" w:rsidP="00CB15BD">
            <w:pPr>
              <w:pStyle w:val="naisc"/>
              <w:spacing w:before="0" w:after="0"/>
            </w:pPr>
          </w:p>
          <w:p w:rsidR="00172EEE" w:rsidRDefault="00172EEE" w:rsidP="00CB15BD">
            <w:pPr>
              <w:pStyle w:val="naisc"/>
              <w:spacing w:before="0" w:after="0"/>
            </w:pPr>
          </w:p>
          <w:p w:rsidR="00172EEE" w:rsidRDefault="00172EEE" w:rsidP="00CB15BD">
            <w:pPr>
              <w:pStyle w:val="naisc"/>
              <w:spacing w:before="0" w:after="0"/>
            </w:pPr>
          </w:p>
          <w:p w:rsidR="00172EEE" w:rsidRDefault="00172EEE" w:rsidP="00CB15BD">
            <w:pPr>
              <w:pStyle w:val="naisc"/>
              <w:spacing w:before="0" w:after="0"/>
            </w:pPr>
          </w:p>
          <w:p w:rsidR="00172EEE" w:rsidRDefault="00172EEE" w:rsidP="00CB15BD">
            <w:pPr>
              <w:pStyle w:val="naisc"/>
              <w:spacing w:before="0" w:after="0"/>
            </w:pPr>
          </w:p>
          <w:p w:rsidR="00172EEE" w:rsidRDefault="00172EEE" w:rsidP="00CB15BD">
            <w:pPr>
              <w:pStyle w:val="naisc"/>
              <w:spacing w:before="0" w:after="0"/>
            </w:pPr>
          </w:p>
          <w:p w:rsidR="00172EEE" w:rsidRDefault="00172EEE" w:rsidP="00CB15BD">
            <w:pPr>
              <w:pStyle w:val="naisc"/>
              <w:spacing w:before="0" w:after="0"/>
            </w:pPr>
          </w:p>
          <w:p w:rsidR="00172EEE" w:rsidRDefault="00172EEE" w:rsidP="00CB15BD">
            <w:pPr>
              <w:pStyle w:val="naisc"/>
              <w:spacing w:before="0" w:after="0"/>
            </w:pPr>
          </w:p>
          <w:p w:rsidR="00172EEE" w:rsidRDefault="00172EEE" w:rsidP="00CB15BD">
            <w:pPr>
              <w:pStyle w:val="naisc"/>
              <w:spacing w:before="0" w:after="0"/>
            </w:pPr>
          </w:p>
          <w:p w:rsidR="00172EEE" w:rsidRDefault="00172EEE" w:rsidP="00CB15BD">
            <w:pPr>
              <w:pStyle w:val="naisc"/>
              <w:spacing w:before="0" w:after="0"/>
            </w:pPr>
          </w:p>
          <w:p w:rsidR="00172EEE" w:rsidRDefault="00172EEE" w:rsidP="00CB15BD">
            <w:pPr>
              <w:pStyle w:val="naisc"/>
              <w:spacing w:before="0" w:after="0"/>
            </w:pPr>
          </w:p>
          <w:p w:rsidR="00172EEE" w:rsidRDefault="00172EEE" w:rsidP="00CB15BD">
            <w:pPr>
              <w:pStyle w:val="naisc"/>
              <w:spacing w:before="0" w:after="0"/>
            </w:pPr>
          </w:p>
          <w:p w:rsidR="00172EEE" w:rsidRDefault="00172EEE" w:rsidP="00CB15BD">
            <w:pPr>
              <w:pStyle w:val="naisc"/>
              <w:spacing w:before="0" w:after="0"/>
            </w:pPr>
          </w:p>
          <w:p w:rsidR="00172EEE" w:rsidRDefault="00172EEE" w:rsidP="00CB15BD">
            <w:pPr>
              <w:pStyle w:val="naisc"/>
              <w:spacing w:before="0" w:after="0"/>
            </w:pPr>
          </w:p>
          <w:p w:rsidR="00172EEE" w:rsidRDefault="00172EEE" w:rsidP="00CB15BD">
            <w:pPr>
              <w:pStyle w:val="naisc"/>
              <w:spacing w:before="0" w:after="0"/>
            </w:pPr>
          </w:p>
          <w:p w:rsidR="00172EEE" w:rsidRDefault="00172EEE" w:rsidP="00CB15BD">
            <w:pPr>
              <w:pStyle w:val="naisc"/>
              <w:spacing w:before="0" w:after="0"/>
            </w:pPr>
          </w:p>
          <w:p w:rsidR="00172EEE" w:rsidRDefault="00172EEE" w:rsidP="00CB15BD">
            <w:pPr>
              <w:pStyle w:val="naisc"/>
              <w:spacing w:before="0" w:after="0"/>
            </w:pPr>
          </w:p>
          <w:p w:rsidR="00172EEE" w:rsidRDefault="00172EEE" w:rsidP="00CB15BD">
            <w:pPr>
              <w:pStyle w:val="naisc"/>
              <w:spacing w:before="0" w:after="0"/>
            </w:pPr>
          </w:p>
          <w:p w:rsidR="00172EEE" w:rsidRDefault="00172EEE" w:rsidP="00CB15BD">
            <w:pPr>
              <w:pStyle w:val="naisc"/>
              <w:spacing w:before="0" w:after="0"/>
            </w:pPr>
          </w:p>
          <w:p w:rsidR="00172EEE" w:rsidRDefault="00172EEE" w:rsidP="00CB15BD">
            <w:pPr>
              <w:pStyle w:val="naisc"/>
              <w:spacing w:before="0" w:after="0"/>
            </w:pPr>
          </w:p>
          <w:p w:rsidR="00172EEE" w:rsidRDefault="00172EEE" w:rsidP="00CB15BD">
            <w:pPr>
              <w:pStyle w:val="naisc"/>
              <w:spacing w:before="0" w:after="0"/>
            </w:pPr>
          </w:p>
          <w:p w:rsidR="00172EEE" w:rsidRDefault="00172EEE" w:rsidP="00CB15BD">
            <w:pPr>
              <w:pStyle w:val="naisc"/>
              <w:spacing w:before="0" w:after="0"/>
            </w:pPr>
          </w:p>
          <w:p w:rsidR="00172EEE" w:rsidRDefault="00172EEE" w:rsidP="00CB15BD">
            <w:pPr>
              <w:pStyle w:val="naisc"/>
              <w:spacing w:before="0" w:after="0"/>
            </w:pPr>
          </w:p>
          <w:p w:rsidR="00172EEE" w:rsidRDefault="00172EEE" w:rsidP="00CB15BD">
            <w:pPr>
              <w:pStyle w:val="naisc"/>
              <w:spacing w:before="0" w:after="0"/>
            </w:pPr>
          </w:p>
          <w:p w:rsidR="00172EEE" w:rsidRDefault="00172EEE" w:rsidP="00CB15BD">
            <w:pPr>
              <w:pStyle w:val="naisc"/>
              <w:spacing w:before="0" w:after="0"/>
            </w:pPr>
          </w:p>
          <w:p w:rsidR="00A17EC4" w:rsidRDefault="00A17EC4" w:rsidP="00CB15BD">
            <w:pPr>
              <w:pStyle w:val="naisc"/>
              <w:spacing w:before="0" w:after="0"/>
            </w:pPr>
          </w:p>
          <w:p w:rsidR="00A17EC4" w:rsidRDefault="00A17EC4" w:rsidP="00CB15BD">
            <w:pPr>
              <w:pStyle w:val="naisc"/>
              <w:spacing w:before="0" w:after="0"/>
            </w:pPr>
          </w:p>
          <w:p w:rsidR="00172EEE" w:rsidRDefault="00172EEE" w:rsidP="00CB15BD">
            <w:pPr>
              <w:pStyle w:val="naisc"/>
              <w:spacing w:before="0" w:after="0"/>
            </w:pPr>
            <w:r>
              <w:t>3.</w:t>
            </w:r>
          </w:p>
          <w:p w:rsidR="00A17EC4" w:rsidRDefault="00A17EC4" w:rsidP="00CB15BD">
            <w:pPr>
              <w:pStyle w:val="naisc"/>
              <w:spacing w:before="0" w:after="0"/>
            </w:pPr>
          </w:p>
          <w:p w:rsidR="00A17EC4" w:rsidRDefault="00A17EC4" w:rsidP="00CB15BD">
            <w:pPr>
              <w:pStyle w:val="naisc"/>
              <w:spacing w:before="0" w:after="0"/>
            </w:pPr>
          </w:p>
          <w:p w:rsidR="00A17EC4" w:rsidRDefault="00A17EC4" w:rsidP="00CB15BD">
            <w:pPr>
              <w:pStyle w:val="naisc"/>
              <w:spacing w:before="0" w:after="0"/>
            </w:pPr>
          </w:p>
          <w:p w:rsidR="00A17EC4" w:rsidRDefault="00A17EC4" w:rsidP="00CB15BD">
            <w:pPr>
              <w:pStyle w:val="naisc"/>
              <w:spacing w:before="0" w:after="0"/>
            </w:pPr>
          </w:p>
          <w:p w:rsidR="00A17EC4" w:rsidRDefault="00A17EC4" w:rsidP="00CB15BD">
            <w:pPr>
              <w:pStyle w:val="naisc"/>
              <w:spacing w:before="0" w:after="0"/>
            </w:pPr>
          </w:p>
          <w:p w:rsidR="00A17EC4" w:rsidRDefault="00A17EC4" w:rsidP="00CB15BD">
            <w:pPr>
              <w:pStyle w:val="naisc"/>
              <w:spacing w:before="0" w:after="0"/>
            </w:pPr>
          </w:p>
          <w:p w:rsidR="00A17EC4" w:rsidRDefault="00A17EC4" w:rsidP="00CB15BD">
            <w:pPr>
              <w:pStyle w:val="naisc"/>
              <w:spacing w:before="0" w:after="0"/>
            </w:pPr>
          </w:p>
          <w:p w:rsidR="00A17EC4" w:rsidRDefault="00A17EC4" w:rsidP="00CB15BD">
            <w:pPr>
              <w:pStyle w:val="naisc"/>
              <w:spacing w:before="0" w:after="0"/>
            </w:pPr>
          </w:p>
          <w:p w:rsidR="00A17EC4" w:rsidRDefault="00A17EC4" w:rsidP="00CB15BD">
            <w:pPr>
              <w:pStyle w:val="naisc"/>
              <w:spacing w:before="0" w:after="0"/>
            </w:pPr>
          </w:p>
          <w:p w:rsidR="00A17EC4" w:rsidRDefault="00A17EC4" w:rsidP="00CB15BD">
            <w:pPr>
              <w:pStyle w:val="naisc"/>
              <w:spacing w:before="0" w:after="0"/>
            </w:pPr>
          </w:p>
          <w:p w:rsidR="00A17EC4" w:rsidRDefault="00A17EC4" w:rsidP="00CB15BD">
            <w:pPr>
              <w:pStyle w:val="naisc"/>
              <w:spacing w:before="0" w:after="0"/>
            </w:pPr>
          </w:p>
          <w:p w:rsidR="00A17EC4" w:rsidRDefault="00A17EC4" w:rsidP="00CB15BD">
            <w:pPr>
              <w:pStyle w:val="naisc"/>
              <w:spacing w:before="0" w:after="0"/>
            </w:pPr>
          </w:p>
          <w:p w:rsidR="00A17EC4" w:rsidRDefault="00A17EC4" w:rsidP="00CB15BD">
            <w:pPr>
              <w:pStyle w:val="naisc"/>
              <w:spacing w:before="0" w:after="0"/>
            </w:pPr>
          </w:p>
          <w:p w:rsidR="00A17EC4" w:rsidRDefault="00A17EC4" w:rsidP="00CB15BD">
            <w:pPr>
              <w:pStyle w:val="naisc"/>
              <w:spacing w:before="0" w:after="0"/>
            </w:pPr>
          </w:p>
          <w:p w:rsidR="00A17EC4" w:rsidRDefault="00A17EC4" w:rsidP="00CB15BD">
            <w:pPr>
              <w:pStyle w:val="naisc"/>
              <w:spacing w:before="0" w:after="0"/>
            </w:pPr>
          </w:p>
          <w:p w:rsidR="00A17EC4" w:rsidRDefault="00A17EC4" w:rsidP="00CB15BD">
            <w:pPr>
              <w:pStyle w:val="naisc"/>
              <w:spacing w:before="0" w:after="0"/>
            </w:pPr>
          </w:p>
          <w:p w:rsidR="00A17EC4" w:rsidRDefault="00A17EC4" w:rsidP="00CB15BD">
            <w:pPr>
              <w:pStyle w:val="naisc"/>
              <w:spacing w:before="0" w:after="0"/>
            </w:pPr>
          </w:p>
          <w:p w:rsidR="00A17EC4" w:rsidRDefault="00A17EC4" w:rsidP="00CB15BD">
            <w:pPr>
              <w:pStyle w:val="naisc"/>
              <w:spacing w:before="0" w:after="0"/>
            </w:pPr>
          </w:p>
          <w:p w:rsidR="00A17EC4" w:rsidRDefault="00A17EC4" w:rsidP="00CB15BD">
            <w:pPr>
              <w:pStyle w:val="naisc"/>
              <w:spacing w:before="0" w:after="0"/>
            </w:pPr>
          </w:p>
          <w:p w:rsidR="00A17EC4" w:rsidRDefault="00A17EC4" w:rsidP="00CB15BD">
            <w:pPr>
              <w:pStyle w:val="naisc"/>
              <w:spacing w:before="0" w:after="0"/>
            </w:pPr>
          </w:p>
          <w:p w:rsidR="00A17EC4" w:rsidRDefault="00A17EC4" w:rsidP="00CB15BD">
            <w:pPr>
              <w:pStyle w:val="naisc"/>
              <w:spacing w:before="0" w:after="0"/>
            </w:pPr>
          </w:p>
          <w:p w:rsidR="00A17EC4" w:rsidRDefault="00A17EC4" w:rsidP="00CB15BD">
            <w:pPr>
              <w:pStyle w:val="naisc"/>
              <w:spacing w:before="0" w:after="0"/>
            </w:pPr>
          </w:p>
          <w:p w:rsidR="00A17EC4" w:rsidRDefault="00A17EC4" w:rsidP="00CB15BD">
            <w:pPr>
              <w:pStyle w:val="naisc"/>
              <w:spacing w:before="0" w:after="0"/>
            </w:pPr>
          </w:p>
          <w:p w:rsidR="00A17EC4" w:rsidRDefault="00A17EC4" w:rsidP="00CB15BD">
            <w:pPr>
              <w:pStyle w:val="naisc"/>
              <w:spacing w:before="0" w:after="0"/>
            </w:pPr>
          </w:p>
          <w:p w:rsidR="00A17EC4" w:rsidRDefault="00A17EC4" w:rsidP="00CB15BD">
            <w:pPr>
              <w:pStyle w:val="naisc"/>
              <w:spacing w:before="0" w:after="0"/>
            </w:pPr>
          </w:p>
          <w:p w:rsidR="00A17EC4" w:rsidRDefault="00A17EC4" w:rsidP="00CB15BD">
            <w:pPr>
              <w:pStyle w:val="naisc"/>
              <w:spacing w:before="0" w:after="0"/>
            </w:pPr>
          </w:p>
          <w:p w:rsidR="00A17EC4" w:rsidRDefault="00A17EC4" w:rsidP="00CB15BD">
            <w:pPr>
              <w:pStyle w:val="naisc"/>
              <w:spacing w:before="0" w:after="0"/>
            </w:pPr>
          </w:p>
          <w:p w:rsidR="00A17EC4" w:rsidRDefault="00A17EC4" w:rsidP="00CB15BD">
            <w:pPr>
              <w:pStyle w:val="naisc"/>
              <w:spacing w:before="0" w:after="0"/>
            </w:pPr>
          </w:p>
          <w:p w:rsidR="00A17EC4" w:rsidRDefault="00A17EC4" w:rsidP="00CB15BD">
            <w:pPr>
              <w:pStyle w:val="naisc"/>
              <w:spacing w:before="0" w:after="0"/>
            </w:pPr>
          </w:p>
          <w:p w:rsidR="00A17EC4" w:rsidRDefault="00A17EC4" w:rsidP="00CB15BD">
            <w:pPr>
              <w:pStyle w:val="naisc"/>
              <w:spacing w:before="0" w:after="0"/>
            </w:pPr>
          </w:p>
          <w:p w:rsidR="00A17EC4" w:rsidRDefault="00A17EC4" w:rsidP="00CB15BD">
            <w:pPr>
              <w:pStyle w:val="naisc"/>
              <w:spacing w:before="0" w:after="0"/>
            </w:pPr>
          </w:p>
          <w:p w:rsidR="00A17EC4" w:rsidRDefault="00A17EC4" w:rsidP="00CB15BD">
            <w:pPr>
              <w:pStyle w:val="naisc"/>
              <w:spacing w:before="0" w:after="0"/>
            </w:pPr>
          </w:p>
          <w:p w:rsidR="00A17EC4" w:rsidRDefault="00A17EC4" w:rsidP="00CB15BD">
            <w:pPr>
              <w:pStyle w:val="naisc"/>
              <w:spacing w:before="0" w:after="0"/>
            </w:pPr>
          </w:p>
          <w:p w:rsidR="00A17EC4" w:rsidRDefault="00A17EC4" w:rsidP="00CB15BD">
            <w:pPr>
              <w:pStyle w:val="naisc"/>
              <w:spacing w:before="0" w:after="0"/>
            </w:pPr>
          </w:p>
          <w:p w:rsidR="00A17EC4" w:rsidRDefault="00A17EC4" w:rsidP="00CB15BD">
            <w:pPr>
              <w:pStyle w:val="naisc"/>
              <w:spacing w:before="0" w:after="0"/>
            </w:pPr>
          </w:p>
          <w:p w:rsidR="00A17EC4" w:rsidRDefault="00A17EC4" w:rsidP="00CB15BD">
            <w:pPr>
              <w:pStyle w:val="naisc"/>
              <w:spacing w:before="0" w:after="0"/>
            </w:pPr>
          </w:p>
          <w:p w:rsidR="00EA6499" w:rsidRDefault="00EA6499" w:rsidP="00CB15BD">
            <w:pPr>
              <w:pStyle w:val="naisc"/>
              <w:spacing w:before="0" w:after="0"/>
            </w:pPr>
          </w:p>
          <w:p w:rsidR="00EA6499" w:rsidRDefault="00EA6499" w:rsidP="00CB15BD">
            <w:pPr>
              <w:pStyle w:val="naisc"/>
              <w:spacing w:before="0" w:after="0"/>
            </w:pPr>
          </w:p>
          <w:p w:rsidR="00EA6499" w:rsidRDefault="00EA6499" w:rsidP="00CB15BD">
            <w:pPr>
              <w:pStyle w:val="naisc"/>
              <w:spacing w:before="0" w:after="0"/>
            </w:pPr>
          </w:p>
          <w:p w:rsidR="00EA6499" w:rsidRDefault="00EA6499" w:rsidP="00CB15BD">
            <w:pPr>
              <w:pStyle w:val="naisc"/>
              <w:spacing w:before="0" w:after="0"/>
            </w:pPr>
          </w:p>
          <w:p w:rsidR="00EA6499" w:rsidRDefault="00EA6499" w:rsidP="00CB15BD">
            <w:pPr>
              <w:pStyle w:val="naisc"/>
              <w:spacing w:before="0" w:after="0"/>
            </w:pPr>
          </w:p>
          <w:p w:rsidR="00A17EC4" w:rsidRPr="00453189" w:rsidRDefault="00A17EC4" w:rsidP="00CB15BD">
            <w:pPr>
              <w:pStyle w:val="naisc"/>
              <w:spacing w:before="0" w:after="0"/>
            </w:pPr>
            <w:r>
              <w:lastRenderedPageBreak/>
              <w:t>4.</w:t>
            </w:r>
          </w:p>
        </w:tc>
        <w:tc>
          <w:tcPr>
            <w:tcW w:w="3544" w:type="dxa"/>
            <w:gridSpan w:val="2"/>
            <w:tcBorders>
              <w:top w:val="single" w:sz="6" w:space="0" w:color="000000"/>
              <w:left w:val="single" w:sz="6" w:space="0" w:color="000000"/>
              <w:bottom w:val="single" w:sz="6" w:space="0" w:color="000000"/>
              <w:right w:val="single" w:sz="6" w:space="0" w:color="000000"/>
            </w:tcBorders>
          </w:tcPr>
          <w:p w:rsidR="005549E2" w:rsidRDefault="005549E2" w:rsidP="005549E2">
            <w:pPr>
              <w:jc w:val="both"/>
            </w:pPr>
            <w:r w:rsidRPr="005549E2">
              <w:lastRenderedPageBreak/>
              <w:t xml:space="preserve">Noteikumu projekta </w:t>
            </w:r>
            <w:r w:rsidR="00A664D6">
              <w:t>1</w:t>
            </w:r>
            <w:r w:rsidRPr="005549E2">
              <w:t>.punkts:</w:t>
            </w:r>
          </w:p>
          <w:p w:rsidR="00A664D6" w:rsidRPr="00A664D6" w:rsidRDefault="005549E2" w:rsidP="00A664D6">
            <w:pPr>
              <w:pStyle w:val="ListParagraph"/>
              <w:tabs>
                <w:tab w:val="left" w:pos="1276"/>
              </w:tabs>
              <w:autoSpaceDN w:val="0"/>
              <w:spacing w:after="0" w:line="240" w:lineRule="auto"/>
              <w:ind w:left="-100"/>
              <w:jc w:val="both"/>
              <w:rPr>
                <w:rFonts w:ascii="Times New Roman" w:hAnsi="Times New Roman"/>
                <w:sz w:val="24"/>
                <w:szCs w:val="24"/>
              </w:rPr>
            </w:pPr>
            <w:r w:rsidRPr="00A664D6">
              <w:rPr>
                <w:rFonts w:ascii="Times New Roman" w:hAnsi="Times New Roman"/>
                <w:sz w:val="24"/>
                <w:szCs w:val="24"/>
              </w:rPr>
              <w:t>“</w:t>
            </w:r>
            <w:r w:rsidR="00A664D6" w:rsidRPr="00A664D6">
              <w:rPr>
                <w:rFonts w:ascii="Times New Roman" w:hAnsi="Times New Roman"/>
                <w:sz w:val="24"/>
                <w:szCs w:val="24"/>
              </w:rPr>
              <w:t>1.</w:t>
            </w:r>
            <w:r w:rsidRPr="00A664D6">
              <w:rPr>
                <w:rFonts w:ascii="Times New Roman" w:hAnsi="Times New Roman"/>
                <w:sz w:val="24"/>
                <w:szCs w:val="24"/>
              </w:rPr>
              <w:t xml:space="preserve"> </w:t>
            </w:r>
            <w:r w:rsidR="00A664D6" w:rsidRPr="00A664D6">
              <w:rPr>
                <w:rFonts w:ascii="Times New Roman" w:hAnsi="Times New Roman"/>
                <w:sz w:val="24"/>
                <w:szCs w:val="24"/>
              </w:rPr>
              <w:t>Noteikumi nosaka:</w:t>
            </w:r>
          </w:p>
          <w:p w:rsidR="00A664D6" w:rsidRPr="00A664D6" w:rsidRDefault="00A664D6" w:rsidP="00694C5E">
            <w:pPr>
              <w:pStyle w:val="ListParagraph"/>
              <w:tabs>
                <w:tab w:val="left" w:pos="1276"/>
              </w:tabs>
              <w:spacing w:line="240" w:lineRule="auto"/>
              <w:ind w:left="0"/>
              <w:jc w:val="both"/>
              <w:rPr>
                <w:rFonts w:ascii="Times New Roman" w:hAnsi="Times New Roman"/>
                <w:sz w:val="24"/>
                <w:szCs w:val="24"/>
              </w:rPr>
            </w:pPr>
            <w:r w:rsidRPr="00A664D6">
              <w:rPr>
                <w:rFonts w:ascii="Times New Roman" w:hAnsi="Times New Roman"/>
                <w:sz w:val="24"/>
                <w:szCs w:val="24"/>
              </w:rPr>
              <w:t>1.1. pārskata par aprēķināto azartspēļu nodokli veidlapas paraugu (1. pielikums) un aizpildīšanas kārtību;</w:t>
            </w:r>
          </w:p>
          <w:p w:rsidR="00FD1453" w:rsidRDefault="00A664D6" w:rsidP="00694C5E">
            <w:pPr>
              <w:pStyle w:val="ListParagraph"/>
              <w:tabs>
                <w:tab w:val="left" w:pos="1276"/>
              </w:tabs>
              <w:spacing w:line="240" w:lineRule="auto"/>
              <w:ind w:left="0"/>
              <w:jc w:val="both"/>
              <w:rPr>
                <w:rFonts w:ascii="Times New Roman" w:hAnsi="Times New Roman"/>
                <w:sz w:val="24"/>
                <w:szCs w:val="24"/>
              </w:rPr>
            </w:pPr>
            <w:r w:rsidRPr="00A664D6">
              <w:rPr>
                <w:rFonts w:ascii="Times New Roman" w:hAnsi="Times New Roman"/>
                <w:sz w:val="24"/>
                <w:szCs w:val="24"/>
              </w:rPr>
              <w:t xml:space="preserve">1.2. pārskata par aprēķināto izložu nodokli par valsts un vietējā mēroga izlozēm un momentloterijām veidlapas </w:t>
            </w:r>
            <w:r w:rsidRPr="00A664D6">
              <w:rPr>
                <w:rFonts w:ascii="Times New Roman" w:hAnsi="Times New Roman"/>
                <w:sz w:val="24"/>
                <w:szCs w:val="24"/>
              </w:rPr>
              <w:lastRenderedPageBreak/>
              <w:t>paraugu (2. pielikums) un aizpildīšanas kārtību.</w:t>
            </w:r>
            <w:r w:rsidR="005549E2" w:rsidRPr="00A664D6">
              <w:rPr>
                <w:rFonts w:ascii="Times New Roman" w:hAnsi="Times New Roman"/>
                <w:sz w:val="24"/>
                <w:szCs w:val="24"/>
              </w:rPr>
              <w:t>”</w:t>
            </w:r>
          </w:p>
          <w:p w:rsidR="006F3F86" w:rsidRDefault="006F3F86" w:rsidP="00694C5E">
            <w:pPr>
              <w:pStyle w:val="ListParagraph"/>
              <w:tabs>
                <w:tab w:val="left" w:pos="1276"/>
              </w:tabs>
              <w:spacing w:line="240" w:lineRule="auto"/>
              <w:ind w:left="0"/>
              <w:jc w:val="both"/>
              <w:rPr>
                <w:rFonts w:ascii="Times New Roman" w:hAnsi="Times New Roman"/>
                <w:sz w:val="24"/>
                <w:szCs w:val="24"/>
              </w:rPr>
            </w:pPr>
          </w:p>
          <w:p w:rsidR="006F3F86" w:rsidRDefault="006F3F86" w:rsidP="006F3F86">
            <w:pPr>
              <w:pStyle w:val="ListParagraph"/>
              <w:tabs>
                <w:tab w:val="left" w:pos="1276"/>
              </w:tabs>
              <w:spacing w:line="240" w:lineRule="auto"/>
              <w:ind w:left="0" w:firstLine="709"/>
              <w:rPr>
                <w:szCs w:val="28"/>
              </w:rPr>
            </w:pPr>
          </w:p>
          <w:p w:rsidR="006F3F86" w:rsidRDefault="006F3F86" w:rsidP="006F3F86">
            <w:pPr>
              <w:pStyle w:val="ListParagraph"/>
              <w:tabs>
                <w:tab w:val="left" w:pos="1276"/>
              </w:tabs>
              <w:spacing w:line="240" w:lineRule="auto"/>
              <w:ind w:left="0" w:firstLine="709"/>
              <w:rPr>
                <w:szCs w:val="28"/>
              </w:rPr>
            </w:pPr>
          </w:p>
          <w:p w:rsidR="006F3F86" w:rsidRDefault="006F3F86" w:rsidP="006F3F86">
            <w:pPr>
              <w:pStyle w:val="ListParagraph"/>
              <w:tabs>
                <w:tab w:val="left" w:pos="1276"/>
              </w:tabs>
              <w:spacing w:line="240" w:lineRule="auto"/>
              <w:ind w:left="0" w:firstLine="709"/>
              <w:rPr>
                <w:szCs w:val="28"/>
              </w:rPr>
            </w:pPr>
          </w:p>
          <w:p w:rsidR="006F3F86" w:rsidRDefault="006F3F86" w:rsidP="006F3F86">
            <w:pPr>
              <w:pStyle w:val="ListParagraph"/>
              <w:tabs>
                <w:tab w:val="left" w:pos="1276"/>
              </w:tabs>
              <w:spacing w:line="240" w:lineRule="auto"/>
              <w:ind w:left="0" w:firstLine="709"/>
              <w:rPr>
                <w:szCs w:val="28"/>
              </w:rPr>
            </w:pPr>
          </w:p>
          <w:p w:rsidR="006F3F86" w:rsidRDefault="006F3F86" w:rsidP="006F3F86">
            <w:pPr>
              <w:pStyle w:val="ListParagraph"/>
              <w:tabs>
                <w:tab w:val="left" w:pos="1276"/>
              </w:tabs>
              <w:spacing w:line="240" w:lineRule="auto"/>
              <w:ind w:left="0" w:firstLine="709"/>
              <w:rPr>
                <w:szCs w:val="28"/>
              </w:rPr>
            </w:pPr>
          </w:p>
          <w:p w:rsidR="006F3F86" w:rsidRDefault="006F3F86" w:rsidP="006F3F86">
            <w:pPr>
              <w:pStyle w:val="ListParagraph"/>
              <w:tabs>
                <w:tab w:val="left" w:pos="1276"/>
              </w:tabs>
              <w:spacing w:line="240" w:lineRule="auto"/>
              <w:ind w:left="0" w:firstLine="709"/>
              <w:rPr>
                <w:szCs w:val="28"/>
              </w:rPr>
            </w:pPr>
          </w:p>
          <w:p w:rsidR="006F3F86" w:rsidRDefault="006F3F86" w:rsidP="006F3F86">
            <w:pPr>
              <w:pStyle w:val="ListParagraph"/>
              <w:tabs>
                <w:tab w:val="left" w:pos="1276"/>
              </w:tabs>
              <w:spacing w:line="240" w:lineRule="auto"/>
              <w:ind w:left="0" w:firstLine="709"/>
              <w:rPr>
                <w:szCs w:val="28"/>
              </w:rPr>
            </w:pPr>
          </w:p>
          <w:p w:rsidR="006F3F86" w:rsidRDefault="006F3F86" w:rsidP="006F3F86">
            <w:pPr>
              <w:pStyle w:val="ListParagraph"/>
              <w:tabs>
                <w:tab w:val="left" w:pos="1276"/>
              </w:tabs>
              <w:spacing w:line="240" w:lineRule="auto"/>
              <w:ind w:left="0" w:firstLine="709"/>
              <w:rPr>
                <w:szCs w:val="28"/>
              </w:rPr>
            </w:pPr>
          </w:p>
          <w:p w:rsidR="006F3F86" w:rsidRDefault="006F3F86" w:rsidP="006F3F86">
            <w:pPr>
              <w:pStyle w:val="ListParagraph"/>
              <w:tabs>
                <w:tab w:val="left" w:pos="1276"/>
              </w:tabs>
              <w:spacing w:line="240" w:lineRule="auto"/>
              <w:ind w:left="0" w:firstLine="709"/>
              <w:rPr>
                <w:szCs w:val="28"/>
              </w:rPr>
            </w:pPr>
          </w:p>
          <w:p w:rsidR="006F3F86" w:rsidRDefault="006F3F86" w:rsidP="006F3F86">
            <w:pPr>
              <w:pStyle w:val="ListParagraph"/>
              <w:tabs>
                <w:tab w:val="left" w:pos="1276"/>
              </w:tabs>
              <w:spacing w:line="240" w:lineRule="auto"/>
              <w:ind w:left="0" w:firstLine="709"/>
              <w:rPr>
                <w:szCs w:val="28"/>
              </w:rPr>
            </w:pPr>
          </w:p>
          <w:p w:rsidR="006F3F86" w:rsidRDefault="006F3F86" w:rsidP="006F3F86">
            <w:pPr>
              <w:pStyle w:val="ListParagraph"/>
              <w:tabs>
                <w:tab w:val="left" w:pos="1276"/>
              </w:tabs>
              <w:spacing w:line="240" w:lineRule="auto"/>
              <w:ind w:left="0" w:firstLine="709"/>
              <w:rPr>
                <w:szCs w:val="28"/>
              </w:rPr>
            </w:pPr>
          </w:p>
          <w:p w:rsidR="006F3F86" w:rsidRDefault="006F3F86" w:rsidP="006F3F86">
            <w:pPr>
              <w:pStyle w:val="ListParagraph"/>
              <w:tabs>
                <w:tab w:val="left" w:pos="1276"/>
              </w:tabs>
              <w:spacing w:line="240" w:lineRule="auto"/>
              <w:ind w:left="0" w:firstLine="709"/>
              <w:rPr>
                <w:szCs w:val="28"/>
              </w:rPr>
            </w:pPr>
          </w:p>
          <w:p w:rsidR="006F3F86" w:rsidRDefault="006F3F86" w:rsidP="006F3F86">
            <w:pPr>
              <w:pStyle w:val="ListParagraph"/>
              <w:tabs>
                <w:tab w:val="left" w:pos="1276"/>
              </w:tabs>
              <w:spacing w:line="240" w:lineRule="auto"/>
              <w:ind w:left="0" w:firstLine="709"/>
              <w:rPr>
                <w:szCs w:val="28"/>
              </w:rPr>
            </w:pPr>
          </w:p>
          <w:p w:rsidR="006F3F86" w:rsidRDefault="006F3F86" w:rsidP="006F3F86">
            <w:pPr>
              <w:pStyle w:val="ListParagraph"/>
              <w:tabs>
                <w:tab w:val="left" w:pos="1276"/>
              </w:tabs>
              <w:spacing w:line="240" w:lineRule="auto"/>
              <w:ind w:left="0" w:firstLine="709"/>
              <w:rPr>
                <w:szCs w:val="28"/>
              </w:rPr>
            </w:pPr>
          </w:p>
          <w:p w:rsidR="006F3F86" w:rsidRPr="006F3F86" w:rsidRDefault="006F3F86" w:rsidP="006F3F86">
            <w:pPr>
              <w:jc w:val="both"/>
            </w:pPr>
            <w:r w:rsidRPr="006F3F86">
              <w:t>Noteikumu projekta 4.punkts:</w:t>
            </w:r>
          </w:p>
          <w:p w:rsidR="006F3F86" w:rsidRDefault="006F3F86" w:rsidP="006F3F86">
            <w:pPr>
              <w:jc w:val="both"/>
            </w:pPr>
            <w:r w:rsidRPr="006F3F86">
              <w:t>“4. Atzīt par spēku zaudējušiem Ministru kabineta 2015. gada 6. janvāra noteikumus Nr. 3 “Noteikumi par izložu un azartspēļu nodokļa pārskatu veidlapu paraugiem un izložu un azartspēļu nodokļa pārskatu iesniegšanas kārtību” (Latvijas Vēstnesis, 2015, 4. nr., 2017, 183. nr.).”</w:t>
            </w:r>
          </w:p>
          <w:p w:rsidR="00172EEE" w:rsidRDefault="00172EEE" w:rsidP="006F3F86">
            <w:pPr>
              <w:jc w:val="both"/>
            </w:pPr>
          </w:p>
          <w:p w:rsidR="00172EEE" w:rsidRDefault="00172EEE" w:rsidP="006F3F86">
            <w:pPr>
              <w:jc w:val="both"/>
            </w:pPr>
          </w:p>
          <w:p w:rsidR="00172EEE" w:rsidRDefault="00172EEE" w:rsidP="006F3F86">
            <w:pPr>
              <w:jc w:val="both"/>
            </w:pPr>
          </w:p>
          <w:p w:rsidR="00172EEE" w:rsidRDefault="00172EEE" w:rsidP="006F3F86">
            <w:pPr>
              <w:jc w:val="both"/>
            </w:pPr>
          </w:p>
          <w:p w:rsidR="00172EEE" w:rsidRDefault="00172EEE" w:rsidP="006F3F86">
            <w:pPr>
              <w:jc w:val="both"/>
            </w:pPr>
          </w:p>
          <w:p w:rsidR="00172EEE" w:rsidRDefault="00172EEE" w:rsidP="006F3F86">
            <w:pPr>
              <w:jc w:val="both"/>
            </w:pPr>
          </w:p>
          <w:p w:rsidR="00172EEE" w:rsidRDefault="00172EEE" w:rsidP="006F3F86">
            <w:pPr>
              <w:jc w:val="both"/>
            </w:pPr>
          </w:p>
          <w:p w:rsidR="00172EEE" w:rsidRDefault="00172EEE" w:rsidP="006F3F86">
            <w:pPr>
              <w:jc w:val="both"/>
            </w:pPr>
          </w:p>
          <w:p w:rsidR="00172EEE" w:rsidRDefault="00172EEE" w:rsidP="006F3F86">
            <w:pPr>
              <w:jc w:val="both"/>
            </w:pPr>
          </w:p>
          <w:p w:rsidR="00172EEE" w:rsidRDefault="00172EEE" w:rsidP="006F3F86">
            <w:pPr>
              <w:jc w:val="both"/>
            </w:pPr>
          </w:p>
          <w:p w:rsidR="00172EEE" w:rsidRDefault="00172EEE" w:rsidP="006F3F86">
            <w:pPr>
              <w:jc w:val="both"/>
            </w:pPr>
          </w:p>
          <w:p w:rsidR="00172EEE" w:rsidRDefault="00172EEE" w:rsidP="006F3F86">
            <w:pPr>
              <w:jc w:val="both"/>
            </w:pPr>
          </w:p>
          <w:p w:rsidR="00172EEE" w:rsidRDefault="00172EEE" w:rsidP="006F3F86">
            <w:pPr>
              <w:jc w:val="both"/>
            </w:pPr>
          </w:p>
          <w:p w:rsidR="00172EEE" w:rsidRDefault="00172EEE" w:rsidP="006F3F86">
            <w:pPr>
              <w:jc w:val="both"/>
            </w:pPr>
          </w:p>
          <w:p w:rsidR="00172EEE" w:rsidRDefault="00172EEE" w:rsidP="006F3F86">
            <w:pPr>
              <w:jc w:val="both"/>
            </w:pPr>
          </w:p>
          <w:p w:rsidR="00172EEE" w:rsidRDefault="00172EEE" w:rsidP="006F3F86">
            <w:pPr>
              <w:jc w:val="both"/>
            </w:pPr>
          </w:p>
          <w:p w:rsidR="00172EEE" w:rsidRDefault="00172EEE" w:rsidP="006F3F86">
            <w:pPr>
              <w:jc w:val="both"/>
            </w:pPr>
          </w:p>
          <w:p w:rsidR="00172EEE" w:rsidRDefault="00172EEE" w:rsidP="006F3F86">
            <w:pPr>
              <w:jc w:val="both"/>
            </w:pPr>
          </w:p>
          <w:p w:rsidR="00172EEE" w:rsidRDefault="00172EEE" w:rsidP="006F3F86">
            <w:pPr>
              <w:jc w:val="both"/>
            </w:pPr>
          </w:p>
          <w:p w:rsidR="00172EEE" w:rsidRDefault="00172EEE" w:rsidP="006F3F86">
            <w:pPr>
              <w:jc w:val="both"/>
            </w:pPr>
          </w:p>
          <w:p w:rsidR="00172EEE" w:rsidRDefault="00172EEE" w:rsidP="006F3F86">
            <w:pPr>
              <w:jc w:val="both"/>
            </w:pPr>
          </w:p>
          <w:p w:rsidR="00172EEE" w:rsidRDefault="00172EEE" w:rsidP="006F3F86">
            <w:pPr>
              <w:jc w:val="both"/>
            </w:pPr>
          </w:p>
          <w:p w:rsidR="00172EEE" w:rsidRDefault="00172EEE" w:rsidP="006F3F86">
            <w:pPr>
              <w:jc w:val="both"/>
            </w:pPr>
          </w:p>
          <w:p w:rsidR="00172EEE" w:rsidRDefault="00172EEE" w:rsidP="006F3F86">
            <w:pPr>
              <w:jc w:val="both"/>
            </w:pPr>
          </w:p>
          <w:p w:rsidR="00172EEE" w:rsidRDefault="00172EEE" w:rsidP="006F3F86">
            <w:pPr>
              <w:jc w:val="both"/>
            </w:pPr>
          </w:p>
          <w:p w:rsidR="00172EEE" w:rsidRDefault="00172EEE" w:rsidP="006F3F86">
            <w:pPr>
              <w:jc w:val="both"/>
            </w:pPr>
          </w:p>
          <w:p w:rsidR="00172EEE" w:rsidRDefault="00172EEE" w:rsidP="006F3F86">
            <w:pPr>
              <w:jc w:val="both"/>
            </w:pPr>
          </w:p>
          <w:p w:rsidR="00A17EC4" w:rsidRDefault="00A17EC4" w:rsidP="00A17EC4">
            <w:pPr>
              <w:jc w:val="both"/>
            </w:pPr>
          </w:p>
          <w:p w:rsidR="00A17EC4" w:rsidRDefault="00A17EC4" w:rsidP="00A17EC4">
            <w:pPr>
              <w:jc w:val="both"/>
            </w:pPr>
          </w:p>
          <w:p w:rsidR="006F3F86" w:rsidRDefault="00A17EC4" w:rsidP="00A17EC4">
            <w:pPr>
              <w:jc w:val="both"/>
            </w:pPr>
            <w:r w:rsidRPr="00A17EC4">
              <w:t xml:space="preserve">Noteikumu projekta </w:t>
            </w:r>
            <w:r w:rsidR="00172EEE">
              <w:t>anotācija</w:t>
            </w:r>
          </w:p>
          <w:p w:rsidR="00A17EC4" w:rsidRDefault="00A17EC4" w:rsidP="00A17EC4">
            <w:pPr>
              <w:jc w:val="both"/>
            </w:pPr>
          </w:p>
          <w:p w:rsidR="00A17EC4" w:rsidRDefault="00A17EC4" w:rsidP="00A17EC4">
            <w:pPr>
              <w:jc w:val="both"/>
            </w:pPr>
          </w:p>
          <w:p w:rsidR="00A17EC4" w:rsidRDefault="00A17EC4" w:rsidP="00A17EC4">
            <w:pPr>
              <w:jc w:val="both"/>
            </w:pPr>
          </w:p>
          <w:p w:rsidR="00A17EC4" w:rsidRDefault="00A17EC4" w:rsidP="00A17EC4">
            <w:pPr>
              <w:jc w:val="both"/>
            </w:pPr>
          </w:p>
          <w:p w:rsidR="00A17EC4" w:rsidRDefault="00A17EC4" w:rsidP="00A17EC4">
            <w:pPr>
              <w:jc w:val="both"/>
            </w:pPr>
          </w:p>
          <w:p w:rsidR="00A17EC4" w:rsidRDefault="00A17EC4" w:rsidP="00A17EC4">
            <w:pPr>
              <w:jc w:val="both"/>
            </w:pPr>
          </w:p>
          <w:p w:rsidR="00A17EC4" w:rsidRDefault="00A17EC4" w:rsidP="00A17EC4">
            <w:pPr>
              <w:jc w:val="both"/>
            </w:pPr>
          </w:p>
          <w:p w:rsidR="00A17EC4" w:rsidRDefault="00A17EC4" w:rsidP="00A17EC4">
            <w:pPr>
              <w:jc w:val="both"/>
            </w:pPr>
          </w:p>
          <w:p w:rsidR="00A17EC4" w:rsidRDefault="00A17EC4" w:rsidP="00A17EC4">
            <w:pPr>
              <w:jc w:val="both"/>
            </w:pPr>
          </w:p>
          <w:p w:rsidR="00A17EC4" w:rsidRDefault="00A17EC4" w:rsidP="00A17EC4">
            <w:pPr>
              <w:jc w:val="both"/>
            </w:pPr>
          </w:p>
          <w:p w:rsidR="00A17EC4" w:rsidRDefault="00A17EC4" w:rsidP="00A17EC4">
            <w:pPr>
              <w:jc w:val="both"/>
            </w:pPr>
          </w:p>
          <w:p w:rsidR="00A17EC4" w:rsidRDefault="00A17EC4" w:rsidP="00A17EC4">
            <w:pPr>
              <w:jc w:val="both"/>
            </w:pPr>
          </w:p>
          <w:p w:rsidR="00A17EC4" w:rsidRDefault="00A17EC4" w:rsidP="00A17EC4">
            <w:pPr>
              <w:jc w:val="both"/>
            </w:pPr>
          </w:p>
          <w:p w:rsidR="00A17EC4" w:rsidRDefault="00A17EC4" w:rsidP="00A17EC4">
            <w:pPr>
              <w:jc w:val="both"/>
            </w:pPr>
          </w:p>
          <w:p w:rsidR="00A17EC4" w:rsidRDefault="00A17EC4" w:rsidP="00A17EC4">
            <w:pPr>
              <w:jc w:val="both"/>
            </w:pPr>
          </w:p>
          <w:p w:rsidR="00A17EC4" w:rsidRDefault="00A17EC4" w:rsidP="00A17EC4">
            <w:pPr>
              <w:jc w:val="both"/>
            </w:pPr>
          </w:p>
          <w:p w:rsidR="00A17EC4" w:rsidRDefault="00A17EC4" w:rsidP="00A17EC4">
            <w:pPr>
              <w:jc w:val="both"/>
            </w:pPr>
          </w:p>
          <w:p w:rsidR="00A17EC4" w:rsidRDefault="00A17EC4" w:rsidP="00A17EC4">
            <w:pPr>
              <w:jc w:val="both"/>
            </w:pPr>
          </w:p>
          <w:p w:rsidR="00A17EC4" w:rsidRDefault="00A17EC4" w:rsidP="00A17EC4">
            <w:pPr>
              <w:jc w:val="both"/>
            </w:pPr>
          </w:p>
          <w:p w:rsidR="00A17EC4" w:rsidRDefault="00A17EC4" w:rsidP="00A17EC4">
            <w:pPr>
              <w:jc w:val="both"/>
            </w:pPr>
          </w:p>
          <w:p w:rsidR="00A17EC4" w:rsidRDefault="00A17EC4" w:rsidP="00A17EC4">
            <w:pPr>
              <w:jc w:val="both"/>
            </w:pPr>
          </w:p>
          <w:p w:rsidR="00A17EC4" w:rsidRDefault="00A17EC4" w:rsidP="00A17EC4">
            <w:pPr>
              <w:jc w:val="both"/>
            </w:pPr>
          </w:p>
          <w:p w:rsidR="00A17EC4" w:rsidRDefault="00A17EC4" w:rsidP="00A17EC4">
            <w:pPr>
              <w:jc w:val="both"/>
            </w:pPr>
          </w:p>
          <w:p w:rsidR="00A17EC4" w:rsidRDefault="00A17EC4" w:rsidP="00A17EC4">
            <w:pPr>
              <w:jc w:val="both"/>
            </w:pPr>
          </w:p>
          <w:p w:rsidR="00A17EC4" w:rsidRDefault="00A17EC4" w:rsidP="00A17EC4">
            <w:pPr>
              <w:jc w:val="both"/>
            </w:pPr>
          </w:p>
          <w:p w:rsidR="00A17EC4" w:rsidRDefault="00A17EC4" w:rsidP="00A17EC4">
            <w:pPr>
              <w:jc w:val="both"/>
            </w:pPr>
          </w:p>
          <w:p w:rsidR="00A17EC4" w:rsidRDefault="00A17EC4" w:rsidP="00A17EC4">
            <w:pPr>
              <w:jc w:val="both"/>
            </w:pPr>
          </w:p>
          <w:p w:rsidR="00A17EC4" w:rsidRDefault="00A17EC4" w:rsidP="00A17EC4">
            <w:pPr>
              <w:jc w:val="both"/>
            </w:pPr>
          </w:p>
          <w:p w:rsidR="00A17EC4" w:rsidRDefault="00A17EC4" w:rsidP="00A17EC4">
            <w:pPr>
              <w:jc w:val="both"/>
            </w:pPr>
          </w:p>
          <w:p w:rsidR="00A17EC4" w:rsidRDefault="00A17EC4" w:rsidP="00A17EC4">
            <w:pPr>
              <w:jc w:val="both"/>
            </w:pPr>
          </w:p>
          <w:p w:rsidR="00A17EC4" w:rsidRDefault="00A17EC4" w:rsidP="00A17EC4">
            <w:pPr>
              <w:jc w:val="both"/>
            </w:pPr>
          </w:p>
          <w:p w:rsidR="00A17EC4" w:rsidRDefault="00A17EC4" w:rsidP="00A17EC4">
            <w:pPr>
              <w:jc w:val="both"/>
            </w:pPr>
          </w:p>
          <w:p w:rsidR="00A17EC4" w:rsidRDefault="00A17EC4" w:rsidP="00A17EC4">
            <w:pPr>
              <w:jc w:val="both"/>
            </w:pPr>
          </w:p>
          <w:p w:rsidR="00A17EC4" w:rsidRDefault="00A17EC4" w:rsidP="00A17EC4">
            <w:pPr>
              <w:jc w:val="both"/>
            </w:pPr>
          </w:p>
          <w:p w:rsidR="00A17EC4" w:rsidRDefault="00A17EC4" w:rsidP="00A17EC4">
            <w:pPr>
              <w:jc w:val="both"/>
            </w:pPr>
          </w:p>
          <w:p w:rsidR="00A17EC4" w:rsidRDefault="00A17EC4" w:rsidP="00A17EC4">
            <w:pPr>
              <w:jc w:val="both"/>
            </w:pPr>
          </w:p>
          <w:p w:rsidR="00EA6499" w:rsidRDefault="00EA6499" w:rsidP="00A17EC4">
            <w:pPr>
              <w:jc w:val="both"/>
            </w:pPr>
          </w:p>
          <w:p w:rsidR="00EA6499" w:rsidRDefault="00EA6499" w:rsidP="00A17EC4">
            <w:pPr>
              <w:jc w:val="both"/>
            </w:pPr>
          </w:p>
          <w:p w:rsidR="00EA6499" w:rsidRDefault="00EA6499" w:rsidP="00A17EC4">
            <w:pPr>
              <w:jc w:val="both"/>
            </w:pPr>
          </w:p>
          <w:p w:rsidR="00EA6499" w:rsidRDefault="00EA6499" w:rsidP="00A17EC4">
            <w:pPr>
              <w:jc w:val="both"/>
            </w:pPr>
          </w:p>
          <w:p w:rsidR="00A17EC4" w:rsidRPr="00A664D6" w:rsidRDefault="00A17EC4" w:rsidP="00A17EC4">
            <w:pPr>
              <w:jc w:val="both"/>
              <w:rPr>
                <w:szCs w:val="28"/>
              </w:rPr>
            </w:pPr>
            <w:r>
              <w:lastRenderedPageBreak/>
              <w:t xml:space="preserve">Noteikumu projekta </w:t>
            </w:r>
            <w:r w:rsidR="0015187B">
              <w:t xml:space="preserve">1. un 2. </w:t>
            </w:r>
            <w:r>
              <w:t>pielikum</w:t>
            </w:r>
            <w:r w:rsidR="0015187B">
              <w:t>s</w:t>
            </w:r>
          </w:p>
        </w:tc>
        <w:tc>
          <w:tcPr>
            <w:tcW w:w="3093" w:type="dxa"/>
            <w:tcBorders>
              <w:top w:val="single" w:sz="6" w:space="0" w:color="000000"/>
              <w:left w:val="single" w:sz="6" w:space="0" w:color="000000"/>
              <w:bottom w:val="single" w:sz="6" w:space="0" w:color="000000"/>
              <w:right w:val="single" w:sz="6" w:space="0" w:color="000000"/>
            </w:tcBorders>
          </w:tcPr>
          <w:p w:rsidR="005549E2" w:rsidRDefault="00CB15BD" w:rsidP="005549E2">
            <w:pPr>
              <w:widowControl w:val="0"/>
              <w:ind w:left="34"/>
              <w:jc w:val="both"/>
              <w:rPr>
                <w:b/>
              </w:rPr>
            </w:pPr>
            <w:r w:rsidRPr="00453189">
              <w:rPr>
                <w:b/>
              </w:rPr>
              <w:lastRenderedPageBreak/>
              <w:t>Tieslietu ministrija:</w:t>
            </w:r>
          </w:p>
          <w:p w:rsidR="005549E2" w:rsidRDefault="005549E2" w:rsidP="005549E2">
            <w:pPr>
              <w:widowControl w:val="0"/>
              <w:ind w:left="34"/>
              <w:jc w:val="both"/>
              <w:rPr>
                <w:b/>
              </w:rPr>
            </w:pPr>
          </w:p>
          <w:p w:rsidR="00373676" w:rsidRDefault="00A664D6" w:rsidP="005549E2">
            <w:pPr>
              <w:widowControl w:val="0"/>
              <w:ind w:left="34"/>
              <w:jc w:val="both"/>
            </w:pPr>
            <w:r w:rsidRPr="00A664D6">
              <w:t xml:space="preserve">Ministru kabineta 2009. gada 3. februāra noteikumu Nr. 108 "Normatīvo aktu projektu sagatavošanas noteikumi" 100. punkts noteic, ka Ministru kabineta noteikumu projekta pirmajā punktā secīgi raksta vārdus "noteikumi nosaka" un </w:t>
            </w:r>
            <w:r w:rsidRPr="00A664D6">
              <w:lastRenderedPageBreak/>
              <w:t>likumā noteikto pilnvarojumu Ministru kabinetam. Ievērojot minēto, lūdzam precizēt projekta 1. punktā noteikto atbilstoši 2019. gada 23. maijā pieņemtā likuma "Grozījumi likumā "Par izložu un azartspēļu nodevu un nodokli"" 1. pantā paredzētajā likuma "Par izložu un azartspēļu nodevu un nodokli" (turpmāk – likums) 10. panta sestajā daļā ietvertajam regulējumam.</w:t>
            </w:r>
          </w:p>
          <w:p w:rsidR="00A664D6" w:rsidRDefault="00A664D6" w:rsidP="005549E2">
            <w:pPr>
              <w:widowControl w:val="0"/>
              <w:ind w:left="34"/>
              <w:jc w:val="both"/>
            </w:pPr>
          </w:p>
          <w:p w:rsidR="00A664D6" w:rsidRDefault="00A664D6" w:rsidP="005549E2">
            <w:pPr>
              <w:widowControl w:val="0"/>
              <w:ind w:left="34"/>
              <w:jc w:val="both"/>
            </w:pPr>
          </w:p>
          <w:p w:rsidR="006F3F86" w:rsidRDefault="006F3F86" w:rsidP="005549E2">
            <w:pPr>
              <w:widowControl w:val="0"/>
              <w:ind w:left="34"/>
              <w:jc w:val="both"/>
              <w:rPr>
                <w:b/>
              </w:rPr>
            </w:pPr>
          </w:p>
          <w:p w:rsidR="006F3F86" w:rsidRPr="006F3F86" w:rsidRDefault="006F3F86" w:rsidP="005549E2">
            <w:pPr>
              <w:widowControl w:val="0"/>
              <w:ind w:left="34"/>
              <w:jc w:val="both"/>
              <w:rPr>
                <w:b/>
              </w:rPr>
            </w:pPr>
            <w:r w:rsidRPr="006F3F86">
              <w:rPr>
                <w:b/>
              </w:rPr>
              <w:t>Tieslietu ministrija:</w:t>
            </w:r>
          </w:p>
          <w:p w:rsidR="006F3F86" w:rsidRDefault="006F3F86" w:rsidP="005549E2">
            <w:pPr>
              <w:widowControl w:val="0"/>
              <w:ind w:left="34"/>
              <w:jc w:val="both"/>
            </w:pPr>
          </w:p>
          <w:p w:rsidR="00A664D6" w:rsidRDefault="006F3F86" w:rsidP="005549E2">
            <w:pPr>
              <w:widowControl w:val="0"/>
              <w:ind w:left="34"/>
              <w:jc w:val="both"/>
            </w:pPr>
            <w:r w:rsidRPr="006F3F86">
              <w:t xml:space="preserve">Vēršam uzmanību uz to, ka Oficiālo publikāciju un tiesiskās informācijas likuma 9. panta piektā daļa noteic, ka gadījumā, ja spēku zaudē normatīvā akta izdošanas tiesiskais pamats (augstāka juridiska spēka tiesību norma, uz kuras pamata izdots cits normatīvais akts), tad spēku zaudē arī uz šā pamata izdotais normatīvais akts vai tā daļa. Līdz ar to šobrīd spēkā esošie Ministru </w:t>
            </w:r>
            <w:r w:rsidRPr="006F3F86">
              <w:lastRenderedPageBreak/>
              <w:t>kabineta 2015. gada 6. janvāra noteikumi Nr. 3 "Noteikumi par izložu un azartspēļu nodokļa pārskatu veidlapu paraugiem un izložu un azartspēļu nodokļa pārskatu iesniegšanas kārtību", kas izdoti saskaņā ar likuma 10. panta septīto daļu, zaudēs spēku, kad stāsies spēkā attiecīgie grozījumi 2019. gada 23. maijā pieņemtajā likumā "Grozījumi likumā "Par izložu un azartspēļu nodevu un nodokli"". Ievērojot minēto, lūdzam izvērtēt projekta 4. punktā paredzētā regulējuma nepieciešamību un attiecīgi precizēt projektu.</w:t>
            </w:r>
          </w:p>
          <w:p w:rsidR="00A664D6" w:rsidRDefault="00A664D6" w:rsidP="005549E2">
            <w:pPr>
              <w:widowControl w:val="0"/>
              <w:ind w:left="34"/>
              <w:jc w:val="both"/>
            </w:pPr>
          </w:p>
          <w:p w:rsidR="00172EEE" w:rsidRDefault="00172EEE" w:rsidP="00172EEE">
            <w:pPr>
              <w:widowControl w:val="0"/>
              <w:ind w:left="34"/>
              <w:rPr>
                <w:b/>
              </w:rPr>
            </w:pPr>
          </w:p>
          <w:p w:rsidR="00172EEE" w:rsidRDefault="00172EEE" w:rsidP="00172EEE">
            <w:pPr>
              <w:widowControl w:val="0"/>
              <w:ind w:left="34"/>
              <w:rPr>
                <w:b/>
              </w:rPr>
            </w:pPr>
          </w:p>
          <w:p w:rsidR="00EA6499" w:rsidRDefault="00EA6499" w:rsidP="00172EEE">
            <w:pPr>
              <w:widowControl w:val="0"/>
              <w:ind w:left="34"/>
              <w:rPr>
                <w:b/>
              </w:rPr>
            </w:pPr>
          </w:p>
          <w:p w:rsidR="00A664D6" w:rsidRPr="00172EEE" w:rsidRDefault="00172EEE" w:rsidP="00172EEE">
            <w:pPr>
              <w:widowControl w:val="0"/>
              <w:ind w:left="34"/>
              <w:rPr>
                <w:b/>
              </w:rPr>
            </w:pPr>
            <w:r w:rsidRPr="00172EEE">
              <w:rPr>
                <w:b/>
              </w:rPr>
              <w:t>Vides aizsardzības un reģionālās attīstības ministrija:</w:t>
            </w:r>
          </w:p>
          <w:p w:rsidR="00A664D6" w:rsidRDefault="00A664D6" w:rsidP="005549E2">
            <w:pPr>
              <w:widowControl w:val="0"/>
              <w:ind w:left="34"/>
              <w:jc w:val="both"/>
            </w:pPr>
          </w:p>
          <w:p w:rsidR="00172EEE" w:rsidRDefault="00172EEE" w:rsidP="00172EEE">
            <w:pPr>
              <w:widowControl w:val="0"/>
              <w:ind w:left="34"/>
              <w:jc w:val="both"/>
            </w:pPr>
            <w:r>
              <w:t xml:space="preserve">Nepieciešams precizēt noteikumu projekta anotāciju. Papildinot to ar norādi, ka  dokumenti primāri tiek iesniegti, izmantojot EDS, </w:t>
            </w:r>
            <w:r>
              <w:lastRenderedPageBreak/>
              <w:t>gadījumā ja EDS tehnisku apsvērumu dēļ nav pieejama dokumentu apriti var nodrošināt izmantojot drošu elektronisku parakstu.</w:t>
            </w:r>
          </w:p>
          <w:p w:rsidR="00172EEE" w:rsidRDefault="00172EEE" w:rsidP="00172EEE">
            <w:pPr>
              <w:widowControl w:val="0"/>
              <w:ind w:left="34"/>
              <w:jc w:val="both"/>
            </w:pPr>
          </w:p>
          <w:p w:rsidR="00172EEE" w:rsidRDefault="00172EEE" w:rsidP="00172EEE">
            <w:pPr>
              <w:widowControl w:val="0"/>
              <w:ind w:left="34"/>
              <w:jc w:val="both"/>
            </w:pPr>
          </w:p>
          <w:p w:rsidR="00172EEE" w:rsidRDefault="00172EEE" w:rsidP="00172EEE">
            <w:pPr>
              <w:widowControl w:val="0"/>
              <w:ind w:left="34"/>
              <w:jc w:val="both"/>
            </w:pPr>
          </w:p>
          <w:p w:rsidR="00172EEE" w:rsidRDefault="00172EEE" w:rsidP="00172EEE">
            <w:pPr>
              <w:widowControl w:val="0"/>
              <w:ind w:left="34"/>
              <w:jc w:val="both"/>
            </w:pPr>
          </w:p>
          <w:p w:rsidR="00172EEE" w:rsidRDefault="00172EEE" w:rsidP="00172EEE">
            <w:pPr>
              <w:widowControl w:val="0"/>
              <w:ind w:left="34"/>
              <w:jc w:val="both"/>
            </w:pPr>
          </w:p>
          <w:p w:rsidR="00A17EC4" w:rsidRDefault="00172EEE" w:rsidP="00172EEE">
            <w:pPr>
              <w:widowControl w:val="0"/>
              <w:ind w:left="34"/>
              <w:jc w:val="both"/>
            </w:pPr>
            <w:r>
              <w:tab/>
            </w:r>
          </w:p>
          <w:p w:rsidR="00A17EC4" w:rsidRDefault="00A17EC4" w:rsidP="00172EEE">
            <w:pPr>
              <w:widowControl w:val="0"/>
              <w:ind w:left="34"/>
              <w:jc w:val="both"/>
            </w:pPr>
          </w:p>
          <w:p w:rsidR="00A17EC4" w:rsidRDefault="00A17EC4" w:rsidP="00172EEE">
            <w:pPr>
              <w:widowControl w:val="0"/>
              <w:ind w:left="34"/>
              <w:jc w:val="both"/>
            </w:pPr>
          </w:p>
          <w:p w:rsidR="00A17EC4" w:rsidRDefault="00A17EC4" w:rsidP="00172EEE">
            <w:pPr>
              <w:widowControl w:val="0"/>
              <w:ind w:left="34"/>
              <w:jc w:val="both"/>
            </w:pPr>
          </w:p>
          <w:p w:rsidR="00A17EC4" w:rsidRDefault="00A17EC4" w:rsidP="00172EEE">
            <w:pPr>
              <w:widowControl w:val="0"/>
              <w:ind w:left="34"/>
              <w:jc w:val="both"/>
            </w:pPr>
          </w:p>
          <w:p w:rsidR="00A17EC4" w:rsidRDefault="00A17EC4" w:rsidP="00172EEE">
            <w:pPr>
              <w:widowControl w:val="0"/>
              <w:ind w:left="34"/>
              <w:jc w:val="both"/>
            </w:pPr>
          </w:p>
          <w:p w:rsidR="00A17EC4" w:rsidRDefault="00A17EC4" w:rsidP="00172EEE">
            <w:pPr>
              <w:widowControl w:val="0"/>
              <w:ind w:left="34"/>
              <w:jc w:val="both"/>
            </w:pPr>
          </w:p>
          <w:p w:rsidR="00A17EC4" w:rsidRDefault="00A17EC4" w:rsidP="00172EEE">
            <w:pPr>
              <w:widowControl w:val="0"/>
              <w:ind w:left="34"/>
              <w:jc w:val="both"/>
              <w:rPr>
                <w:b/>
              </w:rPr>
            </w:pPr>
          </w:p>
          <w:p w:rsidR="00A17EC4" w:rsidRDefault="00A17EC4" w:rsidP="00172EEE">
            <w:pPr>
              <w:widowControl w:val="0"/>
              <w:ind w:left="34"/>
              <w:jc w:val="both"/>
              <w:rPr>
                <w:b/>
              </w:rPr>
            </w:pPr>
          </w:p>
          <w:p w:rsidR="00A17EC4" w:rsidRDefault="00A17EC4" w:rsidP="00172EEE">
            <w:pPr>
              <w:widowControl w:val="0"/>
              <w:ind w:left="34"/>
              <w:jc w:val="both"/>
              <w:rPr>
                <w:b/>
              </w:rPr>
            </w:pPr>
          </w:p>
          <w:p w:rsidR="00A17EC4" w:rsidRDefault="00A17EC4" w:rsidP="00172EEE">
            <w:pPr>
              <w:widowControl w:val="0"/>
              <w:ind w:left="34"/>
              <w:jc w:val="both"/>
              <w:rPr>
                <w:b/>
              </w:rPr>
            </w:pPr>
          </w:p>
          <w:p w:rsidR="00A17EC4" w:rsidRDefault="00A17EC4" w:rsidP="00172EEE">
            <w:pPr>
              <w:widowControl w:val="0"/>
              <w:ind w:left="34"/>
              <w:jc w:val="both"/>
              <w:rPr>
                <w:b/>
              </w:rPr>
            </w:pPr>
          </w:p>
          <w:p w:rsidR="00A17EC4" w:rsidRDefault="00A17EC4" w:rsidP="00172EEE">
            <w:pPr>
              <w:widowControl w:val="0"/>
              <w:ind w:left="34"/>
              <w:jc w:val="both"/>
              <w:rPr>
                <w:b/>
              </w:rPr>
            </w:pPr>
          </w:p>
          <w:p w:rsidR="00A17EC4" w:rsidRDefault="00A17EC4" w:rsidP="00172EEE">
            <w:pPr>
              <w:widowControl w:val="0"/>
              <w:ind w:left="34"/>
              <w:jc w:val="both"/>
              <w:rPr>
                <w:b/>
              </w:rPr>
            </w:pPr>
          </w:p>
          <w:p w:rsidR="00A17EC4" w:rsidRDefault="00A17EC4" w:rsidP="00172EEE">
            <w:pPr>
              <w:widowControl w:val="0"/>
              <w:ind w:left="34"/>
              <w:jc w:val="both"/>
              <w:rPr>
                <w:b/>
              </w:rPr>
            </w:pPr>
          </w:p>
          <w:p w:rsidR="00A17EC4" w:rsidRDefault="00A17EC4" w:rsidP="00172EEE">
            <w:pPr>
              <w:widowControl w:val="0"/>
              <w:ind w:left="34"/>
              <w:jc w:val="both"/>
              <w:rPr>
                <w:b/>
              </w:rPr>
            </w:pPr>
          </w:p>
          <w:p w:rsidR="00A17EC4" w:rsidRDefault="00A17EC4" w:rsidP="00172EEE">
            <w:pPr>
              <w:widowControl w:val="0"/>
              <w:ind w:left="34"/>
              <w:jc w:val="both"/>
              <w:rPr>
                <w:b/>
              </w:rPr>
            </w:pPr>
          </w:p>
          <w:p w:rsidR="00A17EC4" w:rsidRDefault="00A17EC4" w:rsidP="00172EEE">
            <w:pPr>
              <w:widowControl w:val="0"/>
              <w:ind w:left="34"/>
              <w:jc w:val="both"/>
              <w:rPr>
                <w:b/>
              </w:rPr>
            </w:pPr>
          </w:p>
          <w:p w:rsidR="00F44182" w:rsidRDefault="00F44182" w:rsidP="00172EEE">
            <w:pPr>
              <w:widowControl w:val="0"/>
              <w:ind w:left="34"/>
              <w:jc w:val="both"/>
              <w:rPr>
                <w:b/>
              </w:rPr>
            </w:pPr>
          </w:p>
          <w:p w:rsidR="00EA6499" w:rsidRDefault="00EA6499" w:rsidP="00172EEE">
            <w:pPr>
              <w:widowControl w:val="0"/>
              <w:ind w:left="34"/>
              <w:jc w:val="both"/>
              <w:rPr>
                <w:b/>
              </w:rPr>
            </w:pPr>
          </w:p>
          <w:p w:rsidR="00EA6499" w:rsidRDefault="00EA6499" w:rsidP="00172EEE">
            <w:pPr>
              <w:widowControl w:val="0"/>
              <w:ind w:left="34"/>
              <w:jc w:val="both"/>
              <w:rPr>
                <w:b/>
              </w:rPr>
            </w:pPr>
          </w:p>
          <w:p w:rsidR="00EA6499" w:rsidRDefault="00EA6499" w:rsidP="00172EEE">
            <w:pPr>
              <w:widowControl w:val="0"/>
              <w:ind w:left="34"/>
              <w:jc w:val="both"/>
              <w:rPr>
                <w:b/>
              </w:rPr>
            </w:pPr>
          </w:p>
          <w:p w:rsidR="00EA6499" w:rsidRDefault="00EA6499" w:rsidP="00172EEE">
            <w:pPr>
              <w:widowControl w:val="0"/>
              <w:ind w:left="34"/>
              <w:jc w:val="both"/>
              <w:rPr>
                <w:b/>
              </w:rPr>
            </w:pPr>
          </w:p>
          <w:p w:rsidR="00A17EC4" w:rsidRPr="00A17EC4" w:rsidRDefault="00A17EC4" w:rsidP="00172EEE">
            <w:pPr>
              <w:widowControl w:val="0"/>
              <w:ind w:left="34"/>
              <w:jc w:val="both"/>
              <w:rPr>
                <w:b/>
              </w:rPr>
            </w:pPr>
            <w:r w:rsidRPr="00A17EC4">
              <w:rPr>
                <w:b/>
              </w:rPr>
              <w:lastRenderedPageBreak/>
              <w:t>Vides aizsardzības un reģionālās attīstības ministrija:</w:t>
            </w:r>
          </w:p>
          <w:p w:rsidR="00A17EC4" w:rsidRDefault="00A17EC4" w:rsidP="00172EEE">
            <w:pPr>
              <w:widowControl w:val="0"/>
              <w:ind w:left="34"/>
              <w:jc w:val="both"/>
            </w:pPr>
          </w:p>
          <w:p w:rsidR="00172EEE" w:rsidRDefault="00172EEE" w:rsidP="00695F8C">
            <w:pPr>
              <w:widowControl w:val="0"/>
              <w:ind w:left="34"/>
              <w:jc w:val="both"/>
            </w:pPr>
            <w:r>
              <w:t>Lai nodrošinātu iespēju sagatavot un iesniegt noteikumu projekta pielikumā pievienotās veidlapas elektroniskā dokumenta formā, nepieciešams papildināt visas noteikumu projektam pievi</w:t>
            </w:r>
            <w:r w:rsidR="00695F8C">
              <w:t>enotās formas ar šādu piezīmi: “</w:t>
            </w:r>
            <w:r>
              <w:t>Dokumenta rekvizītu “datums” un “paraksts” neaizpilda, ja elektroniskais dokuments ir noformēts atbilstoši elektronisko dokumentu noformēšanai normatīvajos aktos noteiktajām prasībām”.</w:t>
            </w:r>
          </w:p>
          <w:p w:rsidR="00A664D6" w:rsidRDefault="00A664D6" w:rsidP="005549E2">
            <w:pPr>
              <w:widowControl w:val="0"/>
              <w:ind w:left="34"/>
              <w:jc w:val="both"/>
            </w:pPr>
          </w:p>
          <w:p w:rsidR="00A664D6" w:rsidRDefault="00A664D6" w:rsidP="005549E2">
            <w:pPr>
              <w:widowControl w:val="0"/>
              <w:ind w:left="34"/>
              <w:jc w:val="both"/>
            </w:pPr>
          </w:p>
          <w:p w:rsidR="00A664D6" w:rsidRDefault="00A664D6" w:rsidP="005549E2">
            <w:pPr>
              <w:widowControl w:val="0"/>
              <w:ind w:left="34"/>
              <w:jc w:val="both"/>
            </w:pPr>
          </w:p>
          <w:p w:rsidR="00A664D6" w:rsidRDefault="00A664D6" w:rsidP="005549E2">
            <w:pPr>
              <w:widowControl w:val="0"/>
              <w:ind w:left="34"/>
              <w:jc w:val="both"/>
            </w:pPr>
          </w:p>
          <w:p w:rsidR="00A664D6" w:rsidRPr="00373676" w:rsidRDefault="00A664D6" w:rsidP="005549E2">
            <w:pPr>
              <w:widowControl w:val="0"/>
              <w:ind w:left="34"/>
              <w:jc w:val="both"/>
              <w:rPr>
                <w:b/>
                <w:color w:val="C00000"/>
              </w:rPr>
            </w:pPr>
          </w:p>
        </w:tc>
        <w:tc>
          <w:tcPr>
            <w:tcW w:w="2409" w:type="dxa"/>
            <w:gridSpan w:val="2"/>
            <w:tcBorders>
              <w:top w:val="single" w:sz="6" w:space="0" w:color="000000"/>
              <w:left w:val="single" w:sz="6" w:space="0" w:color="000000"/>
              <w:bottom w:val="single" w:sz="6" w:space="0" w:color="000000"/>
              <w:right w:val="single" w:sz="6" w:space="0" w:color="000000"/>
            </w:tcBorders>
          </w:tcPr>
          <w:p w:rsidR="00383AA0" w:rsidRDefault="00BE17CB" w:rsidP="00423408">
            <w:pPr>
              <w:pStyle w:val="naisc"/>
              <w:spacing w:before="0" w:after="0"/>
              <w:jc w:val="both"/>
              <w:rPr>
                <w:b/>
              </w:rPr>
            </w:pPr>
            <w:r w:rsidRPr="00BD5A7E">
              <w:rPr>
                <w:b/>
              </w:rPr>
              <w:lastRenderedPageBreak/>
              <w:t>Ņemts vērā.</w:t>
            </w:r>
          </w:p>
          <w:p w:rsidR="006F3F86" w:rsidRDefault="006F3F86" w:rsidP="00423408">
            <w:pPr>
              <w:pStyle w:val="naisc"/>
              <w:spacing w:before="0" w:after="0"/>
              <w:jc w:val="both"/>
              <w:rPr>
                <w:b/>
              </w:rPr>
            </w:pPr>
          </w:p>
          <w:p w:rsidR="006F3F86" w:rsidRDefault="006F3F86" w:rsidP="00423408">
            <w:pPr>
              <w:pStyle w:val="naisc"/>
              <w:spacing w:before="0" w:after="0"/>
              <w:jc w:val="both"/>
              <w:rPr>
                <w:b/>
              </w:rPr>
            </w:pPr>
          </w:p>
          <w:p w:rsidR="006F3F86" w:rsidRDefault="006F3F86" w:rsidP="00423408">
            <w:pPr>
              <w:pStyle w:val="naisc"/>
              <w:spacing w:before="0" w:after="0"/>
              <w:jc w:val="both"/>
              <w:rPr>
                <w:b/>
              </w:rPr>
            </w:pPr>
          </w:p>
          <w:p w:rsidR="006F3F86" w:rsidRDefault="006F3F86" w:rsidP="00423408">
            <w:pPr>
              <w:pStyle w:val="naisc"/>
              <w:spacing w:before="0" w:after="0"/>
              <w:jc w:val="both"/>
              <w:rPr>
                <w:b/>
              </w:rPr>
            </w:pPr>
          </w:p>
          <w:p w:rsidR="006F3F86" w:rsidRDefault="006F3F86" w:rsidP="00423408">
            <w:pPr>
              <w:pStyle w:val="naisc"/>
              <w:spacing w:before="0" w:after="0"/>
              <w:jc w:val="both"/>
              <w:rPr>
                <w:b/>
              </w:rPr>
            </w:pPr>
          </w:p>
          <w:p w:rsidR="006F3F86" w:rsidRDefault="006F3F86" w:rsidP="00423408">
            <w:pPr>
              <w:pStyle w:val="naisc"/>
              <w:spacing w:before="0" w:after="0"/>
              <w:jc w:val="both"/>
              <w:rPr>
                <w:b/>
              </w:rPr>
            </w:pPr>
          </w:p>
          <w:p w:rsidR="006F3F86" w:rsidRDefault="006F3F86" w:rsidP="00423408">
            <w:pPr>
              <w:pStyle w:val="naisc"/>
              <w:spacing w:before="0" w:after="0"/>
              <w:jc w:val="both"/>
              <w:rPr>
                <w:b/>
              </w:rPr>
            </w:pPr>
          </w:p>
          <w:p w:rsidR="006F3F86" w:rsidRDefault="006F3F86" w:rsidP="00423408">
            <w:pPr>
              <w:pStyle w:val="naisc"/>
              <w:spacing w:before="0" w:after="0"/>
              <w:jc w:val="both"/>
              <w:rPr>
                <w:b/>
              </w:rPr>
            </w:pPr>
          </w:p>
          <w:p w:rsidR="006F3F86" w:rsidRDefault="006F3F86" w:rsidP="00423408">
            <w:pPr>
              <w:pStyle w:val="naisc"/>
              <w:spacing w:before="0" w:after="0"/>
              <w:jc w:val="both"/>
              <w:rPr>
                <w:b/>
              </w:rPr>
            </w:pPr>
          </w:p>
          <w:p w:rsidR="006F3F86" w:rsidRDefault="006F3F86" w:rsidP="00423408">
            <w:pPr>
              <w:pStyle w:val="naisc"/>
              <w:spacing w:before="0" w:after="0"/>
              <w:jc w:val="both"/>
              <w:rPr>
                <w:b/>
              </w:rPr>
            </w:pPr>
          </w:p>
          <w:p w:rsidR="006F3F86" w:rsidRDefault="006F3F86" w:rsidP="00423408">
            <w:pPr>
              <w:pStyle w:val="naisc"/>
              <w:spacing w:before="0" w:after="0"/>
              <w:jc w:val="both"/>
              <w:rPr>
                <w:b/>
              </w:rPr>
            </w:pPr>
          </w:p>
          <w:p w:rsidR="006F3F86" w:rsidRDefault="006F3F86" w:rsidP="00423408">
            <w:pPr>
              <w:pStyle w:val="naisc"/>
              <w:spacing w:before="0" w:after="0"/>
              <w:jc w:val="both"/>
              <w:rPr>
                <w:b/>
              </w:rPr>
            </w:pPr>
          </w:p>
          <w:p w:rsidR="006F3F86" w:rsidRDefault="006F3F86" w:rsidP="00423408">
            <w:pPr>
              <w:pStyle w:val="naisc"/>
              <w:spacing w:before="0" w:after="0"/>
              <w:jc w:val="both"/>
              <w:rPr>
                <w:b/>
              </w:rPr>
            </w:pPr>
          </w:p>
          <w:p w:rsidR="006F3F86" w:rsidRDefault="006F3F86" w:rsidP="00423408">
            <w:pPr>
              <w:pStyle w:val="naisc"/>
              <w:spacing w:before="0" w:after="0"/>
              <w:jc w:val="both"/>
              <w:rPr>
                <w:b/>
              </w:rPr>
            </w:pPr>
          </w:p>
          <w:p w:rsidR="006F3F86" w:rsidRDefault="006F3F86" w:rsidP="00423408">
            <w:pPr>
              <w:pStyle w:val="naisc"/>
              <w:spacing w:before="0" w:after="0"/>
              <w:jc w:val="both"/>
              <w:rPr>
                <w:b/>
              </w:rPr>
            </w:pPr>
          </w:p>
          <w:p w:rsidR="006F3F86" w:rsidRDefault="006F3F86" w:rsidP="00423408">
            <w:pPr>
              <w:pStyle w:val="naisc"/>
              <w:spacing w:before="0" w:after="0"/>
              <w:jc w:val="both"/>
              <w:rPr>
                <w:b/>
              </w:rPr>
            </w:pPr>
          </w:p>
          <w:p w:rsidR="006F3F86" w:rsidRDefault="006F3F86" w:rsidP="00423408">
            <w:pPr>
              <w:pStyle w:val="naisc"/>
              <w:spacing w:before="0" w:after="0"/>
              <w:jc w:val="both"/>
              <w:rPr>
                <w:b/>
              </w:rPr>
            </w:pPr>
          </w:p>
          <w:p w:rsidR="006F3F86" w:rsidRDefault="006F3F86" w:rsidP="00423408">
            <w:pPr>
              <w:pStyle w:val="naisc"/>
              <w:spacing w:before="0" w:after="0"/>
              <w:jc w:val="both"/>
              <w:rPr>
                <w:b/>
              </w:rPr>
            </w:pPr>
          </w:p>
          <w:p w:rsidR="006F3F86" w:rsidRDefault="006F3F86" w:rsidP="00423408">
            <w:pPr>
              <w:pStyle w:val="naisc"/>
              <w:spacing w:before="0" w:after="0"/>
              <w:jc w:val="both"/>
              <w:rPr>
                <w:b/>
              </w:rPr>
            </w:pPr>
          </w:p>
          <w:p w:rsidR="006F3F86" w:rsidRDefault="006F3F86" w:rsidP="00423408">
            <w:pPr>
              <w:pStyle w:val="naisc"/>
              <w:spacing w:before="0" w:after="0"/>
              <w:jc w:val="both"/>
              <w:rPr>
                <w:b/>
              </w:rPr>
            </w:pPr>
          </w:p>
          <w:p w:rsidR="006F3F86" w:rsidRDefault="006F3F86" w:rsidP="00423408">
            <w:pPr>
              <w:pStyle w:val="naisc"/>
              <w:spacing w:before="0" w:after="0"/>
              <w:jc w:val="both"/>
              <w:rPr>
                <w:b/>
              </w:rPr>
            </w:pPr>
          </w:p>
          <w:p w:rsidR="006F3F86" w:rsidRDefault="006F3F86" w:rsidP="00423408">
            <w:pPr>
              <w:pStyle w:val="naisc"/>
              <w:spacing w:before="0" w:after="0"/>
              <w:jc w:val="both"/>
              <w:rPr>
                <w:b/>
              </w:rPr>
            </w:pPr>
          </w:p>
          <w:p w:rsidR="006F3F86" w:rsidRDefault="006F3F86" w:rsidP="00423408">
            <w:pPr>
              <w:pStyle w:val="naisc"/>
              <w:spacing w:before="0" w:after="0"/>
              <w:jc w:val="both"/>
              <w:rPr>
                <w:b/>
              </w:rPr>
            </w:pPr>
          </w:p>
          <w:p w:rsidR="006F3F86" w:rsidRDefault="006F3F86" w:rsidP="00423408">
            <w:pPr>
              <w:pStyle w:val="naisc"/>
              <w:spacing w:before="0" w:after="0"/>
              <w:jc w:val="both"/>
              <w:rPr>
                <w:b/>
              </w:rPr>
            </w:pPr>
          </w:p>
          <w:p w:rsidR="006F3F86" w:rsidRDefault="006F3F86" w:rsidP="00423408">
            <w:pPr>
              <w:pStyle w:val="naisc"/>
              <w:spacing w:before="0" w:after="0"/>
              <w:jc w:val="both"/>
              <w:rPr>
                <w:b/>
              </w:rPr>
            </w:pPr>
          </w:p>
          <w:p w:rsidR="006F3F86" w:rsidRDefault="006F3F86" w:rsidP="00423408">
            <w:pPr>
              <w:pStyle w:val="naisc"/>
              <w:spacing w:before="0" w:after="0"/>
              <w:jc w:val="both"/>
              <w:rPr>
                <w:b/>
              </w:rPr>
            </w:pPr>
          </w:p>
          <w:p w:rsidR="006F3F86" w:rsidRDefault="006F3F86" w:rsidP="00423408">
            <w:pPr>
              <w:pStyle w:val="naisc"/>
              <w:spacing w:before="0" w:after="0"/>
              <w:jc w:val="both"/>
              <w:rPr>
                <w:b/>
              </w:rPr>
            </w:pPr>
          </w:p>
          <w:p w:rsidR="006F3F86" w:rsidRDefault="006F3F86" w:rsidP="00423408">
            <w:pPr>
              <w:pStyle w:val="naisc"/>
              <w:spacing w:before="0" w:after="0"/>
              <w:jc w:val="both"/>
              <w:rPr>
                <w:b/>
              </w:rPr>
            </w:pPr>
            <w:r w:rsidRPr="006F3F86">
              <w:rPr>
                <w:b/>
              </w:rPr>
              <w:t>Ņemts vērā.</w:t>
            </w:r>
          </w:p>
          <w:p w:rsidR="00172EEE" w:rsidRDefault="00172EEE" w:rsidP="00423408">
            <w:pPr>
              <w:pStyle w:val="naisc"/>
              <w:spacing w:before="0" w:after="0"/>
              <w:jc w:val="both"/>
              <w:rPr>
                <w:b/>
              </w:rPr>
            </w:pPr>
          </w:p>
          <w:p w:rsidR="00172EEE" w:rsidRDefault="00172EEE" w:rsidP="00172EEE">
            <w:pPr>
              <w:pStyle w:val="naisc"/>
              <w:spacing w:before="0" w:after="0"/>
              <w:jc w:val="both"/>
              <w:rPr>
                <w:b/>
              </w:rPr>
            </w:pPr>
          </w:p>
          <w:p w:rsidR="00172EEE" w:rsidRDefault="00172EEE" w:rsidP="00172EEE">
            <w:pPr>
              <w:pStyle w:val="naisc"/>
              <w:spacing w:before="0" w:after="0"/>
              <w:jc w:val="both"/>
              <w:rPr>
                <w:b/>
              </w:rPr>
            </w:pPr>
          </w:p>
          <w:p w:rsidR="00172EEE" w:rsidRDefault="00172EEE" w:rsidP="00172EEE">
            <w:pPr>
              <w:pStyle w:val="naisc"/>
              <w:spacing w:before="0" w:after="0"/>
              <w:jc w:val="both"/>
              <w:rPr>
                <w:b/>
              </w:rPr>
            </w:pPr>
          </w:p>
          <w:p w:rsidR="00172EEE" w:rsidRDefault="00172EEE" w:rsidP="00172EEE">
            <w:pPr>
              <w:pStyle w:val="naisc"/>
              <w:spacing w:before="0" w:after="0"/>
              <w:jc w:val="both"/>
              <w:rPr>
                <w:b/>
              </w:rPr>
            </w:pPr>
          </w:p>
          <w:p w:rsidR="00172EEE" w:rsidRDefault="00172EEE" w:rsidP="00172EEE">
            <w:pPr>
              <w:pStyle w:val="naisc"/>
              <w:spacing w:before="0" w:after="0"/>
              <w:jc w:val="both"/>
              <w:rPr>
                <w:b/>
              </w:rPr>
            </w:pPr>
          </w:p>
          <w:p w:rsidR="00172EEE" w:rsidRDefault="00172EEE" w:rsidP="00172EEE">
            <w:pPr>
              <w:pStyle w:val="naisc"/>
              <w:spacing w:before="0" w:after="0"/>
              <w:jc w:val="both"/>
              <w:rPr>
                <w:b/>
              </w:rPr>
            </w:pPr>
          </w:p>
          <w:p w:rsidR="00172EEE" w:rsidRDefault="00172EEE" w:rsidP="00172EEE">
            <w:pPr>
              <w:pStyle w:val="naisc"/>
              <w:spacing w:before="0" w:after="0"/>
              <w:jc w:val="both"/>
              <w:rPr>
                <w:b/>
              </w:rPr>
            </w:pPr>
          </w:p>
          <w:p w:rsidR="00172EEE" w:rsidRDefault="00172EEE" w:rsidP="00172EEE">
            <w:pPr>
              <w:pStyle w:val="naisc"/>
              <w:spacing w:before="0" w:after="0"/>
              <w:jc w:val="both"/>
              <w:rPr>
                <w:b/>
              </w:rPr>
            </w:pPr>
          </w:p>
          <w:p w:rsidR="00172EEE" w:rsidRDefault="00172EEE" w:rsidP="00172EEE">
            <w:pPr>
              <w:pStyle w:val="naisc"/>
              <w:spacing w:before="0" w:after="0"/>
              <w:jc w:val="both"/>
              <w:rPr>
                <w:b/>
              </w:rPr>
            </w:pPr>
          </w:p>
          <w:p w:rsidR="00172EEE" w:rsidRDefault="00172EEE" w:rsidP="00172EEE">
            <w:pPr>
              <w:pStyle w:val="naisc"/>
              <w:spacing w:before="0" w:after="0"/>
              <w:jc w:val="both"/>
              <w:rPr>
                <w:b/>
              </w:rPr>
            </w:pPr>
          </w:p>
          <w:p w:rsidR="00172EEE" w:rsidRDefault="00172EEE" w:rsidP="00172EEE">
            <w:pPr>
              <w:pStyle w:val="naisc"/>
              <w:spacing w:before="0" w:after="0"/>
              <w:jc w:val="both"/>
              <w:rPr>
                <w:b/>
              </w:rPr>
            </w:pPr>
          </w:p>
          <w:p w:rsidR="00172EEE" w:rsidRDefault="00172EEE" w:rsidP="00172EEE">
            <w:pPr>
              <w:pStyle w:val="naisc"/>
              <w:spacing w:before="0" w:after="0"/>
              <w:jc w:val="both"/>
              <w:rPr>
                <w:b/>
              </w:rPr>
            </w:pPr>
          </w:p>
          <w:p w:rsidR="00172EEE" w:rsidRDefault="00172EEE" w:rsidP="00172EEE">
            <w:pPr>
              <w:pStyle w:val="naisc"/>
              <w:spacing w:before="0" w:after="0"/>
              <w:jc w:val="both"/>
              <w:rPr>
                <w:b/>
              </w:rPr>
            </w:pPr>
          </w:p>
          <w:p w:rsidR="00172EEE" w:rsidRDefault="00172EEE" w:rsidP="00172EEE">
            <w:pPr>
              <w:pStyle w:val="naisc"/>
              <w:spacing w:before="0" w:after="0"/>
              <w:jc w:val="both"/>
              <w:rPr>
                <w:b/>
              </w:rPr>
            </w:pPr>
          </w:p>
          <w:p w:rsidR="00172EEE" w:rsidRDefault="00172EEE" w:rsidP="00172EEE">
            <w:pPr>
              <w:pStyle w:val="naisc"/>
              <w:spacing w:before="0" w:after="0"/>
              <w:jc w:val="both"/>
              <w:rPr>
                <w:b/>
              </w:rPr>
            </w:pPr>
          </w:p>
          <w:p w:rsidR="00172EEE" w:rsidRDefault="00172EEE" w:rsidP="00172EEE">
            <w:pPr>
              <w:pStyle w:val="naisc"/>
              <w:spacing w:before="0" w:after="0"/>
              <w:jc w:val="both"/>
              <w:rPr>
                <w:b/>
              </w:rPr>
            </w:pPr>
          </w:p>
          <w:p w:rsidR="00172EEE" w:rsidRDefault="00172EEE" w:rsidP="00172EEE">
            <w:pPr>
              <w:pStyle w:val="naisc"/>
              <w:spacing w:before="0" w:after="0"/>
              <w:jc w:val="both"/>
              <w:rPr>
                <w:b/>
              </w:rPr>
            </w:pPr>
          </w:p>
          <w:p w:rsidR="00172EEE" w:rsidRDefault="00172EEE" w:rsidP="00172EEE">
            <w:pPr>
              <w:pStyle w:val="naisc"/>
              <w:spacing w:before="0" w:after="0"/>
              <w:jc w:val="both"/>
              <w:rPr>
                <w:b/>
              </w:rPr>
            </w:pPr>
          </w:p>
          <w:p w:rsidR="00172EEE" w:rsidRDefault="00172EEE" w:rsidP="00172EEE">
            <w:pPr>
              <w:pStyle w:val="naisc"/>
              <w:spacing w:before="0" w:after="0"/>
              <w:jc w:val="both"/>
              <w:rPr>
                <w:b/>
              </w:rPr>
            </w:pPr>
          </w:p>
          <w:p w:rsidR="00172EEE" w:rsidRDefault="00172EEE" w:rsidP="00172EEE">
            <w:pPr>
              <w:pStyle w:val="naisc"/>
              <w:spacing w:before="0" w:after="0"/>
              <w:jc w:val="both"/>
              <w:rPr>
                <w:b/>
              </w:rPr>
            </w:pPr>
          </w:p>
          <w:p w:rsidR="00172EEE" w:rsidRDefault="00172EEE" w:rsidP="00172EEE">
            <w:pPr>
              <w:pStyle w:val="naisc"/>
              <w:spacing w:before="0" w:after="0"/>
              <w:jc w:val="both"/>
              <w:rPr>
                <w:b/>
              </w:rPr>
            </w:pPr>
          </w:p>
          <w:p w:rsidR="00172EEE" w:rsidRDefault="00172EEE" w:rsidP="00172EEE">
            <w:pPr>
              <w:pStyle w:val="naisc"/>
              <w:spacing w:before="0" w:after="0"/>
              <w:jc w:val="both"/>
              <w:rPr>
                <w:b/>
              </w:rPr>
            </w:pPr>
          </w:p>
          <w:p w:rsidR="00172EEE" w:rsidRDefault="00172EEE" w:rsidP="00172EEE">
            <w:pPr>
              <w:pStyle w:val="naisc"/>
              <w:spacing w:before="0" w:after="0"/>
              <w:jc w:val="both"/>
              <w:rPr>
                <w:b/>
              </w:rPr>
            </w:pPr>
          </w:p>
          <w:p w:rsidR="00172EEE" w:rsidRDefault="00172EEE" w:rsidP="00172EEE">
            <w:pPr>
              <w:pStyle w:val="naisc"/>
              <w:spacing w:before="0" w:after="0"/>
              <w:jc w:val="both"/>
              <w:rPr>
                <w:b/>
              </w:rPr>
            </w:pPr>
          </w:p>
          <w:p w:rsidR="00172EEE" w:rsidRDefault="00172EEE" w:rsidP="00172EEE">
            <w:pPr>
              <w:pStyle w:val="naisc"/>
              <w:spacing w:before="0" w:after="0"/>
              <w:jc w:val="both"/>
              <w:rPr>
                <w:b/>
              </w:rPr>
            </w:pPr>
          </w:p>
          <w:p w:rsidR="00172EEE" w:rsidRDefault="00172EEE" w:rsidP="00172EEE">
            <w:pPr>
              <w:pStyle w:val="naisc"/>
              <w:spacing w:before="0" w:after="0"/>
              <w:jc w:val="both"/>
              <w:rPr>
                <w:b/>
              </w:rPr>
            </w:pPr>
          </w:p>
          <w:p w:rsidR="00172EEE" w:rsidRDefault="00172EEE" w:rsidP="00172EEE">
            <w:pPr>
              <w:pStyle w:val="naisc"/>
              <w:spacing w:before="0" w:after="0"/>
              <w:jc w:val="both"/>
              <w:rPr>
                <w:b/>
              </w:rPr>
            </w:pPr>
          </w:p>
          <w:p w:rsidR="00172EEE" w:rsidRDefault="00172EEE" w:rsidP="00172EEE">
            <w:pPr>
              <w:pStyle w:val="naisc"/>
              <w:spacing w:before="0" w:after="0"/>
              <w:jc w:val="both"/>
              <w:rPr>
                <w:b/>
              </w:rPr>
            </w:pPr>
          </w:p>
          <w:p w:rsidR="00172EEE" w:rsidRDefault="00172EEE" w:rsidP="00172EEE">
            <w:pPr>
              <w:pStyle w:val="naisc"/>
              <w:spacing w:before="0" w:after="0"/>
              <w:jc w:val="both"/>
              <w:rPr>
                <w:b/>
              </w:rPr>
            </w:pPr>
          </w:p>
          <w:p w:rsidR="00172EEE" w:rsidRDefault="00172EEE" w:rsidP="00172EEE">
            <w:pPr>
              <w:pStyle w:val="naisc"/>
              <w:spacing w:before="0" w:after="0"/>
              <w:jc w:val="both"/>
              <w:rPr>
                <w:b/>
              </w:rPr>
            </w:pPr>
          </w:p>
          <w:p w:rsidR="00172EEE" w:rsidRDefault="00172EEE" w:rsidP="00172EEE">
            <w:pPr>
              <w:pStyle w:val="naisc"/>
              <w:spacing w:before="0" w:after="0"/>
              <w:jc w:val="both"/>
              <w:rPr>
                <w:b/>
              </w:rPr>
            </w:pPr>
          </w:p>
          <w:p w:rsidR="00172EEE" w:rsidRDefault="00172EEE" w:rsidP="00172EEE">
            <w:pPr>
              <w:pStyle w:val="naisc"/>
              <w:spacing w:before="0" w:after="0"/>
              <w:jc w:val="both"/>
              <w:rPr>
                <w:b/>
              </w:rPr>
            </w:pPr>
          </w:p>
          <w:p w:rsidR="00172EEE" w:rsidRDefault="00172EEE" w:rsidP="00172EEE">
            <w:pPr>
              <w:pStyle w:val="naisc"/>
              <w:spacing w:before="0" w:after="0"/>
              <w:jc w:val="both"/>
              <w:rPr>
                <w:b/>
              </w:rPr>
            </w:pPr>
          </w:p>
          <w:p w:rsidR="00172EEE" w:rsidRDefault="00172EEE" w:rsidP="00172EEE">
            <w:pPr>
              <w:pStyle w:val="naisc"/>
              <w:spacing w:before="0" w:after="0"/>
              <w:jc w:val="both"/>
              <w:rPr>
                <w:b/>
              </w:rPr>
            </w:pPr>
          </w:p>
          <w:p w:rsidR="00172EEE" w:rsidRDefault="00172EEE" w:rsidP="00172EEE">
            <w:pPr>
              <w:pStyle w:val="naisc"/>
              <w:spacing w:before="0" w:after="0"/>
              <w:jc w:val="both"/>
              <w:rPr>
                <w:b/>
              </w:rPr>
            </w:pPr>
          </w:p>
          <w:p w:rsidR="00172EEE" w:rsidRDefault="00172EEE" w:rsidP="00172EEE">
            <w:pPr>
              <w:pStyle w:val="naisc"/>
              <w:spacing w:before="0" w:after="0"/>
              <w:jc w:val="both"/>
              <w:rPr>
                <w:b/>
              </w:rPr>
            </w:pPr>
          </w:p>
          <w:p w:rsidR="00AB6803" w:rsidRDefault="00AB6803" w:rsidP="00172EEE">
            <w:pPr>
              <w:pStyle w:val="naisc"/>
              <w:spacing w:before="0" w:after="0"/>
              <w:jc w:val="both"/>
              <w:rPr>
                <w:b/>
              </w:rPr>
            </w:pPr>
          </w:p>
          <w:p w:rsidR="00EA6499" w:rsidRDefault="00EA6499" w:rsidP="00172EEE">
            <w:pPr>
              <w:pStyle w:val="naisc"/>
              <w:spacing w:before="0" w:after="0"/>
              <w:jc w:val="both"/>
              <w:rPr>
                <w:b/>
              </w:rPr>
            </w:pPr>
          </w:p>
          <w:p w:rsidR="00172EEE" w:rsidRDefault="00A83047" w:rsidP="00172EEE">
            <w:pPr>
              <w:pStyle w:val="naisc"/>
              <w:spacing w:before="0" w:after="0"/>
              <w:jc w:val="both"/>
              <w:rPr>
                <w:b/>
              </w:rPr>
            </w:pPr>
            <w:r>
              <w:rPr>
                <w:b/>
              </w:rPr>
              <w:t>Panākta vienošanās</w:t>
            </w:r>
            <w:r w:rsidR="00172EEE" w:rsidRPr="00172EEE">
              <w:rPr>
                <w:b/>
              </w:rPr>
              <w:t>.</w:t>
            </w: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EA6499" w:rsidRDefault="00EA6499" w:rsidP="00172EEE">
            <w:pPr>
              <w:pStyle w:val="naisc"/>
              <w:spacing w:before="0" w:after="0"/>
              <w:jc w:val="both"/>
              <w:rPr>
                <w:b/>
              </w:rPr>
            </w:pPr>
          </w:p>
          <w:p w:rsidR="00EA6499" w:rsidRDefault="00EA6499" w:rsidP="00172EEE">
            <w:pPr>
              <w:pStyle w:val="naisc"/>
              <w:spacing w:before="0" w:after="0"/>
              <w:jc w:val="both"/>
              <w:rPr>
                <w:b/>
              </w:rPr>
            </w:pPr>
          </w:p>
          <w:p w:rsidR="00EA6499" w:rsidRDefault="00EA6499" w:rsidP="00172EEE">
            <w:pPr>
              <w:pStyle w:val="naisc"/>
              <w:spacing w:before="0" w:after="0"/>
              <w:jc w:val="both"/>
              <w:rPr>
                <w:b/>
              </w:rPr>
            </w:pPr>
          </w:p>
          <w:p w:rsidR="00EA6499" w:rsidRDefault="00EA6499" w:rsidP="00172EEE">
            <w:pPr>
              <w:pStyle w:val="naisc"/>
              <w:spacing w:before="0" w:after="0"/>
              <w:jc w:val="both"/>
              <w:rPr>
                <w:b/>
              </w:rPr>
            </w:pPr>
          </w:p>
          <w:p w:rsidR="00A83047" w:rsidRDefault="00A83047" w:rsidP="00A83047">
            <w:pPr>
              <w:pStyle w:val="naisc"/>
              <w:spacing w:before="0" w:after="0"/>
              <w:jc w:val="both"/>
              <w:rPr>
                <w:b/>
              </w:rPr>
            </w:pPr>
            <w:r>
              <w:rPr>
                <w:b/>
              </w:rPr>
              <w:lastRenderedPageBreak/>
              <w:t>Panākta vienošanās</w:t>
            </w:r>
            <w:r w:rsidRPr="00172EEE">
              <w:rPr>
                <w:b/>
              </w:rPr>
              <w:t>.</w:t>
            </w: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Default="00F44182" w:rsidP="00172EEE">
            <w:pPr>
              <w:pStyle w:val="naisc"/>
              <w:spacing w:before="0" w:after="0"/>
              <w:jc w:val="both"/>
              <w:rPr>
                <w:b/>
              </w:rPr>
            </w:pPr>
          </w:p>
          <w:p w:rsidR="00F44182" w:rsidRPr="00BD5A7E" w:rsidRDefault="00F44182" w:rsidP="00172EEE">
            <w:pPr>
              <w:pStyle w:val="naisc"/>
              <w:spacing w:before="0" w:after="0"/>
              <w:jc w:val="both"/>
              <w:rPr>
                <w:b/>
              </w:rPr>
            </w:pPr>
          </w:p>
        </w:tc>
        <w:tc>
          <w:tcPr>
            <w:tcW w:w="4820" w:type="dxa"/>
            <w:tcBorders>
              <w:top w:val="single" w:sz="4" w:space="0" w:color="auto"/>
              <w:left w:val="single" w:sz="4" w:space="0" w:color="auto"/>
              <w:bottom w:val="single" w:sz="4" w:space="0" w:color="auto"/>
            </w:tcBorders>
          </w:tcPr>
          <w:p w:rsidR="00E20FAC" w:rsidRDefault="00E20FAC" w:rsidP="00E20FAC">
            <w:pPr>
              <w:jc w:val="both"/>
            </w:pPr>
            <w:r>
              <w:lastRenderedPageBreak/>
              <w:t xml:space="preserve">Noteikumu projekta </w:t>
            </w:r>
            <w:r w:rsidR="00A664D6">
              <w:t>1</w:t>
            </w:r>
            <w:r>
              <w:t>.punkts:</w:t>
            </w:r>
          </w:p>
          <w:p w:rsidR="002B0F53" w:rsidRDefault="00E20FAC" w:rsidP="002B0F53">
            <w:pPr>
              <w:pStyle w:val="naisc"/>
              <w:jc w:val="both"/>
            </w:pPr>
            <w:r>
              <w:t>“</w:t>
            </w:r>
            <w:r w:rsidR="00384D11">
              <w:t xml:space="preserve">1. </w:t>
            </w:r>
            <w:r w:rsidR="002B0F53">
              <w:t xml:space="preserve">Noteikumi nosaka izložu un azartspēļu nodokļa pārskatu veidlapu paraugus </w:t>
            </w:r>
            <w:r w:rsidR="00384D11">
              <w:rPr>
                <w:szCs w:val="28"/>
              </w:rPr>
              <w:t>par aprēķināto izložu un azartspēļu nodokli par pārskata mēnesi</w:t>
            </w:r>
            <w:r w:rsidR="00384D11">
              <w:t xml:space="preserve"> </w:t>
            </w:r>
            <w:r w:rsidR="002B0F53">
              <w:t>un to aizpildīšanas kārtību</w:t>
            </w:r>
            <w:r w:rsidR="00384D11">
              <w:t>.</w:t>
            </w:r>
            <w:r w:rsidR="002B0F53">
              <w:t>”</w:t>
            </w:r>
          </w:p>
          <w:p w:rsidR="002B0F53" w:rsidRDefault="002B0F53" w:rsidP="00D3363A">
            <w:pPr>
              <w:pStyle w:val="naisc"/>
              <w:jc w:val="both"/>
            </w:pPr>
          </w:p>
          <w:p w:rsidR="002B0F53" w:rsidRDefault="002B0F53" w:rsidP="002B0F53">
            <w:pPr>
              <w:pStyle w:val="naisc"/>
              <w:jc w:val="both"/>
            </w:pPr>
          </w:p>
          <w:p w:rsidR="006F3F86" w:rsidRDefault="006F3F86" w:rsidP="002B0F53">
            <w:pPr>
              <w:pStyle w:val="naisc"/>
              <w:jc w:val="both"/>
            </w:pPr>
          </w:p>
          <w:p w:rsidR="006F3F86" w:rsidRDefault="006F3F86" w:rsidP="002B0F53">
            <w:pPr>
              <w:pStyle w:val="naisc"/>
              <w:jc w:val="both"/>
            </w:pPr>
          </w:p>
          <w:p w:rsidR="006F3F86" w:rsidRDefault="006F3F86" w:rsidP="002B0F53">
            <w:pPr>
              <w:pStyle w:val="naisc"/>
              <w:jc w:val="both"/>
            </w:pPr>
          </w:p>
          <w:p w:rsidR="006F3F86" w:rsidRDefault="006F3F86" w:rsidP="002B0F53">
            <w:pPr>
              <w:pStyle w:val="naisc"/>
              <w:jc w:val="both"/>
            </w:pPr>
          </w:p>
          <w:p w:rsidR="006F3F86" w:rsidRDefault="006F3F86" w:rsidP="002B0F53">
            <w:pPr>
              <w:pStyle w:val="naisc"/>
              <w:jc w:val="both"/>
            </w:pPr>
          </w:p>
          <w:p w:rsidR="006F3F86" w:rsidRDefault="006F3F86" w:rsidP="002B0F53">
            <w:pPr>
              <w:pStyle w:val="naisc"/>
              <w:jc w:val="both"/>
            </w:pPr>
          </w:p>
          <w:p w:rsidR="006F3F86" w:rsidRDefault="006F3F86" w:rsidP="002B0F53">
            <w:pPr>
              <w:pStyle w:val="naisc"/>
              <w:jc w:val="both"/>
            </w:pPr>
          </w:p>
          <w:p w:rsidR="006F3F86" w:rsidRDefault="006F3F86" w:rsidP="002B0F53">
            <w:pPr>
              <w:pStyle w:val="naisc"/>
              <w:jc w:val="both"/>
            </w:pPr>
          </w:p>
          <w:p w:rsidR="006F3F86" w:rsidRDefault="006F3F86" w:rsidP="002B0F53">
            <w:pPr>
              <w:pStyle w:val="naisc"/>
              <w:jc w:val="both"/>
            </w:pPr>
          </w:p>
          <w:p w:rsidR="006F3F86" w:rsidRDefault="006F3F86" w:rsidP="002B0F53">
            <w:pPr>
              <w:pStyle w:val="naisc"/>
              <w:jc w:val="both"/>
            </w:pPr>
          </w:p>
          <w:p w:rsidR="006F3F86" w:rsidRDefault="006F3F86" w:rsidP="002B0F53">
            <w:pPr>
              <w:pStyle w:val="naisc"/>
              <w:jc w:val="both"/>
            </w:pPr>
          </w:p>
          <w:p w:rsidR="006F3F86" w:rsidRDefault="006F3F86" w:rsidP="002B0F53">
            <w:pPr>
              <w:pStyle w:val="naisc"/>
              <w:jc w:val="both"/>
            </w:pPr>
          </w:p>
          <w:p w:rsidR="006F3F86" w:rsidRDefault="006F3F86" w:rsidP="002B0F53">
            <w:pPr>
              <w:pStyle w:val="naisc"/>
              <w:jc w:val="both"/>
            </w:pPr>
          </w:p>
          <w:p w:rsidR="00AB6803" w:rsidRDefault="00AB6803" w:rsidP="002B0F53">
            <w:pPr>
              <w:pStyle w:val="naisc"/>
              <w:jc w:val="both"/>
            </w:pPr>
          </w:p>
          <w:p w:rsidR="00AB6803" w:rsidRDefault="00AB6803" w:rsidP="002B0F53">
            <w:pPr>
              <w:pStyle w:val="naisc"/>
              <w:jc w:val="both"/>
            </w:pPr>
          </w:p>
          <w:p w:rsidR="00791DA2" w:rsidRDefault="00791DA2" w:rsidP="002B0F53">
            <w:pPr>
              <w:pStyle w:val="naisc"/>
              <w:jc w:val="both"/>
            </w:pPr>
          </w:p>
          <w:p w:rsidR="006F3F86" w:rsidRDefault="006F3F86" w:rsidP="002B0F53">
            <w:pPr>
              <w:pStyle w:val="naisc"/>
              <w:jc w:val="both"/>
            </w:pPr>
            <w:r w:rsidRPr="006F3F86">
              <w:t xml:space="preserve">Noteikumu projekta </w:t>
            </w:r>
            <w:r>
              <w:t>4</w:t>
            </w:r>
            <w:r w:rsidRPr="006F3F86">
              <w:t>.punkts</w:t>
            </w:r>
            <w:r>
              <w:t xml:space="preserve"> izslēgts.</w:t>
            </w:r>
          </w:p>
          <w:p w:rsidR="00172EEE" w:rsidRDefault="00172EEE" w:rsidP="002B0F53">
            <w:pPr>
              <w:pStyle w:val="naisc"/>
              <w:jc w:val="both"/>
            </w:pPr>
          </w:p>
          <w:p w:rsidR="00172EEE" w:rsidRDefault="00172EEE" w:rsidP="002B0F53">
            <w:pPr>
              <w:pStyle w:val="naisc"/>
              <w:jc w:val="both"/>
            </w:pPr>
          </w:p>
          <w:p w:rsidR="00172EEE" w:rsidRDefault="00172EEE" w:rsidP="002B0F53">
            <w:pPr>
              <w:pStyle w:val="naisc"/>
              <w:jc w:val="both"/>
            </w:pPr>
          </w:p>
          <w:p w:rsidR="00172EEE" w:rsidRDefault="00172EEE" w:rsidP="002B0F53">
            <w:pPr>
              <w:pStyle w:val="naisc"/>
              <w:jc w:val="both"/>
            </w:pPr>
          </w:p>
          <w:p w:rsidR="00172EEE" w:rsidRDefault="00172EEE" w:rsidP="002B0F53">
            <w:pPr>
              <w:pStyle w:val="naisc"/>
              <w:jc w:val="both"/>
            </w:pPr>
          </w:p>
          <w:p w:rsidR="00172EEE" w:rsidRDefault="00172EEE" w:rsidP="002B0F53">
            <w:pPr>
              <w:pStyle w:val="naisc"/>
              <w:jc w:val="both"/>
            </w:pPr>
          </w:p>
          <w:p w:rsidR="00172EEE" w:rsidRDefault="00172EEE" w:rsidP="002B0F53">
            <w:pPr>
              <w:pStyle w:val="naisc"/>
              <w:jc w:val="both"/>
            </w:pPr>
          </w:p>
          <w:p w:rsidR="00172EEE" w:rsidRDefault="00172EEE" w:rsidP="002B0F53">
            <w:pPr>
              <w:pStyle w:val="naisc"/>
              <w:jc w:val="both"/>
            </w:pPr>
          </w:p>
          <w:p w:rsidR="00172EEE" w:rsidRDefault="00172EEE" w:rsidP="002B0F53">
            <w:pPr>
              <w:pStyle w:val="naisc"/>
              <w:jc w:val="both"/>
            </w:pPr>
          </w:p>
          <w:p w:rsidR="00172EEE" w:rsidRDefault="00172EEE" w:rsidP="002B0F53">
            <w:pPr>
              <w:pStyle w:val="naisc"/>
              <w:jc w:val="both"/>
            </w:pPr>
          </w:p>
          <w:p w:rsidR="00172EEE" w:rsidRDefault="00172EEE" w:rsidP="002B0F53">
            <w:pPr>
              <w:pStyle w:val="naisc"/>
              <w:jc w:val="both"/>
            </w:pPr>
          </w:p>
          <w:p w:rsidR="00172EEE" w:rsidRDefault="00172EEE" w:rsidP="002B0F53">
            <w:pPr>
              <w:pStyle w:val="naisc"/>
              <w:jc w:val="both"/>
            </w:pPr>
          </w:p>
          <w:p w:rsidR="00172EEE" w:rsidRDefault="00172EEE" w:rsidP="002B0F53">
            <w:pPr>
              <w:pStyle w:val="naisc"/>
              <w:jc w:val="both"/>
            </w:pPr>
          </w:p>
          <w:p w:rsidR="00172EEE" w:rsidRDefault="00172EEE" w:rsidP="002B0F53">
            <w:pPr>
              <w:pStyle w:val="naisc"/>
              <w:jc w:val="both"/>
            </w:pPr>
          </w:p>
          <w:p w:rsidR="00172EEE" w:rsidRDefault="00172EEE" w:rsidP="002B0F53">
            <w:pPr>
              <w:pStyle w:val="naisc"/>
              <w:jc w:val="both"/>
            </w:pPr>
          </w:p>
          <w:p w:rsidR="00172EEE" w:rsidRDefault="00172EEE" w:rsidP="002B0F53">
            <w:pPr>
              <w:pStyle w:val="naisc"/>
              <w:jc w:val="both"/>
            </w:pPr>
          </w:p>
          <w:p w:rsidR="00172EEE" w:rsidRDefault="00172EEE" w:rsidP="002B0F53">
            <w:pPr>
              <w:pStyle w:val="naisc"/>
              <w:jc w:val="both"/>
            </w:pPr>
          </w:p>
          <w:p w:rsidR="00172EEE" w:rsidRDefault="00172EEE" w:rsidP="002B0F53">
            <w:pPr>
              <w:pStyle w:val="naisc"/>
              <w:jc w:val="both"/>
            </w:pPr>
          </w:p>
          <w:p w:rsidR="00172EEE" w:rsidRDefault="00172EEE" w:rsidP="002B0F53">
            <w:pPr>
              <w:pStyle w:val="naisc"/>
              <w:jc w:val="both"/>
            </w:pPr>
          </w:p>
          <w:p w:rsidR="00172EEE" w:rsidRDefault="00172EEE" w:rsidP="002B0F53">
            <w:pPr>
              <w:pStyle w:val="naisc"/>
              <w:jc w:val="both"/>
            </w:pPr>
          </w:p>
          <w:p w:rsidR="00172EEE" w:rsidRDefault="00172EEE" w:rsidP="002B0F53">
            <w:pPr>
              <w:pStyle w:val="naisc"/>
              <w:jc w:val="both"/>
            </w:pPr>
          </w:p>
          <w:p w:rsidR="00172EEE" w:rsidRDefault="00172EEE" w:rsidP="002B0F53">
            <w:pPr>
              <w:pStyle w:val="naisc"/>
              <w:jc w:val="both"/>
            </w:pPr>
          </w:p>
          <w:p w:rsidR="00172EEE" w:rsidRDefault="00172EEE" w:rsidP="002B0F53">
            <w:pPr>
              <w:pStyle w:val="naisc"/>
              <w:jc w:val="both"/>
            </w:pPr>
          </w:p>
          <w:p w:rsidR="00172EEE" w:rsidRDefault="00172EEE" w:rsidP="002B0F53">
            <w:pPr>
              <w:pStyle w:val="naisc"/>
              <w:jc w:val="both"/>
            </w:pPr>
          </w:p>
          <w:p w:rsidR="00172EEE" w:rsidRDefault="00172EEE" w:rsidP="002B0F53">
            <w:pPr>
              <w:pStyle w:val="naisc"/>
              <w:jc w:val="both"/>
            </w:pPr>
          </w:p>
          <w:p w:rsidR="00172EEE" w:rsidRDefault="00172EEE" w:rsidP="002B0F53">
            <w:pPr>
              <w:pStyle w:val="naisc"/>
              <w:jc w:val="both"/>
            </w:pPr>
          </w:p>
          <w:p w:rsidR="00172EEE" w:rsidRDefault="00172EEE" w:rsidP="002B0F53">
            <w:pPr>
              <w:pStyle w:val="naisc"/>
              <w:jc w:val="both"/>
            </w:pPr>
          </w:p>
          <w:p w:rsidR="00172EEE" w:rsidRDefault="00172EEE" w:rsidP="002B0F53">
            <w:pPr>
              <w:pStyle w:val="naisc"/>
              <w:jc w:val="both"/>
            </w:pPr>
          </w:p>
          <w:p w:rsidR="00791DA2" w:rsidRDefault="00791DA2" w:rsidP="002B0F53">
            <w:pPr>
              <w:pStyle w:val="naisc"/>
              <w:jc w:val="both"/>
            </w:pPr>
          </w:p>
          <w:p w:rsidR="00791DA2" w:rsidRDefault="00791DA2" w:rsidP="002B0F53">
            <w:pPr>
              <w:pStyle w:val="naisc"/>
              <w:jc w:val="both"/>
            </w:pPr>
          </w:p>
          <w:p w:rsidR="00791DA2" w:rsidRDefault="00791DA2" w:rsidP="002B0F53">
            <w:pPr>
              <w:pStyle w:val="naisc"/>
              <w:jc w:val="both"/>
            </w:pPr>
          </w:p>
          <w:p w:rsidR="001F6164" w:rsidRDefault="001F6164" w:rsidP="002B0F53">
            <w:pPr>
              <w:pStyle w:val="naisc"/>
              <w:jc w:val="both"/>
            </w:pPr>
            <w:r>
              <w:t>Atbilstoši likuma “Par nodokļiem un nodevām” 15.panta pirmās daļas 3.punktam n</w:t>
            </w:r>
            <w:r w:rsidRPr="001F6164">
              <w:t>odokļu maksātāji, iesniedzot Valsts ieņēmumu dienestam nodokļu deklarācijas un informatīvās deklarācijas elektroniska dokumenta veidā, izmanto Valsts ieņēmumu dienesta elektroniskās deklarēšanas sistēmu</w:t>
            </w:r>
            <w:r>
              <w:t xml:space="preserve"> (EDS)</w:t>
            </w:r>
            <w:r w:rsidRPr="001F6164">
              <w:t>.</w:t>
            </w:r>
          </w:p>
          <w:p w:rsidR="00172EEE" w:rsidRDefault="00172EEE" w:rsidP="002B0F53">
            <w:pPr>
              <w:pStyle w:val="naisc"/>
              <w:jc w:val="both"/>
            </w:pPr>
            <w:r>
              <w:lastRenderedPageBreak/>
              <w:t xml:space="preserve">Likuma “Par izložu un azartspēļu </w:t>
            </w:r>
            <w:r w:rsidR="00791B35">
              <w:t>nodevu un nodokli</w:t>
            </w:r>
            <w:r>
              <w:t>”</w:t>
            </w:r>
            <w:r w:rsidR="00791B35">
              <w:t xml:space="preserve"> 10.panta sestajā daļā (redakcijā, kas stāsies spēkā ar 2021.gada 1.janvāri) noteikts, ka i</w:t>
            </w:r>
            <w:r w:rsidRPr="00172EEE">
              <w:t xml:space="preserve">zložu un azartspēļu organizētāji 15 dienu laikā pēc pārskata mēneša beigām, </w:t>
            </w:r>
            <w:r w:rsidRPr="00791B35">
              <w:rPr>
                <w:u w:val="single"/>
              </w:rPr>
              <w:t>izmantojot Valsts ieņēmumu dienesta Elektroniskās deklarēšanas sistēmu</w:t>
            </w:r>
            <w:r w:rsidRPr="00172EEE">
              <w:t>, iesniedz Valsts ieņēmumu dienestam izložu un azartspēļu nodokļa pārskatu par aprēķināto izložu un azartspēļu nodokli par pārskata mēnesi. Pārskatu veidlapu paraugus un to aizpildīšanas kārtību nosaka Ministru kabinets.</w:t>
            </w:r>
          </w:p>
          <w:p w:rsidR="003C717E" w:rsidRPr="001F6164" w:rsidRDefault="00791B35" w:rsidP="003C717E">
            <w:pPr>
              <w:pStyle w:val="naisc"/>
              <w:jc w:val="both"/>
            </w:pPr>
            <w:r>
              <w:t xml:space="preserve">Tātad </w:t>
            </w:r>
            <w:r w:rsidR="00A17EC4">
              <w:t xml:space="preserve">minēto </w:t>
            </w:r>
            <w:r>
              <w:t>likum</w:t>
            </w:r>
            <w:r w:rsidR="00A17EC4">
              <w:t>u</w:t>
            </w:r>
            <w:r w:rsidR="003C717E">
              <w:t xml:space="preserve"> norma</w:t>
            </w:r>
            <w:r w:rsidR="00A17EC4">
              <w:t>s</w:t>
            </w:r>
            <w:r>
              <w:t xml:space="preserve"> viennozīmīgi notei</w:t>
            </w:r>
            <w:r w:rsidR="003C717E">
              <w:t>c</w:t>
            </w:r>
            <w:r>
              <w:t xml:space="preserve">, kādā veidā nodokļu maksātāji iesniedz pārskatus </w:t>
            </w:r>
            <w:r>
              <w:softHyphen/>
              <w:t xml:space="preserve">– </w:t>
            </w:r>
            <w:r w:rsidRPr="00791B35">
              <w:t>izmantojot Valsts ieņēmumu dienesta Elektroniskās deklarēšanas sistēmu</w:t>
            </w:r>
            <w:r w:rsidRPr="001F6164">
              <w:t>. Iev</w:t>
            </w:r>
            <w:r w:rsidR="003C717E" w:rsidRPr="001F6164">
              <w:t>ērojot, ka Ministru kabineta noteikumiem ir jāatbilst likumam</w:t>
            </w:r>
            <w:r w:rsidR="00887BBD" w:rsidRPr="001F6164">
              <w:t xml:space="preserve"> un </w:t>
            </w:r>
            <w:r w:rsidR="003C717E" w:rsidRPr="001F6164">
              <w:t>ka likums neietver deleģējumu Ministru kabinetam noteikt</w:t>
            </w:r>
            <w:r w:rsidR="00887BBD" w:rsidRPr="001F6164">
              <w:t xml:space="preserve"> rīcību gadījumā, kad </w:t>
            </w:r>
            <w:r w:rsidR="000421F2" w:rsidRPr="001F6164">
              <w:t>Elektroniskās deklarēšanas sistēma (</w:t>
            </w:r>
            <w:r w:rsidR="00887BBD" w:rsidRPr="001F6164">
              <w:t>EDS</w:t>
            </w:r>
            <w:r w:rsidR="000421F2" w:rsidRPr="001F6164">
              <w:t>)</w:t>
            </w:r>
            <w:r w:rsidR="00887BBD" w:rsidRPr="001F6164">
              <w:t xml:space="preserve"> nav pieejama, </w:t>
            </w:r>
            <w:r w:rsidR="000421F2" w:rsidRPr="001F6164">
              <w:t>noteikumu projektu nav pamata papildināt ar atrunu, kā iesniedzami pārskati</w:t>
            </w:r>
            <w:r w:rsidR="00A17EC4">
              <w:t>,</w:t>
            </w:r>
            <w:r w:rsidR="000421F2" w:rsidRPr="001F6164">
              <w:t xml:space="preserve"> ja EDS nav pieejama. Turklāt Valsts ieņēmumu dienests EDS</w:t>
            </w:r>
            <w:r w:rsidR="001F6164" w:rsidRPr="001F6164">
              <w:t xml:space="preserve"> sistēmas funkcionalitāte ir aizsargāta un caur to iesniegtie nodokļu maksātāju dati ir droši saglabāti, kā arī sistēma ir tehniski nepārtraukti pieejama lietotājiem.</w:t>
            </w:r>
          </w:p>
          <w:p w:rsidR="000421F2" w:rsidRDefault="000421F2" w:rsidP="003C717E">
            <w:pPr>
              <w:pStyle w:val="naisc"/>
              <w:jc w:val="both"/>
              <w:rPr>
                <w:color w:val="5F497A" w:themeColor="accent4" w:themeShade="BF"/>
              </w:rPr>
            </w:pPr>
          </w:p>
          <w:p w:rsidR="00172EEE" w:rsidRPr="001A2F31" w:rsidRDefault="00172EEE" w:rsidP="002B0F53">
            <w:pPr>
              <w:pStyle w:val="naisc"/>
              <w:jc w:val="both"/>
            </w:pPr>
          </w:p>
          <w:p w:rsidR="00791DA2" w:rsidRDefault="00791DA2" w:rsidP="002A50B9">
            <w:pPr>
              <w:pStyle w:val="naisc"/>
              <w:jc w:val="both"/>
              <w:rPr>
                <w:shd w:val="clear" w:color="auto" w:fill="FFFFFF"/>
              </w:rPr>
            </w:pPr>
          </w:p>
          <w:p w:rsidR="002A50B9" w:rsidRPr="001A2F31" w:rsidRDefault="002A50B9" w:rsidP="002A50B9">
            <w:pPr>
              <w:pStyle w:val="naisc"/>
              <w:jc w:val="both"/>
            </w:pPr>
            <w:r w:rsidRPr="001A2F31">
              <w:rPr>
                <w:shd w:val="clear" w:color="auto" w:fill="FFFFFF"/>
              </w:rPr>
              <w:lastRenderedPageBreak/>
              <w:t xml:space="preserve">Atbilstoši likuma “Par nodokļiem un nodevām” 15.panta pirmās daļas 3.punktam Ministru kabinets nosaka kārtību </w:t>
            </w:r>
            <w:r w:rsidRPr="001A2F31">
              <w:rPr>
                <w:bCs/>
                <w:shd w:val="clear" w:color="auto" w:fill="FFFFFF"/>
              </w:rPr>
              <w:t>(t.i., Ministru kabineta 2014.gada 26.maija noteikumi Nr.263 “Kārtība, kādā Valsts ieņēmumu dienesta elektroniskās deklarēšanas sistēmā tiek identificētas personas, kas iesniedz elektroniskos dokumentus”)</w:t>
            </w:r>
            <w:r w:rsidRPr="001A2F31">
              <w:rPr>
                <w:shd w:val="clear" w:color="auto" w:fill="FFFFFF"/>
              </w:rPr>
              <w:t>, kādā Valsts ieņēmumu dienesta elektroniskās deklarēšanas sistēmā tiek identificētas personas, kas iesniedz elektroniskos dokumentus. Ja nodokļu deklarācijas vai informatīvās deklarācijas ir iesniegtas, izmantojot Valsts ieņēmumu dienesta elektroniskās deklarēšanas sistēmu, šīm deklarācijām ir juridisks spēks arī tad, ja tās nesatur rekvizītu “paraksts”.</w:t>
            </w:r>
          </w:p>
          <w:p w:rsidR="00FD1453" w:rsidRPr="00E32710" w:rsidRDefault="00F44182" w:rsidP="00695F8C">
            <w:pPr>
              <w:pStyle w:val="naisc"/>
              <w:jc w:val="both"/>
            </w:pPr>
            <w:r w:rsidRPr="001A2F31">
              <w:t>Noteikumu projekta 1. pielikumā “Pārskats par aprēķināto azartspēļu nodokli” un 2. pielikumā “Pārskats par aprēķināto izložu nodokli” netiek paredzēti d</w:t>
            </w:r>
            <w:r w:rsidRPr="001A2F31">
              <w:rPr>
                <w:shd w:val="clear" w:color="auto" w:fill="FFFFFF"/>
              </w:rPr>
              <w:t xml:space="preserve">okumenta rekvizīti </w:t>
            </w:r>
            <w:r w:rsidR="00695F8C">
              <w:rPr>
                <w:shd w:val="clear" w:color="auto" w:fill="FFFFFF"/>
              </w:rPr>
              <w:t>“</w:t>
            </w:r>
            <w:r w:rsidRPr="001A2F31">
              <w:rPr>
                <w:shd w:val="clear" w:color="auto" w:fill="FFFFFF"/>
              </w:rPr>
              <w:t>datums</w:t>
            </w:r>
            <w:r w:rsidR="00695F8C">
              <w:rPr>
                <w:shd w:val="clear" w:color="auto" w:fill="FFFFFF"/>
              </w:rPr>
              <w:t>”</w:t>
            </w:r>
            <w:r w:rsidRPr="001A2F31">
              <w:rPr>
                <w:shd w:val="clear" w:color="auto" w:fill="FFFFFF"/>
              </w:rPr>
              <w:t xml:space="preserve"> un </w:t>
            </w:r>
            <w:r w:rsidR="00695F8C">
              <w:rPr>
                <w:shd w:val="clear" w:color="auto" w:fill="FFFFFF"/>
              </w:rPr>
              <w:t>“</w:t>
            </w:r>
            <w:r w:rsidRPr="001A2F31">
              <w:rPr>
                <w:shd w:val="clear" w:color="auto" w:fill="FFFFFF"/>
              </w:rPr>
              <w:t>paraksts</w:t>
            </w:r>
            <w:r w:rsidR="00695F8C">
              <w:rPr>
                <w:shd w:val="clear" w:color="auto" w:fill="FFFFFF"/>
              </w:rPr>
              <w:t>”</w:t>
            </w:r>
            <w:r w:rsidRPr="001A2F31">
              <w:rPr>
                <w:shd w:val="clear" w:color="auto" w:fill="FFFFFF"/>
              </w:rPr>
              <w:t>, jo tādi nav nepieciešami sakarā ar to, ka likuma “Par izložu un azartspēļu nodevu un nodokli”</w:t>
            </w:r>
            <w:r w:rsidRPr="001A2F31">
              <w:t xml:space="preserve"> </w:t>
            </w:r>
            <w:r w:rsidRPr="001A2F31">
              <w:rPr>
                <w:shd w:val="clear" w:color="auto" w:fill="FFFFFF"/>
              </w:rPr>
              <w:t>10.panta sestajā daļā (redakcijā, kas stāsies spēkā ar 2021.gada 1.janvāri) noteiktā kārtība neparedz citas iespējas pārskatu iesniegšanai, kā vien tos iesniegt, izmantojot Elektroniskās deklarēšanas sistēmu (EDS).</w:t>
            </w:r>
            <w:r w:rsidR="002A50B9" w:rsidRPr="001A2F31">
              <w:rPr>
                <w:shd w:val="clear" w:color="auto" w:fill="FFFFFF"/>
              </w:rPr>
              <w:t xml:space="preserve"> Tātad</w:t>
            </w:r>
            <w:r w:rsidR="001A2F31" w:rsidRPr="001A2F31">
              <w:rPr>
                <w:shd w:val="clear" w:color="auto" w:fill="FFFFFF"/>
              </w:rPr>
              <w:t>, iesniedzot pārskatus</w:t>
            </w:r>
            <w:r w:rsidR="002A50B9" w:rsidRPr="001A2F31">
              <w:rPr>
                <w:shd w:val="clear" w:color="auto" w:fill="FFFFFF"/>
              </w:rPr>
              <w:t xml:space="preserve"> EDS</w:t>
            </w:r>
            <w:r w:rsidR="001A2F31" w:rsidRPr="001A2F31">
              <w:rPr>
                <w:shd w:val="clear" w:color="auto" w:fill="FFFFFF"/>
              </w:rPr>
              <w:t>, ir</w:t>
            </w:r>
            <w:r w:rsidR="002A50B9" w:rsidRPr="001A2F31">
              <w:rPr>
                <w:shd w:val="clear" w:color="auto" w:fill="FFFFFF"/>
              </w:rPr>
              <w:t xml:space="preserve"> nodrošin</w:t>
            </w:r>
            <w:r w:rsidR="001A2F31" w:rsidRPr="001A2F31">
              <w:rPr>
                <w:shd w:val="clear" w:color="auto" w:fill="FFFFFF"/>
              </w:rPr>
              <w:t xml:space="preserve">āts, ka tie satur </w:t>
            </w:r>
            <w:r w:rsidR="002A50B9" w:rsidRPr="001A2F31">
              <w:rPr>
                <w:shd w:val="clear" w:color="auto" w:fill="FFFFFF"/>
              </w:rPr>
              <w:t>datum</w:t>
            </w:r>
            <w:r w:rsidR="001A2F31" w:rsidRPr="001A2F31">
              <w:rPr>
                <w:shd w:val="clear" w:color="auto" w:fill="FFFFFF"/>
              </w:rPr>
              <w:t>u un parakstu.</w:t>
            </w:r>
          </w:p>
        </w:tc>
      </w:tr>
      <w:tr w:rsidR="00CB15BD" w:rsidRPr="00F73B2E" w:rsidTr="00683B88">
        <w:tblPrEx>
          <w:tblBorders>
            <w:top w:val="none" w:sz="0" w:space="0" w:color="auto"/>
            <w:left w:val="none" w:sz="0" w:space="0" w:color="auto"/>
            <w:bottom w:val="none" w:sz="0" w:space="0" w:color="auto"/>
            <w:right w:val="none" w:sz="0" w:space="0" w:color="auto"/>
          </w:tblBorders>
        </w:tblPrEx>
        <w:trPr>
          <w:gridAfter w:val="2"/>
          <w:wAfter w:w="5280" w:type="dxa"/>
        </w:trPr>
        <w:tc>
          <w:tcPr>
            <w:tcW w:w="3108" w:type="dxa"/>
            <w:gridSpan w:val="2"/>
          </w:tcPr>
          <w:p w:rsidR="00CB15BD" w:rsidRPr="00855461" w:rsidRDefault="00CB15BD" w:rsidP="00CB15BD">
            <w:pPr>
              <w:pStyle w:val="naiskr"/>
              <w:spacing w:before="0" w:after="0"/>
            </w:pPr>
          </w:p>
          <w:p w:rsidR="00CB15BD" w:rsidRPr="00855461" w:rsidRDefault="00CB15BD" w:rsidP="00CB15BD">
            <w:pPr>
              <w:pStyle w:val="naiskr"/>
              <w:spacing w:before="0" w:after="0"/>
            </w:pPr>
            <w:r w:rsidRPr="00855461">
              <w:t>Atbildīgā amatpersona</w:t>
            </w:r>
          </w:p>
        </w:tc>
        <w:tc>
          <w:tcPr>
            <w:tcW w:w="6179" w:type="dxa"/>
            <w:gridSpan w:val="3"/>
          </w:tcPr>
          <w:p w:rsidR="00CB15BD" w:rsidRPr="00F73B2E" w:rsidRDefault="00CB15BD" w:rsidP="00CB15BD">
            <w:pPr>
              <w:pStyle w:val="naiskr"/>
              <w:spacing w:before="0" w:after="0"/>
              <w:ind w:firstLine="720"/>
              <w:rPr>
                <w:color w:val="C00000"/>
              </w:rPr>
            </w:pPr>
            <w:r w:rsidRPr="00F73B2E">
              <w:rPr>
                <w:color w:val="C00000"/>
              </w:rPr>
              <w:t>  </w:t>
            </w:r>
          </w:p>
        </w:tc>
      </w:tr>
      <w:tr w:rsidR="00CB15BD" w:rsidRPr="00855461" w:rsidTr="00683B88">
        <w:tblPrEx>
          <w:tblBorders>
            <w:top w:val="none" w:sz="0" w:space="0" w:color="auto"/>
            <w:left w:val="none" w:sz="0" w:space="0" w:color="auto"/>
            <w:bottom w:val="none" w:sz="0" w:space="0" w:color="auto"/>
            <w:right w:val="none" w:sz="0" w:space="0" w:color="auto"/>
          </w:tblBorders>
        </w:tblPrEx>
        <w:trPr>
          <w:gridAfter w:val="2"/>
          <w:wAfter w:w="5280" w:type="dxa"/>
        </w:trPr>
        <w:tc>
          <w:tcPr>
            <w:tcW w:w="3108" w:type="dxa"/>
            <w:gridSpan w:val="2"/>
          </w:tcPr>
          <w:p w:rsidR="00CB15BD" w:rsidRPr="00855461" w:rsidRDefault="00CB15BD" w:rsidP="00CB15BD">
            <w:pPr>
              <w:pStyle w:val="naiskr"/>
              <w:spacing w:before="0" w:after="0"/>
              <w:ind w:firstLine="720"/>
            </w:pPr>
          </w:p>
        </w:tc>
        <w:tc>
          <w:tcPr>
            <w:tcW w:w="6179" w:type="dxa"/>
            <w:gridSpan w:val="3"/>
            <w:tcBorders>
              <w:top w:val="single" w:sz="6" w:space="0" w:color="000000"/>
            </w:tcBorders>
          </w:tcPr>
          <w:p w:rsidR="00CB15BD" w:rsidRPr="00855461" w:rsidRDefault="00CB15BD" w:rsidP="00CB15BD">
            <w:pPr>
              <w:pStyle w:val="naisc"/>
              <w:spacing w:before="0" w:after="0"/>
              <w:ind w:firstLine="720"/>
            </w:pPr>
            <w:r w:rsidRPr="00855461">
              <w:t>(paraksts)*</w:t>
            </w:r>
          </w:p>
        </w:tc>
      </w:tr>
    </w:tbl>
    <w:p w:rsidR="00C061CF" w:rsidRPr="00855461" w:rsidRDefault="00C061CF" w:rsidP="00C061CF">
      <w:pPr>
        <w:pStyle w:val="naisf"/>
        <w:spacing w:before="0" w:after="0"/>
        <w:ind w:firstLine="720"/>
      </w:pPr>
    </w:p>
    <w:p w:rsidR="00C061CF" w:rsidRPr="00855461" w:rsidRDefault="00C061CF" w:rsidP="00B16CBE">
      <w:pPr>
        <w:pStyle w:val="naisf"/>
        <w:spacing w:before="0" w:after="0"/>
        <w:ind w:firstLine="0"/>
      </w:pPr>
      <w:r w:rsidRPr="00855461">
        <w:lastRenderedPageBreak/>
        <w:t>Piezīme. * Dokumenta rekvizītu "paraksts" neaizpilda, ja elektroniskais dokuments ir sagatavots atbilstoši normatīvajiem aktiem par elektronisko dokumentu noformēšanu.</w:t>
      </w:r>
    </w:p>
    <w:p w:rsidR="00B16F0C" w:rsidRPr="00855461" w:rsidRDefault="00B16F0C" w:rsidP="00C061CF">
      <w:pPr>
        <w:pStyle w:val="naisf"/>
        <w:spacing w:before="0" w:after="0"/>
        <w:ind w:firstLine="720"/>
      </w:pPr>
    </w:p>
    <w:p w:rsidR="00C061CF" w:rsidRPr="00855461" w:rsidRDefault="00713854" w:rsidP="00C061CF">
      <w:pPr>
        <w:pStyle w:val="naisf"/>
        <w:spacing w:before="0" w:after="0"/>
        <w:ind w:firstLine="720"/>
      </w:pPr>
      <w:r>
        <w:t>Diāna Kudravecs</w:t>
      </w:r>
    </w:p>
    <w:tbl>
      <w:tblPr>
        <w:tblpPr w:leftFromText="180" w:rightFromText="180" w:vertAnchor="text" w:tblpY="1"/>
        <w:tblOverlap w:val="never"/>
        <w:tblW w:w="0" w:type="auto"/>
        <w:tblLook w:val="00A0" w:firstRow="1" w:lastRow="0" w:firstColumn="1" w:lastColumn="0" w:noHBand="0" w:noVBand="0"/>
      </w:tblPr>
      <w:tblGrid>
        <w:gridCol w:w="8268"/>
      </w:tblGrid>
      <w:tr w:rsidR="00C061CF" w:rsidRPr="00855461" w:rsidTr="00B75248">
        <w:tc>
          <w:tcPr>
            <w:tcW w:w="8268" w:type="dxa"/>
            <w:tcBorders>
              <w:top w:val="single" w:sz="4" w:space="0" w:color="000000"/>
            </w:tcBorders>
          </w:tcPr>
          <w:p w:rsidR="00C061CF" w:rsidRPr="00855461" w:rsidRDefault="00C061CF" w:rsidP="00B75248">
            <w:pPr>
              <w:jc w:val="center"/>
            </w:pPr>
            <w:r w:rsidRPr="00855461">
              <w:t>(par projektu atbildīgās amatpersonas vārds un uzvārds)</w:t>
            </w:r>
          </w:p>
        </w:tc>
      </w:tr>
      <w:tr w:rsidR="00C061CF" w:rsidRPr="00855461" w:rsidTr="00B75248">
        <w:tc>
          <w:tcPr>
            <w:tcW w:w="8268" w:type="dxa"/>
            <w:tcBorders>
              <w:bottom w:val="single" w:sz="4" w:space="0" w:color="000000"/>
            </w:tcBorders>
          </w:tcPr>
          <w:p w:rsidR="00C061CF" w:rsidRPr="00855461" w:rsidRDefault="003D6251" w:rsidP="00713854">
            <w:r w:rsidRPr="00855461">
              <w:t xml:space="preserve">Valsts ieņēmumu dienesta Nodokļu pārvaldes </w:t>
            </w:r>
            <w:r w:rsidR="00713854">
              <w:t xml:space="preserve">Nodokļu un nodevu grāmatvedības metodikas daļas </w:t>
            </w:r>
            <w:r w:rsidRPr="00855461">
              <w:t>galvenā nodokļu inspektore</w:t>
            </w:r>
          </w:p>
        </w:tc>
      </w:tr>
      <w:tr w:rsidR="00C061CF" w:rsidRPr="00855461" w:rsidTr="00B75248">
        <w:tc>
          <w:tcPr>
            <w:tcW w:w="8268" w:type="dxa"/>
            <w:tcBorders>
              <w:top w:val="single" w:sz="4" w:space="0" w:color="000000"/>
            </w:tcBorders>
          </w:tcPr>
          <w:p w:rsidR="00C061CF" w:rsidRPr="00855461" w:rsidRDefault="00C061CF" w:rsidP="00B75248">
            <w:pPr>
              <w:jc w:val="center"/>
            </w:pPr>
          </w:p>
        </w:tc>
      </w:tr>
      <w:tr w:rsidR="00C061CF" w:rsidRPr="00855461" w:rsidTr="00B75248">
        <w:tc>
          <w:tcPr>
            <w:tcW w:w="8268" w:type="dxa"/>
            <w:tcBorders>
              <w:bottom w:val="single" w:sz="4" w:space="0" w:color="000000"/>
            </w:tcBorders>
          </w:tcPr>
          <w:p w:rsidR="00C061CF" w:rsidRPr="00855461" w:rsidRDefault="0017139E" w:rsidP="00A664D6">
            <w:r w:rsidRPr="0017139E">
              <w:t>6712</w:t>
            </w:r>
            <w:r w:rsidR="00713854">
              <w:t>2042</w:t>
            </w:r>
          </w:p>
        </w:tc>
      </w:tr>
      <w:tr w:rsidR="00C061CF" w:rsidRPr="00855461" w:rsidTr="00B75248">
        <w:tc>
          <w:tcPr>
            <w:tcW w:w="8268" w:type="dxa"/>
            <w:tcBorders>
              <w:top w:val="single" w:sz="4" w:space="0" w:color="000000"/>
            </w:tcBorders>
          </w:tcPr>
          <w:p w:rsidR="00C061CF" w:rsidRPr="00855461" w:rsidRDefault="00C061CF" w:rsidP="00B75248">
            <w:pPr>
              <w:jc w:val="center"/>
            </w:pPr>
            <w:r w:rsidRPr="00855461">
              <w:t>(tālruņa un faksa numurs)</w:t>
            </w:r>
          </w:p>
        </w:tc>
      </w:tr>
      <w:tr w:rsidR="00C061CF" w:rsidRPr="00855461" w:rsidTr="00B75248">
        <w:tc>
          <w:tcPr>
            <w:tcW w:w="8268" w:type="dxa"/>
            <w:tcBorders>
              <w:bottom w:val="single" w:sz="4" w:space="0" w:color="000000"/>
            </w:tcBorders>
          </w:tcPr>
          <w:p w:rsidR="00C061CF" w:rsidRPr="00855461" w:rsidRDefault="00713854" w:rsidP="00B75248">
            <w:r>
              <w:t>Diana.Kudravecs</w:t>
            </w:r>
            <w:r w:rsidR="003D6251" w:rsidRPr="00855461">
              <w:t>@vid.gov.lv</w:t>
            </w:r>
          </w:p>
        </w:tc>
      </w:tr>
      <w:tr w:rsidR="00C061CF" w:rsidRPr="00855461" w:rsidTr="00B75248">
        <w:tc>
          <w:tcPr>
            <w:tcW w:w="8268" w:type="dxa"/>
            <w:tcBorders>
              <w:top w:val="single" w:sz="4" w:space="0" w:color="000000"/>
            </w:tcBorders>
          </w:tcPr>
          <w:p w:rsidR="00C061CF" w:rsidRPr="00855461" w:rsidRDefault="00C061CF" w:rsidP="00B75248">
            <w:pPr>
              <w:jc w:val="center"/>
            </w:pPr>
            <w:r w:rsidRPr="00855461">
              <w:t>(e-pasta adrese)</w:t>
            </w:r>
          </w:p>
        </w:tc>
      </w:tr>
    </w:tbl>
    <w:p w:rsidR="00C061CF" w:rsidRPr="00855461" w:rsidRDefault="00C061CF" w:rsidP="00C9363E">
      <w:pPr>
        <w:pStyle w:val="naisf"/>
        <w:spacing w:before="0" w:after="0"/>
        <w:ind w:firstLine="0"/>
        <w:jc w:val="left"/>
        <w:rPr>
          <w:sz w:val="28"/>
          <w:szCs w:val="28"/>
        </w:rPr>
      </w:pPr>
    </w:p>
    <w:sectPr w:rsidR="00C061CF" w:rsidRPr="00855461" w:rsidSect="00A54AEC">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5D4" w:rsidRDefault="00C015D4">
      <w:r>
        <w:separator/>
      </w:r>
    </w:p>
  </w:endnote>
  <w:endnote w:type="continuationSeparator" w:id="0">
    <w:p w:rsidR="00C015D4" w:rsidRDefault="00C0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9BE" w:rsidRPr="00673091" w:rsidRDefault="003849BE" w:rsidP="00027EA9">
    <w:pPr>
      <w:pStyle w:val="Footer"/>
    </w:pPr>
    <w:r w:rsidRPr="00673091">
      <w:rPr>
        <w:sz w:val="20"/>
        <w:szCs w:val="20"/>
      </w:rPr>
      <w:t>FMIzz_</w:t>
    </w:r>
    <w:r w:rsidR="002E5CD7">
      <w:rPr>
        <w:sz w:val="20"/>
        <w:szCs w:val="20"/>
      </w:rPr>
      <w:t>1511</w:t>
    </w:r>
    <w:r w:rsidR="0046004C">
      <w:rPr>
        <w:sz w:val="20"/>
        <w:szCs w:val="20"/>
      </w:rPr>
      <w:t>19</w:t>
    </w:r>
    <w:r>
      <w:rPr>
        <w:sz w:val="20"/>
        <w:szCs w:val="20"/>
      </w:rPr>
      <w:t>_VSS</w:t>
    </w:r>
    <w:r w:rsidR="00433844">
      <w:rPr>
        <w:sz w:val="20"/>
        <w:szCs w:val="20"/>
      </w:rPr>
      <w:t>_971</w:t>
    </w:r>
  </w:p>
  <w:p w:rsidR="003849BE" w:rsidRPr="004B2ECE" w:rsidRDefault="003849BE" w:rsidP="00673091">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9BE" w:rsidRPr="00673091" w:rsidRDefault="003849BE" w:rsidP="00027EA9">
    <w:pPr>
      <w:pStyle w:val="Footer"/>
    </w:pPr>
    <w:r w:rsidRPr="00673091">
      <w:rPr>
        <w:sz w:val="20"/>
        <w:szCs w:val="20"/>
      </w:rPr>
      <w:t>FMIzz_</w:t>
    </w:r>
    <w:r w:rsidR="002E5CD7">
      <w:rPr>
        <w:sz w:val="20"/>
        <w:szCs w:val="20"/>
      </w:rPr>
      <w:t>1511</w:t>
    </w:r>
    <w:r w:rsidR="0046004C">
      <w:rPr>
        <w:sz w:val="20"/>
        <w:szCs w:val="20"/>
      </w:rPr>
      <w:t>19</w:t>
    </w:r>
    <w:r>
      <w:rPr>
        <w:sz w:val="20"/>
        <w:szCs w:val="20"/>
      </w:rPr>
      <w:t>_VSS</w:t>
    </w:r>
    <w:r w:rsidR="0046004C">
      <w:rPr>
        <w:sz w:val="20"/>
        <w:szCs w:val="20"/>
      </w:rPr>
      <w:t>_971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5D4" w:rsidRDefault="00C015D4">
      <w:r>
        <w:separator/>
      </w:r>
    </w:p>
  </w:footnote>
  <w:footnote w:type="continuationSeparator" w:id="0">
    <w:p w:rsidR="00C015D4" w:rsidRDefault="00C01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9BE" w:rsidRDefault="003849BE" w:rsidP="000E76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49BE" w:rsidRDefault="003849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9BE" w:rsidRDefault="003849BE" w:rsidP="000E76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4D11">
      <w:rPr>
        <w:rStyle w:val="PageNumber"/>
        <w:noProof/>
      </w:rPr>
      <w:t>7</w:t>
    </w:r>
    <w:r>
      <w:rPr>
        <w:rStyle w:val="PageNumber"/>
      </w:rPr>
      <w:fldChar w:fldCharType="end"/>
    </w:r>
  </w:p>
  <w:p w:rsidR="003849BE" w:rsidRDefault="00384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Num6"/>
    <w:lvl w:ilvl="0">
      <w:start w:val="1"/>
      <w:numFmt w:val="decimal"/>
      <w:lvlText w:val="(%1)"/>
      <w:lvlJc w:val="left"/>
      <w:pPr>
        <w:tabs>
          <w:tab w:val="num" w:pos="1452"/>
        </w:tabs>
        <w:ind w:left="1452" w:hanging="88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 w15:restartNumberingAfterBreak="0">
    <w:nsid w:val="08112F25"/>
    <w:multiLevelType w:val="hybridMultilevel"/>
    <w:tmpl w:val="E4F8B1D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09278D"/>
    <w:multiLevelType w:val="hybridMultilevel"/>
    <w:tmpl w:val="38EE7E92"/>
    <w:lvl w:ilvl="0" w:tplc="7BAE266A">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13759D"/>
    <w:multiLevelType w:val="hybridMultilevel"/>
    <w:tmpl w:val="E38E6EB4"/>
    <w:lvl w:ilvl="0" w:tplc="431E3E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24C63E4"/>
    <w:multiLevelType w:val="hybridMultilevel"/>
    <w:tmpl w:val="0522224C"/>
    <w:lvl w:ilvl="0" w:tplc="0426000F">
      <w:start w:val="1"/>
      <w:numFmt w:val="decimal"/>
      <w:lvlText w:val="%1."/>
      <w:lvlJc w:val="left"/>
      <w:pPr>
        <w:ind w:left="720" w:hanging="360"/>
      </w:pPr>
    </w:lvl>
    <w:lvl w:ilvl="1" w:tplc="7F84858E">
      <w:start w:val="1"/>
      <w:numFmt w:val="decimal"/>
      <w:lvlText w:val="2.%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E9D79FC"/>
    <w:multiLevelType w:val="hybridMultilevel"/>
    <w:tmpl w:val="82A0B8E4"/>
    <w:lvl w:ilvl="0" w:tplc="8A7A0AE0">
      <w:start w:val="19"/>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EDD0FB6"/>
    <w:multiLevelType w:val="hybridMultilevel"/>
    <w:tmpl w:val="D6ECB7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442147F"/>
    <w:multiLevelType w:val="hybridMultilevel"/>
    <w:tmpl w:val="9AC4E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045DE2"/>
    <w:multiLevelType w:val="hybridMultilevel"/>
    <w:tmpl w:val="A73422A2"/>
    <w:lvl w:ilvl="0" w:tplc="661489D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4DB01569"/>
    <w:multiLevelType w:val="hybridMultilevel"/>
    <w:tmpl w:val="C8A84F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BDF3B3D"/>
    <w:multiLevelType w:val="hybridMultilevel"/>
    <w:tmpl w:val="39BAE3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C6E4235"/>
    <w:multiLevelType w:val="hybridMultilevel"/>
    <w:tmpl w:val="C3FC26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F482352"/>
    <w:multiLevelType w:val="hybridMultilevel"/>
    <w:tmpl w:val="D5A4B682"/>
    <w:lvl w:ilvl="0" w:tplc="18EA453E">
      <w:start w:val="2013"/>
      <w:numFmt w:val="bullet"/>
      <w:lvlText w:val="-"/>
      <w:lvlJc w:val="left"/>
      <w:pPr>
        <w:ind w:left="615" w:hanging="360"/>
      </w:pPr>
      <w:rPr>
        <w:rFonts w:ascii="Times New Roman" w:eastAsia="Times New Roman" w:hAnsi="Times New Roman" w:cs="Times New Roman" w:hint="default"/>
      </w:rPr>
    </w:lvl>
    <w:lvl w:ilvl="1" w:tplc="04260003">
      <w:start w:val="1"/>
      <w:numFmt w:val="bullet"/>
      <w:lvlText w:val="o"/>
      <w:lvlJc w:val="left"/>
      <w:pPr>
        <w:ind w:left="1335" w:hanging="360"/>
      </w:pPr>
      <w:rPr>
        <w:rFonts w:ascii="Courier New" w:hAnsi="Courier New" w:cs="Courier New" w:hint="default"/>
      </w:rPr>
    </w:lvl>
    <w:lvl w:ilvl="2" w:tplc="04260005">
      <w:start w:val="1"/>
      <w:numFmt w:val="bullet"/>
      <w:lvlText w:val=""/>
      <w:lvlJc w:val="left"/>
      <w:pPr>
        <w:ind w:left="2055" w:hanging="360"/>
      </w:pPr>
      <w:rPr>
        <w:rFonts w:ascii="Wingdings" w:hAnsi="Wingdings" w:hint="default"/>
      </w:rPr>
    </w:lvl>
    <w:lvl w:ilvl="3" w:tplc="04260001">
      <w:start w:val="1"/>
      <w:numFmt w:val="bullet"/>
      <w:lvlText w:val=""/>
      <w:lvlJc w:val="left"/>
      <w:pPr>
        <w:ind w:left="2775" w:hanging="360"/>
      </w:pPr>
      <w:rPr>
        <w:rFonts w:ascii="Symbol" w:hAnsi="Symbol" w:hint="default"/>
      </w:rPr>
    </w:lvl>
    <w:lvl w:ilvl="4" w:tplc="04260003">
      <w:start w:val="1"/>
      <w:numFmt w:val="bullet"/>
      <w:lvlText w:val="o"/>
      <w:lvlJc w:val="left"/>
      <w:pPr>
        <w:ind w:left="3495" w:hanging="360"/>
      </w:pPr>
      <w:rPr>
        <w:rFonts w:ascii="Courier New" w:hAnsi="Courier New" w:cs="Courier New" w:hint="default"/>
      </w:rPr>
    </w:lvl>
    <w:lvl w:ilvl="5" w:tplc="04260005">
      <w:start w:val="1"/>
      <w:numFmt w:val="bullet"/>
      <w:lvlText w:val=""/>
      <w:lvlJc w:val="left"/>
      <w:pPr>
        <w:ind w:left="4215" w:hanging="360"/>
      </w:pPr>
      <w:rPr>
        <w:rFonts w:ascii="Wingdings" w:hAnsi="Wingdings" w:hint="default"/>
      </w:rPr>
    </w:lvl>
    <w:lvl w:ilvl="6" w:tplc="04260001">
      <w:start w:val="1"/>
      <w:numFmt w:val="bullet"/>
      <w:lvlText w:val=""/>
      <w:lvlJc w:val="left"/>
      <w:pPr>
        <w:ind w:left="4935" w:hanging="360"/>
      </w:pPr>
      <w:rPr>
        <w:rFonts w:ascii="Symbol" w:hAnsi="Symbol" w:hint="default"/>
      </w:rPr>
    </w:lvl>
    <w:lvl w:ilvl="7" w:tplc="04260003">
      <w:start w:val="1"/>
      <w:numFmt w:val="bullet"/>
      <w:lvlText w:val="o"/>
      <w:lvlJc w:val="left"/>
      <w:pPr>
        <w:ind w:left="5655" w:hanging="360"/>
      </w:pPr>
      <w:rPr>
        <w:rFonts w:ascii="Courier New" w:hAnsi="Courier New" w:cs="Courier New" w:hint="default"/>
      </w:rPr>
    </w:lvl>
    <w:lvl w:ilvl="8" w:tplc="04260005">
      <w:start w:val="1"/>
      <w:numFmt w:val="bullet"/>
      <w:lvlText w:val=""/>
      <w:lvlJc w:val="left"/>
      <w:pPr>
        <w:ind w:left="6375" w:hanging="360"/>
      </w:pPr>
      <w:rPr>
        <w:rFonts w:ascii="Wingdings" w:hAnsi="Wingdings" w:hint="default"/>
      </w:rPr>
    </w:lvl>
  </w:abstractNum>
  <w:abstractNum w:abstractNumId="13" w15:restartNumberingAfterBreak="0">
    <w:nsid w:val="773570FD"/>
    <w:multiLevelType w:val="hybridMultilevel"/>
    <w:tmpl w:val="76CA8810"/>
    <w:lvl w:ilvl="0" w:tplc="BD8AFB5A">
      <w:start w:val="1"/>
      <w:numFmt w:val="decimal"/>
      <w:lvlText w:val="%1)"/>
      <w:lvlJc w:val="left"/>
      <w:pPr>
        <w:ind w:left="945" w:hanging="58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A932FE6"/>
    <w:multiLevelType w:val="hybridMultilevel"/>
    <w:tmpl w:val="A72820B0"/>
    <w:lvl w:ilvl="0" w:tplc="0409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
  </w:num>
  <w:num w:numId="2">
    <w:abstractNumId w:val="1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12"/>
  </w:num>
  <w:num w:numId="7">
    <w:abstractNumId w:val="11"/>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6"/>
  </w:num>
  <w:num w:numId="13">
    <w:abstractNumId w:val="1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1CF"/>
    <w:rsid w:val="0000196B"/>
    <w:rsid w:val="00010CFF"/>
    <w:rsid w:val="00010EE1"/>
    <w:rsid w:val="0001434D"/>
    <w:rsid w:val="00020FE5"/>
    <w:rsid w:val="00024137"/>
    <w:rsid w:val="00027C9D"/>
    <w:rsid w:val="00027EA9"/>
    <w:rsid w:val="000318C4"/>
    <w:rsid w:val="000327C5"/>
    <w:rsid w:val="00040185"/>
    <w:rsid w:val="00040F1A"/>
    <w:rsid w:val="000421F2"/>
    <w:rsid w:val="0004361F"/>
    <w:rsid w:val="000507C7"/>
    <w:rsid w:val="00052794"/>
    <w:rsid w:val="000532F8"/>
    <w:rsid w:val="000729F6"/>
    <w:rsid w:val="000820F1"/>
    <w:rsid w:val="000877E1"/>
    <w:rsid w:val="000879C4"/>
    <w:rsid w:val="000917E2"/>
    <w:rsid w:val="0009515D"/>
    <w:rsid w:val="000976CB"/>
    <w:rsid w:val="000A028E"/>
    <w:rsid w:val="000A1FAD"/>
    <w:rsid w:val="000A2454"/>
    <w:rsid w:val="000A3624"/>
    <w:rsid w:val="000A470D"/>
    <w:rsid w:val="000A7933"/>
    <w:rsid w:val="000B4078"/>
    <w:rsid w:val="000C2C13"/>
    <w:rsid w:val="000D17C6"/>
    <w:rsid w:val="000D258C"/>
    <w:rsid w:val="000D423E"/>
    <w:rsid w:val="000D621B"/>
    <w:rsid w:val="000D7FEF"/>
    <w:rsid w:val="000E0006"/>
    <w:rsid w:val="000E17F2"/>
    <w:rsid w:val="000E5C2F"/>
    <w:rsid w:val="000E764C"/>
    <w:rsid w:val="000F4AB2"/>
    <w:rsid w:val="000F5607"/>
    <w:rsid w:val="000F56CE"/>
    <w:rsid w:val="000F5964"/>
    <w:rsid w:val="000F59FC"/>
    <w:rsid w:val="0010679D"/>
    <w:rsid w:val="00112809"/>
    <w:rsid w:val="00112CDA"/>
    <w:rsid w:val="00113BD2"/>
    <w:rsid w:val="00114365"/>
    <w:rsid w:val="00121E18"/>
    <w:rsid w:val="00122330"/>
    <w:rsid w:val="00127204"/>
    <w:rsid w:val="00133097"/>
    <w:rsid w:val="00133AD8"/>
    <w:rsid w:val="0013606C"/>
    <w:rsid w:val="0014040C"/>
    <w:rsid w:val="001409D8"/>
    <w:rsid w:val="00142346"/>
    <w:rsid w:val="0014328A"/>
    <w:rsid w:val="00143BFB"/>
    <w:rsid w:val="001474A1"/>
    <w:rsid w:val="0015187B"/>
    <w:rsid w:val="00153948"/>
    <w:rsid w:val="00154144"/>
    <w:rsid w:val="0016460F"/>
    <w:rsid w:val="0016687E"/>
    <w:rsid w:val="0017139E"/>
    <w:rsid w:val="00172EEE"/>
    <w:rsid w:val="00175B4F"/>
    <w:rsid w:val="00175BD7"/>
    <w:rsid w:val="00177528"/>
    <w:rsid w:val="00193507"/>
    <w:rsid w:val="001A2F31"/>
    <w:rsid w:val="001A316C"/>
    <w:rsid w:val="001A3995"/>
    <w:rsid w:val="001A58CD"/>
    <w:rsid w:val="001A6725"/>
    <w:rsid w:val="001B1E49"/>
    <w:rsid w:val="001C110E"/>
    <w:rsid w:val="001C1C5F"/>
    <w:rsid w:val="001C2C25"/>
    <w:rsid w:val="001D4AB9"/>
    <w:rsid w:val="001D6599"/>
    <w:rsid w:val="001E0015"/>
    <w:rsid w:val="001E0ADF"/>
    <w:rsid w:val="001E7AD7"/>
    <w:rsid w:val="001F143A"/>
    <w:rsid w:val="001F3339"/>
    <w:rsid w:val="001F37B5"/>
    <w:rsid w:val="001F6164"/>
    <w:rsid w:val="0020141D"/>
    <w:rsid w:val="0020263F"/>
    <w:rsid w:val="0020441D"/>
    <w:rsid w:val="00207C11"/>
    <w:rsid w:val="00210481"/>
    <w:rsid w:val="002107C1"/>
    <w:rsid w:val="00212226"/>
    <w:rsid w:val="00213721"/>
    <w:rsid w:val="00214EB0"/>
    <w:rsid w:val="00216D8B"/>
    <w:rsid w:val="00216FC0"/>
    <w:rsid w:val="00224179"/>
    <w:rsid w:val="0022431B"/>
    <w:rsid w:val="002244E2"/>
    <w:rsid w:val="00226E68"/>
    <w:rsid w:val="0023002A"/>
    <w:rsid w:val="00231052"/>
    <w:rsid w:val="002340E9"/>
    <w:rsid w:val="00235035"/>
    <w:rsid w:val="0023511D"/>
    <w:rsid w:val="00240CC7"/>
    <w:rsid w:val="00244B0C"/>
    <w:rsid w:val="002528CF"/>
    <w:rsid w:val="0025515C"/>
    <w:rsid w:val="00256064"/>
    <w:rsid w:val="00256613"/>
    <w:rsid w:val="0025755A"/>
    <w:rsid w:val="0026082D"/>
    <w:rsid w:val="00264999"/>
    <w:rsid w:val="002711DE"/>
    <w:rsid w:val="00271998"/>
    <w:rsid w:val="00275B63"/>
    <w:rsid w:val="0028638E"/>
    <w:rsid w:val="00290079"/>
    <w:rsid w:val="0029111C"/>
    <w:rsid w:val="002A50B9"/>
    <w:rsid w:val="002B0F53"/>
    <w:rsid w:val="002B19E4"/>
    <w:rsid w:val="002B2E02"/>
    <w:rsid w:val="002B4F3E"/>
    <w:rsid w:val="002B7709"/>
    <w:rsid w:val="002B770C"/>
    <w:rsid w:val="002C1187"/>
    <w:rsid w:val="002C7C83"/>
    <w:rsid w:val="002D2D88"/>
    <w:rsid w:val="002D3C05"/>
    <w:rsid w:val="002D63C4"/>
    <w:rsid w:val="002E3152"/>
    <w:rsid w:val="002E4993"/>
    <w:rsid w:val="002E5298"/>
    <w:rsid w:val="002E55F5"/>
    <w:rsid w:val="002E5CD7"/>
    <w:rsid w:val="002F31AC"/>
    <w:rsid w:val="002F70A0"/>
    <w:rsid w:val="002F7722"/>
    <w:rsid w:val="00300141"/>
    <w:rsid w:val="00301D30"/>
    <w:rsid w:val="003048C9"/>
    <w:rsid w:val="00310C3E"/>
    <w:rsid w:val="00313871"/>
    <w:rsid w:val="003146E8"/>
    <w:rsid w:val="00315C80"/>
    <w:rsid w:val="00315E3D"/>
    <w:rsid w:val="00320E51"/>
    <w:rsid w:val="0032167F"/>
    <w:rsid w:val="00321DFF"/>
    <w:rsid w:val="00325220"/>
    <w:rsid w:val="00327388"/>
    <w:rsid w:val="00330D3D"/>
    <w:rsid w:val="00330E79"/>
    <w:rsid w:val="003328B0"/>
    <w:rsid w:val="003335C7"/>
    <w:rsid w:val="00336456"/>
    <w:rsid w:val="0034000B"/>
    <w:rsid w:val="0034012B"/>
    <w:rsid w:val="00341AD4"/>
    <w:rsid w:val="00342F46"/>
    <w:rsid w:val="00343292"/>
    <w:rsid w:val="0034334D"/>
    <w:rsid w:val="003450D4"/>
    <w:rsid w:val="00345EBA"/>
    <w:rsid w:val="0035004C"/>
    <w:rsid w:val="003567E5"/>
    <w:rsid w:val="00356CA5"/>
    <w:rsid w:val="003718AC"/>
    <w:rsid w:val="00372155"/>
    <w:rsid w:val="00373676"/>
    <w:rsid w:val="00382696"/>
    <w:rsid w:val="00383AA0"/>
    <w:rsid w:val="003849BE"/>
    <w:rsid w:val="00384D11"/>
    <w:rsid w:val="00387C7C"/>
    <w:rsid w:val="003A166F"/>
    <w:rsid w:val="003A737E"/>
    <w:rsid w:val="003B1F0F"/>
    <w:rsid w:val="003B66E8"/>
    <w:rsid w:val="003C717E"/>
    <w:rsid w:val="003D5287"/>
    <w:rsid w:val="003D6251"/>
    <w:rsid w:val="003D6C31"/>
    <w:rsid w:val="003E4732"/>
    <w:rsid w:val="003E485E"/>
    <w:rsid w:val="003F4C96"/>
    <w:rsid w:val="003F629E"/>
    <w:rsid w:val="00400587"/>
    <w:rsid w:val="0040267E"/>
    <w:rsid w:val="00406ADC"/>
    <w:rsid w:val="00406E20"/>
    <w:rsid w:val="00407C8C"/>
    <w:rsid w:val="004107A4"/>
    <w:rsid w:val="004152BA"/>
    <w:rsid w:val="004164A0"/>
    <w:rsid w:val="00420FD7"/>
    <w:rsid w:val="00422F44"/>
    <w:rsid w:val="00423408"/>
    <w:rsid w:val="00433844"/>
    <w:rsid w:val="00434852"/>
    <w:rsid w:val="0043525B"/>
    <w:rsid w:val="00435EA0"/>
    <w:rsid w:val="0043697F"/>
    <w:rsid w:val="0044338E"/>
    <w:rsid w:val="00445D2E"/>
    <w:rsid w:val="00450829"/>
    <w:rsid w:val="00453189"/>
    <w:rsid w:val="00454862"/>
    <w:rsid w:val="0046004C"/>
    <w:rsid w:val="0046274E"/>
    <w:rsid w:val="00462CD3"/>
    <w:rsid w:val="0046412D"/>
    <w:rsid w:val="004709B3"/>
    <w:rsid w:val="0047597F"/>
    <w:rsid w:val="004814FD"/>
    <w:rsid w:val="00484F19"/>
    <w:rsid w:val="004853E1"/>
    <w:rsid w:val="004926DF"/>
    <w:rsid w:val="00493680"/>
    <w:rsid w:val="0049749A"/>
    <w:rsid w:val="004A3E83"/>
    <w:rsid w:val="004A5C2F"/>
    <w:rsid w:val="004B14B9"/>
    <w:rsid w:val="004B2B1F"/>
    <w:rsid w:val="004B2B88"/>
    <w:rsid w:val="004B2ECE"/>
    <w:rsid w:val="004B3423"/>
    <w:rsid w:val="004B7F29"/>
    <w:rsid w:val="004C4919"/>
    <w:rsid w:val="004C52EB"/>
    <w:rsid w:val="004C5581"/>
    <w:rsid w:val="004C5BAB"/>
    <w:rsid w:val="004C7490"/>
    <w:rsid w:val="004D1C4D"/>
    <w:rsid w:val="004D2C92"/>
    <w:rsid w:val="004D4ADF"/>
    <w:rsid w:val="004D5A99"/>
    <w:rsid w:val="004D6AEF"/>
    <w:rsid w:val="004D7084"/>
    <w:rsid w:val="004E65E0"/>
    <w:rsid w:val="004E7CCA"/>
    <w:rsid w:val="004F055D"/>
    <w:rsid w:val="004F09A9"/>
    <w:rsid w:val="004F1BBC"/>
    <w:rsid w:val="004F3748"/>
    <w:rsid w:val="004F6B5E"/>
    <w:rsid w:val="00501CF7"/>
    <w:rsid w:val="005031F7"/>
    <w:rsid w:val="005070BF"/>
    <w:rsid w:val="005079C1"/>
    <w:rsid w:val="005133D6"/>
    <w:rsid w:val="005147FE"/>
    <w:rsid w:val="00516228"/>
    <w:rsid w:val="005228B8"/>
    <w:rsid w:val="00530B03"/>
    <w:rsid w:val="0053190E"/>
    <w:rsid w:val="00535534"/>
    <w:rsid w:val="00540814"/>
    <w:rsid w:val="00542EFC"/>
    <w:rsid w:val="005444A6"/>
    <w:rsid w:val="0054472E"/>
    <w:rsid w:val="00545511"/>
    <w:rsid w:val="0054645C"/>
    <w:rsid w:val="00550BC7"/>
    <w:rsid w:val="00551423"/>
    <w:rsid w:val="005524CC"/>
    <w:rsid w:val="00553382"/>
    <w:rsid w:val="005541AF"/>
    <w:rsid w:val="005549E2"/>
    <w:rsid w:val="00556049"/>
    <w:rsid w:val="00570068"/>
    <w:rsid w:val="005836A7"/>
    <w:rsid w:val="00585F74"/>
    <w:rsid w:val="00590BB2"/>
    <w:rsid w:val="0059223F"/>
    <w:rsid w:val="005A29B1"/>
    <w:rsid w:val="005A39FC"/>
    <w:rsid w:val="005B1E88"/>
    <w:rsid w:val="005B4215"/>
    <w:rsid w:val="005B467E"/>
    <w:rsid w:val="005C1B82"/>
    <w:rsid w:val="005D01BB"/>
    <w:rsid w:val="005D4A19"/>
    <w:rsid w:val="005D7F30"/>
    <w:rsid w:val="005E106E"/>
    <w:rsid w:val="005F2BFB"/>
    <w:rsid w:val="005F3225"/>
    <w:rsid w:val="005F391D"/>
    <w:rsid w:val="005F5006"/>
    <w:rsid w:val="006016A1"/>
    <w:rsid w:val="006153FE"/>
    <w:rsid w:val="006178B0"/>
    <w:rsid w:val="00617DE5"/>
    <w:rsid w:val="006203AC"/>
    <w:rsid w:val="00620818"/>
    <w:rsid w:val="006209C5"/>
    <w:rsid w:val="00621329"/>
    <w:rsid w:val="00624355"/>
    <w:rsid w:val="00627BBB"/>
    <w:rsid w:val="006300AF"/>
    <w:rsid w:val="00641841"/>
    <w:rsid w:val="006437E7"/>
    <w:rsid w:val="00646845"/>
    <w:rsid w:val="00646EE3"/>
    <w:rsid w:val="00652DB2"/>
    <w:rsid w:val="00653EE9"/>
    <w:rsid w:val="00661322"/>
    <w:rsid w:val="00664FDB"/>
    <w:rsid w:val="00667799"/>
    <w:rsid w:val="00670247"/>
    <w:rsid w:val="00673091"/>
    <w:rsid w:val="00675BF4"/>
    <w:rsid w:val="00683B88"/>
    <w:rsid w:val="006845BF"/>
    <w:rsid w:val="00690ADA"/>
    <w:rsid w:val="006915A7"/>
    <w:rsid w:val="00694C5E"/>
    <w:rsid w:val="00695F8C"/>
    <w:rsid w:val="00696D5C"/>
    <w:rsid w:val="00697906"/>
    <w:rsid w:val="006A0978"/>
    <w:rsid w:val="006A29E4"/>
    <w:rsid w:val="006A59B2"/>
    <w:rsid w:val="006B3E45"/>
    <w:rsid w:val="006B5D80"/>
    <w:rsid w:val="006C240E"/>
    <w:rsid w:val="006C2B34"/>
    <w:rsid w:val="006C72CD"/>
    <w:rsid w:val="006D1CA6"/>
    <w:rsid w:val="006D5295"/>
    <w:rsid w:val="006D60AC"/>
    <w:rsid w:val="006D63B8"/>
    <w:rsid w:val="006D74D8"/>
    <w:rsid w:val="006E1EF7"/>
    <w:rsid w:val="006E2408"/>
    <w:rsid w:val="006E52C5"/>
    <w:rsid w:val="006E651D"/>
    <w:rsid w:val="006F3F86"/>
    <w:rsid w:val="006F6C6C"/>
    <w:rsid w:val="007029A5"/>
    <w:rsid w:val="0070644F"/>
    <w:rsid w:val="007070E6"/>
    <w:rsid w:val="00710A07"/>
    <w:rsid w:val="00713854"/>
    <w:rsid w:val="0071468C"/>
    <w:rsid w:val="00716AFC"/>
    <w:rsid w:val="00720898"/>
    <w:rsid w:val="007223A2"/>
    <w:rsid w:val="00722452"/>
    <w:rsid w:val="00724C0B"/>
    <w:rsid w:val="0073429D"/>
    <w:rsid w:val="00736339"/>
    <w:rsid w:val="0074030C"/>
    <w:rsid w:val="00747FD7"/>
    <w:rsid w:val="00751999"/>
    <w:rsid w:val="0075579A"/>
    <w:rsid w:val="00756CC6"/>
    <w:rsid w:val="00756D7E"/>
    <w:rsid w:val="00762CE0"/>
    <w:rsid w:val="00772315"/>
    <w:rsid w:val="00773325"/>
    <w:rsid w:val="00773345"/>
    <w:rsid w:val="007748F1"/>
    <w:rsid w:val="00775789"/>
    <w:rsid w:val="00776790"/>
    <w:rsid w:val="00777635"/>
    <w:rsid w:val="00777C04"/>
    <w:rsid w:val="00780711"/>
    <w:rsid w:val="0078087C"/>
    <w:rsid w:val="00783D4B"/>
    <w:rsid w:val="00791B35"/>
    <w:rsid w:val="00791DA2"/>
    <w:rsid w:val="00791E65"/>
    <w:rsid w:val="00795F34"/>
    <w:rsid w:val="007A0889"/>
    <w:rsid w:val="007A252E"/>
    <w:rsid w:val="007A30F8"/>
    <w:rsid w:val="007A3B1E"/>
    <w:rsid w:val="007B184A"/>
    <w:rsid w:val="007B2B9A"/>
    <w:rsid w:val="007B567F"/>
    <w:rsid w:val="007B5B36"/>
    <w:rsid w:val="007C069B"/>
    <w:rsid w:val="007C2B2E"/>
    <w:rsid w:val="007C59B0"/>
    <w:rsid w:val="007D396C"/>
    <w:rsid w:val="007D68B9"/>
    <w:rsid w:val="007D70B8"/>
    <w:rsid w:val="007E1FA7"/>
    <w:rsid w:val="007E2E8C"/>
    <w:rsid w:val="007E4D73"/>
    <w:rsid w:val="007E6E19"/>
    <w:rsid w:val="007E74E1"/>
    <w:rsid w:val="007F18B1"/>
    <w:rsid w:val="007F2392"/>
    <w:rsid w:val="007F50FE"/>
    <w:rsid w:val="00806526"/>
    <w:rsid w:val="00810D20"/>
    <w:rsid w:val="0081387D"/>
    <w:rsid w:val="00814EDC"/>
    <w:rsid w:val="0081643F"/>
    <w:rsid w:val="0082147C"/>
    <w:rsid w:val="00823D0C"/>
    <w:rsid w:val="0082436D"/>
    <w:rsid w:val="0083766D"/>
    <w:rsid w:val="00844C68"/>
    <w:rsid w:val="00845366"/>
    <w:rsid w:val="00847151"/>
    <w:rsid w:val="00855461"/>
    <w:rsid w:val="00857B75"/>
    <w:rsid w:val="00857D12"/>
    <w:rsid w:val="00863AE7"/>
    <w:rsid w:val="00865D7B"/>
    <w:rsid w:val="00866917"/>
    <w:rsid w:val="00867242"/>
    <w:rsid w:val="00867D44"/>
    <w:rsid w:val="008735B0"/>
    <w:rsid w:val="00884226"/>
    <w:rsid w:val="008855BB"/>
    <w:rsid w:val="00887BBD"/>
    <w:rsid w:val="00891FBC"/>
    <w:rsid w:val="00896C63"/>
    <w:rsid w:val="00897911"/>
    <w:rsid w:val="008A3786"/>
    <w:rsid w:val="008A37EB"/>
    <w:rsid w:val="008A3B4D"/>
    <w:rsid w:val="008A5F88"/>
    <w:rsid w:val="008A6837"/>
    <w:rsid w:val="008B0771"/>
    <w:rsid w:val="008B1584"/>
    <w:rsid w:val="008B396A"/>
    <w:rsid w:val="008C06F6"/>
    <w:rsid w:val="008C15E2"/>
    <w:rsid w:val="008C178C"/>
    <w:rsid w:val="008C45AE"/>
    <w:rsid w:val="008D210D"/>
    <w:rsid w:val="008D3D7B"/>
    <w:rsid w:val="008D5ADD"/>
    <w:rsid w:val="008D7548"/>
    <w:rsid w:val="008D7A4F"/>
    <w:rsid w:val="008E1D26"/>
    <w:rsid w:val="008E3A35"/>
    <w:rsid w:val="008E63F8"/>
    <w:rsid w:val="008F1887"/>
    <w:rsid w:val="008F30E7"/>
    <w:rsid w:val="008F5728"/>
    <w:rsid w:val="008F617F"/>
    <w:rsid w:val="008F6993"/>
    <w:rsid w:val="008F7229"/>
    <w:rsid w:val="009003EB"/>
    <w:rsid w:val="009047BC"/>
    <w:rsid w:val="00914318"/>
    <w:rsid w:val="00915E24"/>
    <w:rsid w:val="00922917"/>
    <w:rsid w:val="00922C93"/>
    <w:rsid w:val="0093225C"/>
    <w:rsid w:val="00932880"/>
    <w:rsid w:val="00933E0B"/>
    <w:rsid w:val="00940909"/>
    <w:rsid w:val="00950208"/>
    <w:rsid w:val="00960DF6"/>
    <w:rsid w:val="0096454B"/>
    <w:rsid w:val="00980690"/>
    <w:rsid w:val="00980C42"/>
    <w:rsid w:val="00982624"/>
    <w:rsid w:val="009867B6"/>
    <w:rsid w:val="00992B8F"/>
    <w:rsid w:val="00993043"/>
    <w:rsid w:val="00996BFB"/>
    <w:rsid w:val="009A0404"/>
    <w:rsid w:val="009A3CE2"/>
    <w:rsid w:val="009A6E6E"/>
    <w:rsid w:val="009B34CB"/>
    <w:rsid w:val="009B52A8"/>
    <w:rsid w:val="009B5E75"/>
    <w:rsid w:val="009B7E70"/>
    <w:rsid w:val="009B7F79"/>
    <w:rsid w:val="009C130D"/>
    <w:rsid w:val="009C6F89"/>
    <w:rsid w:val="009C7A1C"/>
    <w:rsid w:val="009D6FB7"/>
    <w:rsid w:val="009D71F7"/>
    <w:rsid w:val="009E1043"/>
    <w:rsid w:val="009E18D9"/>
    <w:rsid w:val="009E63C4"/>
    <w:rsid w:val="009E77B0"/>
    <w:rsid w:val="009F24EF"/>
    <w:rsid w:val="009F6989"/>
    <w:rsid w:val="00A01AD0"/>
    <w:rsid w:val="00A12311"/>
    <w:rsid w:val="00A14C12"/>
    <w:rsid w:val="00A17EC4"/>
    <w:rsid w:val="00A324DF"/>
    <w:rsid w:val="00A32C6B"/>
    <w:rsid w:val="00A35410"/>
    <w:rsid w:val="00A358E4"/>
    <w:rsid w:val="00A35B0B"/>
    <w:rsid w:val="00A36CFC"/>
    <w:rsid w:val="00A41E61"/>
    <w:rsid w:val="00A445F5"/>
    <w:rsid w:val="00A45C03"/>
    <w:rsid w:val="00A52A6C"/>
    <w:rsid w:val="00A541D8"/>
    <w:rsid w:val="00A54AEC"/>
    <w:rsid w:val="00A62514"/>
    <w:rsid w:val="00A656EE"/>
    <w:rsid w:val="00A664D6"/>
    <w:rsid w:val="00A71693"/>
    <w:rsid w:val="00A71890"/>
    <w:rsid w:val="00A777E5"/>
    <w:rsid w:val="00A8194D"/>
    <w:rsid w:val="00A81F25"/>
    <w:rsid w:val="00A82E3B"/>
    <w:rsid w:val="00A82F5D"/>
    <w:rsid w:val="00A83047"/>
    <w:rsid w:val="00A87386"/>
    <w:rsid w:val="00A93350"/>
    <w:rsid w:val="00A9717A"/>
    <w:rsid w:val="00A97F6E"/>
    <w:rsid w:val="00AA6053"/>
    <w:rsid w:val="00AA63EC"/>
    <w:rsid w:val="00AB3EFA"/>
    <w:rsid w:val="00AB67A7"/>
    <w:rsid w:val="00AB6803"/>
    <w:rsid w:val="00AB76DF"/>
    <w:rsid w:val="00AC120E"/>
    <w:rsid w:val="00AC155E"/>
    <w:rsid w:val="00AC1C1C"/>
    <w:rsid w:val="00AC21E6"/>
    <w:rsid w:val="00AC2BA2"/>
    <w:rsid w:val="00AC31DF"/>
    <w:rsid w:val="00AC5777"/>
    <w:rsid w:val="00AC7AAB"/>
    <w:rsid w:val="00AD1A78"/>
    <w:rsid w:val="00AD297C"/>
    <w:rsid w:val="00AD7FFD"/>
    <w:rsid w:val="00AE0D0D"/>
    <w:rsid w:val="00AF3B2D"/>
    <w:rsid w:val="00AF4E1C"/>
    <w:rsid w:val="00AF5603"/>
    <w:rsid w:val="00AF715A"/>
    <w:rsid w:val="00AF7310"/>
    <w:rsid w:val="00B0068C"/>
    <w:rsid w:val="00B060CE"/>
    <w:rsid w:val="00B102CB"/>
    <w:rsid w:val="00B103AD"/>
    <w:rsid w:val="00B1436F"/>
    <w:rsid w:val="00B16A42"/>
    <w:rsid w:val="00B16CBE"/>
    <w:rsid w:val="00B16F0C"/>
    <w:rsid w:val="00B20292"/>
    <w:rsid w:val="00B2180C"/>
    <w:rsid w:val="00B2297B"/>
    <w:rsid w:val="00B2521E"/>
    <w:rsid w:val="00B27AE5"/>
    <w:rsid w:val="00B3074C"/>
    <w:rsid w:val="00B35B89"/>
    <w:rsid w:val="00B36EC2"/>
    <w:rsid w:val="00B40586"/>
    <w:rsid w:val="00B435FB"/>
    <w:rsid w:val="00B50CF6"/>
    <w:rsid w:val="00B51A03"/>
    <w:rsid w:val="00B51ADC"/>
    <w:rsid w:val="00B61B6A"/>
    <w:rsid w:val="00B63AED"/>
    <w:rsid w:val="00B75248"/>
    <w:rsid w:val="00B90AF5"/>
    <w:rsid w:val="00B93C7C"/>
    <w:rsid w:val="00BA6235"/>
    <w:rsid w:val="00BA7B25"/>
    <w:rsid w:val="00BB362B"/>
    <w:rsid w:val="00BB3DED"/>
    <w:rsid w:val="00BB3E27"/>
    <w:rsid w:val="00BB5FA0"/>
    <w:rsid w:val="00BC38F7"/>
    <w:rsid w:val="00BC3AEB"/>
    <w:rsid w:val="00BC5116"/>
    <w:rsid w:val="00BD56F5"/>
    <w:rsid w:val="00BD57B5"/>
    <w:rsid w:val="00BD5A7E"/>
    <w:rsid w:val="00BD73E9"/>
    <w:rsid w:val="00BE17CB"/>
    <w:rsid w:val="00BE373A"/>
    <w:rsid w:val="00BE4D07"/>
    <w:rsid w:val="00BF1AD0"/>
    <w:rsid w:val="00BF4B04"/>
    <w:rsid w:val="00C015D4"/>
    <w:rsid w:val="00C061CF"/>
    <w:rsid w:val="00C07D35"/>
    <w:rsid w:val="00C118AE"/>
    <w:rsid w:val="00C25E3B"/>
    <w:rsid w:val="00C274E4"/>
    <w:rsid w:val="00C31FBA"/>
    <w:rsid w:val="00C33AEA"/>
    <w:rsid w:val="00C33F3A"/>
    <w:rsid w:val="00C36B60"/>
    <w:rsid w:val="00C3721A"/>
    <w:rsid w:val="00C42692"/>
    <w:rsid w:val="00C460E8"/>
    <w:rsid w:val="00C503B6"/>
    <w:rsid w:val="00C51532"/>
    <w:rsid w:val="00C57B88"/>
    <w:rsid w:val="00C618D5"/>
    <w:rsid w:val="00C61DB6"/>
    <w:rsid w:val="00C62CB1"/>
    <w:rsid w:val="00C63724"/>
    <w:rsid w:val="00C64ECA"/>
    <w:rsid w:val="00C66A4D"/>
    <w:rsid w:val="00C72BAB"/>
    <w:rsid w:val="00C7478E"/>
    <w:rsid w:val="00C74A59"/>
    <w:rsid w:val="00C82FAF"/>
    <w:rsid w:val="00C8436C"/>
    <w:rsid w:val="00C9132B"/>
    <w:rsid w:val="00C9290A"/>
    <w:rsid w:val="00C9363E"/>
    <w:rsid w:val="00C950B7"/>
    <w:rsid w:val="00CA0C1C"/>
    <w:rsid w:val="00CA29DF"/>
    <w:rsid w:val="00CB15BD"/>
    <w:rsid w:val="00CB6C31"/>
    <w:rsid w:val="00CC0823"/>
    <w:rsid w:val="00CC1900"/>
    <w:rsid w:val="00CC3C38"/>
    <w:rsid w:val="00CC4C08"/>
    <w:rsid w:val="00CC5624"/>
    <w:rsid w:val="00CC622C"/>
    <w:rsid w:val="00CD144E"/>
    <w:rsid w:val="00CD19B0"/>
    <w:rsid w:val="00CD6E6E"/>
    <w:rsid w:val="00CE0E0E"/>
    <w:rsid w:val="00CE0FAE"/>
    <w:rsid w:val="00CE1528"/>
    <w:rsid w:val="00CE3513"/>
    <w:rsid w:val="00CF6AAC"/>
    <w:rsid w:val="00D0098A"/>
    <w:rsid w:val="00D0197B"/>
    <w:rsid w:val="00D04A20"/>
    <w:rsid w:val="00D055EC"/>
    <w:rsid w:val="00D05EE0"/>
    <w:rsid w:val="00D07C30"/>
    <w:rsid w:val="00D10ABD"/>
    <w:rsid w:val="00D127D0"/>
    <w:rsid w:val="00D128E8"/>
    <w:rsid w:val="00D147BC"/>
    <w:rsid w:val="00D14828"/>
    <w:rsid w:val="00D20C34"/>
    <w:rsid w:val="00D22BC8"/>
    <w:rsid w:val="00D32347"/>
    <w:rsid w:val="00D3363A"/>
    <w:rsid w:val="00D33EBC"/>
    <w:rsid w:val="00D346D7"/>
    <w:rsid w:val="00D37164"/>
    <w:rsid w:val="00D420CB"/>
    <w:rsid w:val="00D441DF"/>
    <w:rsid w:val="00D51996"/>
    <w:rsid w:val="00D5312D"/>
    <w:rsid w:val="00D53B80"/>
    <w:rsid w:val="00D718E5"/>
    <w:rsid w:val="00D7346F"/>
    <w:rsid w:val="00D82ADB"/>
    <w:rsid w:val="00D83C7E"/>
    <w:rsid w:val="00DA08D7"/>
    <w:rsid w:val="00DA3096"/>
    <w:rsid w:val="00DA4A3F"/>
    <w:rsid w:val="00DA61EA"/>
    <w:rsid w:val="00DC1204"/>
    <w:rsid w:val="00DC3829"/>
    <w:rsid w:val="00DC75E9"/>
    <w:rsid w:val="00DD2F4E"/>
    <w:rsid w:val="00DE2636"/>
    <w:rsid w:val="00DE4A9B"/>
    <w:rsid w:val="00DE57D6"/>
    <w:rsid w:val="00DE6425"/>
    <w:rsid w:val="00DE7DB5"/>
    <w:rsid w:val="00DF0D69"/>
    <w:rsid w:val="00DF39A5"/>
    <w:rsid w:val="00E065E6"/>
    <w:rsid w:val="00E06970"/>
    <w:rsid w:val="00E07144"/>
    <w:rsid w:val="00E11721"/>
    <w:rsid w:val="00E15390"/>
    <w:rsid w:val="00E15AAF"/>
    <w:rsid w:val="00E20DF1"/>
    <w:rsid w:val="00E20FAC"/>
    <w:rsid w:val="00E21908"/>
    <w:rsid w:val="00E2482F"/>
    <w:rsid w:val="00E32710"/>
    <w:rsid w:val="00E33CF9"/>
    <w:rsid w:val="00E37190"/>
    <w:rsid w:val="00E37EDB"/>
    <w:rsid w:val="00E41393"/>
    <w:rsid w:val="00E42597"/>
    <w:rsid w:val="00E450FB"/>
    <w:rsid w:val="00E4526F"/>
    <w:rsid w:val="00E46CFC"/>
    <w:rsid w:val="00E473B2"/>
    <w:rsid w:val="00E536FD"/>
    <w:rsid w:val="00E53A46"/>
    <w:rsid w:val="00E56AC8"/>
    <w:rsid w:val="00E6442A"/>
    <w:rsid w:val="00E730F9"/>
    <w:rsid w:val="00E76382"/>
    <w:rsid w:val="00E7706D"/>
    <w:rsid w:val="00E8628C"/>
    <w:rsid w:val="00E87492"/>
    <w:rsid w:val="00E87779"/>
    <w:rsid w:val="00E9152B"/>
    <w:rsid w:val="00E9488F"/>
    <w:rsid w:val="00E9603A"/>
    <w:rsid w:val="00E9707E"/>
    <w:rsid w:val="00EA0EC2"/>
    <w:rsid w:val="00EA0F5B"/>
    <w:rsid w:val="00EA6499"/>
    <w:rsid w:val="00EB39A7"/>
    <w:rsid w:val="00EB4CE9"/>
    <w:rsid w:val="00EC2017"/>
    <w:rsid w:val="00EC5642"/>
    <w:rsid w:val="00EC5BE4"/>
    <w:rsid w:val="00EC615F"/>
    <w:rsid w:val="00ED39C9"/>
    <w:rsid w:val="00EE2739"/>
    <w:rsid w:val="00EE3F26"/>
    <w:rsid w:val="00EF301B"/>
    <w:rsid w:val="00EF3C72"/>
    <w:rsid w:val="00F01F2F"/>
    <w:rsid w:val="00F02B46"/>
    <w:rsid w:val="00F02BBC"/>
    <w:rsid w:val="00F044C1"/>
    <w:rsid w:val="00F05CFE"/>
    <w:rsid w:val="00F17233"/>
    <w:rsid w:val="00F2123E"/>
    <w:rsid w:val="00F21485"/>
    <w:rsid w:val="00F24D78"/>
    <w:rsid w:val="00F25214"/>
    <w:rsid w:val="00F25FEE"/>
    <w:rsid w:val="00F30DD6"/>
    <w:rsid w:val="00F31ACD"/>
    <w:rsid w:val="00F351EB"/>
    <w:rsid w:val="00F3581E"/>
    <w:rsid w:val="00F41DEF"/>
    <w:rsid w:val="00F43B03"/>
    <w:rsid w:val="00F44182"/>
    <w:rsid w:val="00F47A61"/>
    <w:rsid w:val="00F47B38"/>
    <w:rsid w:val="00F55F00"/>
    <w:rsid w:val="00F55F9A"/>
    <w:rsid w:val="00F634AE"/>
    <w:rsid w:val="00F67AFF"/>
    <w:rsid w:val="00F67F31"/>
    <w:rsid w:val="00F72BC3"/>
    <w:rsid w:val="00F73B2E"/>
    <w:rsid w:val="00F80960"/>
    <w:rsid w:val="00F87B25"/>
    <w:rsid w:val="00F92441"/>
    <w:rsid w:val="00F973B5"/>
    <w:rsid w:val="00FA214F"/>
    <w:rsid w:val="00FA5B74"/>
    <w:rsid w:val="00FA7DBF"/>
    <w:rsid w:val="00FB1675"/>
    <w:rsid w:val="00FB1B2A"/>
    <w:rsid w:val="00FB3AF7"/>
    <w:rsid w:val="00FB4511"/>
    <w:rsid w:val="00FB622C"/>
    <w:rsid w:val="00FB6250"/>
    <w:rsid w:val="00FB7914"/>
    <w:rsid w:val="00FB7EF5"/>
    <w:rsid w:val="00FC2452"/>
    <w:rsid w:val="00FC2477"/>
    <w:rsid w:val="00FC33B2"/>
    <w:rsid w:val="00FC65C4"/>
    <w:rsid w:val="00FC7DE8"/>
    <w:rsid w:val="00FD0139"/>
    <w:rsid w:val="00FD033D"/>
    <w:rsid w:val="00FD0779"/>
    <w:rsid w:val="00FD1453"/>
    <w:rsid w:val="00FD167B"/>
    <w:rsid w:val="00FD4601"/>
    <w:rsid w:val="00FE0224"/>
    <w:rsid w:val="00FE6737"/>
    <w:rsid w:val="00FF29A4"/>
    <w:rsid w:val="00FF3FA5"/>
    <w:rsid w:val="00FF6A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54AE6"/>
  <w15:docId w15:val="{7649CC32-534C-4A01-BE4A-1EC324ED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17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061CF"/>
    <w:pPr>
      <w:spacing w:before="100" w:beforeAutospacing="1" w:after="100" w:afterAutospacing="1"/>
    </w:pPr>
  </w:style>
  <w:style w:type="paragraph" w:customStyle="1" w:styleId="naisf">
    <w:name w:val="naisf"/>
    <w:basedOn w:val="Normal"/>
    <w:rsid w:val="00C061CF"/>
    <w:pPr>
      <w:spacing w:before="75" w:after="75"/>
      <w:ind w:firstLine="375"/>
      <w:jc w:val="both"/>
    </w:pPr>
  </w:style>
  <w:style w:type="paragraph" w:customStyle="1" w:styleId="naisnod">
    <w:name w:val="naisnod"/>
    <w:basedOn w:val="Normal"/>
    <w:uiPriority w:val="99"/>
    <w:rsid w:val="00C061CF"/>
    <w:pPr>
      <w:spacing w:before="150" w:after="150"/>
      <w:jc w:val="center"/>
    </w:pPr>
    <w:rPr>
      <w:b/>
      <w:bCs/>
    </w:rPr>
  </w:style>
  <w:style w:type="paragraph" w:customStyle="1" w:styleId="naislab">
    <w:name w:val="naislab"/>
    <w:basedOn w:val="Normal"/>
    <w:rsid w:val="00C061CF"/>
    <w:pPr>
      <w:spacing w:before="75" w:after="75"/>
      <w:jc w:val="right"/>
    </w:pPr>
  </w:style>
  <w:style w:type="paragraph" w:customStyle="1" w:styleId="naiskr">
    <w:name w:val="naiskr"/>
    <w:basedOn w:val="Normal"/>
    <w:rsid w:val="00C061CF"/>
    <w:pPr>
      <w:spacing w:before="75" w:after="75"/>
    </w:pPr>
  </w:style>
  <w:style w:type="paragraph" w:customStyle="1" w:styleId="naisc">
    <w:name w:val="naisc"/>
    <w:basedOn w:val="Normal"/>
    <w:rsid w:val="00C061CF"/>
    <w:pPr>
      <w:spacing w:before="75" w:after="75"/>
      <w:jc w:val="center"/>
    </w:pPr>
  </w:style>
  <w:style w:type="paragraph" w:styleId="Header">
    <w:name w:val="header"/>
    <w:basedOn w:val="Normal"/>
    <w:link w:val="HeaderChar"/>
    <w:rsid w:val="00C061CF"/>
    <w:pPr>
      <w:tabs>
        <w:tab w:val="center" w:pos="4153"/>
        <w:tab w:val="right" w:pos="8306"/>
      </w:tabs>
    </w:pPr>
  </w:style>
  <w:style w:type="character" w:customStyle="1" w:styleId="HeaderChar">
    <w:name w:val="Header Char"/>
    <w:link w:val="Header"/>
    <w:rsid w:val="00C061CF"/>
    <w:rPr>
      <w:rFonts w:ascii="Times New Roman" w:eastAsia="Times New Roman" w:hAnsi="Times New Roman" w:cs="Times New Roman"/>
      <w:sz w:val="24"/>
      <w:szCs w:val="24"/>
      <w:lang w:eastAsia="lv-LV"/>
    </w:rPr>
  </w:style>
  <w:style w:type="character" w:styleId="PageNumber">
    <w:name w:val="page number"/>
    <w:uiPriority w:val="99"/>
    <w:rsid w:val="00C061CF"/>
    <w:rPr>
      <w:rFonts w:cs="Times New Roman"/>
    </w:rPr>
  </w:style>
  <w:style w:type="paragraph" w:styleId="Footer">
    <w:name w:val="footer"/>
    <w:basedOn w:val="Normal"/>
    <w:link w:val="FooterChar"/>
    <w:uiPriority w:val="99"/>
    <w:rsid w:val="00C061CF"/>
    <w:pPr>
      <w:tabs>
        <w:tab w:val="center" w:pos="4153"/>
        <w:tab w:val="right" w:pos="8306"/>
      </w:tabs>
    </w:pPr>
  </w:style>
  <w:style w:type="character" w:customStyle="1" w:styleId="FooterChar">
    <w:name w:val="Footer Char"/>
    <w:link w:val="Footer"/>
    <w:uiPriority w:val="99"/>
    <w:rsid w:val="00C061CF"/>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3766D"/>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8B0771"/>
    <w:rPr>
      <w:rFonts w:ascii="Tahoma" w:hAnsi="Tahoma" w:cs="Tahoma"/>
      <w:sz w:val="16"/>
      <w:szCs w:val="16"/>
    </w:rPr>
  </w:style>
  <w:style w:type="character" w:customStyle="1" w:styleId="BalloonTextChar">
    <w:name w:val="Balloon Text Char"/>
    <w:link w:val="BalloonText"/>
    <w:uiPriority w:val="99"/>
    <w:semiHidden/>
    <w:rsid w:val="008B0771"/>
    <w:rPr>
      <w:rFonts w:ascii="Tahoma" w:eastAsia="Times New Roman" w:hAnsi="Tahoma" w:cs="Tahoma"/>
      <w:sz w:val="16"/>
      <w:szCs w:val="16"/>
    </w:rPr>
  </w:style>
  <w:style w:type="character" w:styleId="CommentReference">
    <w:name w:val="annotation reference"/>
    <w:uiPriority w:val="99"/>
    <w:semiHidden/>
    <w:unhideWhenUsed/>
    <w:rsid w:val="00DF39A5"/>
    <w:rPr>
      <w:sz w:val="16"/>
      <w:szCs w:val="16"/>
    </w:rPr>
  </w:style>
  <w:style w:type="paragraph" w:styleId="CommentText">
    <w:name w:val="annotation text"/>
    <w:basedOn w:val="Normal"/>
    <w:link w:val="CommentTextChar"/>
    <w:uiPriority w:val="99"/>
    <w:semiHidden/>
    <w:unhideWhenUsed/>
    <w:rsid w:val="00DF39A5"/>
    <w:rPr>
      <w:sz w:val="20"/>
      <w:szCs w:val="20"/>
    </w:rPr>
  </w:style>
  <w:style w:type="character" w:customStyle="1" w:styleId="CommentTextChar">
    <w:name w:val="Comment Text Char"/>
    <w:link w:val="CommentText"/>
    <w:uiPriority w:val="99"/>
    <w:semiHidden/>
    <w:rsid w:val="00DF39A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F39A5"/>
    <w:rPr>
      <w:b/>
      <w:bCs/>
    </w:rPr>
  </w:style>
  <w:style w:type="character" w:customStyle="1" w:styleId="CommentSubjectChar">
    <w:name w:val="Comment Subject Char"/>
    <w:link w:val="CommentSubject"/>
    <w:uiPriority w:val="99"/>
    <w:semiHidden/>
    <w:rsid w:val="00DF39A5"/>
    <w:rPr>
      <w:rFonts w:ascii="Times New Roman" w:eastAsia="Times New Roman" w:hAnsi="Times New Roman"/>
      <w:b/>
      <w:bCs/>
    </w:rPr>
  </w:style>
  <w:style w:type="paragraph" w:styleId="FootnoteText">
    <w:name w:val="footnote text"/>
    <w:basedOn w:val="Normal"/>
    <w:link w:val="FootnoteTextChar"/>
    <w:uiPriority w:val="99"/>
    <w:semiHidden/>
    <w:unhideWhenUsed/>
    <w:rsid w:val="00AA6053"/>
    <w:rPr>
      <w:sz w:val="20"/>
      <w:szCs w:val="20"/>
    </w:rPr>
  </w:style>
  <w:style w:type="character" w:customStyle="1" w:styleId="FootnoteTextChar">
    <w:name w:val="Footnote Text Char"/>
    <w:link w:val="FootnoteText"/>
    <w:uiPriority w:val="99"/>
    <w:semiHidden/>
    <w:rsid w:val="00AA6053"/>
    <w:rPr>
      <w:rFonts w:ascii="Times New Roman" w:eastAsia="Times New Roman" w:hAnsi="Times New Roman"/>
    </w:rPr>
  </w:style>
  <w:style w:type="character" w:styleId="FootnoteReference">
    <w:name w:val="footnote reference"/>
    <w:uiPriority w:val="99"/>
    <w:semiHidden/>
    <w:unhideWhenUsed/>
    <w:rsid w:val="00AA6053"/>
    <w:rPr>
      <w:vertAlign w:val="superscript"/>
    </w:rPr>
  </w:style>
  <w:style w:type="paragraph" w:styleId="NoSpacing">
    <w:name w:val="No Spacing"/>
    <w:uiPriority w:val="1"/>
    <w:qFormat/>
    <w:rsid w:val="003B1F0F"/>
    <w:pPr>
      <w:ind w:left="720"/>
      <w:jc w:val="both"/>
    </w:pPr>
    <w:rPr>
      <w:rFonts w:ascii="Times New Roman" w:hAnsi="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8842">
      <w:bodyDiv w:val="1"/>
      <w:marLeft w:val="0"/>
      <w:marRight w:val="0"/>
      <w:marTop w:val="0"/>
      <w:marBottom w:val="0"/>
      <w:divBdr>
        <w:top w:val="none" w:sz="0" w:space="0" w:color="auto"/>
        <w:left w:val="none" w:sz="0" w:space="0" w:color="auto"/>
        <w:bottom w:val="none" w:sz="0" w:space="0" w:color="auto"/>
        <w:right w:val="none" w:sz="0" w:space="0" w:color="auto"/>
      </w:divBdr>
    </w:div>
    <w:div w:id="464128053">
      <w:bodyDiv w:val="1"/>
      <w:marLeft w:val="0"/>
      <w:marRight w:val="0"/>
      <w:marTop w:val="0"/>
      <w:marBottom w:val="0"/>
      <w:divBdr>
        <w:top w:val="none" w:sz="0" w:space="0" w:color="auto"/>
        <w:left w:val="none" w:sz="0" w:space="0" w:color="auto"/>
        <w:bottom w:val="none" w:sz="0" w:space="0" w:color="auto"/>
        <w:right w:val="none" w:sz="0" w:space="0" w:color="auto"/>
      </w:divBdr>
    </w:div>
    <w:div w:id="475412023">
      <w:bodyDiv w:val="1"/>
      <w:marLeft w:val="0"/>
      <w:marRight w:val="0"/>
      <w:marTop w:val="0"/>
      <w:marBottom w:val="0"/>
      <w:divBdr>
        <w:top w:val="none" w:sz="0" w:space="0" w:color="auto"/>
        <w:left w:val="none" w:sz="0" w:space="0" w:color="auto"/>
        <w:bottom w:val="none" w:sz="0" w:space="0" w:color="auto"/>
        <w:right w:val="none" w:sz="0" w:space="0" w:color="auto"/>
      </w:divBdr>
    </w:div>
    <w:div w:id="588345022">
      <w:bodyDiv w:val="1"/>
      <w:marLeft w:val="0"/>
      <w:marRight w:val="0"/>
      <w:marTop w:val="0"/>
      <w:marBottom w:val="0"/>
      <w:divBdr>
        <w:top w:val="none" w:sz="0" w:space="0" w:color="auto"/>
        <w:left w:val="none" w:sz="0" w:space="0" w:color="auto"/>
        <w:bottom w:val="none" w:sz="0" w:space="0" w:color="auto"/>
        <w:right w:val="none" w:sz="0" w:space="0" w:color="auto"/>
      </w:divBdr>
    </w:div>
    <w:div w:id="652176789">
      <w:bodyDiv w:val="1"/>
      <w:marLeft w:val="0"/>
      <w:marRight w:val="0"/>
      <w:marTop w:val="0"/>
      <w:marBottom w:val="0"/>
      <w:divBdr>
        <w:top w:val="none" w:sz="0" w:space="0" w:color="auto"/>
        <w:left w:val="none" w:sz="0" w:space="0" w:color="auto"/>
        <w:bottom w:val="none" w:sz="0" w:space="0" w:color="auto"/>
        <w:right w:val="none" w:sz="0" w:space="0" w:color="auto"/>
      </w:divBdr>
    </w:div>
    <w:div w:id="791286922">
      <w:bodyDiv w:val="1"/>
      <w:marLeft w:val="0"/>
      <w:marRight w:val="0"/>
      <w:marTop w:val="0"/>
      <w:marBottom w:val="0"/>
      <w:divBdr>
        <w:top w:val="none" w:sz="0" w:space="0" w:color="auto"/>
        <w:left w:val="none" w:sz="0" w:space="0" w:color="auto"/>
        <w:bottom w:val="none" w:sz="0" w:space="0" w:color="auto"/>
        <w:right w:val="none" w:sz="0" w:space="0" w:color="auto"/>
      </w:divBdr>
    </w:div>
    <w:div w:id="838886809">
      <w:bodyDiv w:val="1"/>
      <w:marLeft w:val="0"/>
      <w:marRight w:val="0"/>
      <w:marTop w:val="0"/>
      <w:marBottom w:val="0"/>
      <w:divBdr>
        <w:top w:val="none" w:sz="0" w:space="0" w:color="auto"/>
        <w:left w:val="none" w:sz="0" w:space="0" w:color="auto"/>
        <w:bottom w:val="none" w:sz="0" w:space="0" w:color="auto"/>
        <w:right w:val="none" w:sz="0" w:space="0" w:color="auto"/>
      </w:divBdr>
    </w:div>
    <w:div w:id="913901535">
      <w:bodyDiv w:val="1"/>
      <w:marLeft w:val="0"/>
      <w:marRight w:val="0"/>
      <w:marTop w:val="0"/>
      <w:marBottom w:val="0"/>
      <w:divBdr>
        <w:top w:val="none" w:sz="0" w:space="0" w:color="auto"/>
        <w:left w:val="none" w:sz="0" w:space="0" w:color="auto"/>
        <w:bottom w:val="none" w:sz="0" w:space="0" w:color="auto"/>
        <w:right w:val="none" w:sz="0" w:space="0" w:color="auto"/>
      </w:divBdr>
    </w:div>
    <w:div w:id="1112019319">
      <w:bodyDiv w:val="1"/>
      <w:marLeft w:val="0"/>
      <w:marRight w:val="0"/>
      <w:marTop w:val="0"/>
      <w:marBottom w:val="0"/>
      <w:divBdr>
        <w:top w:val="none" w:sz="0" w:space="0" w:color="auto"/>
        <w:left w:val="none" w:sz="0" w:space="0" w:color="auto"/>
        <w:bottom w:val="none" w:sz="0" w:space="0" w:color="auto"/>
        <w:right w:val="none" w:sz="0" w:space="0" w:color="auto"/>
      </w:divBdr>
    </w:div>
    <w:div w:id="1132939673">
      <w:bodyDiv w:val="1"/>
      <w:marLeft w:val="0"/>
      <w:marRight w:val="0"/>
      <w:marTop w:val="0"/>
      <w:marBottom w:val="0"/>
      <w:divBdr>
        <w:top w:val="none" w:sz="0" w:space="0" w:color="auto"/>
        <w:left w:val="none" w:sz="0" w:space="0" w:color="auto"/>
        <w:bottom w:val="none" w:sz="0" w:space="0" w:color="auto"/>
        <w:right w:val="none" w:sz="0" w:space="0" w:color="auto"/>
      </w:divBdr>
    </w:div>
    <w:div w:id="1360741926">
      <w:bodyDiv w:val="1"/>
      <w:marLeft w:val="0"/>
      <w:marRight w:val="0"/>
      <w:marTop w:val="0"/>
      <w:marBottom w:val="0"/>
      <w:divBdr>
        <w:top w:val="none" w:sz="0" w:space="0" w:color="auto"/>
        <w:left w:val="none" w:sz="0" w:space="0" w:color="auto"/>
        <w:bottom w:val="none" w:sz="0" w:space="0" w:color="auto"/>
        <w:right w:val="none" w:sz="0" w:space="0" w:color="auto"/>
      </w:divBdr>
    </w:div>
    <w:div w:id="1389962623">
      <w:bodyDiv w:val="1"/>
      <w:marLeft w:val="0"/>
      <w:marRight w:val="0"/>
      <w:marTop w:val="0"/>
      <w:marBottom w:val="0"/>
      <w:divBdr>
        <w:top w:val="none" w:sz="0" w:space="0" w:color="auto"/>
        <w:left w:val="none" w:sz="0" w:space="0" w:color="auto"/>
        <w:bottom w:val="none" w:sz="0" w:space="0" w:color="auto"/>
        <w:right w:val="none" w:sz="0" w:space="0" w:color="auto"/>
      </w:divBdr>
    </w:div>
    <w:div w:id="1406609523">
      <w:bodyDiv w:val="1"/>
      <w:marLeft w:val="0"/>
      <w:marRight w:val="0"/>
      <w:marTop w:val="0"/>
      <w:marBottom w:val="0"/>
      <w:divBdr>
        <w:top w:val="none" w:sz="0" w:space="0" w:color="auto"/>
        <w:left w:val="none" w:sz="0" w:space="0" w:color="auto"/>
        <w:bottom w:val="none" w:sz="0" w:space="0" w:color="auto"/>
        <w:right w:val="none" w:sz="0" w:space="0" w:color="auto"/>
      </w:divBdr>
    </w:div>
    <w:div w:id="1442186816">
      <w:bodyDiv w:val="1"/>
      <w:marLeft w:val="0"/>
      <w:marRight w:val="0"/>
      <w:marTop w:val="0"/>
      <w:marBottom w:val="0"/>
      <w:divBdr>
        <w:top w:val="none" w:sz="0" w:space="0" w:color="auto"/>
        <w:left w:val="none" w:sz="0" w:space="0" w:color="auto"/>
        <w:bottom w:val="none" w:sz="0" w:space="0" w:color="auto"/>
        <w:right w:val="none" w:sz="0" w:space="0" w:color="auto"/>
      </w:divBdr>
    </w:div>
    <w:div w:id="1443114619">
      <w:bodyDiv w:val="1"/>
      <w:marLeft w:val="0"/>
      <w:marRight w:val="0"/>
      <w:marTop w:val="0"/>
      <w:marBottom w:val="0"/>
      <w:divBdr>
        <w:top w:val="none" w:sz="0" w:space="0" w:color="auto"/>
        <w:left w:val="none" w:sz="0" w:space="0" w:color="auto"/>
        <w:bottom w:val="none" w:sz="0" w:space="0" w:color="auto"/>
        <w:right w:val="none" w:sz="0" w:space="0" w:color="auto"/>
      </w:divBdr>
    </w:div>
    <w:div w:id="1472672539">
      <w:bodyDiv w:val="1"/>
      <w:marLeft w:val="0"/>
      <w:marRight w:val="0"/>
      <w:marTop w:val="0"/>
      <w:marBottom w:val="0"/>
      <w:divBdr>
        <w:top w:val="none" w:sz="0" w:space="0" w:color="auto"/>
        <w:left w:val="none" w:sz="0" w:space="0" w:color="auto"/>
        <w:bottom w:val="none" w:sz="0" w:space="0" w:color="auto"/>
        <w:right w:val="none" w:sz="0" w:space="0" w:color="auto"/>
      </w:divBdr>
    </w:div>
    <w:div w:id="1537815677">
      <w:bodyDiv w:val="1"/>
      <w:marLeft w:val="0"/>
      <w:marRight w:val="0"/>
      <w:marTop w:val="0"/>
      <w:marBottom w:val="0"/>
      <w:divBdr>
        <w:top w:val="none" w:sz="0" w:space="0" w:color="auto"/>
        <w:left w:val="none" w:sz="0" w:space="0" w:color="auto"/>
        <w:bottom w:val="none" w:sz="0" w:space="0" w:color="auto"/>
        <w:right w:val="none" w:sz="0" w:space="0" w:color="auto"/>
      </w:divBdr>
    </w:div>
    <w:div w:id="1628122612">
      <w:bodyDiv w:val="1"/>
      <w:marLeft w:val="0"/>
      <w:marRight w:val="0"/>
      <w:marTop w:val="0"/>
      <w:marBottom w:val="0"/>
      <w:divBdr>
        <w:top w:val="none" w:sz="0" w:space="0" w:color="auto"/>
        <w:left w:val="none" w:sz="0" w:space="0" w:color="auto"/>
        <w:bottom w:val="none" w:sz="0" w:space="0" w:color="auto"/>
        <w:right w:val="none" w:sz="0" w:space="0" w:color="auto"/>
      </w:divBdr>
    </w:div>
    <w:div w:id="1674532151">
      <w:bodyDiv w:val="1"/>
      <w:marLeft w:val="0"/>
      <w:marRight w:val="0"/>
      <w:marTop w:val="0"/>
      <w:marBottom w:val="0"/>
      <w:divBdr>
        <w:top w:val="none" w:sz="0" w:space="0" w:color="auto"/>
        <w:left w:val="none" w:sz="0" w:space="0" w:color="auto"/>
        <w:bottom w:val="none" w:sz="0" w:space="0" w:color="auto"/>
        <w:right w:val="none" w:sz="0" w:space="0" w:color="auto"/>
      </w:divBdr>
    </w:div>
    <w:div w:id="1724257003">
      <w:bodyDiv w:val="1"/>
      <w:marLeft w:val="0"/>
      <w:marRight w:val="0"/>
      <w:marTop w:val="0"/>
      <w:marBottom w:val="0"/>
      <w:divBdr>
        <w:top w:val="none" w:sz="0" w:space="0" w:color="auto"/>
        <w:left w:val="none" w:sz="0" w:space="0" w:color="auto"/>
        <w:bottom w:val="none" w:sz="0" w:space="0" w:color="auto"/>
        <w:right w:val="none" w:sz="0" w:space="0" w:color="auto"/>
      </w:divBdr>
    </w:div>
    <w:div w:id="1776630733">
      <w:bodyDiv w:val="1"/>
      <w:marLeft w:val="0"/>
      <w:marRight w:val="0"/>
      <w:marTop w:val="0"/>
      <w:marBottom w:val="0"/>
      <w:divBdr>
        <w:top w:val="none" w:sz="0" w:space="0" w:color="auto"/>
        <w:left w:val="none" w:sz="0" w:space="0" w:color="auto"/>
        <w:bottom w:val="none" w:sz="0" w:space="0" w:color="auto"/>
        <w:right w:val="none" w:sz="0" w:space="0" w:color="auto"/>
      </w:divBdr>
    </w:div>
    <w:div w:id="20122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DEBD6-3105-407D-A2BE-4B0B7721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5701</Words>
  <Characters>3250</Characters>
  <Application>Microsoft Office Word</Application>
  <DocSecurity>0</DocSecurity>
  <Lines>27</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 “Grozījumi Ministru kabineta 2015.gada 24.februāra noteikumos Nr. 106 “Noteikumi par speciālo ekonomisko zonu un brīvostu kapitālsabiedrību un pašvaldību pārskatu veidlapu paraugiem un to aizpildīšanas un iesniegša</vt:lpstr>
      <vt:lpstr>Par Ministru kabineta noteikumu projektu “Noteikumi par līzinga, kredīta un ar to saistīto procentu maksājumu deklarāciju”</vt:lpstr>
    </vt:vector>
  </TitlesOfParts>
  <Company>Valsts ieņēmumu dienests/Finanšu ministrija</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2015.gada 24.februāra noteikumos Nr. 106 “Noteikumi par speciālo ekonomisko zonu un brīvostu kapitālsabiedrību un pašvaldību pārskatu veidlapu paraugiem un to aizpildīšanas un iesniegšanas kārtību”</dc:title>
  <dc:subject>Izziņa</dc:subject>
  <dc:creator>Diana.Kudravecs@vid.gov.lv</dc:creator>
  <cp:keywords>Izziņa</cp:keywords>
  <dc:description>67122042, diana.kudravecs@vid.gov.lv</dc:description>
  <cp:lastModifiedBy>Diāna Kudravecs</cp:lastModifiedBy>
  <cp:revision>3</cp:revision>
  <cp:lastPrinted>2017-12-20T05:35:00Z</cp:lastPrinted>
  <dcterms:created xsi:type="dcterms:W3CDTF">2019-11-19T09:17:00Z</dcterms:created>
  <dcterms:modified xsi:type="dcterms:W3CDTF">2019-11-19T09:18:00Z</dcterms:modified>
</cp:coreProperties>
</file>