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D336" w14:textId="68D23F8F" w:rsidR="00C06626" w:rsidRDefault="006C6964">
      <w:pPr>
        <w:pStyle w:val="Bodytext20"/>
        <w:shd w:val="clear" w:color="auto" w:fill="auto"/>
        <w:rPr>
          <w:lang w:bidi="lv-LV"/>
        </w:rPr>
      </w:pPr>
      <w:r w:rsidRPr="00AD1C7C">
        <w:rPr>
          <w:sz w:val="28"/>
          <w:szCs w:val="24"/>
          <w:lang w:eastAsia="lv-LV"/>
        </w:rPr>
        <w:t>VIENOŠAN</w:t>
      </w:r>
      <w:r>
        <w:rPr>
          <w:sz w:val="28"/>
          <w:szCs w:val="24"/>
          <w:lang w:eastAsia="lv-LV"/>
        </w:rPr>
        <w:t>Ā</w:t>
      </w:r>
      <w:r w:rsidRPr="00AD1C7C">
        <w:rPr>
          <w:sz w:val="28"/>
          <w:szCs w:val="24"/>
          <w:lang w:eastAsia="lv-LV"/>
        </w:rPr>
        <w:t>S, AR KO GROZA 2004.</w:t>
      </w:r>
      <w:r>
        <w:rPr>
          <w:sz w:val="28"/>
          <w:szCs w:val="24"/>
          <w:lang w:eastAsia="lv-LV"/>
        </w:rPr>
        <w:t> </w:t>
      </w:r>
      <w:r w:rsidRPr="00AD1C7C">
        <w:rPr>
          <w:sz w:val="28"/>
          <w:szCs w:val="24"/>
          <w:lang w:eastAsia="lv-LV"/>
        </w:rPr>
        <w:t>GADA 11.</w:t>
      </w:r>
      <w:r>
        <w:rPr>
          <w:sz w:val="28"/>
          <w:szCs w:val="24"/>
          <w:lang w:eastAsia="lv-LV"/>
        </w:rPr>
        <w:t> </w:t>
      </w:r>
      <w:r w:rsidRPr="00AD1C7C">
        <w:rPr>
          <w:sz w:val="28"/>
          <w:szCs w:val="24"/>
          <w:lang w:eastAsia="lv-LV"/>
        </w:rPr>
        <w:t>FEBRUĀRA LĪGUMA STARP DĀNIJU, IGAUNIJU, SOMIJU, ISLANDI, LATVIJU, LIETUVU, NORVĒĢIJU UN ZVIEDRIJU PAR ZIEMEĻU INVESTĪCIJU BANKU PIELIKUMĀ ESOŠO STATŪTU 14. PANTU</w:t>
      </w:r>
      <w:r>
        <w:rPr>
          <w:sz w:val="28"/>
          <w:szCs w:val="24"/>
          <w:lang w:eastAsia="lv-LV"/>
        </w:rPr>
        <w:t xml:space="preserve"> </w:t>
      </w:r>
    </w:p>
    <w:p w14:paraId="7344BE43" w14:textId="77777777" w:rsidR="006C6964" w:rsidRDefault="006C6964">
      <w:pPr>
        <w:pStyle w:val="Bodytext20"/>
        <w:shd w:val="clear" w:color="auto" w:fill="auto"/>
      </w:pPr>
    </w:p>
    <w:p w14:paraId="76458040" w14:textId="730698B4" w:rsidR="00C06626" w:rsidRDefault="00A0219F">
      <w:pPr>
        <w:pStyle w:val="BodyText"/>
        <w:shd w:val="clear" w:color="auto" w:fill="auto"/>
        <w:jc w:val="both"/>
      </w:pPr>
      <w:r>
        <w:rPr>
          <w:lang w:bidi="lv-LV"/>
        </w:rPr>
        <w:t>Dānijas, Igaunijas, Somijas, Islandes, Latvijas, Lietuvas, Norvēģijas un Zviedrijas valdības, turpmāk tekstā sauktas par Dalībvalstīm, vēloties grozīt Ziemeļu Investīciju bankas Statūtu 14. </w:t>
      </w:r>
      <w:r w:rsidR="00E05462">
        <w:rPr>
          <w:lang w:bidi="lv-LV"/>
        </w:rPr>
        <w:t>pantu</w:t>
      </w:r>
      <w:r>
        <w:rPr>
          <w:lang w:bidi="lv-LV"/>
        </w:rPr>
        <w:t>, kas pievienoti 2004. gada 11. februāra Līgumam starp Dāniju, Igauniju, Somiju, Islandi, Latviju, Lietuvu, Norvēģiju un Zviedriju attiecībā uz Ziemeļu Investīciju banku, turpmāk tekstā - Līgums,</w:t>
      </w:r>
    </w:p>
    <w:p w14:paraId="63561BF2" w14:textId="19231AFB" w:rsidR="00C06626" w:rsidRDefault="00A0219F">
      <w:pPr>
        <w:pStyle w:val="BodyText"/>
        <w:shd w:val="clear" w:color="auto" w:fill="auto"/>
        <w:spacing w:after="520"/>
      </w:pPr>
      <w:r>
        <w:rPr>
          <w:lang w:bidi="lv-LV"/>
        </w:rPr>
        <w:t xml:space="preserve">ir vienojušās </w:t>
      </w:r>
      <w:r w:rsidR="006C6964">
        <w:rPr>
          <w:lang w:bidi="lv-LV"/>
        </w:rPr>
        <w:t>šādi.</w:t>
      </w:r>
    </w:p>
    <w:p w14:paraId="797B0720" w14:textId="4D0C598D" w:rsidR="00C06626" w:rsidRDefault="00E05462" w:rsidP="00E05462">
      <w:pPr>
        <w:pStyle w:val="Heading10"/>
        <w:keepNext/>
        <w:keepLines/>
        <w:numPr>
          <w:ilvl w:val="0"/>
          <w:numId w:val="2"/>
        </w:numPr>
        <w:shd w:val="clear" w:color="auto" w:fill="auto"/>
        <w:spacing w:after="260"/>
      </w:pPr>
      <w:r>
        <w:rPr>
          <w:lang w:bidi="lv-LV"/>
        </w:rPr>
        <w:t>pants</w:t>
      </w:r>
    </w:p>
    <w:p w14:paraId="7FCD4C42" w14:textId="6A4F1267" w:rsidR="00C06626" w:rsidRDefault="00A0219F">
      <w:pPr>
        <w:pStyle w:val="BodyText"/>
        <w:shd w:val="clear" w:color="auto" w:fill="auto"/>
      </w:pPr>
      <w:r>
        <w:rPr>
          <w:lang w:bidi="lv-LV"/>
        </w:rPr>
        <w:t>Statūtu 14. </w:t>
      </w:r>
      <w:r w:rsidR="00E05462">
        <w:rPr>
          <w:lang w:bidi="lv-LV"/>
        </w:rPr>
        <w:t>pants</w:t>
      </w:r>
      <w:r>
        <w:rPr>
          <w:lang w:bidi="lv-LV"/>
        </w:rPr>
        <w:t xml:space="preserve"> tiek pārnumurēt</w:t>
      </w:r>
      <w:r w:rsidR="00E05462">
        <w:rPr>
          <w:lang w:bidi="lv-LV"/>
        </w:rPr>
        <w:t>s</w:t>
      </w:r>
      <w:r>
        <w:rPr>
          <w:lang w:bidi="lv-LV"/>
        </w:rPr>
        <w:t xml:space="preserve"> kā 13. </w:t>
      </w:r>
      <w:r w:rsidR="00E05462">
        <w:rPr>
          <w:lang w:bidi="lv-LV"/>
        </w:rPr>
        <w:t>pants</w:t>
      </w:r>
      <w:r>
        <w:rPr>
          <w:lang w:bidi="lv-LV"/>
        </w:rPr>
        <w:t>, un to groza šādi:</w:t>
      </w:r>
    </w:p>
    <w:p w14:paraId="01F38714" w14:textId="2B2CF71E" w:rsidR="00C06626" w:rsidRDefault="00A0219F" w:rsidP="006C6964">
      <w:pPr>
        <w:pStyle w:val="BodyText"/>
        <w:shd w:val="clear" w:color="auto" w:fill="auto"/>
      </w:pPr>
      <w:r>
        <w:rPr>
          <w:b/>
          <w:i/>
          <w:lang w:bidi="lv-LV"/>
        </w:rPr>
        <w:t>“13. </w:t>
      </w:r>
      <w:r w:rsidR="00E05462">
        <w:rPr>
          <w:b/>
          <w:i/>
          <w:lang w:bidi="lv-LV"/>
        </w:rPr>
        <w:t>pants</w:t>
      </w:r>
    </w:p>
    <w:p w14:paraId="7691AA8F" w14:textId="7185D227" w:rsidR="00C06626" w:rsidRPr="008E1F98" w:rsidRDefault="00427947" w:rsidP="006C6964">
      <w:pPr>
        <w:pStyle w:val="BodyText"/>
        <w:shd w:val="clear" w:color="auto" w:fill="auto"/>
        <w:jc w:val="both"/>
        <w:rPr>
          <w:i/>
          <w:lang w:bidi="lv-LV"/>
        </w:rPr>
      </w:pPr>
      <w:r w:rsidRPr="00B26B74">
        <w:rPr>
          <w:i/>
          <w:lang w:bidi="lv-LV"/>
        </w:rPr>
        <w:t>Pārvaldnieku padom</w:t>
      </w:r>
      <w:r w:rsidR="00A0219F" w:rsidRPr="00B26B74">
        <w:rPr>
          <w:i/>
          <w:lang w:bidi="lv-LV"/>
        </w:rPr>
        <w:t xml:space="preserve">i veido astoņi </w:t>
      </w:r>
      <w:r w:rsidR="00E015B7" w:rsidRPr="00B26B74">
        <w:rPr>
          <w:i/>
          <w:lang w:bidi="lv-LV"/>
        </w:rPr>
        <w:t>Pārvaldniek</w:t>
      </w:r>
      <w:r w:rsidR="00A0219F" w:rsidRPr="00B26B74">
        <w:rPr>
          <w:i/>
          <w:lang w:bidi="lv-LV"/>
        </w:rPr>
        <w:t xml:space="preserve">i. Katru Dalībvalsti pārstāv </w:t>
      </w:r>
      <w:r w:rsidR="00B26B74" w:rsidRPr="00B26B74">
        <w:rPr>
          <w:i/>
          <w:lang w:bidi="lv-LV"/>
        </w:rPr>
        <w:t xml:space="preserve">tās </w:t>
      </w:r>
      <w:r w:rsidR="00A0219F" w:rsidRPr="00B26B74">
        <w:rPr>
          <w:i/>
          <w:lang w:bidi="lv-LV"/>
        </w:rPr>
        <w:t>ministrs</w:t>
      </w:r>
      <w:r w:rsidR="00B26B74" w:rsidRPr="00B26B74">
        <w:rPr>
          <w:i/>
          <w:lang w:bidi="lv-LV"/>
        </w:rPr>
        <w:t>,</w:t>
      </w:r>
      <w:r w:rsidR="00A0219F" w:rsidRPr="00B26B74">
        <w:rPr>
          <w:i/>
          <w:lang w:bidi="lv-LV"/>
        </w:rPr>
        <w:t xml:space="preserve"> </w:t>
      </w:r>
      <w:r w:rsidR="00B26B74" w:rsidRPr="008E1F98">
        <w:rPr>
          <w:i/>
          <w:lang w:bidi="lv-LV"/>
        </w:rPr>
        <w:t>ko tā nozīmējusi par savu Pārvaldnieku</w:t>
      </w:r>
      <w:r w:rsidR="00A0219F" w:rsidRPr="00B26B74">
        <w:rPr>
          <w:i/>
          <w:lang w:bidi="lv-LV"/>
        </w:rPr>
        <w:t>.</w:t>
      </w:r>
    </w:p>
    <w:p w14:paraId="4D4914CE" w14:textId="320AA01D" w:rsidR="00C06626" w:rsidRDefault="00427947" w:rsidP="006C6964">
      <w:pPr>
        <w:pStyle w:val="BodyText"/>
        <w:shd w:val="clear" w:color="auto" w:fill="auto"/>
      </w:pPr>
      <w:r w:rsidRPr="00B26B74">
        <w:rPr>
          <w:i/>
          <w:lang w:bidi="lv-LV"/>
        </w:rPr>
        <w:t xml:space="preserve">Pārvaldnieku </w:t>
      </w:r>
      <w:r w:rsidR="0037435F" w:rsidRPr="00B26B74">
        <w:rPr>
          <w:i/>
          <w:lang w:bidi="lv-LV"/>
        </w:rPr>
        <w:t xml:space="preserve">padome </w:t>
      </w:r>
      <w:r w:rsidR="00A0219F" w:rsidRPr="00B26B74">
        <w:rPr>
          <w:i/>
          <w:lang w:bidi="lv-LV"/>
        </w:rPr>
        <w:t>ieceļ Priekšsēdētāju</w:t>
      </w:r>
      <w:r w:rsidR="00A0219F">
        <w:rPr>
          <w:i/>
          <w:lang w:bidi="lv-LV"/>
        </w:rPr>
        <w:t xml:space="preserve"> uz vienu gadu. </w:t>
      </w:r>
      <w:r>
        <w:rPr>
          <w:i/>
          <w:lang w:bidi="lv-LV"/>
        </w:rPr>
        <w:t xml:space="preserve">Pārvaldnieku </w:t>
      </w:r>
      <w:r w:rsidR="0037435F">
        <w:rPr>
          <w:i/>
          <w:lang w:bidi="lv-LV"/>
        </w:rPr>
        <w:t xml:space="preserve">padomes </w:t>
      </w:r>
      <w:r w:rsidR="00A0219F">
        <w:rPr>
          <w:i/>
          <w:lang w:bidi="lv-LV"/>
        </w:rPr>
        <w:t xml:space="preserve">Priekšsēdētāja amats tiek nodots </w:t>
      </w:r>
      <w:r w:rsidR="00B26B74">
        <w:rPr>
          <w:i/>
          <w:lang w:bidi="lv-LV"/>
        </w:rPr>
        <w:t xml:space="preserve">rotācijas kārtībā  </w:t>
      </w:r>
      <w:r w:rsidR="0037435F">
        <w:rPr>
          <w:i/>
          <w:lang w:bidi="lv-LV"/>
        </w:rPr>
        <w:t>D</w:t>
      </w:r>
      <w:r w:rsidR="00A0219F">
        <w:rPr>
          <w:i/>
          <w:lang w:bidi="lv-LV"/>
        </w:rPr>
        <w:t>alībvalst</w:t>
      </w:r>
      <w:r w:rsidR="00B26B74">
        <w:rPr>
          <w:i/>
          <w:lang w:bidi="lv-LV"/>
        </w:rPr>
        <w:t>u starpā</w:t>
      </w:r>
      <w:r w:rsidR="00A0219F">
        <w:rPr>
          <w:i/>
          <w:lang w:bidi="lv-LV"/>
        </w:rPr>
        <w:t>.</w:t>
      </w:r>
    </w:p>
    <w:p w14:paraId="07B00020" w14:textId="240D54BB" w:rsidR="00C06626" w:rsidRDefault="00427947" w:rsidP="006C6964">
      <w:pPr>
        <w:pStyle w:val="BodyText"/>
        <w:shd w:val="clear" w:color="auto" w:fill="auto"/>
      </w:pPr>
      <w:r>
        <w:rPr>
          <w:i/>
          <w:lang w:bidi="lv-LV"/>
        </w:rPr>
        <w:t xml:space="preserve">Pārvaldnieku </w:t>
      </w:r>
      <w:r w:rsidR="0037435F">
        <w:rPr>
          <w:i/>
          <w:lang w:bidi="lv-LV"/>
        </w:rPr>
        <w:t xml:space="preserve">padomei </w:t>
      </w:r>
      <w:r w:rsidR="00A0219F">
        <w:rPr>
          <w:i/>
          <w:lang w:bidi="lv-LV"/>
        </w:rPr>
        <w:t>ir piešķirtas šādas pilnvaras:</w:t>
      </w:r>
    </w:p>
    <w:p w14:paraId="06018493" w14:textId="1CB81116" w:rsidR="00C06626" w:rsidRDefault="00A0219F" w:rsidP="001C4566">
      <w:pPr>
        <w:pStyle w:val="BodyText"/>
        <w:numPr>
          <w:ilvl w:val="0"/>
          <w:numId w:val="1"/>
        </w:numPr>
        <w:shd w:val="clear" w:color="auto" w:fill="auto"/>
        <w:tabs>
          <w:tab w:val="left" w:pos="1057"/>
        </w:tabs>
        <w:spacing w:after="0"/>
        <w:ind w:firstLine="709"/>
        <w:jc w:val="both"/>
      </w:pPr>
      <w:r>
        <w:rPr>
          <w:i/>
          <w:lang w:bidi="lv-LV"/>
        </w:rPr>
        <w:t>Statūtu grozījumu veikšana, izņemot šo 13. </w:t>
      </w:r>
      <w:r w:rsidR="00E05462">
        <w:rPr>
          <w:i/>
          <w:lang w:bidi="lv-LV"/>
        </w:rPr>
        <w:t>pantu</w:t>
      </w:r>
      <w:r>
        <w:rPr>
          <w:i/>
          <w:lang w:bidi="lv-LV"/>
        </w:rPr>
        <w:t>.</w:t>
      </w:r>
    </w:p>
    <w:p w14:paraId="0347B0AE" w14:textId="77777777" w:rsidR="00C06626" w:rsidRDefault="00A0219F" w:rsidP="001C4566">
      <w:pPr>
        <w:pStyle w:val="BodyText"/>
        <w:numPr>
          <w:ilvl w:val="0"/>
          <w:numId w:val="1"/>
        </w:numPr>
        <w:shd w:val="clear" w:color="auto" w:fill="auto"/>
        <w:tabs>
          <w:tab w:val="left" w:pos="1057"/>
        </w:tabs>
        <w:spacing w:after="0"/>
        <w:ind w:firstLine="709"/>
      </w:pPr>
      <w:r>
        <w:rPr>
          <w:i/>
          <w:lang w:bidi="lv-LV"/>
        </w:rPr>
        <w:t>Lēmumi par pamatkapitāla palielināšanu un samazināšanu.</w:t>
      </w:r>
    </w:p>
    <w:p w14:paraId="7051BC4E" w14:textId="77777777" w:rsidR="00C06626" w:rsidRDefault="00A0219F" w:rsidP="001C4566">
      <w:pPr>
        <w:pStyle w:val="BodyText"/>
        <w:numPr>
          <w:ilvl w:val="0"/>
          <w:numId w:val="1"/>
        </w:numPr>
        <w:shd w:val="clear" w:color="auto" w:fill="auto"/>
        <w:tabs>
          <w:tab w:val="left" w:pos="1057"/>
        </w:tabs>
        <w:spacing w:after="0"/>
        <w:ind w:firstLine="709"/>
      </w:pPr>
      <w:r>
        <w:rPr>
          <w:i/>
          <w:lang w:bidi="lv-LV"/>
        </w:rPr>
        <w:t>Lēmumi par kapitāla un likviditātes pārvaldības principiem.</w:t>
      </w:r>
    </w:p>
    <w:p w14:paraId="0AB1E5EA" w14:textId="5CAD4110" w:rsidR="00C06626" w:rsidRDefault="00A0219F" w:rsidP="001C4566">
      <w:pPr>
        <w:pStyle w:val="BodyText"/>
        <w:numPr>
          <w:ilvl w:val="0"/>
          <w:numId w:val="1"/>
        </w:numPr>
        <w:shd w:val="clear" w:color="auto" w:fill="auto"/>
        <w:tabs>
          <w:tab w:val="left" w:pos="1081"/>
        </w:tabs>
        <w:spacing w:after="0"/>
        <w:ind w:firstLine="709"/>
      </w:pPr>
      <w:r>
        <w:rPr>
          <w:i/>
          <w:lang w:bidi="lv-LV"/>
        </w:rPr>
        <w:t>Lēmumi par Līguma un Statūtu</w:t>
      </w:r>
      <w:r w:rsidR="00B26B74">
        <w:rPr>
          <w:i/>
          <w:lang w:bidi="lv-LV"/>
        </w:rPr>
        <w:t xml:space="preserve"> noteikumu</w:t>
      </w:r>
      <w:r>
        <w:rPr>
          <w:i/>
          <w:lang w:bidi="lv-LV"/>
        </w:rPr>
        <w:t xml:space="preserve"> interpretācijas un piemērošanas jautājumiem.</w:t>
      </w:r>
    </w:p>
    <w:p w14:paraId="65CE09DD" w14:textId="77777777" w:rsidR="00C06626" w:rsidRDefault="00A0219F" w:rsidP="001C4566">
      <w:pPr>
        <w:pStyle w:val="BodyText"/>
        <w:numPr>
          <w:ilvl w:val="0"/>
          <w:numId w:val="1"/>
        </w:numPr>
        <w:shd w:val="clear" w:color="auto" w:fill="auto"/>
        <w:tabs>
          <w:tab w:val="left" w:pos="1081"/>
        </w:tabs>
        <w:spacing w:after="0"/>
        <w:ind w:firstLine="709"/>
      </w:pPr>
      <w:r>
        <w:rPr>
          <w:i/>
          <w:lang w:bidi="lv-LV"/>
        </w:rPr>
        <w:t>Bankas Direktoru valdes gada pārskata un revidētu finanšu pārskatu apstiprināšana.</w:t>
      </w:r>
    </w:p>
    <w:p w14:paraId="2C5D448B" w14:textId="64F3F725" w:rsidR="00C06626" w:rsidRDefault="00A0219F" w:rsidP="001C4566">
      <w:pPr>
        <w:pStyle w:val="BodyText"/>
        <w:numPr>
          <w:ilvl w:val="0"/>
          <w:numId w:val="1"/>
        </w:numPr>
        <w:shd w:val="clear" w:color="auto" w:fill="auto"/>
        <w:tabs>
          <w:tab w:val="left" w:pos="1061"/>
        </w:tabs>
        <w:spacing w:after="0"/>
        <w:ind w:firstLine="709"/>
      </w:pPr>
      <w:r>
        <w:rPr>
          <w:i/>
          <w:lang w:bidi="lv-LV"/>
        </w:rPr>
        <w:t>Kontroles komitejas locekļu iecelšana saskaņā ar 16. </w:t>
      </w:r>
      <w:r w:rsidR="00E05462">
        <w:rPr>
          <w:i/>
          <w:lang w:bidi="lv-LV"/>
        </w:rPr>
        <w:t>pantu</w:t>
      </w:r>
      <w:r>
        <w:rPr>
          <w:i/>
          <w:lang w:bidi="lv-LV"/>
        </w:rPr>
        <w:t>.</w:t>
      </w:r>
    </w:p>
    <w:p w14:paraId="111B597F" w14:textId="77777777" w:rsidR="00C06626" w:rsidRDefault="00A0219F" w:rsidP="001C4566">
      <w:pPr>
        <w:pStyle w:val="BodyText"/>
        <w:numPr>
          <w:ilvl w:val="0"/>
          <w:numId w:val="1"/>
        </w:numPr>
        <w:shd w:val="clear" w:color="auto" w:fill="auto"/>
        <w:tabs>
          <w:tab w:val="left" w:pos="1066"/>
        </w:tabs>
        <w:spacing w:after="0"/>
        <w:ind w:firstLine="709"/>
        <w:jc w:val="both"/>
      </w:pPr>
      <w:r>
        <w:rPr>
          <w:i/>
          <w:lang w:bidi="lv-LV"/>
        </w:rPr>
        <w:t>Lēmumi par procedūrām, kas saistītas ar dalības atsaukšanu Bankā.</w:t>
      </w:r>
    </w:p>
    <w:p w14:paraId="61451E2C" w14:textId="77777777" w:rsidR="00C06626" w:rsidRDefault="00A0219F" w:rsidP="001C4566">
      <w:pPr>
        <w:pStyle w:val="BodyText"/>
        <w:numPr>
          <w:ilvl w:val="0"/>
          <w:numId w:val="1"/>
        </w:numPr>
        <w:shd w:val="clear" w:color="auto" w:fill="auto"/>
        <w:tabs>
          <w:tab w:val="left" w:pos="1066"/>
        </w:tabs>
        <w:ind w:firstLine="709"/>
        <w:jc w:val="both"/>
      </w:pPr>
      <w:r>
        <w:rPr>
          <w:i/>
          <w:lang w:bidi="lv-LV"/>
        </w:rPr>
        <w:t>Lēmums par Bankas likvidāciju.</w:t>
      </w:r>
    </w:p>
    <w:p w14:paraId="33A3714D" w14:textId="35DE4AEA" w:rsidR="00C06626" w:rsidRDefault="00427947" w:rsidP="006C6964">
      <w:pPr>
        <w:pStyle w:val="BodyText"/>
        <w:shd w:val="clear" w:color="auto" w:fill="auto"/>
      </w:pPr>
      <w:r>
        <w:rPr>
          <w:i/>
          <w:lang w:bidi="lv-LV"/>
        </w:rPr>
        <w:t xml:space="preserve">Pārvaldnieku </w:t>
      </w:r>
      <w:r w:rsidR="0037435F">
        <w:rPr>
          <w:i/>
          <w:lang w:bidi="lv-LV"/>
        </w:rPr>
        <w:t xml:space="preserve">padomes </w:t>
      </w:r>
      <w:r w:rsidR="00A0219F">
        <w:rPr>
          <w:i/>
          <w:lang w:bidi="lv-LV"/>
        </w:rPr>
        <w:t>lēmumi ir vienprātīgi. Lēmumus var pieņemt rakstveida procedūras veidā.</w:t>
      </w:r>
    </w:p>
    <w:p w14:paraId="70D67410" w14:textId="76780373" w:rsidR="006C6964" w:rsidRPr="001C4566" w:rsidRDefault="00427947" w:rsidP="001C4566">
      <w:pPr>
        <w:pStyle w:val="BodyText"/>
        <w:shd w:val="clear" w:color="auto" w:fill="auto"/>
        <w:rPr>
          <w:i/>
          <w:lang w:bidi="lv-LV"/>
        </w:rPr>
      </w:pPr>
      <w:r>
        <w:rPr>
          <w:i/>
          <w:lang w:bidi="lv-LV"/>
        </w:rPr>
        <w:t xml:space="preserve">Pārvaldnieku </w:t>
      </w:r>
      <w:r w:rsidR="0037435F">
        <w:rPr>
          <w:i/>
          <w:lang w:bidi="lv-LV"/>
        </w:rPr>
        <w:t xml:space="preserve">padome </w:t>
      </w:r>
      <w:r w:rsidR="00A0219F">
        <w:rPr>
          <w:i/>
          <w:lang w:bidi="lv-LV"/>
        </w:rPr>
        <w:t>rīko gada sanāksmi un citas sanāksmes, kuras tiek uzskatītas par nepieciešamām.”</w:t>
      </w:r>
    </w:p>
    <w:p w14:paraId="13DCEB5F" w14:textId="1ABD7253" w:rsidR="00EB1E0E" w:rsidRDefault="00A0219F">
      <w:pPr>
        <w:pStyle w:val="BodyText"/>
        <w:shd w:val="clear" w:color="auto" w:fill="auto"/>
        <w:jc w:val="both"/>
        <w:rPr>
          <w:lang w:bidi="lv-LV"/>
        </w:rPr>
      </w:pPr>
      <w:r>
        <w:rPr>
          <w:lang w:bidi="lv-LV"/>
        </w:rPr>
        <w:t>Papildus iepriekšminētajam Statūtu 14. </w:t>
      </w:r>
      <w:r w:rsidR="00E05462">
        <w:rPr>
          <w:lang w:bidi="lv-LV"/>
        </w:rPr>
        <w:t>panta</w:t>
      </w:r>
      <w:r>
        <w:rPr>
          <w:lang w:bidi="lv-LV"/>
        </w:rPr>
        <w:t xml:space="preserve"> grozījumam dažas citas Statūtu sadaļas ir grozītas ar </w:t>
      </w:r>
      <w:r w:rsidR="00427947">
        <w:rPr>
          <w:lang w:bidi="lv-LV"/>
        </w:rPr>
        <w:t xml:space="preserve">Pārvaldnieku </w:t>
      </w:r>
      <w:r w:rsidR="0037435F">
        <w:rPr>
          <w:lang w:bidi="lv-LV"/>
        </w:rPr>
        <w:t xml:space="preserve">padomes </w:t>
      </w:r>
      <w:r>
        <w:rPr>
          <w:lang w:bidi="lv-LV"/>
        </w:rPr>
        <w:t>lēmumu Gada sanāksmē 2019. gada 24. maijā saskaņā ar Līguma 2. </w:t>
      </w:r>
      <w:r w:rsidR="00E05462">
        <w:rPr>
          <w:lang w:bidi="lv-LV"/>
        </w:rPr>
        <w:t>pantu</w:t>
      </w:r>
      <w:r>
        <w:rPr>
          <w:lang w:bidi="lv-LV"/>
        </w:rPr>
        <w:t xml:space="preserve"> un Statūtu 14. </w:t>
      </w:r>
      <w:r w:rsidR="00E05462">
        <w:rPr>
          <w:lang w:bidi="lv-LV"/>
        </w:rPr>
        <w:t>pantu</w:t>
      </w:r>
      <w:r>
        <w:rPr>
          <w:lang w:bidi="lv-LV"/>
        </w:rPr>
        <w:t>. Grozītie statūti pilnībā ir pievienoti šai Vienošanās par grozījumiem.</w:t>
      </w:r>
    </w:p>
    <w:p w14:paraId="2911A234" w14:textId="77777777" w:rsidR="00EB1E0E" w:rsidRDefault="00EB1E0E">
      <w:pPr>
        <w:rPr>
          <w:rFonts w:ascii="Times New Roman" w:eastAsia="Times New Roman" w:hAnsi="Times New Roman" w:cs="Times New Roman"/>
          <w:sz w:val="22"/>
          <w:szCs w:val="22"/>
          <w:lang w:bidi="lv-LV"/>
        </w:rPr>
      </w:pPr>
      <w:r>
        <w:rPr>
          <w:lang w:bidi="lv-LV"/>
        </w:rPr>
        <w:br w:type="page"/>
      </w:r>
    </w:p>
    <w:p w14:paraId="6765C7C9" w14:textId="77777777" w:rsidR="00C06626" w:rsidRDefault="00C06626">
      <w:pPr>
        <w:pStyle w:val="BodyText"/>
        <w:shd w:val="clear" w:color="auto" w:fill="auto"/>
        <w:jc w:val="both"/>
      </w:pPr>
    </w:p>
    <w:p w14:paraId="1D3E4FAA" w14:textId="2EA27ACB" w:rsidR="00C06626" w:rsidRDefault="00E05462" w:rsidP="00E05462">
      <w:pPr>
        <w:pStyle w:val="Heading10"/>
        <w:keepNext/>
        <w:keepLines/>
        <w:numPr>
          <w:ilvl w:val="0"/>
          <w:numId w:val="2"/>
        </w:numPr>
        <w:shd w:val="clear" w:color="auto" w:fill="auto"/>
        <w:spacing w:after="240"/>
      </w:pPr>
      <w:r>
        <w:rPr>
          <w:lang w:bidi="lv-LV"/>
        </w:rPr>
        <w:t>pants</w:t>
      </w:r>
    </w:p>
    <w:p w14:paraId="7A82F06A" w14:textId="6C6FED8C" w:rsidR="00C06626" w:rsidRDefault="00A0219F" w:rsidP="00275AAF">
      <w:pPr>
        <w:pStyle w:val="BodyText"/>
        <w:shd w:val="clear" w:color="auto" w:fill="auto"/>
        <w:spacing w:after="240"/>
        <w:jc w:val="both"/>
      </w:pPr>
      <w:r>
        <w:rPr>
          <w:lang w:bidi="lv-LV"/>
        </w:rPr>
        <w:t xml:space="preserve">Šo Vienošanos par grozījumiem apstiprina Puses. Šī Vienošanās par grozījumiem </w:t>
      </w:r>
      <w:r w:rsidR="00825476" w:rsidRPr="00825476">
        <w:rPr>
          <w:lang w:bidi="lv-LV"/>
        </w:rPr>
        <w:t>stājas spēkā pēc trīsdesmit dienām, kad visas Dalībvalstis</w:t>
      </w:r>
      <w:r>
        <w:rPr>
          <w:lang w:bidi="lv-LV"/>
        </w:rPr>
        <w:t xml:space="preserve"> ir iesniegušas savus apstiprināšanas instrumentus Norvēģijas Ārlietu ministrijai. Norvēģijas Ārlietu ministrija informē pārējās Dalībvalstis par apstiprināšanas instrumentu iesniegšanu un šīs Vienošanās par grozījumiem spēkā stāšanās dienu.</w:t>
      </w:r>
    </w:p>
    <w:p w14:paraId="0C4E138A" w14:textId="00EFC4A7" w:rsidR="00C06626" w:rsidRDefault="00A0219F" w:rsidP="00275AAF">
      <w:pPr>
        <w:pStyle w:val="BodyText"/>
        <w:shd w:val="clear" w:color="auto" w:fill="auto"/>
        <w:spacing w:after="240" w:line="252" w:lineRule="auto"/>
        <w:jc w:val="both"/>
      </w:pPr>
      <w:r>
        <w:rPr>
          <w:lang w:bidi="lv-LV"/>
        </w:rPr>
        <w:t>Šī Vienošanās par grozījumiem tiek iesniegta Norvēģijas Ārlietu ministrijai, un Norvēģijas Ārlietu ministrija izsniedz katrai Dalībvalstij apstiprinātas kopijas.</w:t>
      </w:r>
    </w:p>
    <w:p w14:paraId="2A504085" w14:textId="0957E8FA" w:rsidR="00C06626" w:rsidRDefault="00A0219F" w:rsidP="00275AAF">
      <w:pPr>
        <w:pStyle w:val="BodyText"/>
        <w:shd w:val="clear" w:color="auto" w:fill="auto"/>
        <w:spacing w:after="240" w:line="252" w:lineRule="auto"/>
        <w:jc w:val="both"/>
      </w:pPr>
      <w:r>
        <w:rPr>
          <w:lang w:bidi="lv-LV"/>
        </w:rPr>
        <w:t>To apliecinot, astoņu Dalībvalstu pilnvarotie pārstāvji turpmāk ir parakstījuši šo Vienošanos.</w:t>
      </w:r>
    </w:p>
    <w:p w14:paraId="63C7E84F" w14:textId="77777777" w:rsidR="00C06626" w:rsidRDefault="00A0219F">
      <w:pPr>
        <w:pStyle w:val="BodyText"/>
        <w:shd w:val="clear" w:color="auto" w:fill="auto"/>
        <w:tabs>
          <w:tab w:val="left" w:pos="2333"/>
          <w:tab w:val="left" w:pos="3840"/>
        </w:tabs>
        <w:spacing w:after="1040"/>
      </w:pPr>
      <w:r>
        <w:rPr>
          <w:lang w:bidi="lv-LV"/>
        </w:rPr>
        <w:t>Izpildīts</w:t>
      </w:r>
      <w:r>
        <w:rPr>
          <w:lang w:bidi="lv-LV"/>
        </w:rPr>
        <w:tab/>
        <w:t>2020. gadā,</w:t>
      </w:r>
      <w:r>
        <w:rPr>
          <w:lang w:bidi="lv-LV"/>
        </w:rPr>
        <w:tab/>
        <w:t>vienā oriģinālā eksemplārā angļu valodā.</w:t>
      </w:r>
    </w:p>
    <w:p w14:paraId="07280F2C" w14:textId="77777777" w:rsidR="00C06626" w:rsidRDefault="00A0219F">
      <w:pPr>
        <w:pStyle w:val="BodyText"/>
        <w:shd w:val="clear" w:color="auto" w:fill="auto"/>
        <w:spacing w:after="520"/>
      </w:pPr>
      <w:r>
        <w:rPr>
          <w:lang w:bidi="lv-LV"/>
        </w:rPr>
        <w:t>Dānijas Karalistes valdības vārdā</w:t>
      </w:r>
    </w:p>
    <w:p w14:paraId="26DAB0C0" w14:textId="77777777" w:rsidR="00C06626" w:rsidRDefault="00A0219F">
      <w:pPr>
        <w:pStyle w:val="BodyText"/>
        <w:shd w:val="clear" w:color="auto" w:fill="auto"/>
        <w:spacing w:after="520"/>
      </w:pPr>
      <w:r>
        <w:rPr>
          <w:lang w:bidi="lv-LV"/>
        </w:rPr>
        <w:t>Igaunijas Republikas valdības vārdā</w:t>
      </w:r>
    </w:p>
    <w:p w14:paraId="2EBB7E35" w14:textId="77777777" w:rsidR="00C06626" w:rsidRDefault="00A0219F">
      <w:pPr>
        <w:pStyle w:val="BodyText"/>
        <w:shd w:val="clear" w:color="auto" w:fill="auto"/>
        <w:spacing w:after="520"/>
      </w:pPr>
      <w:r>
        <w:rPr>
          <w:lang w:bidi="lv-LV"/>
        </w:rPr>
        <w:t>Somijas Republikas valdības vārdā</w:t>
      </w:r>
    </w:p>
    <w:p w14:paraId="69E58387" w14:textId="77777777" w:rsidR="00C06626" w:rsidRDefault="00A0219F">
      <w:pPr>
        <w:pStyle w:val="BodyText"/>
        <w:shd w:val="clear" w:color="auto" w:fill="auto"/>
        <w:spacing w:after="520"/>
      </w:pPr>
      <w:r>
        <w:rPr>
          <w:lang w:bidi="lv-LV"/>
        </w:rPr>
        <w:t>Islandes Republikas valdības vārdā</w:t>
      </w:r>
    </w:p>
    <w:p w14:paraId="24F3CECD" w14:textId="77777777" w:rsidR="00C06626" w:rsidRPr="00E05462" w:rsidRDefault="00A0219F">
      <w:pPr>
        <w:pStyle w:val="BodyText"/>
        <w:shd w:val="clear" w:color="auto" w:fill="auto"/>
        <w:spacing w:after="520"/>
        <w:rPr>
          <w:lang w:val="en-US"/>
        </w:rPr>
      </w:pPr>
      <w:r>
        <w:rPr>
          <w:lang w:bidi="lv-LV"/>
        </w:rPr>
        <w:t>Latvijas Republikas valdības vārdā</w:t>
      </w:r>
    </w:p>
    <w:p w14:paraId="38515282" w14:textId="77777777" w:rsidR="00C06626" w:rsidRDefault="00A0219F">
      <w:pPr>
        <w:pStyle w:val="BodyText"/>
        <w:shd w:val="clear" w:color="auto" w:fill="auto"/>
        <w:spacing w:after="520"/>
      </w:pPr>
      <w:r>
        <w:rPr>
          <w:lang w:bidi="lv-LV"/>
        </w:rPr>
        <w:t>Lietuvas Republikas valdības vārdā</w:t>
      </w:r>
    </w:p>
    <w:p w14:paraId="22D71C5F" w14:textId="77777777" w:rsidR="00C06626" w:rsidRDefault="00A0219F">
      <w:pPr>
        <w:pStyle w:val="BodyText"/>
        <w:shd w:val="clear" w:color="auto" w:fill="auto"/>
        <w:spacing w:after="520"/>
      </w:pPr>
      <w:r>
        <w:rPr>
          <w:lang w:bidi="lv-LV"/>
        </w:rPr>
        <w:t>Norvēģijas Karalistes valdības vārdā</w:t>
      </w:r>
    </w:p>
    <w:p w14:paraId="31682581" w14:textId="51825FF5" w:rsidR="00C06626" w:rsidRDefault="00A0219F">
      <w:pPr>
        <w:pStyle w:val="BodyText"/>
        <w:shd w:val="clear" w:color="auto" w:fill="auto"/>
        <w:spacing w:after="0"/>
        <w:rPr>
          <w:lang w:bidi="lv-LV"/>
        </w:rPr>
      </w:pPr>
      <w:r>
        <w:rPr>
          <w:lang w:bidi="lv-LV"/>
        </w:rPr>
        <w:t>Zviedrijas Karalistes valdības vārdā</w:t>
      </w:r>
    </w:p>
    <w:p w14:paraId="156A4A40" w14:textId="0D59E8CA" w:rsidR="00D053E7" w:rsidRDefault="00D053E7">
      <w:pPr>
        <w:rPr>
          <w:rFonts w:ascii="Times New Roman" w:eastAsia="Times New Roman" w:hAnsi="Times New Roman" w:cs="Times New Roman"/>
          <w:sz w:val="22"/>
          <w:szCs w:val="22"/>
          <w:lang w:bidi="lv-LV"/>
        </w:rPr>
      </w:pPr>
      <w:r>
        <w:rPr>
          <w:lang w:bidi="lv-LV"/>
        </w:rPr>
        <w:br w:type="page"/>
      </w:r>
    </w:p>
    <w:p w14:paraId="61B53070" w14:textId="3EB30664" w:rsidR="00D053E7" w:rsidRPr="00D053E7" w:rsidRDefault="00D053E7" w:rsidP="00D053E7">
      <w:pPr>
        <w:jc w:val="both"/>
        <w:rPr>
          <w:rFonts w:ascii="Times New Roman" w:eastAsia="Calibri" w:hAnsi="Times New Roman" w:cs="Times New Roman"/>
          <w:b/>
          <w:bCs/>
          <w:color w:val="auto"/>
          <w:lang w:eastAsia="lv-LV" w:bidi="ar-SA"/>
        </w:rPr>
      </w:pPr>
      <w:r>
        <w:rPr>
          <w:rFonts w:ascii="Times New Roman" w:eastAsia="Calibri" w:hAnsi="Times New Roman" w:cs="Times New Roman"/>
          <w:b/>
          <w:color w:val="auto"/>
          <w:lang w:eastAsia="lv-LV" w:bidi="ar-SA"/>
        </w:rPr>
        <w:lastRenderedPageBreak/>
        <w:t xml:space="preserve">Grozītie </w:t>
      </w:r>
      <w:r w:rsidRPr="00D053E7">
        <w:rPr>
          <w:rFonts w:ascii="Times New Roman" w:eastAsia="Calibri" w:hAnsi="Times New Roman" w:cs="Times New Roman"/>
          <w:b/>
          <w:color w:val="auto"/>
          <w:lang w:eastAsia="lv-LV" w:bidi="ar-SA"/>
        </w:rPr>
        <w:t>Ziemeļu Investīciju bankas Statūti</w:t>
      </w:r>
    </w:p>
    <w:p w14:paraId="7F1010E0" w14:textId="77777777" w:rsidR="00D053E7" w:rsidRPr="00D053E7" w:rsidRDefault="00D053E7" w:rsidP="00D053E7">
      <w:pPr>
        <w:jc w:val="both"/>
        <w:rPr>
          <w:rFonts w:ascii="Times New Roman" w:eastAsia="Calibri" w:hAnsi="Times New Roman" w:cs="Times New Roman"/>
          <w:color w:val="auto"/>
          <w:lang w:eastAsia="lv-LV" w:bidi="ar-SA"/>
        </w:rPr>
      </w:pPr>
    </w:p>
    <w:p w14:paraId="26645990"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Ziemeļu Investīciju banka darbojas saskaņā ar turpmāk norādītajiem noteikumiem.</w:t>
      </w:r>
    </w:p>
    <w:p w14:paraId="72CCAA46" w14:textId="77777777" w:rsidR="00D053E7" w:rsidRPr="00D053E7" w:rsidRDefault="00D053E7" w:rsidP="00D053E7">
      <w:pPr>
        <w:jc w:val="both"/>
        <w:rPr>
          <w:rFonts w:ascii="Times New Roman" w:eastAsia="Calibri" w:hAnsi="Times New Roman" w:cs="Times New Roman"/>
          <w:b/>
          <w:bCs/>
          <w:color w:val="auto"/>
          <w:lang w:eastAsia="lv-LV" w:bidi="ar-SA"/>
        </w:rPr>
      </w:pPr>
    </w:p>
    <w:p w14:paraId="30AD2BC7"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MĒRĶIS</w:t>
      </w:r>
    </w:p>
    <w:p w14:paraId="7E753DF1" w14:textId="77777777" w:rsidR="00D053E7" w:rsidRPr="00D053E7" w:rsidRDefault="00D053E7" w:rsidP="00D053E7">
      <w:pPr>
        <w:jc w:val="both"/>
        <w:rPr>
          <w:rFonts w:ascii="Times New Roman" w:eastAsia="Calibri" w:hAnsi="Times New Roman" w:cs="Times New Roman"/>
          <w:b/>
          <w:bCs/>
          <w:color w:val="auto"/>
          <w:lang w:eastAsia="lv-LV" w:bidi="ar-SA"/>
        </w:rPr>
      </w:pPr>
    </w:p>
    <w:p w14:paraId="72D63FC8"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 pants</w:t>
      </w:r>
    </w:p>
    <w:p w14:paraId="2059D7F7" w14:textId="77777777" w:rsidR="00D053E7" w:rsidRPr="00D053E7" w:rsidRDefault="00D053E7" w:rsidP="00D053E7">
      <w:pPr>
        <w:jc w:val="both"/>
        <w:rPr>
          <w:rFonts w:ascii="Times New Roman" w:eastAsia="Calibri" w:hAnsi="Times New Roman" w:cs="Times New Roman"/>
          <w:color w:val="auto"/>
          <w:lang w:eastAsia="lv-LV" w:bidi="ar-SA"/>
        </w:rPr>
      </w:pPr>
    </w:p>
    <w:p w14:paraId="31BEDF65"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Ziemeļu Investīciju bankas (turpmāk </w:t>
      </w:r>
      <w:r w:rsidRPr="00D053E7">
        <w:rPr>
          <w:rFonts w:ascii="Times New Roman" w:eastAsia="Calibri" w:hAnsi="Times New Roman" w:cs="Times New Roman"/>
          <w:color w:val="auto"/>
          <w:cs/>
          <w:lang w:eastAsia="lv-LV" w:bidi="ar-SA"/>
        </w:rPr>
        <w:t>– “</w:t>
      </w:r>
      <w:r w:rsidRPr="00D053E7">
        <w:rPr>
          <w:rFonts w:ascii="Times New Roman" w:eastAsia="Calibri" w:hAnsi="Times New Roman" w:cs="Times New Roman"/>
          <w:color w:val="auto"/>
          <w:lang w:eastAsia="lv-LV" w:bidi="ar-SA"/>
        </w:rPr>
        <w:t>Banka</w:t>
      </w:r>
      <w:r w:rsidRPr="00D053E7">
        <w:rPr>
          <w:rFonts w:ascii="Times New Roman" w:eastAsia="Calibri" w:hAnsi="Times New Roman" w:cs="Times New Roman"/>
          <w:color w:val="auto"/>
          <w:cs/>
          <w:lang w:eastAsia="lv-LV" w:bidi="ar-SA"/>
        </w:rPr>
        <w:t>”</w:t>
      </w:r>
      <w:r w:rsidRPr="00D053E7">
        <w:rPr>
          <w:rFonts w:ascii="Times New Roman" w:eastAsia="Calibri" w:hAnsi="Times New Roman" w:cs="Times New Roman"/>
          <w:color w:val="auto"/>
          <w:lang w:eastAsia="lv-LV" w:bidi="ar-SA"/>
        </w:rPr>
        <w:t>) mērķis ir nodrošināt finansējuma pieejamību, ievērojot stabilas banku darbības principus un ņemot vērā sociālekonomiskos apsvērumus, un īstenot ieguldījumu projektus, kas interesē Dalībvalstis un citas valstis, kuras saņem šo finansējumu.</w:t>
      </w:r>
    </w:p>
    <w:p w14:paraId="028CF62B" w14:textId="77777777" w:rsidR="00D053E7" w:rsidRPr="00D053E7" w:rsidRDefault="00D053E7" w:rsidP="00D053E7">
      <w:pPr>
        <w:jc w:val="both"/>
        <w:rPr>
          <w:rFonts w:ascii="Times New Roman" w:eastAsia="Calibri" w:hAnsi="Times New Roman" w:cs="Times New Roman"/>
          <w:b/>
          <w:bCs/>
          <w:color w:val="auto"/>
          <w:lang w:eastAsia="lv-LV" w:bidi="ar-SA"/>
        </w:rPr>
      </w:pPr>
    </w:p>
    <w:p w14:paraId="74CC863E"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NOSAUKUMS UN SAĪSINĀJUMS</w:t>
      </w:r>
    </w:p>
    <w:p w14:paraId="6546E253" w14:textId="77777777" w:rsidR="00D053E7" w:rsidRPr="00D053E7" w:rsidRDefault="00D053E7" w:rsidP="00D053E7">
      <w:pPr>
        <w:jc w:val="both"/>
        <w:rPr>
          <w:rFonts w:ascii="Times New Roman" w:eastAsia="Calibri" w:hAnsi="Times New Roman" w:cs="Times New Roman"/>
          <w:b/>
          <w:bCs/>
          <w:color w:val="auto"/>
          <w:lang w:eastAsia="lv-LV" w:bidi="ar-SA"/>
        </w:rPr>
      </w:pPr>
    </w:p>
    <w:p w14:paraId="6B6566FC"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2. pants</w:t>
      </w:r>
    </w:p>
    <w:p w14:paraId="2C2CD3C6" w14:textId="77777777" w:rsidR="00D053E7" w:rsidRPr="00D053E7" w:rsidRDefault="00D053E7" w:rsidP="00D053E7">
      <w:pPr>
        <w:jc w:val="both"/>
        <w:rPr>
          <w:rFonts w:ascii="Times New Roman" w:eastAsia="Calibri" w:hAnsi="Times New Roman" w:cs="Times New Roman"/>
          <w:color w:val="auto"/>
          <w:lang w:eastAsia="lv-LV" w:bidi="ar-SA"/>
        </w:rPr>
      </w:pPr>
    </w:p>
    <w:p w14:paraId="4EC52114" w14:textId="017CDE8D"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Bankai ir šāds oficiālais nosaukums šādās valodās: </w:t>
      </w:r>
      <w:r w:rsidRPr="00D053E7">
        <w:rPr>
          <w:rFonts w:ascii="Times New Roman" w:eastAsia="Calibri" w:hAnsi="Times New Roman" w:cs="Times New Roman"/>
          <w:i/>
          <w:color w:val="auto"/>
          <w:lang w:eastAsia="lv-LV" w:bidi="ar-SA"/>
        </w:rPr>
        <w:t>Nordic Investment Bank</w:t>
      </w:r>
      <w:r w:rsidRPr="00D053E7">
        <w:rPr>
          <w:rFonts w:ascii="Times New Roman" w:eastAsia="Calibri" w:hAnsi="Times New Roman" w:cs="Times New Roman"/>
          <w:color w:val="auto"/>
          <w:lang w:eastAsia="lv-LV" w:bidi="ar-SA"/>
        </w:rPr>
        <w:t xml:space="preserve"> angļu valodā, </w:t>
      </w:r>
      <w:r w:rsidRPr="00D053E7">
        <w:rPr>
          <w:rFonts w:ascii="Times New Roman" w:eastAsia="Calibri" w:hAnsi="Times New Roman" w:cs="Times New Roman"/>
          <w:i/>
          <w:color w:val="auto"/>
          <w:lang w:eastAsia="lv-LV" w:bidi="ar-SA"/>
        </w:rPr>
        <w:t>Nordiska investeringsbanken</w:t>
      </w:r>
      <w:r w:rsidRPr="00D053E7">
        <w:rPr>
          <w:rFonts w:ascii="Times New Roman" w:eastAsia="Calibri" w:hAnsi="Times New Roman" w:cs="Times New Roman"/>
          <w:color w:val="auto"/>
          <w:lang w:eastAsia="lv-LV" w:bidi="ar-SA"/>
        </w:rPr>
        <w:t xml:space="preserve"> zviedru valodā, </w:t>
      </w:r>
      <w:r w:rsidRPr="00D053E7">
        <w:rPr>
          <w:rFonts w:ascii="Times New Roman" w:eastAsia="Calibri" w:hAnsi="Times New Roman" w:cs="Times New Roman"/>
          <w:i/>
          <w:color w:val="auto"/>
          <w:lang w:eastAsia="lv-LV" w:bidi="ar-SA"/>
        </w:rPr>
        <w:t>Den Nordiske Investeringsbank</w:t>
      </w:r>
      <w:r w:rsidRPr="00D053E7">
        <w:rPr>
          <w:rFonts w:ascii="Times New Roman" w:eastAsia="Calibri" w:hAnsi="Times New Roman" w:cs="Times New Roman"/>
          <w:color w:val="auto"/>
          <w:lang w:eastAsia="lv-LV" w:bidi="ar-SA"/>
        </w:rPr>
        <w:t xml:space="preserve"> dāņu valodā, </w:t>
      </w:r>
      <w:r w:rsidRPr="00D053E7">
        <w:rPr>
          <w:rFonts w:ascii="Times New Roman" w:eastAsia="Calibri" w:hAnsi="Times New Roman" w:cs="Times New Roman"/>
          <w:i/>
          <w:color w:val="auto"/>
          <w:lang w:eastAsia="lv-LV" w:bidi="ar-SA"/>
        </w:rPr>
        <w:t>Põhjamaade Investeerimispank</w:t>
      </w:r>
      <w:r w:rsidRPr="00D053E7">
        <w:rPr>
          <w:rFonts w:ascii="Times New Roman" w:eastAsia="Calibri" w:hAnsi="Times New Roman" w:cs="Times New Roman"/>
          <w:color w:val="auto"/>
          <w:lang w:eastAsia="lv-LV" w:bidi="ar-SA"/>
        </w:rPr>
        <w:t xml:space="preserve"> igauņu valodā,</w:t>
      </w:r>
      <w:r w:rsidRPr="00D053E7">
        <w:rPr>
          <w:rFonts w:ascii="Times New Roman" w:eastAsia="Calibri" w:hAnsi="Times New Roman" w:cs="Times New Roman"/>
          <w:i/>
          <w:color w:val="auto"/>
          <w:lang w:eastAsia="lv-LV" w:bidi="ar-SA"/>
        </w:rPr>
        <w:t xml:space="preserve"> Pohjoismaiden Investointipankki</w:t>
      </w:r>
      <w:r w:rsidRPr="00D053E7">
        <w:rPr>
          <w:rFonts w:ascii="Times New Roman" w:eastAsia="Calibri" w:hAnsi="Times New Roman" w:cs="Times New Roman"/>
          <w:color w:val="auto"/>
          <w:lang w:eastAsia="lv-LV" w:bidi="ar-SA"/>
        </w:rPr>
        <w:t xml:space="preserve"> somu valodā, </w:t>
      </w:r>
      <w:r w:rsidRPr="00D053E7">
        <w:rPr>
          <w:rFonts w:ascii="Times New Roman" w:eastAsia="Calibri" w:hAnsi="Times New Roman" w:cs="Times New Roman"/>
          <w:i/>
          <w:color w:val="auto"/>
          <w:lang w:eastAsia="lv-LV" w:bidi="ar-SA"/>
        </w:rPr>
        <w:t>Norræni fjárfestingarbankinn</w:t>
      </w:r>
      <w:r w:rsidRPr="00D053E7">
        <w:rPr>
          <w:rFonts w:ascii="Times New Roman" w:eastAsia="Calibri" w:hAnsi="Times New Roman" w:cs="Times New Roman"/>
          <w:color w:val="auto"/>
          <w:lang w:eastAsia="lv-LV" w:bidi="ar-SA"/>
        </w:rPr>
        <w:t xml:space="preserve"> islandiešu valodā, </w:t>
      </w:r>
      <w:r w:rsidRPr="00D053E7">
        <w:rPr>
          <w:rFonts w:ascii="Times New Roman" w:eastAsia="Calibri" w:hAnsi="Times New Roman" w:cs="Times New Roman"/>
          <w:i/>
          <w:color w:val="auto"/>
          <w:lang w:eastAsia="lv-LV" w:bidi="ar-SA"/>
        </w:rPr>
        <w:t>Ziemeļu Investīciju banka</w:t>
      </w:r>
      <w:r w:rsidRPr="00D053E7">
        <w:rPr>
          <w:rFonts w:ascii="Times New Roman" w:eastAsia="Calibri" w:hAnsi="Times New Roman" w:cs="Times New Roman"/>
          <w:color w:val="auto"/>
          <w:lang w:eastAsia="lv-LV" w:bidi="ar-SA"/>
        </w:rPr>
        <w:t xml:space="preserve"> latviešu valodā, </w:t>
      </w:r>
      <w:r w:rsidR="00CD6109">
        <w:rPr>
          <w:rFonts w:ascii="Times New Roman" w:eastAsia="Calibri" w:hAnsi="Times New Roman" w:cs="Times New Roman"/>
          <w:i/>
          <w:color w:val="auto"/>
          <w:lang w:eastAsia="lv-LV" w:bidi="ar-SA"/>
        </w:rPr>
        <w:t>Šiaur</w:t>
      </w:r>
      <w:r w:rsidR="00CD6109" w:rsidRPr="00CD6109">
        <w:rPr>
          <w:rFonts w:ascii="Times New Roman" w:eastAsia="Calibri" w:hAnsi="Times New Roman" w:cs="Times New Roman"/>
          <w:i/>
          <w:color w:val="auto"/>
          <w:lang w:eastAsia="lv-LV" w:bidi="ar-SA"/>
        </w:rPr>
        <w:t>ė</w:t>
      </w:r>
      <w:r w:rsidRPr="00D053E7">
        <w:rPr>
          <w:rFonts w:ascii="Times New Roman" w:eastAsia="Calibri" w:hAnsi="Times New Roman" w:cs="Times New Roman"/>
          <w:i/>
          <w:color w:val="auto"/>
          <w:lang w:eastAsia="lv-LV" w:bidi="ar-SA"/>
        </w:rPr>
        <w:t>s investicijų bankas</w:t>
      </w:r>
      <w:r w:rsidRPr="00D053E7">
        <w:rPr>
          <w:rFonts w:ascii="Times New Roman" w:eastAsia="Calibri" w:hAnsi="Times New Roman" w:cs="Times New Roman"/>
          <w:color w:val="auto"/>
          <w:lang w:eastAsia="lv-LV" w:bidi="ar-SA"/>
        </w:rPr>
        <w:t xml:space="preserve"> lietuviešu valodā un </w:t>
      </w:r>
      <w:r w:rsidRPr="00D053E7">
        <w:rPr>
          <w:rFonts w:ascii="Times New Roman" w:eastAsia="Calibri" w:hAnsi="Times New Roman" w:cs="Times New Roman"/>
          <w:i/>
          <w:color w:val="auto"/>
          <w:lang w:eastAsia="lv-LV" w:bidi="ar-SA"/>
        </w:rPr>
        <w:t>Den nordiske investeringsbank</w:t>
      </w:r>
      <w:r w:rsidRPr="00D053E7">
        <w:rPr>
          <w:rFonts w:ascii="Times New Roman" w:eastAsia="Calibri" w:hAnsi="Times New Roman" w:cs="Times New Roman"/>
          <w:color w:val="auto"/>
          <w:lang w:eastAsia="lv-LV" w:bidi="ar-SA"/>
        </w:rPr>
        <w:t xml:space="preserve"> norvēģu valodā.</w:t>
      </w:r>
    </w:p>
    <w:p w14:paraId="7B92E769" w14:textId="77777777" w:rsidR="00D053E7" w:rsidRPr="00D053E7" w:rsidRDefault="00D053E7" w:rsidP="00D053E7">
      <w:pPr>
        <w:jc w:val="both"/>
        <w:rPr>
          <w:rFonts w:ascii="Times New Roman" w:eastAsia="Calibri" w:hAnsi="Times New Roman" w:cs="Times New Roman"/>
          <w:color w:val="auto"/>
          <w:lang w:eastAsia="lv-LV" w:bidi="ar-SA"/>
        </w:rPr>
      </w:pPr>
    </w:p>
    <w:p w14:paraId="4DC49D9B"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Oficiālais Bankas nosaukuma saīsinājums ir </w:t>
      </w:r>
      <w:r w:rsidRPr="00D053E7">
        <w:rPr>
          <w:rFonts w:ascii="Times New Roman" w:eastAsia="Calibri" w:hAnsi="Times New Roman" w:cs="Times New Roman"/>
          <w:i/>
          <w:color w:val="auto"/>
          <w:lang w:eastAsia="lv-LV" w:bidi="ar-SA"/>
        </w:rPr>
        <w:t>NIB</w:t>
      </w:r>
      <w:r w:rsidRPr="00D053E7">
        <w:rPr>
          <w:rFonts w:ascii="Times New Roman" w:eastAsia="Calibri" w:hAnsi="Times New Roman" w:cs="Times New Roman"/>
          <w:color w:val="auto"/>
          <w:lang w:eastAsia="lv-LV" w:bidi="ar-SA"/>
        </w:rPr>
        <w:t>.</w:t>
      </w:r>
    </w:p>
    <w:p w14:paraId="0ADF23E5" w14:textId="77777777" w:rsidR="00D053E7" w:rsidRPr="00D053E7" w:rsidRDefault="00D053E7" w:rsidP="00D053E7">
      <w:pPr>
        <w:jc w:val="both"/>
        <w:rPr>
          <w:rFonts w:ascii="Times New Roman" w:eastAsia="Calibri" w:hAnsi="Times New Roman" w:cs="Times New Roman"/>
          <w:b/>
          <w:bCs/>
          <w:color w:val="auto"/>
          <w:lang w:eastAsia="lv-LV" w:bidi="ar-SA"/>
        </w:rPr>
      </w:pPr>
    </w:p>
    <w:p w14:paraId="2D70C0D7"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KAPITĀLS</w:t>
      </w:r>
    </w:p>
    <w:p w14:paraId="59A2B7DE" w14:textId="77777777" w:rsidR="00D053E7" w:rsidRPr="00D053E7" w:rsidRDefault="00D053E7" w:rsidP="00D053E7">
      <w:pPr>
        <w:jc w:val="both"/>
        <w:rPr>
          <w:rFonts w:ascii="Times New Roman" w:eastAsia="Calibri" w:hAnsi="Times New Roman" w:cs="Times New Roman"/>
          <w:b/>
          <w:bCs/>
          <w:color w:val="auto"/>
          <w:lang w:eastAsia="lv-LV" w:bidi="ar-SA"/>
        </w:rPr>
      </w:pPr>
    </w:p>
    <w:p w14:paraId="5274AF97"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3. pants</w:t>
      </w:r>
    </w:p>
    <w:p w14:paraId="61811BEE" w14:textId="77777777" w:rsidR="00D053E7" w:rsidRPr="00D053E7" w:rsidRDefault="00D053E7" w:rsidP="00D053E7">
      <w:pPr>
        <w:jc w:val="both"/>
        <w:rPr>
          <w:rFonts w:ascii="Times New Roman" w:eastAsia="Calibri" w:hAnsi="Times New Roman" w:cs="Times New Roman"/>
          <w:color w:val="auto"/>
          <w:lang w:eastAsia="lv-LV" w:bidi="ar-SA"/>
        </w:rPr>
      </w:pPr>
    </w:p>
    <w:p w14:paraId="31195EC4" w14:textId="58AD5614"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Bankas pamatkapitāls ir 8 368 844 474,11 EUR, </w:t>
      </w:r>
      <w:r w:rsidR="009B5711" w:rsidRPr="009B5711">
        <w:rPr>
          <w:rFonts w:ascii="Times New Roman" w:eastAsia="Calibri" w:hAnsi="Times New Roman" w:cs="Times New Roman"/>
          <w:color w:val="auto"/>
          <w:lang w:eastAsia="lv-LV" w:bidi="ar-SA"/>
        </w:rPr>
        <w:t>ko Dalībvalstis iemaksā šādi</w:t>
      </w:r>
      <w:r w:rsidRPr="00D053E7">
        <w:rPr>
          <w:rFonts w:ascii="Times New Roman" w:eastAsia="Calibri" w:hAnsi="Times New Roman" w:cs="Times New Roman"/>
          <w:color w:val="auto"/>
          <w:lang w:eastAsia="lv-LV" w:bidi="ar-SA"/>
        </w:rPr>
        <w:t>:</w:t>
      </w:r>
    </w:p>
    <w:p w14:paraId="35554EDC" w14:textId="77777777" w:rsidR="00D053E7" w:rsidRPr="00D053E7" w:rsidRDefault="00D053E7" w:rsidP="00D053E7">
      <w:pPr>
        <w:jc w:val="both"/>
        <w:rPr>
          <w:rFonts w:ascii="Times New Roman" w:eastAsia="Calibri" w:hAnsi="Times New Roman" w:cs="Times New Roman"/>
          <w:color w:val="auto"/>
          <w:lang w:eastAsia="lv-LV" w:bidi="ar-SA"/>
        </w:rPr>
      </w:pPr>
    </w:p>
    <w:p w14:paraId="24BF169B"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Dānija 1 763 074 493,79 EUR;</w:t>
      </w:r>
    </w:p>
    <w:p w14:paraId="51D2F320"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Igaunija 76 651 259,81 EUR;</w:t>
      </w:r>
    </w:p>
    <w:p w14:paraId="24C60305"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Somija 1 482 690 785,19 EUR;</w:t>
      </w:r>
    </w:p>
    <w:p w14:paraId="5B6E9BF9"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Islande 79 132 913,42 EUR;</w:t>
      </w:r>
    </w:p>
    <w:p w14:paraId="3D629266"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Latvija 111 830 807,21 EUR;</w:t>
      </w:r>
    </w:p>
    <w:p w14:paraId="09971EF6"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Lietuva 163 231 714,80 EUR;</w:t>
      </w:r>
    </w:p>
    <w:p w14:paraId="058B76EC"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Norvēģija 1 799 704 941,30 EUR;</w:t>
      </w:r>
    </w:p>
    <w:p w14:paraId="525DEE03"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Zviedrija 2 892 527 558,59 EUR.</w:t>
      </w:r>
    </w:p>
    <w:p w14:paraId="7880BE5B" w14:textId="77777777" w:rsidR="00D053E7" w:rsidRPr="00D053E7" w:rsidRDefault="00D053E7" w:rsidP="00D053E7">
      <w:pPr>
        <w:jc w:val="both"/>
        <w:rPr>
          <w:rFonts w:ascii="Times New Roman" w:eastAsia="Calibri" w:hAnsi="Times New Roman" w:cs="Times New Roman"/>
          <w:color w:val="auto"/>
          <w:lang w:eastAsia="lv-LV" w:bidi="ar-SA"/>
        </w:rPr>
      </w:pPr>
    </w:p>
    <w:p w14:paraId="7E139E05"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Par jebkuru pamatkapitāla palielinājumu vai samazinājumu lemj Pārvaldnieku padome pēc Bankas Direktoru valdes priekšlikuma. Jebkurš pamatkapitāla palielinājums vai samazinājums tiek sadalīts Dalībvalstu starpā, balstoties uz Dalībvalstu nacionālo kopienākumu tirgus cenās, kā to periodiski nosaka Pārvaldnieku padome.</w:t>
      </w:r>
    </w:p>
    <w:p w14:paraId="51A2147C" w14:textId="77777777" w:rsidR="00D053E7" w:rsidRPr="00D053E7" w:rsidRDefault="00D053E7" w:rsidP="00D053E7">
      <w:pPr>
        <w:jc w:val="both"/>
        <w:rPr>
          <w:rFonts w:ascii="Times New Roman" w:eastAsia="Calibri" w:hAnsi="Times New Roman" w:cs="Times New Roman"/>
          <w:b/>
          <w:bCs/>
          <w:color w:val="auto"/>
          <w:lang w:eastAsia="lv-LV" w:bidi="ar-SA"/>
        </w:rPr>
      </w:pPr>
    </w:p>
    <w:p w14:paraId="51F8BDD3"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4. pants</w:t>
      </w:r>
    </w:p>
    <w:p w14:paraId="4E972D41" w14:textId="77777777" w:rsidR="00D053E7" w:rsidRPr="00D053E7" w:rsidRDefault="00D053E7" w:rsidP="00D053E7">
      <w:pPr>
        <w:jc w:val="both"/>
        <w:rPr>
          <w:rFonts w:ascii="Times New Roman" w:eastAsia="Calibri" w:hAnsi="Times New Roman" w:cs="Times New Roman"/>
          <w:color w:val="auto"/>
          <w:lang w:eastAsia="lv-LV" w:bidi="ar-SA"/>
        </w:rPr>
      </w:pPr>
    </w:p>
    <w:p w14:paraId="18AFFC25"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Dalībvalstis nodod Bankas rīcībā 10.10346099746250 procentus no parakstītā pamatkapitāla. Maksājumi tiek veikti pēc Bankas pieprasījuma.</w:t>
      </w:r>
    </w:p>
    <w:p w14:paraId="3268CFA4" w14:textId="77777777" w:rsidR="00D053E7" w:rsidRPr="00D053E7" w:rsidRDefault="00D053E7" w:rsidP="00D053E7">
      <w:pPr>
        <w:jc w:val="both"/>
        <w:rPr>
          <w:rFonts w:ascii="Times New Roman" w:eastAsia="Calibri" w:hAnsi="Times New Roman" w:cs="Times New Roman"/>
          <w:color w:val="auto"/>
          <w:lang w:eastAsia="lv-LV" w:bidi="ar-SA"/>
        </w:rPr>
      </w:pPr>
    </w:p>
    <w:p w14:paraId="79F282E4"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Parakstītā pamatkapitāla pārējā daļa ir pieejama pēc pirmā pieprasījuma tādā mērā, kā Bankas Direktoru valde to uzskata par nepieciešamu, lai Banka varētu izpildīt savas parādsaistības.</w:t>
      </w:r>
    </w:p>
    <w:p w14:paraId="67946D7F" w14:textId="77777777" w:rsidR="00D053E7" w:rsidRPr="00D053E7" w:rsidRDefault="00D053E7" w:rsidP="00D053E7">
      <w:pPr>
        <w:jc w:val="both"/>
        <w:rPr>
          <w:rFonts w:ascii="Times New Roman" w:eastAsia="Calibri" w:hAnsi="Times New Roman" w:cs="Times New Roman"/>
          <w:b/>
          <w:bCs/>
          <w:color w:val="auto"/>
          <w:lang w:eastAsia="lv-LV" w:bidi="ar-SA"/>
        </w:rPr>
      </w:pPr>
    </w:p>
    <w:p w14:paraId="443986F7"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5. pants</w:t>
      </w:r>
    </w:p>
    <w:p w14:paraId="6DFB85CC" w14:textId="77777777" w:rsidR="00D053E7" w:rsidRPr="00D053E7" w:rsidRDefault="00D053E7" w:rsidP="00D053E7">
      <w:pPr>
        <w:jc w:val="both"/>
        <w:rPr>
          <w:rFonts w:ascii="Times New Roman" w:eastAsia="Calibri" w:hAnsi="Times New Roman" w:cs="Times New Roman"/>
          <w:color w:val="auto"/>
          <w:lang w:eastAsia="lv-LV" w:bidi="ar-SA"/>
        </w:rPr>
      </w:pPr>
    </w:p>
    <w:p w14:paraId="6548DBAB"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4. pantā minētos maksājumus veic </w:t>
      </w:r>
      <w:r w:rsidRPr="00D053E7">
        <w:rPr>
          <w:rFonts w:ascii="Times New Roman" w:eastAsia="Calibri" w:hAnsi="Times New Roman" w:cs="Times New Roman"/>
          <w:i/>
          <w:color w:val="auto"/>
          <w:lang w:eastAsia="lv-LV" w:bidi="ar-SA"/>
        </w:rPr>
        <w:t>euro</w:t>
      </w:r>
      <w:r w:rsidRPr="00D053E7">
        <w:rPr>
          <w:rFonts w:ascii="Times New Roman" w:eastAsia="Calibri" w:hAnsi="Times New Roman" w:cs="Times New Roman"/>
          <w:color w:val="auto"/>
          <w:lang w:eastAsia="lv-LV" w:bidi="ar-SA"/>
        </w:rPr>
        <w:t xml:space="preserve"> valūtā.</w:t>
      </w:r>
    </w:p>
    <w:p w14:paraId="37201300" w14:textId="77777777" w:rsidR="00D053E7" w:rsidRPr="00D053E7" w:rsidRDefault="00D053E7" w:rsidP="00D053E7">
      <w:pPr>
        <w:jc w:val="both"/>
        <w:rPr>
          <w:rFonts w:ascii="Times New Roman" w:eastAsia="Calibri" w:hAnsi="Times New Roman" w:cs="Times New Roman"/>
          <w:b/>
          <w:bCs/>
          <w:color w:val="auto"/>
          <w:lang w:eastAsia="lv-LV" w:bidi="ar-SA"/>
        </w:rPr>
      </w:pPr>
    </w:p>
    <w:p w14:paraId="6485C5B5"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6. pants</w:t>
      </w:r>
    </w:p>
    <w:p w14:paraId="7AFEA15E" w14:textId="77777777" w:rsidR="00D053E7" w:rsidRPr="00D053E7" w:rsidRDefault="00D053E7" w:rsidP="00D053E7">
      <w:pPr>
        <w:jc w:val="both"/>
        <w:rPr>
          <w:rFonts w:ascii="Times New Roman" w:eastAsia="Calibri" w:hAnsi="Times New Roman" w:cs="Times New Roman"/>
          <w:color w:val="auto"/>
          <w:lang w:eastAsia="lv-LV" w:bidi="ar-SA"/>
        </w:rPr>
      </w:pPr>
    </w:p>
    <w:p w14:paraId="15819394"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Bankai ir atbilstoša kapitāla un likviditātes pārvaldība, ievērojot stabilas banku darbības principus. Banka ir ieviesusi stabilas un efektīvas stratēģijas riska, kapitāla un likviditātes novērtējumiem, kas tiek veikti vismaz reizi gadā un regulāri pārskatīti. Bankas kapitāla un likviditātes pārvaldības pamatā ir tās darbībā novērtētie riski, ko papildina stresa testēšana.</w:t>
      </w:r>
    </w:p>
    <w:p w14:paraId="086570BE" w14:textId="7AF50DE9" w:rsidR="00D053E7" w:rsidRPr="00D053E7" w:rsidRDefault="00D053E7" w:rsidP="00D053E7">
      <w:pPr>
        <w:jc w:val="both"/>
        <w:rPr>
          <w:rFonts w:ascii="Times New Roman" w:eastAsia="Calibri" w:hAnsi="Times New Roman" w:cs="Times New Roman"/>
          <w:color w:val="auto"/>
          <w:lang w:eastAsia="lv-LV" w:bidi="ar-SA"/>
        </w:rPr>
      </w:pPr>
    </w:p>
    <w:p w14:paraId="36A2D528"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Piemēro šādus minimālos ierobežojumus:</w:t>
      </w:r>
    </w:p>
    <w:p w14:paraId="1FD838D9" w14:textId="77777777" w:rsidR="00D053E7" w:rsidRPr="00D053E7" w:rsidRDefault="00D053E7" w:rsidP="00D053E7">
      <w:pPr>
        <w:jc w:val="both"/>
        <w:rPr>
          <w:rFonts w:ascii="Times New Roman" w:eastAsia="Calibri" w:hAnsi="Times New Roman" w:cs="Times New Roman"/>
          <w:color w:val="auto"/>
          <w:lang w:eastAsia="lv-LV" w:bidi="ar-SA"/>
        </w:rPr>
      </w:pPr>
    </w:p>
    <w:p w14:paraId="4509A417"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a) Bankas iemaksātais kapitāls un uzkrātās rezerves pārsniedz iekšēji novērtēto kapitāla prasību, kas sedz to risku būtību un līmeni, kuriem Banka ir vai varētu tikt pakļauta;</w:t>
      </w:r>
    </w:p>
    <w:p w14:paraId="1DE8D63B"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b) Banka saglabā likviditātes rezervi, kas nepieciešama, lai turpinātu darbību vismaz sešus mēnešus nopietna stresa situācijā;</w:t>
      </w:r>
    </w:p>
    <w:p w14:paraId="086F610A"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c) lai nepieļautu pārmērīgas aizņemto līdzekļu izmantošanas risku, Bankas iemaksātais kapitāls un uzkrātās rezerves pārsniedz summu, kas atbilst septiņiem procentiem no kopējiem riska darījumiem.</w:t>
      </w:r>
    </w:p>
    <w:p w14:paraId="1B579172" w14:textId="710A1A94" w:rsidR="00D053E7" w:rsidRPr="00D053E7" w:rsidRDefault="00D053E7" w:rsidP="00D053E7">
      <w:pPr>
        <w:jc w:val="both"/>
        <w:rPr>
          <w:rFonts w:ascii="Times New Roman" w:eastAsia="Calibri" w:hAnsi="Times New Roman" w:cs="Times New Roman"/>
          <w:color w:val="auto"/>
          <w:lang w:eastAsia="lv-LV" w:bidi="ar-SA"/>
        </w:rPr>
      </w:pPr>
    </w:p>
    <w:p w14:paraId="097378BE" w14:textId="27FCF0D2" w:rsid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Atbilstoši 13. panta c) apakšpunktam Pārvaldnieku padome nosaka kapitāla un likviditātes pārvaldības principus, tostarp sīku informāciju par šajā punktā minēto ierobežojumu noteikšanu, ievērojot vispāratzītus piesardzības standartus, kas tiek uzskatīti par būtiskiem.</w:t>
      </w:r>
    </w:p>
    <w:p w14:paraId="2DAF6069" w14:textId="07129D4F" w:rsidR="009B5711" w:rsidRDefault="009B5711" w:rsidP="00D053E7">
      <w:pPr>
        <w:jc w:val="both"/>
        <w:rPr>
          <w:rFonts w:ascii="Times New Roman" w:eastAsia="Calibri" w:hAnsi="Times New Roman" w:cs="Times New Roman"/>
          <w:color w:val="auto"/>
          <w:lang w:eastAsia="lv-LV" w:bidi="ar-SA"/>
        </w:rPr>
      </w:pPr>
    </w:p>
    <w:p w14:paraId="7029A4A1" w14:textId="0566194B" w:rsidR="009B5711" w:rsidRPr="00D053E7" w:rsidRDefault="009B5711" w:rsidP="00D053E7">
      <w:pPr>
        <w:jc w:val="both"/>
        <w:rPr>
          <w:rFonts w:ascii="Times New Roman" w:eastAsia="Calibri" w:hAnsi="Times New Roman" w:cs="Times New Roman"/>
          <w:color w:val="auto"/>
          <w:lang w:eastAsia="lv-LV" w:bidi="ar-SA"/>
        </w:rPr>
      </w:pPr>
      <w:r>
        <w:rPr>
          <w:rFonts w:ascii="Times New Roman" w:eastAsia="Calibri" w:hAnsi="Times New Roman" w:cs="Times New Roman"/>
          <w:color w:val="auto"/>
          <w:lang w:eastAsia="lv-LV" w:bidi="ar-SA"/>
        </w:rPr>
        <w:t>Uzraudzības līmeņus šiem ierobežojumiem nosaka Direktoru valde.</w:t>
      </w:r>
    </w:p>
    <w:p w14:paraId="2DEBB896" w14:textId="77777777" w:rsidR="00D053E7" w:rsidRPr="00D053E7" w:rsidRDefault="00D053E7" w:rsidP="00D053E7">
      <w:pPr>
        <w:jc w:val="both"/>
        <w:rPr>
          <w:rFonts w:ascii="Times New Roman" w:eastAsia="Calibri" w:hAnsi="Times New Roman" w:cs="Times New Roman"/>
          <w:b/>
          <w:bCs/>
          <w:color w:val="auto"/>
          <w:lang w:eastAsia="lv-LV" w:bidi="ar-SA"/>
        </w:rPr>
      </w:pPr>
    </w:p>
    <w:p w14:paraId="471528BC"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7. pants</w:t>
      </w:r>
    </w:p>
    <w:p w14:paraId="11C890C3" w14:textId="77777777" w:rsidR="00D053E7" w:rsidRPr="00D053E7" w:rsidRDefault="00D053E7" w:rsidP="00D053E7">
      <w:pPr>
        <w:jc w:val="both"/>
        <w:rPr>
          <w:rFonts w:ascii="Times New Roman" w:eastAsia="Calibri" w:hAnsi="Times New Roman" w:cs="Times New Roman"/>
          <w:color w:val="auto"/>
          <w:lang w:eastAsia="lv-LV" w:bidi="ar-SA"/>
        </w:rPr>
      </w:pPr>
    </w:p>
    <w:p w14:paraId="566641DC" w14:textId="2692AA0F"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Banka iegūst savu uzdevumu izpildei nepieciešamos naudas līdzekļus Dalībvalstīs vai </w:t>
      </w:r>
      <w:r w:rsidR="000279D6">
        <w:rPr>
          <w:rFonts w:ascii="Times New Roman" w:eastAsia="Calibri" w:hAnsi="Times New Roman" w:cs="Times New Roman"/>
          <w:color w:val="auto"/>
          <w:lang w:eastAsia="lv-LV" w:bidi="ar-SA"/>
        </w:rPr>
        <w:t>citviet</w:t>
      </w:r>
      <w:r w:rsidRPr="00D053E7">
        <w:rPr>
          <w:rFonts w:ascii="Times New Roman" w:eastAsia="Calibri" w:hAnsi="Times New Roman" w:cs="Times New Roman"/>
          <w:color w:val="auto"/>
          <w:lang w:eastAsia="lv-LV" w:bidi="ar-SA"/>
        </w:rPr>
        <w:t>. Turklāt šim nolūkam var izmantot arī saskaņā ar 4. pantu iemaksāto kapitālu.</w:t>
      </w:r>
    </w:p>
    <w:p w14:paraId="2BF97787" w14:textId="77777777" w:rsidR="00D053E7" w:rsidRPr="00D053E7" w:rsidRDefault="00D053E7" w:rsidP="00D053E7">
      <w:pPr>
        <w:jc w:val="both"/>
        <w:rPr>
          <w:rFonts w:ascii="Times New Roman" w:eastAsia="Calibri" w:hAnsi="Times New Roman" w:cs="Times New Roman"/>
          <w:b/>
          <w:bCs/>
          <w:color w:val="auto"/>
          <w:lang w:eastAsia="lv-LV" w:bidi="ar-SA"/>
        </w:rPr>
      </w:pPr>
    </w:p>
    <w:p w14:paraId="1C6B5162"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DARBĪBA</w:t>
      </w:r>
    </w:p>
    <w:p w14:paraId="5C1DE02F" w14:textId="77777777" w:rsidR="00D053E7" w:rsidRPr="00D053E7" w:rsidRDefault="00D053E7" w:rsidP="00D053E7">
      <w:pPr>
        <w:jc w:val="both"/>
        <w:rPr>
          <w:rFonts w:ascii="Times New Roman" w:eastAsia="Calibri" w:hAnsi="Times New Roman" w:cs="Times New Roman"/>
          <w:b/>
          <w:bCs/>
          <w:color w:val="auto"/>
          <w:lang w:eastAsia="lv-LV" w:bidi="ar-SA"/>
        </w:rPr>
      </w:pPr>
    </w:p>
    <w:p w14:paraId="012E6523"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8. pants</w:t>
      </w:r>
    </w:p>
    <w:p w14:paraId="6BEA9F11" w14:textId="77777777" w:rsidR="00D053E7" w:rsidRPr="00D053E7" w:rsidRDefault="00D053E7" w:rsidP="00D053E7">
      <w:pPr>
        <w:jc w:val="both"/>
        <w:rPr>
          <w:rFonts w:ascii="Times New Roman" w:eastAsia="Calibri" w:hAnsi="Times New Roman" w:cs="Times New Roman"/>
          <w:color w:val="auto"/>
          <w:lang w:eastAsia="lv-LV" w:bidi="ar-SA"/>
        </w:rPr>
      </w:pPr>
    </w:p>
    <w:p w14:paraId="22E54797"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Lai īstenotu 1. pantā norādīto Bankas mērķi, Banka var nodrošināt finansējuma pieejamību aizdevumu, garantiju un līdzdalības akciju kapitālā veidā.</w:t>
      </w:r>
    </w:p>
    <w:p w14:paraId="50F826F9" w14:textId="77777777" w:rsidR="00D053E7" w:rsidRPr="00D053E7" w:rsidRDefault="00D053E7" w:rsidP="00D053E7">
      <w:pPr>
        <w:jc w:val="both"/>
        <w:rPr>
          <w:rFonts w:ascii="Times New Roman" w:eastAsia="Calibri" w:hAnsi="Times New Roman" w:cs="Times New Roman"/>
          <w:color w:val="auto"/>
          <w:lang w:eastAsia="lv-LV" w:bidi="ar-SA"/>
        </w:rPr>
      </w:pPr>
    </w:p>
    <w:p w14:paraId="5AFC045C"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Izsniedzot aizdevumus un izdodot garantijas, Banka pieprasa atbilstošu nodrošinājumu, ja </w:t>
      </w:r>
      <w:r w:rsidRPr="00D053E7">
        <w:rPr>
          <w:rFonts w:ascii="Times New Roman" w:eastAsia="Calibri" w:hAnsi="Times New Roman" w:cs="Times New Roman"/>
          <w:color w:val="auto"/>
          <w:lang w:eastAsia="lv-LV" w:bidi="ar-SA"/>
        </w:rPr>
        <w:lastRenderedPageBreak/>
        <w:t>vien netiek uzskatīts, ka konkrētajos apstākļos nodrošinājums jau ir pietiekams.</w:t>
      </w:r>
    </w:p>
    <w:p w14:paraId="11401877" w14:textId="77777777" w:rsidR="00D053E7" w:rsidRPr="00D053E7" w:rsidRDefault="00D053E7" w:rsidP="00D053E7">
      <w:pPr>
        <w:jc w:val="both"/>
        <w:rPr>
          <w:rFonts w:ascii="Times New Roman" w:eastAsia="Calibri" w:hAnsi="Times New Roman" w:cs="Times New Roman"/>
          <w:color w:val="auto"/>
          <w:lang w:eastAsia="lv-LV" w:bidi="ar-SA"/>
        </w:rPr>
      </w:pPr>
    </w:p>
    <w:p w14:paraId="62F734F1"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Piedaloties akciju kapitālā, Bankas līdzdalības summa nevienā brīdī nepārsniedz summu, kas atbilst 15 procentiem no kopējā iemaksātā kapitāla un uzkrātajām rezervēm. Lai novērtētu kapitāla pietiekamību, iemaksātā kapitāla un uzkrāto rezervju summu samazina par summu, kas vienāda ar jebkuru Bankas līdzdalību akciju kapitālā.</w:t>
      </w:r>
    </w:p>
    <w:p w14:paraId="40B6E5BB" w14:textId="77777777" w:rsidR="00D053E7" w:rsidRPr="00D053E7" w:rsidRDefault="00D053E7" w:rsidP="00D053E7">
      <w:pPr>
        <w:jc w:val="both"/>
        <w:rPr>
          <w:rFonts w:ascii="Times New Roman" w:eastAsia="Calibri" w:hAnsi="Times New Roman" w:cs="Times New Roman"/>
          <w:color w:val="auto"/>
          <w:lang w:eastAsia="lv-LV" w:bidi="ar-SA"/>
        </w:rPr>
      </w:pPr>
    </w:p>
    <w:p w14:paraId="43980B27"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Saistībā ar savu darbību Banka var veikt arī citus pasākumus, kas nepieciešami vai vēlami Bankas mērķa sasniegšanas sekmēšanai.</w:t>
      </w:r>
    </w:p>
    <w:p w14:paraId="3AF0B74D" w14:textId="77777777" w:rsidR="00D053E7" w:rsidRPr="00D053E7" w:rsidRDefault="00D053E7" w:rsidP="00D053E7">
      <w:pPr>
        <w:jc w:val="both"/>
        <w:rPr>
          <w:rFonts w:ascii="Times New Roman" w:eastAsia="Calibri" w:hAnsi="Times New Roman" w:cs="Times New Roman"/>
          <w:color w:val="auto"/>
          <w:lang w:eastAsia="lv-LV" w:bidi="ar-SA"/>
        </w:rPr>
      </w:pPr>
    </w:p>
    <w:p w14:paraId="3FB4E089"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Banka sadarbojas ar citām kredītiestādēm un attiecīgām valsts un privātām institūcijām.</w:t>
      </w:r>
    </w:p>
    <w:p w14:paraId="1916C043" w14:textId="77777777" w:rsidR="00D053E7" w:rsidRPr="00D053E7" w:rsidRDefault="00D053E7" w:rsidP="00D053E7">
      <w:pPr>
        <w:jc w:val="both"/>
        <w:rPr>
          <w:rFonts w:ascii="Times New Roman" w:eastAsia="Calibri" w:hAnsi="Times New Roman" w:cs="Times New Roman"/>
          <w:b/>
          <w:bCs/>
          <w:color w:val="auto"/>
          <w:lang w:eastAsia="lv-LV" w:bidi="ar-SA"/>
        </w:rPr>
      </w:pPr>
    </w:p>
    <w:p w14:paraId="18DA91AD"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9. pants</w:t>
      </w:r>
    </w:p>
    <w:p w14:paraId="14134A54" w14:textId="77777777" w:rsidR="00D053E7" w:rsidRPr="00D053E7" w:rsidRDefault="00D053E7" w:rsidP="00D053E7">
      <w:pPr>
        <w:jc w:val="both"/>
        <w:rPr>
          <w:rFonts w:ascii="Times New Roman" w:eastAsia="Calibri" w:hAnsi="Times New Roman" w:cs="Times New Roman"/>
          <w:color w:val="auto"/>
          <w:lang w:eastAsia="lv-LV" w:bidi="ar-SA"/>
        </w:rPr>
      </w:pPr>
    </w:p>
    <w:p w14:paraId="43173FFF"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Bankas saimnieciskā darbība tiek veikta saskaņā ar 1. pantā minētajiem principiem un šādām vadlīnijām:</w:t>
      </w:r>
    </w:p>
    <w:p w14:paraId="6DFEFE6A" w14:textId="77777777" w:rsidR="00D053E7" w:rsidRPr="00D053E7" w:rsidRDefault="00D053E7" w:rsidP="00D053E7">
      <w:pPr>
        <w:jc w:val="both"/>
        <w:rPr>
          <w:rFonts w:ascii="Times New Roman" w:eastAsia="Calibri" w:hAnsi="Times New Roman" w:cs="Times New Roman"/>
          <w:color w:val="auto"/>
          <w:lang w:eastAsia="lv-LV" w:bidi="ar-SA"/>
        </w:rPr>
      </w:pPr>
    </w:p>
    <w:p w14:paraId="6A730E1C"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a) finansējumu nepiešķir, ja tam iebilst saņēmējvalsts;</w:t>
      </w:r>
    </w:p>
    <w:p w14:paraId="5AF12DB3"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b) aizņēmumi un līdzekļu ieguldījumi Dalībvalstīs tiek īstenoti, konsultējoties ar attiecīgās valsts institūcijām;</w:t>
      </w:r>
    </w:p>
    <w:p w14:paraId="71730A96"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c) savā darbībā Banka cenšas gūt peļņu, kas ļautu veidot rezerves un pamatotu peļņu no 3. pantā minētā parakstītā pamatkapitāla;</w:t>
      </w:r>
    </w:p>
    <w:p w14:paraId="6569FF2C"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 ja rodas konkrēta nepieciešamība, Banka var iegādāties akcijas vai citus aktīvus, lai atbalstītu savu saimniecisko darbību vai aizsargātu savus prasījumus;</w:t>
      </w:r>
    </w:p>
    <w:p w14:paraId="2E6F1D5E"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e) tādā mērā, kādā tas ir praktiski iespējams, Banka aizsargā sevi pret risku, kas saistīts ar zaudējumiem valūtas maiņas kursa svārstību gadījumā.</w:t>
      </w:r>
    </w:p>
    <w:p w14:paraId="77C66594" w14:textId="77777777" w:rsidR="00D053E7" w:rsidRPr="00D053E7" w:rsidRDefault="00D053E7" w:rsidP="00D053E7">
      <w:pPr>
        <w:jc w:val="both"/>
        <w:rPr>
          <w:rFonts w:ascii="Times New Roman" w:eastAsia="Calibri" w:hAnsi="Times New Roman" w:cs="Times New Roman"/>
          <w:color w:val="auto"/>
          <w:lang w:eastAsia="lv-LV" w:bidi="ar-SA"/>
        </w:rPr>
      </w:pPr>
    </w:p>
    <w:p w14:paraId="1133D515"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10. pants</w:t>
      </w:r>
    </w:p>
    <w:p w14:paraId="0C8232EA" w14:textId="77777777" w:rsidR="00D053E7" w:rsidRPr="00D053E7" w:rsidRDefault="00D053E7" w:rsidP="00D053E7">
      <w:pPr>
        <w:jc w:val="both"/>
        <w:rPr>
          <w:rFonts w:ascii="Times New Roman" w:eastAsia="Calibri" w:hAnsi="Times New Roman" w:cs="Times New Roman"/>
          <w:color w:val="auto"/>
          <w:lang w:eastAsia="lv-LV" w:bidi="ar-SA"/>
        </w:rPr>
      </w:pPr>
    </w:p>
    <w:p w14:paraId="79E7FBE4"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Pēc asignējumiem atbilstošos kredītriska fondos Bankas peļņas pārpalikums tiek ieskaitīts rezerves fondā, līdz šī summa sasniedz 10 procentus no Bankas pamatkapitāla. Tad Pārvaldnieku padome pēc Bankas Direktoru valdes priekšlikuma lemj par pārpalikuma sadali starp rezervju fondu un dividendēm par parakstīto kapitālu.</w:t>
      </w:r>
    </w:p>
    <w:p w14:paraId="53B76592" w14:textId="77777777" w:rsidR="00D053E7" w:rsidRPr="00D053E7" w:rsidRDefault="00D053E7" w:rsidP="00D053E7">
      <w:pPr>
        <w:jc w:val="both"/>
        <w:rPr>
          <w:rFonts w:ascii="Times New Roman" w:eastAsia="Calibri" w:hAnsi="Times New Roman" w:cs="Times New Roman"/>
          <w:b/>
          <w:bCs/>
          <w:color w:val="auto"/>
          <w:lang w:eastAsia="lv-LV" w:bidi="ar-SA"/>
        </w:rPr>
      </w:pPr>
    </w:p>
    <w:p w14:paraId="3DC062BD"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11. pants</w:t>
      </w:r>
    </w:p>
    <w:p w14:paraId="1898B831" w14:textId="77777777" w:rsidR="00D053E7" w:rsidRPr="00D053E7" w:rsidRDefault="00D053E7" w:rsidP="00D053E7">
      <w:pPr>
        <w:jc w:val="both"/>
        <w:rPr>
          <w:rFonts w:ascii="Times New Roman" w:eastAsia="Calibri" w:hAnsi="Times New Roman" w:cs="Times New Roman"/>
          <w:color w:val="auto"/>
          <w:lang w:eastAsia="lv-LV" w:bidi="ar-SA"/>
        </w:rPr>
      </w:pPr>
    </w:p>
    <w:p w14:paraId="35DEE6E0"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Bankas norēķini tiek kārtoti </w:t>
      </w:r>
      <w:r w:rsidRPr="00D053E7">
        <w:rPr>
          <w:rFonts w:ascii="Times New Roman" w:eastAsia="Calibri" w:hAnsi="Times New Roman" w:cs="Times New Roman"/>
          <w:i/>
          <w:color w:val="auto"/>
          <w:lang w:eastAsia="lv-LV" w:bidi="ar-SA"/>
        </w:rPr>
        <w:t>euro</w:t>
      </w:r>
      <w:r w:rsidRPr="00D053E7">
        <w:rPr>
          <w:rFonts w:ascii="Times New Roman" w:eastAsia="Calibri" w:hAnsi="Times New Roman" w:cs="Times New Roman"/>
          <w:color w:val="auto"/>
          <w:lang w:eastAsia="lv-LV" w:bidi="ar-SA"/>
        </w:rPr>
        <w:t xml:space="preserve"> valūtā. Finanšu gads atbilst kalendārajam gadam.</w:t>
      </w:r>
    </w:p>
    <w:p w14:paraId="434BE642" w14:textId="77777777" w:rsidR="00D053E7" w:rsidRPr="00D053E7" w:rsidRDefault="00D053E7" w:rsidP="00D053E7">
      <w:pPr>
        <w:jc w:val="both"/>
        <w:rPr>
          <w:rFonts w:ascii="Times New Roman" w:eastAsia="Calibri" w:hAnsi="Times New Roman" w:cs="Times New Roman"/>
          <w:color w:val="auto"/>
          <w:lang w:eastAsia="lv-LV" w:bidi="ar-SA"/>
        </w:rPr>
      </w:pPr>
    </w:p>
    <w:p w14:paraId="51CD455F"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Direktoru valdes gada ziņojumu un auditoru pārbaudītos Bankas finanšu pārskatus iesniedz Pārvaldnieku padomei apstiprināšanai.</w:t>
      </w:r>
    </w:p>
    <w:p w14:paraId="4AEB2DB8" w14:textId="77777777" w:rsidR="00D053E7" w:rsidRPr="00D053E7" w:rsidRDefault="00D053E7" w:rsidP="00D053E7">
      <w:pPr>
        <w:jc w:val="both"/>
        <w:rPr>
          <w:rFonts w:ascii="Times New Roman" w:eastAsia="Calibri" w:hAnsi="Times New Roman" w:cs="Times New Roman"/>
          <w:b/>
          <w:bCs/>
          <w:color w:val="auto"/>
          <w:lang w:eastAsia="lv-LV" w:bidi="ar-SA"/>
        </w:rPr>
      </w:pPr>
    </w:p>
    <w:p w14:paraId="3B45CE60"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PĀRVALDĪBA</w:t>
      </w:r>
    </w:p>
    <w:p w14:paraId="000B0D40" w14:textId="77777777" w:rsidR="00D053E7" w:rsidRPr="00D053E7" w:rsidRDefault="00D053E7" w:rsidP="00D053E7">
      <w:pPr>
        <w:jc w:val="both"/>
        <w:rPr>
          <w:rFonts w:ascii="Times New Roman" w:eastAsia="Calibri" w:hAnsi="Times New Roman" w:cs="Times New Roman"/>
          <w:b/>
          <w:bCs/>
          <w:color w:val="auto"/>
          <w:lang w:eastAsia="lv-LV" w:bidi="ar-SA"/>
        </w:rPr>
      </w:pPr>
    </w:p>
    <w:p w14:paraId="4307F198"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12. pants</w:t>
      </w:r>
    </w:p>
    <w:p w14:paraId="22CC278B" w14:textId="77777777" w:rsidR="00D053E7" w:rsidRPr="00D053E7" w:rsidRDefault="00D053E7" w:rsidP="00D053E7">
      <w:pPr>
        <w:jc w:val="both"/>
        <w:rPr>
          <w:rFonts w:ascii="Times New Roman" w:eastAsia="Calibri" w:hAnsi="Times New Roman" w:cs="Times New Roman"/>
          <w:color w:val="auto"/>
          <w:lang w:eastAsia="lv-LV" w:bidi="ar-SA"/>
        </w:rPr>
      </w:pPr>
    </w:p>
    <w:p w14:paraId="0D15C003"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Bankai ir Pārvaldnieku padome, Direktoru valde, Prezidents, Kontroles komiteja un citi darbinieki, kuri ir nepieciešami Bankas darbības veikšanai.</w:t>
      </w:r>
    </w:p>
    <w:p w14:paraId="1673F5A1" w14:textId="77777777" w:rsidR="00D053E7" w:rsidRPr="00D053E7" w:rsidRDefault="00D053E7" w:rsidP="00D053E7">
      <w:pPr>
        <w:jc w:val="both"/>
        <w:rPr>
          <w:rFonts w:ascii="Times New Roman" w:eastAsia="Calibri" w:hAnsi="Times New Roman" w:cs="Times New Roman"/>
          <w:b/>
          <w:bCs/>
          <w:color w:val="auto"/>
          <w:lang w:eastAsia="lv-LV" w:bidi="ar-SA"/>
        </w:rPr>
      </w:pPr>
    </w:p>
    <w:p w14:paraId="79A2E05A"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13. pants</w:t>
      </w:r>
    </w:p>
    <w:p w14:paraId="7885C5BE" w14:textId="77777777" w:rsidR="00D053E7" w:rsidRPr="00D053E7" w:rsidRDefault="00D053E7" w:rsidP="00D053E7">
      <w:pPr>
        <w:jc w:val="both"/>
        <w:rPr>
          <w:rFonts w:ascii="Times New Roman" w:eastAsia="Calibri" w:hAnsi="Times New Roman" w:cs="Times New Roman"/>
          <w:color w:val="auto"/>
          <w:lang w:eastAsia="lv-LV" w:bidi="ar-SA"/>
        </w:rPr>
      </w:pPr>
    </w:p>
    <w:p w14:paraId="1B6DDD2C" w14:textId="023FE704" w:rsidR="008E1F98" w:rsidRDefault="008E1F98" w:rsidP="008E1F98">
      <w:pPr>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Pārvaldnieku padomi veido astoņi Pārvaldnieki. Katru Dalībvalsti pārstāv tās ministrs, ko tā nozīmējusi par savu Pārvaldnieku.</w:t>
      </w:r>
    </w:p>
    <w:p w14:paraId="688E2CC3" w14:textId="77777777" w:rsidR="008E1F98" w:rsidRPr="008E1F98" w:rsidRDefault="008E1F98" w:rsidP="008E1F98">
      <w:pPr>
        <w:jc w:val="both"/>
        <w:rPr>
          <w:rFonts w:ascii="Times New Roman" w:eastAsia="Calibri" w:hAnsi="Times New Roman" w:cs="Times New Roman"/>
          <w:color w:val="auto"/>
          <w:lang w:eastAsia="lv-LV" w:bidi="ar-SA"/>
        </w:rPr>
      </w:pPr>
    </w:p>
    <w:p w14:paraId="60CA9A74" w14:textId="6049F18A" w:rsidR="008E1F98" w:rsidRDefault="008E1F98" w:rsidP="008E1F98">
      <w:pPr>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Pārvaldnieku padome ieceļ Priekšsēdētāju uz vienu gadu. Pārvaldnieku padomes Priekšsēdētāja amats tiek nodots rotācija</w:t>
      </w:r>
      <w:r>
        <w:rPr>
          <w:rFonts w:ascii="Times New Roman" w:eastAsia="Calibri" w:hAnsi="Times New Roman" w:cs="Times New Roman"/>
          <w:color w:val="auto"/>
          <w:lang w:eastAsia="lv-LV" w:bidi="ar-SA"/>
        </w:rPr>
        <w:t>s kārtībā</w:t>
      </w:r>
      <w:r w:rsidRPr="008E1F98">
        <w:rPr>
          <w:rFonts w:ascii="Times New Roman" w:eastAsia="Calibri" w:hAnsi="Times New Roman" w:cs="Times New Roman"/>
          <w:color w:val="auto"/>
          <w:lang w:eastAsia="lv-LV" w:bidi="ar-SA"/>
        </w:rPr>
        <w:t xml:space="preserve"> Dalībvalstu starpā.</w:t>
      </w:r>
    </w:p>
    <w:p w14:paraId="78D54D4E" w14:textId="77777777" w:rsidR="008E1F98" w:rsidRPr="008E1F98" w:rsidRDefault="008E1F98" w:rsidP="008E1F98">
      <w:pPr>
        <w:jc w:val="both"/>
        <w:rPr>
          <w:rFonts w:ascii="Times New Roman" w:eastAsia="Calibri" w:hAnsi="Times New Roman" w:cs="Times New Roman"/>
          <w:color w:val="auto"/>
          <w:lang w:eastAsia="lv-LV" w:bidi="ar-SA"/>
        </w:rPr>
      </w:pPr>
    </w:p>
    <w:p w14:paraId="57943A31" w14:textId="2E17642B" w:rsidR="008E1F98" w:rsidRDefault="008E1F98" w:rsidP="008E1F98">
      <w:pPr>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Pārvaldnieku padomei ir piešķirtas šādas pilnvaras:</w:t>
      </w:r>
    </w:p>
    <w:p w14:paraId="526A8F33" w14:textId="77777777" w:rsidR="008E1F98" w:rsidRPr="008E1F98" w:rsidRDefault="008E1F98" w:rsidP="008E1F98">
      <w:pPr>
        <w:jc w:val="both"/>
        <w:rPr>
          <w:rFonts w:ascii="Times New Roman" w:eastAsia="Calibri" w:hAnsi="Times New Roman" w:cs="Times New Roman"/>
          <w:color w:val="auto"/>
          <w:lang w:eastAsia="lv-LV" w:bidi="ar-SA"/>
        </w:rPr>
      </w:pPr>
    </w:p>
    <w:p w14:paraId="6C8952C6"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a)</w:t>
      </w:r>
      <w:r w:rsidRPr="008E1F98">
        <w:rPr>
          <w:rFonts w:ascii="Times New Roman" w:eastAsia="Calibri" w:hAnsi="Times New Roman" w:cs="Times New Roman"/>
          <w:color w:val="auto"/>
          <w:lang w:eastAsia="lv-LV" w:bidi="ar-SA"/>
        </w:rPr>
        <w:tab/>
        <w:t>Statūtu grozījumu veikšana, izņemot šo 13. pantu.</w:t>
      </w:r>
    </w:p>
    <w:p w14:paraId="6B396220"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b)</w:t>
      </w:r>
      <w:r w:rsidRPr="008E1F98">
        <w:rPr>
          <w:rFonts w:ascii="Times New Roman" w:eastAsia="Calibri" w:hAnsi="Times New Roman" w:cs="Times New Roman"/>
          <w:color w:val="auto"/>
          <w:lang w:eastAsia="lv-LV" w:bidi="ar-SA"/>
        </w:rPr>
        <w:tab/>
        <w:t>Lēmumi par pamatkapitāla palielināšanu un samazināšanu.</w:t>
      </w:r>
    </w:p>
    <w:p w14:paraId="13764A8E"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c)</w:t>
      </w:r>
      <w:r w:rsidRPr="008E1F98">
        <w:rPr>
          <w:rFonts w:ascii="Times New Roman" w:eastAsia="Calibri" w:hAnsi="Times New Roman" w:cs="Times New Roman"/>
          <w:color w:val="auto"/>
          <w:lang w:eastAsia="lv-LV" w:bidi="ar-SA"/>
        </w:rPr>
        <w:tab/>
        <w:t>Lēmumi par kapitāla un likviditātes pārvaldības principiem.</w:t>
      </w:r>
    </w:p>
    <w:p w14:paraId="3C16F6D6"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d)</w:t>
      </w:r>
      <w:r w:rsidRPr="008E1F98">
        <w:rPr>
          <w:rFonts w:ascii="Times New Roman" w:eastAsia="Calibri" w:hAnsi="Times New Roman" w:cs="Times New Roman"/>
          <w:color w:val="auto"/>
          <w:lang w:eastAsia="lv-LV" w:bidi="ar-SA"/>
        </w:rPr>
        <w:tab/>
        <w:t>Lēmumi par Līguma un Statūtu noteikumu interpretācijas un piemērošanas jautājumiem.</w:t>
      </w:r>
    </w:p>
    <w:p w14:paraId="580853FF"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e)</w:t>
      </w:r>
      <w:r w:rsidRPr="008E1F98">
        <w:rPr>
          <w:rFonts w:ascii="Times New Roman" w:eastAsia="Calibri" w:hAnsi="Times New Roman" w:cs="Times New Roman"/>
          <w:color w:val="auto"/>
          <w:lang w:eastAsia="lv-LV" w:bidi="ar-SA"/>
        </w:rPr>
        <w:tab/>
        <w:t>Bankas Direktoru valdes gada pārskata un revidētu finanšu pārskatu apstiprināšana.</w:t>
      </w:r>
    </w:p>
    <w:p w14:paraId="528B38D3"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f)</w:t>
      </w:r>
      <w:r w:rsidRPr="008E1F98">
        <w:rPr>
          <w:rFonts w:ascii="Times New Roman" w:eastAsia="Calibri" w:hAnsi="Times New Roman" w:cs="Times New Roman"/>
          <w:color w:val="auto"/>
          <w:lang w:eastAsia="lv-LV" w:bidi="ar-SA"/>
        </w:rPr>
        <w:tab/>
        <w:t>Kontroles komitejas locekļu iecelšana saskaņā ar 16. pantu.</w:t>
      </w:r>
    </w:p>
    <w:p w14:paraId="420FD2AA"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g)</w:t>
      </w:r>
      <w:r w:rsidRPr="008E1F98">
        <w:rPr>
          <w:rFonts w:ascii="Times New Roman" w:eastAsia="Calibri" w:hAnsi="Times New Roman" w:cs="Times New Roman"/>
          <w:color w:val="auto"/>
          <w:lang w:eastAsia="lv-LV" w:bidi="ar-SA"/>
        </w:rPr>
        <w:tab/>
        <w:t>Lēmumi par procedūrām, kas saistītas ar dalības atsaukšanu Bankā.</w:t>
      </w:r>
    </w:p>
    <w:p w14:paraId="74119FB1" w14:textId="7668DE62" w:rsidR="008E1F98" w:rsidRDefault="008E1F98" w:rsidP="008E1F98">
      <w:pPr>
        <w:ind w:left="284" w:hanging="284"/>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h)</w:t>
      </w:r>
      <w:r w:rsidRPr="008E1F98">
        <w:rPr>
          <w:rFonts w:ascii="Times New Roman" w:eastAsia="Calibri" w:hAnsi="Times New Roman" w:cs="Times New Roman"/>
          <w:color w:val="auto"/>
          <w:lang w:eastAsia="lv-LV" w:bidi="ar-SA"/>
        </w:rPr>
        <w:tab/>
        <w:t>Lēmums par Bankas likvidāciju.</w:t>
      </w:r>
    </w:p>
    <w:p w14:paraId="30283FB4" w14:textId="77777777" w:rsidR="008E1F98" w:rsidRPr="008E1F98" w:rsidRDefault="008E1F98" w:rsidP="008E1F98">
      <w:pPr>
        <w:ind w:left="284" w:hanging="284"/>
        <w:jc w:val="both"/>
        <w:rPr>
          <w:rFonts w:ascii="Times New Roman" w:eastAsia="Calibri" w:hAnsi="Times New Roman" w:cs="Times New Roman"/>
          <w:color w:val="auto"/>
          <w:lang w:eastAsia="lv-LV" w:bidi="ar-SA"/>
        </w:rPr>
      </w:pPr>
    </w:p>
    <w:p w14:paraId="632844A2" w14:textId="2D5E38E8" w:rsidR="008E1F98" w:rsidRDefault="008E1F98" w:rsidP="008E1F98">
      <w:pPr>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Pārvaldnieku padomes lēmumi ir vienprātīgi. Lēmumus var pieņemt rakstveida procedūras veidā.</w:t>
      </w:r>
    </w:p>
    <w:p w14:paraId="12B9F167" w14:textId="77777777" w:rsidR="008E1F98" w:rsidRPr="008E1F98" w:rsidRDefault="008E1F98" w:rsidP="008E1F98">
      <w:pPr>
        <w:jc w:val="both"/>
        <w:rPr>
          <w:rFonts w:ascii="Times New Roman" w:eastAsia="Calibri" w:hAnsi="Times New Roman" w:cs="Times New Roman"/>
          <w:color w:val="auto"/>
          <w:lang w:eastAsia="lv-LV" w:bidi="ar-SA"/>
        </w:rPr>
      </w:pPr>
    </w:p>
    <w:p w14:paraId="16C4FE13" w14:textId="3FD59D21" w:rsidR="00D053E7" w:rsidRPr="00D053E7" w:rsidRDefault="008E1F98" w:rsidP="008E1F98">
      <w:pPr>
        <w:jc w:val="both"/>
        <w:rPr>
          <w:rFonts w:ascii="Times New Roman" w:eastAsia="Calibri" w:hAnsi="Times New Roman" w:cs="Times New Roman"/>
          <w:color w:val="auto"/>
          <w:lang w:eastAsia="lv-LV" w:bidi="ar-SA"/>
        </w:rPr>
      </w:pPr>
      <w:r w:rsidRPr="008E1F98">
        <w:rPr>
          <w:rFonts w:ascii="Times New Roman" w:eastAsia="Calibri" w:hAnsi="Times New Roman" w:cs="Times New Roman"/>
          <w:color w:val="auto"/>
          <w:lang w:eastAsia="lv-LV" w:bidi="ar-SA"/>
        </w:rPr>
        <w:t>Pārvaldnieku padome rīko gada sanāksmi un citas sanāksmes, kuras ti</w:t>
      </w:r>
      <w:r>
        <w:rPr>
          <w:rFonts w:ascii="Times New Roman" w:eastAsia="Calibri" w:hAnsi="Times New Roman" w:cs="Times New Roman"/>
          <w:color w:val="auto"/>
          <w:lang w:eastAsia="lv-LV" w:bidi="ar-SA"/>
        </w:rPr>
        <w:t>ek uzskatītas par nepieciešamām</w:t>
      </w:r>
      <w:r w:rsidR="00D053E7" w:rsidRPr="00D053E7">
        <w:rPr>
          <w:rFonts w:ascii="Times New Roman" w:eastAsia="Calibri" w:hAnsi="Times New Roman" w:cs="Times New Roman"/>
          <w:color w:val="auto"/>
          <w:lang w:eastAsia="lv-LV" w:bidi="ar-SA"/>
        </w:rPr>
        <w:t>.</w:t>
      </w:r>
    </w:p>
    <w:p w14:paraId="1E53DDFF" w14:textId="77777777" w:rsidR="00D053E7" w:rsidRPr="00D053E7" w:rsidRDefault="00D053E7" w:rsidP="00D053E7">
      <w:pPr>
        <w:jc w:val="both"/>
        <w:rPr>
          <w:rFonts w:ascii="Times New Roman" w:eastAsia="Calibri" w:hAnsi="Times New Roman" w:cs="Times New Roman"/>
          <w:b/>
          <w:bCs/>
          <w:color w:val="auto"/>
          <w:lang w:eastAsia="lv-LV" w:bidi="ar-SA"/>
        </w:rPr>
      </w:pPr>
    </w:p>
    <w:p w14:paraId="127830DE"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14. pants</w:t>
      </w:r>
    </w:p>
    <w:p w14:paraId="27F77517" w14:textId="77777777" w:rsidR="00D053E7" w:rsidRPr="00D053E7" w:rsidRDefault="00D053E7" w:rsidP="00D053E7">
      <w:pPr>
        <w:jc w:val="both"/>
        <w:rPr>
          <w:rFonts w:ascii="Times New Roman" w:eastAsia="Calibri" w:hAnsi="Times New Roman" w:cs="Times New Roman"/>
          <w:color w:val="auto"/>
          <w:lang w:eastAsia="lv-LV" w:bidi="ar-SA"/>
        </w:rPr>
      </w:pPr>
    </w:p>
    <w:p w14:paraId="5B53AEEC"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Izņemot 13. pantā paredzēto, visas Bankas pilnvaras tiek piešķirtas Direktoru valdei, kas šīs pilnvaras var deleģēt Prezidentam tādā apmērā, kādā tas uzskatāms par piemērotu.</w:t>
      </w:r>
    </w:p>
    <w:p w14:paraId="346A7D16" w14:textId="77777777" w:rsidR="00D053E7" w:rsidRPr="00D053E7" w:rsidRDefault="00D053E7" w:rsidP="00D053E7">
      <w:pPr>
        <w:jc w:val="both"/>
        <w:rPr>
          <w:rFonts w:ascii="Times New Roman" w:eastAsia="Calibri" w:hAnsi="Times New Roman" w:cs="Times New Roman"/>
          <w:color w:val="auto"/>
          <w:lang w:eastAsia="lv-LV" w:bidi="ar-SA"/>
        </w:rPr>
      </w:pPr>
    </w:p>
    <w:p w14:paraId="744D774D" w14:textId="547D6FBE"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Direktoru valde sastāv no astoņiem Direktoriem, no kuriem katra Dalībvalsts ieceļ vienu Direktoru uz termiņu, kas nedrīkst pārsniegt četrus gadus. Katra Dalībvalsts ieceļ vienu Direktor</w:t>
      </w:r>
      <w:r w:rsidR="00EB2348">
        <w:rPr>
          <w:rFonts w:ascii="Times New Roman" w:eastAsia="Calibri" w:hAnsi="Times New Roman" w:cs="Times New Roman"/>
          <w:color w:val="auto"/>
          <w:lang w:eastAsia="lv-LV" w:bidi="ar-SA"/>
        </w:rPr>
        <w:t xml:space="preserve">a </w:t>
      </w:r>
      <w:r w:rsidRPr="00D053E7">
        <w:rPr>
          <w:rFonts w:ascii="Times New Roman" w:eastAsia="Calibri" w:hAnsi="Times New Roman" w:cs="Times New Roman"/>
          <w:color w:val="auto"/>
          <w:lang w:eastAsia="lv-LV" w:bidi="ar-SA"/>
        </w:rPr>
        <w:t>vietnieku, ievērojot tos pašus principus.</w:t>
      </w:r>
    </w:p>
    <w:p w14:paraId="5AE6BBA8" w14:textId="77777777" w:rsidR="00D053E7" w:rsidRPr="00D053E7" w:rsidRDefault="00D053E7" w:rsidP="00D053E7">
      <w:pPr>
        <w:jc w:val="both"/>
        <w:rPr>
          <w:rFonts w:ascii="Times New Roman" w:eastAsia="Calibri" w:hAnsi="Times New Roman" w:cs="Times New Roman"/>
          <w:color w:val="auto"/>
          <w:lang w:eastAsia="lv-LV" w:bidi="ar-SA"/>
        </w:rPr>
      </w:pPr>
    </w:p>
    <w:p w14:paraId="60BA1171"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Direktoru valde no savu locekļu vidus ieceļ Priekšsēdētāju un Priekšsēdētāja vietnieku uz divu gadu termiņu. Priekšsēdētāja un Priekšsēdētāja vietnieka postenis tiek nodots rotācijas kārtībā Dalībvalstu starpā.</w:t>
      </w:r>
    </w:p>
    <w:p w14:paraId="5D3C0E17" w14:textId="77777777" w:rsidR="00D053E7" w:rsidRPr="00D053E7" w:rsidRDefault="00D053E7" w:rsidP="00D053E7">
      <w:pPr>
        <w:jc w:val="both"/>
        <w:rPr>
          <w:rFonts w:ascii="Times New Roman" w:eastAsia="Calibri" w:hAnsi="Times New Roman" w:cs="Times New Roman"/>
          <w:color w:val="auto"/>
          <w:lang w:eastAsia="lv-LV" w:bidi="ar-SA"/>
        </w:rPr>
      </w:pPr>
    </w:p>
    <w:p w14:paraId="63F573BA"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Direktoru valdes sanāksmi sasauc pēc Priekšsēdētāja lēmuma vai pēc vismaz divu Direktoru valdes locekļu vai Prezidenta pieprasījuma.</w:t>
      </w:r>
    </w:p>
    <w:p w14:paraId="5A658B93" w14:textId="77777777" w:rsidR="00D053E7" w:rsidRPr="00D053E7" w:rsidRDefault="00D053E7" w:rsidP="00D053E7">
      <w:pPr>
        <w:jc w:val="both"/>
        <w:rPr>
          <w:rFonts w:ascii="Times New Roman" w:eastAsia="Calibri" w:hAnsi="Times New Roman" w:cs="Times New Roman"/>
          <w:color w:val="auto"/>
          <w:lang w:eastAsia="lv-LV" w:bidi="ar-SA"/>
        </w:rPr>
      </w:pPr>
    </w:p>
    <w:p w14:paraId="147073DE" w14:textId="0DA6F418"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Kvorumu veido septiņi Direktoru valdes locekļi vai to vietnieki ar balsstiesībām.</w:t>
      </w:r>
      <w:r w:rsidR="000279D6">
        <w:rPr>
          <w:rFonts w:ascii="Times New Roman" w:eastAsia="Calibri" w:hAnsi="Times New Roman" w:cs="Times New Roman"/>
          <w:color w:val="auto"/>
          <w:lang w:eastAsia="lv-LV" w:bidi="ar-SA"/>
        </w:rPr>
        <w:t xml:space="preserve"> </w:t>
      </w:r>
      <w:r w:rsidRPr="00D053E7">
        <w:rPr>
          <w:rFonts w:ascii="Times New Roman" w:eastAsia="Calibri" w:hAnsi="Times New Roman" w:cs="Times New Roman"/>
          <w:color w:val="auto"/>
          <w:lang w:eastAsia="lv-LV" w:bidi="ar-SA"/>
        </w:rPr>
        <w:t xml:space="preserve">Katram loceklim ir viena balss; valdes locekļa prombūtnē tiesīgs balsot ir locekļa vietnieks no šīs pašas Dalībvalsts. Nostāja, ko </w:t>
      </w:r>
      <w:r w:rsidR="00EC3F82">
        <w:rPr>
          <w:rFonts w:ascii="Times New Roman" w:eastAsia="Calibri" w:hAnsi="Times New Roman" w:cs="Times New Roman"/>
          <w:color w:val="auto"/>
          <w:lang w:eastAsia="lv-LV" w:bidi="ar-SA"/>
        </w:rPr>
        <w:t xml:space="preserve">atbalsta vismaz pieci </w:t>
      </w:r>
      <w:r w:rsidR="00EC3F82" w:rsidRPr="00D053E7">
        <w:rPr>
          <w:rFonts w:ascii="Times New Roman" w:eastAsia="Calibri" w:hAnsi="Times New Roman" w:cs="Times New Roman"/>
          <w:color w:val="auto"/>
          <w:lang w:eastAsia="lv-LV" w:bidi="ar-SA"/>
        </w:rPr>
        <w:t xml:space="preserve">Direktoru </w:t>
      </w:r>
      <w:r w:rsidR="00EC3F82" w:rsidRPr="00EC3F82">
        <w:rPr>
          <w:rFonts w:ascii="Times New Roman" w:eastAsia="Calibri" w:hAnsi="Times New Roman" w:cs="Times New Roman"/>
          <w:color w:val="auto"/>
          <w:lang w:eastAsia="lv-LV" w:bidi="ar-SA"/>
        </w:rPr>
        <w:t>valdes locekļi vai to vietnieki ar balsstiesībām</w:t>
      </w:r>
      <w:r w:rsidRPr="00D053E7">
        <w:rPr>
          <w:rFonts w:ascii="Times New Roman" w:eastAsia="Calibri" w:hAnsi="Times New Roman" w:cs="Times New Roman"/>
          <w:color w:val="auto"/>
          <w:lang w:eastAsia="lv-LV" w:bidi="ar-SA"/>
        </w:rPr>
        <w:t>, kļūst par Direktoru valdes lēmumu. Lēmumus var pieņemt arī ar rakstisku procedūru.</w:t>
      </w:r>
    </w:p>
    <w:p w14:paraId="3919BD67" w14:textId="77777777" w:rsidR="00D053E7" w:rsidRPr="00D053E7" w:rsidRDefault="00D053E7" w:rsidP="00D053E7">
      <w:pPr>
        <w:jc w:val="both"/>
        <w:rPr>
          <w:rFonts w:ascii="Times New Roman" w:eastAsia="Calibri" w:hAnsi="Times New Roman" w:cs="Times New Roman"/>
          <w:b/>
          <w:bCs/>
          <w:color w:val="auto"/>
          <w:lang w:eastAsia="lv-LV" w:bidi="ar-SA"/>
        </w:rPr>
      </w:pPr>
    </w:p>
    <w:p w14:paraId="2B83E346"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15. pants</w:t>
      </w:r>
    </w:p>
    <w:p w14:paraId="7DB2B983" w14:textId="77777777" w:rsidR="00D053E7" w:rsidRPr="00D053E7" w:rsidRDefault="00D053E7" w:rsidP="00D053E7">
      <w:pPr>
        <w:jc w:val="both"/>
        <w:rPr>
          <w:rFonts w:ascii="Times New Roman" w:eastAsia="Calibri" w:hAnsi="Times New Roman" w:cs="Times New Roman"/>
          <w:color w:val="auto"/>
          <w:lang w:eastAsia="lv-LV" w:bidi="ar-SA"/>
        </w:rPr>
      </w:pPr>
    </w:p>
    <w:p w14:paraId="4C83C290"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Prezidents ir atbildīgs par Bankas pašreizējās darbības īstenošanu un ievēro Direktoru valdes dotās vadlīnijas un norādījumus.</w:t>
      </w:r>
    </w:p>
    <w:p w14:paraId="75CBDE68" w14:textId="77777777" w:rsidR="00D053E7" w:rsidRPr="00D053E7" w:rsidRDefault="00D053E7" w:rsidP="00D053E7">
      <w:pPr>
        <w:jc w:val="both"/>
        <w:rPr>
          <w:rFonts w:ascii="Times New Roman" w:eastAsia="Calibri" w:hAnsi="Times New Roman" w:cs="Times New Roman"/>
          <w:color w:val="auto"/>
          <w:lang w:eastAsia="lv-LV" w:bidi="ar-SA"/>
        </w:rPr>
      </w:pPr>
    </w:p>
    <w:p w14:paraId="292042A7"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Direktoru valde ieceļ Prezidentu uz termiņu, kas nav ilgāks par pieciem gadiem. Prezidents nedrīkst būt Direktoru valdes loceklis vai locekļa vietnieks. Prezidents var piedalīties Direktoru valdes sanāksmēs, bet bez tiesībām balsot.</w:t>
      </w:r>
    </w:p>
    <w:p w14:paraId="55A9D8B5" w14:textId="77777777" w:rsidR="00D053E7" w:rsidRPr="00D053E7" w:rsidRDefault="00D053E7" w:rsidP="00D053E7">
      <w:pPr>
        <w:jc w:val="both"/>
        <w:rPr>
          <w:rFonts w:ascii="Times New Roman" w:eastAsia="Calibri" w:hAnsi="Times New Roman" w:cs="Times New Roman"/>
          <w:color w:val="auto"/>
          <w:lang w:eastAsia="lv-LV" w:bidi="ar-SA"/>
        </w:rPr>
      </w:pPr>
    </w:p>
    <w:p w14:paraId="6FEB8200"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Divas personas, no kurām katra ir Direktoru valdes loceklis vai Direktoru valdes locekļa vietnieks, Prezidents vai Direktoru valdes pilnvarota persona, parakstās Bankas vārdā.</w:t>
      </w:r>
    </w:p>
    <w:p w14:paraId="38E72992" w14:textId="77777777" w:rsidR="00D053E7" w:rsidRPr="00D053E7" w:rsidRDefault="00D053E7" w:rsidP="00D053E7">
      <w:pPr>
        <w:jc w:val="both"/>
        <w:rPr>
          <w:rFonts w:ascii="Times New Roman" w:eastAsia="Calibri" w:hAnsi="Times New Roman" w:cs="Times New Roman"/>
          <w:b/>
          <w:bCs/>
          <w:color w:val="auto"/>
          <w:lang w:eastAsia="lv-LV" w:bidi="ar-SA"/>
        </w:rPr>
      </w:pPr>
    </w:p>
    <w:p w14:paraId="17328B5A"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CITI NOTEIKUMI</w:t>
      </w:r>
    </w:p>
    <w:p w14:paraId="0918AFD9" w14:textId="77777777" w:rsidR="00D053E7" w:rsidRPr="00D053E7" w:rsidRDefault="00D053E7" w:rsidP="00D053E7">
      <w:pPr>
        <w:jc w:val="both"/>
        <w:rPr>
          <w:rFonts w:ascii="Times New Roman" w:eastAsia="Calibri" w:hAnsi="Times New Roman" w:cs="Times New Roman"/>
          <w:b/>
          <w:bCs/>
          <w:color w:val="auto"/>
          <w:lang w:eastAsia="lv-LV" w:bidi="ar-SA"/>
        </w:rPr>
      </w:pPr>
    </w:p>
    <w:p w14:paraId="131EDB7F"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16. pants</w:t>
      </w:r>
    </w:p>
    <w:p w14:paraId="21D74B70" w14:textId="77777777" w:rsidR="00D053E7" w:rsidRPr="00D053E7" w:rsidRDefault="00D053E7" w:rsidP="00D053E7">
      <w:pPr>
        <w:jc w:val="both"/>
        <w:rPr>
          <w:rFonts w:ascii="Times New Roman" w:eastAsia="Calibri" w:hAnsi="Times New Roman" w:cs="Times New Roman"/>
          <w:color w:val="auto"/>
          <w:lang w:eastAsia="lv-LV" w:bidi="ar-SA"/>
        </w:rPr>
      </w:pPr>
    </w:p>
    <w:p w14:paraId="5B75D948"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Tiek izveidota Kontroles komiteja, kas uzrauga, lai Bankas darbība tiktu īstenota atbilstoši šiem statūtiem. Kontroles komiteja ir atbildīga par tādu ārējo auditoru iecelšanu, kas veic Bankas finanšu pārskatu auditu. Ārējo auditoru ziņojumu kopā ar Kontroles komitejas un vadības ziņojumiem katru gadu iesniedz Pārvaldnieku padomei.</w:t>
      </w:r>
    </w:p>
    <w:p w14:paraId="531D97F1" w14:textId="77777777" w:rsidR="00D053E7" w:rsidRPr="00D053E7" w:rsidRDefault="00D053E7" w:rsidP="00D053E7">
      <w:pPr>
        <w:jc w:val="both"/>
        <w:rPr>
          <w:rFonts w:ascii="Times New Roman" w:eastAsia="Calibri" w:hAnsi="Times New Roman" w:cs="Times New Roman"/>
          <w:color w:val="auto"/>
          <w:lang w:eastAsia="lv-LV" w:bidi="ar-SA"/>
        </w:rPr>
      </w:pPr>
    </w:p>
    <w:p w14:paraId="315ACAE6"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Kontroles komiteja sastāv no vismaz desmit, bet ne vairāk par divpadsmit locekļiem. Komitejas locekļus ieceļ uz termiņu, kas nav ilgāks par diviem gadiem. Ziemeļvalstu padome un Igaunijas, Latvijas un Lietuvas parlamenti ieceļ vienu locekli no katras valsts. Pārvaldnieku padome ieceļ divus līdz četrus locekļus, kas darbojas kā Priekšsēdētājs, Priekšsēdētāja vietnieks un citi vadības locekļi, kuri vada Komitejas pienākumu un uzdevumu izpildi. Vadība pārrauga Bankas finanšu pārskatu auditu, ko veic ārējie auditori, un uzrauga Bankas finansiālā stāvokļa riska līmeņus un kapitāla un likviditātes stāvokli. Vadības amati tiek nodoti rotācijas kārtībā Dalībvalstu starpā.</w:t>
      </w:r>
    </w:p>
    <w:p w14:paraId="0326A4F0" w14:textId="77777777" w:rsidR="00D053E7" w:rsidRPr="00D053E7" w:rsidRDefault="00D053E7" w:rsidP="00D053E7">
      <w:pPr>
        <w:jc w:val="both"/>
        <w:rPr>
          <w:rFonts w:ascii="Times New Roman" w:eastAsia="Calibri" w:hAnsi="Times New Roman" w:cs="Times New Roman"/>
          <w:b/>
          <w:bCs/>
          <w:color w:val="auto"/>
          <w:lang w:eastAsia="lv-LV" w:bidi="ar-SA"/>
        </w:rPr>
      </w:pPr>
    </w:p>
    <w:p w14:paraId="7C923452" w14:textId="77777777" w:rsidR="00D053E7" w:rsidRPr="00D053E7" w:rsidRDefault="00D053E7" w:rsidP="00D053E7">
      <w:pPr>
        <w:jc w:val="both"/>
        <w:rPr>
          <w:rFonts w:ascii="Times New Roman" w:eastAsia="Calibri" w:hAnsi="Times New Roman" w:cs="Times New Roman"/>
          <w:b/>
          <w:bCs/>
          <w:color w:val="auto"/>
          <w:lang w:eastAsia="lv-LV" w:bidi="ar-SA"/>
        </w:rPr>
      </w:pPr>
      <w:r w:rsidRPr="00D053E7">
        <w:rPr>
          <w:rFonts w:ascii="Times New Roman" w:eastAsia="Calibri" w:hAnsi="Times New Roman" w:cs="Times New Roman"/>
          <w:b/>
          <w:color w:val="auto"/>
          <w:lang w:eastAsia="lv-LV" w:bidi="ar-SA"/>
        </w:rPr>
        <w:t>17. pants</w:t>
      </w:r>
    </w:p>
    <w:p w14:paraId="0FEE2348" w14:textId="77777777" w:rsidR="00D053E7" w:rsidRPr="00D053E7" w:rsidRDefault="00D053E7" w:rsidP="00D053E7">
      <w:pPr>
        <w:jc w:val="both"/>
        <w:rPr>
          <w:rFonts w:ascii="Times New Roman" w:eastAsia="Calibri" w:hAnsi="Times New Roman" w:cs="Times New Roman"/>
          <w:color w:val="auto"/>
          <w:lang w:eastAsia="lv-LV" w:bidi="ar-SA"/>
        </w:rPr>
      </w:pPr>
    </w:p>
    <w:p w14:paraId="3DCC4484"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Ja Pārvaldnieku padome nolemj, ka Banka ir jālikvidē, Pārvaldnieku padome lemj par likvidācijas kārtību un ieceļ par likvidāciju atbildīgās personas.</w:t>
      </w:r>
    </w:p>
    <w:p w14:paraId="606D611B" w14:textId="77777777" w:rsidR="00D053E7" w:rsidRPr="00D053E7" w:rsidRDefault="00D053E7" w:rsidP="00D053E7">
      <w:pPr>
        <w:jc w:val="both"/>
        <w:rPr>
          <w:rFonts w:ascii="Times New Roman" w:eastAsia="Calibri" w:hAnsi="Times New Roman" w:cs="Times New Roman"/>
          <w:color w:val="auto"/>
          <w:lang w:eastAsia="lv-LV" w:bidi="ar-SA"/>
        </w:rPr>
      </w:pPr>
    </w:p>
    <w:p w14:paraId="5F332AE3" w14:textId="77777777" w:rsidR="00D053E7" w:rsidRPr="00D053E7" w:rsidRDefault="00D053E7" w:rsidP="00D053E7">
      <w:pPr>
        <w:jc w:val="both"/>
        <w:rPr>
          <w:rFonts w:ascii="Times New Roman" w:eastAsia="Calibri" w:hAnsi="Times New Roman" w:cs="Times New Roman"/>
          <w:color w:val="auto"/>
          <w:lang w:eastAsia="lv-LV" w:bidi="ar-SA"/>
        </w:rPr>
      </w:pPr>
      <w:r w:rsidRPr="00D053E7">
        <w:rPr>
          <w:rFonts w:ascii="Times New Roman" w:eastAsia="Calibri" w:hAnsi="Times New Roman" w:cs="Times New Roman"/>
          <w:color w:val="auto"/>
          <w:lang w:eastAsia="lv-LV" w:bidi="ar-SA"/>
        </w:rPr>
        <w:t xml:space="preserve">Dalībvalstis ir atbildīgas par Bankas saistībām ar savām nepieprasītajām dalības iemaksām pamatkapitālā, līdz visas kreditoru prasības vai citas Bankas saistības ir nokārtotas. Kreditoru prasījumi vai citas saistības, pirmkārt, tiek apmaksātas no Bankas aktīviem, otrkārt, no maksājumiem, kas maksājami Bankai par iemaksātā kapitāla saistībām, un pēc tam </w:t>
      </w:r>
      <w:r w:rsidRPr="00D053E7">
        <w:rPr>
          <w:rFonts w:ascii="Times New Roman" w:eastAsia="Calibri" w:hAnsi="Times New Roman" w:cs="Times New Roman"/>
          <w:color w:val="auto"/>
          <w:cs/>
          <w:lang w:eastAsia="lv-LV" w:bidi="ar-SA"/>
        </w:rPr>
        <w:t xml:space="preserve">– </w:t>
      </w:r>
      <w:r w:rsidRPr="00D053E7">
        <w:rPr>
          <w:rFonts w:ascii="Times New Roman" w:eastAsia="Calibri" w:hAnsi="Times New Roman" w:cs="Times New Roman"/>
          <w:color w:val="auto"/>
          <w:lang w:eastAsia="lv-LV" w:bidi="ar-SA"/>
        </w:rPr>
        <w:t>no maksājumiem, kas maksājami Bankai par pieprasāmo kapitālu. Dalībvalstīm netiek veikti maksājumi sakarā ar to iemaksāto daļu parakstītajā pamatkapitālā vai no rezervju fonda, kamēr nav nokārtotas vai nodrošinātas visas saistības. Visa kapitāla sadale starp Dalībvalstīm tiek veikta proporcionāli to attiecīgajai kopējai daļai parakstītajā pamatkapitālā.</w:t>
      </w:r>
    </w:p>
    <w:p w14:paraId="4D4451DE" w14:textId="6A46D954" w:rsidR="00D053E7" w:rsidRDefault="00D053E7">
      <w:pPr>
        <w:pStyle w:val="BodyText"/>
        <w:shd w:val="clear" w:color="auto" w:fill="auto"/>
        <w:spacing w:after="0"/>
      </w:pPr>
    </w:p>
    <w:p w14:paraId="3AA20F62" w14:textId="77777777" w:rsidR="00C77161" w:rsidRDefault="00C77161">
      <w:pPr>
        <w:pStyle w:val="BodyText"/>
        <w:shd w:val="clear" w:color="auto" w:fill="auto"/>
        <w:spacing w:after="0"/>
        <w:rPr>
          <w:sz w:val="24"/>
          <w:szCs w:val="24"/>
        </w:rPr>
      </w:pPr>
    </w:p>
    <w:p w14:paraId="3B0C5324" w14:textId="4DD6757E" w:rsidR="00C77161" w:rsidRPr="00C77161" w:rsidRDefault="00C77161" w:rsidP="00C77161">
      <w:pPr>
        <w:pStyle w:val="BodyText"/>
        <w:shd w:val="clear" w:color="auto" w:fill="auto"/>
        <w:spacing w:after="0"/>
        <w:ind w:firstLine="720"/>
        <w:rPr>
          <w:sz w:val="24"/>
          <w:szCs w:val="24"/>
        </w:rPr>
      </w:pPr>
      <w:r w:rsidRPr="00C77161">
        <w:rPr>
          <w:sz w:val="24"/>
          <w:szCs w:val="24"/>
        </w:rPr>
        <w:t>Finanšu ministrs</w:t>
      </w:r>
      <w:r w:rsidRPr="00C77161">
        <w:rPr>
          <w:sz w:val="24"/>
          <w:szCs w:val="24"/>
        </w:rPr>
        <w:tab/>
      </w:r>
      <w:r>
        <w:rPr>
          <w:sz w:val="24"/>
          <w:szCs w:val="24"/>
        </w:rPr>
        <w:tab/>
      </w:r>
      <w:r>
        <w:rPr>
          <w:sz w:val="24"/>
          <w:szCs w:val="24"/>
        </w:rPr>
        <w:tab/>
      </w:r>
      <w:r>
        <w:rPr>
          <w:sz w:val="24"/>
          <w:szCs w:val="24"/>
        </w:rPr>
        <w:tab/>
      </w:r>
      <w:r>
        <w:rPr>
          <w:sz w:val="24"/>
          <w:szCs w:val="24"/>
        </w:rPr>
        <w:tab/>
      </w:r>
      <w:r w:rsidRPr="00C77161">
        <w:rPr>
          <w:sz w:val="24"/>
          <w:szCs w:val="24"/>
        </w:rPr>
        <w:t>Jānis Reirs</w:t>
      </w:r>
      <w:r w:rsidR="009B7C28">
        <w:rPr>
          <w:sz w:val="24"/>
          <w:szCs w:val="24"/>
        </w:rPr>
        <w:t xml:space="preserve"> </w:t>
      </w:r>
      <w:bookmarkStart w:id="0" w:name="_GoBack"/>
      <w:bookmarkEnd w:id="0"/>
    </w:p>
    <w:sectPr w:rsidR="00C77161" w:rsidRPr="00C77161">
      <w:headerReference w:type="default" r:id="rId7"/>
      <w:footerReference w:type="default" r:id="rId8"/>
      <w:pgSz w:w="12240" w:h="15840"/>
      <w:pgMar w:top="1414" w:right="1437" w:bottom="1294" w:left="1727" w:header="986"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DB59" w14:textId="77777777" w:rsidR="0074126C" w:rsidRDefault="00A0219F">
      <w:r>
        <w:separator/>
      </w:r>
    </w:p>
  </w:endnote>
  <w:endnote w:type="continuationSeparator" w:id="0">
    <w:p w14:paraId="48645565" w14:textId="77777777" w:rsidR="0074126C" w:rsidRDefault="00A0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A796" w14:textId="77777777" w:rsidR="00C06626" w:rsidRDefault="00A0219F">
    <w:pPr>
      <w:spacing w:line="1" w:lineRule="exact"/>
    </w:pPr>
    <w:r>
      <w:rPr>
        <w:noProof/>
        <w:lang w:eastAsia="lv-LV" w:bidi="ar-SA"/>
      </w:rPr>
      <mc:AlternateContent>
        <mc:Choice Requires="wps">
          <w:drawing>
            <wp:anchor distT="0" distB="0" distL="0" distR="0" simplePos="0" relativeHeight="62914690" behindDoc="1" locked="0" layoutInCell="1" allowOverlap="1" wp14:anchorId="452C02E3" wp14:editId="4477A93D">
              <wp:simplePos x="0" y="0"/>
              <wp:positionH relativeFrom="page">
                <wp:posOffset>3924300</wp:posOffset>
              </wp:positionH>
              <wp:positionV relativeFrom="page">
                <wp:posOffset>9813290</wp:posOffset>
              </wp:positionV>
              <wp:extent cx="3365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33655" cy="94615"/>
                      </a:xfrm>
                      <a:prstGeom prst="rect">
                        <a:avLst/>
                      </a:prstGeom>
                      <a:noFill/>
                    </wps:spPr>
                    <wps:txbx>
                      <w:txbxContent>
                        <w:p w14:paraId="3DA45CC8" w14:textId="31B962E1" w:rsidR="00C06626" w:rsidRDefault="00A0219F">
                          <w:pPr>
                            <w:pStyle w:val="Headerorfooter20"/>
                            <w:shd w:val="clear" w:color="auto" w:fill="auto"/>
                            <w:rPr>
                              <w:sz w:val="22"/>
                              <w:szCs w:val="22"/>
                            </w:rPr>
                          </w:pPr>
                          <w:r>
                            <w:rPr>
                              <w:lang w:bidi="lv-LV"/>
                            </w:rPr>
                            <w:fldChar w:fldCharType="begin"/>
                          </w:r>
                          <w:r>
                            <w:rPr>
                              <w:lang w:bidi="lv-LV"/>
                            </w:rPr>
                            <w:instrText xml:space="preserve"> PAGE \* MERGEFORMAT </w:instrText>
                          </w:r>
                          <w:r>
                            <w:rPr>
                              <w:lang w:bidi="lv-LV"/>
                            </w:rPr>
                            <w:fldChar w:fldCharType="separate"/>
                          </w:r>
                          <w:r w:rsidR="00F36F5A" w:rsidRPr="00F36F5A">
                            <w:rPr>
                              <w:noProof/>
                              <w:sz w:val="22"/>
                              <w:szCs w:val="22"/>
                              <w:lang w:bidi="lv-LV"/>
                            </w:rPr>
                            <w:t>7</w:t>
                          </w:r>
                          <w:r>
                            <w:rPr>
                              <w:sz w:val="22"/>
                              <w:szCs w:val="22"/>
                              <w:lang w:bidi="lv-LV"/>
                            </w:rPr>
                            <w:fldChar w:fldCharType="end"/>
                          </w:r>
                        </w:p>
                      </w:txbxContent>
                    </wps:txbx>
                    <wps:bodyPr wrap="none" lIns="0" tIns="0" rIns="0" bIns="0">
                      <a:spAutoFit/>
                    </wps:bodyPr>
                  </wps:wsp>
                </a:graphicData>
              </a:graphic>
            </wp:anchor>
          </w:drawing>
        </mc:Choice>
        <mc:Fallback>
          <w:pict>
            <v:shapetype w14:anchorId="452C02E3" id="_x0000_t202" coordsize="21600,21600" o:spt="202" path="m,l,21600r21600,l21600,xe">
              <v:stroke joinstyle="miter"/>
              <v:path gradientshapeok="t" o:connecttype="rect"/>
            </v:shapetype>
            <v:shape id="Shape 1" o:spid="_x0000_s1026" type="#_x0000_t202" style="position:absolute;margin-left:309pt;margin-top:772.7pt;width:2.6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" filled="f" stroked="f">
              <v:textbox style="mso-fit-shape-to-text:t" inset="0,0,0,0">
                <w:txbxContent>
                  <w:p w14:paraId="3DA45CC8" w14:textId="31B962E1" w:rsidR="00C06626" w:rsidRDefault="00A0219F">
                    <w:pPr>
                      <w:pStyle w:val="Headerorfooter20"/>
                      <w:shd w:val="clear" w:color="auto" w:fill="auto"/>
                      <w:rPr>
                        <w:sz w:val="22"/>
                        <w:szCs w:val="22"/>
                      </w:rPr>
                    </w:pPr>
                    <w:r>
                      <w:rPr>
                        <w:lang w:bidi="lv-LV"/>
                      </w:rPr>
                      <w:fldChar w:fldCharType="begin"/>
                    </w:r>
                    <w:r>
                      <w:rPr>
                        <w:lang w:bidi="lv-LV"/>
                      </w:rPr>
                      <w:instrText xml:space="preserve"> PAGE \* MERGEFORMAT </w:instrText>
                    </w:r>
                    <w:r>
                      <w:rPr>
                        <w:lang w:bidi="lv-LV"/>
                      </w:rPr>
                      <w:fldChar w:fldCharType="separate"/>
                    </w:r>
                    <w:r w:rsidR="00F36F5A" w:rsidRPr="00F36F5A">
                      <w:rPr>
                        <w:noProof/>
                        <w:sz w:val="22"/>
                        <w:szCs w:val="22"/>
                        <w:lang w:bidi="lv-LV"/>
                      </w:rPr>
                      <w:t>7</w:t>
                    </w:r>
                    <w:r>
                      <w:rPr>
                        <w:sz w:val="22"/>
                        <w:szCs w:val="22"/>
                        <w:lang w:bidi="lv-LV"/>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9A29" w14:textId="77777777" w:rsidR="00C06626" w:rsidRDefault="00C06626"/>
  </w:footnote>
  <w:footnote w:type="continuationSeparator" w:id="0">
    <w:p w14:paraId="3376394B" w14:textId="77777777" w:rsidR="00C06626" w:rsidRDefault="00C066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F307" w14:textId="51EB7BA2" w:rsidR="005038F9" w:rsidRPr="005038F9" w:rsidRDefault="005038F9" w:rsidP="005038F9">
    <w:pPr>
      <w:pStyle w:val="Header"/>
      <w:jc w:val="right"/>
      <w:rPr>
        <w:rFonts w:ascii="Times New Roman" w:hAnsi="Times New Roman" w:cs="Times New Roman"/>
        <w:i/>
        <w:sz w:val="20"/>
        <w:szCs w:val="20"/>
      </w:rPr>
    </w:pPr>
    <w:r w:rsidRPr="005038F9">
      <w:rPr>
        <w:rFonts w:ascii="Times New Roman" w:hAnsi="Times New Roman" w:cs="Times New Roman"/>
        <w:i/>
        <w:sz w:val="20"/>
        <w:szCs w:val="20"/>
      </w:rPr>
      <w:t xml:space="preserve">Neoficiāls </w:t>
    </w:r>
    <w:r>
      <w:rPr>
        <w:rFonts w:ascii="Times New Roman" w:hAnsi="Times New Roman" w:cs="Times New Roman"/>
        <w:i/>
        <w:sz w:val="20"/>
        <w:szCs w:val="20"/>
      </w:rPr>
      <w:t>t</w:t>
    </w:r>
    <w:r w:rsidRPr="005038F9">
      <w:rPr>
        <w:rFonts w:ascii="Times New Roman" w:hAnsi="Times New Roman" w:cs="Times New Roman"/>
        <w:i/>
        <w:sz w:val="20"/>
        <w:szCs w:val="20"/>
      </w:rPr>
      <w:t>ulkojums</w:t>
    </w:r>
  </w:p>
  <w:p w14:paraId="76BE20F7" w14:textId="77777777" w:rsidR="005038F9" w:rsidRPr="005038F9" w:rsidRDefault="005038F9">
    <w:pPr>
      <w:pStyle w:val="Header"/>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5AC"/>
    <w:multiLevelType w:val="hybridMultilevel"/>
    <w:tmpl w:val="A086A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5D0891"/>
    <w:multiLevelType w:val="hybridMultilevel"/>
    <w:tmpl w:val="2078F3A0"/>
    <w:lvl w:ilvl="0" w:tplc="DF4C0F74">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1AF65F1"/>
    <w:multiLevelType w:val="multilevel"/>
    <w:tmpl w:val="3E98AD2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861E96"/>
    <w:multiLevelType w:val="hybridMultilevel"/>
    <w:tmpl w:val="5B809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26"/>
    <w:rsid w:val="000279D6"/>
    <w:rsid w:val="00077D85"/>
    <w:rsid w:val="001847D3"/>
    <w:rsid w:val="001C4566"/>
    <w:rsid w:val="00275AAF"/>
    <w:rsid w:val="0037435F"/>
    <w:rsid w:val="00427947"/>
    <w:rsid w:val="005038F9"/>
    <w:rsid w:val="00632C41"/>
    <w:rsid w:val="006C6964"/>
    <w:rsid w:val="006E2FCF"/>
    <w:rsid w:val="0074126C"/>
    <w:rsid w:val="00825476"/>
    <w:rsid w:val="008E1F98"/>
    <w:rsid w:val="00967F4F"/>
    <w:rsid w:val="009A1386"/>
    <w:rsid w:val="009B5711"/>
    <w:rsid w:val="009B7C28"/>
    <w:rsid w:val="009C2890"/>
    <w:rsid w:val="00A0219F"/>
    <w:rsid w:val="00AB45D1"/>
    <w:rsid w:val="00B26B74"/>
    <w:rsid w:val="00C06626"/>
    <w:rsid w:val="00C77161"/>
    <w:rsid w:val="00CB42FE"/>
    <w:rsid w:val="00CD6109"/>
    <w:rsid w:val="00D053E7"/>
    <w:rsid w:val="00E015B7"/>
    <w:rsid w:val="00E05462"/>
    <w:rsid w:val="00EB1E0E"/>
    <w:rsid w:val="00EB2348"/>
    <w:rsid w:val="00EC3F82"/>
    <w:rsid w:val="00EE4B3F"/>
    <w:rsid w:val="00F36F5A"/>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4E12"/>
  <w15:docId w15:val="{5D60F030-B71C-4695-9653-C77E1C91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lv-LV"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Normal"/>
    <w:link w:val="Bodytext2"/>
    <w:pPr>
      <w:shd w:val="clear" w:color="auto" w:fill="FFFFFF"/>
      <w:spacing w:after="260"/>
      <w:jc w:val="center"/>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260"/>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250"/>
      <w:jc w:val="center"/>
      <w:outlineLvl w:val="0"/>
    </w:pPr>
    <w:rPr>
      <w:rFonts w:ascii="Times New Roman" w:eastAsia="Times New Roman" w:hAnsi="Times New Roman" w:cs="Times New Roman"/>
      <w:b/>
      <w:bCs/>
      <w:sz w:val="22"/>
      <w:szCs w:val="22"/>
    </w:rPr>
  </w:style>
  <w:style w:type="character" w:styleId="CommentReference">
    <w:name w:val="annotation reference"/>
    <w:basedOn w:val="DefaultParagraphFont"/>
    <w:uiPriority w:val="99"/>
    <w:semiHidden/>
    <w:unhideWhenUsed/>
    <w:rsid w:val="006C6964"/>
    <w:rPr>
      <w:sz w:val="16"/>
      <w:szCs w:val="16"/>
    </w:rPr>
  </w:style>
  <w:style w:type="paragraph" w:styleId="CommentText">
    <w:name w:val="annotation text"/>
    <w:basedOn w:val="Normal"/>
    <w:link w:val="CommentTextChar"/>
    <w:uiPriority w:val="99"/>
    <w:semiHidden/>
    <w:unhideWhenUsed/>
    <w:rsid w:val="006C6964"/>
    <w:rPr>
      <w:sz w:val="20"/>
      <w:szCs w:val="20"/>
    </w:rPr>
  </w:style>
  <w:style w:type="character" w:customStyle="1" w:styleId="CommentTextChar">
    <w:name w:val="Comment Text Char"/>
    <w:basedOn w:val="DefaultParagraphFont"/>
    <w:link w:val="CommentText"/>
    <w:uiPriority w:val="99"/>
    <w:semiHidden/>
    <w:rsid w:val="006C6964"/>
    <w:rPr>
      <w:color w:val="000000"/>
      <w:sz w:val="20"/>
      <w:szCs w:val="20"/>
    </w:rPr>
  </w:style>
  <w:style w:type="paragraph" w:styleId="CommentSubject">
    <w:name w:val="annotation subject"/>
    <w:basedOn w:val="CommentText"/>
    <w:next w:val="CommentText"/>
    <w:link w:val="CommentSubjectChar"/>
    <w:uiPriority w:val="99"/>
    <w:semiHidden/>
    <w:unhideWhenUsed/>
    <w:rsid w:val="006C6964"/>
    <w:rPr>
      <w:b/>
      <w:bCs/>
    </w:rPr>
  </w:style>
  <w:style w:type="character" w:customStyle="1" w:styleId="CommentSubjectChar">
    <w:name w:val="Comment Subject Char"/>
    <w:basedOn w:val="CommentTextChar"/>
    <w:link w:val="CommentSubject"/>
    <w:uiPriority w:val="99"/>
    <w:semiHidden/>
    <w:rsid w:val="006C6964"/>
    <w:rPr>
      <w:b/>
      <w:bCs/>
      <w:color w:val="000000"/>
      <w:sz w:val="20"/>
      <w:szCs w:val="20"/>
    </w:rPr>
  </w:style>
  <w:style w:type="paragraph" w:styleId="BalloonText">
    <w:name w:val="Balloon Text"/>
    <w:basedOn w:val="Normal"/>
    <w:link w:val="BalloonTextChar"/>
    <w:uiPriority w:val="99"/>
    <w:semiHidden/>
    <w:unhideWhenUsed/>
    <w:rsid w:val="006C6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64"/>
    <w:rPr>
      <w:rFonts w:ascii="Segoe UI" w:hAnsi="Segoe UI" w:cs="Segoe UI"/>
      <w:color w:val="000000"/>
      <w:sz w:val="18"/>
      <w:szCs w:val="18"/>
    </w:rPr>
  </w:style>
  <w:style w:type="paragraph" w:customStyle="1" w:styleId="tvhtml">
    <w:name w:val="tv_html"/>
    <w:basedOn w:val="Normal"/>
    <w:rsid w:val="006C6964"/>
    <w:pPr>
      <w:widowControl/>
      <w:spacing w:before="100" w:beforeAutospacing="1" w:after="100" w:afterAutospacing="1"/>
    </w:pPr>
    <w:rPr>
      <w:rFonts w:ascii="Times New Roman" w:eastAsia="Times New Roman" w:hAnsi="Times New Roman" w:cs="Times New Roman"/>
      <w:color w:val="auto"/>
      <w:lang w:eastAsia="lv-LV" w:bidi="ar-SA"/>
    </w:rPr>
  </w:style>
  <w:style w:type="character" w:customStyle="1" w:styleId="tvhtml1">
    <w:name w:val="tv_html1"/>
    <w:basedOn w:val="DefaultParagraphFont"/>
    <w:rsid w:val="006C6964"/>
  </w:style>
  <w:style w:type="character" w:styleId="Hyperlink">
    <w:name w:val="Hyperlink"/>
    <w:basedOn w:val="DefaultParagraphFont"/>
    <w:uiPriority w:val="99"/>
    <w:semiHidden/>
    <w:unhideWhenUsed/>
    <w:rsid w:val="006C6964"/>
    <w:rPr>
      <w:color w:val="0000FF"/>
      <w:u w:val="single"/>
    </w:rPr>
  </w:style>
  <w:style w:type="paragraph" w:styleId="Header">
    <w:name w:val="header"/>
    <w:basedOn w:val="Normal"/>
    <w:link w:val="HeaderChar"/>
    <w:uiPriority w:val="99"/>
    <w:unhideWhenUsed/>
    <w:rsid w:val="005038F9"/>
    <w:pPr>
      <w:tabs>
        <w:tab w:val="center" w:pos="4320"/>
        <w:tab w:val="right" w:pos="8640"/>
      </w:tabs>
    </w:pPr>
  </w:style>
  <w:style w:type="character" w:customStyle="1" w:styleId="HeaderChar">
    <w:name w:val="Header Char"/>
    <w:basedOn w:val="DefaultParagraphFont"/>
    <w:link w:val="Header"/>
    <w:uiPriority w:val="99"/>
    <w:rsid w:val="005038F9"/>
    <w:rPr>
      <w:color w:val="000000"/>
    </w:rPr>
  </w:style>
  <w:style w:type="paragraph" w:styleId="Footer">
    <w:name w:val="footer"/>
    <w:basedOn w:val="Normal"/>
    <w:link w:val="FooterChar"/>
    <w:uiPriority w:val="99"/>
    <w:unhideWhenUsed/>
    <w:rsid w:val="005038F9"/>
    <w:pPr>
      <w:tabs>
        <w:tab w:val="center" w:pos="4320"/>
        <w:tab w:val="right" w:pos="8640"/>
      </w:tabs>
    </w:pPr>
  </w:style>
  <w:style w:type="character" w:customStyle="1" w:styleId="FooterChar">
    <w:name w:val="Footer Char"/>
    <w:basedOn w:val="DefaultParagraphFont"/>
    <w:link w:val="Footer"/>
    <w:uiPriority w:val="99"/>
    <w:rsid w:val="005038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8570</Words>
  <Characters>4885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Vienošanās</vt:lpstr>
    </vt:vector>
  </TitlesOfParts>
  <Company>Finanšu ministrija</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dc:title>
  <dc:subject>Vienošanās</dc:subject>
  <dc:creator>dainis.sturmanis@fm.gov.lv</dc:creator>
  <cp:keywords/>
  <dc:description>67083909
Dainis.Sturmanis@fm.gov.lv</dc:description>
  <cp:lastModifiedBy>Dainis Stūrmanis</cp:lastModifiedBy>
  <cp:revision>25</cp:revision>
  <dcterms:created xsi:type="dcterms:W3CDTF">2020-01-09T07:00:00Z</dcterms:created>
  <dcterms:modified xsi:type="dcterms:W3CDTF">2020-02-13T10:53:00Z</dcterms:modified>
</cp:coreProperties>
</file>