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485C" w14:textId="77777777" w:rsidR="00B065A2" w:rsidRPr="00313151" w:rsidRDefault="00B065A2" w:rsidP="00313151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D1FD12F" w14:textId="718945B6" w:rsidR="00B065A2" w:rsidRPr="00313151" w:rsidRDefault="00B065A2" w:rsidP="00313151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3A444171" w14:textId="77777777" w:rsidR="00313151" w:rsidRPr="00313151" w:rsidRDefault="00313151" w:rsidP="00313151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1EE21807" w14:textId="768F266B" w:rsidR="00313151" w:rsidRPr="00313151" w:rsidRDefault="00313151" w:rsidP="0031315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151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CE4C7E">
        <w:rPr>
          <w:rFonts w:ascii="Times New Roman" w:eastAsia="Times New Roman" w:hAnsi="Times New Roman"/>
          <w:sz w:val="28"/>
          <w:szCs w:val="28"/>
        </w:rPr>
        <w:t>4. februārī</w:t>
      </w:r>
      <w:r w:rsidRPr="0031315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CE4C7E">
        <w:rPr>
          <w:rFonts w:ascii="Times New Roman" w:eastAsia="Times New Roman" w:hAnsi="Times New Roman" w:cs="Times New Roman"/>
          <w:sz w:val="28"/>
          <w:szCs w:val="28"/>
        </w:rPr>
        <w:t> 66</w:t>
      </w:r>
    </w:p>
    <w:p w14:paraId="62C091B8" w14:textId="3CE351ED" w:rsidR="00313151" w:rsidRPr="00313151" w:rsidRDefault="00313151" w:rsidP="0031315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15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1315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E4C7E">
        <w:rPr>
          <w:rFonts w:ascii="Times New Roman" w:eastAsia="Times New Roman" w:hAnsi="Times New Roman" w:cs="Times New Roman"/>
          <w:sz w:val="28"/>
          <w:szCs w:val="28"/>
        </w:rPr>
        <w:t> 5 11</w:t>
      </w:r>
      <w:bookmarkStart w:id="0" w:name="_GoBack"/>
      <w:bookmarkEnd w:id="0"/>
      <w:r w:rsidRPr="0031315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A9348D8" w14:textId="3C1F7BED" w:rsidR="00B065A2" w:rsidRPr="00313151" w:rsidRDefault="00B065A2" w:rsidP="003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3AB8B" w14:textId="77777777" w:rsidR="00421AF6" w:rsidRPr="00313151" w:rsidRDefault="0003225F" w:rsidP="003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ieņēmumu dienesta ierēdņu (darbinieku) dienesta šaujamieroču glabāšanas un nēsāšanas noteikumi</w:t>
      </w:r>
    </w:p>
    <w:p w14:paraId="5F28FBA4" w14:textId="77777777" w:rsidR="00421AF6" w:rsidRPr="00313151" w:rsidRDefault="00421AF6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4A9E11" w14:textId="77777777" w:rsidR="00B065A2" w:rsidRPr="00313151" w:rsidRDefault="0003225F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4E44E8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doti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likuma </w:t>
      </w:r>
    </w:p>
    <w:p w14:paraId="1F7AB6A8" w14:textId="77777777" w:rsidR="00DD4FB4" w:rsidRDefault="0003225F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1" w:tgtFrame="_blank" w:history="1">
        <w:r w:rsidRPr="0031315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ieņēmumu dienestu</w:t>
        </w:r>
      </w:hyperlink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</w:p>
    <w:p w14:paraId="439EC3B3" w14:textId="07D8B3E9" w:rsidR="000B761A" w:rsidRPr="00313151" w:rsidRDefault="0003225F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Pr="003131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131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</w:t>
      </w:r>
      <w:bookmarkStart w:id="1" w:name="p1"/>
      <w:bookmarkStart w:id="2" w:name="p-188350"/>
      <w:bookmarkEnd w:id="1"/>
      <w:bookmarkEnd w:id="2"/>
    </w:p>
    <w:p w14:paraId="3CC6757B" w14:textId="065E3238" w:rsidR="00421AF6" w:rsidRPr="00313151" w:rsidRDefault="000B761A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un 16.</w:t>
      </w:r>
      <w:r w:rsidRPr="003131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6</w:t>
      </w:r>
      <w:r w:rsidR="003131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trešās daļas 5.</w:t>
      </w:r>
      <w:r w:rsidRPr="003131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31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E9E72D3" w14:textId="77777777" w:rsidR="00AA4F77" w:rsidRPr="00313151" w:rsidRDefault="00AA4F77" w:rsidP="003131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495C627" w14:textId="6443E0FE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Valsts ieņēmumu dienesta </w:t>
      </w:r>
      <w:r w:rsidR="000120E8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313151">
        <w:rPr>
          <w:rFonts w:ascii="Times New Roman" w:hAnsi="Times New Roman" w:cs="Times New Roman"/>
          <w:bCs/>
          <w:sz w:val="28"/>
          <w:szCs w:val="28"/>
        </w:rPr>
        <w:t>odokļu un muitas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policijas </w:t>
      </w:r>
      <w:r w:rsidR="00303BC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ierēdņu (darbinieku) </w:t>
      </w:r>
      <w:r w:rsidR="001D140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0120E8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</w:t>
      </w:r>
      <w:r w:rsidR="001D140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Iekšējās drošības 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pārvaldes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ierēdņu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485B2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ierēdnis 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(darbiniek</w:t>
      </w:r>
      <w:r w:rsidR="00485B2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))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rīcībā esošo dienesta šaujamieroču glabāšanas un nēsāšanas kārtību.</w:t>
      </w:r>
    </w:p>
    <w:p w14:paraId="5241A9EA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DF912C" w14:textId="7B0EBB51" w:rsidR="005E65BE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0135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erēd</w:t>
      </w:r>
      <w:r w:rsidR="00C55AD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nim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C55AD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5D73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) atļaut</w:t>
      </w:r>
      <w:r w:rsidR="00905D73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 glabāt un nēsāt šādu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</w:t>
      </w:r>
      <w:r w:rsidR="00C55AD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ci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BD11801" w14:textId="77777777" w:rsidR="005E65BE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92141B" w:rsidRPr="00313151">
        <w:rPr>
          <w:rFonts w:ascii="Times New Roman" w:hAnsi="Times New Roman" w:cs="Times New Roman"/>
          <w:sz w:val="28"/>
          <w:szCs w:val="28"/>
        </w:rPr>
        <w:t xml:space="preserve"> 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pusautomātisk</w:t>
      </w:r>
      <w:r w:rsidR="000B761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atkārtotas darbības īsstobra šaujamiero</w:t>
      </w:r>
      <w:r w:rsidR="000B761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ci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92C217" w14:textId="2C1458B7" w:rsidR="00A13C9F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92141B" w:rsidRPr="00313151">
        <w:rPr>
          <w:rFonts w:ascii="Times New Roman" w:hAnsi="Times New Roman" w:cs="Times New Roman"/>
          <w:sz w:val="28"/>
          <w:szCs w:val="28"/>
        </w:rPr>
        <w:t xml:space="preserve"> 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pusautomātisko 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garstobra šaujamiero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i, kur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munīcijai ir apmales kapsele</w:t>
      </w:r>
      <w:r w:rsidR="007B62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 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patrontelpas un magazīnas kopējā ietilpība var būt lielāka par trim patronām, kā arī 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pusautomātisko 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garstobra šaujamiero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i, kur</w:t>
      </w:r>
      <w:r w:rsidR="003D3121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munīcijai ir centrālā kapsele un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 </w:t>
      </w:r>
      <w:r w:rsidR="007D603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patrontelpas un magazīnas kopējā ietilpība ir lielāka par trim patronām, bet mazāka par 12 patronām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C2CE37E" w14:textId="22140229" w:rsidR="0092141B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2.3.</w:t>
      </w:r>
      <w:r w:rsidRPr="00313151">
        <w:rPr>
          <w:rFonts w:ascii="Times New Roman" w:hAnsi="Times New Roman" w:cs="Times New Roman"/>
          <w:sz w:val="28"/>
          <w:szCs w:val="28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automātisk</w:t>
      </w:r>
      <w:r w:rsidR="000B761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</w:t>
      </w:r>
      <w:r w:rsidR="000B761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</w:p>
    <w:p w14:paraId="74A3B117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88057A" w14:textId="194076A9" w:rsidR="002D26FB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188351"/>
      <w:bookmarkStart w:id="5" w:name="p3"/>
      <w:bookmarkStart w:id="6" w:name="p-188352"/>
      <w:bookmarkEnd w:id="3"/>
      <w:bookmarkEnd w:id="4"/>
      <w:bookmarkEnd w:id="5"/>
      <w:bookmarkEnd w:id="6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33B3D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šaujamieroci un munīciju </w:t>
      </w:r>
      <w:r w:rsidR="00E5389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nēsā</w:t>
      </w:r>
      <w:r w:rsidR="003B12B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tikai</w:t>
      </w:r>
      <w:r w:rsidR="00311150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pildot </w:t>
      </w:r>
      <w:r w:rsidR="009B7229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</w:t>
      </w:r>
      <w:r w:rsidR="00311150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pienākumus</w:t>
      </w:r>
      <w:r w:rsidR="00433B3D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2F6CEC05" w14:textId="4E6D3DDD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188353"/>
      <w:bookmarkEnd w:id="7"/>
      <w:bookmarkEnd w:id="8"/>
    </w:p>
    <w:p w14:paraId="53893842" w14:textId="5097C74A" w:rsidR="00421AF6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5"/>
      <w:bookmarkStart w:id="10" w:name="p-188354"/>
      <w:bookmarkEnd w:id="9"/>
      <w:bookmarkEnd w:id="10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</w:t>
      </w:r>
      <w:r w:rsidR="009548C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9548C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), kuram ir izsniegts dienesta šaujamierocis, novēr</w:t>
      </w:r>
      <w:r w:rsidR="009548C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visus no viņa atkarīgus apstākļus, kas var veicināt dienesta šaujamieroča nozagšanu, nolaupīšanu vai citādu nokļūšanu citu personu rīcībā.</w:t>
      </w:r>
    </w:p>
    <w:p w14:paraId="24A361C7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4025ED" w14:textId="4F917B1D" w:rsidR="00421AF6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6"/>
      <w:bookmarkStart w:id="12" w:name="p-188355"/>
      <w:bookmarkEnd w:id="11"/>
      <w:bookmarkEnd w:id="12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21F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šaujamieroci aizliegts nodot citai personai, izņemot </w:t>
      </w:r>
      <w:r w:rsidR="000921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gadījumu, ja ierēdnis (darbinieks) apmeklē vietu, kurā normatīvajos aktos noteiktajā kārtībā ir ierobežota šaujamieroču nēsāšana un ierocis</w:t>
      </w:r>
      <w:proofErr w:type="gramStart"/>
      <w:r w:rsidR="000921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nododams glabāšanai īpaši noteiktā vietā</w:t>
      </w:r>
      <w:proofErr w:type="gramEnd"/>
      <w:r w:rsidR="000921F6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0921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625D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</w:t>
      </w:r>
      <w:r w:rsidR="00343AF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43AF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0921F6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43AF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</w:t>
      </w:r>
      <w:r w:rsidR="000921F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E54CF7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FBC8CC" w14:textId="290E3A38" w:rsidR="00421AF6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7"/>
      <w:bookmarkStart w:id="14" w:name="p-188356"/>
      <w:bookmarkEnd w:id="13"/>
      <w:bookmarkEnd w:id="14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Nododot dienesta šaujamieroci </w:t>
      </w:r>
      <w:r w:rsidR="000921F6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glabāšanai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 ierēdnis (darbinieks) ievēro drošības prasības, lai nepieļautu neparedzētu šāvienu un nenodarītu kaitējumu sev vai citām personām un mantai.</w:t>
      </w:r>
    </w:p>
    <w:p w14:paraId="38DCA6F7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52E977" w14:textId="69672D13" w:rsidR="00421AF6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8"/>
      <w:bookmarkStart w:id="16" w:name="p-188357"/>
      <w:bookmarkEnd w:id="15"/>
      <w:bookmarkEnd w:id="16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57F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erēdnis (darbinieks) </w:t>
      </w:r>
      <w:r w:rsidR="00E43E8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akšpunktā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F3E9E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141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un munīciju nēsā makstī</w:t>
      </w:r>
      <w:r w:rsidR="00C84A9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34D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speciālā kabatā</w:t>
      </w:r>
      <w:r w:rsidR="003534D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84A9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somā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 no kuras tie nevar izkrist. Šaujamieroci un munīciju nēsā, nepievēršot citu personu uzmanību.</w:t>
      </w:r>
    </w:p>
    <w:p w14:paraId="2A29E2A9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34C48" w14:textId="461CA2D7" w:rsidR="00421AF6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7" w:name="p9"/>
      <w:bookmarkStart w:id="18" w:name="p-188358"/>
      <w:bookmarkEnd w:id="17"/>
      <w:bookmarkEnd w:id="18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erēdnis (darbinieks)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7229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pienākumus formas tērpā</w:t>
      </w:r>
      <w:r w:rsidR="00991873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šaujamieroci var nēsāt </w:t>
      </w:r>
      <w:r w:rsidR="00BF72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atklātā veidā (šo noteikumu 2.1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="00BF72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akšpunktā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F3E9E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72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šaujamieroci – makstī)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B7A0A26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222CAA" w14:textId="3ADD810F" w:rsidR="00544DF2" w:rsidRPr="00313151" w:rsidRDefault="00C54EBA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F72F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2.2.</w:t>
      </w:r>
      <w:r w:rsidR="00B530B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1D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akšpunkt</w:t>
      </w:r>
      <w:r w:rsidR="00D659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šaujamieročus ierēdni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B71F9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59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nēsā</w:t>
      </w:r>
      <w:r w:rsidR="003B12B6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B1DE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59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8B1DE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ikai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pildot </w:t>
      </w:r>
      <w:r w:rsidR="009B7229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amata</w:t>
      </w:r>
      <w:r w:rsidR="0003225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pienākumus </w:t>
      </w:r>
      <w:r w:rsidR="00991873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formas tērpā</w:t>
      </w:r>
      <w:r w:rsidR="00D659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19" w:name="p10"/>
      <w:bookmarkStart w:id="20" w:name="p-188359"/>
      <w:bookmarkEnd w:id="19"/>
      <w:bookmarkEnd w:id="20"/>
    </w:p>
    <w:p w14:paraId="3BACBB90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F3C9F" w14:textId="67BEF162" w:rsidR="00AA4F77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Nēsāšanas laikā dienesta šaujamierocis var būt pielādēts (</w:t>
      </w:r>
      <w:r w:rsidR="00F43C3D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magazīna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munīciju ievietota šaujamierocī, patrontelpā nav munīcijas)</w:t>
      </w:r>
      <w:r w:rsidR="0057312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9184CAD" w14:textId="76009C0B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442574C" w14:textId="233F2C9F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11"/>
      <w:bookmarkStart w:id="22" w:name="p-188360"/>
      <w:bookmarkEnd w:id="21"/>
      <w:bookmarkEnd w:id="22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Aizliegts nēsāt dienesta šaujamieroci un munīciju, ja ierēdnis (darbinieks) ir alkohola, narkotisko</w:t>
      </w:r>
      <w:r w:rsidR="009B7229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, psihotropo, toksisko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54720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citu apreibinošo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vielu </w:t>
      </w:r>
      <w:r w:rsidR="0054720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ietekmē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1C9F10B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1BDF44" w14:textId="499F9871" w:rsidR="00421AF6" w:rsidRPr="00313151" w:rsidDel="004935DA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3" w:name="p12"/>
      <w:bookmarkStart w:id="24" w:name="p-188361"/>
      <w:bookmarkEnd w:id="23"/>
      <w:bookmarkEnd w:id="24"/>
      <w:r w:rsidRPr="00313151" w:rsidDel="004935D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03CF4" w:rsidRPr="00313151" w:rsidDel="004935DA">
        <w:rPr>
          <w:rFonts w:ascii="Times New Roman" w:eastAsia="Times New Roman" w:hAnsi="Times New Roman" w:cs="Times New Roman"/>
          <w:sz w:val="28"/>
          <w:szCs w:val="28"/>
          <w:lang w:eastAsia="lv-LV"/>
        </w:rPr>
        <w:t>. Aizliegts nēsāt</w:t>
      </w:r>
      <w:r w:rsidRPr="00313151" w:rsidDel="004935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šaujamieroci un munīciju, ja ierēdnim (darbiniekam) nav līdzi attiecīgas </w:t>
      </w:r>
      <w:r w:rsidR="00B101A8" w:rsidRPr="00313151" w:rsidDel="004935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šaujamieroča </w:t>
      </w:r>
      <w:r w:rsidRPr="00313151" w:rsidDel="004935DA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atļaujas.</w:t>
      </w:r>
    </w:p>
    <w:p w14:paraId="30B4461A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5119AF" w14:textId="0AA8083D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p13"/>
      <w:bookmarkStart w:id="26" w:name="p-188362"/>
      <w:bookmarkEnd w:id="25"/>
      <w:bookmarkEnd w:id="26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Dienesta šaujamieroci glabā izlādētu.</w:t>
      </w:r>
    </w:p>
    <w:p w14:paraId="234E6CCC" w14:textId="77777777" w:rsidR="002D26FB" w:rsidRPr="00313151" w:rsidRDefault="002D26FB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D173B" w14:textId="3E7C92EB" w:rsidR="002D26FB" w:rsidRPr="00313151" w:rsidRDefault="002D26FB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Šo noteikumu 2.1.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un 2.2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akšpunktā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glabā Valsts ieņēmumu dienesta īpaši aprīkotā ieroču un munīcijas 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glabātavā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citā dienesta šaujamieroča atļaujā norādītā vietā. Šo noteikumu 2.3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akšpunktā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glabā tikai Valsts ieņēmumu dienesta īpaši aprīkotā ieroču un munīcijas 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glabātavā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0B38C7BE" w14:textId="77777777" w:rsidR="002D26FB" w:rsidRPr="00313151" w:rsidRDefault="002D26FB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30EC95" w14:textId="111D35A6" w:rsidR="002D26FB" w:rsidRPr="00313151" w:rsidRDefault="002D26FB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Dodoties atvaļinājumā vai komandējumā, kas saistīts ar izbraukšanu ārpus Latvijas Republikas, ierēdnis (darbinieks) šo noteikumu 2.1. </w:t>
      </w:r>
      <w:r w:rsidR="00F11D37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 ap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akšpunktā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šaujamieroci un munīciju nodod par šaujamieroču glabāšanu</w:t>
      </w:r>
      <w:r w:rsidRPr="00313151">
        <w:rPr>
          <w:rFonts w:ascii="Times New Roman" w:hAnsi="Times New Roman" w:cs="Times New Roman"/>
          <w:sz w:val="28"/>
          <w:szCs w:val="28"/>
        </w:rPr>
        <w:t xml:space="preserve"> 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atbildīga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C148C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00857FA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 </w:t>
      </w:r>
      <w:r w:rsidRPr="00313151">
        <w:rPr>
          <w:rFonts w:ascii="Times New Roman" w:hAnsi="Times New Roman" w:cs="Times New Roman"/>
          <w:sz w:val="28"/>
          <w:szCs w:val="28"/>
        </w:rPr>
        <w:t xml:space="preserve">glabāšanai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īpaši aprīkotā ieroču un munīcijas 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glabātavā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glabā dienesta šaujamieroča atļaujā norādītajā vietā.</w:t>
      </w:r>
    </w:p>
    <w:p w14:paraId="15CD2FD3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BBD04C" w14:textId="72C62578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7" w:name="p14"/>
      <w:bookmarkStart w:id="28" w:name="p-188363"/>
      <w:bookmarkEnd w:id="27"/>
      <w:bookmarkEnd w:id="28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Dienesta šaujamieroci un munīciju</w:t>
      </w:r>
      <w:r w:rsidR="00616054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šaujamieroča atļaujā norādīt</w:t>
      </w:r>
      <w:r w:rsidR="00A55B2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16054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jā vietā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slēgtā seifā vai metāla skapī (metāla kastē), </w:t>
      </w:r>
      <w:bookmarkStart w:id="29" w:name="p15"/>
      <w:bookmarkStart w:id="30" w:name="p-188364"/>
      <w:bookmarkEnd w:id="29"/>
      <w:bookmarkEnd w:id="30"/>
      <w:r w:rsidR="00B0203B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kura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sienu biezums nav mazāks par 2,5 mm</w:t>
      </w:r>
      <w:r w:rsidR="00E6224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24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Seifs vai metāla skapis (metāla kaste) ir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aizslēdzams ar slēdzeni, </w:t>
      </w:r>
      <w:r w:rsidR="00CD3B08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atslēga ir pieejama tikai ierēdnim (darbiniekam)</w:t>
      </w:r>
      <w:r w:rsidR="00E6224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240D8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ir izsniegts dienesta šaujamierocis</w:t>
      </w:r>
      <w:r w:rsidR="0042498C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(seifa vai metāla skapja lietotājam)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17B9149C" w14:textId="77777777" w:rsidR="00AA4F77" w:rsidRPr="00313151" w:rsidRDefault="00AA4F77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2D82B" w14:textId="4A56E84B" w:rsidR="00421AF6" w:rsidRPr="00313151" w:rsidRDefault="0003225F" w:rsidP="0031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16"/>
      <w:bookmarkStart w:id="32" w:name="p-188365"/>
      <w:bookmarkEnd w:id="31"/>
      <w:bookmarkEnd w:id="32"/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54EBA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Atzīt par spēku zaudējušiem Ministru kabineta 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2006.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janvāra 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Nr.</w:t>
      </w:r>
      <w:r w:rsidR="00C14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83 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dienesta finanšu policijas ierēdņu (darbinieku) dienesta šaujamieroču glabāšanas un nēsāšanas noteikumi</w:t>
      </w:r>
      <w:r w:rsid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E96F4F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065A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2006, </w:t>
      </w:r>
      <w:r w:rsidR="00FE6FE5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B065A2"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Pr="00313151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379B93F5" w14:textId="6950C5EE" w:rsidR="00B065A2" w:rsidRPr="00313151" w:rsidRDefault="00B065A2" w:rsidP="00313151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AC6288E" w14:textId="77777777" w:rsidR="00AA4F77" w:rsidRPr="00313151" w:rsidRDefault="00AA4F77" w:rsidP="00313151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1F22242D" w14:textId="77777777" w:rsidR="00313151" w:rsidRPr="00313151" w:rsidRDefault="00313151" w:rsidP="00313151">
      <w:pPr>
        <w:pStyle w:val="BodyTextIndent"/>
        <w:ind w:left="0" w:firstLine="0"/>
        <w:rPr>
          <w:szCs w:val="28"/>
        </w:rPr>
      </w:pPr>
    </w:p>
    <w:p w14:paraId="59E3B09D" w14:textId="77777777" w:rsidR="00313151" w:rsidRPr="00313151" w:rsidRDefault="00313151" w:rsidP="00313151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13151">
        <w:rPr>
          <w:szCs w:val="28"/>
        </w:rPr>
        <w:t>Ministru prezidents</w:t>
      </w:r>
      <w:r w:rsidRPr="00313151">
        <w:rPr>
          <w:szCs w:val="28"/>
        </w:rPr>
        <w:tab/>
        <w:t>A. K. Kariņš</w:t>
      </w:r>
    </w:p>
    <w:p w14:paraId="0EFB5E24" w14:textId="77777777" w:rsidR="00313151" w:rsidRPr="00313151" w:rsidRDefault="00313151" w:rsidP="00313151">
      <w:pPr>
        <w:pStyle w:val="BodyTextIndent"/>
        <w:ind w:left="0" w:firstLine="0"/>
        <w:rPr>
          <w:szCs w:val="28"/>
        </w:rPr>
      </w:pPr>
    </w:p>
    <w:p w14:paraId="5C573C28" w14:textId="77777777" w:rsidR="00313151" w:rsidRPr="00313151" w:rsidRDefault="00313151" w:rsidP="00313151">
      <w:pPr>
        <w:pStyle w:val="BodyTextIndent"/>
        <w:ind w:left="0" w:firstLine="0"/>
        <w:rPr>
          <w:szCs w:val="28"/>
        </w:rPr>
      </w:pPr>
    </w:p>
    <w:p w14:paraId="19ABA366" w14:textId="77777777" w:rsidR="00313151" w:rsidRPr="00313151" w:rsidRDefault="00313151" w:rsidP="00313151">
      <w:pPr>
        <w:pStyle w:val="BodyTextIndent"/>
        <w:ind w:left="0" w:firstLine="0"/>
        <w:rPr>
          <w:szCs w:val="28"/>
        </w:rPr>
      </w:pPr>
    </w:p>
    <w:p w14:paraId="68A843DD" w14:textId="77777777" w:rsidR="00313151" w:rsidRPr="00313151" w:rsidRDefault="00313151" w:rsidP="00313151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13151">
        <w:rPr>
          <w:szCs w:val="28"/>
        </w:rPr>
        <w:t>Finanšu ministrs</w:t>
      </w:r>
      <w:r w:rsidRPr="00313151">
        <w:rPr>
          <w:szCs w:val="28"/>
        </w:rPr>
        <w:tab/>
        <w:t>J. Reirs</w:t>
      </w:r>
    </w:p>
    <w:sectPr w:rsidR="00313151" w:rsidRPr="00313151" w:rsidSect="003131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6C85" w14:textId="77777777" w:rsidR="00FC635F" w:rsidRDefault="00FC635F" w:rsidP="00A9180C">
      <w:pPr>
        <w:spacing w:after="0" w:line="240" w:lineRule="auto"/>
      </w:pPr>
      <w:r>
        <w:separator/>
      </w:r>
    </w:p>
  </w:endnote>
  <w:endnote w:type="continuationSeparator" w:id="0">
    <w:p w14:paraId="18F90A28" w14:textId="77777777" w:rsidR="00FC635F" w:rsidRDefault="00FC635F" w:rsidP="00A9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524A" w14:textId="77777777" w:rsidR="00313151" w:rsidRPr="00313151" w:rsidRDefault="00313151" w:rsidP="003131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9BF6" w14:textId="328A428C" w:rsidR="00313151" w:rsidRPr="00313151" w:rsidRDefault="003131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8DBD" w14:textId="77777777" w:rsidR="00FC635F" w:rsidRDefault="00FC635F" w:rsidP="00A9180C">
      <w:pPr>
        <w:spacing w:after="0" w:line="240" w:lineRule="auto"/>
      </w:pPr>
      <w:r>
        <w:separator/>
      </w:r>
    </w:p>
  </w:footnote>
  <w:footnote w:type="continuationSeparator" w:id="0">
    <w:p w14:paraId="03FF0C56" w14:textId="77777777" w:rsidR="00FC635F" w:rsidRDefault="00FC635F" w:rsidP="00A9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36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488002" w14:textId="5A07155F" w:rsidR="008A4F0A" w:rsidRPr="008A4F0A" w:rsidRDefault="004748B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F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4F0A" w:rsidRPr="008A4F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F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8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4F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E57A" w14:textId="02A2822A" w:rsidR="00313151" w:rsidRDefault="00313151">
    <w:pPr>
      <w:pStyle w:val="Header"/>
      <w:rPr>
        <w:rFonts w:ascii="Times New Roman" w:hAnsi="Times New Roman" w:cs="Times New Roman"/>
        <w:sz w:val="24"/>
        <w:szCs w:val="24"/>
      </w:rPr>
    </w:pPr>
  </w:p>
  <w:p w14:paraId="3DF02D7A" w14:textId="77777777" w:rsidR="00313151" w:rsidRDefault="00313151">
    <w:pPr>
      <w:pStyle w:val="Header"/>
    </w:pPr>
    <w:r>
      <w:rPr>
        <w:noProof/>
      </w:rPr>
      <w:drawing>
        <wp:inline distT="0" distB="0" distL="0" distR="0" wp14:anchorId="420D6C66" wp14:editId="18045F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6062"/>
    <w:multiLevelType w:val="hybridMultilevel"/>
    <w:tmpl w:val="375C2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F6"/>
    <w:rsid w:val="000120E8"/>
    <w:rsid w:val="000135E4"/>
    <w:rsid w:val="00020BEF"/>
    <w:rsid w:val="00022CE1"/>
    <w:rsid w:val="0003225F"/>
    <w:rsid w:val="00047D12"/>
    <w:rsid w:val="00072D89"/>
    <w:rsid w:val="00080751"/>
    <w:rsid w:val="000921F6"/>
    <w:rsid w:val="000A0045"/>
    <w:rsid w:val="000A4950"/>
    <w:rsid w:val="000B761A"/>
    <w:rsid w:val="000C678F"/>
    <w:rsid w:val="000D63BC"/>
    <w:rsid w:val="0010448F"/>
    <w:rsid w:val="00121C1D"/>
    <w:rsid w:val="00150554"/>
    <w:rsid w:val="001510D7"/>
    <w:rsid w:val="001C3F2A"/>
    <w:rsid w:val="001D0D76"/>
    <w:rsid w:val="001D1405"/>
    <w:rsid w:val="001F2530"/>
    <w:rsid w:val="00203CF4"/>
    <w:rsid w:val="0021380B"/>
    <w:rsid w:val="002149ED"/>
    <w:rsid w:val="002175D4"/>
    <w:rsid w:val="00217F12"/>
    <w:rsid w:val="0025368D"/>
    <w:rsid w:val="002639DC"/>
    <w:rsid w:val="00267B54"/>
    <w:rsid w:val="00280777"/>
    <w:rsid w:val="0028249F"/>
    <w:rsid w:val="002B1701"/>
    <w:rsid w:val="002D11D2"/>
    <w:rsid w:val="002D26FB"/>
    <w:rsid w:val="002E5F1D"/>
    <w:rsid w:val="002F3E9E"/>
    <w:rsid w:val="002F5649"/>
    <w:rsid w:val="003021F4"/>
    <w:rsid w:val="00303BC1"/>
    <w:rsid w:val="0030507D"/>
    <w:rsid w:val="00305108"/>
    <w:rsid w:val="00307086"/>
    <w:rsid w:val="00311150"/>
    <w:rsid w:val="00313151"/>
    <w:rsid w:val="0032191A"/>
    <w:rsid w:val="00325879"/>
    <w:rsid w:val="00331E4F"/>
    <w:rsid w:val="00343AFA"/>
    <w:rsid w:val="003533C0"/>
    <w:rsid w:val="003534DF"/>
    <w:rsid w:val="00366ADC"/>
    <w:rsid w:val="0039788C"/>
    <w:rsid w:val="003B12B6"/>
    <w:rsid w:val="003D3121"/>
    <w:rsid w:val="003F563A"/>
    <w:rsid w:val="004001A9"/>
    <w:rsid w:val="00421AF6"/>
    <w:rsid w:val="0042498C"/>
    <w:rsid w:val="00433B3D"/>
    <w:rsid w:val="00473E0D"/>
    <w:rsid w:val="004748BF"/>
    <w:rsid w:val="00475AF3"/>
    <w:rsid w:val="00485B2F"/>
    <w:rsid w:val="004935DA"/>
    <w:rsid w:val="00497F49"/>
    <w:rsid w:val="004A48EB"/>
    <w:rsid w:val="004D3D25"/>
    <w:rsid w:val="004D558C"/>
    <w:rsid w:val="004E44E8"/>
    <w:rsid w:val="005058A8"/>
    <w:rsid w:val="0050623F"/>
    <w:rsid w:val="00510D3D"/>
    <w:rsid w:val="0051428A"/>
    <w:rsid w:val="00544DF2"/>
    <w:rsid w:val="0054720B"/>
    <w:rsid w:val="005654E4"/>
    <w:rsid w:val="0057312B"/>
    <w:rsid w:val="005762BF"/>
    <w:rsid w:val="00580631"/>
    <w:rsid w:val="00583DCF"/>
    <w:rsid w:val="00584000"/>
    <w:rsid w:val="005E65BE"/>
    <w:rsid w:val="006108B8"/>
    <w:rsid w:val="00611F99"/>
    <w:rsid w:val="00616054"/>
    <w:rsid w:val="00622041"/>
    <w:rsid w:val="006240D8"/>
    <w:rsid w:val="0062597B"/>
    <w:rsid w:val="00634F43"/>
    <w:rsid w:val="00642FD3"/>
    <w:rsid w:val="00656066"/>
    <w:rsid w:val="00683BDD"/>
    <w:rsid w:val="006B2ED0"/>
    <w:rsid w:val="006D2C34"/>
    <w:rsid w:val="006D663F"/>
    <w:rsid w:val="00723044"/>
    <w:rsid w:val="007352EB"/>
    <w:rsid w:val="00742776"/>
    <w:rsid w:val="00746ACA"/>
    <w:rsid w:val="0075500C"/>
    <w:rsid w:val="00787426"/>
    <w:rsid w:val="007901C8"/>
    <w:rsid w:val="007B037B"/>
    <w:rsid w:val="007B625D"/>
    <w:rsid w:val="007C2FE8"/>
    <w:rsid w:val="007D603A"/>
    <w:rsid w:val="007E7B10"/>
    <w:rsid w:val="00806DDF"/>
    <w:rsid w:val="00834E73"/>
    <w:rsid w:val="008458CE"/>
    <w:rsid w:val="00857FAF"/>
    <w:rsid w:val="00864F23"/>
    <w:rsid w:val="008658C4"/>
    <w:rsid w:val="00873E9D"/>
    <w:rsid w:val="008807B4"/>
    <w:rsid w:val="00894B7E"/>
    <w:rsid w:val="008A4F0A"/>
    <w:rsid w:val="008A760B"/>
    <w:rsid w:val="008B1506"/>
    <w:rsid w:val="008B1DEC"/>
    <w:rsid w:val="008E2FDB"/>
    <w:rsid w:val="008E5BF2"/>
    <w:rsid w:val="008F0C30"/>
    <w:rsid w:val="008F1085"/>
    <w:rsid w:val="008F5719"/>
    <w:rsid w:val="00905D73"/>
    <w:rsid w:val="0092141B"/>
    <w:rsid w:val="00922190"/>
    <w:rsid w:val="0094250E"/>
    <w:rsid w:val="009548CC"/>
    <w:rsid w:val="009637C2"/>
    <w:rsid w:val="0096703F"/>
    <w:rsid w:val="00980408"/>
    <w:rsid w:val="00991873"/>
    <w:rsid w:val="00995905"/>
    <w:rsid w:val="00996017"/>
    <w:rsid w:val="009B1982"/>
    <w:rsid w:val="009B7229"/>
    <w:rsid w:val="009C4F01"/>
    <w:rsid w:val="009D6E3D"/>
    <w:rsid w:val="009D733A"/>
    <w:rsid w:val="00A029A8"/>
    <w:rsid w:val="00A13C9F"/>
    <w:rsid w:val="00A302ED"/>
    <w:rsid w:val="00A30882"/>
    <w:rsid w:val="00A55B23"/>
    <w:rsid w:val="00A573AB"/>
    <w:rsid w:val="00A7664C"/>
    <w:rsid w:val="00A81C95"/>
    <w:rsid w:val="00A9180C"/>
    <w:rsid w:val="00A92F23"/>
    <w:rsid w:val="00AA4F77"/>
    <w:rsid w:val="00AB7307"/>
    <w:rsid w:val="00AC22EE"/>
    <w:rsid w:val="00B0203B"/>
    <w:rsid w:val="00B0548F"/>
    <w:rsid w:val="00B065A2"/>
    <w:rsid w:val="00B101A8"/>
    <w:rsid w:val="00B530BC"/>
    <w:rsid w:val="00B71111"/>
    <w:rsid w:val="00B71F9A"/>
    <w:rsid w:val="00B97FF7"/>
    <w:rsid w:val="00BB0865"/>
    <w:rsid w:val="00BB4016"/>
    <w:rsid w:val="00BB4377"/>
    <w:rsid w:val="00BC046B"/>
    <w:rsid w:val="00BC7B11"/>
    <w:rsid w:val="00BD5018"/>
    <w:rsid w:val="00BE62A3"/>
    <w:rsid w:val="00BF72F6"/>
    <w:rsid w:val="00C05117"/>
    <w:rsid w:val="00C14803"/>
    <w:rsid w:val="00C148C2"/>
    <w:rsid w:val="00C264EC"/>
    <w:rsid w:val="00C26EF5"/>
    <w:rsid w:val="00C54EBA"/>
    <w:rsid w:val="00C55ADC"/>
    <w:rsid w:val="00C74ED4"/>
    <w:rsid w:val="00C84A9C"/>
    <w:rsid w:val="00CA631A"/>
    <w:rsid w:val="00CB11CA"/>
    <w:rsid w:val="00CC6633"/>
    <w:rsid w:val="00CD3B08"/>
    <w:rsid w:val="00CE4C7E"/>
    <w:rsid w:val="00CF0195"/>
    <w:rsid w:val="00D01233"/>
    <w:rsid w:val="00D12364"/>
    <w:rsid w:val="00D347F9"/>
    <w:rsid w:val="00D43D5F"/>
    <w:rsid w:val="00D65937"/>
    <w:rsid w:val="00D72858"/>
    <w:rsid w:val="00D821B7"/>
    <w:rsid w:val="00DD4FB4"/>
    <w:rsid w:val="00E21C59"/>
    <w:rsid w:val="00E2471D"/>
    <w:rsid w:val="00E25BD0"/>
    <w:rsid w:val="00E43E86"/>
    <w:rsid w:val="00E53895"/>
    <w:rsid w:val="00E6224F"/>
    <w:rsid w:val="00E96F4F"/>
    <w:rsid w:val="00EB0BA9"/>
    <w:rsid w:val="00EB22CD"/>
    <w:rsid w:val="00EB50DF"/>
    <w:rsid w:val="00EB540A"/>
    <w:rsid w:val="00EF20C0"/>
    <w:rsid w:val="00F0179E"/>
    <w:rsid w:val="00F11D37"/>
    <w:rsid w:val="00F1734C"/>
    <w:rsid w:val="00F23940"/>
    <w:rsid w:val="00F26F82"/>
    <w:rsid w:val="00F41209"/>
    <w:rsid w:val="00F417F9"/>
    <w:rsid w:val="00F439AC"/>
    <w:rsid w:val="00F43C3D"/>
    <w:rsid w:val="00F508EA"/>
    <w:rsid w:val="00F62772"/>
    <w:rsid w:val="00F804FC"/>
    <w:rsid w:val="00FA4CFC"/>
    <w:rsid w:val="00FC635F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EC9ED"/>
  <w15:docId w15:val="{D2C7EDE9-240B-47E1-920B-3A27E0F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C"/>
  </w:style>
  <w:style w:type="paragraph" w:styleId="Footer">
    <w:name w:val="footer"/>
    <w:basedOn w:val="Normal"/>
    <w:link w:val="FooterChar"/>
    <w:uiPriority w:val="99"/>
    <w:unhideWhenUsed/>
    <w:rsid w:val="00A9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0C"/>
  </w:style>
  <w:style w:type="paragraph" w:customStyle="1" w:styleId="naisf">
    <w:name w:val="naisf"/>
    <w:basedOn w:val="Normal"/>
    <w:rsid w:val="00B065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12364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13151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31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9902-par-valsts-ienemumu-dienes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49b0bb89-35b3-4114-9b1c-a376ef2ba045">102</TAP>
    <Kategorija xmlns="2e5bb04e-596e-45bd-9003-43ca78b1ba16">MK noteikumu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CAF3-5250-4F8A-A7F8-7EC4EB562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AFCB9-9AA3-4CB0-B36A-5628C788F1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D7CA9E-2614-4183-8786-1290A36A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A37C7-B148-401A-A47F-1229920A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ieņēmumu dienesta ierēdņu (darbinieku) dienesta šaujamieroču glabāšanas un nēsāšanas noteikumi</vt:lpstr>
    </vt:vector>
  </TitlesOfParts>
  <Company>Valsts ieņēmumu dienests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ieņēmumu dienesta ierēdņu (darbinieku) dienesta šaujamieroču glabāšanas un nēsāšanas noteikumi</dc:title>
  <dc:subject>Noteikumu projekts</dc:subject>
  <dc:creator>Danute.Deicmane@vid.gov.lv</dc:creator>
  <dc:description>67120717, Valdis.Klips@vid.gov.lv
67120590, Danute.Deicmane@vid.gov.lv</dc:description>
  <cp:lastModifiedBy>Leontine Babkina</cp:lastModifiedBy>
  <cp:revision>12</cp:revision>
  <cp:lastPrinted>2020-01-31T12:42:00Z</cp:lastPrinted>
  <dcterms:created xsi:type="dcterms:W3CDTF">2020-01-02T11:28:00Z</dcterms:created>
  <dcterms:modified xsi:type="dcterms:W3CDTF">2020-02-05T09:47:00Z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