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18D4" w14:textId="58361426" w:rsidR="00B00462" w:rsidRPr="00E915CD" w:rsidRDefault="00B00462" w:rsidP="00B00462">
      <w:pPr>
        <w:tabs>
          <w:tab w:val="left" w:pos="6237"/>
        </w:tabs>
        <w:jc w:val="center"/>
        <w:rPr>
          <w:b/>
        </w:rPr>
      </w:pPr>
      <w:bookmarkStart w:id="0" w:name="468683"/>
      <w:bookmarkStart w:id="1" w:name="OLE_LINK2"/>
      <w:bookmarkStart w:id="2" w:name="OLE_LINK3"/>
      <w:bookmarkStart w:id="3" w:name="OLE_LINK4"/>
      <w:bookmarkStart w:id="4" w:name="OLE_LINK1"/>
      <w:bookmarkStart w:id="5" w:name="_GoBack"/>
      <w:bookmarkEnd w:id="0"/>
      <w:bookmarkEnd w:id="5"/>
      <w:r w:rsidRPr="00E915CD">
        <w:rPr>
          <w:b/>
        </w:rPr>
        <w:t>Minist</w:t>
      </w:r>
      <w:bookmarkStart w:id="6" w:name="OLE_LINK5"/>
      <w:bookmarkStart w:id="7" w:name="OLE_LINK8"/>
      <w:r w:rsidRPr="00E915CD">
        <w:rPr>
          <w:b/>
        </w:rPr>
        <w:t xml:space="preserve">ru kabineta noteikumu projekta </w:t>
      </w:r>
      <w:r w:rsidR="000613E9">
        <w:rPr>
          <w:b/>
        </w:rPr>
        <w:t>„</w:t>
      </w:r>
      <w:r w:rsidRPr="00E915CD">
        <w:rPr>
          <w:b/>
        </w:rPr>
        <w:t>Grozījum</w:t>
      </w:r>
      <w:r w:rsidR="000613E9">
        <w:rPr>
          <w:b/>
        </w:rPr>
        <w:t>s</w:t>
      </w:r>
      <w:r w:rsidRPr="00E915CD">
        <w:rPr>
          <w:b/>
        </w:rPr>
        <w:t xml:space="preserve"> Ministru kabineta 2011.gada 1.februāra noteikumos Nr.109 </w:t>
      </w:r>
      <w:bookmarkEnd w:id="6"/>
      <w:bookmarkEnd w:id="7"/>
      <w:r w:rsidR="000613E9">
        <w:rPr>
          <w:b/>
        </w:rPr>
        <w:t>„</w:t>
      </w:r>
      <w:r w:rsidRPr="00E915CD">
        <w:rPr>
          <w:b/>
        </w:rPr>
        <w:t>Kārtība, kādā atsavināma publiskas personas manta”” sākotnējās ietekmes novērtējuma ziņojums (anotācija</w:t>
      </w:r>
      <w:bookmarkEnd w:id="1"/>
      <w:r w:rsidRPr="00E915CD">
        <w:rPr>
          <w:b/>
        </w:rPr>
        <w:t>)</w:t>
      </w:r>
    </w:p>
    <w:p w14:paraId="48CF5BCD" w14:textId="77777777" w:rsidR="00055608" w:rsidRDefault="00055608" w:rsidP="005D6B8A">
      <w:pPr>
        <w:jc w:val="center"/>
        <w:rPr>
          <w:b/>
          <w:sz w:val="16"/>
          <w:szCs w:val="16"/>
        </w:rPr>
      </w:pPr>
    </w:p>
    <w:tbl>
      <w:tblPr>
        <w:tblStyle w:val="TableGrid"/>
        <w:tblW w:w="5508" w:type="pct"/>
        <w:tblInd w:w="-459" w:type="dxa"/>
        <w:tblLook w:val="04A0" w:firstRow="1" w:lastRow="0" w:firstColumn="1" w:lastColumn="0" w:noHBand="0" w:noVBand="1"/>
      </w:tblPr>
      <w:tblGrid>
        <w:gridCol w:w="3043"/>
        <w:gridCol w:w="6913"/>
      </w:tblGrid>
      <w:tr w:rsidR="001E7782" w:rsidRPr="008F25EC" w14:paraId="16C63457" w14:textId="77777777" w:rsidTr="00BF09E0">
        <w:tc>
          <w:tcPr>
            <w:tcW w:w="5000" w:type="pct"/>
            <w:gridSpan w:val="2"/>
            <w:hideMark/>
          </w:tcPr>
          <w:p w14:paraId="31975C8C" w14:textId="77777777" w:rsidR="001E7782" w:rsidRPr="008F25EC" w:rsidRDefault="001E7782" w:rsidP="00A03525">
            <w:pPr>
              <w:jc w:val="center"/>
              <w:rPr>
                <w:b/>
                <w:bCs/>
                <w:iCs/>
                <w:lang w:val="sv-SE"/>
              </w:rPr>
            </w:pPr>
            <w:r w:rsidRPr="008F25EC">
              <w:rPr>
                <w:b/>
                <w:bCs/>
                <w:iCs/>
                <w:lang w:val="sv-SE"/>
              </w:rPr>
              <w:t>Tiesību akta projekta anotācijas kopsavilkums</w:t>
            </w:r>
          </w:p>
        </w:tc>
      </w:tr>
      <w:tr w:rsidR="001E7782" w:rsidRPr="008F25EC" w14:paraId="41F1A5A4" w14:textId="77777777" w:rsidTr="00BF09E0">
        <w:tc>
          <w:tcPr>
            <w:tcW w:w="1528" w:type="pct"/>
            <w:hideMark/>
          </w:tcPr>
          <w:p w14:paraId="4CD29A0A" w14:textId="77777777" w:rsidR="001E7782" w:rsidRPr="008F25EC" w:rsidRDefault="001E7782" w:rsidP="00A03525">
            <w:pPr>
              <w:rPr>
                <w:iCs/>
              </w:rPr>
            </w:pPr>
            <w:r w:rsidRPr="008F25EC">
              <w:rPr>
                <w:iCs/>
              </w:rPr>
              <w:t>Mērķis, risinājums un projekta spēkā stāšanās laiks</w:t>
            </w:r>
          </w:p>
        </w:tc>
        <w:tc>
          <w:tcPr>
            <w:tcW w:w="3472" w:type="pct"/>
            <w:hideMark/>
          </w:tcPr>
          <w:p w14:paraId="466C4075" w14:textId="23E57A13" w:rsidR="001E7782" w:rsidRPr="008F25EC" w:rsidRDefault="00405302" w:rsidP="006671E7">
            <w:pPr>
              <w:jc w:val="both"/>
              <w:rPr>
                <w:iCs/>
              </w:rPr>
            </w:pPr>
            <w:r>
              <w:rPr>
                <w:color w:val="0D0D0D"/>
              </w:rPr>
              <w:t>Saskaņā ar Ministru kabineta 2009.gada 15.decembra instrukcijas Nr.19 “Tiesību akta projekta sākotnējās ietekmes izvērtēšanas kārtība” 5.</w:t>
            </w:r>
            <w:r>
              <w:rPr>
                <w:color w:val="0D0D0D"/>
                <w:vertAlign w:val="superscript"/>
              </w:rPr>
              <w:t>1</w:t>
            </w:r>
            <w:r>
              <w:rPr>
                <w:color w:val="0D0D0D"/>
              </w:rPr>
              <w:t> punktu šī sadaļa nav jāaizpilda.</w:t>
            </w:r>
          </w:p>
        </w:tc>
      </w:tr>
    </w:tbl>
    <w:p w14:paraId="586E3125" w14:textId="77777777" w:rsidR="00B32624" w:rsidRPr="00B32624" w:rsidRDefault="00B32624" w:rsidP="005D6B8A">
      <w:pPr>
        <w:jc w:val="center"/>
        <w:rPr>
          <w:b/>
          <w:sz w:val="16"/>
          <w:szCs w:val="16"/>
        </w:rPr>
      </w:pPr>
    </w:p>
    <w:tbl>
      <w:tblPr>
        <w:tblpPr w:leftFromText="180" w:rightFromText="180" w:vertAnchor="text" w:horzAnchor="margin" w:tblpXSpec="center" w:tblpY="14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93"/>
        <w:gridCol w:w="7088"/>
      </w:tblGrid>
      <w:tr w:rsidR="00E915CD" w:rsidRPr="00E915CD" w14:paraId="164BBA9C" w14:textId="77777777" w:rsidTr="00BF09E0">
        <w:tc>
          <w:tcPr>
            <w:tcW w:w="10211" w:type="dxa"/>
            <w:gridSpan w:val="3"/>
            <w:vAlign w:val="center"/>
          </w:tcPr>
          <w:bookmarkEnd w:id="2"/>
          <w:bookmarkEnd w:id="3"/>
          <w:bookmarkEnd w:id="4"/>
          <w:p w14:paraId="560198B2" w14:textId="77777777" w:rsidR="00585B7B" w:rsidRPr="00E915CD" w:rsidRDefault="00585B7B" w:rsidP="00194A0F">
            <w:pPr>
              <w:pStyle w:val="naisnod"/>
              <w:spacing w:before="0" w:after="0"/>
            </w:pPr>
            <w:r w:rsidRPr="00E915CD">
              <w:t>I. Tiesību akta projekta izstrādes nepieciešamība</w:t>
            </w:r>
          </w:p>
        </w:tc>
      </w:tr>
      <w:tr w:rsidR="00E915CD" w:rsidRPr="00E915CD" w14:paraId="1DC7DDB3" w14:textId="77777777" w:rsidTr="00BD4995">
        <w:trPr>
          <w:trHeight w:val="416"/>
        </w:trPr>
        <w:tc>
          <w:tcPr>
            <w:tcW w:w="430" w:type="dxa"/>
          </w:tcPr>
          <w:p w14:paraId="7242B342" w14:textId="77777777" w:rsidR="00585B7B" w:rsidRPr="00E915CD" w:rsidRDefault="00585B7B" w:rsidP="008430A7">
            <w:pPr>
              <w:pStyle w:val="naiskr"/>
              <w:spacing w:before="0" w:after="0"/>
              <w:jc w:val="center"/>
            </w:pPr>
            <w:r w:rsidRPr="00E915CD">
              <w:t>1.</w:t>
            </w:r>
          </w:p>
        </w:tc>
        <w:tc>
          <w:tcPr>
            <w:tcW w:w="2693" w:type="dxa"/>
          </w:tcPr>
          <w:p w14:paraId="03E3DAD9" w14:textId="77777777" w:rsidR="00585B7B" w:rsidRPr="00E915CD" w:rsidRDefault="00585B7B" w:rsidP="003E3E30">
            <w:pPr>
              <w:pStyle w:val="naiskr"/>
              <w:spacing w:before="0" w:after="0"/>
              <w:ind w:left="141" w:hanging="10"/>
              <w:jc w:val="both"/>
            </w:pPr>
            <w:r w:rsidRPr="00E915CD">
              <w:t>Pamatojums</w:t>
            </w:r>
          </w:p>
        </w:tc>
        <w:tc>
          <w:tcPr>
            <w:tcW w:w="7088" w:type="dxa"/>
          </w:tcPr>
          <w:p w14:paraId="574F71A6" w14:textId="405B88DA" w:rsidR="00190FBE" w:rsidRPr="00E915CD" w:rsidRDefault="00BD4995" w:rsidP="00BD4995">
            <w:pPr>
              <w:jc w:val="both"/>
            </w:pPr>
            <w:r>
              <w:rPr>
                <w:color w:val="0D0D0D"/>
              </w:rPr>
              <w:t>Iekšlietu ministrijas iniciatīva.</w:t>
            </w:r>
          </w:p>
        </w:tc>
      </w:tr>
      <w:tr w:rsidR="00E915CD" w:rsidRPr="00E915CD" w14:paraId="0279639F" w14:textId="77777777" w:rsidTr="00BF09E0">
        <w:trPr>
          <w:trHeight w:val="416"/>
        </w:trPr>
        <w:tc>
          <w:tcPr>
            <w:tcW w:w="430" w:type="dxa"/>
          </w:tcPr>
          <w:p w14:paraId="1790E130" w14:textId="3A0BB5C4" w:rsidR="00AA7EC0" w:rsidRPr="00E915CD" w:rsidRDefault="00585B7B" w:rsidP="008430A7">
            <w:pPr>
              <w:pStyle w:val="naiskr"/>
              <w:spacing w:before="0" w:after="0"/>
              <w:jc w:val="center"/>
            </w:pPr>
            <w:r w:rsidRPr="00E915CD">
              <w:t>2.</w:t>
            </w:r>
          </w:p>
          <w:p w14:paraId="30320A1C" w14:textId="77777777" w:rsidR="00AA7EC0" w:rsidRPr="00E915CD" w:rsidRDefault="00AA7EC0" w:rsidP="00AA7EC0"/>
          <w:p w14:paraId="37A12708" w14:textId="77777777" w:rsidR="00AA7EC0" w:rsidRPr="00E915CD" w:rsidRDefault="00AA7EC0" w:rsidP="00AA7EC0"/>
          <w:p w14:paraId="446CF6EC" w14:textId="77777777" w:rsidR="00AA7EC0" w:rsidRPr="00E915CD" w:rsidRDefault="00AA7EC0" w:rsidP="00AA7EC0"/>
          <w:p w14:paraId="590D394C" w14:textId="77777777" w:rsidR="00AA7EC0" w:rsidRPr="00E915CD" w:rsidRDefault="00AA7EC0" w:rsidP="00AA7EC0"/>
          <w:p w14:paraId="436AE0B0" w14:textId="77777777" w:rsidR="00AA7EC0" w:rsidRPr="00E915CD" w:rsidRDefault="00AA7EC0" w:rsidP="00AA7EC0"/>
          <w:p w14:paraId="41A8B346" w14:textId="77777777" w:rsidR="00AA7EC0" w:rsidRPr="00E915CD" w:rsidRDefault="00AA7EC0" w:rsidP="00AA7EC0"/>
          <w:p w14:paraId="119E3D27" w14:textId="77777777" w:rsidR="00AA7EC0" w:rsidRPr="00E915CD" w:rsidRDefault="00AA7EC0" w:rsidP="00AA7EC0"/>
          <w:p w14:paraId="5EFE5644" w14:textId="77777777" w:rsidR="00AA7EC0" w:rsidRPr="00E915CD" w:rsidRDefault="00AA7EC0" w:rsidP="00AA7EC0"/>
          <w:p w14:paraId="62CFD24E" w14:textId="77777777" w:rsidR="00AA7EC0" w:rsidRPr="00E915CD" w:rsidRDefault="00AA7EC0" w:rsidP="00AA7EC0"/>
          <w:p w14:paraId="4B2237D3" w14:textId="77777777" w:rsidR="00AA7EC0" w:rsidRPr="00E915CD" w:rsidRDefault="00AA7EC0" w:rsidP="00AA7EC0"/>
          <w:p w14:paraId="60D6D4AE" w14:textId="77777777" w:rsidR="00AA7EC0" w:rsidRPr="00E915CD" w:rsidRDefault="00AA7EC0" w:rsidP="00AA7EC0"/>
          <w:p w14:paraId="12292803" w14:textId="77777777" w:rsidR="00AA7EC0" w:rsidRPr="00E915CD" w:rsidRDefault="00AA7EC0" w:rsidP="00AA7EC0"/>
          <w:p w14:paraId="62EC59BD" w14:textId="77777777" w:rsidR="00AA7EC0" w:rsidRPr="00E915CD" w:rsidRDefault="00AA7EC0" w:rsidP="00AA7EC0"/>
          <w:p w14:paraId="275F4C1A" w14:textId="77777777" w:rsidR="00AA7EC0" w:rsidRPr="00E915CD" w:rsidRDefault="00AA7EC0" w:rsidP="00AA7EC0"/>
          <w:p w14:paraId="645C1DDD" w14:textId="77777777" w:rsidR="00AA7EC0" w:rsidRPr="00E915CD" w:rsidRDefault="00AA7EC0" w:rsidP="00AA7EC0"/>
          <w:p w14:paraId="41475828" w14:textId="77777777" w:rsidR="00AA7EC0" w:rsidRPr="00E915CD" w:rsidRDefault="00AA7EC0" w:rsidP="00AA7EC0"/>
          <w:p w14:paraId="4FDD76C1" w14:textId="77777777" w:rsidR="00AA7EC0" w:rsidRPr="00E915CD" w:rsidRDefault="00AA7EC0" w:rsidP="00AA7EC0"/>
          <w:p w14:paraId="6DE5FEED" w14:textId="77777777" w:rsidR="00AA7EC0" w:rsidRPr="00E915CD" w:rsidRDefault="00AA7EC0" w:rsidP="00AA7EC0"/>
          <w:p w14:paraId="47DDB88C" w14:textId="77777777" w:rsidR="00AA7EC0" w:rsidRPr="00E915CD" w:rsidRDefault="00AA7EC0" w:rsidP="00AA7EC0"/>
          <w:p w14:paraId="611C491B" w14:textId="77777777" w:rsidR="00AA7EC0" w:rsidRPr="00E915CD" w:rsidRDefault="00AA7EC0" w:rsidP="00AA7EC0"/>
          <w:p w14:paraId="0A3615EC" w14:textId="77777777" w:rsidR="00AA7EC0" w:rsidRPr="00E915CD" w:rsidRDefault="00AA7EC0" w:rsidP="00AA7EC0"/>
          <w:p w14:paraId="38BB4DCD" w14:textId="77777777" w:rsidR="00AA7EC0" w:rsidRPr="00E915CD" w:rsidRDefault="00AA7EC0" w:rsidP="00AA7EC0"/>
          <w:p w14:paraId="378FAD17" w14:textId="77777777" w:rsidR="00AA7EC0" w:rsidRPr="00E915CD" w:rsidRDefault="00AA7EC0" w:rsidP="00AA7EC0"/>
          <w:p w14:paraId="1DA8052E" w14:textId="77777777" w:rsidR="00AA7EC0" w:rsidRPr="00E915CD" w:rsidRDefault="00AA7EC0" w:rsidP="00AA7EC0"/>
          <w:p w14:paraId="6A5EFC99" w14:textId="77777777" w:rsidR="00AA7EC0" w:rsidRPr="00E915CD" w:rsidRDefault="00AA7EC0" w:rsidP="00AA7EC0"/>
          <w:p w14:paraId="71BBAB95" w14:textId="77777777" w:rsidR="00AA7EC0" w:rsidRPr="00E915CD" w:rsidRDefault="00AA7EC0" w:rsidP="00AA7EC0"/>
          <w:p w14:paraId="20E8D91E" w14:textId="77777777" w:rsidR="00AA7EC0" w:rsidRPr="00E915CD" w:rsidRDefault="00AA7EC0" w:rsidP="00AA7EC0"/>
          <w:p w14:paraId="26D8BC80" w14:textId="77777777" w:rsidR="00AA7EC0" w:rsidRPr="00E915CD" w:rsidRDefault="00AA7EC0" w:rsidP="00AA7EC0"/>
          <w:p w14:paraId="7D2F476C" w14:textId="77777777" w:rsidR="00AA7EC0" w:rsidRPr="00E915CD" w:rsidRDefault="00AA7EC0" w:rsidP="00AA7EC0"/>
          <w:p w14:paraId="72D41CAC" w14:textId="77777777" w:rsidR="00AA7EC0" w:rsidRPr="00E915CD" w:rsidRDefault="00AA7EC0" w:rsidP="00AA7EC0"/>
          <w:p w14:paraId="5D924A5F" w14:textId="77777777" w:rsidR="00AA7EC0" w:rsidRPr="00E915CD" w:rsidRDefault="00AA7EC0" w:rsidP="00AA7EC0"/>
          <w:p w14:paraId="2A84E5E8" w14:textId="77777777" w:rsidR="00AA7EC0" w:rsidRPr="00E915CD" w:rsidRDefault="00AA7EC0" w:rsidP="00AA7EC0"/>
          <w:p w14:paraId="6E490547" w14:textId="4774D018" w:rsidR="00AA7EC0" w:rsidRPr="00E915CD" w:rsidRDefault="00AA7EC0" w:rsidP="00AA7EC0"/>
          <w:p w14:paraId="67600840" w14:textId="6A296FCA" w:rsidR="00AA7EC0" w:rsidRPr="00E915CD" w:rsidRDefault="00AA7EC0" w:rsidP="00AA7EC0"/>
          <w:p w14:paraId="52B291D7" w14:textId="77777777" w:rsidR="00585B7B" w:rsidRPr="00E915CD" w:rsidRDefault="00585B7B" w:rsidP="00AA7EC0"/>
        </w:tc>
        <w:tc>
          <w:tcPr>
            <w:tcW w:w="2693" w:type="dxa"/>
          </w:tcPr>
          <w:p w14:paraId="2C1BBB04" w14:textId="77777777" w:rsidR="00B11DE0" w:rsidRPr="00E915CD" w:rsidRDefault="00E42247" w:rsidP="00190FBE">
            <w:pPr>
              <w:pStyle w:val="naiskr"/>
              <w:tabs>
                <w:tab w:val="left" w:pos="170"/>
              </w:tabs>
              <w:spacing w:before="0" w:after="0"/>
              <w:ind w:left="141"/>
            </w:pPr>
            <w:r w:rsidRPr="00E915CD">
              <w:t>Pašreizējā situācija un problēmas, kuru risināšanai tiesību akta projekts izstrādāts, tiesiskā regulējuma mērķis un būtība</w:t>
            </w:r>
          </w:p>
          <w:p w14:paraId="3EE2545B" w14:textId="77777777" w:rsidR="00B11DE0" w:rsidRPr="00E915CD" w:rsidRDefault="00B11DE0" w:rsidP="00B11DE0"/>
          <w:p w14:paraId="0BCB00FA" w14:textId="77777777" w:rsidR="00B11DE0" w:rsidRPr="00E915CD" w:rsidRDefault="00B11DE0" w:rsidP="00B11DE0"/>
          <w:p w14:paraId="05F1291A" w14:textId="77777777" w:rsidR="00B11DE0" w:rsidRPr="00E915CD" w:rsidRDefault="00B11DE0" w:rsidP="00B11DE0"/>
          <w:p w14:paraId="0FC2795B" w14:textId="77777777" w:rsidR="00B11DE0" w:rsidRPr="00E915CD" w:rsidRDefault="00B11DE0" w:rsidP="00B11DE0"/>
          <w:p w14:paraId="32B6404C" w14:textId="77777777" w:rsidR="00B11DE0" w:rsidRPr="00E915CD" w:rsidRDefault="00B11DE0" w:rsidP="00B11DE0"/>
          <w:p w14:paraId="14CD6BD8" w14:textId="77777777" w:rsidR="00B11DE0" w:rsidRPr="00E915CD" w:rsidRDefault="00B11DE0" w:rsidP="00B11DE0"/>
          <w:p w14:paraId="27AEF4D8" w14:textId="77777777" w:rsidR="00B11DE0" w:rsidRPr="00E915CD" w:rsidRDefault="00B11DE0" w:rsidP="00B11DE0"/>
          <w:p w14:paraId="7DF3BEDC" w14:textId="77777777" w:rsidR="00B11DE0" w:rsidRPr="00E915CD" w:rsidRDefault="00B11DE0" w:rsidP="00B11DE0"/>
          <w:p w14:paraId="0AEDE733" w14:textId="77777777" w:rsidR="00B11DE0" w:rsidRPr="00E915CD" w:rsidRDefault="00B11DE0" w:rsidP="00B11DE0"/>
          <w:p w14:paraId="63CB4AF2" w14:textId="77777777" w:rsidR="00B11DE0" w:rsidRPr="00E915CD" w:rsidRDefault="00B11DE0" w:rsidP="00B11DE0"/>
          <w:p w14:paraId="09070155" w14:textId="77777777" w:rsidR="00B11DE0" w:rsidRPr="00E915CD" w:rsidRDefault="00B11DE0" w:rsidP="00B11DE0"/>
          <w:p w14:paraId="6CCABE11" w14:textId="77777777" w:rsidR="00B11DE0" w:rsidRPr="00E915CD" w:rsidRDefault="00B11DE0" w:rsidP="00B11DE0"/>
          <w:p w14:paraId="38EA881D" w14:textId="77777777" w:rsidR="00B11DE0" w:rsidRPr="00E915CD" w:rsidRDefault="00B11DE0" w:rsidP="00B11DE0"/>
          <w:p w14:paraId="187496C8" w14:textId="77777777" w:rsidR="00B11DE0" w:rsidRPr="00E915CD" w:rsidRDefault="00B11DE0" w:rsidP="00B11DE0"/>
          <w:p w14:paraId="4BC92CC1" w14:textId="77777777" w:rsidR="00B11DE0" w:rsidRPr="00E915CD" w:rsidRDefault="00B11DE0" w:rsidP="00B11DE0"/>
          <w:p w14:paraId="7FC6C77E" w14:textId="77777777" w:rsidR="00B11DE0" w:rsidRPr="00E915CD" w:rsidRDefault="00B11DE0" w:rsidP="00B11DE0"/>
          <w:p w14:paraId="07E035BF" w14:textId="77777777" w:rsidR="00B11DE0" w:rsidRPr="00E915CD" w:rsidRDefault="00B11DE0" w:rsidP="00B11DE0"/>
          <w:p w14:paraId="3F7A955D" w14:textId="77777777" w:rsidR="00B11DE0" w:rsidRPr="00E915CD" w:rsidRDefault="00B11DE0" w:rsidP="00B11DE0"/>
          <w:p w14:paraId="5CC0D45E" w14:textId="77777777" w:rsidR="00B11DE0" w:rsidRPr="00E915CD" w:rsidRDefault="00B11DE0" w:rsidP="00B11DE0"/>
          <w:p w14:paraId="6CA01434" w14:textId="77777777" w:rsidR="00B11DE0" w:rsidRPr="00E915CD" w:rsidRDefault="00B11DE0" w:rsidP="00B11DE0"/>
          <w:p w14:paraId="54340AF9" w14:textId="77777777" w:rsidR="00B11DE0" w:rsidRPr="00E915CD" w:rsidRDefault="00B11DE0" w:rsidP="00B11DE0"/>
          <w:p w14:paraId="6B95C480" w14:textId="77777777" w:rsidR="00B11DE0" w:rsidRPr="00E915CD" w:rsidRDefault="00B11DE0" w:rsidP="00B11DE0"/>
          <w:p w14:paraId="6BA05EBB" w14:textId="77777777" w:rsidR="00585B7B" w:rsidRPr="00E915CD" w:rsidRDefault="00585B7B" w:rsidP="00B11DE0">
            <w:pPr>
              <w:jc w:val="center"/>
            </w:pPr>
          </w:p>
        </w:tc>
        <w:tc>
          <w:tcPr>
            <w:tcW w:w="7088" w:type="dxa"/>
          </w:tcPr>
          <w:p w14:paraId="4E2632D8" w14:textId="1C567BC7" w:rsidR="00C47CB9" w:rsidRDefault="00942AB2" w:rsidP="003D14A5">
            <w:pPr>
              <w:jc w:val="both"/>
            </w:pPr>
            <w:r w:rsidRPr="00D42E3E">
              <w:t>Ministru kabineta noteikumu projekts “Grozījum</w:t>
            </w:r>
            <w:r w:rsidR="0044462E">
              <w:t>s</w:t>
            </w:r>
            <w:r w:rsidRPr="00D42E3E">
              <w:t xml:space="preserve"> Ministru kabineta 2011.gada 1.februāra noteikumos Nr.109 “Kārtība, kādā atsavināma publiska</w:t>
            </w:r>
            <w:r w:rsidR="00E17459" w:rsidRPr="00D42E3E">
              <w:t>s personas manta”” (turpmāk – Noteikumu projekts) ir izstrādāts</w:t>
            </w:r>
            <w:r w:rsidR="00C47CB9">
              <w:t xml:space="preserve"> ar mērķi paplašināt to gadījumu skaitu, kad iestāde var ierosināt valsts kustamās mantas atsavināšanu</w:t>
            </w:r>
            <w:r w:rsidR="000613E9" w:rsidRPr="00D42E3E">
              <w:t>, nenoskaidrojot valsts iestāžu un atvasinātu publisku personu vai to iestāžu vajadzības pēc ministrijas, tās padotībā esošas iestādes vai kapitālsabiedrības valdījumā vai turējumā esošās nevajadzīgās valsts kustamās mantas</w:t>
            </w:r>
            <w:r w:rsidR="00C47CB9">
              <w:t>. Iekšlietu ministrijas skatījumā tas būtu attiecināms arī uz gadījumiem, kad atsavina valsts kustamo mantu, kas tās veselības stāvokļa, fizisko vai psihisko īpašību dēļ ir atzīta par nederīgu iestādes funkciju izpildē. Ja valsts dzīvā kustamā manta atzīta par nederīgu vienā iestādē, tā nebūs derīga darbam arī citās iestādēs, jo dzīvniekiem jāatbilst noteiktām prasībām. Ņemot vērā minēto, kā arī, lai samazinātu ar šādas mantas uzturēšanu saistītās izmaksas, Iekšlietu ministrija rosina atļaut šādos gadījumos iestādei veikt attiecīgas mantas atsavināšanu, nenoskaidrojot citu iestāžu vajadzības.</w:t>
            </w:r>
          </w:p>
          <w:p w14:paraId="52BAECFB" w14:textId="20B70086" w:rsidR="00942FC7" w:rsidRDefault="00942FC7" w:rsidP="00EE558B">
            <w:pPr>
              <w:shd w:val="clear" w:color="auto" w:fill="FFFFFF"/>
              <w:spacing w:after="60"/>
              <w:jc w:val="both"/>
              <w:rPr>
                <w:rFonts w:eastAsia="Times New Roman"/>
              </w:rPr>
            </w:pPr>
            <w:r>
              <w:rPr>
                <w:rFonts w:eastAsia="Times New Roman"/>
              </w:rPr>
              <w:t xml:space="preserve">Ņemot vērā šobrīd spēkā esošo tiesisko regulējumu Valsts robežsardzes uzskaitē </w:t>
            </w:r>
            <w:r w:rsidR="00D45AF3">
              <w:rPr>
                <w:rFonts w:eastAsia="Times New Roman"/>
              </w:rPr>
              <w:t xml:space="preserve">esošās valsts dzīvās kustamās mantas (dienestam </w:t>
            </w:r>
            <w:r>
              <w:rPr>
                <w:rFonts w:eastAsia="Times New Roman"/>
              </w:rPr>
              <w:t xml:space="preserve">nederīgiem </w:t>
            </w:r>
            <w:r w:rsidR="00D45AF3">
              <w:rPr>
                <w:rFonts w:eastAsia="Times New Roman"/>
              </w:rPr>
              <w:t>suņiem</w:t>
            </w:r>
            <w:r w:rsidR="007867AA">
              <w:rPr>
                <w:rFonts w:eastAsia="Times New Roman"/>
              </w:rPr>
              <w:t>, kurus par nederīgiem atzina ar Valsts robežsardzes pavēli noteikta komisija</w:t>
            </w:r>
            <w:r w:rsidR="00D45AF3">
              <w:rPr>
                <w:rFonts w:eastAsia="Times New Roman"/>
              </w:rPr>
              <w:t>)</w:t>
            </w:r>
            <w:r>
              <w:rPr>
                <w:rFonts w:eastAsia="Times New Roman"/>
              </w:rPr>
              <w:t xml:space="preserve"> atsavināšanas procedūra ilgst vairākus mēnešus, kuru laikā dienesta</w:t>
            </w:r>
            <w:r w:rsidR="00D45AF3">
              <w:rPr>
                <w:rFonts w:eastAsia="Times New Roman"/>
              </w:rPr>
              <w:t xml:space="preserve">m nederīgie </w:t>
            </w:r>
            <w:r>
              <w:rPr>
                <w:rFonts w:eastAsia="Times New Roman"/>
              </w:rPr>
              <w:t xml:space="preserve">suņi ir jābaro, jāuztur atbilstoši aprīkotās telpās, tiem jānodrošina atbilstoša aprūpe (tajā skaitā veterinārā) un pastaigas, kā arī socializācijas pasākumi. </w:t>
            </w:r>
            <w:r w:rsidR="007867AA">
              <w:rPr>
                <w:rFonts w:eastAsia="Times New Roman"/>
              </w:rPr>
              <w:t xml:space="preserve">Viena šāda suņa uzturēšana dienā vidēji izmaksā no 1,85 </w:t>
            </w:r>
            <w:r w:rsidR="007867AA" w:rsidRPr="00A223C7">
              <w:rPr>
                <w:rFonts w:eastAsia="Times New Roman"/>
                <w:i/>
              </w:rPr>
              <w:t>euro</w:t>
            </w:r>
            <w:r w:rsidR="007867AA">
              <w:rPr>
                <w:rFonts w:eastAsia="Times New Roman"/>
              </w:rPr>
              <w:t xml:space="preserve"> līdz 2,28 </w:t>
            </w:r>
            <w:r w:rsidR="007867AA" w:rsidRPr="00A223C7">
              <w:rPr>
                <w:rFonts w:eastAsia="Times New Roman"/>
                <w:i/>
              </w:rPr>
              <w:t>euro</w:t>
            </w:r>
            <w:r w:rsidR="007867AA">
              <w:rPr>
                <w:rFonts w:eastAsia="Times New Roman"/>
              </w:rPr>
              <w:t xml:space="preserve"> (atkarībā no suņa vecuma) par suņu barību, kā arī nereti šādiem suņiem, it īpaši veciem, vajadzīga arī veterinārā aprūpe</w:t>
            </w:r>
            <w:r w:rsidR="00292386">
              <w:rPr>
                <w:rFonts w:eastAsia="Times New Roman"/>
              </w:rPr>
              <w:t>, ko jāapmaksā atsevišķi</w:t>
            </w:r>
            <w:r w:rsidR="007867AA">
              <w:rPr>
                <w:rFonts w:eastAsia="Times New Roman"/>
              </w:rPr>
              <w:t xml:space="preserve">. Pēdējo divu gadu laikā Valsts robežsardze kopumā atsavināja 43 </w:t>
            </w:r>
            <w:r w:rsidR="005A425A">
              <w:rPr>
                <w:rFonts w:eastAsia="Times New Roman"/>
              </w:rPr>
              <w:t xml:space="preserve">(četrdesmit trīs) </w:t>
            </w:r>
            <w:r w:rsidR="00292386">
              <w:rPr>
                <w:rFonts w:eastAsia="Times New Roman"/>
              </w:rPr>
              <w:t xml:space="preserve">dienestam nederīgus </w:t>
            </w:r>
            <w:r w:rsidR="007867AA">
              <w:rPr>
                <w:rFonts w:eastAsia="Times New Roman"/>
              </w:rPr>
              <w:t>suņus. Citas valsts iestādes, kurām  suņi tika piedāvāti, neizrādīja interesi ne par vienu no šiem suņiem.</w:t>
            </w:r>
          </w:p>
          <w:p w14:paraId="2C0DDA65" w14:textId="61403902" w:rsidR="00F82E1F" w:rsidRPr="00D42E3E" w:rsidRDefault="00942FC7" w:rsidP="00EE558B">
            <w:pPr>
              <w:shd w:val="clear" w:color="auto" w:fill="FFFFFF"/>
              <w:spacing w:after="60"/>
              <w:jc w:val="both"/>
            </w:pPr>
            <w:r>
              <w:rPr>
                <w:rFonts w:eastAsia="Times New Roman"/>
              </w:rPr>
              <w:t>I</w:t>
            </w:r>
            <w:r w:rsidR="008E27A3" w:rsidRPr="00D42E3E">
              <w:rPr>
                <w:shd w:val="clear" w:color="auto" w:fill="FFFFFF"/>
              </w:rPr>
              <w:t xml:space="preserve">evērojot </w:t>
            </w:r>
            <w:r w:rsidR="00C47CB9">
              <w:t>Publiskas personas mantas atsavināšanas likuma </w:t>
            </w:r>
            <w:r w:rsidR="003D14A5" w:rsidRPr="00D42E3E">
              <w:t xml:space="preserve">4.panta </w:t>
            </w:r>
            <w:r w:rsidR="00224972" w:rsidRPr="00D42E3E">
              <w:t>pirm</w:t>
            </w:r>
            <w:r w:rsidR="008E27A3" w:rsidRPr="00D42E3E">
              <w:t>ajā</w:t>
            </w:r>
            <w:r w:rsidR="00942AB2" w:rsidRPr="00D42E3E">
              <w:t xml:space="preserve"> </w:t>
            </w:r>
            <w:proofErr w:type="spellStart"/>
            <w:r w:rsidR="00942AB2" w:rsidRPr="00D42E3E">
              <w:t>prim</w:t>
            </w:r>
            <w:proofErr w:type="spellEnd"/>
            <w:r w:rsidR="00AA25C8" w:rsidRPr="00D42E3E">
              <w:t xml:space="preserve"> daļ</w:t>
            </w:r>
            <w:r w:rsidR="008E27A3" w:rsidRPr="00D42E3E">
              <w:t>ā minēto</w:t>
            </w:r>
            <w:r w:rsidR="00EE558B" w:rsidRPr="00D42E3E">
              <w:t xml:space="preserve">, </w:t>
            </w:r>
            <w:r w:rsidR="008E27A3" w:rsidRPr="00D42E3E">
              <w:t>kas paredz</w:t>
            </w:r>
            <w:r w:rsidR="003D14A5" w:rsidRPr="00D42E3E">
              <w:t xml:space="preserve"> publiskas personas kustamās mantas atsavināšanu noteiktos gadījumos</w:t>
            </w:r>
            <w:r w:rsidR="0044462E">
              <w:t>,</w:t>
            </w:r>
            <w:r w:rsidR="003D14A5" w:rsidRPr="00D42E3E">
              <w:t xml:space="preserve"> nenoskaidrojot </w:t>
            </w:r>
            <w:r w:rsidR="00D45AF3">
              <w:t>citu</w:t>
            </w:r>
            <w:r w:rsidR="003D14A5" w:rsidRPr="00D42E3E">
              <w:t xml:space="preserve"> iestāžu vajadzību pēc </w:t>
            </w:r>
            <w:r w:rsidR="00D45AF3">
              <w:rPr>
                <w:rFonts w:eastAsia="Times New Roman"/>
              </w:rPr>
              <w:t xml:space="preserve">Valsts robežsardzes uzskaitē esošās nevajadzīgās valsts dzīvās kustamās mantas </w:t>
            </w:r>
            <w:r w:rsidR="00D45AF3" w:rsidRPr="00D42E3E">
              <w:t>(dienestam nederīg</w:t>
            </w:r>
            <w:r w:rsidR="00D45AF3">
              <w:t>ajiem</w:t>
            </w:r>
            <w:r w:rsidR="00D45AF3" w:rsidRPr="00D42E3E">
              <w:t xml:space="preserve"> suņ</w:t>
            </w:r>
            <w:r w:rsidR="00D45AF3">
              <w:t>iem</w:t>
            </w:r>
            <w:r w:rsidR="00D45AF3" w:rsidRPr="00D42E3E">
              <w:t>)</w:t>
            </w:r>
            <w:r w:rsidR="008E27A3" w:rsidRPr="00D42E3E">
              <w:t>, nepieciešams</w:t>
            </w:r>
            <w:r w:rsidR="00F82E1F" w:rsidRPr="00D42E3E">
              <w:rPr>
                <w:rFonts w:eastAsia="Times New Roman"/>
              </w:rPr>
              <w:t xml:space="preserve"> </w:t>
            </w:r>
            <w:r w:rsidR="0002199B" w:rsidRPr="00D42E3E">
              <w:t xml:space="preserve"> </w:t>
            </w:r>
            <w:r w:rsidR="0002199B">
              <w:t xml:space="preserve">papildināt </w:t>
            </w:r>
            <w:r w:rsidR="0002199B" w:rsidRPr="00D42E3E">
              <w:t>Ministru kabineta 2011.gada 1.februāra noteikum</w:t>
            </w:r>
            <w:r w:rsidR="0002199B">
              <w:t>u</w:t>
            </w:r>
            <w:r w:rsidR="0002199B" w:rsidRPr="00D42E3E">
              <w:t>s Nr.109 “Kārtība, kādā atsavināma publiskas personas manta”</w:t>
            </w:r>
            <w:r w:rsidR="0002199B">
              <w:t xml:space="preserve"> </w:t>
            </w:r>
            <w:r w:rsidR="0002199B">
              <w:rPr>
                <w:rFonts w:eastAsia="Times New Roman"/>
              </w:rPr>
              <w:t xml:space="preserve">ar </w:t>
            </w:r>
            <w:r w:rsidR="00F82E1F" w:rsidRPr="00D42E3E">
              <w:rPr>
                <w:rFonts w:eastAsia="Times New Roman"/>
              </w:rPr>
              <w:t xml:space="preserve">gadījumiem, kad publiskas personas kustamas mantas atsavināšanu var ierosināt, arī nenoskaidrojot publiskas personas vai tās iestāžu vajadzību pēc citai </w:t>
            </w:r>
            <w:r w:rsidR="00F82E1F" w:rsidRPr="00D42E3E">
              <w:rPr>
                <w:rFonts w:eastAsia="Times New Roman"/>
              </w:rPr>
              <w:lastRenderedPageBreak/>
              <w:t>publiskai personai vai tās iestādēm nevajadzīgās</w:t>
            </w:r>
            <w:r w:rsidR="008E27A3" w:rsidRPr="00D42E3E">
              <w:rPr>
                <w:rFonts w:eastAsia="Times New Roman"/>
              </w:rPr>
              <w:t xml:space="preserve"> valsts dzīvās </w:t>
            </w:r>
            <w:r w:rsidR="00F82E1F" w:rsidRPr="00D42E3E">
              <w:rPr>
                <w:rFonts w:eastAsia="Times New Roman"/>
              </w:rPr>
              <w:t>kustamās mantas</w:t>
            </w:r>
            <w:r w:rsidR="0002199B">
              <w:rPr>
                <w:rFonts w:eastAsia="Times New Roman"/>
              </w:rPr>
              <w:t xml:space="preserve">, </w:t>
            </w:r>
            <w:r w:rsidR="0002199B">
              <w:t xml:space="preserve"> kas tās veselības stāvokļa, fizisko vai psihisko īpašību dēļ ir atzīta par nederīgu iestādes funkciju izpildē.</w:t>
            </w:r>
            <w:r w:rsidR="00F82E1F" w:rsidRPr="00D42E3E">
              <w:rPr>
                <w:rFonts w:eastAsia="Times New Roman"/>
              </w:rPr>
              <w:t xml:space="preserve"> </w:t>
            </w:r>
          </w:p>
          <w:p w14:paraId="18189784" w14:textId="1EA60B0B" w:rsidR="00B32624" w:rsidRPr="00D42E3E" w:rsidRDefault="00D34B5C" w:rsidP="00BF09E0">
            <w:pPr>
              <w:shd w:val="clear" w:color="auto" w:fill="FFFFFF"/>
              <w:spacing w:after="60"/>
              <w:jc w:val="both"/>
            </w:pPr>
            <w:r w:rsidRPr="00D42E3E">
              <w:t>Ņemot</w:t>
            </w:r>
            <w:r w:rsidR="00DA0516" w:rsidRPr="00D42E3E">
              <w:t xml:space="preserve"> vērā iepriekš minē</w:t>
            </w:r>
            <w:r w:rsidR="00527AF7" w:rsidRPr="00D42E3E">
              <w:t xml:space="preserve">to, </w:t>
            </w:r>
            <w:r w:rsidR="00BB2ABD" w:rsidRPr="00D8625C">
              <w:t>Noteikum</w:t>
            </w:r>
            <w:r w:rsidR="008E27A3" w:rsidRPr="00D8625C">
              <w:t xml:space="preserve">i </w:t>
            </w:r>
            <w:r w:rsidR="001E2677" w:rsidRPr="00D42E3E">
              <w:t xml:space="preserve">papildināti </w:t>
            </w:r>
            <w:r w:rsidR="00C322F6" w:rsidRPr="00D42E3E">
              <w:t>ar 18.</w:t>
            </w:r>
            <w:r w:rsidR="008E27A3" w:rsidRPr="00D42E3E">
              <w:t>6</w:t>
            </w:r>
            <w:r w:rsidR="00C322F6" w:rsidRPr="00D42E3E">
              <w:t>.apakšpunktu</w:t>
            </w:r>
            <w:r w:rsidRPr="00D42E3E">
              <w:t xml:space="preserve">, nosakot, ka </w:t>
            </w:r>
            <w:r w:rsidR="00D42E3E" w:rsidRPr="00D42E3E">
              <w:rPr>
                <w:bCs/>
              </w:rPr>
              <w:t xml:space="preserve">valsts dzīvās kustamās mantas atsavināšanu var veikt nenoskaidrojot citu  </w:t>
            </w:r>
            <w:r w:rsidR="00D42E3E" w:rsidRPr="00D42E3E">
              <w:t>valsts iestāžu un atvasinātu publisku personu vai to iestāžu vajadzību pēc ministrijas, tās padotībā esošas iestādes vai kapitālsabiedrības valdījumā vai turējumā esošās nevajadzīgās valsts kustamās mantas</w:t>
            </w:r>
            <w:r w:rsidR="00D42E3E" w:rsidRPr="00D42E3E">
              <w:rPr>
                <w:bCs/>
              </w:rPr>
              <w:t xml:space="preserve">, </w:t>
            </w:r>
            <w:r w:rsidR="00BF09E0" w:rsidRPr="007D47C0">
              <w:rPr>
                <w:bCs/>
              </w:rPr>
              <w:t xml:space="preserve"> kas tās veselības stāvokļa, fizisko vai psihisko īpašību dēļ</w:t>
            </w:r>
            <w:r w:rsidR="00BF09E0" w:rsidRPr="001F61F5">
              <w:rPr>
                <w:bCs/>
                <w:szCs w:val="28"/>
              </w:rPr>
              <w:t xml:space="preserve"> </w:t>
            </w:r>
            <w:r w:rsidR="001F61F5" w:rsidRPr="001F61F5">
              <w:rPr>
                <w:bCs/>
                <w:szCs w:val="28"/>
              </w:rPr>
              <w:t>ir atzīta par nederīgu attiecīgās iestādes uzdevumu veikšanai</w:t>
            </w:r>
            <w:r w:rsidR="00D42E3E" w:rsidRPr="00D42E3E">
              <w:rPr>
                <w:bCs/>
              </w:rPr>
              <w:t>.</w:t>
            </w:r>
            <w:r w:rsidR="00942FC7">
              <w:rPr>
                <w:bCs/>
              </w:rPr>
              <w:t xml:space="preserve"> </w:t>
            </w:r>
            <w:r w:rsidR="00D45AF3">
              <w:rPr>
                <w:bCs/>
              </w:rPr>
              <w:t>Dienestam nederīgo suņu a</w:t>
            </w:r>
            <w:r w:rsidR="00942FC7">
              <w:rPr>
                <w:bCs/>
              </w:rPr>
              <w:t>tsavināšanas procedūras ilgums tādā gadījumā varētu samazināties līdz vienam mēnesim.</w:t>
            </w:r>
          </w:p>
        </w:tc>
      </w:tr>
      <w:tr w:rsidR="00E915CD" w:rsidRPr="00E915CD" w14:paraId="5DF04DBB" w14:textId="77777777" w:rsidTr="00BF09E0">
        <w:trPr>
          <w:trHeight w:val="538"/>
        </w:trPr>
        <w:tc>
          <w:tcPr>
            <w:tcW w:w="430" w:type="dxa"/>
          </w:tcPr>
          <w:p w14:paraId="05EF74E0" w14:textId="2A796C6D" w:rsidR="00585B7B" w:rsidRPr="00E915CD" w:rsidRDefault="008120F5" w:rsidP="008430A7">
            <w:pPr>
              <w:pStyle w:val="naiskr"/>
              <w:spacing w:before="0" w:after="0"/>
              <w:jc w:val="center"/>
            </w:pPr>
            <w:r w:rsidRPr="00E915CD">
              <w:lastRenderedPageBreak/>
              <w:t>3</w:t>
            </w:r>
            <w:r w:rsidR="00585B7B" w:rsidRPr="00E915CD">
              <w:t>.</w:t>
            </w:r>
          </w:p>
        </w:tc>
        <w:tc>
          <w:tcPr>
            <w:tcW w:w="2693" w:type="dxa"/>
          </w:tcPr>
          <w:p w14:paraId="4E636C00" w14:textId="77777777" w:rsidR="00585B7B" w:rsidRPr="00E915CD" w:rsidRDefault="00585B7B" w:rsidP="00EF5C77">
            <w:pPr>
              <w:pStyle w:val="naiskr"/>
              <w:spacing w:before="0" w:after="0"/>
              <w:ind w:left="131"/>
            </w:pPr>
            <w:r w:rsidRPr="00E915CD">
              <w:t>Projekta izstrādē iesaistītās institūcijas</w:t>
            </w:r>
          </w:p>
        </w:tc>
        <w:tc>
          <w:tcPr>
            <w:tcW w:w="7088" w:type="dxa"/>
          </w:tcPr>
          <w:p w14:paraId="5733166E" w14:textId="351DCDA8" w:rsidR="00585B7B" w:rsidRPr="00E915CD" w:rsidRDefault="00D42E3E" w:rsidP="00166070">
            <w:pPr>
              <w:spacing w:before="75" w:after="75"/>
              <w:ind w:left="82" w:right="141"/>
              <w:jc w:val="both"/>
            </w:pPr>
            <w:r>
              <w:t>Valsts ro</w:t>
            </w:r>
            <w:r w:rsidR="00166070">
              <w:t>bežsardze, Iekšlietu ministrija</w:t>
            </w:r>
            <w:r>
              <w:t>.</w:t>
            </w:r>
          </w:p>
        </w:tc>
      </w:tr>
      <w:tr w:rsidR="00E915CD" w:rsidRPr="00E915CD" w14:paraId="027C0F2D" w14:textId="77777777" w:rsidTr="00BF09E0">
        <w:tc>
          <w:tcPr>
            <w:tcW w:w="430" w:type="dxa"/>
          </w:tcPr>
          <w:p w14:paraId="66E2DB9E" w14:textId="011A346C" w:rsidR="00585B7B" w:rsidRPr="00E915CD" w:rsidRDefault="008120F5" w:rsidP="008430A7">
            <w:pPr>
              <w:pStyle w:val="naiskr"/>
              <w:spacing w:before="0" w:after="0"/>
              <w:jc w:val="center"/>
            </w:pPr>
            <w:r w:rsidRPr="00E915CD">
              <w:t>4</w:t>
            </w:r>
            <w:r w:rsidR="00585B7B" w:rsidRPr="00E915CD">
              <w:t>.</w:t>
            </w:r>
          </w:p>
        </w:tc>
        <w:tc>
          <w:tcPr>
            <w:tcW w:w="2693" w:type="dxa"/>
          </w:tcPr>
          <w:p w14:paraId="281030B0" w14:textId="77777777" w:rsidR="00585B7B" w:rsidRPr="00E915CD" w:rsidRDefault="00585B7B" w:rsidP="00EF5C77">
            <w:pPr>
              <w:pStyle w:val="naiskr"/>
              <w:spacing w:before="0" w:after="0"/>
              <w:ind w:left="131"/>
            </w:pPr>
            <w:r w:rsidRPr="00E915CD">
              <w:t>Cita informācija</w:t>
            </w:r>
          </w:p>
        </w:tc>
        <w:tc>
          <w:tcPr>
            <w:tcW w:w="7088" w:type="dxa"/>
          </w:tcPr>
          <w:p w14:paraId="1028A62F" w14:textId="01FF5603" w:rsidR="00585B7B" w:rsidRPr="00E915CD" w:rsidRDefault="00261561" w:rsidP="002B5511">
            <w:pPr>
              <w:pStyle w:val="naiskr"/>
              <w:spacing w:before="0" w:after="0"/>
              <w:ind w:left="82" w:right="141"/>
              <w:jc w:val="both"/>
            </w:pPr>
            <w:r w:rsidRPr="00E915CD">
              <w:t>Nav.</w:t>
            </w:r>
          </w:p>
        </w:tc>
      </w:tr>
    </w:tbl>
    <w:p w14:paraId="6C5EEA5E" w14:textId="77777777" w:rsidR="003E3E30" w:rsidRPr="00E915CD" w:rsidRDefault="003E3E30" w:rsidP="003E3E30">
      <w:pPr>
        <w:shd w:val="clear" w:color="auto" w:fill="FFFFFF"/>
        <w:spacing w:before="60" w:after="60"/>
        <w:rPr>
          <w:rFonts w:eastAsia="Times New Roman"/>
        </w:rPr>
      </w:pPr>
    </w:p>
    <w:tbl>
      <w:tblPr>
        <w:tblW w:w="5624"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2686"/>
        <w:gridCol w:w="7048"/>
      </w:tblGrid>
      <w:tr w:rsidR="00E915CD" w:rsidRPr="00E915CD" w14:paraId="340DB088" w14:textId="77777777" w:rsidTr="00BF09E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FAC2" w14:textId="77777777" w:rsidR="003E3E30" w:rsidRPr="00E915CD" w:rsidRDefault="003E3E30" w:rsidP="003E3E30">
            <w:pPr>
              <w:spacing w:before="100" w:beforeAutospacing="1" w:after="100" w:afterAutospacing="1" w:line="293" w:lineRule="atLeast"/>
              <w:jc w:val="center"/>
              <w:rPr>
                <w:rFonts w:eastAsia="Times New Roman"/>
                <w:b/>
                <w:bCs/>
              </w:rPr>
            </w:pPr>
            <w:r w:rsidRPr="00E915CD">
              <w:rPr>
                <w:rFonts w:eastAsia="Times New Roman"/>
                <w:b/>
                <w:bCs/>
              </w:rPr>
              <w:t>II. Tiesību akta projekta ietekme uz sabiedrību, tautsaimniecības attīstību un administratīvo slogu</w:t>
            </w:r>
          </w:p>
        </w:tc>
      </w:tr>
      <w:tr w:rsidR="00E915CD" w:rsidRPr="00E915CD" w14:paraId="08668B36" w14:textId="77777777" w:rsidTr="00BF09E0">
        <w:trPr>
          <w:trHeight w:val="465"/>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0C3A12E6" w14:textId="77777777" w:rsidR="003E3E30" w:rsidRPr="00E915CD" w:rsidRDefault="003E3E30" w:rsidP="003E3E30">
            <w:pPr>
              <w:rPr>
                <w:rFonts w:eastAsia="Times New Roman"/>
              </w:rPr>
            </w:pPr>
            <w:r w:rsidRPr="00E915CD">
              <w:rPr>
                <w:rFonts w:eastAsia="Times New Roman"/>
              </w:rPr>
              <w:t>1.</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AF3AB97" w14:textId="77777777" w:rsidR="003E3E30" w:rsidRPr="00E915CD" w:rsidRDefault="003E3E30" w:rsidP="003E3E30">
            <w:pPr>
              <w:rPr>
                <w:rFonts w:eastAsia="Times New Roman"/>
              </w:rPr>
            </w:pPr>
            <w:r w:rsidRPr="00E915CD">
              <w:rPr>
                <w:rFonts w:eastAsia="Times New Roman"/>
              </w:rPr>
              <w:t>Sabiedrības mērķgrupas, kuras tiesiskais regulējums ietekmē vai varētu ietekmēt</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6E2479EE" w14:textId="005E6F54" w:rsidR="003E3E30" w:rsidRPr="00E915CD" w:rsidRDefault="00F74EB3" w:rsidP="007757FE">
            <w:pPr>
              <w:shd w:val="clear" w:color="auto" w:fill="FFFFFF"/>
              <w:spacing w:after="60"/>
              <w:jc w:val="both"/>
              <w:rPr>
                <w:rFonts w:eastAsia="Times New Roman"/>
              </w:rPr>
            </w:pPr>
            <w:r w:rsidRPr="007757FE">
              <w:rPr>
                <w:rFonts w:eastAsia="Times New Roman"/>
              </w:rPr>
              <w:t>P</w:t>
            </w:r>
            <w:r w:rsidR="00703ED9" w:rsidRPr="007757FE">
              <w:rPr>
                <w:rFonts w:eastAsia="Times New Roman"/>
              </w:rPr>
              <w:t xml:space="preserve">ubliskas personas, atvasinātas </w:t>
            </w:r>
            <w:r w:rsidR="00703ED9" w:rsidRPr="00416994">
              <w:t>publiskas personas</w:t>
            </w:r>
            <w:r w:rsidR="007757FE" w:rsidRPr="00416994">
              <w:t>, kā</w:t>
            </w:r>
            <w:r w:rsidR="00B83CA9" w:rsidRPr="00416994">
              <w:t xml:space="preserve"> arī fiziskas un juridiskas personas, kuras plāno iegūt īpašumā kustamo mantu</w:t>
            </w:r>
            <w:r w:rsidR="00416994">
              <w:t>.</w:t>
            </w:r>
          </w:p>
        </w:tc>
      </w:tr>
      <w:tr w:rsidR="00E915CD" w:rsidRPr="00E915CD" w14:paraId="2F15B486" w14:textId="77777777" w:rsidTr="00BF09E0">
        <w:trPr>
          <w:trHeight w:val="510"/>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60F751E2" w14:textId="77777777" w:rsidR="003E3E30" w:rsidRPr="00E915CD" w:rsidRDefault="003E3E30" w:rsidP="003E3E30">
            <w:pPr>
              <w:rPr>
                <w:rFonts w:eastAsia="Times New Roman"/>
              </w:rPr>
            </w:pPr>
            <w:r w:rsidRPr="00E915CD">
              <w:rPr>
                <w:rFonts w:eastAsia="Times New Roman"/>
              </w:rPr>
              <w:t>2.</w:t>
            </w:r>
          </w:p>
          <w:p w14:paraId="0B0D3EF2" w14:textId="77777777" w:rsidR="003E3E30" w:rsidRPr="00E915CD" w:rsidRDefault="003E3E30" w:rsidP="003E3E30">
            <w:pPr>
              <w:rPr>
                <w:rFonts w:eastAsia="Times New Roman"/>
              </w:rPr>
            </w:pPr>
          </w:p>
          <w:p w14:paraId="16347659" w14:textId="77777777" w:rsidR="003E3E30" w:rsidRPr="00E915CD" w:rsidRDefault="003E3E30" w:rsidP="003E3E30">
            <w:pPr>
              <w:rPr>
                <w:rFonts w:eastAsia="Times New Roman"/>
              </w:rPr>
            </w:pPr>
          </w:p>
          <w:p w14:paraId="75AD0327" w14:textId="77777777" w:rsidR="003E3E30" w:rsidRPr="00E915CD" w:rsidRDefault="003E3E30" w:rsidP="003E3E30">
            <w:pPr>
              <w:rPr>
                <w:rFonts w:eastAsia="Times New Roman"/>
              </w:rPr>
            </w:pP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095EF2AC" w14:textId="77777777" w:rsidR="003E3E30" w:rsidRPr="00E915CD" w:rsidRDefault="003E3E30" w:rsidP="003E3E30">
            <w:pPr>
              <w:rPr>
                <w:rFonts w:eastAsia="Times New Roman"/>
              </w:rPr>
            </w:pPr>
            <w:r w:rsidRPr="00E915CD">
              <w:rPr>
                <w:rFonts w:eastAsia="Times New Roman"/>
              </w:rPr>
              <w:t>Tiesiskā regulējuma ietekme uz tautsaimniecību un administratīvo slogu</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1A905B92" w14:textId="51AEE81A" w:rsidR="003E3E30" w:rsidRPr="00E915CD" w:rsidRDefault="00632154" w:rsidP="003E3E30">
            <w:pPr>
              <w:rPr>
                <w:rFonts w:eastAsia="Times New Roman"/>
              </w:rPr>
            </w:pPr>
            <w:r>
              <w:t>Administratīvais slogs samazinās.</w:t>
            </w:r>
          </w:p>
        </w:tc>
      </w:tr>
      <w:tr w:rsidR="00E915CD" w:rsidRPr="00E915CD" w14:paraId="38E7E23A" w14:textId="77777777" w:rsidTr="00BF09E0">
        <w:trPr>
          <w:trHeight w:val="510"/>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6EBB5344" w14:textId="77777777" w:rsidR="003E3E30" w:rsidRPr="00E915CD" w:rsidRDefault="003E3E30" w:rsidP="003E3E30">
            <w:pPr>
              <w:rPr>
                <w:rFonts w:eastAsia="Times New Roman"/>
              </w:rPr>
            </w:pPr>
            <w:r w:rsidRPr="00E915CD">
              <w:rPr>
                <w:rFonts w:eastAsia="Times New Roman"/>
              </w:rPr>
              <w:t>3.</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37648B2" w14:textId="77777777" w:rsidR="003E3E30" w:rsidRPr="00E915CD" w:rsidRDefault="003E3E30" w:rsidP="003E3E30">
            <w:pPr>
              <w:rPr>
                <w:rFonts w:eastAsia="Times New Roman"/>
              </w:rPr>
            </w:pPr>
            <w:r w:rsidRPr="00E915CD">
              <w:rPr>
                <w:rFonts w:eastAsia="Times New Roman"/>
              </w:rPr>
              <w:t>Administratīvo izmaksu monetārs novērtējums</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0BCFAB36" w14:textId="77777777" w:rsidR="003E3E30" w:rsidRPr="00E915CD" w:rsidRDefault="00942AB2" w:rsidP="003E3E30">
            <w:pPr>
              <w:rPr>
                <w:rFonts w:eastAsia="Times New Roman"/>
              </w:rPr>
            </w:pPr>
            <w:r w:rsidRPr="00E915CD">
              <w:t>Projekts šo jomu neskar.</w:t>
            </w:r>
          </w:p>
        </w:tc>
      </w:tr>
      <w:tr w:rsidR="00E915CD" w:rsidRPr="00E915CD" w14:paraId="3BE1BE8C" w14:textId="77777777" w:rsidTr="00BF09E0">
        <w:trPr>
          <w:trHeight w:val="345"/>
        </w:trPr>
        <w:tc>
          <w:tcPr>
            <w:tcW w:w="209" w:type="pct"/>
            <w:tcBorders>
              <w:top w:val="outset" w:sz="6" w:space="0" w:color="414142"/>
              <w:left w:val="outset" w:sz="6" w:space="0" w:color="414142"/>
              <w:bottom w:val="outset" w:sz="6" w:space="0" w:color="414142"/>
              <w:right w:val="outset" w:sz="6" w:space="0" w:color="414142"/>
            </w:tcBorders>
            <w:shd w:val="clear" w:color="auto" w:fill="FFFFFF"/>
            <w:hideMark/>
          </w:tcPr>
          <w:p w14:paraId="32DE99F9" w14:textId="77777777" w:rsidR="003E3E30" w:rsidRPr="00E915CD" w:rsidRDefault="003E3E30" w:rsidP="003E3E30">
            <w:pPr>
              <w:rPr>
                <w:rFonts w:eastAsia="Times New Roman"/>
              </w:rPr>
            </w:pPr>
            <w:r w:rsidRPr="00E915CD">
              <w:rPr>
                <w:rFonts w:eastAsia="Times New Roman"/>
              </w:rPr>
              <w:t>4.</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14:paraId="20C5A333" w14:textId="77777777" w:rsidR="003E3E30" w:rsidRPr="00E915CD" w:rsidRDefault="003E3E30" w:rsidP="003E3E30">
            <w:pPr>
              <w:rPr>
                <w:rFonts w:eastAsia="Times New Roman"/>
              </w:rPr>
            </w:pPr>
            <w:r w:rsidRPr="00E915CD">
              <w:rPr>
                <w:rFonts w:eastAsia="Times New Roman"/>
              </w:rPr>
              <w:t>Cita informācija</w:t>
            </w:r>
          </w:p>
        </w:tc>
        <w:tc>
          <w:tcPr>
            <w:tcW w:w="3469" w:type="pct"/>
            <w:tcBorders>
              <w:top w:val="outset" w:sz="6" w:space="0" w:color="414142"/>
              <w:left w:val="outset" w:sz="6" w:space="0" w:color="414142"/>
              <w:bottom w:val="outset" w:sz="6" w:space="0" w:color="414142"/>
              <w:right w:val="outset" w:sz="6" w:space="0" w:color="414142"/>
            </w:tcBorders>
            <w:shd w:val="clear" w:color="auto" w:fill="FFFFFF"/>
            <w:hideMark/>
          </w:tcPr>
          <w:p w14:paraId="5912A8C7" w14:textId="77777777" w:rsidR="003E3E30" w:rsidRPr="00E915CD" w:rsidRDefault="00942AB2" w:rsidP="003E3E30">
            <w:pPr>
              <w:spacing w:before="100" w:beforeAutospacing="1" w:after="100" w:afterAutospacing="1" w:line="293" w:lineRule="atLeast"/>
              <w:rPr>
                <w:rFonts w:eastAsia="Times New Roman"/>
              </w:rPr>
            </w:pPr>
            <w:r w:rsidRPr="00E915CD">
              <w:rPr>
                <w:rFonts w:eastAsia="Times New Roman"/>
              </w:rPr>
              <w:t>Nav.</w:t>
            </w:r>
          </w:p>
        </w:tc>
      </w:tr>
    </w:tbl>
    <w:p w14:paraId="5E57DC0C" w14:textId="77777777" w:rsidR="00CE4B53" w:rsidRDefault="00CE4B53"/>
    <w:tbl>
      <w:tblPr>
        <w:tblW w:w="559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88"/>
        <w:gridCol w:w="985"/>
        <w:gridCol w:w="1123"/>
        <w:gridCol w:w="1249"/>
        <w:gridCol w:w="1267"/>
        <w:gridCol w:w="1267"/>
        <w:gridCol w:w="1267"/>
        <w:gridCol w:w="1269"/>
      </w:tblGrid>
      <w:tr w:rsidR="00A447E3" w:rsidRPr="00DB5DCA" w14:paraId="0EE51958" w14:textId="77777777" w:rsidTr="00BF09E0">
        <w:tc>
          <w:tcPr>
            <w:tcW w:w="10189" w:type="dxa"/>
            <w:gridSpan w:val="8"/>
            <w:shd w:val="clear" w:color="auto" w:fill="auto"/>
            <w:vAlign w:val="center"/>
            <w:hideMark/>
          </w:tcPr>
          <w:p w14:paraId="416D0852" w14:textId="77777777" w:rsidR="00A447E3" w:rsidRPr="00B0447B" w:rsidRDefault="00A447E3" w:rsidP="003E0059">
            <w:pPr>
              <w:jc w:val="center"/>
              <w:rPr>
                <w:b/>
                <w:bCs/>
                <w:lang w:eastAsia="en-US"/>
              </w:rPr>
            </w:pPr>
            <w:r w:rsidRPr="00B0447B">
              <w:rPr>
                <w:b/>
                <w:bCs/>
                <w:lang w:eastAsia="en-US"/>
              </w:rPr>
              <w:t>III. Tiesību akta projekta ietekme uz valsts budžetu un pašvaldību budžetiem</w:t>
            </w:r>
          </w:p>
        </w:tc>
      </w:tr>
      <w:tr w:rsidR="00A447E3" w:rsidRPr="00DB5DCA" w14:paraId="0A9A88AB" w14:textId="77777777" w:rsidTr="00BF09E0">
        <w:tc>
          <w:tcPr>
            <w:tcW w:w="1702" w:type="dxa"/>
            <w:vMerge w:val="restart"/>
            <w:shd w:val="clear" w:color="auto" w:fill="FFFFFF"/>
            <w:vAlign w:val="center"/>
          </w:tcPr>
          <w:p w14:paraId="0609F97F" w14:textId="77777777" w:rsidR="00A447E3" w:rsidRPr="00B0447B" w:rsidRDefault="00A447E3" w:rsidP="003E0059">
            <w:pPr>
              <w:jc w:val="center"/>
              <w:rPr>
                <w:bCs/>
                <w:lang w:eastAsia="en-US"/>
              </w:rPr>
            </w:pPr>
            <w:r w:rsidRPr="00B0447B">
              <w:rPr>
                <w:bCs/>
                <w:lang w:eastAsia="en-US"/>
              </w:rPr>
              <w:t>Rādītāji</w:t>
            </w:r>
          </w:p>
        </w:tc>
        <w:tc>
          <w:tcPr>
            <w:tcW w:w="2123" w:type="dxa"/>
            <w:gridSpan w:val="2"/>
            <w:vMerge w:val="restart"/>
            <w:shd w:val="clear" w:color="auto" w:fill="FFFFFF"/>
            <w:vAlign w:val="center"/>
            <w:hideMark/>
          </w:tcPr>
          <w:p w14:paraId="47B53D46" w14:textId="3E0B1AEA" w:rsidR="00A447E3" w:rsidRPr="00B0447B" w:rsidRDefault="00A223C7" w:rsidP="00A223C7">
            <w:pPr>
              <w:jc w:val="center"/>
              <w:rPr>
                <w:bCs/>
                <w:lang w:eastAsia="en-US"/>
              </w:rPr>
            </w:pPr>
            <w:r w:rsidRPr="00A223C7">
              <w:rPr>
                <w:bCs/>
                <w:lang w:eastAsia="en-US"/>
              </w:rPr>
              <w:t>20</w:t>
            </w:r>
            <w:r>
              <w:rPr>
                <w:bCs/>
                <w:lang w:eastAsia="en-US"/>
              </w:rPr>
              <w:t>20</w:t>
            </w:r>
            <w:r w:rsidR="00A447E3" w:rsidRPr="00A223C7">
              <w:rPr>
                <w:bCs/>
                <w:lang w:eastAsia="en-US"/>
              </w:rPr>
              <w:t>.gads</w:t>
            </w:r>
          </w:p>
        </w:tc>
        <w:tc>
          <w:tcPr>
            <w:tcW w:w="6364" w:type="dxa"/>
            <w:gridSpan w:val="5"/>
            <w:shd w:val="clear" w:color="auto" w:fill="FFFFFF"/>
            <w:vAlign w:val="center"/>
            <w:hideMark/>
          </w:tcPr>
          <w:p w14:paraId="0EFC92DB" w14:textId="77777777" w:rsidR="00A447E3" w:rsidRPr="00B0447B" w:rsidRDefault="00A447E3" w:rsidP="003E0059">
            <w:pPr>
              <w:jc w:val="center"/>
              <w:rPr>
                <w:lang w:eastAsia="en-US"/>
              </w:rPr>
            </w:pPr>
            <w:r w:rsidRPr="00B0447B">
              <w:rPr>
                <w:lang w:eastAsia="en-US"/>
              </w:rPr>
              <w:t>Turpmākie trīs gadi (</w:t>
            </w:r>
            <w:r w:rsidRPr="00B0447B">
              <w:rPr>
                <w:i/>
                <w:iCs/>
                <w:lang w:eastAsia="en-US"/>
              </w:rPr>
              <w:t>euro</w:t>
            </w:r>
            <w:r w:rsidRPr="00B0447B">
              <w:rPr>
                <w:lang w:eastAsia="en-US"/>
              </w:rPr>
              <w:t>)</w:t>
            </w:r>
          </w:p>
        </w:tc>
      </w:tr>
      <w:tr w:rsidR="00A447E3" w:rsidRPr="00DB5DCA" w14:paraId="66EB99FE" w14:textId="77777777" w:rsidTr="00BF09E0">
        <w:tc>
          <w:tcPr>
            <w:tcW w:w="1702" w:type="dxa"/>
            <w:vMerge/>
            <w:shd w:val="clear" w:color="auto" w:fill="auto"/>
            <w:vAlign w:val="center"/>
            <w:hideMark/>
          </w:tcPr>
          <w:p w14:paraId="6579C8EF" w14:textId="77777777" w:rsidR="00A447E3" w:rsidRPr="00B0447B" w:rsidRDefault="00A447E3" w:rsidP="003E0059">
            <w:pPr>
              <w:jc w:val="center"/>
              <w:rPr>
                <w:bCs/>
                <w:lang w:eastAsia="en-US"/>
              </w:rPr>
            </w:pPr>
          </w:p>
        </w:tc>
        <w:tc>
          <w:tcPr>
            <w:tcW w:w="2123" w:type="dxa"/>
            <w:gridSpan w:val="2"/>
            <w:vMerge/>
            <w:shd w:val="clear" w:color="auto" w:fill="auto"/>
            <w:vAlign w:val="center"/>
            <w:hideMark/>
          </w:tcPr>
          <w:p w14:paraId="0C1E573D" w14:textId="77777777" w:rsidR="00A447E3" w:rsidRPr="00B0447B" w:rsidRDefault="00A447E3" w:rsidP="003E0059">
            <w:pPr>
              <w:jc w:val="center"/>
              <w:rPr>
                <w:bCs/>
                <w:lang w:eastAsia="en-US"/>
              </w:rPr>
            </w:pPr>
          </w:p>
        </w:tc>
        <w:tc>
          <w:tcPr>
            <w:tcW w:w="2534" w:type="dxa"/>
            <w:gridSpan w:val="2"/>
            <w:shd w:val="clear" w:color="auto" w:fill="FFFFFF"/>
            <w:vAlign w:val="center"/>
            <w:hideMark/>
          </w:tcPr>
          <w:p w14:paraId="03056D8B" w14:textId="4B146B4F" w:rsidR="00A447E3" w:rsidRPr="00B0447B" w:rsidRDefault="00A223C7" w:rsidP="00A223C7">
            <w:pPr>
              <w:jc w:val="center"/>
              <w:rPr>
                <w:bCs/>
                <w:lang w:eastAsia="en-US"/>
              </w:rPr>
            </w:pPr>
            <w:r w:rsidRPr="00B0447B">
              <w:rPr>
                <w:bCs/>
                <w:lang w:eastAsia="en-US"/>
              </w:rPr>
              <w:t>202</w:t>
            </w:r>
            <w:r>
              <w:rPr>
                <w:bCs/>
                <w:lang w:eastAsia="en-US"/>
              </w:rPr>
              <w:t>1</w:t>
            </w:r>
            <w:r w:rsidR="00A447E3" w:rsidRPr="00B0447B">
              <w:rPr>
                <w:bCs/>
                <w:lang w:eastAsia="en-US"/>
              </w:rPr>
              <w:t>.</w:t>
            </w:r>
          </w:p>
        </w:tc>
        <w:tc>
          <w:tcPr>
            <w:tcW w:w="2552" w:type="dxa"/>
            <w:gridSpan w:val="2"/>
            <w:shd w:val="clear" w:color="auto" w:fill="FFFFFF"/>
            <w:vAlign w:val="center"/>
            <w:hideMark/>
          </w:tcPr>
          <w:p w14:paraId="024831AF" w14:textId="6965898B" w:rsidR="00A447E3" w:rsidRPr="00B0447B" w:rsidRDefault="00A223C7" w:rsidP="00A223C7">
            <w:pPr>
              <w:jc w:val="center"/>
              <w:rPr>
                <w:bCs/>
                <w:lang w:eastAsia="en-US"/>
              </w:rPr>
            </w:pPr>
            <w:r w:rsidRPr="00B0447B">
              <w:rPr>
                <w:bCs/>
                <w:lang w:eastAsia="en-US"/>
              </w:rPr>
              <w:t>202</w:t>
            </w:r>
            <w:r>
              <w:rPr>
                <w:bCs/>
                <w:lang w:eastAsia="en-US"/>
              </w:rPr>
              <w:t>2</w:t>
            </w:r>
            <w:r w:rsidR="00A447E3" w:rsidRPr="00B0447B">
              <w:rPr>
                <w:bCs/>
                <w:lang w:eastAsia="en-US"/>
              </w:rPr>
              <w:t>.</w:t>
            </w:r>
          </w:p>
        </w:tc>
        <w:tc>
          <w:tcPr>
            <w:tcW w:w="1278" w:type="dxa"/>
            <w:shd w:val="clear" w:color="auto" w:fill="FFFFFF"/>
            <w:vAlign w:val="center"/>
            <w:hideMark/>
          </w:tcPr>
          <w:p w14:paraId="26A6C54B" w14:textId="775A7D26" w:rsidR="00A447E3" w:rsidRPr="00B0447B" w:rsidRDefault="00A223C7" w:rsidP="00A223C7">
            <w:pPr>
              <w:jc w:val="center"/>
              <w:rPr>
                <w:bCs/>
                <w:lang w:eastAsia="en-US"/>
              </w:rPr>
            </w:pPr>
            <w:r w:rsidRPr="00B0447B">
              <w:rPr>
                <w:bCs/>
                <w:lang w:eastAsia="en-US"/>
              </w:rPr>
              <w:t>202</w:t>
            </w:r>
            <w:r>
              <w:rPr>
                <w:bCs/>
                <w:lang w:eastAsia="en-US"/>
              </w:rPr>
              <w:t>3</w:t>
            </w:r>
            <w:r w:rsidR="00A447E3" w:rsidRPr="00B0447B">
              <w:rPr>
                <w:bCs/>
                <w:lang w:eastAsia="en-US"/>
              </w:rPr>
              <w:t>.</w:t>
            </w:r>
          </w:p>
        </w:tc>
      </w:tr>
      <w:tr w:rsidR="00A447E3" w:rsidRPr="00DB5DCA" w14:paraId="09B0293D" w14:textId="77777777" w:rsidTr="00BF09E0">
        <w:tc>
          <w:tcPr>
            <w:tcW w:w="1702" w:type="dxa"/>
            <w:vMerge/>
            <w:shd w:val="clear" w:color="auto" w:fill="auto"/>
            <w:vAlign w:val="center"/>
            <w:hideMark/>
          </w:tcPr>
          <w:p w14:paraId="777F8FF8" w14:textId="77777777" w:rsidR="00A447E3" w:rsidRPr="00B0447B" w:rsidRDefault="00A447E3" w:rsidP="003E0059">
            <w:pPr>
              <w:jc w:val="center"/>
              <w:rPr>
                <w:b/>
                <w:bCs/>
                <w:lang w:eastAsia="en-US"/>
              </w:rPr>
            </w:pPr>
          </w:p>
        </w:tc>
        <w:tc>
          <w:tcPr>
            <w:tcW w:w="992" w:type="dxa"/>
            <w:shd w:val="clear" w:color="auto" w:fill="FFFFFF"/>
            <w:vAlign w:val="center"/>
            <w:hideMark/>
          </w:tcPr>
          <w:p w14:paraId="73C3101B" w14:textId="77777777" w:rsidR="00A447E3" w:rsidRPr="00B0447B" w:rsidRDefault="00A447E3" w:rsidP="003E0059">
            <w:pPr>
              <w:jc w:val="center"/>
              <w:rPr>
                <w:lang w:eastAsia="en-US"/>
              </w:rPr>
            </w:pPr>
            <w:r w:rsidRPr="00B0447B">
              <w:rPr>
                <w:lang w:eastAsia="en-US"/>
              </w:rPr>
              <w:t>saskaņā ar valsts budžetu kārtējam gadam</w:t>
            </w:r>
          </w:p>
        </w:tc>
        <w:tc>
          <w:tcPr>
            <w:tcW w:w="1131" w:type="dxa"/>
            <w:shd w:val="clear" w:color="auto" w:fill="FFFFFF"/>
            <w:vAlign w:val="center"/>
            <w:hideMark/>
          </w:tcPr>
          <w:p w14:paraId="1D4DD51F" w14:textId="77777777" w:rsidR="00A447E3" w:rsidRPr="00B0447B" w:rsidRDefault="00A447E3" w:rsidP="003E0059">
            <w:pPr>
              <w:jc w:val="center"/>
              <w:rPr>
                <w:lang w:eastAsia="en-US"/>
              </w:rPr>
            </w:pPr>
            <w:r w:rsidRPr="00B0447B">
              <w:rPr>
                <w:lang w:eastAsia="en-US"/>
              </w:rPr>
              <w:t>izmaiņas kārtējā gadā, salīdzinot ar valsts budžetu kārtējam gadam</w:t>
            </w:r>
          </w:p>
        </w:tc>
        <w:tc>
          <w:tcPr>
            <w:tcW w:w="1258" w:type="dxa"/>
            <w:shd w:val="clear" w:color="auto" w:fill="FFFFFF"/>
            <w:vAlign w:val="center"/>
            <w:hideMark/>
          </w:tcPr>
          <w:p w14:paraId="4DF5BCBC" w14:textId="77777777" w:rsidR="00A447E3" w:rsidRPr="00B0447B" w:rsidRDefault="00A447E3" w:rsidP="003E0059">
            <w:pPr>
              <w:jc w:val="center"/>
              <w:rPr>
                <w:lang w:eastAsia="en-US"/>
              </w:rPr>
            </w:pPr>
            <w:r w:rsidRPr="00B0447B">
              <w:rPr>
                <w:lang w:eastAsia="en-US"/>
              </w:rPr>
              <w:t>saskaņā ar vidēja termiņa budžeta ietvaru</w:t>
            </w:r>
          </w:p>
        </w:tc>
        <w:tc>
          <w:tcPr>
            <w:tcW w:w="1276" w:type="dxa"/>
            <w:shd w:val="clear" w:color="auto" w:fill="FFFFFF"/>
            <w:vAlign w:val="center"/>
            <w:hideMark/>
          </w:tcPr>
          <w:p w14:paraId="67565428" w14:textId="77777777" w:rsidR="00A447E3" w:rsidRPr="00B0447B" w:rsidRDefault="00A447E3" w:rsidP="003E0059">
            <w:pPr>
              <w:ind w:left="-44"/>
              <w:jc w:val="center"/>
              <w:rPr>
                <w:lang w:eastAsia="en-US"/>
              </w:rPr>
            </w:pPr>
            <w:r w:rsidRPr="00B0447B">
              <w:rPr>
                <w:lang w:eastAsia="en-US"/>
              </w:rPr>
              <w:t>izmaiņas, salīdzinot ar vidēja termiņa budžeta ietvaru n+1 gadam</w:t>
            </w:r>
          </w:p>
        </w:tc>
        <w:tc>
          <w:tcPr>
            <w:tcW w:w="1276" w:type="dxa"/>
            <w:shd w:val="clear" w:color="auto" w:fill="FFFFFF"/>
            <w:vAlign w:val="center"/>
            <w:hideMark/>
          </w:tcPr>
          <w:p w14:paraId="75E776E4" w14:textId="77777777" w:rsidR="00A447E3" w:rsidRPr="00B0447B" w:rsidRDefault="00A447E3" w:rsidP="003E0059">
            <w:pPr>
              <w:jc w:val="center"/>
              <w:rPr>
                <w:lang w:eastAsia="en-US"/>
              </w:rPr>
            </w:pPr>
            <w:r w:rsidRPr="00B0447B">
              <w:rPr>
                <w:lang w:eastAsia="en-US"/>
              </w:rPr>
              <w:t>saskaņā ar vidēja termiņa budžeta ietvaru</w:t>
            </w:r>
          </w:p>
        </w:tc>
        <w:tc>
          <w:tcPr>
            <w:tcW w:w="1276" w:type="dxa"/>
            <w:shd w:val="clear" w:color="auto" w:fill="FFFFFF"/>
            <w:vAlign w:val="center"/>
            <w:hideMark/>
          </w:tcPr>
          <w:p w14:paraId="4BC90C67" w14:textId="77777777" w:rsidR="00A447E3" w:rsidRPr="00B0447B" w:rsidRDefault="00A447E3" w:rsidP="003E0059">
            <w:pPr>
              <w:jc w:val="center"/>
              <w:rPr>
                <w:lang w:eastAsia="en-US"/>
              </w:rPr>
            </w:pPr>
            <w:r w:rsidRPr="00B0447B">
              <w:rPr>
                <w:lang w:eastAsia="en-US"/>
              </w:rPr>
              <w:t>izmaiņas, salīdzinot ar vidēja termiņa budžeta ietvaru n+2 gadam</w:t>
            </w:r>
          </w:p>
        </w:tc>
        <w:tc>
          <w:tcPr>
            <w:tcW w:w="1278" w:type="dxa"/>
            <w:shd w:val="clear" w:color="auto" w:fill="FFFFFF"/>
            <w:vAlign w:val="center"/>
            <w:hideMark/>
          </w:tcPr>
          <w:p w14:paraId="7AEDA3C1" w14:textId="77777777" w:rsidR="00A447E3" w:rsidRPr="00B0447B" w:rsidRDefault="00A447E3" w:rsidP="003E0059">
            <w:pPr>
              <w:jc w:val="center"/>
              <w:rPr>
                <w:lang w:eastAsia="en-US"/>
              </w:rPr>
            </w:pPr>
            <w:r w:rsidRPr="00B0447B">
              <w:rPr>
                <w:lang w:eastAsia="en-US"/>
              </w:rPr>
              <w:t xml:space="preserve">izmaiņas, salīdzinot ar vidēja termiņa budžeta ietvaru </w:t>
            </w:r>
            <w:r w:rsidRPr="00B0447B">
              <w:rPr>
                <w:lang w:eastAsia="en-US"/>
              </w:rPr>
              <w:br/>
              <w:t>n+2 gadam</w:t>
            </w:r>
          </w:p>
        </w:tc>
      </w:tr>
      <w:tr w:rsidR="00A447E3" w:rsidRPr="00DB5DCA" w14:paraId="618D07B0" w14:textId="77777777" w:rsidTr="00BF09E0">
        <w:tc>
          <w:tcPr>
            <w:tcW w:w="1702" w:type="dxa"/>
            <w:shd w:val="clear" w:color="auto" w:fill="FFFFFF"/>
            <w:vAlign w:val="center"/>
            <w:hideMark/>
          </w:tcPr>
          <w:p w14:paraId="462AC1E1" w14:textId="77777777" w:rsidR="00A447E3" w:rsidRPr="00B0447B" w:rsidRDefault="00A447E3" w:rsidP="003E0059">
            <w:pPr>
              <w:jc w:val="center"/>
              <w:rPr>
                <w:lang w:eastAsia="en-US"/>
              </w:rPr>
            </w:pPr>
            <w:r w:rsidRPr="00B0447B">
              <w:rPr>
                <w:lang w:eastAsia="en-US"/>
              </w:rPr>
              <w:t>1</w:t>
            </w:r>
          </w:p>
        </w:tc>
        <w:tc>
          <w:tcPr>
            <w:tcW w:w="992" w:type="dxa"/>
            <w:shd w:val="clear" w:color="auto" w:fill="FFFFFF"/>
            <w:vAlign w:val="center"/>
            <w:hideMark/>
          </w:tcPr>
          <w:p w14:paraId="715CC1D5" w14:textId="77777777" w:rsidR="00A447E3" w:rsidRPr="00B0447B" w:rsidRDefault="00A447E3" w:rsidP="003E0059">
            <w:pPr>
              <w:jc w:val="center"/>
              <w:rPr>
                <w:lang w:eastAsia="en-US"/>
              </w:rPr>
            </w:pPr>
            <w:r w:rsidRPr="00B0447B">
              <w:rPr>
                <w:lang w:eastAsia="en-US"/>
              </w:rPr>
              <w:t>2</w:t>
            </w:r>
          </w:p>
        </w:tc>
        <w:tc>
          <w:tcPr>
            <w:tcW w:w="1131" w:type="dxa"/>
            <w:shd w:val="clear" w:color="auto" w:fill="FFFFFF"/>
            <w:vAlign w:val="center"/>
            <w:hideMark/>
          </w:tcPr>
          <w:p w14:paraId="0E84F434" w14:textId="77777777" w:rsidR="00A447E3" w:rsidRPr="00B0447B" w:rsidRDefault="00A447E3" w:rsidP="003E0059">
            <w:pPr>
              <w:jc w:val="center"/>
              <w:rPr>
                <w:lang w:eastAsia="en-US"/>
              </w:rPr>
            </w:pPr>
            <w:r w:rsidRPr="00B0447B">
              <w:rPr>
                <w:lang w:eastAsia="en-US"/>
              </w:rPr>
              <w:t>3</w:t>
            </w:r>
          </w:p>
        </w:tc>
        <w:tc>
          <w:tcPr>
            <w:tcW w:w="1258" w:type="dxa"/>
            <w:shd w:val="clear" w:color="auto" w:fill="FFFFFF"/>
            <w:vAlign w:val="center"/>
            <w:hideMark/>
          </w:tcPr>
          <w:p w14:paraId="1D99310E" w14:textId="77777777" w:rsidR="00A447E3" w:rsidRPr="00B0447B" w:rsidRDefault="00A447E3" w:rsidP="003E0059">
            <w:pPr>
              <w:jc w:val="center"/>
              <w:rPr>
                <w:lang w:eastAsia="en-US"/>
              </w:rPr>
            </w:pPr>
            <w:r w:rsidRPr="00B0447B">
              <w:rPr>
                <w:lang w:eastAsia="en-US"/>
              </w:rPr>
              <w:t>4</w:t>
            </w:r>
          </w:p>
        </w:tc>
        <w:tc>
          <w:tcPr>
            <w:tcW w:w="1276" w:type="dxa"/>
            <w:shd w:val="clear" w:color="auto" w:fill="FFFFFF"/>
            <w:vAlign w:val="center"/>
            <w:hideMark/>
          </w:tcPr>
          <w:p w14:paraId="18FBA87A" w14:textId="77777777" w:rsidR="00A447E3" w:rsidRPr="00B0447B" w:rsidRDefault="00A447E3" w:rsidP="003E0059">
            <w:pPr>
              <w:jc w:val="center"/>
              <w:rPr>
                <w:lang w:eastAsia="en-US"/>
              </w:rPr>
            </w:pPr>
            <w:r w:rsidRPr="00B0447B">
              <w:rPr>
                <w:lang w:eastAsia="en-US"/>
              </w:rPr>
              <w:t>5</w:t>
            </w:r>
          </w:p>
        </w:tc>
        <w:tc>
          <w:tcPr>
            <w:tcW w:w="1276" w:type="dxa"/>
            <w:shd w:val="clear" w:color="auto" w:fill="FFFFFF"/>
            <w:vAlign w:val="center"/>
            <w:hideMark/>
          </w:tcPr>
          <w:p w14:paraId="097B0141" w14:textId="77777777" w:rsidR="00A447E3" w:rsidRPr="00B0447B" w:rsidRDefault="00A447E3" w:rsidP="003E0059">
            <w:pPr>
              <w:jc w:val="center"/>
              <w:rPr>
                <w:lang w:eastAsia="en-US"/>
              </w:rPr>
            </w:pPr>
            <w:r w:rsidRPr="00B0447B">
              <w:rPr>
                <w:lang w:eastAsia="en-US"/>
              </w:rPr>
              <w:t>6</w:t>
            </w:r>
          </w:p>
        </w:tc>
        <w:tc>
          <w:tcPr>
            <w:tcW w:w="1276" w:type="dxa"/>
            <w:shd w:val="clear" w:color="auto" w:fill="FFFFFF"/>
            <w:vAlign w:val="center"/>
            <w:hideMark/>
          </w:tcPr>
          <w:p w14:paraId="4EEBBF2D" w14:textId="77777777" w:rsidR="00A447E3" w:rsidRPr="00B0447B" w:rsidRDefault="00A447E3" w:rsidP="003E0059">
            <w:pPr>
              <w:jc w:val="center"/>
              <w:rPr>
                <w:lang w:eastAsia="en-US"/>
              </w:rPr>
            </w:pPr>
            <w:r w:rsidRPr="00B0447B">
              <w:rPr>
                <w:lang w:eastAsia="en-US"/>
              </w:rPr>
              <w:t>7</w:t>
            </w:r>
          </w:p>
        </w:tc>
        <w:tc>
          <w:tcPr>
            <w:tcW w:w="1278" w:type="dxa"/>
            <w:shd w:val="clear" w:color="auto" w:fill="FFFFFF"/>
            <w:vAlign w:val="center"/>
            <w:hideMark/>
          </w:tcPr>
          <w:p w14:paraId="451213C3" w14:textId="77777777" w:rsidR="00A447E3" w:rsidRPr="00B0447B" w:rsidRDefault="00A447E3" w:rsidP="003E0059">
            <w:pPr>
              <w:jc w:val="center"/>
              <w:rPr>
                <w:lang w:eastAsia="en-US"/>
              </w:rPr>
            </w:pPr>
            <w:r w:rsidRPr="00B0447B">
              <w:rPr>
                <w:lang w:eastAsia="en-US"/>
              </w:rPr>
              <w:t>8</w:t>
            </w:r>
          </w:p>
        </w:tc>
      </w:tr>
      <w:tr w:rsidR="00FD6ECE" w:rsidRPr="00A02093" w14:paraId="70BBEB89" w14:textId="77777777" w:rsidTr="00BF09E0">
        <w:tc>
          <w:tcPr>
            <w:tcW w:w="1702" w:type="dxa"/>
            <w:shd w:val="clear" w:color="auto" w:fill="FFFFFF"/>
            <w:hideMark/>
          </w:tcPr>
          <w:p w14:paraId="7A6CE1B2" w14:textId="77777777" w:rsidR="00FD6ECE" w:rsidRPr="00B0447B" w:rsidRDefault="00FD6ECE" w:rsidP="003E0059">
            <w:pPr>
              <w:rPr>
                <w:lang w:eastAsia="en-US"/>
              </w:rPr>
            </w:pPr>
            <w:r w:rsidRPr="00B0447B">
              <w:rPr>
                <w:lang w:eastAsia="en-US"/>
              </w:rPr>
              <w:t>1. Budžeta ieņēmumi</w:t>
            </w:r>
          </w:p>
        </w:tc>
        <w:tc>
          <w:tcPr>
            <w:tcW w:w="992" w:type="dxa"/>
            <w:shd w:val="clear" w:color="auto" w:fill="FFFFFF"/>
            <w:vAlign w:val="center"/>
            <w:hideMark/>
          </w:tcPr>
          <w:p w14:paraId="3E1B660C" w14:textId="77777777" w:rsidR="00FD6ECE" w:rsidRPr="00B0447B" w:rsidRDefault="00FD6ECE" w:rsidP="003E0059">
            <w:pPr>
              <w:jc w:val="center"/>
              <w:rPr>
                <w:lang w:eastAsia="en-US"/>
              </w:rPr>
            </w:pPr>
            <w:r w:rsidRPr="00B0447B">
              <w:rPr>
                <w:lang w:eastAsia="en-US"/>
              </w:rPr>
              <w:t>0</w:t>
            </w:r>
          </w:p>
        </w:tc>
        <w:tc>
          <w:tcPr>
            <w:tcW w:w="1131" w:type="dxa"/>
            <w:shd w:val="clear" w:color="auto" w:fill="FFFFFF"/>
            <w:vAlign w:val="center"/>
            <w:hideMark/>
          </w:tcPr>
          <w:p w14:paraId="3C26A1EB" w14:textId="77777777" w:rsidR="00FD6ECE" w:rsidRPr="00B0447B" w:rsidRDefault="00FD6ECE" w:rsidP="003E0059">
            <w:pPr>
              <w:jc w:val="center"/>
              <w:rPr>
                <w:lang w:eastAsia="en-US"/>
              </w:rPr>
            </w:pPr>
            <w:r w:rsidRPr="00B0447B">
              <w:rPr>
                <w:lang w:eastAsia="en-US"/>
              </w:rPr>
              <w:t>0</w:t>
            </w:r>
          </w:p>
        </w:tc>
        <w:tc>
          <w:tcPr>
            <w:tcW w:w="1258" w:type="dxa"/>
            <w:shd w:val="clear" w:color="auto" w:fill="FFFFFF"/>
            <w:vAlign w:val="center"/>
            <w:hideMark/>
          </w:tcPr>
          <w:p w14:paraId="311E79C2" w14:textId="52520C9A" w:rsidR="00FD6ECE" w:rsidRPr="00B0447B" w:rsidRDefault="00FD6ECE" w:rsidP="00FD6ECE">
            <w:pPr>
              <w:jc w:val="center"/>
              <w:rPr>
                <w:lang w:eastAsia="en-US"/>
              </w:rPr>
            </w:pPr>
            <w:r w:rsidRPr="00CF6837">
              <w:rPr>
                <w:lang w:eastAsia="en-US"/>
              </w:rPr>
              <w:t>0</w:t>
            </w:r>
          </w:p>
        </w:tc>
        <w:tc>
          <w:tcPr>
            <w:tcW w:w="1276" w:type="dxa"/>
            <w:shd w:val="clear" w:color="auto" w:fill="FFFFFF"/>
            <w:vAlign w:val="center"/>
            <w:hideMark/>
          </w:tcPr>
          <w:p w14:paraId="7931C298" w14:textId="7759C26B" w:rsidR="00FD6ECE" w:rsidRPr="00B0447B" w:rsidRDefault="00FD6ECE" w:rsidP="00FD6ECE">
            <w:pPr>
              <w:jc w:val="center"/>
              <w:rPr>
                <w:lang w:eastAsia="en-US"/>
              </w:rPr>
            </w:pPr>
            <w:r w:rsidRPr="00CF6837">
              <w:rPr>
                <w:lang w:eastAsia="en-US"/>
              </w:rPr>
              <w:t>0</w:t>
            </w:r>
          </w:p>
        </w:tc>
        <w:tc>
          <w:tcPr>
            <w:tcW w:w="1276" w:type="dxa"/>
            <w:shd w:val="clear" w:color="auto" w:fill="FFFFFF"/>
            <w:vAlign w:val="center"/>
            <w:hideMark/>
          </w:tcPr>
          <w:p w14:paraId="05032720" w14:textId="7B8B62BC" w:rsidR="00FD6ECE" w:rsidRPr="00B0447B" w:rsidRDefault="00FD6ECE" w:rsidP="00FD6ECE">
            <w:pPr>
              <w:jc w:val="center"/>
            </w:pPr>
            <w:r w:rsidRPr="00CF6837">
              <w:rPr>
                <w:lang w:eastAsia="en-US"/>
              </w:rPr>
              <w:t>0</w:t>
            </w:r>
          </w:p>
        </w:tc>
        <w:tc>
          <w:tcPr>
            <w:tcW w:w="1276" w:type="dxa"/>
            <w:shd w:val="clear" w:color="auto" w:fill="FFFFFF"/>
            <w:vAlign w:val="center"/>
            <w:hideMark/>
          </w:tcPr>
          <w:p w14:paraId="6500AB4C" w14:textId="1B24D126" w:rsidR="00FD6ECE" w:rsidRPr="00B0447B" w:rsidRDefault="00FD6ECE" w:rsidP="00FD6ECE">
            <w:pPr>
              <w:jc w:val="center"/>
            </w:pPr>
            <w:r w:rsidRPr="00CF6837">
              <w:rPr>
                <w:lang w:eastAsia="en-US"/>
              </w:rPr>
              <w:t>0</w:t>
            </w:r>
          </w:p>
        </w:tc>
        <w:tc>
          <w:tcPr>
            <w:tcW w:w="1278" w:type="dxa"/>
            <w:shd w:val="clear" w:color="auto" w:fill="FFFFFF"/>
            <w:vAlign w:val="center"/>
            <w:hideMark/>
          </w:tcPr>
          <w:p w14:paraId="65B8770C" w14:textId="1B9CE770" w:rsidR="00FD6ECE" w:rsidRPr="00B0447B" w:rsidRDefault="00FD6ECE" w:rsidP="00FD6ECE">
            <w:pPr>
              <w:jc w:val="center"/>
              <w:rPr>
                <w:lang w:eastAsia="en-US"/>
              </w:rPr>
            </w:pPr>
            <w:r w:rsidRPr="00CF6837">
              <w:rPr>
                <w:lang w:eastAsia="en-US"/>
              </w:rPr>
              <w:t>0</w:t>
            </w:r>
          </w:p>
        </w:tc>
      </w:tr>
      <w:tr w:rsidR="00FD6ECE" w14:paraId="05938C58" w14:textId="77777777" w:rsidTr="00BF09E0">
        <w:tc>
          <w:tcPr>
            <w:tcW w:w="1702" w:type="dxa"/>
            <w:shd w:val="clear" w:color="auto" w:fill="auto"/>
            <w:hideMark/>
          </w:tcPr>
          <w:p w14:paraId="7447E159" w14:textId="77777777" w:rsidR="00FD6ECE" w:rsidRPr="00B0447B" w:rsidRDefault="00FD6ECE" w:rsidP="003E0059">
            <w:pPr>
              <w:rPr>
                <w:lang w:eastAsia="en-US"/>
              </w:rPr>
            </w:pPr>
            <w:r w:rsidRPr="00B0447B">
              <w:rPr>
                <w:lang w:eastAsia="en-US"/>
              </w:rPr>
              <w:t xml:space="preserve">1.1. valsts pamatbudžets, </w:t>
            </w:r>
            <w:r w:rsidRPr="00B0447B">
              <w:rPr>
                <w:lang w:eastAsia="en-US"/>
              </w:rPr>
              <w:lastRenderedPageBreak/>
              <w:t>tai skaitā ieņēmumi no maksas pakalpojumiem un citi pašu ieņēmumi</w:t>
            </w:r>
          </w:p>
        </w:tc>
        <w:tc>
          <w:tcPr>
            <w:tcW w:w="992" w:type="dxa"/>
            <w:shd w:val="clear" w:color="auto" w:fill="auto"/>
            <w:vAlign w:val="center"/>
            <w:hideMark/>
          </w:tcPr>
          <w:p w14:paraId="049D19D5" w14:textId="77777777" w:rsidR="00FD6ECE" w:rsidRPr="00B0447B" w:rsidRDefault="00FD6ECE" w:rsidP="003E0059">
            <w:pPr>
              <w:jc w:val="center"/>
              <w:rPr>
                <w:lang w:eastAsia="en-US"/>
              </w:rPr>
            </w:pPr>
            <w:r w:rsidRPr="00B0447B">
              <w:rPr>
                <w:lang w:eastAsia="en-US"/>
              </w:rPr>
              <w:lastRenderedPageBreak/>
              <w:t>0</w:t>
            </w:r>
          </w:p>
        </w:tc>
        <w:tc>
          <w:tcPr>
            <w:tcW w:w="1131" w:type="dxa"/>
            <w:shd w:val="clear" w:color="auto" w:fill="auto"/>
            <w:vAlign w:val="center"/>
            <w:hideMark/>
          </w:tcPr>
          <w:p w14:paraId="19F4B5A8" w14:textId="77777777" w:rsidR="00FD6ECE" w:rsidRPr="00B0447B" w:rsidRDefault="00FD6ECE" w:rsidP="003E0059">
            <w:pPr>
              <w:jc w:val="center"/>
              <w:rPr>
                <w:lang w:eastAsia="en-US"/>
              </w:rPr>
            </w:pPr>
            <w:r w:rsidRPr="00B0447B">
              <w:rPr>
                <w:lang w:eastAsia="en-US"/>
              </w:rPr>
              <w:t>0</w:t>
            </w:r>
          </w:p>
        </w:tc>
        <w:tc>
          <w:tcPr>
            <w:tcW w:w="1258" w:type="dxa"/>
            <w:shd w:val="clear" w:color="auto" w:fill="auto"/>
            <w:vAlign w:val="center"/>
            <w:hideMark/>
          </w:tcPr>
          <w:p w14:paraId="5BE9A720" w14:textId="454B8149" w:rsidR="00FD6ECE" w:rsidRPr="00B0447B" w:rsidRDefault="00FD6ECE" w:rsidP="00FD6ECE">
            <w:pPr>
              <w:jc w:val="center"/>
            </w:pPr>
            <w:r w:rsidRPr="00FC1886">
              <w:rPr>
                <w:lang w:eastAsia="en-US"/>
              </w:rPr>
              <w:t>0</w:t>
            </w:r>
          </w:p>
        </w:tc>
        <w:tc>
          <w:tcPr>
            <w:tcW w:w="1276" w:type="dxa"/>
            <w:shd w:val="clear" w:color="auto" w:fill="auto"/>
            <w:vAlign w:val="center"/>
            <w:hideMark/>
          </w:tcPr>
          <w:p w14:paraId="2DBD6033" w14:textId="5DF5E07A" w:rsidR="00FD6ECE" w:rsidRPr="00B0447B" w:rsidRDefault="00FD6ECE" w:rsidP="00FD6ECE">
            <w:pPr>
              <w:jc w:val="center"/>
            </w:pPr>
            <w:r w:rsidRPr="00FC1886">
              <w:rPr>
                <w:lang w:eastAsia="en-US"/>
              </w:rPr>
              <w:t>0</w:t>
            </w:r>
          </w:p>
        </w:tc>
        <w:tc>
          <w:tcPr>
            <w:tcW w:w="1276" w:type="dxa"/>
            <w:shd w:val="clear" w:color="auto" w:fill="auto"/>
            <w:vAlign w:val="center"/>
            <w:hideMark/>
          </w:tcPr>
          <w:p w14:paraId="55205BBE" w14:textId="004B7709" w:rsidR="00FD6ECE" w:rsidRPr="00B0447B" w:rsidRDefault="00FD6ECE" w:rsidP="00FD6ECE">
            <w:pPr>
              <w:jc w:val="center"/>
            </w:pPr>
            <w:r w:rsidRPr="00FC1886">
              <w:rPr>
                <w:lang w:eastAsia="en-US"/>
              </w:rPr>
              <w:t>0</w:t>
            </w:r>
          </w:p>
        </w:tc>
        <w:tc>
          <w:tcPr>
            <w:tcW w:w="1276" w:type="dxa"/>
            <w:shd w:val="clear" w:color="auto" w:fill="auto"/>
            <w:vAlign w:val="center"/>
            <w:hideMark/>
          </w:tcPr>
          <w:p w14:paraId="556C7258" w14:textId="42382444" w:rsidR="00FD6ECE" w:rsidRPr="00B0447B" w:rsidRDefault="00FD6ECE" w:rsidP="00FD6ECE">
            <w:pPr>
              <w:jc w:val="center"/>
            </w:pPr>
            <w:r w:rsidRPr="00FC1886">
              <w:rPr>
                <w:lang w:eastAsia="en-US"/>
              </w:rPr>
              <w:t>0</w:t>
            </w:r>
          </w:p>
        </w:tc>
        <w:tc>
          <w:tcPr>
            <w:tcW w:w="1278" w:type="dxa"/>
            <w:shd w:val="clear" w:color="auto" w:fill="auto"/>
            <w:vAlign w:val="center"/>
            <w:hideMark/>
          </w:tcPr>
          <w:p w14:paraId="3C6B9081" w14:textId="285466D0" w:rsidR="00FD6ECE" w:rsidRPr="00B0447B" w:rsidRDefault="00FD6ECE" w:rsidP="00FD6ECE">
            <w:pPr>
              <w:jc w:val="center"/>
            </w:pPr>
            <w:r w:rsidRPr="00FC1886">
              <w:rPr>
                <w:lang w:eastAsia="en-US"/>
              </w:rPr>
              <w:t>0</w:t>
            </w:r>
          </w:p>
        </w:tc>
      </w:tr>
      <w:tr w:rsidR="00A447E3" w:rsidRPr="00A02093" w14:paraId="055D7118" w14:textId="77777777" w:rsidTr="00BF09E0">
        <w:tc>
          <w:tcPr>
            <w:tcW w:w="1702" w:type="dxa"/>
            <w:shd w:val="clear" w:color="auto" w:fill="auto"/>
            <w:hideMark/>
          </w:tcPr>
          <w:p w14:paraId="087BB987" w14:textId="77777777" w:rsidR="00A447E3" w:rsidRPr="00B0447B" w:rsidRDefault="00A447E3" w:rsidP="003E0059">
            <w:pPr>
              <w:rPr>
                <w:lang w:eastAsia="en-US"/>
              </w:rPr>
            </w:pPr>
            <w:r w:rsidRPr="00B0447B">
              <w:rPr>
                <w:lang w:eastAsia="en-US"/>
              </w:rPr>
              <w:lastRenderedPageBreak/>
              <w:t>1.2. valsts speciālais budžets</w:t>
            </w:r>
          </w:p>
        </w:tc>
        <w:tc>
          <w:tcPr>
            <w:tcW w:w="992" w:type="dxa"/>
            <w:shd w:val="clear" w:color="auto" w:fill="auto"/>
            <w:vAlign w:val="center"/>
            <w:hideMark/>
          </w:tcPr>
          <w:p w14:paraId="0D89344E"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63A85A04" w14:textId="77777777" w:rsidR="00A447E3" w:rsidRPr="00B0447B" w:rsidRDefault="00A447E3" w:rsidP="003E0059">
            <w:pPr>
              <w:jc w:val="center"/>
              <w:rPr>
                <w:lang w:eastAsia="en-US"/>
              </w:rPr>
            </w:pPr>
            <w:r w:rsidRPr="00B0447B">
              <w:rPr>
                <w:lang w:eastAsia="en-US"/>
              </w:rPr>
              <w:t>0</w:t>
            </w:r>
          </w:p>
        </w:tc>
        <w:tc>
          <w:tcPr>
            <w:tcW w:w="1258" w:type="dxa"/>
            <w:shd w:val="clear" w:color="auto" w:fill="auto"/>
            <w:vAlign w:val="center"/>
            <w:hideMark/>
          </w:tcPr>
          <w:p w14:paraId="4C9248CF"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2300029F"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527143EF"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5E480E2D"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0D54B2D6" w14:textId="77777777" w:rsidR="00A447E3" w:rsidRPr="00B0447B" w:rsidRDefault="00A447E3" w:rsidP="003E0059">
            <w:pPr>
              <w:jc w:val="center"/>
              <w:rPr>
                <w:lang w:eastAsia="en-US"/>
              </w:rPr>
            </w:pPr>
            <w:r w:rsidRPr="00B0447B">
              <w:rPr>
                <w:lang w:eastAsia="en-US"/>
              </w:rPr>
              <w:t>0</w:t>
            </w:r>
          </w:p>
        </w:tc>
      </w:tr>
      <w:tr w:rsidR="00FD6ECE" w14:paraId="2F16D757" w14:textId="77777777" w:rsidTr="00BF09E0">
        <w:tc>
          <w:tcPr>
            <w:tcW w:w="1702" w:type="dxa"/>
            <w:shd w:val="clear" w:color="auto" w:fill="auto"/>
            <w:hideMark/>
          </w:tcPr>
          <w:p w14:paraId="6CC865C8" w14:textId="77777777" w:rsidR="00FD6ECE" w:rsidRPr="00B0447B" w:rsidRDefault="00FD6ECE" w:rsidP="003E0059">
            <w:pPr>
              <w:rPr>
                <w:lang w:eastAsia="en-US"/>
              </w:rPr>
            </w:pPr>
            <w:r w:rsidRPr="00B0447B">
              <w:rPr>
                <w:lang w:eastAsia="en-US"/>
              </w:rPr>
              <w:t>1.3. pašvaldību budžets</w:t>
            </w:r>
          </w:p>
        </w:tc>
        <w:tc>
          <w:tcPr>
            <w:tcW w:w="992" w:type="dxa"/>
            <w:shd w:val="clear" w:color="auto" w:fill="auto"/>
            <w:vAlign w:val="center"/>
            <w:hideMark/>
          </w:tcPr>
          <w:p w14:paraId="5EF58F1C" w14:textId="77777777" w:rsidR="00FD6ECE" w:rsidRPr="00B0447B" w:rsidRDefault="00FD6ECE" w:rsidP="003E0059">
            <w:pPr>
              <w:jc w:val="center"/>
              <w:rPr>
                <w:lang w:eastAsia="en-US"/>
              </w:rPr>
            </w:pPr>
            <w:r w:rsidRPr="00B0447B">
              <w:rPr>
                <w:lang w:eastAsia="en-US"/>
              </w:rPr>
              <w:t>0</w:t>
            </w:r>
          </w:p>
        </w:tc>
        <w:tc>
          <w:tcPr>
            <w:tcW w:w="1131" w:type="dxa"/>
            <w:shd w:val="clear" w:color="auto" w:fill="auto"/>
            <w:vAlign w:val="center"/>
            <w:hideMark/>
          </w:tcPr>
          <w:p w14:paraId="0D7FFCC4" w14:textId="77777777" w:rsidR="00FD6ECE" w:rsidRPr="00B0447B" w:rsidRDefault="00FD6ECE" w:rsidP="003E0059">
            <w:pPr>
              <w:jc w:val="center"/>
              <w:rPr>
                <w:lang w:eastAsia="en-US"/>
              </w:rPr>
            </w:pPr>
            <w:r w:rsidRPr="00B0447B">
              <w:rPr>
                <w:lang w:eastAsia="en-US"/>
              </w:rPr>
              <w:t>0</w:t>
            </w:r>
          </w:p>
        </w:tc>
        <w:tc>
          <w:tcPr>
            <w:tcW w:w="1258" w:type="dxa"/>
            <w:shd w:val="clear" w:color="auto" w:fill="auto"/>
            <w:vAlign w:val="center"/>
            <w:hideMark/>
          </w:tcPr>
          <w:p w14:paraId="0210ABA5" w14:textId="2474F750" w:rsidR="00FD6ECE" w:rsidRPr="00B0447B" w:rsidRDefault="00FD6ECE" w:rsidP="00FD6ECE">
            <w:pPr>
              <w:jc w:val="center"/>
            </w:pPr>
            <w:r w:rsidRPr="003D5959">
              <w:rPr>
                <w:lang w:eastAsia="en-US"/>
              </w:rPr>
              <w:t>0</w:t>
            </w:r>
          </w:p>
        </w:tc>
        <w:tc>
          <w:tcPr>
            <w:tcW w:w="1276" w:type="dxa"/>
            <w:shd w:val="clear" w:color="auto" w:fill="auto"/>
            <w:vAlign w:val="center"/>
            <w:hideMark/>
          </w:tcPr>
          <w:p w14:paraId="54959482" w14:textId="657AC47A" w:rsidR="00FD6ECE" w:rsidRPr="00B0447B" w:rsidRDefault="00FD6ECE" w:rsidP="00FD6ECE">
            <w:pPr>
              <w:jc w:val="center"/>
            </w:pPr>
            <w:r w:rsidRPr="003D5959">
              <w:rPr>
                <w:lang w:eastAsia="en-US"/>
              </w:rPr>
              <w:t>0</w:t>
            </w:r>
          </w:p>
        </w:tc>
        <w:tc>
          <w:tcPr>
            <w:tcW w:w="1276" w:type="dxa"/>
            <w:shd w:val="clear" w:color="auto" w:fill="auto"/>
            <w:vAlign w:val="center"/>
            <w:hideMark/>
          </w:tcPr>
          <w:p w14:paraId="096F2895" w14:textId="23A270BF" w:rsidR="00FD6ECE" w:rsidRPr="00B0447B" w:rsidRDefault="00FD6ECE" w:rsidP="00FD6ECE">
            <w:pPr>
              <w:jc w:val="center"/>
            </w:pPr>
            <w:r w:rsidRPr="003D5959">
              <w:rPr>
                <w:lang w:eastAsia="en-US"/>
              </w:rPr>
              <w:t>0</w:t>
            </w:r>
          </w:p>
        </w:tc>
        <w:tc>
          <w:tcPr>
            <w:tcW w:w="1276" w:type="dxa"/>
            <w:shd w:val="clear" w:color="auto" w:fill="auto"/>
            <w:vAlign w:val="center"/>
            <w:hideMark/>
          </w:tcPr>
          <w:p w14:paraId="08748F15" w14:textId="13ECBA92" w:rsidR="00FD6ECE" w:rsidRPr="00B0447B" w:rsidRDefault="00FD6ECE" w:rsidP="00FD6ECE">
            <w:pPr>
              <w:jc w:val="center"/>
            </w:pPr>
            <w:r w:rsidRPr="003D5959">
              <w:rPr>
                <w:lang w:eastAsia="en-US"/>
              </w:rPr>
              <w:t>0</w:t>
            </w:r>
          </w:p>
        </w:tc>
        <w:tc>
          <w:tcPr>
            <w:tcW w:w="1278" w:type="dxa"/>
            <w:shd w:val="clear" w:color="auto" w:fill="auto"/>
            <w:vAlign w:val="center"/>
            <w:hideMark/>
          </w:tcPr>
          <w:p w14:paraId="7AA1DFE2" w14:textId="4A063A0C" w:rsidR="00FD6ECE" w:rsidRPr="00B0447B" w:rsidRDefault="00FD6ECE" w:rsidP="00FD6ECE">
            <w:pPr>
              <w:jc w:val="center"/>
            </w:pPr>
            <w:r w:rsidRPr="003D5959">
              <w:rPr>
                <w:lang w:eastAsia="en-US"/>
              </w:rPr>
              <w:t>0</w:t>
            </w:r>
          </w:p>
        </w:tc>
      </w:tr>
      <w:tr w:rsidR="00A447E3" w:rsidRPr="00A02093" w14:paraId="2B05BCD0" w14:textId="77777777" w:rsidTr="00BF09E0">
        <w:tc>
          <w:tcPr>
            <w:tcW w:w="1702" w:type="dxa"/>
            <w:shd w:val="clear" w:color="auto" w:fill="auto"/>
            <w:hideMark/>
          </w:tcPr>
          <w:p w14:paraId="1A4FF036" w14:textId="77777777" w:rsidR="00A447E3" w:rsidRPr="00B0447B" w:rsidRDefault="00A447E3" w:rsidP="003E0059">
            <w:pPr>
              <w:rPr>
                <w:lang w:eastAsia="en-US"/>
              </w:rPr>
            </w:pPr>
            <w:r w:rsidRPr="00B0447B">
              <w:rPr>
                <w:lang w:eastAsia="en-US"/>
              </w:rPr>
              <w:t>2. Budžeta izdevumi</w:t>
            </w:r>
          </w:p>
        </w:tc>
        <w:tc>
          <w:tcPr>
            <w:tcW w:w="992" w:type="dxa"/>
            <w:shd w:val="clear" w:color="auto" w:fill="auto"/>
            <w:vAlign w:val="center"/>
            <w:hideMark/>
          </w:tcPr>
          <w:p w14:paraId="07BF05A9"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4648E728" w14:textId="5CC44025" w:rsidR="00A447E3" w:rsidRPr="00B0447B" w:rsidRDefault="007F3CF9" w:rsidP="003E0059">
            <w:pPr>
              <w:jc w:val="center"/>
              <w:rPr>
                <w:lang w:eastAsia="en-US"/>
              </w:rPr>
            </w:pPr>
            <w:r>
              <w:rPr>
                <w:lang w:eastAsia="en-US"/>
              </w:rPr>
              <w:t>-2400</w:t>
            </w:r>
          </w:p>
        </w:tc>
        <w:tc>
          <w:tcPr>
            <w:tcW w:w="1258" w:type="dxa"/>
            <w:shd w:val="clear" w:color="auto" w:fill="auto"/>
            <w:vAlign w:val="center"/>
            <w:hideMark/>
          </w:tcPr>
          <w:p w14:paraId="75D8BD4C"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16E30FA9" w14:textId="29B7F7AD" w:rsidR="00A447E3" w:rsidRPr="00B0447B" w:rsidRDefault="007F3CF9" w:rsidP="003E0059">
            <w:pPr>
              <w:jc w:val="center"/>
              <w:rPr>
                <w:lang w:eastAsia="en-US"/>
              </w:rPr>
            </w:pPr>
            <w:r>
              <w:rPr>
                <w:lang w:eastAsia="en-US"/>
              </w:rPr>
              <w:t>-2400</w:t>
            </w:r>
          </w:p>
        </w:tc>
        <w:tc>
          <w:tcPr>
            <w:tcW w:w="1276" w:type="dxa"/>
            <w:shd w:val="clear" w:color="auto" w:fill="auto"/>
            <w:vAlign w:val="center"/>
            <w:hideMark/>
          </w:tcPr>
          <w:p w14:paraId="1FDC9466"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6C35C3E6" w14:textId="14815938" w:rsidR="00A447E3" w:rsidRPr="00B0447B" w:rsidRDefault="007F3CF9" w:rsidP="003E0059">
            <w:pPr>
              <w:jc w:val="center"/>
              <w:rPr>
                <w:lang w:eastAsia="en-US"/>
              </w:rPr>
            </w:pPr>
            <w:r>
              <w:rPr>
                <w:lang w:eastAsia="en-US"/>
              </w:rPr>
              <w:t>-2400</w:t>
            </w:r>
          </w:p>
        </w:tc>
        <w:tc>
          <w:tcPr>
            <w:tcW w:w="1278" w:type="dxa"/>
            <w:shd w:val="clear" w:color="auto" w:fill="auto"/>
            <w:vAlign w:val="center"/>
            <w:hideMark/>
          </w:tcPr>
          <w:p w14:paraId="65A94D42" w14:textId="1158936A" w:rsidR="00A447E3" w:rsidRPr="00B0447B" w:rsidRDefault="007F3CF9" w:rsidP="003E0059">
            <w:pPr>
              <w:jc w:val="center"/>
              <w:rPr>
                <w:lang w:eastAsia="en-US"/>
              </w:rPr>
            </w:pPr>
            <w:r>
              <w:rPr>
                <w:lang w:eastAsia="en-US"/>
              </w:rPr>
              <w:t>-2400</w:t>
            </w:r>
          </w:p>
        </w:tc>
      </w:tr>
      <w:tr w:rsidR="00A447E3" w:rsidRPr="00A02093" w14:paraId="49DFA239" w14:textId="77777777" w:rsidTr="00BF09E0">
        <w:tc>
          <w:tcPr>
            <w:tcW w:w="1702" w:type="dxa"/>
            <w:shd w:val="clear" w:color="auto" w:fill="auto"/>
            <w:hideMark/>
          </w:tcPr>
          <w:p w14:paraId="16293741" w14:textId="77777777" w:rsidR="00A447E3" w:rsidRPr="00B0447B" w:rsidRDefault="00A447E3" w:rsidP="003E0059">
            <w:pPr>
              <w:rPr>
                <w:lang w:eastAsia="en-US"/>
              </w:rPr>
            </w:pPr>
            <w:r w:rsidRPr="00B0447B">
              <w:rPr>
                <w:lang w:eastAsia="en-US"/>
              </w:rPr>
              <w:t>2.1. valsts pamatbudžets</w:t>
            </w:r>
          </w:p>
        </w:tc>
        <w:tc>
          <w:tcPr>
            <w:tcW w:w="992" w:type="dxa"/>
            <w:shd w:val="clear" w:color="auto" w:fill="auto"/>
            <w:vAlign w:val="center"/>
            <w:hideMark/>
          </w:tcPr>
          <w:p w14:paraId="46397B39"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263925E8" w14:textId="1E4CCCBE" w:rsidR="00A447E3" w:rsidRPr="00B0447B" w:rsidRDefault="007F3CF9" w:rsidP="003E0059">
            <w:pPr>
              <w:jc w:val="center"/>
              <w:rPr>
                <w:lang w:eastAsia="en-US"/>
              </w:rPr>
            </w:pPr>
            <w:r>
              <w:rPr>
                <w:lang w:eastAsia="en-US"/>
              </w:rPr>
              <w:t>-2400</w:t>
            </w:r>
          </w:p>
        </w:tc>
        <w:tc>
          <w:tcPr>
            <w:tcW w:w="1258" w:type="dxa"/>
            <w:shd w:val="clear" w:color="auto" w:fill="auto"/>
            <w:vAlign w:val="center"/>
            <w:hideMark/>
          </w:tcPr>
          <w:p w14:paraId="796FF3D8"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56EA9902" w14:textId="46C18575" w:rsidR="00A447E3" w:rsidRPr="00B0447B" w:rsidRDefault="007F3CF9" w:rsidP="003E0059">
            <w:pPr>
              <w:jc w:val="center"/>
              <w:rPr>
                <w:lang w:eastAsia="en-US"/>
              </w:rPr>
            </w:pPr>
            <w:r>
              <w:rPr>
                <w:lang w:eastAsia="en-US"/>
              </w:rPr>
              <w:t>-2400</w:t>
            </w:r>
          </w:p>
        </w:tc>
        <w:tc>
          <w:tcPr>
            <w:tcW w:w="1276" w:type="dxa"/>
            <w:shd w:val="clear" w:color="auto" w:fill="auto"/>
            <w:vAlign w:val="center"/>
            <w:hideMark/>
          </w:tcPr>
          <w:p w14:paraId="00FCBF04"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7B38B565" w14:textId="1E483A5C" w:rsidR="00A447E3" w:rsidRPr="00B0447B" w:rsidRDefault="007F3CF9" w:rsidP="003E0059">
            <w:pPr>
              <w:jc w:val="center"/>
              <w:rPr>
                <w:lang w:eastAsia="en-US"/>
              </w:rPr>
            </w:pPr>
            <w:r>
              <w:rPr>
                <w:lang w:eastAsia="en-US"/>
              </w:rPr>
              <w:t>-2400</w:t>
            </w:r>
          </w:p>
        </w:tc>
        <w:tc>
          <w:tcPr>
            <w:tcW w:w="1278" w:type="dxa"/>
            <w:shd w:val="clear" w:color="auto" w:fill="auto"/>
            <w:vAlign w:val="center"/>
            <w:hideMark/>
          </w:tcPr>
          <w:p w14:paraId="4993E5B1" w14:textId="45CB908A" w:rsidR="00A447E3" w:rsidRPr="00B0447B" w:rsidRDefault="007F3CF9" w:rsidP="003E0059">
            <w:pPr>
              <w:jc w:val="center"/>
              <w:rPr>
                <w:lang w:eastAsia="en-US"/>
              </w:rPr>
            </w:pPr>
            <w:r>
              <w:rPr>
                <w:lang w:eastAsia="en-US"/>
              </w:rPr>
              <w:t>-2400</w:t>
            </w:r>
          </w:p>
        </w:tc>
      </w:tr>
      <w:tr w:rsidR="00A447E3" w:rsidRPr="00DB5DCA" w14:paraId="09C3AFA7" w14:textId="77777777" w:rsidTr="00BF09E0">
        <w:tc>
          <w:tcPr>
            <w:tcW w:w="1702" w:type="dxa"/>
            <w:shd w:val="clear" w:color="auto" w:fill="auto"/>
            <w:hideMark/>
          </w:tcPr>
          <w:p w14:paraId="235F4644" w14:textId="77777777" w:rsidR="00A447E3" w:rsidRPr="00B0447B" w:rsidRDefault="00A447E3" w:rsidP="003E0059">
            <w:pPr>
              <w:rPr>
                <w:lang w:eastAsia="en-US"/>
              </w:rPr>
            </w:pPr>
            <w:r w:rsidRPr="00B0447B">
              <w:rPr>
                <w:lang w:eastAsia="en-US"/>
              </w:rPr>
              <w:t>2.2. valsts speciālais budžets</w:t>
            </w:r>
          </w:p>
        </w:tc>
        <w:tc>
          <w:tcPr>
            <w:tcW w:w="992" w:type="dxa"/>
            <w:shd w:val="clear" w:color="auto" w:fill="auto"/>
            <w:vAlign w:val="center"/>
            <w:hideMark/>
          </w:tcPr>
          <w:p w14:paraId="19176537"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31929F89" w14:textId="77777777" w:rsidR="00A447E3" w:rsidRPr="00B0447B" w:rsidRDefault="00A447E3" w:rsidP="003E0059">
            <w:pPr>
              <w:jc w:val="center"/>
              <w:rPr>
                <w:lang w:eastAsia="en-US"/>
              </w:rPr>
            </w:pPr>
            <w:r w:rsidRPr="00B0447B">
              <w:rPr>
                <w:lang w:eastAsia="en-US"/>
              </w:rPr>
              <w:t>0</w:t>
            </w:r>
          </w:p>
        </w:tc>
        <w:tc>
          <w:tcPr>
            <w:tcW w:w="1258" w:type="dxa"/>
            <w:shd w:val="clear" w:color="auto" w:fill="auto"/>
            <w:vAlign w:val="center"/>
            <w:hideMark/>
          </w:tcPr>
          <w:p w14:paraId="60FF1938"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35775A01"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3EC497FA"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170733D4"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0A5C15F9" w14:textId="77777777" w:rsidR="00A447E3" w:rsidRPr="00B0447B" w:rsidRDefault="00A447E3" w:rsidP="003E0059">
            <w:pPr>
              <w:jc w:val="center"/>
              <w:rPr>
                <w:lang w:eastAsia="en-US"/>
              </w:rPr>
            </w:pPr>
            <w:r w:rsidRPr="00B0447B">
              <w:rPr>
                <w:lang w:eastAsia="en-US"/>
              </w:rPr>
              <w:t>0</w:t>
            </w:r>
          </w:p>
        </w:tc>
      </w:tr>
      <w:tr w:rsidR="00A447E3" w:rsidRPr="00DB5DCA" w14:paraId="0CF546A2" w14:textId="77777777" w:rsidTr="00BF09E0">
        <w:tc>
          <w:tcPr>
            <w:tcW w:w="1702" w:type="dxa"/>
            <w:shd w:val="clear" w:color="auto" w:fill="auto"/>
            <w:hideMark/>
          </w:tcPr>
          <w:p w14:paraId="33364401" w14:textId="77777777" w:rsidR="00A447E3" w:rsidRPr="00B0447B" w:rsidRDefault="00A447E3" w:rsidP="003E0059">
            <w:pPr>
              <w:rPr>
                <w:lang w:eastAsia="en-US"/>
              </w:rPr>
            </w:pPr>
            <w:r w:rsidRPr="00B0447B">
              <w:rPr>
                <w:lang w:eastAsia="en-US"/>
              </w:rPr>
              <w:t>2.3. pašvaldību budžets</w:t>
            </w:r>
          </w:p>
        </w:tc>
        <w:tc>
          <w:tcPr>
            <w:tcW w:w="992" w:type="dxa"/>
            <w:shd w:val="clear" w:color="auto" w:fill="auto"/>
            <w:vAlign w:val="center"/>
            <w:hideMark/>
          </w:tcPr>
          <w:p w14:paraId="43DBA5E4"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5C77F943" w14:textId="77777777" w:rsidR="00A447E3" w:rsidRPr="00B0447B" w:rsidRDefault="00A447E3" w:rsidP="003E0059">
            <w:pPr>
              <w:jc w:val="center"/>
              <w:rPr>
                <w:lang w:eastAsia="en-US"/>
              </w:rPr>
            </w:pPr>
            <w:r w:rsidRPr="00B0447B">
              <w:rPr>
                <w:lang w:eastAsia="en-US"/>
              </w:rPr>
              <w:t>0</w:t>
            </w:r>
          </w:p>
        </w:tc>
        <w:tc>
          <w:tcPr>
            <w:tcW w:w="1258" w:type="dxa"/>
            <w:shd w:val="clear" w:color="auto" w:fill="auto"/>
            <w:vAlign w:val="center"/>
            <w:hideMark/>
          </w:tcPr>
          <w:p w14:paraId="01A26C97"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4F2C89E3"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7AB2A9AC"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3324197B"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0AF2500A" w14:textId="77777777" w:rsidR="00A447E3" w:rsidRPr="00B0447B" w:rsidRDefault="00A447E3" w:rsidP="003E0059">
            <w:pPr>
              <w:jc w:val="center"/>
              <w:rPr>
                <w:lang w:eastAsia="en-US"/>
              </w:rPr>
            </w:pPr>
            <w:r w:rsidRPr="00B0447B">
              <w:rPr>
                <w:lang w:eastAsia="en-US"/>
              </w:rPr>
              <w:t>0</w:t>
            </w:r>
          </w:p>
        </w:tc>
      </w:tr>
      <w:tr w:rsidR="00A447E3" w:rsidRPr="00DB5DCA" w14:paraId="79513DD6" w14:textId="77777777" w:rsidTr="00BF09E0">
        <w:tc>
          <w:tcPr>
            <w:tcW w:w="1702" w:type="dxa"/>
            <w:shd w:val="clear" w:color="auto" w:fill="auto"/>
            <w:hideMark/>
          </w:tcPr>
          <w:p w14:paraId="38A374C4" w14:textId="77777777" w:rsidR="00A447E3" w:rsidRPr="00B0447B" w:rsidRDefault="00A447E3" w:rsidP="003E0059">
            <w:pPr>
              <w:rPr>
                <w:lang w:eastAsia="en-US"/>
              </w:rPr>
            </w:pPr>
            <w:r w:rsidRPr="00B0447B">
              <w:rPr>
                <w:lang w:eastAsia="en-US"/>
              </w:rPr>
              <w:t>3. Finansiālā ietekme</w:t>
            </w:r>
          </w:p>
        </w:tc>
        <w:tc>
          <w:tcPr>
            <w:tcW w:w="992" w:type="dxa"/>
            <w:shd w:val="clear" w:color="auto" w:fill="auto"/>
            <w:vAlign w:val="center"/>
            <w:hideMark/>
          </w:tcPr>
          <w:p w14:paraId="71C35AB7"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6E7C24AD" w14:textId="77777777" w:rsidR="00A447E3" w:rsidRPr="00B0447B" w:rsidRDefault="00A447E3" w:rsidP="003E0059">
            <w:pPr>
              <w:jc w:val="center"/>
              <w:rPr>
                <w:lang w:eastAsia="en-US"/>
              </w:rPr>
            </w:pPr>
            <w:r w:rsidRPr="00B0447B">
              <w:rPr>
                <w:lang w:eastAsia="en-US"/>
              </w:rPr>
              <w:t>0</w:t>
            </w:r>
          </w:p>
        </w:tc>
        <w:tc>
          <w:tcPr>
            <w:tcW w:w="1258" w:type="dxa"/>
            <w:shd w:val="clear" w:color="auto" w:fill="auto"/>
            <w:vAlign w:val="center"/>
            <w:hideMark/>
          </w:tcPr>
          <w:p w14:paraId="2B97E6FA"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7D84CE79"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6AF1E700"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5D37CC2E"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40A0F12E" w14:textId="77777777" w:rsidR="00A447E3" w:rsidRPr="00B0447B" w:rsidRDefault="00A447E3" w:rsidP="003E0059">
            <w:pPr>
              <w:jc w:val="center"/>
              <w:rPr>
                <w:lang w:eastAsia="en-US"/>
              </w:rPr>
            </w:pPr>
            <w:r w:rsidRPr="00B0447B">
              <w:rPr>
                <w:lang w:eastAsia="en-US"/>
              </w:rPr>
              <w:t>0</w:t>
            </w:r>
          </w:p>
        </w:tc>
      </w:tr>
      <w:tr w:rsidR="00FD6ECE" w14:paraId="64DC6EE1" w14:textId="77777777" w:rsidTr="00BF09E0">
        <w:tc>
          <w:tcPr>
            <w:tcW w:w="1702" w:type="dxa"/>
            <w:shd w:val="clear" w:color="auto" w:fill="auto"/>
            <w:hideMark/>
          </w:tcPr>
          <w:p w14:paraId="3CBE2990" w14:textId="77777777" w:rsidR="00FD6ECE" w:rsidRPr="00B0447B" w:rsidRDefault="00FD6ECE" w:rsidP="003E0059">
            <w:pPr>
              <w:rPr>
                <w:lang w:eastAsia="en-US"/>
              </w:rPr>
            </w:pPr>
            <w:r w:rsidRPr="00B0447B">
              <w:rPr>
                <w:lang w:eastAsia="en-US"/>
              </w:rPr>
              <w:t>3.1. valsts pamatbudžets</w:t>
            </w:r>
          </w:p>
        </w:tc>
        <w:tc>
          <w:tcPr>
            <w:tcW w:w="992" w:type="dxa"/>
            <w:shd w:val="clear" w:color="auto" w:fill="auto"/>
            <w:vAlign w:val="center"/>
            <w:hideMark/>
          </w:tcPr>
          <w:p w14:paraId="664D45AA" w14:textId="77777777" w:rsidR="00FD6ECE" w:rsidRPr="00B0447B" w:rsidRDefault="00FD6ECE" w:rsidP="003E0059">
            <w:pPr>
              <w:jc w:val="center"/>
              <w:rPr>
                <w:lang w:eastAsia="en-US"/>
              </w:rPr>
            </w:pPr>
            <w:r w:rsidRPr="00B0447B">
              <w:rPr>
                <w:lang w:eastAsia="en-US"/>
              </w:rPr>
              <w:t>0</w:t>
            </w:r>
          </w:p>
        </w:tc>
        <w:tc>
          <w:tcPr>
            <w:tcW w:w="1131" w:type="dxa"/>
            <w:shd w:val="clear" w:color="auto" w:fill="auto"/>
            <w:vAlign w:val="center"/>
            <w:hideMark/>
          </w:tcPr>
          <w:p w14:paraId="3D76681E" w14:textId="77777777" w:rsidR="00FD6ECE" w:rsidRPr="00B0447B" w:rsidRDefault="00FD6ECE" w:rsidP="003E0059">
            <w:pPr>
              <w:jc w:val="center"/>
              <w:rPr>
                <w:lang w:eastAsia="en-US"/>
              </w:rPr>
            </w:pPr>
            <w:r w:rsidRPr="00B0447B">
              <w:rPr>
                <w:lang w:eastAsia="en-US"/>
              </w:rPr>
              <w:t>0</w:t>
            </w:r>
          </w:p>
        </w:tc>
        <w:tc>
          <w:tcPr>
            <w:tcW w:w="1258" w:type="dxa"/>
            <w:shd w:val="clear" w:color="auto" w:fill="auto"/>
            <w:vAlign w:val="center"/>
            <w:hideMark/>
          </w:tcPr>
          <w:p w14:paraId="02852D2E" w14:textId="1C015515" w:rsidR="00FD6ECE" w:rsidRPr="00B0447B" w:rsidRDefault="00FD6ECE" w:rsidP="00FD6ECE">
            <w:pPr>
              <w:jc w:val="center"/>
            </w:pPr>
            <w:r w:rsidRPr="00CF77A3">
              <w:rPr>
                <w:lang w:eastAsia="en-US"/>
              </w:rPr>
              <w:t>0</w:t>
            </w:r>
          </w:p>
        </w:tc>
        <w:tc>
          <w:tcPr>
            <w:tcW w:w="1276" w:type="dxa"/>
            <w:shd w:val="clear" w:color="auto" w:fill="auto"/>
            <w:vAlign w:val="center"/>
            <w:hideMark/>
          </w:tcPr>
          <w:p w14:paraId="4A22EEDD" w14:textId="74BEF695" w:rsidR="00FD6ECE" w:rsidRPr="00B0447B" w:rsidRDefault="00FD6ECE" w:rsidP="00FD6ECE">
            <w:pPr>
              <w:jc w:val="center"/>
            </w:pPr>
            <w:r w:rsidRPr="00CF77A3">
              <w:rPr>
                <w:lang w:eastAsia="en-US"/>
              </w:rPr>
              <w:t>0</w:t>
            </w:r>
          </w:p>
        </w:tc>
        <w:tc>
          <w:tcPr>
            <w:tcW w:w="1276" w:type="dxa"/>
            <w:shd w:val="clear" w:color="auto" w:fill="auto"/>
            <w:vAlign w:val="center"/>
            <w:hideMark/>
          </w:tcPr>
          <w:p w14:paraId="3932741F" w14:textId="15AF2255" w:rsidR="00FD6ECE" w:rsidRPr="00B0447B" w:rsidRDefault="00FD6ECE" w:rsidP="00FD6ECE">
            <w:pPr>
              <w:jc w:val="center"/>
            </w:pPr>
            <w:r w:rsidRPr="00CF77A3">
              <w:rPr>
                <w:lang w:eastAsia="en-US"/>
              </w:rPr>
              <w:t>0</w:t>
            </w:r>
          </w:p>
        </w:tc>
        <w:tc>
          <w:tcPr>
            <w:tcW w:w="1276" w:type="dxa"/>
            <w:shd w:val="clear" w:color="auto" w:fill="auto"/>
            <w:vAlign w:val="center"/>
            <w:hideMark/>
          </w:tcPr>
          <w:p w14:paraId="5F9D9FF4" w14:textId="19BA8A95" w:rsidR="00FD6ECE" w:rsidRPr="00B0447B" w:rsidRDefault="00FD6ECE" w:rsidP="00FD6ECE">
            <w:pPr>
              <w:jc w:val="center"/>
            </w:pPr>
            <w:r w:rsidRPr="00CF77A3">
              <w:rPr>
                <w:lang w:eastAsia="en-US"/>
              </w:rPr>
              <w:t>0</w:t>
            </w:r>
          </w:p>
        </w:tc>
        <w:tc>
          <w:tcPr>
            <w:tcW w:w="1278" w:type="dxa"/>
            <w:shd w:val="clear" w:color="auto" w:fill="auto"/>
            <w:vAlign w:val="center"/>
            <w:hideMark/>
          </w:tcPr>
          <w:p w14:paraId="3D0E338D" w14:textId="599FF31C" w:rsidR="00FD6ECE" w:rsidRPr="00B0447B" w:rsidRDefault="00FD6ECE" w:rsidP="00FD6ECE">
            <w:pPr>
              <w:jc w:val="center"/>
            </w:pPr>
            <w:r w:rsidRPr="00CF77A3">
              <w:rPr>
                <w:lang w:eastAsia="en-US"/>
              </w:rPr>
              <w:t>0</w:t>
            </w:r>
          </w:p>
        </w:tc>
      </w:tr>
      <w:tr w:rsidR="00FD6ECE" w14:paraId="2CFE7CCF" w14:textId="77777777" w:rsidTr="00BF09E0">
        <w:tc>
          <w:tcPr>
            <w:tcW w:w="1702" w:type="dxa"/>
            <w:shd w:val="clear" w:color="auto" w:fill="auto"/>
            <w:hideMark/>
          </w:tcPr>
          <w:p w14:paraId="77969297" w14:textId="77777777" w:rsidR="00FD6ECE" w:rsidRPr="00B0447B" w:rsidRDefault="00FD6ECE" w:rsidP="003E0059">
            <w:pPr>
              <w:rPr>
                <w:lang w:eastAsia="en-US"/>
              </w:rPr>
            </w:pPr>
            <w:r w:rsidRPr="00B0447B">
              <w:rPr>
                <w:lang w:eastAsia="en-US"/>
              </w:rPr>
              <w:t>3.2. speciālais budžets</w:t>
            </w:r>
          </w:p>
        </w:tc>
        <w:tc>
          <w:tcPr>
            <w:tcW w:w="992" w:type="dxa"/>
            <w:shd w:val="clear" w:color="auto" w:fill="auto"/>
            <w:vAlign w:val="center"/>
            <w:hideMark/>
          </w:tcPr>
          <w:p w14:paraId="6682976D" w14:textId="77777777" w:rsidR="00FD6ECE" w:rsidRPr="00B0447B" w:rsidRDefault="00FD6ECE" w:rsidP="003E0059">
            <w:pPr>
              <w:jc w:val="center"/>
              <w:rPr>
                <w:lang w:eastAsia="en-US"/>
              </w:rPr>
            </w:pPr>
            <w:r w:rsidRPr="00B0447B">
              <w:rPr>
                <w:lang w:eastAsia="en-US"/>
              </w:rPr>
              <w:t>0</w:t>
            </w:r>
          </w:p>
        </w:tc>
        <w:tc>
          <w:tcPr>
            <w:tcW w:w="1131" w:type="dxa"/>
            <w:shd w:val="clear" w:color="auto" w:fill="auto"/>
            <w:vAlign w:val="center"/>
            <w:hideMark/>
          </w:tcPr>
          <w:p w14:paraId="3AF81214" w14:textId="77777777" w:rsidR="00FD6ECE" w:rsidRPr="00B0447B" w:rsidRDefault="00FD6ECE" w:rsidP="003E0059">
            <w:pPr>
              <w:jc w:val="center"/>
              <w:rPr>
                <w:lang w:eastAsia="en-US"/>
              </w:rPr>
            </w:pPr>
            <w:r w:rsidRPr="00B0447B">
              <w:rPr>
                <w:lang w:eastAsia="en-US"/>
              </w:rPr>
              <w:t>0</w:t>
            </w:r>
          </w:p>
        </w:tc>
        <w:tc>
          <w:tcPr>
            <w:tcW w:w="1258" w:type="dxa"/>
            <w:shd w:val="clear" w:color="auto" w:fill="auto"/>
            <w:vAlign w:val="center"/>
            <w:hideMark/>
          </w:tcPr>
          <w:p w14:paraId="59DA6F2B" w14:textId="2F341FB4" w:rsidR="00FD6ECE" w:rsidRPr="00B0447B" w:rsidRDefault="00FD6ECE" w:rsidP="00FD6ECE">
            <w:pPr>
              <w:jc w:val="center"/>
            </w:pPr>
            <w:r w:rsidRPr="00CF77A3">
              <w:rPr>
                <w:lang w:eastAsia="en-US"/>
              </w:rPr>
              <w:t>0</w:t>
            </w:r>
          </w:p>
        </w:tc>
        <w:tc>
          <w:tcPr>
            <w:tcW w:w="1276" w:type="dxa"/>
            <w:shd w:val="clear" w:color="auto" w:fill="auto"/>
            <w:vAlign w:val="center"/>
            <w:hideMark/>
          </w:tcPr>
          <w:p w14:paraId="2BE79FA9" w14:textId="65C32F50" w:rsidR="00FD6ECE" w:rsidRPr="00B0447B" w:rsidRDefault="00FD6ECE" w:rsidP="00FD6ECE">
            <w:pPr>
              <w:jc w:val="center"/>
            </w:pPr>
            <w:r w:rsidRPr="00CF77A3">
              <w:rPr>
                <w:lang w:eastAsia="en-US"/>
              </w:rPr>
              <w:t>0</w:t>
            </w:r>
          </w:p>
        </w:tc>
        <w:tc>
          <w:tcPr>
            <w:tcW w:w="1276" w:type="dxa"/>
            <w:shd w:val="clear" w:color="auto" w:fill="auto"/>
            <w:vAlign w:val="center"/>
            <w:hideMark/>
          </w:tcPr>
          <w:p w14:paraId="6FE4E478" w14:textId="6B826BFE" w:rsidR="00FD6ECE" w:rsidRPr="00B0447B" w:rsidRDefault="00FD6ECE" w:rsidP="00FD6ECE">
            <w:pPr>
              <w:jc w:val="center"/>
            </w:pPr>
            <w:r w:rsidRPr="00CF77A3">
              <w:rPr>
                <w:lang w:eastAsia="en-US"/>
              </w:rPr>
              <w:t>0</w:t>
            </w:r>
          </w:p>
        </w:tc>
        <w:tc>
          <w:tcPr>
            <w:tcW w:w="1276" w:type="dxa"/>
            <w:shd w:val="clear" w:color="auto" w:fill="auto"/>
            <w:vAlign w:val="center"/>
            <w:hideMark/>
          </w:tcPr>
          <w:p w14:paraId="3B1DB3C6" w14:textId="0C2306C4" w:rsidR="00FD6ECE" w:rsidRPr="00B0447B" w:rsidRDefault="00FD6ECE" w:rsidP="00FD6ECE">
            <w:pPr>
              <w:jc w:val="center"/>
            </w:pPr>
            <w:r w:rsidRPr="00CF77A3">
              <w:rPr>
                <w:lang w:eastAsia="en-US"/>
              </w:rPr>
              <w:t>0</w:t>
            </w:r>
          </w:p>
        </w:tc>
        <w:tc>
          <w:tcPr>
            <w:tcW w:w="1278" w:type="dxa"/>
            <w:shd w:val="clear" w:color="auto" w:fill="auto"/>
            <w:vAlign w:val="center"/>
            <w:hideMark/>
          </w:tcPr>
          <w:p w14:paraId="7D868738" w14:textId="3A3FC90C" w:rsidR="00FD6ECE" w:rsidRPr="00B0447B" w:rsidRDefault="00FD6ECE" w:rsidP="00FD6ECE">
            <w:pPr>
              <w:jc w:val="center"/>
            </w:pPr>
            <w:r w:rsidRPr="00CF77A3">
              <w:rPr>
                <w:lang w:eastAsia="en-US"/>
              </w:rPr>
              <w:t>0</w:t>
            </w:r>
          </w:p>
        </w:tc>
      </w:tr>
      <w:tr w:rsidR="00FD6ECE" w14:paraId="23924C2F" w14:textId="77777777" w:rsidTr="00BF09E0">
        <w:tc>
          <w:tcPr>
            <w:tcW w:w="1702" w:type="dxa"/>
            <w:shd w:val="clear" w:color="auto" w:fill="auto"/>
            <w:hideMark/>
          </w:tcPr>
          <w:p w14:paraId="3A06E8A4" w14:textId="77777777" w:rsidR="00FD6ECE" w:rsidRPr="00B0447B" w:rsidRDefault="00FD6ECE" w:rsidP="003E0059">
            <w:pPr>
              <w:rPr>
                <w:lang w:eastAsia="en-US"/>
              </w:rPr>
            </w:pPr>
            <w:r w:rsidRPr="00B0447B">
              <w:rPr>
                <w:lang w:eastAsia="en-US"/>
              </w:rPr>
              <w:t>3.3. pašvaldību budžets</w:t>
            </w:r>
          </w:p>
        </w:tc>
        <w:tc>
          <w:tcPr>
            <w:tcW w:w="992" w:type="dxa"/>
            <w:shd w:val="clear" w:color="auto" w:fill="auto"/>
            <w:vAlign w:val="center"/>
            <w:hideMark/>
          </w:tcPr>
          <w:p w14:paraId="3617B472" w14:textId="77777777" w:rsidR="00FD6ECE" w:rsidRPr="00B0447B" w:rsidRDefault="00FD6ECE" w:rsidP="003E0059">
            <w:pPr>
              <w:jc w:val="center"/>
              <w:rPr>
                <w:lang w:eastAsia="en-US"/>
              </w:rPr>
            </w:pPr>
            <w:r w:rsidRPr="00B0447B">
              <w:rPr>
                <w:lang w:eastAsia="en-US"/>
              </w:rPr>
              <w:t>0</w:t>
            </w:r>
          </w:p>
        </w:tc>
        <w:tc>
          <w:tcPr>
            <w:tcW w:w="1131" w:type="dxa"/>
            <w:shd w:val="clear" w:color="auto" w:fill="auto"/>
            <w:vAlign w:val="center"/>
            <w:hideMark/>
          </w:tcPr>
          <w:p w14:paraId="46723D39" w14:textId="77777777" w:rsidR="00FD6ECE" w:rsidRPr="00B0447B" w:rsidRDefault="00FD6ECE" w:rsidP="003E0059">
            <w:pPr>
              <w:jc w:val="center"/>
              <w:rPr>
                <w:lang w:eastAsia="en-US"/>
              </w:rPr>
            </w:pPr>
            <w:r w:rsidRPr="00B0447B">
              <w:rPr>
                <w:lang w:eastAsia="en-US"/>
              </w:rPr>
              <w:t>0</w:t>
            </w:r>
          </w:p>
        </w:tc>
        <w:tc>
          <w:tcPr>
            <w:tcW w:w="1258" w:type="dxa"/>
            <w:shd w:val="clear" w:color="auto" w:fill="auto"/>
            <w:vAlign w:val="center"/>
            <w:hideMark/>
          </w:tcPr>
          <w:p w14:paraId="27A39C4F" w14:textId="0D022EDE" w:rsidR="00FD6ECE" w:rsidRPr="00B0447B" w:rsidRDefault="00FD6ECE" w:rsidP="00FD6ECE">
            <w:pPr>
              <w:jc w:val="center"/>
            </w:pPr>
            <w:r w:rsidRPr="00CF77A3">
              <w:rPr>
                <w:lang w:eastAsia="en-US"/>
              </w:rPr>
              <w:t>0</w:t>
            </w:r>
          </w:p>
        </w:tc>
        <w:tc>
          <w:tcPr>
            <w:tcW w:w="1276" w:type="dxa"/>
            <w:shd w:val="clear" w:color="auto" w:fill="auto"/>
            <w:vAlign w:val="center"/>
            <w:hideMark/>
          </w:tcPr>
          <w:p w14:paraId="4AB04C0E" w14:textId="366D17C0" w:rsidR="00FD6ECE" w:rsidRPr="00B0447B" w:rsidRDefault="00FD6ECE" w:rsidP="00FD6ECE">
            <w:pPr>
              <w:jc w:val="center"/>
            </w:pPr>
            <w:r w:rsidRPr="00CF77A3">
              <w:rPr>
                <w:lang w:eastAsia="en-US"/>
              </w:rPr>
              <w:t>0</w:t>
            </w:r>
          </w:p>
        </w:tc>
        <w:tc>
          <w:tcPr>
            <w:tcW w:w="1276" w:type="dxa"/>
            <w:shd w:val="clear" w:color="auto" w:fill="auto"/>
            <w:vAlign w:val="center"/>
            <w:hideMark/>
          </w:tcPr>
          <w:p w14:paraId="68628841" w14:textId="18DE2828" w:rsidR="00FD6ECE" w:rsidRPr="00B0447B" w:rsidRDefault="00FD6ECE" w:rsidP="00FD6ECE">
            <w:pPr>
              <w:jc w:val="center"/>
            </w:pPr>
            <w:r w:rsidRPr="00CF77A3">
              <w:rPr>
                <w:lang w:eastAsia="en-US"/>
              </w:rPr>
              <w:t>0</w:t>
            </w:r>
          </w:p>
        </w:tc>
        <w:tc>
          <w:tcPr>
            <w:tcW w:w="1276" w:type="dxa"/>
            <w:shd w:val="clear" w:color="auto" w:fill="auto"/>
            <w:vAlign w:val="center"/>
            <w:hideMark/>
          </w:tcPr>
          <w:p w14:paraId="27121748" w14:textId="17EBE3A6" w:rsidR="00FD6ECE" w:rsidRPr="00B0447B" w:rsidRDefault="00FD6ECE" w:rsidP="00FD6ECE">
            <w:pPr>
              <w:jc w:val="center"/>
            </w:pPr>
            <w:r w:rsidRPr="00CF77A3">
              <w:rPr>
                <w:lang w:eastAsia="en-US"/>
              </w:rPr>
              <w:t>0</w:t>
            </w:r>
          </w:p>
        </w:tc>
        <w:tc>
          <w:tcPr>
            <w:tcW w:w="1278" w:type="dxa"/>
            <w:shd w:val="clear" w:color="auto" w:fill="auto"/>
            <w:vAlign w:val="center"/>
            <w:hideMark/>
          </w:tcPr>
          <w:p w14:paraId="7C13EDAF" w14:textId="64FAC6EA" w:rsidR="00FD6ECE" w:rsidRPr="00B0447B" w:rsidRDefault="00FD6ECE" w:rsidP="00FD6ECE">
            <w:pPr>
              <w:jc w:val="center"/>
            </w:pPr>
            <w:r w:rsidRPr="00CF77A3">
              <w:rPr>
                <w:lang w:eastAsia="en-US"/>
              </w:rPr>
              <w:t>0</w:t>
            </w:r>
          </w:p>
        </w:tc>
      </w:tr>
      <w:tr w:rsidR="00A447E3" w:rsidRPr="00DB5DCA" w14:paraId="255283CF" w14:textId="77777777" w:rsidTr="00BF09E0">
        <w:tc>
          <w:tcPr>
            <w:tcW w:w="1702" w:type="dxa"/>
            <w:shd w:val="clear" w:color="auto" w:fill="auto"/>
            <w:hideMark/>
          </w:tcPr>
          <w:p w14:paraId="3E81796C" w14:textId="77777777" w:rsidR="00A447E3" w:rsidRPr="00B0447B" w:rsidRDefault="00A447E3" w:rsidP="003E0059">
            <w:pPr>
              <w:rPr>
                <w:lang w:eastAsia="en-US"/>
              </w:rPr>
            </w:pPr>
            <w:r w:rsidRPr="00B0447B">
              <w:rPr>
                <w:lang w:eastAsia="en-US"/>
              </w:rPr>
              <w:t>4. Finanšu līdzekļi papildu izdevumu finansēšanai (kompensējošu izdevumu samazinājumu norāda ar "+" zīmi)</w:t>
            </w:r>
          </w:p>
        </w:tc>
        <w:tc>
          <w:tcPr>
            <w:tcW w:w="992" w:type="dxa"/>
            <w:shd w:val="clear" w:color="auto" w:fill="auto"/>
            <w:vAlign w:val="center"/>
            <w:hideMark/>
          </w:tcPr>
          <w:p w14:paraId="081BEF9E"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32C42989" w14:textId="77777777" w:rsidR="00A447E3" w:rsidRPr="00B0447B" w:rsidRDefault="00A447E3" w:rsidP="003E0059">
            <w:pPr>
              <w:jc w:val="center"/>
              <w:rPr>
                <w:lang w:eastAsia="en-US"/>
              </w:rPr>
            </w:pPr>
            <w:r w:rsidRPr="00B0447B">
              <w:rPr>
                <w:lang w:eastAsia="en-US"/>
              </w:rPr>
              <w:t>0</w:t>
            </w:r>
          </w:p>
        </w:tc>
        <w:tc>
          <w:tcPr>
            <w:tcW w:w="1258" w:type="dxa"/>
            <w:shd w:val="clear" w:color="auto" w:fill="auto"/>
            <w:vAlign w:val="center"/>
            <w:hideMark/>
          </w:tcPr>
          <w:p w14:paraId="2A7A3BE5"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2E5892D7"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170602FF"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5CADAFA6"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0E386A4B" w14:textId="77777777" w:rsidR="00A447E3" w:rsidRPr="00B0447B" w:rsidRDefault="00A447E3" w:rsidP="003E0059">
            <w:pPr>
              <w:jc w:val="center"/>
              <w:rPr>
                <w:lang w:eastAsia="en-US"/>
              </w:rPr>
            </w:pPr>
            <w:r w:rsidRPr="00B0447B">
              <w:rPr>
                <w:lang w:eastAsia="en-US"/>
              </w:rPr>
              <w:t>0</w:t>
            </w:r>
          </w:p>
        </w:tc>
      </w:tr>
      <w:tr w:rsidR="00A447E3" w:rsidRPr="00DB5DCA" w14:paraId="74F34D66" w14:textId="77777777" w:rsidTr="00BF09E0">
        <w:tc>
          <w:tcPr>
            <w:tcW w:w="1702" w:type="dxa"/>
            <w:shd w:val="clear" w:color="auto" w:fill="auto"/>
            <w:hideMark/>
          </w:tcPr>
          <w:p w14:paraId="69975764" w14:textId="77777777" w:rsidR="00A447E3" w:rsidRPr="00B0447B" w:rsidRDefault="00A447E3" w:rsidP="003E0059">
            <w:pPr>
              <w:rPr>
                <w:lang w:eastAsia="en-US"/>
              </w:rPr>
            </w:pPr>
            <w:r w:rsidRPr="00B0447B">
              <w:rPr>
                <w:lang w:eastAsia="en-US"/>
              </w:rPr>
              <w:t>5. Precizēta finansiālā ietekme</w:t>
            </w:r>
          </w:p>
        </w:tc>
        <w:tc>
          <w:tcPr>
            <w:tcW w:w="992" w:type="dxa"/>
            <w:vMerge w:val="restart"/>
            <w:shd w:val="clear" w:color="auto" w:fill="auto"/>
            <w:vAlign w:val="center"/>
            <w:hideMark/>
          </w:tcPr>
          <w:p w14:paraId="6E008432" w14:textId="77777777" w:rsidR="00A447E3" w:rsidRPr="00B0447B" w:rsidRDefault="00A447E3" w:rsidP="003E0059">
            <w:pPr>
              <w:jc w:val="center"/>
              <w:rPr>
                <w:lang w:eastAsia="en-US"/>
              </w:rPr>
            </w:pPr>
            <w:r w:rsidRPr="00B0447B">
              <w:rPr>
                <w:lang w:eastAsia="en-US"/>
              </w:rPr>
              <w:t>0</w:t>
            </w:r>
          </w:p>
        </w:tc>
        <w:tc>
          <w:tcPr>
            <w:tcW w:w="1131" w:type="dxa"/>
            <w:shd w:val="clear" w:color="auto" w:fill="auto"/>
            <w:vAlign w:val="center"/>
            <w:hideMark/>
          </w:tcPr>
          <w:p w14:paraId="24DC6F72" w14:textId="77777777" w:rsidR="00A447E3" w:rsidRPr="00B0447B" w:rsidRDefault="00A447E3" w:rsidP="003E0059">
            <w:pPr>
              <w:jc w:val="center"/>
              <w:rPr>
                <w:lang w:eastAsia="en-US"/>
              </w:rPr>
            </w:pPr>
            <w:r w:rsidRPr="00B0447B">
              <w:rPr>
                <w:lang w:eastAsia="en-US"/>
              </w:rPr>
              <w:t>0</w:t>
            </w:r>
          </w:p>
        </w:tc>
        <w:tc>
          <w:tcPr>
            <w:tcW w:w="1258" w:type="dxa"/>
            <w:vMerge w:val="restart"/>
            <w:shd w:val="clear" w:color="auto" w:fill="auto"/>
            <w:vAlign w:val="center"/>
            <w:hideMark/>
          </w:tcPr>
          <w:p w14:paraId="37AC36DD"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64C19CF1" w14:textId="77777777" w:rsidR="00A447E3" w:rsidRPr="00B0447B" w:rsidRDefault="00A447E3" w:rsidP="003E0059">
            <w:pPr>
              <w:jc w:val="center"/>
              <w:rPr>
                <w:lang w:eastAsia="en-US"/>
              </w:rPr>
            </w:pPr>
            <w:r w:rsidRPr="00B0447B">
              <w:rPr>
                <w:lang w:eastAsia="en-US"/>
              </w:rPr>
              <w:t>0</w:t>
            </w:r>
          </w:p>
        </w:tc>
        <w:tc>
          <w:tcPr>
            <w:tcW w:w="1276" w:type="dxa"/>
            <w:vMerge w:val="restart"/>
            <w:shd w:val="clear" w:color="auto" w:fill="auto"/>
            <w:vAlign w:val="center"/>
            <w:hideMark/>
          </w:tcPr>
          <w:p w14:paraId="72AEAF87" w14:textId="77777777" w:rsidR="00A447E3" w:rsidRPr="00B0447B" w:rsidRDefault="00A447E3" w:rsidP="003E0059">
            <w:pPr>
              <w:jc w:val="center"/>
              <w:rPr>
                <w:lang w:eastAsia="en-US"/>
              </w:rPr>
            </w:pPr>
            <w:r w:rsidRPr="00B0447B">
              <w:rPr>
                <w:lang w:eastAsia="en-US"/>
              </w:rPr>
              <w:t>0</w:t>
            </w:r>
          </w:p>
        </w:tc>
        <w:tc>
          <w:tcPr>
            <w:tcW w:w="1276" w:type="dxa"/>
            <w:shd w:val="clear" w:color="auto" w:fill="auto"/>
            <w:vAlign w:val="center"/>
            <w:hideMark/>
          </w:tcPr>
          <w:p w14:paraId="3290B00D"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73BEACAD" w14:textId="77777777" w:rsidR="00A447E3" w:rsidRPr="00B0447B" w:rsidRDefault="00A447E3" w:rsidP="003E0059">
            <w:pPr>
              <w:jc w:val="center"/>
              <w:rPr>
                <w:lang w:eastAsia="en-US"/>
              </w:rPr>
            </w:pPr>
            <w:r w:rsidRPr="00B0447B">
              <w:rPr>
                <w:lang w:eastAsia="en-US"/>
              </w:rPr>
              <w:t>0</w:t>
            </w:r>
          </w:p>
        </w:tc>
      </w:tr>
      <w:tr w:rsidR="00A447E3" w:rsidRPr="00DB5DCA" w14:paraId="1CE54986" w14:textId="77777777" w:rsidTr="00BF09E0">
        <w:tc>
          <w:tcPr>
            <w:tcW w:w="1702" w:type="dxa"/>
            <w:shd w:val="clear" w:color="auto" w:fill="auto"/>
            <w:hideMark/>
          </w:tcPr>
          <w:p w14:paraId="34ED391E" w14:textId="77777777" w:rsidR="00A447E3" w:rsidRPr="00B0447B" w:rsidRDefault="00A447E3" w:rsidP="003E0059">
            <w:pPr>
              <w:rPr>
                <w:lang w:eastAsia="en-US"/>
              </w:rPr>
            </w:pPr>
            <w:r w:rsidRPr="00B0447B">
              <w:rPr>
                <w:lang w:eastAsia="en-US"/>
              </w:rPr>
              <w:t>5.1. valsts pamatbudžets</w:t>
            </w:r>
          </w:p>
        </w:tc>
        <w:tc>
          <w:tcPr>
            <w:tcW w:w="992" w:type="dxa"/>
            <w:vMerge/>
            <w:shd w:val="clear" w:color="auto" w:fill="auto"/>
            <w:vAlign w:val="center"/>
            <w:hideMark/>
          </w:tcPr>
          <w:p w14:paraId="0BB4FF81" w14:textId="77777777" w:rsidR="00A447E3" w:rsidRPr="00B0447B" w:rsidRDefault="00A447E3" w:rsidP="003E0059">
            <w:pPr>
              <w:jc w:val="center"/>
              <w:rPr>
                <w:lang w:eastAsia="en-US"/>
              </w:rPr>
            </w:pPr>
          </w:p>
        </w:tc>
        <w:tc>
          <w:tcPr>
            <w:tcW w:w="1131" w:type="dxa"/>
            <w:shd w:val="clear" w:color="auto" w:fill="auto"/>
            <w:vAlign w:val="center"/>
            <w:hideMark/>
          </w:tcPr>
          <w:p w14:paraId="39BAB5E8" w14:textId="77777777" w:rsidR="00A447E3" w:rsidRPr="00B0447B" w:rsidRDefault="00A447E3" w:rsidP="003E0059">
            <w:pPr>
              <w:jc w:val="center"/>
              <w:rPr>
                <w:lang w:eastAsia="en-US"/>
              </w:rPr>
            </w:pPr>
            <w:r w:rsidRPr="00B0447B">
              <w:rPr>
                <w:lang w:eastAsia="en-US"/>
              </w:rPr>
              <w:t>0</w:t>
            </w:r>
          </w:p>
        </w:tc>
        <w:tc>
          <w:tcPr>
            <w:tcW w:w="1258" w:type="dxa"/>
            <w:vMerge/>
            <w:shd w:val="clear" w:color="auto" w:fill="auto"/>
            <w:vAlign w:val="center"/>
            <w:hideMark/>
          </w:tcPr>
          <w:p w14:paraId="4AE1480B" w14:textId="77777777" w:rsidR="00A447E3" w:rsidRPr="00B0447B" w:rsidRDefault="00A447E3" w:rsidP="003E0059">
            <w:pPr>
              <w:jc w:val="center"/>
              <w:rPr>
                <w:lang w:eastAsia="en-US"/>
              </w:rPr>
            </w:pPr>
          </w:p>
        </w:tc>
        <w:tc>
          <w:tcPr>
            <w:tcW w:w="1276" w:type="dxa"/>
            <w:shd w:val="clear" w:color="auto" w:fill="auto"/>
            <w:vAlign w:val="center"/>
            <w:hideMark/>
          </w:tcPr>
          <w:p w14:paraId="3F95A1C4" w14:textId="77777777" w:rsidR="00A447E3" w:rsidRPr="00B0447B" w:rsidRDefault="00A447E3" w:rsidP="003E0059">
            <w:pPr>
              <w:jc w:val="center"/>
              <w:rPr>
                <w:lang w:eastAsia="en-US"/>
              </w:rPr>
            </w:pPr>
            <w:r w:rsidRPr="00B0447B">
              <w:rPr>
                <w:lang w:eastAsia="en-US"/>
              </w:rPr>
              <w:t>0</w:t>
            </w:r>
          </w:p>
        </w:tc>
        <w:tc>
          <w:tcPr>
            <w:tcW w:w="1276" w:type="dxa"/>
            <w:vMerge/>
            <w:shd w:val="clear" w:color="auto" w:fill="auto"/>
            <w:vAlign w:val="center"/>
            <w:hideMark/>
          </w:tcPr>
          <w:p w14:paraId="6A6BB8E3" w14:textId="77777777" w:rsidR="00A447E3" w:rsidRPr="00B0447B" w:rsidRDefault="00A447E3" w:rsidP="003E0059">
            <w:pPr>
              <w:jc w:val="center"/>
              <w:rPr>
                <w:lang w:eastAsia="en-US"/>
              </w:rPr>
            </w:pPr>
          </w:p>
        </w:tc>
        <w:tc>
          <w:tcPr>
            <w:tcW w:w="1276" w:type="dxa"/>
            <w:shd w:val="clear" w:color="auto" w:fill="auto"/>
            <w:vAlign w:val="center"/>
            <w:hideMark/>
          </w:tcPr>
          <w:p w14:paraId="41A0D0C1"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5175525B" w14:textId="77777777" w:rsidR="00A447E3" w:rsidRPr="00B0447B" w:rsidRDefault="00A447E3" w:rsidP="003E0059">
            <w:pPr>
              <w:jc w:val="center"/>
              <w:rPr>
                <w:lang w:eastAsia="en-US"/>
              </w:rPr>
            </w:pPr>
            <w:r w:rsidRPr="00B0447B">
              <w:rPr>
                <w:lang w:eastAsia="en-US"/>
              </w:rPr>
              <w:t>0</w:t>
            </w:r>
          </w:p>
        </w:tc>
      </w:tr>
      <w:tr w:rsidR="00A447E3" w:rsidRPr="00DB5DCA" w14:paraId="4199779F" w14:textId="77777777" w:rsidTr="00BF09E0">
        <w:tc>
          <w:tcPr>
            <w:tcW w:w="1702" w:type="dxa"/>
            <w:shd w:val="clear" w:color="auto" w:fill="auto"/>
            <w:hideMark/>
          </w:tcPr>
          <w:p w14:paraId="234252B4" w14:textId="77777777" w:rsidR="00A447E3" w:rsidRPr="00B0447B" w:rsidRDefault="00A447E3" w:rsidP="003E0059">
            <w:pPr>
              <w:rPr>
                <w:lang w:eastAsia="en-US"/>
              </w:rPr>
            </w:pPr>
            <w:r w:rsidRPr="00B0447B">
              <w:rPr>
                <w:lang w:eastAsia="en-US"/>
              </w:rPr>
              <w:t>5.2. speciālais budžets</w:t>
            </w:r>
          </w:p>
        </w:tc>
        <w:tc>
          <w:tcPr>
            <w:tcW w:w="992" w:type="dxa"/>
            <w:vMerge/>
            <w:shd w:val="clear" w:color="auto" w:fill="auto"/>
            <w:vAlign w:val="center"/>
            <w:hideMark/>
          </w:tcPr>
          <w:p w14:paraId="426B7FA2" w14:textId="77777777" w:rsidR="00A447E3" w:rsidRPr="00B0447B" w:rsidRDefault="00A447E3" w:rsidP="003E0059">
            <w:pPr>
              <w:jc w:val="center"/>
              <w:rPr>
                <w:lang w:eastAsia="en-US"/>
              </w:rPr>
            </w:pPr>
          </w:p>
        </w:tc>
        <w:tc>
          <w:tcPr>
            <w:tcW w:w="1131" w:type="dxa"/>
            <w:shd w:val="clear" w:color="auto" w:fill="auto"/>
            <w:vAlign w:val="center"/>
            <w:hideMark/>
          </w:tcPr>
          <w:p w14:paraId="310C4531" w14:textId="77777777" w:rsidR="00A447E3" w:rsidRPr="00B0447B" w:rsidRDefault="00A447E3" w:rsidP="003E0059">
            <w:pPr>
              <w:jc w:val="center"/>
              <w:rPr>
                <w:lang w:eastAsia="en-US"/>
              </w:rPr>
            </w:pPr>
            <w:r w:rsidRPr="00B0447B">
              <w:rPr>
                <w:lang w:eastAsia="en-US"/>
              </w:rPr>
              <w:t>0</w:t>
            </w:r>
          </w:p>
        </w:tc>
        <w:tc>
          <w:tcPr>
            <w:tcW w:w="1258" w:type="dxa"/>
            <w:vMerge/>
            <w:shd w:val="clear" w:color="auto" w:fill="auto"/>
            <w:vAlign w:val="center"/>
            <w:hideMark/>
          </w:tcPr>
          <w:p w14:paraId="3EC72C63" w14:textId="77777777" w:rsidR="00A447E3" w:rsidRPr="00B0447B" w:rsidRDefault="00A447E3" w:rsidP="003E0059">
            <w:pPr>
              <w:jc w:val="center"/>
              <w:rPr>
                <w:lang w:eastAsia="en-US"/>
              </w:rPr>
            </w:pPr>
          </w:p>
        </w:tc>
        <w:tc>
          <w:tcPr>
            <w:tcW w:w="1276" w:type="dxa"/>
            <w:shd w:val="clear" w:color="auto" w:fill="auto"/>
            <w:vAlign w:val="center"/>
            <w:hideMark/>
          </w:tcPr>
          <w:p w14:paraId="79FEA5A8" w14:textId="77777777" w:rsidR="00A447E3" w:rsidRPr="00B0447B" w:rsidRDefault="00A447E3" w:rsidP="003E0059">
            <w:pPr>
              <w:jc w:val="center"/>
              <w:rPr>
                <w:lang w:eastAsia="en-US"/>
              </w:rPr>
            </w:pPr>
            <w:r w:rsidRPr="00B0447B">
              <w:rPr>
                <w:lang w:eastAsia="en-US"/>
              </w:rPr>
              <w:t>0</w:t>
            </w:r>
          </w:p>
        </w:tc>
        <w:tc>
          <w:tcPr>
            <w:tcW w:w="1276" w:type="dxa"/>
            <w:vMerge/>
            <w:shd w:val="clear" w:color="auto" w:fill="auto"/>
            <w:vAlign w:val="center"/>
            <w:hideMark/>
          </w:tcPr>
          <w:p w14:paraId="39261A1D" w14:textId="77777777" w:rsidR="00A447E3" w:rsidRPr="00B0447B" w:rsidRDefault="00A447E3" w:rsidP="003E0059">
            <w:pPr>
              <w:jc w:val="center"/>
              <w:rPr>
                <w:lang w:eastAsia="en-US"/>
              </w:rPr>
            </w:pPr>
          </w:p>
        </w:tc>
        <w:tc>
          <w:tcPr>
            <w:tcW w:w="1276" w:type="dxa"/>
            <w:shd w:val="clear" w:color="auto" w:fill="auto"/>
            <w:vAlign w:val="center"/>
            <w:hideMark/>
          </w:tcPr>
          <w:p w14:paraId="05C49C96"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62B7D5FF" w14:textId="77777777" w:rsidR="00A447E3" w:rsidRPr="00B0447B" w:rsidRDefault="00A447E3" w:rsidP="003E0059">
            <w:pPr>
              <w:jc w:val="center"/>
              <w:rPr>
                <w:lang w:eastAsia="en-US"/>
              </w:rPr>
            </w:pPr>
            <w:r w:rsidRPr="00B0447B">
              <w:rPr>
                <w:lang w:eastAsia="en-US"/>
              </w:rPr>
              <w:t>0</w:t>
            </w:r>
          </w:p>
        </w:tc>
      </w:tr>
      <w:tr w:rsidR="00A447E3" w:rsidRPr="00DB5DCA" w14:paraId="7390AC3A" w14:textId="77777777" w:rsidTr="00BF09E0">
        <w:tc>
          <w:tcPr>
            <w:tcW w:w="1702" w:type="dxa"/>
            <w:shd w:val="clear" w:color="auto" w:fill="auto"/>
            <w:hideMark/>
          </w:tcPr>
          <w:p w14:paraId="378EDC63" w14:textId="77777777" w:rsidR="00A447E3" w:rsidRPr="00B0447B" w:rsidRDefault="00A447E3" w:rsidP="003E0059">
            <w:pPr>
              <w:rPr>
                <w:lang w:eastAsia="en-US"/>
              </w:rPr>
            </w:pPr>
            <w:r w:rsidRPr="00B0447B">
              <w:rPr>
                <w:lang w:eastAsia="en-US"/>
              </w:rPr>
              <w:t>5.3. pašvaldību budžets</w:t>
            </w:r>
          </w:p>
        </w:tc>
        <w:tc>
          <w:tcPr>
            <w:tcW w:w="992" w:type="dxa"/>
            <w:vMerge/>
            <w:shd w:val="clear" w:color="auto" w:fill="auto"/>
            <w:vAlign w:val="center"/>
            <w:hideMark/>
          </w:tcPr>
          <w:p w14:paraId="7EA9A2B2" w14:textId="77777777" w:rsidR="00A447E3" w:rsidRPr="00B0447B" w:rsidRDefault="00A447E3" w:rsidP="003E0059">
            <w:pPr>
              <w:jc w:val="center"/>
              <w:rPr>
                <w:lang w:eastAsia="en-US"/>
              </w:rPr>
            </w:pPr>
          </w:p>
        </w:tc>
        <w:tc>
          <w:tcPr>
            <w:tcW w:w="1131" w:type="dxa"/>
            <w:shd w:val="clear" w:color="auto" w:fill="auto"/>
            <w:vAlign w:val="center"/>
            <w:hideMark/>
          </w:tcPr>
          <w:p w14:paraId="4CD3739C" w14:textId="77777777" w:rsidR="00A447E3" w:rsidRPr="00B0447B" w:rsidRDefault="00A447E3" w:rsidP="003E0059">
            <w:pPr>
              <w:jc w:val="center"/>
              <w:rPr>
                <w:lang w:eastAsia="en-US"/>
              </w:rPr>
            </w:pPr>
            <w:r w:rsidRPr="00B0447B">
              <w:rPr>
                <w:lang w:eastAsia="en-US"/>
              </w:rPr>
              <w:t>0</w:t>
            </w:r>
          </w:p>
        </w:tc>
        <w:tc>
          <w:tcPr>
            <w:tcW w:w="1258" w:type="dxa"/>
            <w:vMerge/>
            <w:shd w:val="clear" w:color="auto" w:fill="auto"/>
            <w:vAlign w:val="center"/>
            <w:hideMark/>
          </w:tcPr>
          <w:p w14:paraId="6707058E" w14:textId="77777777" w:rsidR="00A447E3" w:rsidRPr="00B0447B" w:rsidRDefault="00A447E3" w:rsidP="003E0059">
            <w:pPr>
              <w:jc w:val="center"/>
              <w:rPr>
                <w:lang w:eastAsia="en-US"/>
              </w:rPr>
            </w:pPr>
          </w:p>
        </w:tc>
        <w:tc>
          <w:tcPr>
            <w:tcW w:w="1276" w:type="dxa"/>
            <w:shd w:val="clear" w:color="auto" w:fill="auto"/>
            <w:vAlign w:val="center"/>
            <w:hideMark/>
          </w:tcPr>
          <w:p w14:paraId="136D0948" w14:textId="77777777" w:rsidR="00A447E3" w:rsidRPr="00B0447B" w:rsidRDefault="00A447E3" w:rsidP="003E0059">
            <w:pPr>
              <w:jc w:val="center"/>
              <w:rPr>
                <w:lang w:eastAsia="en-US"/>
              </w:rPr>
            </w:pPr>
            <w:r w:rsidRPr="00B0447B">
              <w:rPr>
                <w:lang w:eastAsia="en-US"/>
              </w:rPr>
              <w:t>0</w:t>
            </w:r>
          </w:p>
        </w:tc>
        <w:tc>
          <w:tcPr>
            <w:tcW w:w="1276" w:type="dxa"/>
            <w:vMerge/>
            <w:shd w:val="clear" w:color="auto" w:fill="auto"/>
            <w:vAlign w:val="center"/>
            <w:hideMark/>
          </w:tcPr>
          <w:p w14:paraId="5909C9D3" w14:textId="77777777" w:rsidR="00A447E3" w:rsidRPr="00B0447B" w:rsidRDefault="00A447E3" w:rsidP="003E0059">
            <w:pPr>
              <w:jc w:val="center"/>
              <w:rPr>
                <w:lang w:eastAsia="en-US"/>
              </w:rPr>
            </w:pPr>
          </w:p>
        </w:tc>
        <w:tc>
          <w:tcPr>
            <w:tcW w:w="1276" w:type="dxa"/>
            <w:shd w:val="clear" w:color="auto" w:fill="auto"/>
            <w:vAlign w:val="center"/>
            <w:hideMark/>
          </w:tcPr>
          <w:p w14:paraId="6790861B" w14:textId="77777777" w:rsidR="00A447E3" w:rsidRPr="00B0447B" w:rsidRDefault="00A447E3" w:rsidP="003E0059">
            <w:pPr>
              <w:jc w:val="center"/>
              <w:rPr>
                <w:lang w:eastAsia="en-US"/>
              </w:rPr>
            </w:pPr>
            <w:r w:rsidRPr="00B0447B">
              <w:rPr>
                <w:lang w:eastAsia="en-US"/>
              </w:rPr>
              <w:t>0</w:t>
            </w:r>
          </w:p>
        </w:tc>
        <w:tc>
          <w:tcPr>
            <w:tcW w:w="1278" w:type="dxa"/>
            <w:shd w:val="clear" w:color="auto" w:fill="auto"/>
            <w:vAlign w:val="center"/>
            <w:hideMark/>
          </w:tcPr>
          <w:p w14:paraId="2E75AD93" w14:textId="77777777" w:rsidR="00A447E3" w:rsidRPr="00B0447B" w:rsidRDefault="00A447E3" w:rsidP="003E0059">
            <w:pPr>
              <w:jc w:val="center"/>
              <w:rPr>
                <w:lang w:eastAsia="en-US"/>
              </w:rPr>
            </w:pPr>
            <w:r w:rsidRPr="00B0447B">
              <w:rPr>
                <w:lang w:eastAsia="en-US"/>
              </w:rPr>
              <w:t>0</w:t>
            </w:r>
          </w:p>
        </w:tc>
      </w:tr>
      <w:tr w:rsidR="00A447E3" w:rsidRPr="00DB5DCA" w14:paraId="29DF98C4" w14:textId="77777777" w:rsidTr="00BF09E0">
        <w:tc>
          <w:tcPr>
            <w:tcW w:w="1702" w:type="dxa"/>
            <w:shd w:val="clear" w:color="auto" w:fill="auto"/>
            <w:hideMark/>
          </w:tcPr>
          <w:p w14:paraId="102C2662" w14:textId="77777777" w:rsidR="00A447E3" w:rsidRPr="00B0447B" w:rsidRDefault="00A447E3" w:rsidP="003E0059">
            <w:pPr>
              <w:rPr>
                <w:lang w:eastAsia="en-US"/>
              </w:rPr>
            </w:pPr>
            <w:r w:rsidRPr="00B0447B">
              <w:rPr>
                <w:lang w:eastAsia="en-US"/>
              </w:rPr>
              <w:lastRenderedPageBreak/>
              <w:t>6. Detalizēts ieņēmumu un izdevumu aprēķins (ja nepieciešams, detalizētu ieņēmumu un izdevumu aprēķinu var pievienot anotācijas pielikumā)</w:t>
            </w:r>
          </w:p>
        </w:tc>
        <w:tc>
          <w:tcPr>
            <w:tcW w:w="8487" w:type="dxa"/>
            <w:gridSpan w:val="7"/>
            <w:vMerge w:val="restart"/>
            <w:shd w:val="clear" w:color="auto" w:fill="auto"/>
            <w:vAlign w:val="center"/>
            <w:hideMark/>
          </w:tcPr>
          <w:p w14:paraId="6C8B2559" w14:textId="77777777" w:rsidR="007F3CF9" w:rsidRDefault="007F3CF9" w:rsidP="003E0059">
            <w:pPr>
              <w:ind w:left="87"/>
              <w:jc w:val="both"/>
            </w:pPr>
            <w:r>
              <w:t xml:space="preserve">Provizoriski īsāks suņu atsavināšanas laiks par 60 dienām. </w:t>
            </w:r>
          </w:p>
          <w:p w14:paraId="700581EA" w14:textId="77777777" w:rsidR="007F3CF9" w:rsidRDefault="007F3CF9" w:rsidP="003E0059">
            <w:pPr>
              <w:ind w:left="87"/>
              <w:jc w:val="both"/>
            </w:pPr>
          </w:p>
          <w:p w14:paraId="5CA3206D" w14:textId="77777777" w:rsidR="00A447E3" w:rsidRDefault="007F3CF9" w:rsidP="003E0059">
            <w:pPr>
              <w:ind w:left="87"/>
              <w:jc w:val="both"/>
              <w:rPr>
                <w:i/>
              </w:rPr>
            </w:pPr>
            <w:r>
              <w:t xml:space="preserve">Viena suņa uzturēšanas (barības) izmaksas dienā vidēji 2,00 </w:t>
            </w:r>
            <w:r w:rsidRPr="007F3CF9">
              <w:rPr>
                <w:i/>
              </w:rPr>
              <w:t>euro</w:t>
            </w:r>
            <w:r>
              <w:rPr>
                <w:i/>
              </w:rPr>
              <w:t>.</w:t>
            </w:r>
          </w:p>
          <w:p w14:paraId="7A07E5D4" w14:textId="77777777" w:rsidR="007F3CF9" w:rsidRDefault="007F3CF9" w:rsidP="003E0059">
            <w:pPr>
              <w:ind w:left="87"/>
              <w:jc w:val="both"/>
            </w:pPr>
            <w:r>
              <w:t xml:space="preserve">60 dienas x 2,00 </w:t>
            </w:r>
            <w:r w:rsidRPr="007F3CF9">
              <w:rPr>
                <w:i/>
              </w:rPr>
              <w:t>euro</w:t>
            </w:r>
            <w:r>
              <w:rPr>
                <w:i/>
              </w:rPr>
              <w:t xml:space="preserve"> </w:t>
            </w:r>
            <w:r>
              <w:t xml:space="preserve">= 120 </w:t>
            </w:r>
            <w:r w:rsidRPr="007F3CF9">
              <w:rPr>
                <w:i/>
              </w:rPr>
              <w:t>euro</w:t>
            </w:r>
            <w:r>
              <w:t xml:space="preserve">. </w:t>
            </w:r>
          </w:p>
          <w:p w14:paraId="6A80F35F" w14:textId="77777777" w:rsidR="007F3CF9" w:rsidRDefault="007F3CF9" w:rsidP="003E0059">
            <w:pPr>
              <w:ind w:left="87"/>
              <w:jc w:val="both"/>
            </w:pPr>
          </w:p>
          <w:p w14:paraId="17EBD601" w14:textId="04AC1B08" w:rsidR="007F3CF9" w:rsidRDefault="007F3CF9" w:rsidP="003E0059">
            <w:pPr>
              <w:ind w:left="87"/>
              <w:jc w:val="both"/>
            </w:pPr>
            <w:r>
              <w:t xml:space="preserve">Gadā vidēji tiek atsavināti 20 suņi x 120 </w:t>
            </w:r>
            <w:r w:rsidRPr="007F3CF9">
              <w:rPr>
                <w:i/>
              </w:rPr>
              <w:t>euro</w:t>
            </w:r>
            <w:r>
              <w:t xml:space="preserve"> = 2400 </w:t>
            </w:r>
            <w:r w:rsidRPr="007F3CF9">
              <w:rPr>
                <w:i/>
              </w:rPr>
              <w:t>euro</w:t>
            </w:r>
            <w:r>
              <w:t>/gadā.</w:t>
            </w:r>
          </w:p>
          <w:p w14:paraId="08C93414" w14:textId="1E55D842" w:rsidR="007F3CF9" w:rsidRPr="007F3CF9" w:rsidRDefault="007F3CF9" w:rsidP="003E0059">
            <w:pPr>
              <w:ind w:left="87"/>
              <w:jc w:val="both"/>
            </w:pPr>
          </w:p>
        </w:tc>
      </w:tr>
      <w:tr w:rsidR="00A447E3" w:rsidRPr="00DB5DCA" w14:paraId="54F612CA" w14:textId="77777777" w:rsidTr="00BF09E0">
        <w:tc>
          <w:tcPr>
            <w:tcW w:w="1702" w:type="dxa"/>
            <w:shd w:val="clear" w:color="auto" w:fill="auto"/>
            <w:hideMark/>
          </w:tcPr>
          <w:p w14:paraId="01F46535" w14:textId="1C08F5EC" w:rsidR="00A447E3" w:rsidRPr="00B0447B" w:rsidRDefault="00A447E3" w:rsidP="003E0059">
            <w:pPr>
              <w:rPr>
                <w:lang w:eastAsia="en-US"/>
              </w:rPr>
            </w:pPr>
            <w:r w:rsidRPr="00B0447B">
              <w:rPr>
                <w:lang w:eastAsia="en-US"/>
              </w:rPr>
              <w:t>6.1. detalizēts ieņēmumu aprēķins</w:t>
            </w:r>
          </w:p>
        </w:tc>
        <w:tc>
          <w:tcPr>
            <w:tcW w:w="8487" w:type="dxa"/>
            <w:gridSpan w:val="7"/>
            <w:vMerge/>
            <w:shd w:val="clear" w:color="auto" w:fill="auto"/>
            <w:vAlign w:val="center"/>
            <w:hideMark/>
          </w:tcPr>
          <w:p w14:paraId="17DB591B" w14:textId="77777777" w:rsidR="00A447E3" w:rsidRPr="00B0447B" w:rsidRDefault="00A447E3" w:rsidP="003E0059">
            <w:pPr>
              <w:jc w:val="center"/>
              <w:rPr>
                <w:lang w:eastAsia="en-US"/>
              </w:rPr>
            </w:pPr>
          </w:p>
        </w:tc>
      </w:tr>
      <w:tr w:rsidR="00A447E3" w:rsidRPr="00DB5DCA" w14:paraId="5F7A6167" w14:textId="77777777" w:rsidTr="00BF09E0">
        <w:tc>
          <w:tcPr>
            <w:tcW w:w="1702" w:type="dxa"/>
            <w:shd w:val="clear" w:color="auto" w:fill="auto"/>
            <w:hideMark/>
          </w:tcPr>
          <w:p w14:paraId="7F3B9FC7" w14:textId="77777777" w:rsidR="00A447E3" w:rsidRPr="00B0447B" w:rsidRDefault="00A447E3" w:rsidP="003E0059">
            <w:pPr>
              <w:rPr>
                <w:lang w:eastAsia="en-US"/>
              </w:rPr>
            </w:pPr>
            <w:r w:rsidRPr="00B0447B">
              <w:rPr>
                <w:lang w:eastAsia="en-US"/>
              </w:rPr>
              <w:t>6.2. detalizēts izdevumu aprēķins</w:t>
            </w:r>
          </w:p>
        </w:tc>
        <w:tc>
          <w:tcPr>
            <w:tcW w:w="8487" w:type="dxa"/>
            <w:gridSpan w:val="7"/>
            <w:vMerge/>
            <w:shd w:val="clear" w:color="auto" w:fill="auto"/>
            <w:vAlign w:val="center"/>
            <w:hideMark/>
          </w:tcPr>
          <w:p w14:paraId="2D6D91AD" w14:textId="77777777" w:rsidR="00A447E3" w:rsidRPr="00B0447B" w:rsidRDefault="00A447E3" w:rsidP="003E0059">
            <w:pPr>
              <w:jc w:val="center"/>
              <w:rPr>
                <w:lang w:eastAsia="en-US"/>
              </w:rPr>
            </w:pPr>
          </w:p>
        </w:tc>
      </w:tr>
      <w:tr w:rsidR="00A447E3" w:rsidRPr="00DB5DCA" w14:paraId="53468CA3" w14:textId="77777777" w:rsidTr="00BF09E0">
        <w:tc>
          <w:tcPr>
            <w:tcW w:w="1702" w:type="dxa"/>
            <w:shd w:val="clear" w:color="auto" w:fill="auto"/>
            <w:hideMark/>
          </w:tcPr>
          <w:p w14:paraId="74F79829" w14:textId="77777777" w:rsidR="00A447E3" w:rsidRPr="00B0447B" w:rsidRDefault="00A447E3" w:rsidP="003E0059">
            <w:pPr>
              <w:rPr>
                <w:lang w:eastAsia="en-US"/>
              </w:rPr>
            </w:pPr>
            <w:r w:rsidRPr="00B0447B">
              <w:rPr>
                <w:lang w:eastAsia="en-US"/>
              </w:rPr>
              <w:t>7. Amata vietu skaita izmaiņas</w:t>
            </w:r>
          </w:p>
        </w:tc>
        <w:tc>
          <w:tcPr>
            <w:tcW w:w="8487" w:type="dxa"/>
            <w:gridSpan w:val="7"/>
            <w:shd w:val="clear" w:color="auto" w:fill="auto"/>
            <w:hideMark/>
          </w:tcPr>
          <w:p w14:paraId="599564BD" w14:textId="77777777" w:rsidR="00A447E3" w:rsidRPr="00B0447B" w:rsidRDefault="00A447E3" w:rsidP="003E0059">
            <w:pPr>
              <w:rPr>
                <w:lang w:eastAsia="en-US"/>
              </w:rPr>
            </w:pPr>
            <w:r w:rsidRPr="00B0447B">
              <w:t>Projekts šo jomu neskar.</w:t>
            </w:r>
          </w:p>
        </w:tc>
      </w:tr>
      <w:tr w:rsidR="00A447E3" w:rsidRPr="00DB5DCA" w14:paraId="0ABC7EF4" w14:textId="77777777" w:rsidTr="00BF09E0">
        <w:tc>
          <w:tcPr>
            <w:tcW w:w="1702" w:type="dxa"/>
            <w:shd w:val="clear" w:color="auto" w:fill="auto"/>
            <w:hideMark/>
          </w:tcPr>
          <w:p w14:paraId="548E2B38" w14:textId="77777777" w:rsidR="00A447E3" w:rsidRPr="00B0447B" w:rsidRDefault="00A447E3" w:rsidP="003E0059">
            <w:pPr>
              <w:rPr>
                <w:lang w:eastAsia="en-US"/>
              </w:rPr>
            </w:pPr>
            <w:r w:rsidRPr="00B0447B">
              <w:rPr>
                <w:lang w:eastAsia="en-US"/>
              </w:rPr>
              <w:t>8. Cita informācija</w:t>
            </w:r>
          </w:p>
        </w:tc>
        <w:tc>
          <w:tcPr>
            <w:tcW w:w="8487" w:type="dxa"/>
            <w:gridSpan w:val="7"/>
            <w:shd w:val="clear" w:color="auto" w:fill="auto"/>
            <w:hideMark/>
          </w:tcPr>
          <w:p w14:paraId="6D1CF3A9" w14:textId="532F284D" w:rsidR="00A447E3" w:rsidRPr="00B0447B" w:rsidRDefault="00A447E3" w:rsidP="00256D9A">
            <w:pPr>
              <w:jc w:val="both"/>
              <w:rPr>
                <w:lang w:eastAsia="en-US"/>
              </w:rPr>
            </w:pPr>
            <w:r w:rsidRPr="00B0447B">
              <w:t>Projekta īstenošana neradīs papildu izdevumus</w:t>
            </w:r>
            <w:r w:rsidR="00256D9A">
              <w:t xml:space="preserve"> valsts un pašvaldību budžetiem.</w:t>
            </w:r>
            <w:r w:rsidRPr="00B0447B">
              <w:t xml:space="preserve"> </w:t>
            </w:r>
            <w:r w:rsidR="00256D9A">
              <w:t xml:space="preserve">Prognozētais valsts budžeta līdzekļu ietaupījums aptuveni 2400 </w:t>
            </w:r>
            <w:r w:rsidR="00256D9A" w:rsidRPr="00256D9A">
              <w:rPr>
                <w:i/>
              </w:rPr>
              <w:t>euro</w:t>
            </w:r>
            <w:r w:rsidR="00256D9A">
              <w:t>/gadā.</w:t>
            </w:r>
          </w:p>
        </w:tc>
      </w:tr>
    </w:tbl>
    <w:p w14:paraId="381C7FC1" w14:textId="77777777" w:rsidR="00F74EB3" w:rsidRDefault="00F74EB3"/>
    <w:tbl>
      <w:tblPr>
        <w:tblW w:w="5603"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128"/>
      </w:tblGrid>
      <w:tr w:rsidR="007150AD" w:rsidRPr="007150AD" w14:paraId="6ADC730E" w14:textId="77777777" w:rsidTr="00BF09E0">
        <w:tc>
          <w:tcPr>
            <w:tcW w:w="10206" w:type="dxa"/>
            <w:vAlign w:val="center"/>
            <w:hideMark/>
          </w:tcPr>
          <w:p w14:paraId="495C0945" w14:textId="77777777" w:rsidR="007150AD" w:rsidRPr="007150AD" w:rsidRDefault="007150AD" w:rsidP="003E0059">
            <w:pPr>
              <w:jc w:val="center"/>
              <w:rPr>
                <w:b/>
                <w:bCs/>
              </w:rPr>
            </w:pPr>
            <w:r w:rsidRPr="007150AD">
              <w:rPr>
                <w:b/>
                <w:bCs/>
              </w:rPr>
              <w:t>IV. Tiesību akta projekta ietekme uz spēkā esošo tiesību normu sistēmu</w:t>
            </w:r>
          </w:p>
        </w:tc>
      </w:tr>
      <w:tr w:rsidR="00166070" w:rsidRPr="007150AD" w14:paraId="06E0F116" w14:textId="77777777" w:rsidTr="005C07F6">
        <w:tc>
          <w:tcPr>
            <w:tcW w:w="10206" w:type="dxa"/>
          </w:tcPr>
          <w:p w14:paraId="397CE16D" w14:textId="0B032D9F" w:rsidR="00166070" w:rsidRPr="007150AD" w:rsidRDefault="00166070" w:rsidP="00166070">
            <w:pPr>
              <w:jc w:val="center"/>
            </w:pPr>
            <w:r w:rsidRPr="007150AD">
              <w:rPr>
                <w:bCs/>
              </w:rPr>
              <w:t>Projekts šo jomu neskar.</w:t>
            </w:r>
          </w:p>
        </w:tc>
      </w:tr>
    </w:tbl>
    <w:p w14:paraId="539EC34E" w14:textId="77777777" w:rsidR="007150AD" w:rsidRPr="00166070" w:rsidRDefault="007150AD" w:rsidP="00166070"/>
    <w:tbl>
      <w:tblPr>
        <w:tblW w:w="5603"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128"/>
      </w:tblGrid>
      <w:tr w:rsidR="007150AD" w:rsidRPr="007150AD" w14:paraId="2DCCF4FB" w14:textId="77777777" w:rsidTr="00BF09E0">
        <w:trPr>
          <w:cantSplit/>
        </w:trPr>
        <w:tc>
          <w:tcPr>
            <w:tcW w:w="5000" w:type="pct"/>
            <w:vAlign w:val="center"/>
            <w:hideMark/>
          </w:tcPr>
          <w:p w14:paraId="5CC28749" w14:textId="77777777" w:rsidR="007150AD" w:rsidRPr="007150AD" w:rsidRDefault="007150AD" w:rsidP="003E0059">
            <w:pPr>
              <w:jc w:val="center"/>
              <w:rPr>
                <w:b/>
                <w:bCs/>
              </w:rPr>
            </w:pPr>
            <w:r w:rsidRPr="007150AD">
              <w:rPr>
                <w:b/>
                <w:bCs/>
              </w:rPr>
              <w:t>V. Tiesību akta projekta atbilstība Latvijas Republikas starptautiskajām saistībām</w:t>
            </w:r>
          </w:p>
        </w:tc>
      </w:tr>
      <w:tr w:rsidR="007150AD" w:rsidRPr="007150AD" w14:paraId="48E38BF8" w14:textId="77777777" w:rsidTr="00BF09E0">
        <w:trPr>
          <w:cantSplit/>
        </w:trPr>
        <w:tc>
          <w:tcPr>
            <w:tcW w:w="5000" w:type="pct"/>
            <w:vAlign w:val="center"/>
          </w:tcPr>
          <w:p w14:paraId="2ADF0585" w14:textId="77777777" w:rsidR="007150AD" w:rsidRPr="007150AD" w:rsidRDefault="007150AD" w:rsidP="003E0059">
            <w:pPr>
              <w:jc w:val="center"/>
              <w:rPr>
                <w:bCs/>
              </w:rPr>
            </w:pPr>
            <w:r w:rsidRPr="007150AD">
              <w:rPr>
                <w:bCs/>
              </w:rPr>
              <w:t>Projekts šo jomu neskar.</w:t>
            </w:r>
          </w:p>
        </w:tc>
      </w:tr>
    </w:tbl>
    <w:p w14:paraId="6DA136DC" w14:textId="77777777" w:rsidR="007150AD" w:rsidRDefault="007150AD"/>
    <w:tbl>
      <w:tblPr>
        <w:tblW w:w="102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26"/>
      </w:tblGrid>
      <w:tr w:rsidR="00E915CD" w:rsidRPr="00E915CD" w14:paraId="30C5DC73" w14:textId="77777777" w:rsidTr="00BF09E0">
        <w:tc>
          <w:tcPr>
            <w:tcW w:w="10226" w:type="dxa"/>
          </w:tcPr>
          <w:p w14:paraId="6BA1945E" w14:textId="77777777" w:rsidR="00E608C5" w:rsidRPr="00E915CD" w:rsidRDefault="00502D8F" w:rsidP="00EE676B">
            <w:pPr>
              <w:pStyle w:val="naisnod"/>
              <w:spacing w:before="0" w:after="0"/>
              <w:ind w:left="57" w:right="57"/>
            </w:pPr>
            <w:r w:rsidRPr="00E915CD">
              <w:br w:type="page"/>
            </w:r>
            <w:r w:rsidR="00E608C5" w:rsidRPr="00E915CD">
              <w:t>VI. Sabiedrības līdzdalība un šīs līdzdalības rezultāti</w:t>
            </w:r>
          </w:p>
        </w:tc>
      </w:tr>
      <w:tr w:rsidR="00DA17F9" w:rsidRPr="00E915CD" w14:paraId="31D9A6C9" w14:textId="77777777" w:rsidTr="00DA17F9">
        <w:trPr>
          <w:trHeight w:val="269"/>
        </w:trPr>
        <w:tc>
          <w:tcPr>
            <w:tcW w:w="10226" w:type="dxa"/>
          </w:tcPr>
          <w:p w14:paraId="576DFEED" w14:textId="4AD3953F" w:rsidR="00DA17F9" w:rsidRPr="007150AD" w:rsidRDefault="00DA17F9" w:rsidP="00DA17F9">
            <w:pPr>
              <w:jc w:val="center"/>
            </w:pPr>
            <w:r w:rsidRPr="007150AD">
              <w:rPr>
                <w:bCs/>
              </w:rPr>
              <w:t>Projekts šo jomu neskar.</w:t>
            </w:r>
          </w:p>
        </w:tc>
      </w:tr>
    </w:tbl>
    <w:tbl>
      <w:tblPr>
        <w:tblpPr w:leftFromText="180" w:rightFromText="180" w:vertAnchor="text" w:horzAnchor="margin" w:tblpX="-512" w:tblpY="416"/>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97"/>
        <w:gridCol w:w="2320"/>
        <w:gridCol w:w="7117"/>
      </w:tblGrid>
      <w:tr w:rsidR="007150AD" w:rsidRPr="00E915CD" w14:paraId="4C1BC5B3" w14:textId="77777777" w:rsidTr="00BF09E0">
        <w:tc>
          <w:tcPr>
            <w:tcW w:w="10234" w:type="dxa"/>
            <w:gridSpan w:val="3"/>
          </w:tcPr>
          <w:p w14:paraId="4AAC3937" w14:textId="77777777" w:rsidR="007150AD" w:rsidRPr="00E915CD" w:rsidRDefault="007150AD" w:rsidP="00BF09E0">
            <w:pPr>
              <w:pStyle w:val="naisnod"/>
              <w:spacing w:before="0" w:after="0"/>
              <w:ind w:left="57" w:right="57"/>
            </w:pPr>
            <w:r w:rsidRPr="00E915CD">
              <w:t>VII. Tiesību akta projekta izpildes nodrošināšana un tās ietekme uz institūcijām</w:t>
            </w:r>
          </w:p>
        </w:tc>
      </w:tr>
      <w:tr w:rsidR="007150AD" w:rsidRPr="00E915CD" w14:paraId="2FFF1817" w14:textId="77777777" w:rsidTr="00BF09E0">
        <w:trPr>
          <w:trHeight w:val="427"/>
        </w:trPr>
        <w:tc>
          <w:tcPr>
            <w:tcW w:w="797" w:type="dxa"/>
          </w:tcPr>
          <w:p w14:paraId="607C523F" w14:textId="77777777" w:rsidR="007150AD" w:rsidRPr="00E915CD" w:rsidRDefault="007150AD" w:rsidP="00BF09E0">
            <w:pPr>
              <w:pStyle w:val="naisnod"/>
              <w:spacing w:before="0" w:after="0"/>
              <w:ind w:left="57" w:right="57"/>
              <w:rPr>
                <w:b w:val="0"/>
              </w:rPr>
            </w:pPr>
            <w:r w:rsidRPr="00E915CD">
              <w:rPr>
                <w:b w:val="0"/>
              </w:rPr>
              <w:t>1.</w:t>
            </w:r>
          </w:p>
        </w:tc>
        <w:tc>
          <w:tcPr>
            <w:tcW w:w="2320" w:type="dxa"/>
          </w:tcPr>
          <w:p w14:paraId="1C6C1C25" w14:textId="77777777" w:rsidR="007150AD" w:rsidRPr="00E915CD" w:rsidRDefault="007150AD" w:rsidP="00BF09E0">
            <w:pPr>
              <w:pStyle w:val="naisf"/>
              <w:spacing w:before="0" w:after="0"/>
              <w:ind w:left="57" w:right="57" w:firstLine="0"/>
              <w:jc w:val="left"/>
            </w:pPr>
            <w:r w:rsidRPr="00E915CD">
              <w:t xml:space="preserve">Projekta izpildē iesaistītās institūcijas </w:t>
            </w:r>
          </w:p>
        </w:tc>
        <w:tc>
          <w:tcPr>
            <w:tcW w:w="7117" w:type="dxa"/>
          </w:tcPr>
          <w:p w14:paraId="7A808870" w14:textId="30ED6E05" w:rsidR="007150AD" w:rsidRPr="00E915CD" w:rsidRDefault="007150AD" w:rsidP="00B83CA9">
            <w:pPr>
              <w:pStyle w:val="naisnod"/>
              <w:spacing w:before="0" w:after="0"/>
              <w:ind w:left="57" w:right="57"/>
              <w:jc w:val="both"/>
              <w:rPr>
                <w:b w:val="0"/>
              </w:rPr>
            </w:pPr>
            <w:r w:rsidRPr="00E915CD">
              <w:rPr>
                <w:rFonts w:eastAsia="Times New Roman"/>
                <w:b w:val="0"/>
              </w:rPr>
              <w:t>Publiskas personas un</w:t>
            </w:r>
            <w:r>
              <w:rPr>
                <w:rFonts w:eastAsia="Times New Roman"/>
                <w:b w:val="0"/>
              </w:rPr>
              <w:t xml:space="preserve"> </w:t>
            </w:r>
            <w:r w:rsidR="008E2D47">
              <w:rPr>
                <w:rFonts w:eastAsia="Times New Roman"/>
                <w:b w:val="0"/>
              </w:rPr>
              <w:t>to iestādes.</w:t>
            </w:r>
          </w:p>
        </w:tc>
      </w:tr>
      <w:tr w:rsidR="007150AD" w:rsidRPr="00E915CD" w14:paraId="3743260D" w14:textId="77777777" w:rsidTr="00BF09E0">
        <w:trPr>
          <w:trHeight w:val="463"/>
        </w:trPr>
        <w:tc>
          <w:tcPr>
            <w:tcW w:w="797" w:type="dxa"/>
          </w:tcPr>
          <w:p w14:paraId="684BF74E" w14:textId="77777777" w:rsidR="007150AD" w:rsidRPr="00E915CD" w:rsidRDefault="007150AD" w:rsidP="00BF09E0">
            <w:pPr>
              <w:pStyle w:val="naisnod"/>
              <w:spacing w:before="0" w:after="0"/>
              <w:ind w:left="57" w:right="57"/>
              <w:rPr>
                <w:b w:val="0"/>
              </w:rPr>
            </w:pPr>
            <w:r w:rsidRPr="00E915CD">
              <w:rPr>
                <w:b w:val="0"/>
              </w:rPr>
              <w:t>2.</w:t>
            </w:r>
          </w:p>
        </w:tc>
        <w:tc>
          <w:tcPr>
            <w:tcW w:w="2320" w:type="dxa"/>
          </w:tcPr>
          <w:p w14:paraId="455B5A14" w14:textId="77777777" w:rsidR="007150AD" w:rsidRPr="00E915CD" w:rsidRDefault="007150AD" w:rsidP="00BF09E0">
            <w:pPr>
              <w:spacing w:before="100" w:beforeAutospacing="1" w:after="100" w:afterAutospacing="1"/>
            </w:pPr>
            <w:r w:rsidRPr="00E915CD">
              <w:t xml:space="preserve">Projekta izpildes ietekme uz pārvaldes funkcijām un institucionālo struktūru. </w:t>
            </w:r>
          </w:p>
          <w:p w14:paraId="5C9B9CF0" w14:textId="77777777" w:rsidR="007150AD" w:rsidRPr="00E915CD" w:rsidRDefault="007150AD" w:rsidP="00BF09E0">
            <w:pPr>
              <w:pStyle w:val="naisf"/>
              <w:spacing w:before="0" w:after="0"/>
              <w:ind w:left="57" w:right="57" w:firstLine="0"/>
              <w:jc w:val="left"/>
            </w:pPr>
            <w:r w:rsidRPr="00E915CD">
              <w:t xml:space="preserve">Jaunu institūciju izveide, esošu institūciju likvidācija vai reorganizācija, to </w:t>
            </w:r>
            <w:r w:rsidRPr="00E915CD">
              <w:lastRenderedPageBreak/>
              <w:t>ietekme uz institūcijas cilvēkresursiem</w:t>
            </w:r>
          </w:p>
        </w:tc>
        <w:tc>
          <w:tcPr>
            <w:tcW w:w="7117" w:type="dxa"/>
          </w:tcPr>
          <w:p w14:paraId="58E07DB3" w14:textId="77777777" w:rsidR="007150AD" w:rsidRPr="00E915CD" w:rsidRDefault="007150AD" w:rsidP="00BF09E0">
            <w:pPr>
              <w:pStyle w:val="BodyTextIndent2"/>
              <w:spacing w:after="0" w:line="240" w:lineRule="auto"/>
              <w:ind w:left="114" w:right="108"/>
              <w:jc w:val="both"/>
              <w:rPr>
                <w:b/>
              </w:rPr>
            </w:pPr>
            <w:r w:rsidRPr="00E915CD">
              <w:lastRenderedPageBreak/>
              <w:t>Projekts šo jomu neskar.</w:t>
            </w:r>
          </w:p>
        </w:tc>
      </w:tr>
      <w:tr w:rsidR="007150AD" w:rsidRPr="00E915CD" w14:paraId="4E5B32A4" w14:textId="77777777" w:rsidTr="00BF09E0">
        <w:trPr>
          <w:trHeight w:val="476"/>
        </w:trPr>
        <w:tc>
          <w:tcPr>
            <w:tcW w:w="797" w:type="dxa"/>
          </w:tcPr>
          <w:p w14:paraId="26179B63" w14:textId="77777777" w:rsidR="007150AD" w:rsidRPr="00E915CD" w:rsidRDefault="007150AD" w:rsidP="00BF09E0">
            <w:pPr>
              <w:pStyle w:val="naiskr"/>
              <w:spacing w:before="0" w:after="0"/>
              <w:ind w:left="57" w:right="57"/>
              <w:jc w:val="center"/>
            </w:pPr>
            <w:r w:rsidRPr="00E915CD">
              <w:lastRenderedPageBreak/>
              <w:t>3.</w:t>
            </w:r>
          </w:p>
        </w:tc>
        <w:tc>
          <w:tcPr>
            <w:tcW w:w="2320" w:type="dxa"/>
          </w:tcPr>
          <w:p w14:paraId="72B0F68F" w14:textId="77777777" w:rsidR="007150AD" w:rsidRPr="00E915CD" w:rsidRDefault="007150AD" w:rsidP="00BF09E0">
            <w:pPr>
              <w:pStyle w:val="naiskr"/>
              <w:spacing w:before="0" w:after="0"/>
              <w:ind w:left="57" w:right="57"/>
            </w:pPr>
            <w:r w:rsidRPr="00E915CD">
              <w:t>Cita informācija</w:t>
            </w:r>
          </w:p>
        </w:tc>
        <w:tc>
          <w:tcPr>
            <w:tcW w:w="7117" w:type="dxa"/>
          </w:tcPr>
          <w:p w14:paraId="09EFC4BD" w14:textId="77777777" w:rsidR="007150AD" w:rsidRPr="00E915CD" w:rsidRDefault="007150AD" w:rsidP="00BF09E0">
            <w:pPr>
              <w:pStyle w:val="naiskr"/>
              <w:spacing w:before="0" w:after="0"/>
              <w:ind w:left="57" w:right="57"/>
              <w:jc w:val="both"/>
            </w:pPr>
            <w:r w:rsidRPr="00E915CD">
              <w:t>Nav.</w:t>
            </w:r>
          </w:p>
        </w:tc>
      </w:tr>
    </w:tbl>
    <w:p w14:paraId="59567E2B" w14:textId="77777777" w:rsidR="00E608C5" w:rsidRPr="00E915CD" w:rsidRDefault="00E608C5" w:rsidP="00D96FCD">
      <w:pPr>
        <w:pStyle w:val="naisf"/>
        <w:spacing w:before="0" w:after="0"/>
      </w:pPr>
    </w:p>
    <w:p w14:paraId="7B10868A" w14:textId="77777777" w:rsidR="00366FA9" w:rsidRPr="00E915CD" w:rsidRDefault="00366FA9" w:rsidP="00D96FCD">
      <w:pPr>
        <w:pStyle w:val="naisf"/>
        <w:spacing w:before="0" w:after="0"/>
      </w:pPr>
    </w:p>
    <w:p w14:paraId="44064675" w14:textId="77777777" w:rsidR="00366FA9" w:rsidRPr="00E915CD" w:rsidRDefault="00366FA9" w:rsidP="00D96FCD">
      <w:pPr>
        <w:pStyle w:val="naisf"/>
        <w:spacing w:before="0" w:after="0"/>
      </w:pPr>
    </w:p>
    <w:p w14:paraId="5B110E13" w14:textId="77777777" w:rsidR="00AD09C4" w:rsidRPr="00E915CD" w:rsidRDefault="00AD09C4" w:rsidP="00AD09C4">
      <w:pPr>
        <w:pStyle w:val="BodyText2"/>
        <w:spacing w:after="0" w:line="240" w:lineRule="auto"/>
        <w:ind w:firstLine="720"/>
        <w:jc w:val="both"/>
      </w:pPr>
    </w:p>
    <w:p w14:paraId="64A69AA8" w14:textId="77777777" w:rsidR="00E9021B" w:rsidRPr="00D5140D" w:rsidRDefault="00E9021B" w:rsidP="00E9021B">
      <w:pPr>
        <w:rPr>
          <w:sz w:val="28"/>
          <w:szCs w:val="28"/>
        </w:rPr>
      </w:pPr>
      <w:r w:rsidRPr="00D5140D">
        <w:rPr>
          <w:sz w:val="28"/>
          <w:szCs w:val="28"/>
        </w:rPr>
        <w:t>Iekšlietu ministrs</w:t>
      </w:r>
      <w:r w:rsidRPr="00D5140D">
        <w:rPr>
          <w:sz w:val="28"/>
          <w:szCs w:val="28"/>
        </w:rPr>
        <w:tab/>
        <w:t xml:space="preserve"> </w:t>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r>
      <w:r w:rsidRPr="00D5140D">
        <w:rPr>
          <w:sz w:val="28"/>
          <w:szCs w:val="28"/>
        </w:rPr>
        <w:tab/>
        <w:t xml:space="preserve">Sandis </w:t>
      </w:r>
      <w:proofErr w:type="spellStart"/>
      <w:r w:rsidRPr="00D5140D">
        <w:rPr>
          <w:sz w:val="28"/>
          <w:szCs w:val="28"/>
        </w:rPr>
        <w:t>Ģirģens</w:t>
      </w:r>
      <w:proofErr w:type="spellEnd"/>
      <w:r w:rsidRPr="00D5140D">
        <w:rPr>
          <w:sz w:val="28"/>
          <w:szCs w:val="28"/>
        </w:rPr>
        <w:tab/>
      </w:r>
    </w:p>
    <w:p w14:paraId="66881138" w14:textId="77777777" w:rsidR="00E9021B" w:rsidRPr="00D5140D" w:rsidRDefault="00E9021B" w:rsidP="00E9021B">
      <w:pPr>
        <w:rPr>
          <w:sz w:val="28"/>
          <w:szCs w:val="28"/>
        </w:rPr>
      </w:pPr>
    </w:p>
    <w:p w14:paraId="79D1EE0A" w14:textId="0D098AA8" w:rsidR="007150AD" w:rsidRDefault="00E9021B" w:rsidP="00E9021B">
      <w:r w:rsidRPr="00D5140D">
        <w:rPr>
          <w:sz w:val="28"/>
          <w:szCs w:val="28"/>
        </w:rPr>
        <w:t>Vīza: Valsts sekretārs</w:t>
      </w:r>
      <w:r w:rsidRPr="00D5140D">
        <w:rPr>
          <w:sz w:val="28"/>
          <w:szCs w:val="28"/>
        </w:rPr>
        <w:tab/>
      </w:r>
      <w:r w:rsidRPr="00D5140D">
        <w:rPr>
          <w:sz w:val="28"/>
          <w:szCs w:val="28"/>
        </w:rPr>
        <w:tab/>
      </w:r>
      <w:r w:rsidRPr="00D5140D">
        <w:rPr>
          <w:sz w:val="28"/>
          <w:szCs w:val="28"/>
        </w:rPr>
        <w:tab/>
        <w:t xml:space="preserve"> </w:t>
      </w:r>
      <w:r w:rsidRPr="00D5140D">
        <w:rPr>
          <w:sz w:val="28"/>
          <w:szCs w:val="28"/>
        </w:rPr>
        <w:tab/>
      </w:r>
      <w:r w:rsidRPr="00D5140D">
        <w:rPr>
          <w:sz w:val="28"/>
          <w:szCs w:val="28"/>
        </w:rPr>
        <w:tab/>
      </w:r>
      <w:r w:rsidRPr="00D5140D">
        <w:rPr>
          <w:sz w:val="28"/>
          <w:szCs w:val="28"/>
        </w:rPr>
        <w:tab/>
        <w:t>Dimitrijs Trofimovs</w:t>
      </w:r>
    </w:p>
    <w:p w14:paraId="33CAFE72" w14:textId="4C50A40E" w:rsidR="003E3E30" w:rsidRPr="00E915CD" w:rsidRDefault="003E3E30" w:rsidP="007150AD">
      <w:pPr>
        <w:tabs>
          <w:tab w:val="left" w:pos="6710"/>
        </w:tabs>
        <w:rPr>
          <w:sz w:val="20"/>
          <w:szCs w:val="20"/>
        </w:rPr>
      </w:pPr>
    </w:p>
    <w:sectPr w:rsidR="003E3E30" w:rsidRPr="00E915CD" w:rsidSect="006D71D2">
      <w:headerReference w:type="default" r:id="rId8"/>
      <w:footerReference w:type="default" r:id="rId9"/>
      <w:footerReference w:type="first" r:id="rId10"/>
      <w:pgSz w:w="11906" w:h="16838" w:code="9"/>
      <w:pgMar w:top="1440" w:right="1440" w:bottom="1440" w:left="1418" w:header="36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DE27A" w14:textId="77777777" w:rsidR="00516797" w:rsidRDefault="00516797" w:rsidP="00123E9B">
      <w:r>
        <w:separator/>
      </w:r>
    </w:p>
  </w:endnote>
  <w:endnote w:type="continuationSeparator" w:id="0">
    <w:p w14:paraId="610D02B6" w14:textId="77777777" w:rsidR="00516797" w:rsidRDefault="00516797"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CA1" w14:textId="1CFE96B7" w:rsidR="003E3E30" w:rsidRPr="00D42E3E" w:rsidRDefault="0044462E" w:rsidP="00D42E3E">
    <w:pPr>
      <w:ind w:left="-360" w:right="-262"/>
      <w:jc w:val="both"/>
      <w:rPr>
        <w:sz w:val="22"/>
        <w:szCs w:val="22"/>
      </w:rPr>
    </w:pPr>
    <w:r>
      <w:rPr>
        <w:sz w:val="22"/>
        <w:szCs w:val="22"/>
      </w:rPr>
      <w:t>IEM</w:t>
    </w:r>
    <w:r w:rsidR="00D42E3E">
      <w:rPr>
        <w:sz w:val="22"/>
        <w:szCs w:val="22"/>
      </w:rPr>
      <w:t>Anot</w:t>
    </w:r>
    <w:r w:rsidR="00D42E3E" w:rsidRPr="00C15E8D">
      <w:rPr>
        <w:sz w:val="22"/>
        <w:szCs w:val="22"/>
      </w:rPr>
      <w:t>_</w:t>
    </w:r>
    <w:r w:rsidR="00632154">
      <w:rPr>
        <w:sz w:val="22"/>
        <w:szCs w:val="22"/>
      </w:rPr>
      <w:t>270120</w:t>
    </w:r>
    <w:r w:rsidR="00D42E3E" w:rsidRPr="00C15E8D">
      <w:rPr>
        <w:sz w:val="22"/>
        <w:szCs w:val="22"/>
      </w:rPr>
      <w:t>_</w:t>
    </w:r>
    <w:r w:rsidR="00D42E3E">
      <w:rPr>
        <w:sz w:val="22"/>
        <w:szCs w:val="22"/>
      </w:rPr>
      <w:t xml:space="preserve">Groz_MK109; Ministru kabineta noteikumu projekta “Grozījumi Ministru kabineta 2011.gada 1.februāra noteikumos Nr.109 “Kārtība, kādā atsavināma publiskas personas manta”” </w:t>
    </w:r>
    <w:r w:rsidR="00D42E3E" w:rsidRPr="00223472">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BA7A" w14:textId="474B5766" w:rsidR="00CB218D" w:rsidRPr="00A70C59" w:rsidRDefault="0044462E" w:rsidP="00A70C59">
    <w:pPr>
      <w:ind w:left="-360" w:right="-262"/>
      <w:jc w:val="both"/>
      <w:rPr>
        <w:sz w:val="22"/>
        <w:szCs w:val="22"/>
      </w:rPr>
    </w:pPr>
    <w:r>
      <w:rPr>
        <w:sz w:val="22"/>
        <w:szCs w:val="22"/>
      </w:rPr>
      <w:t>IEMAnot</w:t>
    </w:r>
    <w:r w:rsidRPr="00C15E8D">
      <w:rPr>
        <w:sz w:val="22"/>
        <w:szCs w:val="22"/>
      </w:rPr>
      <w:t>_</w:t>
    </w:r>
    <w:r w:rsidR="00632154">
      <w:rPr>
        <w:sz w:val="22"/>
        <w:szCs w:val="22"/>
      </w:rPr>
      <w:t>270120</w:t>
    </w:r>
    <w:r w:rsidR="00CB218D" w:rsidRPr="00C15E8D">
      <w:rPr>
        <w:sz w:val="22"/>
        <w:szCs w:val="22"/>
      </w:rPr>
      <w:t>_</w:t>
    </w:r>
    <w:r w:rsidR="008217E0">
      <w:rPr>
        <w:sz w:val="22"/>
        <w:szCs w:val="22"/>
      </w:rPr>
      <w:t xml:space="preserve">Groz_MK109; </w:t>
    </w:r>
    <w:r w:rsidR="00CB218D">
      <w:rPr>
        <w:sz w:val="22"/>
        <w:szCs w:val="22"/>
      </w:rPr>
      <w:t xml:space="preserve">Ministru kabineta </w:t>
    </w:r>
    <w:r w:rsidR="003E3E30">
      <w:rPr>
        <w:sz w:val="22"/>
        <w:szCs w:val="22"/>
      </w:rPr>
      <w:t>noteikumu</w:t>
    </w:r>
    <w:r w:rsidR="00CB218D">
      <w:rPr>
        <w:sz w:val="22"/>
        <w:szCs w:val="22"/>
      </w:rPr>
      <w:t xml:space="preserve"> projekt</w:t>
    </w:r>
    <w:r w:rsidR="003E3E30">
      <w:rPr>
        <w:sz w:val="22"/>
        <w:szCs w:val="22"/>
      </w:rPr>
      <w:t>a</w:t>
    </w:r>
    <w:r w:rsidR="00CB218D">
      <w:rPr>
        <w:sz w:val="22"/>
        <w:szCs w:val="22"/>
      </w:rPr>
      <w:t xml:space="preserve"> “</w:t>
    </w:r>
    <w:r w:rsidR="003E3E30">
      <w:rPr>
        <w:sz w:val="22"/>
        <w:szCs w:val="22"/>
      </w:rPr>
      <w:t>Grozījum</w:t>
    </w:r>
    <w:r>
      <w:rPr>
        <w:sz w:val="22"/>
        <w:szCs w:val="22"/>
      </w:rPr>
      <w:t xml:space="preserve">s </w:t>
    </w:r>
    <w:r w:rsidR="003E3E30">
      <w:rPr>
        <w:sz w:val="22"/>
        <w:szCs w:val="22"/>
      </w:rPr>
      <w:t>Ministru kabineta 2011.gada 1.februāra noteikumos Nr.109 “Kārtība, kādā atsavināma publiskas personas manta”</w:t>
    </w:r>
    <w:r w:rsidR="00CB218D">
      <w:rPr>
        <w:sz w:val="22"/>
        <w:szCs w:val="22"/>
      </w:rPr>
      <w:t xml:space="preserve">” </w:t>
    </w:r>
    <w:r w:rsidR="00CB218D" w:rsidRPr="00223472">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BC45" w14:textId="77777777" w:rsidR="00516797" w:rsidRDefault="00516797" w:rsidP="00123E9B">
      <w:r>
        <w:separator/>
      </w:r>
    </w:p>
  </w:footnote>
  <w:footnote w:type="continuationSeparator" w:id="0">
    <w:p w14:paraId="597BFF4B" w14:textId="77777777" w:rsidR="00516797" w:rsidRDefault="00516797"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6576" w14:textId="77777777" w:rsidR="00CB218D" w:rsidRDefault="007907BF">
    <w:pPr>
      <w:pStyle w:val="Header"/>
      <w:jc w:val="center"/>
    </w:pPr>
    <w:r>
      <w:fldChar w:fldCharType="begin"/>
    </w:r>
    <w:r w:rsidR="00CB218D">
      <w:instrText xml:space="preserve"> PAGE   \* MERGEFORMAT </w:instrText>
    </w:r>
    <w:r>
      <w:fldChar w:fldCharType="separate"/>
    </w:r>
    <w:r w:rsidR="002C7CDD">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1D0009F"/>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12405715"/>
    <w:multiLevelType w:val="hybridMultilevel"/>
    <w:tmpl w:val="DF2093B4"/>
    <w:lvl w:ilvl="0" w:tplc="82BA809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FEF41AB"/>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53B0051"/>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5F23DA"/>
    <w:multiLevelType w:val="hybridMultilevel"/>
    <w:tmpl w:val="29DC2DD4"/>
    <w:lvl w:ilvl="0" w:tplc="A18AB0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33E46938"/>
    <w:multiLevelType w:val="hybridMultilevel"/>
    <w:tmpl w:val="ABF67B1C"/>
    <w:lvl w:ilvl="0" w:tplc="C36C81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nsid w:val="39A9521F"/>
    <w:multiLevelType w:val="hybridMultilevel"/>
    <w:tmpl w:val="0B423A92"/>
    <w:lvl w:ilvl="0" w:tplc="4D286B3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494D661D"/>
    <w:multiLevelType w:val="hybridMultilevel"/>
    <w:tmpl w:val="6E180F5C"/>
    <w:lvl w:ilvl="0" w:tplc="04260019">
      <w:start w:val="1"/>
      <w:numFmt w:val="lowerLetter"/>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2">
    <w:nsid w:val="5A313FED"/>
    <w:multiLevelType w:val="hybridMultilevel"/>
    <w:tmpl w:val="743A43C8"/>
    <w:lvl w:ilvl="0" w:tplc="CEBEC6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93068"/>
    <w:multiLevelType w:val="hybridMultilevel"/>
    <w:tmpl w:val="91E69B98"/>
    <w:lvl w:ilvl="0" w:tplc="2D24255C">
      <w:start w:val="1"/>
      <w:numFmt w:val="decimal"/>
      <w:lvlText w:val="%1)"/>
      <w:lvlJc w:val="left"/>
      <w:pPr>
        <w:ind w:left="592" w:hanging="45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7E6E2172"/>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0"/>
  </w:num>
  <w:num w:numId="5">
    <w:abstractNumId w:val="7"/>
  </w:num>
  <w:num w:numId="6">
    <w:abstractNumId w:val="12"/>
  </w:num>
  <w:num w:numId="7">
    <w:abstractNumId w:val="10"/>
  </w:num>
  <w:num w:numId="8">
    <w:abstractNumId w:val="2"/>
  </w:num>
  <w:num w:numId="9">
    <w:abstractNumId w:val="11"/>
  </w:num>
  <w:num w:numId="10">
    <w:abstractNumId w:val="8"/>
  </w:num>
  <w:num w:numId="11">
    <w:abstractNumId w:val="4"/>
  </w:num>
  <w:num w:numId="12">
    <w:abstractNumId w:val="3"/>
  </w:num>
  <w:num w:numId="13">
    <w:abstractNumId w:val="5"/>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12EF"/>
    <w:rsid w:val="0000524B"/>
    <w:rsid w:val="00007551"/>
    <w:rsid w:val="00010590"/>
    <w:rsid w:val="00012EAE"/>
    <w:rsid w:val="00014550"/>
    <w:rsid w:val="0002199B"/>
    <w:rsid w:val="00023882"/>
    <w:rsid w:val="00024635"/>
    <w:rsid w:val="0002601E"/>
    <w:rsid w:val="00026EC6"/>
    <w:rsid w:val="000278F9"/>
    <w:rsid w:val="00033013"/>
    <w:rsid w:val="0003474A"/>
    <w:rsid w:val="0003640B"/>
    <w:rsid w:val="00037B73"/>
    <w:rsid w:val="0004080F"/>
    <w:rsid w:val="00040D4E"/>
    <w:rsid w:val="0004297E"/>
    <w:rsid w:val="000443DE"/>
    <w:rsid w:val="000463EE"/>
    <w:rsid w:val="00046CDE"/>
    <w:rsid w:val="00047E99"/>
    <w:rsid w:val="00047FE8"/>
    <w:rsid w:val="00054EAA"/>
    <w:rsid w:val="00055608"/>
    <w:rsid w:val="00056EA8"/>
    <w:rsid w:val="000613E9"/>
    <w:rsid w:val="0006651A"/>
    <w:rsid w:val="00072B98"/>
    <w:rsid w:val="000735A6"/>
    <w:rsid w:val="00074B8C"/>
    <w:rsid w:val="00076F56"/>
    <w:rsid w:val="0007794B"/>
    <w:rsid w:val="00080CC1"/>
    <w:rsid w:val="00081032"/>
    <w:rsid w:val="0008253A"/>
    <w:rsid w:val="000849C2"/>
    <w:rsid w:val="00087B54"/>
    <w:rsid w:val="00091357"/>
    <w:rsid w:val="000934D5"/>
    <w:rsid w:val="000A0692"/>
    <w:rsid w:val="000A2C34"/>
    <w:rsid w:val="000A4403"/>
    <w:rsid w:val="000A4EE2"/>
    <w:rsid w:val="000A7A25"/>
    <w:rsid w:val="000B0E4D"/>
    <w:rsid w:val="000B3B3C"/>
    <w:rsid w:val="000B5DF5"/>
    <w:rsid w:val="000C0BAF"/>
    <w:rsid w:val="000C1A07"/>
    <w:rsid w:val="000C299C"/>
    <w:rsid w:val="000C7BC5"/>
    <w:rsid w:val="000C7EEF"/>
    <w:rsid w:val="000D0B18"/>
    <w:rsid w:val="000D5920"/>
    <w:rsid w:val="000D5A9B"/>
    <w:rsid w:val="000E3B94"/>
    <w:rsid w:val="000E3BF0"/>
    <w:rsid w:val="000E4A2A"/>
    <w:rsid w:val="000E5FDF"/>
    <w:rsid w:val="000E65B3"/>
    <w:rsid w:val="000F16CF"/>
    <w:rsid w:val="000F1AAA"/>
    <w:rsid w:val="000F58F6"/>
    <w:rsid w:val="0010198A"/>
    <w:rsid w:val="00111709"/>
    <w:rsid w:val="001127C4"/>
    <w:rsid w:val="00116669"/>
    <w:rsid w:val="00122924"/>
    <w:rsid w:val="00123E9B"/>
    <w:rsid w:val="00126A87"/>
    <w:rsid w:val="0012791B"/>
    <w:rsid w:val="00131A15"/>
    <w:rsid w:val="00132D10"/>
    <w:rsid w:val="0013369B"/>
    <w:rsid w:val="00135276"/>
    <w:rsid w:val="00137CF4"/>
    <w:rsid w:val="001413A9"/>
    <w:rsid w:val="00141B8F"/>
    <w:rsid w:val="00145CB2"/>
    <w:rsid w:val="00147135"/>
    <w:rsid w:val="00147D9A"/>
    <w:rsid w:val="00152C44"/>
    <w:rsid w:val="00154DE1"/>
    <w:rsid w:val="00163C68"/>
    <w:rsid w:val="00163E87"/>
    <w:rsid w:val="00164CA3"/>
    <w:rsid w:val="00166070"/>
    <w:rsid w:val="0017235E"/>
    <w:rsid w:val="00172A25"/>
    <w:rsid w:val="0017709C"/>
    <w:rsid w:val="001817E9"/>
    <w:rsid w:val="00181D00"/>
    <w:rsid w:val="001824F8"/>
    <w:rsid w:val="0018329D"/>
    <w:rsid w:val="0018538B"/>
    <w:rsid w:val="00186DF5"/>
    <w:rsid w:val="001875EC"/>
    <w:rsid w:val="00187619"/>
    <w:rsid w:val="001904B3"/>
    <w:rsid w:val="00190FBE"/>
    <w:rsid w:val="00191E2A"/>
    <w:rsid w:val="00193934"/>
    <w:rsid w:val="00194A0F"/>
    <w:rsid w:val="00195879"/>
    <w:rsid w:val="001A11AE"/>
    <w:rsid w:val="001A188B"/>
    <w:rsid w:val="001A3F43"/>
    <w:rsid w:val="001A6207"/>
    <w:rsid w:val="001A6E9C"/>
    <w:rsid w:val="001B1189"/>
    <w:rsid w:val="001B32BB"/>
    <w:rsid w:val="001C15CD"/>
    <w:rsid w:val="001C29BE"/>
    <w:rsid w:val="001C4BA3"/>
    <w:rsid w:val="001C4CAB"/>
    <w:rsid w:val="001C60B1"/>
    <w:rsid w:val="001D02FD"/>
    <w:rsid w:val="001D18A2"/>
    <w:rsid w:val="001D4492"/>
    <w:rsid w:val="001D6F8B"/>
    <w:rsid w:val="001D7C74"/>
    <w:rsid w:val="001D7D3E"/>
    <w:rsid w:val="001E1DA8"/>
    <w:rsid w:val="001E2677"/>
    <w:rsid w:val="001E37CF"/>
    <w:rsid w:val="001E7782"/>
    <w:rsid w:val="001F61F5"/>
    <w:rsid w:val="002005CA"/>
    <w:rsid w:val="0020083C"/>
    <w:rsid w:val="00201F25"/>
    <w:rsid w:val="00203471"/>
    <w:rsid w:val="002054CB"/>
    <w:rsid w:val="002100DB"/>
    <w:rsid w:val="0021458D"/>
    <w:rsid w:val="00215758"/>
    <w:rsid w:val="00222FEF"/>
    <w:rsid w:val="00223472"/>
    <w:rsid w:val="00224972"/>
    <w:rsid w:val="00224F0F"/>
    <w:rsid w:val="0022537F"/>
    <w:rsid w:val="002331BA"/>
    <w:rsid w:val="00237739"/>
    <w:rsid w:val="00237FF6"/>
    <w:rsid w:val="002418A6"/>
    <w:rsid w:val="00244807"/>
    <w:rsid w:val="00251E07"/>
    <w:rsid w:val="00256D9A"/>
    <w:rsid w:val="0026076A"/>
    <w:rsid w:val="00261561"/>
    <w:rsid w:val="00262D36"/>
    <w:rsid w:val="002637C0"/>
    <w:rsid w:val="002642CF"/>
    <w:rsid w:val="00270E39"/>
    <w:rsid w:val="00272248"/>
    <w:rsid w:val="0027236C"/>
    <w:rsid w:val="00274BC6"/>
    <w:rsid w:val="0027535C"/>
    <w:rsid w:val="002764F1"/>
    <w:rsid w:val="00281DE1"/>
    <w:rsid w:val="002837F8"/>
    <w:rsid w:val="00283CCD"/>
    <w:rsid w:val="00286D40"/>
    <w:rsid w:val="002873CC"/>
    <w:rsid w:val="0028791A"/>
    <w:rsid w:val="00291E76"/>
    <w:rsid w:val="00292386"/>
    <w:rsid w:val="00295345"/>
    <w:rsid w:val="00295A3B"/>
    <w:rsid w:val="002A1A6B"/>
    <w:rsid w:val="002A1E5B"/>
    <w:rsid w:val="002A3E05"/>
    <w:rsid w:val="002A41DA"/>
    <w:rsid w:val="002A7391"/>
    <w:rsid w:val="002B09D9"/>
    <w:rsid w:val="002B5511"/>
    <w:rsid w:val="002C0862"/>
    <w:rsid w:val="002C0946"/>
    <w:rsid w:val="002C1576"/>
    <w:rsid w:val="002C16DA"/>
    <w:rsid w:val="002C2590"/>
    <w:rsid w:val="002C5CAD"/>
    <w:rsid w:val="002C7CDD"/>
    <w:rsid w:val="002D030B"/>
    <w:rsid w:val="002E011D"/>
    <w:rsid w:val="002E0257"/>
    <w:rsid w:val="002E0B47"/>
    <w:rsid w:val="002E0CE1"/>
    <w:rsid w:val="002E2AD5"/>
    <w:rsid w:val="002E4689"/>
    <w:rsid w:val="002E55D8"/>
    <w:rsid w:val="002F05E7"/>
    <w:rsid w:val="002F141B"/>
    <w:rsid w:val="002F38D9"/>
    <w:rsid w:val="002F5EAC"/>
    <w:rsid w:val="00300383"/>
    <w:rsid w:val="00301895"/>
    <w:rsid w:val="003035BC"/>
    <w:rsid w:val="00303DB3"/>
    <w:rsid w:val="003070DB"/>
    <w:rsid w:val="003130E6"/>
    <w:rsid w:val="003148A0"/>
    <w:rsid w:val="00315A96"/>
    <w:rsid w:val="00317957"/>
    <w:rsid w:val="003252F9"/>
    <w:rsid w:val="00326649"/>
    <w:rsid w:val="00326FFD"/>
    <w:rsid w:val="0033269D"/>
    <w:rsid w:val="003347E2"/>
    <w:rsid w:val="00335AFB"/>
    <w:rsid w:val="00340BCB"/>
    <w:rsid w:val="003436CA"/>
    <w:rsid w:val="00345C22"/>
    <w:rsid w:val="00351AA0"/>
    <w:rsid w:val="00353DE3"/>
    <w:rsid w:val="0035568D"/>
    <w:rsid w:val="0035604F"/>
    <w:rsid w:val="00357A2C"/>
    <w:rsid w:val="003609E1"/>
    <w:rsid w:val="00362F31"/>
    <w:rsid w:val="00363871"/>
    <w:rsid w:val="003644FE"/>
    <w:rsid w:val="003659A3"/>
    <w:rsid w:val="00366FA9"/>
    <w:rsid w:val="003671EA"/>
    <w:rsid w:val="0037441F"/>
    <w:rsid w:val="00375886"/>
    <w:rsid w:val="0037614B"/>
    <w:rsid w:val="003818CD"/>
    <w:rsid w:val="00382685"/>
    <w:rsid w:val="00386F10"/>
    <w:rsid w:val="003906FF"/>
    <w:rsid w:val="00396C50"/>
    <w:rsid w:val="003A193D"/>
    <w:rsid w:val="003A1E64"/>
    <w:rsid w:val="003A3552"/>
    <w:rsid w:val="003A6F5B"/>
    <w:rsid w:val="003B178C"/>
    <w:rsid w:val="003B2242"/>
    <w:rsid w:val="003B2B5A"/>
    <w:rsid w:val="003B2F2E"/>
    <w:rsid w:val="003B465C"/>
    <w:rsid w:val="003C0286"/>
    <w:rsid w:val="003C691E"/>
    <w:rsid w:val="003D14A5"/>
    <w:rsid w:val="003E18A9"/>
    <w:rsid w:val="003E3E30"/>
    <w:rsid w:val="003F43C8"/>
    <w:rsid w:val="003F75A6"/>
    <w:rsid w:val="003F7859"/>
    <w:rsid w:val="003F786B"/>
    <w:rsid w:val="00404EC7"/>
    <w:rsid w:val="00405302"/>
    <w:rsid w:val="00407349"/>
    <w:rsid w:val="004109BD"/>
    <w:rsid w:val="00411CF0"/>
    <w:rsid w:val="00416994"/>
    <w:rsid w:val="00416FC9"/>
    <w:rsid w:val="0041793F"/>
    <w:rsid w:val="00420CC0"/>
    <w:rsid w:val="0042361B"/>
    <w:rsid w:val="00424E6F"/>
    <w:rsid w:val="00424F1F"/>
    <w:rsid w:val="00432A57"/>
    <w:rsid w:val="00432FA4"/>
    <w:rsid w:val="004350E0"/>
    <w:rsid w:val="004402B8"/>
    <w:rsid w:val="00440BD0"/>
    <w:rsid w:val="00442FD6"/>
    <w:rsid w:val="0044462E"/>
    <w:rsid w:val="00446F3B"/>
    <w:rsid w:val="00452550"/>
    <w:rsid w:val="00453435"/>
    <w:rsid w:val="004560F5"/>
    <w:rsid w:val="0046208D"/>
    <w:rsid w:val="0046217C"/>
    <w:rsid w:val="00463C45"/>
    <w:rsid w:val="00465C14"/>
    <w:rsid w:val="004745CA"/>
    <w:rsid w:val="00476508"/>
    <w:rsid w:val="004804CE"/>
    <w:rsid w:val="00480AC6"/>
    <w:rsid w:val="00480BA8"/>
    <w:rsid w:val="00481E4A"/>
    <w:rsid w:val="00485C00"/>
    <w:rsid w:val="00490918"/>
    <w:rsid w:val="00493F29"/>
    <w:rsid w:val="004940B7"/>
    <w:rsid w:val="0049673D"/>
    <w:rsid w:val="004A4366"/>
    <w:rsid w:val="004B3861"/>
    <w:rsid w:val="004B52FE"/>
    <w:rsid w:val="004B617C"/>
    <w:rsid w:val="004B6F27"/>
    <w:rsid w:val="004C6E14"/>
    <w:rsid w:val="004C727A"/>
    <w:rsid w:val="004C7F79"/>
    <w:rsid w:val="004D3AD6"/>
    <w:rsid w:val="004E0059"/>
    <w:rsid w:val="004F4C90"/>
    <w:rsid w:val="004F6635"/>
    <w:rsid w:val="00500009"/>
    <w:rsid w:val="00500671"/>
    <w:rsid w:val="00501D1D"/>
    <w:rsid w:val="00502D8F"/>
    <w:rsid w:val="00505CA3"/>
    <w:rsid w:val="00505DB2"/>
    <w:rsid w:val="005138FC"/>
    <w:rsid w:val="00515377"/>
    <w:rsid w:val="005154F4"/>
    <w:rsid w:val="00516797"/>
    <w:rsid w:val="005211A6"/>
    <w:rsid w:val="0052372C"/>
    <w:rsid w:val="0052503E"/>
    <w:rsid w:val="005259B3"/>
    <w:rsid w:val="00527AF7"/>
    <w:rsid w:val="00532D5D"/>
    <w:rsid w:val="00536130"/>
    <w:rsid w:val="00542065"/>
    <w:rsid w:val="00545CBA"/>
    <w:rsid w:val="00561521"/>
    <w:rsid w:val="00565777"/>
    <w:rsid w:val="005722D7"/>
    <w:rsid w:val="00572879"/>
    <w:rsid w:val="00572E6C"/>
    <w:rsid w:val="0058295D"/>
    <w:rsid w:val="00584480"/>
    <w:rsid w:val="00585B7B"/>
    <w:rsid w:val="00587C74"/>
    <w:rsid w:val="00590DD0"/>
    <w:rsid w:val="00591801"/>
    <w:rsid w:val="0059354C"/>
    <w:rsid w:val="00594B84"/>
    <w:rsid w:val="00594ED7"/>
    <w:rsid w:val="005959C0"/>
    <w:rsid w:val="00597884"/>
    <w:rsid w:val="005A02DC"/>
    <w:rsid w:val="005A0EAC"/>
    <w:rsid w:val="005A2481"/>
    <w:rsid w:val="005A425A"/>
    <w:rsid w:val="005A6337"/>
    <w:rsid w:val="005A72FD"/>
    <w:rsid w:val="005A7416"/>
    <w:rsid w:val="005A7608"/>
    <w:rsid w:val="005A7DC3"/>
    <w:rsid w:val="005B0EC7"/>
    <w:rsid w:val="005B1E9C"/>
    <w:rsid w:val="005B5C5C"/>
    <w:rsid w:val="005C06CF"/>
    <w:rsid w:val="005C1641"/>
    <w:rsid w:val="005C278A"/>
    <w:rsid w:val="005C3448"/>
    <w:rsid w:val="005C6D02"/>
    <w:rsid w:val="005D2396"/>
    <w:rsid w:val="005D4A0C"/>
    <w:rsid w:val="005D64D6"/>
    <w:rsid w:val="005D6B8A"/>
    <w:rsid w:val="005E1D1B"/>
    <w:rsid w:val="005F14F4"/>
    <w:rsid w:val="005F22A7"/>
    <w:rsid w:val="005F2DA7"/>
    <w:rsid w:val="005F3AA1"/>
    <w:rsid w:val="005F4CE4"/>
    <w:rsid w:val="00605578"/>
    <w:rsid w:val="00615FD8"/>
    <w:rsid w:val="00616477"/>
    <w:rsid w:val="00616E0E"/>
    <w:rsid w:val="0061737B"/>
    <w:rsid w:val="00617914"/>
    <w:rsid w:val="00620CAE"/>
    <w:rsid w:val="0062334B"/>
    <w:rsid w:val="00625D32"/>
    <w:rsid w:val="006314C1"/>
    <w:rsid w:val="00632154"/>
    <w:rsid w:val="00632275"/>
    <w:rsid w:val="006337E8"/>
    <w:rsid w:val="00642ABF"/>
    <w:rsid w:val="0064591A"/>
    <w:rsid w:val="00654274"/>
    <w:rsid w:val="00655F99"/>
    <w:rsid w:val="0065692E"/>
    <w:rsid w:val="006632F7"/>
    <w:rsid w:val="0066504D"/>
    <w:rsid w:val="006671E7"/>
    <w:rsid w:val="006706E1"/>
    <w:rsid w:val="006741ED"/>
    <w:rsid w:val="00675614"/>
    <w:rsid w:val="00676573"/>
    <w:rsid w:val="00683D4D"/>
    <w:rsid w:val="00684C5B"/>
    <w:rsid w:val="00685380"/>
    <w:rsid w:val="00685F38"/>
    <w:rsid w:val="006908EA"/>
    <w:rsid w:val="00693E2C"/>
    <w:rsid w:val="00694337"/>
    <w:rsid w:val="00695563"/>
    <w:rsid w:val="006A0133"/>
    <w:rsid w:val="006A0772"/>
    <w:rsid w:val="006A20B2"/>
    <w:rsid w:val="006A27FC"/>
    <w:rsid w:val="006A55B9"/>
    <w:rsid w:val="006A59FF"/>
    <w:rsid w:val="006A5B29"/>
    <w:rsid w:val="006A7A10"/>
    <w:rsid w:val="006B149E"/>
    <w:rsid w:val="006B2095"/>
    <w:rsid w:val="006B232C"/>
    <w:rsid w:val="006B3402"/>
    <w:rsid w:val="006B6D29"/>
    <w:rsid w:val="006C259F"/>
    <w:rsid w:val="006C2E1F"/>
    <w:rsid w:val="006C4B07"/>
    <w:rsid w:val="006C5606"/>
    <w:rsid w:val="006C7B92"/>
    <w:rsid w:val="006D21A5"/>
    <w:rsid w:val="006D5A81"/>
    <w:rsid w:val="006D6BB4"/>
    <w:rsid w:val="006D71D2"/>
    <w:rsid w:val="006D736F"/>
    <w:rsid w:val="006D759A"/>
    <w:rsid w:val="006D767A"/>
    <w:rsid w:val="006D77CB"/>
    <w:rsid w:val="006E05EA"/>
    <w:rsid w:val="006E06C4"/>
    <w:rsid w:val="006E6160"/>
    <w:rsid w:val="006E6F2D"/>
    <w:rsid w:val="006E768C"/>
    <w:rsid w:val="006F2E86"/>
    <w:rsid w:val="006F3DD2"/>
    <w:rsid w:val="00703ED9"/>
    <w:rsid w:val="007052C3"/>
    <w:rsid w:val="00713E86"/>
    <w:rsid w:val="00714715"/>
    <w:rsid w:val="007150AD"/>
    <w:rsid w:val="00720529"/>
    <w:rsid w:val="007213F1"/>
    <w:rsid w:val="00722B72"/>
    <w:rsid w:val="0072480C"/>
    <w:rsid w:val="00733C0B"/>
    <w:rsid w:val="007351BE"/>
    <w:rsid w:val="00736818"/>
    <w:rsid w:val="00737785"/>
    <w:rsid w:val="007430A2"/>
    <w:rsid w:val="00745296"/>
    <w:rsid w:val="0075045D"/>
    <w:rsid w:val="00750510"/>
    <w:rsid w:val="00750A21"/>
    <w:rsid w:val="00754101"/>
    <w:rsid w:val="00755280"/>
    <w:rsid w:val="00770C74"/>
    <w:rsid w:val="00772CA3"/>
    <w:rsid w:val="00775647"/>
    <w:rsid w:val="007757FE"/>
    <w:rsid w:val="00776B8D"/>
    <w:rsid w:val="00776EE1"/>
    <w:rsid w:val="00777D5E"/>
    <w:rsid w:val="00784483"/>
    <w:rsid w:val="007861FB"/>
    <w:rsid w:val="007867AA"/>
    <w:rsid w:val="007907BF"/>
    <w:rsid w:val="0079317A"/>
    <w:rsid w:val="007A07EB"/>
    <w:rsid w:val="007A085A"/>
    <w:rsid w:val="007A3A77"/>
    <w:rsid w:val="007A7D3A"/>
    <w:rsid w:val="007A7E67"/>
    <w:rsid w:val="007B0C61"/>
    <w:rsid w:val="007B457D"/>
    <w:rsid w:val="007B5614"/>
    <w:rsid w:val="007B5D0C"/>
    <w:rsid w:val="007B72C7"/>
    <w:rsid w:val="007C0A4E"/>
    <w:rsid w:val="007C0F05"/>
    <w:rsid w:val="007C0F2C"/>
    <w:rsid w:val="007C20CD"/>
    <w:rsid w:val="007C231C"/>
    <w:rsid w:val="007C2EC0"/>
    <w:rsid w:val="007C34AD"/>
    <w:rsid w:val="007C5877"/>
    <w:rsid w:val="007D5B02"/>
    <w:rsid w:val="007D5ED1"/>
    <w:rsid w:val="007D7B17"/>
    <w:rsid w:val="007E2464"/>
    <w:rsid w:val="007F1F1C"/>
    <w:rsid w:val="007F3CF9"/>
    <w:rsid w:val="00804B8C"/>
    <w:rsid w:val="0081055B"/>
    <w:rsid w:val="00810E7C"/>
    <w:rsid w:val="008120F5"/>
    <w:rsid w:val="00813AC8"/>
    <w:rsid w:val="00814CBB"/>
    <w:rsid w:val="008170D1"/>
    <w:rsid w:val="008212A7"/>
    <w:rsid w:val="008217E0"/>
    <w:rsid w:val="0082231A"/>
    <w:rsid w:val="00831A72"/>
    <w:rsid w:val="00832B28"/>
    <w:rsid w:val="00833411"/>
    <w:rsid w:val="00833C2D"/>
    <w:rsid w:val="00833D7A"/>
    <w:rsid w:val="0084066D"/>
    <w:rsid w:val="00841B95"/>
    <w:rsid w:val="00842218"/>
    <w:rsid w:val="00842544"/>
    <w:rsid w:val="0084254E"/>
    <w:rsid w:val="008430A7"/>
    <w:rsid w:val="00844660"/>
    <w:rsid w:val="008522F2"/>
    <w:rsid w:val="0085744F"/>
    <w:rsid w:val="008600F9"/>
    <w:rsid w:val="0086060D"/>
    <w:rsid w:val="0086173C"/>
    <w:rsid w:val="008623C6"/>
    <w:rsid w:val="008626DE"/>
    <w:rsid w:val="008634F5"/>
    <w:rsid w:val="00865D06"/>
    <w:rsid w:val="00866AE2"/>
    <w:rsid w:val="0087138F"/>
    <w:rsid w:val="00874867"/>
    <w:rsid w:val="0088098A"/>
    <w:rsid w:val="0088168B"/>
    <w:rsid w:val="00887353"/>
    <w:rsid w:val="008921CB"/>
    <w:rsid w:val="00892CEB"/>
    <w:rsid w:val="00892DC2"/>
    <w:rsid w:val="00893C1C"/>
    <w:rsid w:val="008A04DA"/>
    <w:rsid w:val="008A206D"/>
    <w:rsid w:val="008A60A4"/>
    <w:rsid w:val="008B0240"/>
    <w:rsid w:val="008B53EA"/>
    <w:rsid w:val="008B70F2"/>
    <w:rsid w:val="008C2139"/>
    <w:rsid w:val="008C28CD"/>
    <w:rsid w:val="008C4708"/>
    <w:rsid w:val="008D28DE"/>
    <w:rsid w:val="008D2C97"/>
    <w:rsid w:val="008D42EE"/>
    <w:rsid w:val="008D510A"/>
    <w:rsid w:val="008D77CD"/>
    <w:rsid w:val="008D7D52"/>
    <w:rsid w:val="008E27A3"/>
    <w:rsid w:val="008E2D47"/>
    <w:rsid w:val="008E4B96"/>
    <w:rsid w:val="008E5177"/>
    <w:rsid w:val="008E783D"/>
    <w:rsid w:val="008F00A0"/>
    <w:rsid w:val="008F245F"/>
    <w:rsid w:val="008F25EC"/>
    <w:rsid w:val="008F62C6"/>
    <w:rsid w:val="008F62DB"/>
    <w:rsid w:val="008F7ACF"/>
    <w:rsid w:val="00901B63"/>
    <w:rsid w:val="00907E6F"/>
    <w:rsid w:val="00910FB5"/>
    <w:rsid w:val="009118BA"/>
    <w:rsid w:val="009122A7"/>
    <w:rsid w:val="009132BB"/>
    <w:rsid w:val="00913388"/>
    <w:rsid w:val="009179FA"/>
    <w:rsid w:val="00920AFE"/>
    <w:rsid w:val="009212E2"/>
    <w:rsid w:val="0092177F"/>
    <w:rsid w:val="009254BE"/>
    <w:rsid w:val="00930905"/>
    <w:rsid w:val="00930B90"/>
    <w:rsid w:val="009343C2"/>
    <w:rsid w:val="00937416"/>
    <w:rsid w:val="00942AB2"/>
    <w:rsid w:val="00942FC7"/>
    <w:rsid w:val="00943700"/>
    <w:rsid w:val="00944333"/>
    <w:rsid w:val="00951671"/>
    <w:rsid w:val="0095432B"/>
    <w:rsid w:val="00961687"/>
    <w:rsid w:val="009629C7"/>
    <w:rsid w:val="009631D8"/>
    <w:rsid w:val="009660CC"/>
    <w:rsid w:val="009667F8"/>
    <w:rsid w:val="00970B44"/>
    <w:rsid w:val="00970BB3"/>
    <w:rsid w:val="00986359"/>
    <w:rsid w:val="00994D7E"/>
    <w:rsid w:val="00995878"/>
    <w:rsid w:val="00995D97"/>
    <w:rsid w:val="009970E0"/>
    <w:rsid w:val="0099724D"/>
    <w:rsid w:val="009A17E9"/>
    <w:rsid w:val="009A57C9"/>
    <w:rsid w:val="009B04D8"/>
    <w:rsid w:val="009B35F7"/>
    <w:rsid w:val="009B49A0"/>
    <w:rsid w:val="009B5DD9"/>
    <w:rsid w:val="009B722C"/>
    <w:rsid w:val="009C0551"/>
    <w:rsid w:val="009C69D5"/>
    <w:rsid w:val="009D1DF6"/>
    <w:rsid w:val="009D5011"/>
    <w:rsid w:val="009E0649"/>
    <w:rsid w:val="009E2150"/>
    <w:rsid w:val="009E4529"/>
    <w:rsid w:val="009E57CE"/>
    <w:rsid w:val="009E675D"/>
    <w:rsid w:val="009E780B"/>
    <w:rsid w:val="009F41FE"/>
    <w:rsid w:val="009F5885"/>
    <w:rsid w:val="009F5B27"/>
    <w:rsid w:val="00A07C92"/>
    <w:rsid w:val="00A11A32"/>
    <w:rsid w:val="00A124F5"/>
    <w:rsid w:val="00A1349E"/>
    <w:rsid w:val="00A163CF"/>
    <w:rsid w:val="00A208FB"/>
    <w:rsid w:val="00A223C7"/>
    <w:rsid w:val="00A22FE8"/>
    <w:rsid w:val="00A315D3"/>
    <w:rsid w:val="00A414EE"/>
    <w:rsid w:val="00A43A10"/>
    <w:rsid w:val="00A447E3"/>
    <w:rsid w:val="00A50F39"/>
    <w:rsid w:val="00A6082B"/>
    <w:rsid w:val="00A63048"/>
    <w:rsid w:val="00A70C59"/>
    <w:rsid w:val="00A739AB"/>
    <w:rsid w:val="00A73F7E"/>
    <w:rsid w:val="00A75D68"/>
    <w:rsid w:val="00A76087"/>
    <w:rsid w:val="00A77699"/>
    <w:rsid w:val="00A81A05"/>
    <w:rsid w:val="00A81CAC"/>
    <w:rsid w:val="00A8312C"/>
    <w:rsid w:val="00A90197"/>
    <w:rsid w:val="00A91473"/>
    <w:rsid w:val="00A9363A"/>
    <w:rsid w:val="00A9391C"/>
    <w:rsid w:val="00A93B71"/>
    <w:rsid w:val="00AA0527"/>
    <w:rsid w:val="00AA25C8"/>
    <w:rsid w:val="00AA2EF5"/>
    <w:rsid w:val="00AA3C68"/>
    <w:rsid w:val="00AA71C9"/>
    <w:rsid w:val="00AA7EC0"/>
    <w:rsid w:val="00AB22E8"/>
    <w:rsid w:val="00AB3978"/>
    <w:rsid w:val="00AC0CEF"/>
    <w:rsid w:val="00AC1244"/>
    <w:rsid w:val="00AC77A3"/>
    <w:rsid w:val="00AD09C4"/>
    <w:rsid w:val="00AD1E01"/>
    <w:rsid w:val="00AD4674"/>
    <w:rsid w:val="00AE38F5"/>
    <w:rsid w:val="00AE5461"/>
    <w:rsid w:val="00AF0ED0"/>
    <w:rsid w:val="00AF11EA"/>
    <w:rsid w:val="00AF39FA"/>
    <w:rsid w:val="00B00462"/>
    <w:rsid w:val="00B01917"/>
    <w:rsid w:val="00B01FC5"/>
    <w:rsid w:val="00B03EB9"/>
    <w:rsid w:val="00B0447B"/>
    <w:rsid w:val="00B04DF6"/>
    <w:rsid w:val="00B101E6"/>
    <w:rsid w:val="00B10248"/>
    <w:rsid w:val="00B104E2"/>
    <w:rsid w:val="00B10B0B"/>
    <w:rsid w:val="00B11177"/>
    <w:rsid w:val="00B114D1"/>
    <w:rsid w:val="00B11DE0"/>
    <w:rsid w:val="00B12731"/>
    <w:rsid w:val="00B14EF4"/>
    <w:rsid w:val="00B20944"/>
    <w:rsid w:val="00B21D37"/>
    <w:rsid w:val="00B238A9"/>
    <w:rsid w:val="00B24B12"/>
    <w:rsid w:val="00B25586"/>
    <w:rsid w:val="00B310F0"/>
    <w:rsid w:val="00B32624"/>
    <w:rsid w:val="00B336D8"/>
    <w:rsid w:val="00B33966"/>
    <w:rsid w:val="00B3511A"/>
    <w:rsid w:val="00B36656"/>
    <w:rsid w:val="00B37867"/>
    <w:rsid w:val="00B40D9F"/>
    <w:rsid w:val="00B411EC"/>
    <w:rsid w:val="00B41DCB"/>
    <w:rsid w:val="00B433A0"/>
    <w:rsid w:val="00B53DAD"/>
    <w:rsid w:val="00B80F6C"/>
    <w:rsid w:val="00B8364E"/>
    <w:rsid w:val="00B83CA9"/>
    <w:rsid w:val="00B87AD2"/>
    <w:rsid w:val="00B9031B"/>
    <w:rsid w:val="00B909F7"/>
    <w:rsid w:val="00B958C5"/>
    <w:rsid w:val="00B96ADF"/>
    <w:rsid w:val="00B97591"/>
    <w:rsid w:val="00BA006C"/>
    <w:rsid w:val="00BA11FF"/>
    <w:rsid w:val="00BA2F1E"/>
    <w:rsid w:val="00BB083E"/>
    <w:rsid w:val="00BB20BB"/>
    <w:rsid w:val="00BB2ABD"/>
    <w:rsid w:val="00BB302C"/>
    <w:rsid w:val="00BB4744"/>
    <w:rsid w:val="00BB77DD"/>
    <w:rsid w:val="00BC3992"/>
    <w:rsid w:val="00BC4B92"/>
    <w:rsid w:val="00BD399A"/>
    <w:rsid w:val="00BD3C38"/>
    <w:rsid w:val="00BD403C"/>
    <w:rsid w:val="00BD4995"/>
    <w:rsid w:val="00BE072E"/>
    <w:rsid w:val="00BE13F2"/>
    <w:rsid w:val="00BE192B"/>
    <w:rsid w:val="00BE2533"/>
    <w:rsid w:val="00BE551A"/>
    <w:rsid w:val="00BE59CE"/>
    <w:rsid w:val="00BF09E0"/>
    <w:rsid w:val="00BF0C10"/>
    <w:rsid w:val="00BF13F2"/>
    <w:rsid w:val="00BF4049"/>
    <w:rsid w:val="00BF7C57"/>
    <w:rsid w:val="00C0163E"/>
    <w:rsid w:val="00C05528"/>
    <w:rsid w:val="00C1526D"/>
    <w:rsid w:val="00C15E8D"/>
    <w:rsid w:val="00C17C39"/>
    <w:rsid w:val="00C21D67"/>
    <w:rsid w:val="00C307CF"/>
    <w:rsid w:val="00C31C0D"/>
    <w:rsid w:val="00C322F6"/>
    <w:rsid w:val="00C32647"/>
    <w:rsid w:val="00C34652"/>
    <w:rsid w:val="00C3553E"/>
    <w:rsid w:val="00C377B8"/>
    <w:rsid w:val="00C445DD"/>
    <w:rsid w:val="00C475B5"/>
    <w:rsid w:val="00C47CB9"/>
    <w:rsid w:val="00C50F8A"/>
    <w:rsid w:val="00C54FEB"/>
    <w:rsid w:val="00C55762"/>
    <w:rsid w:val="00C6019E"/>
    <w:rsid w:val="00C62E37"/>
    <w:rsid w:val="00C6652E"/>
    <w:rsid w:val="00C67716"/>
    <w:rsid w:val="00C71BA8"/>
    <w:rsid w:val="00C7220E"/>
    <w:rsid w:val="00C7310F"/>
    <w:rsid w:val="00C73FCD"/>
    <w:rsid w:val="00C750C8"/>
    <w:rsid w:val="00C76A26"/>
    <w:rsid w:val="00C84C2B"/>
    <w:rsid w:val="00C8594D"/>
    <w:rsid w:val="00C92FD7"/>
    <w:rsid w:val="00C93C66"/>
    <w:rsid w:val="00C94CAC"/>
    <w:rsid w:val="00C9721C"/>
    <w:rsid w:val="00CA2AC1"/>
    <w:rsid w:val="00CA504A"/>
    <w:rsid w:val="00CA6107"/>
    <w:rsid w:val="00CA6985"/>
    <w:rsid w:val="00CA7619"/>
    <w:rsid w:val="00CB218D"/>
    <w:rsid w:val="00CB3640"/>
    <w:rsid w:val="00CB483C"/>
    <w:rsid w:val="00CB5545"/>
    <w:rsid w:val="00CB7A72"/>
    <w:rsid w:val="00CC49D6"/>
    <w:rsid w:val="00CC5E06"/>
    <w:rsid w:val="00CC7E4B"/>
    <w:rsid w:val="00CD514E"/>
    <w:rsid w:val="00CD6216"/>
    <w:rsid w:val="00CD668B"/>
    <w:rsid w:val="00CD7A21"/>
    <w:rsid w:val="00CD7C93"/>
    <w:rsid w:val="00CE0B01"/>
    <w:rsid w:val="00CE2B81"/>
    <w:rsid w:val="00CE4B53"/>
    <w:rsid w:val="00CE7071"/>
    <w:rsid w:val="00CF04D1"/>
    <w:rsid w:val="00CF2C68"/>
    <w:rsid w:val="00CF4589"/>
    <w:rsid w:val="00CF465D"/>
    <w:rsid w:val="00CF4B1F"/>
    <w:rsid w:val="00CF691C"/>
    <w:rsid w:val="00D107F7"/>
    <w:rsid w:val="00D13485"/>
    <w:rsid w:val="00D24A0C"/>
    <w:rsid w:val="00D323CD"/>
    <w:rsid w:val="00D325B1"/>
    <w:rsid w:val="00D34B5C"/>
    <w:rsid w:val="00D34CD2"/>
    <w:rsid w:val="00D374E7"/>
    <w:rsid w:val="00D37655"/>
    <w:rsid w:val="00D4036D"/>
    <w:rsid w:val="00D41BE2"/>
    <w:rsid w:val="00D42E3E"/>
    <w:rsid w:val="00D45AF3"/>
    <w:rsid w:val="00D47FD6"/>
    <w:rsid w:val="00D51380"/>
    <w:rsid w:val="00D5280F"/>
    <w:rsid w:val="00D54129"/>
    <w:rsid w:val="00D551F2"/>
    <w:rsid w:val="00D60944"/>
    <w:rsid w:val="00D72906"/>
    <w:rsid w:val="00D74B05"/>
    <w:rsid w:val="00D75019"/>
    <w:rsid w:val="00D75260"/>
    <w:rsid w:val="00D80429"/>
    <w:rsid w:val="00D8153B"/>
    <w:rsid w:val="00D82AE2"/>
    <w:rsid w:val="00D85715"/>
    <w:rsid w:val="00D861DF"/>
    <w:rsid w:val="00D8625C"/>
    <w:rsid w:val="00D91496"/>
    <w:rsid w:val="00D96FCD"/>
    <w:rsid w:val="00DA0516"/>
    <w:rsid w:val="00DA140B"/>
    <w:rsid w:val="00DA17F9"/>
    <w:rsid w:val="00DA20D6"/>
    <w:rsid w:val="00DA30DA"/>
    <w:rsid w:val="00DA433E"/>
    <w:rsid w:val="00DA6ABC"/>
    <w:rsid w:val="00DB0A83"/>
    <w:rsid w:val="00DB585B"/>
    <w:rsid w:val="00DB6BB3"/>
    <w:rsid w:val="00DC11F3"/>
    <w:rsid w:val="00DC13EA"/>
    <w:rsid w:val="00DC3289"/>
    <w:rsid w:val="00DC4DFE"/>
    <w:rsid w:val="00DC5E40"/>
    <w:rsid w:val="00DC7BFF"/>
    <w:rsid w:val="00DD78B7"/>
    <w:rsid w:val="00DE1B77"/>
    <w:rsid w:val="00DF44D5"/>
    <w:rsid w:val="00DF6156"/>
    <w:rsid w:val="00DF7B2F"/>
    <w:rsid w:val="00E0320B"/>
    <w:rsid w:val="00E043AC"/>
    <w:rsid w:val="00E05693"/>
    <w:rsid w:val="00E10CC9"/>
    <w:rsid w:val="00E1182B"/>
    <w:rsid w:val="00E167E0"/>
    <w:rsid w:val="00E16A35"/>
    <w:rsid w:val="00E17459"/>
    <w:rsid w:val="00E21B4B"/>
    <w:rsid w:val="00E24FC8"/>
    <w:rsid w:val="00E263E0"/>
    <w:rsid w:val="00E32F81"/>
    <w:rsid w:val="00E34642"/>
    <w:rsid w:val="00E34BFA"/>
    <w:rsid w:val="00E4088E"/>
    <w:rsid w:val="00E42247"/>
    <w:rsid w:val="00E4760B"/>
    <w:rsid w:val="00E51425"/>
    <w:rsid w:val="00E52B3A"/>
    <w:rsid w:val="00E608C5"/>
    <w:rsid w:val="00E623A7"/>
    <w:rsid w:val="00E64BB6"/>
    <w:rsid w:val="00E65AA6"/>
    <w:rsid w:val="00E673BF"/>
    <w:rsid w:val="00E677E7"/>
    <w:rsid w:val="00E73B9F"/>
    <w:rsid w:val="00E77A8E"/>
    <w:rsid w:val="00E8071D"/>
    <w:rsid w:val="00E82FD6"/>
    <w:rsid w:val="00E832AD"/>
    <w:rsid w:val="00E9021B"/>
    <w:rsid w:val="00E911CC"/>
    <w:rsid w:val="00E915CD"/>
    <w:rsid w:val="00E91DF4"/>
    <w:rsid w:val="00E9227E"/>
    <w:rsid w:val="00E93687"/>
    <w:rsid w:val="00E95C96"/>
    <w:rsid w:val="00EB3612"/>
    <w:rsid w:val="00EB5B17"/>
    <w:rsid w:val="00EB7658"/>
    <w:rsid w:val="00EB7D72"/>
    <w:rsid w:val="00EC0598"/>
    <w:rsid w:val="00EC05CC"/>
    <w:rsid w:val="00EC0869"/>
    <w:rsid w:val="00EC47B4"/>
    <w:rsid w:val="00EC5D4E"/>
    <w:rsid w:val="00EC6941"/>
    <w:rsid w:val="00EC7BBC"/>
    <w:rsid w:val="00ED0DB9"/>
    <w:rsid w:val="00ED6681"/>
    <w:rsid w:val="00ED7AB8"/>
    <w:rsid w:val="00ED7AF2"/>
    <w:rsid w:val="00EE09F5"/>
    <w:rsid w:val="00EE0A6C"/>
    <w:rsid w:val="00EE3292"/>
    <w:rsid w:val="00EE3BD9"/>
    <w:rsid w:val="00EE558B"/>
    <w:rsid w:val="00EE5846"/>
    <w:rsid w:val="00EE676B"/>
    <w:rsid w:val="00EE7D3E"/>
    <w:rsid w:val="00EF03C6"/>
    <w:rsid w:val="00EF5C77"/>
    <w:rsid w:val="00EF666F"/>
    <w:rsid w:val="00EF7422"/>
    <w:rsid w:val="00F01660"/>
    <w:rsid w:val="00F01FC8"/>
    <w:rsid w:val="00F0272E"/>
    <w:rsid w:val="00F047B5"/>
    <w:rsid w:val="00F05010"/>
    <w:rsid w:val="00F06077"/>
    <w:rsid w:val="00F1205C"/>
    <w:rsid w:val="00F14A25"/>
    <w:rsid w:val="00F1626F"/>
    <w:rsid w:val="00F16858"/>
    <w:rsid w:val="00F16D1C"/>
    <w:rsid w:val="00F179F3"/>
    <w:rsid w:val="00F22009"/>
    <w:rsid w:val="00F2782A"/>
    <w:rsid w:val="00F30A6B"/>
    <w:rsid w:val="00F315A4"/>
    <w:rsid w:val="00F3166E"/>
    <w:rsid w:val="00F33394"/>
    <w:rsid w:val="00F36028"/>
    <w:rsid w:val="00F432AB"/>
    <w:rsid w:val="00F43A06"/>
    <w:rsid w:val="00F442B5"/>
    <w:rsid w:val="00F45F52"/>
    <w:rsid w:val="00F462F2"/>
    <w:rsid w:val="00F463E3"/>
    <w:rsid w:val="00F47A3A"/>
    <w:rsid w:val="00F47AD8"/>
    <w:rsid w:val="00F53021"/>
    <w:rsid w:val="00F535A5"/>
    <w:rsid w:val="00F54FEF"/>
    <w:rsid w:val="00F577B3"/>
    <w:rsid w:val="00F57B67"/>
    <w:rsid w:val="00F62CB4"/>
    <w:rsid w:val="00F63024"/>
    <w:rsid w:val="00F65E20"/>
    <w:rsid w:val="00F65FDD"/>
    <w:rsid w:val="00F66339"/>
    <w:rsid w:val="00F66649"/>
    <w:rsid w:val="00F67C20"/>
    <w:rsid w:val="00F70A4C"/>
    <w:rsid w:val="00F71637"/>
    <w:rsid w:val="00F74EB3"/>
    <w:rsid w:val="00F754B6"/>
    <w:rsid w:val="00F779B0"/>
    <w:rsid w:val="00F77D1A"/>
    <w:rsid w:val="00F826B9"/>
    <w:rsid w:val="00F82E1F"/>
    <w:rsid w:val="00F8410E"/>
    <w:rsid w:val="00F86CE7"/>
    <w:rsid w:val="00F922AC"/>
    <w:rsid w:val="00F95945"/>
    <w:rsid w:val="00FA146C"/>
    <w:rsid w:val="00FA1E71"/>
    <w:rsid w:val="00FA2F5A"/>
    <w:rsid w:val="00FA6E3B"/>
    <w:rsid w:val="00FB1B17"/>
    <w:rsid w:val="00FB31CB"/>
    <w:rsid w:val="00FC19A3"/>
    <w:rsid w:val="00FC2C12"/>
    <w:rsid w:val="00FC2DE0"/>
    <w:rsid w:val="00FC5136"/>
    <w:rsid w:val="00FC5669"/>
    <w:rsid w:val="00FC6855"/>
    <w:rsid w:val="00FD055B"/>
    <w:rsid w:val="00FD6ECE"/>
    <w:rsid w:val="00FD7331"/>
    <w:rsid w:val="00FE187E"/>
    <w:rsid w:val="00FE3414"/>
    <w:rsid w:val="00FF2E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F2F77"/>
  <w15:docId w15:val="{AC452C2A-8D70-44CE-8905-4AED2CC5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 w:type="paragraph" w:customStyle="1" w:styleId="tvhtml">
    <w:name w:val="tv_html"/>
    <w:basedOn w:val="Normal"/>
    <w:rsid w:val="003E3E30"/>
    <w:pPr>
      <w:spacing w:before="100" w:beforeAutospacing="1" w:after="100" w:afterAutospacing="1"/>
    </w:pPr>
    <w:rPr>
      <w:rFonts w:eastAsia="Times New Roman"/>
    </w:rPr>
  </w:style>
  <w:style w:type="character" w:customStyle="1" w:styleId="apple-converted-space">
    <w:name w:val="apple-converted-space"/>
    <w:basedOn w:val="DefaultParagraphFont"/>
    <w:rsid w:val="003E3E30"/>
  </w:style>
  <w:style w:type="paragraph" w:customStyle="1" w:styleId="tv213">
    <w:name w:val="tv213"/>
    <w:basedOn w:val="Normal"/>
    <w:rsid w:val="00ED7AF2"/>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0443DE"/>
    <w:rPr>
      <w:sz w:val="16"/>
      <w:szCs w:val="16"/>
    </w:rPr>
  </w:style>
  <w:style w:type="paragraph" w:styleId="CommentText">
    <w:name w:val="annotation text"/>
    <w:basedOn w:val="Normal"/>
    <w:link w:val="CommentTextChar"/>
    <w:semiHidden/>
    <w:unhideWhenUsed/>
    <w:rsid w:val="000443DE"/>
    <w:rPr>
      <w:sz w:val="20"/>
      <w:szCs w:val="20"/>
    </w:rPr>
  </w:style>
  <w:style w:type="character" w:customStyle="1" w:styleId="CommentTextChar">
    <w:name w:val="Comment Text Char"/>
    <w:basedOn w:val="DefaultParagraphFont"/>
    <w:link w:val="CommentText"/>
    <w:semiHidden/>
    <w:rsid w:val="000443DE"/>
    <w:rPr>
      <w:rFonts w:ascii="Times New Roman" w:hAnsi="Times New Roman"/>
    </w:rPr>
  </w:style>
  <w:style w:type="paragraph" w:styleId="CommentSubject">
    <w:name w:val="annotation subject"/>
    <w:basedOn w:val="CommentText"/>
    <w:next w:val="CommentText"/>
    <w:link w:val="CommentSubjectChar"/>
    <w:semiHidden/>
    <w:unhideWhenUsed/>
    <w:rsid w:val="000443DE"/>
    <w:rPr>
      <w:b/>
      <w:bCs/>
    </w:rPr>
  </w:style>
  <w:style w:type="character" w:customStyle="1" w:styleId="CommentSubjectChar">
    <w:name w:val="Comment Subject Char"/>
    <w:basedOn w:val="CommentTextChar"/>
    <w:link w:val="CommentSubject"/>
    <w:semiHidden/>
    <w:rsid w:val="000443DE"/>
    <w:rPr>
      <w:rFonts w:ascii="Times New Roman" w:hAnsi="Times New Roman"/>
      <w:b/>
      <w:bCs/>
    </w:rPr>
  </w:style>
  <w:style w:type="character" w:styleId="Strong">
    <w:name w:val="Strong"/>
    <w:basedOn w:val="DefaultParagraphFont"/>
    <w:uiPriority w:val="22"/>
    <w:qFormat/>
    <w:locked/>
    <w:rsid w:val="0088098A"/>
    <w:rPr>
      <w:b/>
      <w:bCs/>
    </w:rPr>
  </w:style>
  <w:style w:type="paragraph" w:styleId="z-TopofForm">
    <w:name w:val="HTML Top of Form"/>
    <w:basedOn w:val="Normal"/>
    <w:next w:val="Normal"/>
    <w:link w:val="z-TopofFormChar"/>
    <w:hidden/>
    <w:uiPriority w:val="99"/>
    <w:semiHidden/>
    <w:rsid w:val="0086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3C6"/>
    <w:rPr>
      <w:rFonts w:ascii="Arial" w:eastAsia="Times New Roman" w:hAnsi="Arial" w:cs="Arial"/>
      <w:vanish/>
      <w:sz w:val="16"/>
      <w:szCs w:val="16"/>
    </w:rPr>
  </w:style>
  <w:style w:type="numbering" w:customStyle="1" w:styleId="WW8Num17">
    <w:name w:val="WW8Num17"/>
    <w:basedOn w:val="NoList"/>
    <w:rsid w:val="008623C6"/>
    <w:pPr>
      <w:numPr>
        <w:numId w:val="16"/>
      </w:numPr>
    </w:pPr>
  </w:style>
  <w:style w:type="paragraph" w:styleId="NoSpacing">
    <w:name w:val="No Spacing"/>
    <w:uiPriority w:val="1"/>
    <w:qFormat/>
    <w:rsid w:val="008623C6"/>
    <w:pPr>
      <w:widowControl w:val="0"/>
    </w:pPr>
    <w:rPr>
      <w:sz w:val="22"/>
      <w:szCs w:val="22"/>
      <w:lang w:val="en-US" w:eastAsia="en-US"/>
    </w:rPr>
  </w:style>
  <w:style w:type="paragraph" w:customStyle="1" w:styleId="naisc">
    <w:name w:val="naisc"/>
    <w:basedOn w:val="Normal"/>
    <w:rsid w:val="0004080F"/>
    <w:pPr>
      <w:spacing w:before="75" w:after="75"/>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085">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1481">
      <w:bodyDiv w:val="1"/>
      <w:marLeft w:val="0"/>
      <w:marRight w:val="0"/>
      <w:marTop w:val="0"/>
      <w:marBottom w:val="0"/>
      <w:divBdr>
        <w:top w:val="none" w:sz="0" w:space="0" w:color="auto"/>
        <w:left w:val="none" w:sz="0" w:space="0" w:color="auto"/>
        <w:bottom w:val="none" w:sz="0" w:space="0" w:color="auto"/>
        <w:right w:val="none" w:sz="0" w:space="0" w:color="auto"/>
      </w:divBdr>
    </w:div>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839075989">
      <w:bodyDiv w:val="1"/>
      <w:marLeft w:val="0"/>
      <w:marRight w:val="0"/>
      <w:marTop w:val="0"/>
      <w:marBottom w:val="0"/>
      <w:divBdr>
        <w:top w:val="none" w:sz="0" w:space="0" w:color="auto"/>
        <w:left w:val="none" w:sz="0" w:space="0" w:color="auto"/>
        <w:bottom w:val="none" w:sz="0" w:space="0" w:color="auto"/>
        <w:right w:val="none" w:sz="0" w:space="0" w:color="auto"/>
      </w:divBdr>
    </w:div>
    <w:div w:id="912079798">
      <w:bodyDiv w:val="1"/>
      <w:marLeft w:val="0"/>
      <w:marRight w:val="0"/>
      <w:marTop w:val="0"/>
      <w:marBottom w:val="0"/>
      <w:divBdr>
        <w:top w:val="none" w:sz="0" w:space="0" w:color="auto"/>
        <w:left w:val="none" w:sz="0" w:space="0" w:color="auto"/>
        <w:bottom w:val="none" w:sz="0" w:space="0" w:color="auto"/>
        <w:right w:val="none" w:sz="0" w:space="0" w:color="auto"/>
      </w:divBdr>
      <w:divsChild>
        <w:div w:id="9919192">
          <w:marLeft w:val="0"/>
          <w:marRight w:val="0"/>
          <w:marTop w:val="0"/>
          <w:marBottom w:val="0"/>
          <w:divBdr>
            <w:top w:val="none" w:sz="0" w:space="0" w:color="auto"/>
            <w:left w:val="none" w:sz="0" w:space="0" w:color="auto"/>
            <w:bottom w:val="none" w:sz="0" w:space="0" w:color="auto"/>
            <w:right w:val="none" w:sz="0" w:space="0" w:color="auto"/>
          </w:divBdr>
          <w:divsChild>
            <w:div w:id="1516190194">
              <w:marLeft w:val="0"/>
              <w:marRight w:val="0"/>
              <w:marTop w:val="0"/>
              <w:marBottom w:val="0"/>
              <w:divBdr>
                <w:top w:val="none" w:sz="0" w:space="0" w:color="auto"/>
                <w:left w:val="none" w:sz="0" w:space="0" w:color="auto"/>
                <w:bottom w:val="none" w:sz="0" w:space="0" w:color="auto"/>
                <w:right w:val="none" w:sz="0" w:space="0" w:color="auto"/>
              </w:divBdr>
              <w:divsChild>
                <w:div w:id="635915602">
                  <w:marLeft w:val="-165"/>
                  <w:marRight w:val="0"/>
                  <w:marTop w:val="0"/>
                  <w:marBottom w:val="0"/>
                  <w:divBdr>
                    <w:top w:val="none" w:sz="0" w:space="0" w:color="auto"/>
                    <w:left w:val="none" w:sz="0" w:space="0" w:color="auto"/>
                    <w:bottom w:val="none" w:sz="0" w:space="0" w:color="auto"/>
                    <w:right w:val="none" w:sz="0" w:space="0" w:color="auto"/>
                  </w:divBdr>
                  <w:divsChild>
                    <w:div w:id="517621969">
                      <w:marLeft w:val="0"/>
                      <w:marRight w:val="0"/>
                      <w:marTop w:val="0"/>
                      <w:marBottom w:val="0"/>
                      <w:divBdr>
                        <w:top w:val="none" w:sz="0" w:space="0" w:color="auto"/>
                        <w:left w:val="none" w:sz="0" w:space="0" w:color="auto"/>
                        <w:bottom w:val="none" w:sz="0" w:space="0" w:color="auto"/>
                        <w:right w:val="none" w:sz="0" w:space="0" w:color="auto"/>
                      </w:divBdr>
                      <w:divsChild>
                        <w:div w:id="1274166530">
                          <w:marLeft w:val="0"/>
                          <w:marRight w:val="0"/>
                          <w:marTop w:val="330"/>
                          <w:marBottom w:val="0"/>
                          <w:divBdr>
                            <w:top w:val="none" w:sz="0" w:space="0" w:color="auto"/>
                            <w:left w:val="none" w:sz="0" w:space="0" w:color="auto"/>
                            <w:bottom w:val="none" w:sz="0" w:space="0" w:color="auto"/>
                            <w:right w:val="none" w:sz="0" w:space="0" w:color="auto"/>
                          </w:divBdr>
                          <w:divsChild>
                            <w:div w:id="763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3779">
      <w:bodyDiv w:val="1"/>
      <w:marLeft w:val="0"/>
      <w:marRight w:val="0"/>
      <w:marTop w:val="0"/>
      <w:marBottom w:val="0"/>
      <w:divBdr>
        <w:top w:val="none" w:sz="0" w:space="0" w:color="auto"/>
        <w:left w:val="none" w:sz="0" w:space="0" w:color="auto"/>
        <w:bottom w:val="none" w:sz="0" w:space="0" w:color="auto"/>
        <w:right w:val="none" w:sz="0" w:space="0" w:color="auto"/>
      </w:divBdr>
    </w:div>
    <w:div w:id="1429498786">
      <w:bodyDiv w:val="1"/>
      <w:marLeft w:val="0"/>
      <w:marRight w:val="0"/>
      <w:marTop w:val="0"/>
      <w:marBottom w:val="0"/>
      <w:divBdr>
        <w:top w:val="none" w:sz="0" w:space="0" w:color="auto"/>
        <w:left w:val="none" w:sz="0" w:space="0" w:color="auto"/>
        <w:bottom w:val="none" w:sz="0" w:space="0" w:color="auto"/>
        <w:right w:val="none" w:sz="0" w:space="0" w:color="auto"/>
      </w:divBdr>
    </w:div>
    <w:div w:id="1766875520">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202593305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82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99DC-EB25-41CF-9DAD-84BF8ABF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4922</Words>
  <Characters>2806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2011.gada 1.februāra noteikumos Nr.109 "Kārtība, kādā atsavināma publiskas personas manta""</vt:lpstr>
    </vt:vector>
  </TitlesOfParts>
  <Company>VRK</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1.februāra noteikumos Nr.109 "Kārtība, kādā atsavināma publiskas personas manta""</dc:title>
  <dc:subject>Sākotnējās ietekmes novērtējuma ziņojums (anotācija)</dc:subject>
  <dc:creator>Arnolds Gailišs</dc:creator>
  <dc:description>64603687, Uldis.Barkans@rs.gov.lv</dc:description>
  <cp:lastModifiedBy>Katažina Žegoda</cp:lastModifiedBy>
  <cp:revision>2</cp:revision>
  <cp:lastPrinted>2020-02-13T11:03:00Z</cp:lastPrinted>
  <dcterms:created xsi:type="dcterms:W3CDTF">2020-02-17T09:14:00Z</dcterms:created>
  <dcterms:modified xsi:type="dcterms:W3CDTF">2020-02-17T09:14:00Z</dcterms:modified>
</cp:coreProperties>
</file>