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05DA2" w14:textId="061CB84A" w:rsidR="00653440" w:rsidRPr="006D7501" w:rsidRDefault="00446103" w:rsidP="00653440">
      <w:pPr>
        <w:shd w:val="clear" w:color="auto" w:fill="FFFFFF"/>
        <w:spacing w:after="120"/>
        <w:jc w:val="center"/>
        <w:rPr>
          <w:b/>
          <w:bCs/>
        </w:rPr>
      </w:pPr>
      <w:bookmarkStart w:id="0" w:name="_GoBack"/>
      <w:bookmarkEnd w:id="0"/>
      <w:r w:rsidRPr="006D7501">
        <w:rPr>
          <w:b/>
          <w:bCs/>
        </w:rPr>
        <w:t>Ministru kabineta noteikumu projekta</w:t>
      </w:r>
      <w:r w:rsidR="00DB0AC9" w:rsidRPr="006D7501">
        <w:rPr>
          <w:b/>
          <w:bCs/>
        </w:rPr>
        <w:t xml:space="preserve"> “</w:t>
      </w:r>
      <w:r w:rsidR="0015214B" w:rsidRPr="006D7501">
        <w:rPr>
          <w:b/>
          <w:bCs/>
        </w:rPr>
        <w:t>Ieroču reģistra noteikumi</w:t>
      </w:r>
      <w:r w:rsidR="00DB0AC9" w:rsidRPr="006D7501">
        <w:rPr>
          <w:b/>
          <w:bCs/>
        </w:rPr>
        <w:t>” sākotnējās ietekmes novērtējuma ziņojums (anotācija)</w:t>
      </w:r>
    </w:p>
    <w:p w14:paraId="5E54D9BB" w14:textId="77777777" w:rsidR="00DB0AC9" w:rsidRPr="006D7501" w:rsidRDefault="00DB0AC9" w:rsidP="00DB0AC9">
      <w:pPr>
        <w:shd w:val="clear" w:color="auto" w:fill="FFFFFF"/>
        <w:ind w:firstLine="300"/>
        <w:jc w:val="center"/>
        <w:rPr>
          <w:iCs/>
        </w:rPr>
      </w:pPr>
    </w:p>
    <w:tbl>
      <w:tblPr>
        <w:tblStyle w:val="TableGrid"/>
        <w:tblW w:w="5000" w:type="pct"/>
        <w:shd w:val="clear" w:color="auto" w:fill="FFFFFF" w:themeFill="background1"/>
        <w:tblLook w:val="04A0" w:firstRow="1" w:lastRow="0" w:firstColumn="1" w:lastColumn="0" w:noHBand="0" w:noVBand="1"/>
      </w:tblPr>
      <w:tblGrid>
        <w:gridCol w:w="3293"/>
        <w:gridCol w:w="5768"/>
      </w:tblGrid>
      <w:tr w:rsidR="00DB0AC9" w:rsidRPr="006D7501" w14:paraId="26809B23" w14:textId="77777777" w:rsidTr="007843CB">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1B884" w14:textId="77777777" w:rsidR="00DB0AC9" w:rsidRPr="006D7501" w:rsidRDefault="00DB0AC9" w:rsidP="00BD02FB">
            <w:pPr>
              <w:jc w:val="center"/>
              <w:rPr>
                <w:b/>
                <w:iCs/>
              </w:rPr>
            </w:pPr>
            <w:r w:rsidRPr="006D7501">
              <w:rPr>
                <w:b/>
                <w:iCs/>
              </w:rPr>
              <w:t xml:space="preserve">Tiesību akta projekta anotācijas kopsavilkums </w:t>
            </w:r>
          </w:p>
        </w:tc>
      </w:tr>
      <w:tr w:rsidR="00DB0AC9" w:rsidRPr="006D7501" w14:paraId="087CF72E" w14:textId="77777777" w:rsidTr="007843CB">
        <w:tc>
          <w:tcPr>
            <w:tcW w:w="18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CC58DF" w14:textId="77777777" w:rsidR="00DB0AC9" w:rsidRPr="006D7501" w:rsidRDefault="00DB0AC9" w:rsidP="00DB0AC9">
            <w:pPr>
              <w:rPr>
                <w:iCs/>
              </w:rPr>
            </w:pPr>
            <w:r w:rsidRPr="006D7501">
              <w:rPr>
                <w:iCs/>
              </w:rPr>
              <w:t xml:space="preserve">Mērķis, risinājums un projekta spēkā stāšanās laiks </w:t>
            </w:r>
          </w:p>
        </w:tc>
        <w:tc>
          <w:tcPr>
            <w:tcW w:w="31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AEC9B4" w14:textId="69D822CC" w:rsidR="008412F4" w:rsidRPr="006D7501" w:rsidRDefault="00017199" w:rsidP="00290A3B">
            <w:pPr>
              <w:ind w:firstLine="283"/>
              <w:jc w:val="both"/>
            </w:pPr>
            <w:r w:rsidRPr="006D7501">
              <w:t>Projekta galvenais mērķis ir Eiropas Parlamenta un Padomes 2017.gada 17.maija Direktīvas (ES) 2017/853 ar ko groza Padomes Direktīvu 91/477/EEK par ieroču iegādes un glabāšanas kontroli</w:t>
            </w:r>
            <w:r w:rsidRPr="006D7501">
              <w:rPr>
                <w:i/>
                <w:iCs/>
              </w:rPr>
              <w:t> </w:t>
            </w:r>
            <w:r w:rsidRPr="006D7501">
              <w:t xml:space="preserve">prasību pārņemšana Latvijas nacionālajos normatīvajos aktos. </w:t>
            </w:r>
            <w:r w:rsidR="00290A3B" w:rsidRPr="006D7501">
              <w:t xml:space="preserve">Projektam </w:t>
            </w:r>
            <w:r w:rsidR="00DB586D" w:rsidRPr="006D7501">
              <w:t xml:space="preserve">saskaņā ar </w:t>
            </w:r>
            <w:r w:rsidR="00290A3B" w:rsidRPr="006D7501">
              <w:t>Ieroču aprites l</w:t>
            </w:r>
            <w:r w:rsidR="00DB586D" w:rsidRPr="006D7501">
              <w:t>ikuma Pārejas noteikumu 6.punktu jāstājas spēkā ne vēlāk kā līdz 2019.gada 14.decembrim.</w:t>
            </w:r>
          </w:p>
        </w:tc>
      </w:tr>
    </w:tbl>
    <w:p w14:paraId="3D234BB2" w14:textId="56E6E988" w:rsidR="00DB0AC9" w:rsidRPr="006D7501" w:rsidRDefault="00DB0AC9" w:rsidP="00DB0AC9">
      <w:pPr>
        <w:shd w:val="clear" w:color="auto" w:fill="FFFFFF"/>
        <w:ind w:firstLine="300"/>
        <w:jc w:val="center"/>
        <w:rPr>
          <w:i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9"/>
        <w:gridCol w:w="2738"/>
        <w:gridCol w:w="5768"/>
      </w:tblGrid>
      <w:tr w:rsidR="00DB0AC9" w:rsidRPr="006D7501" w14:paraId="5849F07E" w14:textId="77777777" w:rsidTr="007843CB">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E1BB70C" w14:textId="77777777" w:rsidR="00DB0AC9" w:rsidRPr="006D7501" w:rsidRDefault="00DB0AC9" w:rsidP="00BD02FB">
            <w:pPr>
              <w:jc w:val="center"/>
              <w:rPr>
                <w:b/>
                <w:bCs/>
              </w:rPr>
            </w:pPr>
            <w:r w:rsidRPr="006D7501">
              <w:rPr>
                <w:b/>
                <w:bCs/>
              </w:rPr>
              <w:t>I. Tiesību akta projekta izstrādes nepieciešamība</w:t>
            </w:r>
          </w:p>
        </w:tc>
      </w:tr>
      <w:tr w:rsidR="00DB0AC9" w:rsidRPr="006D7501" w14:paraId="3BB2187D" w14:textId="77777777" w:rsidTr="007843CB">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279C0743" w14:textId="77777777" w:rsidR="00DB0AC9" w:rsidRPr="006D7501" w:rsidRDefault="00DB0AC9" w:rsidP="00BD02FB">
            <w:pPr>
              <w:jc w:val="center"/>
            </w:pPr>
            <w:r w:rsidRPr="006D7501">
              <w:t>1.</w:t>
            </w:r>
          </w:p>
        </w:tc>
        <w:tc>
          <w:tcPr>
            <w:tcW w:w="1512" w:type="pct"/>
            <w:tcBorders>
              <w:top w:val="outset" w:sz="6" w:space="0" w:color="414142"/>
              <w:left w:val="outset" w:sz="6" w:space="0" w:color="414142"/>
              <w:bottom w:val="outset" w:sz="6" w:space="0" w:color="414142"/>
              <w:right w:val="outset" w:sz="6" w:space="0" w:color="414142"/>
            </w:tcBorders>
            <w:hideMark/>
          </w:tcPr>
          <w:p w14:paraId="27CF67FD" w14:textId="77777777" w:rsidR="00DB0AC9" w:rsidRPr="006D7501" w:rsidRDefault="00DB0AC9" w:rsidP="00BD02FB">
            <w:r w:rsidRPr="006D7501">
              <w:t>Pamatojums</w:t>
            </w:r>
          </w:p>
        </w:tc>
        <w:tc>
          <w:tcPr>
            <w:tcW w:w="3185" w:type="pct"/>
            <w:tcBorders>
              <w:top w:val="outset" w:sz="6" w:space="0" w:color="414142"/>
              <w:left w:val="outset" w:sz="6" w:space="0" w:color="414142"/>
              <w:bottom w:val="outset" w:sz="6" w:space="0" w:color="414142"/>
              <w:right w:val="outset" w:sz="6" w:space="0" w:color="414142"/>
            </w:tcBorders>
          </w:tcPr>
          <w:p w14:paraId="5AD515CC" w14:textId="20F1F971" w:rsidR="00DB0AC9" w:rsidRPr="006D7501" w:rsidRDefault="00290A3B" w:rsidP="006B0E6F">
            <w:pPr>
              <w:ind w:firstLine="250"/>
              <w:jc w:val="both"/>
            </w:pPr>
            <w:r w:rsidRPr="006D7501">
              <w:t>Projekta galvenais mērķis ir Eiropas Parlamenta un Padomes 2017.gada 17.maija Direktīvas (ES) 2017/853 ar ko groza Padomes Direktīvu 91/477/EEK par ieroču iegādes un glabāšanas kontroli</w:t>
            </w:r>
            <w:r w:rsidRPr="006D7501">
              <w:rPr>
                <w:i/>
                <w:iCs/>
              </w:rPr>
              <w:t> </w:t>
            </w:r>
            <w:r w:rsidRPr="006D7501">
              <w:t>(turpmāk - Direktīva (ES) 2017/853) prasību pārņemšana Latvijas nacionālajos normatīvajos aktos. Direktīvas (ES) 2017/853 2.panta 2.punkts nosaka, ka</w:t>
            </w:r>
            <w:r w:rsidRPr="006D7501">
              <w:rPr>
                <w:color w:val="000000"/>
                <w:shd w:val="clear" w:color="auto" w:fill="FFFFFF"/>
              </w:rPr>
              <w:t xml:space="preserve"> </w:t>
            </w:r>
            <w:r w:rsidRPr="006D7501">
              <w:t>atkāpjoties no šā panta 1. punkta, dalībvalstīs stājas spēkā normatīvie un administratīvie akti, kas vajadzīgi, lai atbilstu Direktīvas 91/477/EEK, kā tā grozīta ar šo direktīvu, 4. panta 3. punktam un 4. panta 4. punktam, līdz 2019. gada 14. decembrim. Dalībvalstis par to tūlīt informē Komisiju. Vienlaikus Direktīvas (ES) 2017/853 2.panta 3.punkts nosaka, ka kad dalībvalstis pieņem noteikumus saskaņā ar 1. un 2. punktu, tajos ietver atsauci uz šo direktīvu vai arī šādu atsauci pievieno to oficiālajai publikācijai. Ņemot vērā minēto, lai pārņemtu pilnā apjomā Direktīvas (ES) 2017/853 1.pantu, kas izteica jaunā redakcijā Direktīvas 91/477/EEK 4. panta 3. punktu un 4. panta 4. punktu Ieroču aprites likuma (turpmāk – Likums) 83.panta trešā daļa paredz deleģējumu Ministru kabinetam noteikt informācijas apjomu un kārtību, kādā ieroču komersants iekļauj šā panta pirmajā daļā minētās ziņas Ieroču reģistrā. Savukārt, Likuma 83.panta piektā daļa paredz deleģējumu Ministru kabinetam noteikt informācijas apjomu un kārtību, kādā ieroču brokeris iekļauj šā panta ceturtajā daļā minētās ziņas Ieroču reģistrā. Likuma 87.panta ceturtā daļa paredz deleģējumu Ministru kabinetam noteikt Ieroču reģistrā iekļaujamo ziņu apjomu, iekļaušanas, izmantošanas un dzēšanas kārtību, kā arī institūcijas, kurām piešķirama piekļuve minētajā reģistrā iekļautajām ziņām. Ministru kabineta noteikumu projektam “Ieroču reģistra noteikumi” (turpmāk – projekts) saskaņā ar Likuma Pārejas noteikumu 6.punktu jāstājas spēkā ne vēlāk kā līdz 2019.gada 14.decembrim.</w:t>
            </w:r>
          </w:p>
        </w:tc>
      </w:tr>
      <w:tr w:rsidR="00DB0AC9" w:rsidRPr="006D7501" w14:paraId="36491899" w14:textId="77777777" w:rsidTr="007843CB">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3A624409" w14:textId="77777777" w:rsidR="00DB0AC9" w:rsidRPr="006D7501" w:rsidRDefault="00DB0AC9" w:rsidP="00BD02FB">
            <w:pPr>
              <w:jc w:val="center"/>
            </w:pPr>
            <w:r w:rsidRPr="006D7501">
              <w:t>2.</w:t>
            </w:r>
          </w:p>
        </w:tc>
        <w:tc>
          <w:tcPr>
            <w:tcW w:w="1512" w:type="pct"/>
            <w:tcBorders>
              <w:top w:val="outset" w:sz="6" w:space="0" w:color="414142"/>
              <w:left w:val="outset" w:sz="6" w:space="0" w:color="414142"/>
              <w:bottom w:val="outset" w:sz="6" w:space="0" w:color="414142"/>
              <w:right w:val="outset" w:sz="6" w:space="0" w:color="414142"/>
            </w:tcBorders>
            <w:hideMark/>
          </w:tcPr>
          <w:p w14:paraId="66D8D1D4" w14:textId="77777777" w:rsidR="00DB0AC9" w:rsidRPr="006D7501" w:rsidRDefault="00DB0AC9" w:rsidP="00BD02FB">
            <w:r w:rsidRPr="006D7501">
              <w:t xml:space="preserve">Pašreizējā situācija un problēmas, kuru risināšanai tiesību akta projekts </w:t>
            </w:r>
            <w:r w:rsidRPr="006D7501">
              <w:lastRenderedPageBreak/>
              <w:t>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16717D05" w14:textId="566ECCBD" w:rsidR="00CC3BED" w:rsidRPr="006D7501" w:rsidRDefault="00FC6183" w:rsidP="006B0E6F">
            <w:pPr>
              <w:ind w:firstLine="250"/>
              <w:jc w:val="both"/>
            </w:pPr>
            <w:r w:rsidRPr="006D7501">
              <w:lastRenderedPageBreak/>
              <w:t xml:space="preserve">Izstrādātais projekts galvenokārt saistīts ar nepieciešamību pārņemt Direktīvas (ES) 2017/853 prasības </w:t>
            </w:r>
            <w:r w:rsidRPr="006D7501">
              <w:lastRenderedPageBreak/>
              <w:t>nacionālajos normatīvajos aktos, kā arī l</w:t>
            </w:r>
            <w:r w:rsidR="00CC3BED" w:rsidRPr="006D7501">
              <w:t>ai izpildītu Ministru kabinetam doto deleģēju</w:t>
            </w:r>
            <w:r w:rsidRPr="006D7501">
              <w:t>mu projektā ir paredzēt</w:t>
            </w:r>
            <w:r w:rsidR="008E1A8B" w:rsidRPr="006D7501">
              <w:t>s</w:t>
            </w:r>
            <w:r w:rsidRPr="006D7501">
              <w:t xml:space="preserve"> noteikt</w:t>
            </w:r>
            <w:r w:rsidR="00CC3BED" w:rsidRPr="006D7501">
              <w:t>:</w:t>
            </w:r>
          </w:p>
          <w:p w14:paraId="29B38A90" w14:textId="77777777" w:rsidR="00CC3BED" w:rsidRPr="006D7501" w:rsidRDefault="00CC3BED" w:rsidP="00CC3BED">
            <w:pPr>
              <w:pStyle w:val="ListParagraph"/>
              <w:numPr>
                <w:ilvl w:val="0"/>
                <w:numId w:val="9"/>
              </w:numPr>
              <w:jc w:val="both"/>
              <w:rPr>
                <w:rFonts w:ascii="Times New Roman" w:hAnsi="Times New Roman" w:cs="Times New Roman"/>
                <w:sz w:val="24"/>
                <w:szCs w:val="24"/>
              </w:rPr>
            </w:pPr>
            <w:r w:rsidRPr="006D7501">
              <w:rPr>
                <w:rFonts w:ascii="Times New Roman" w:hAnsi="Times New Roman" w:cs="Times New Roman"/>
                <w:sz w:val="24"/>
                <w:szCs w:val="24"/>
              </w:rPr>
              <w:t>Ieroču reģistrā iekļaujamo ziņu apjomu, iekļaušanas, izmantošanas un dzēšanas kārtību, kā arī institūcijas, kurām piešķirama piekļuve minētajā reģistrā iekļautajām ziņām;</w:t>
            </w:r>
          </w:p>
          <w:p w14:paraId="4F2207A9" w14:textId="33763B20" w:rsidR="00CC3BED" w:rsidRPr="006D7501" w:rsidRDefault="00FC6183" w:rsidP="00CC3BED">
            <w:pPr>
              <w:pStyle w:val="ListParagraph"/>
              <w:numPr>
                <w:ilvl w:val="0"/>
                <w:numId w:val="9"/>
              </w:numPr>
              <w:jc w:val="both"/>
              <w:rPr>
                <w:rFonts w:ascii="Times New Roman" w:hAnsi="Times New Roman" w:cs="Times New Roman"/>
                <w:sz w:val="24"/>
                <w:szCs w:val="24"/>
              </w:rPr>
            </w:pPr>
            <w:r w:rsidRPr="006D7501">
              <w:rPr>
                <w:rFonts w:ascii="Times New Roman" w:hAnsi="Times New Roman" w:cs="Times New Roman"/>
                <w:sz w:val="24"/>
                <w:szCs w:val="24"/>
              </w:rPr>
              <w:t>I</w:t>
            </w:r>
            <w:r w:rsidR="00CC3BED" w:rsidRPr="006D7501">
              <w:rPr>
                <w:rFonts w:ascii="Times New Roman" w:hAnsi="Times New Roman" w:cs="Times New Roman"/>
                <w:sz w:val="24"/>
                <w:szCs w:val="24"/>
              </w:rPr>
              <w:t>nformācijas apjomu un kārtību, kādā ieroču brokeris iekļauj Ieroču aprites likuma 83.panta ceturtajā daļā minētās ziņas Ieroču reģistrā;</w:t>
            </w:r>
          </w:p>
          <w:p w14:paraId="5605E4A6" w14:textId="455D6B6B" w:rsidR="00CC3BED" w:rsidRPr="006D7501" w:rsidRDefault="00FC6183" w:rsidP="00CC3BED">
            <w:pPr>
              <w:pStyle w:val="ListParagraph"/>
              <w:numPr>
                <w:ilvl w:val="0"/>
                <w:numId w:val="9"/>
              </w:numPr>
              <w:spacing w:after="0"/>
              <w:jc w:val="both"/>
              <w:rPr>
                <w:rFonts w:ascii="Times New Roman" w:hAnsi="Times New Roman" w:cs="Times New Roman"/>
                <w:sz w:val="24"/>
                <w:szCs w:val="24"/>
              </w:rPr>
            </w:pPr>
            <w:r w:rsidRPr="006D7501">
              <w:rPr>
                <w:rFonts w:ascii="Times New Roman" w:hAnsi="Times New Roman" w:cs="Times New Roman"/>
                <w:sz w:val="24"/>
                <w:szCs w:val="24"/>
              </w:rPr>
              <w:t>I</w:t>
            </w:r>
            <w:r w:rsidR="00CC3BED" w:rsidRPr="006D7501">
              <w:rPr>
                <w:rFonts w:ascii="Times New Roman" w:hAnsi="Times New Roman" w:cs="Times New Roman"/>
                <w:sz w:val="24"/>
                <w:szCs w:val="24"/>
              </w:rPr>
              <w:t xml:space="preserve">nformācijas apjomu un kārtību, kādā ieroču komersants iekļauj Ieroču aprites likuma 83.panta pirmajā daļā minētās ziņas Ieroču reģistrā. </w:t>
            </w:r>
          </w:p>
          <w:p w14:paraId="6377EB92" w14:textId="0CA60372" w:rsidR="00E218FD" w:rsidRPr="006D7501" w:rsidRDefault="00FC6183" w:rsidP="00E218FD">
            <w:pPr>
              <w:ind w:firstLine="250"/>
              <w:jc w:val="both"/>
              <w:rPr>
                <w:bCs/>
              </w:rPr>
            </w:pPr>
            <w:r w:rsidRPr="006D7501">
              <w:t>Š</w:t>
            </w:r>
            <w:r w:rsidR="000A4B00" w:rsidRPr="006D7501">
              <w:t xml:space="preserve">obrīd </w:t>
            </w:r>
            <w:r w:rsidRPr="006D7501">
              <w:t>Ministru kabineta 2011.gada 27.decembra noteikumi Nr.1012 “Šaujamieroču, lielas enerģijas pneimatisko ieroču un gāzes pistoļu (revolveru) vienotās uzskaites kārtība”</w:t>
            </w:r>
            <w:r w:rsidR="00E15A53" w:rsidRPr="006D7501">
              <w:rPr>
                <w:color w:val="414142"/>
                <w:shd w:val="clear" w:color="auto" w:fill="FFFFFF"/>
              </w:rPr>
              <w:t xml:space="preserve"> </w:t>
            </w:r>
            <w:r w:rsidR="00E15A53" w:rsidRPr="006D7501">
              <w:rPr>
                <w:shd w:val="clear" w:color="auto" w:fill="FFFFFF"/>
              </w:rPr>
              <w:t xml:space="preserve">nosaka </w:t>
            </w:r>
            <w:r w:rsidR="00E15A53" w:rsidRPr="006D7501">
              <w:t>Ieroču reģistrā iekļaujamo ziņu apjomu, to iekļaušanas, izmantošanas un dzēšanas kārtību, kā arī institūcijas, kurām piešķirama piekļuve reģistrā iekļautajām ziņām. Izstrādātais projekts precizē ziņu sniegšanas kārtību un apjomu atbilstoši Direktīva</w:t>
            </w:r>
            <w:r w:rsidR="008E1A8B" w:rsidRPr="006D7501">
              <w:t>s</w:t>
            </w:r>
            <w:r w:rsidR="00E15A53" w:rsidRPr="006D7501">
              <w:t xml:space="preserve"> (ES) 2017/853 prasībām, kā arī jaunā Likuma prasībām, kas stājās spēkā š.g. 10.aprīlī. Atbilstoši Direktīvas (ES) 2017/853 prasībā</w:t>
            </w:r>
            <w:r w:rsidR="006B0E6F" w:rsidRPr="006D7501">
              <w:t xml:space="preserve">m un </w:t>
            </w:r>
            <w:r w:rsidR="008E1A8B" w:rsidRPr="006D7501">
              <w:t>jaunā</w:t>
            </w:r>
            <w:r w:rsidR="006B0E6F" w:rsidRPr="006D7501">
              <w:t xml:space="preserve"> Likuma prasībām </w:t>
            </w:r>
            <w:r w:rsidR="00BC4EF3" w:rsidRPr="006D7501">
              <w:t>projekt</w:t>
            </w:r>
            <w:r w:rsidR="00CD58EC" w:rsidRPr="006D7501">
              <w:t>ā ir preciz</w:t>
            </w:r>
            <w:r w:rsidR="008E1A8B" w:rsidRPr="006D7501">
              <w:t>ēta</w:t>
            </w:r>
            <w:r w:rsidR="00CD58EC" w:rsidRPr="006D7501">
              <w:t xml:space="preserve"> ziņu sniegšanas kārtība attiecībā uz komersantiem, kas veic komercdarbību ieroču aprites jomā. Projekts paredz, ka minētie komersanti sniegs ziņas Ieroču reģistrā </w:t>
            </w:r>
            <w:r w:rsidR="00CD58EC" w:rsidRPr="006D7501">
              <w:rPr>
                <w:bCs/>
              </w:rPr>
              <w:t xml:space="preserve">tiešsaistes datu pārraides veidā. </w:t>
            </w:r>
            <w:r w:rsidR="00E218FD" w:rsidRPr="006D7501">
              <w:rPr>
                <w:bCs/>
              </w:rPr>
              <w:t>Šīs izmaiņas ir būtiskas, jo nodrošinās informācijas aprites ātrumu un mazinās rakstisko, birokrātisko slogu, pārejot uz elektronisko ziņu apmaiņas formātu starp komersantiem un to darbību kontrolējošām iestādēm. Programmatūras izmaiņu valsts informācijas sistēmā ieviešana un realizēšana notiks piešķirto valsts budžeta līdzekļu ietvaros atbilstoši Likuma sākotnējās ietekmes novērtējuma ziņojumā (anotācijā)) norādītajam.</w:t>
            </w:r>
          </w:p>
          <w:p w14:paraId="79F971B3" w14:textId="2B4F0384" w:rsidR="007A448B" w:rsidRPr="006D7501" w:rsidRDefault="00690FC5" w:rsidP="00E218FD">
            <w:pPr>
              <w:ind w:firstLine="250"/>
              <w:jc w:val="both"/>
              <w:rPr>
                <w:bCs/>
              </w:rPr>
            </w:pPr>
            <w:r w:rsidRPr="006D7501">
              <w:rPr>
                <w:bCs/>
              </w:rPr>
              <w:t>Papildus minētaja</w:t>
            </w:r>
            <w:r w:rsidR="00CD58EC" w:rsidRPr="006D7501">
              <w:rPr>
                <w:bCs/>
              </w:rPr>
              <w:t xml:space="preserve">m atbilstoši Direktīvas (ES) 2017/853 prasībām </w:t>
            </w:r>
            <w:r w:rsidR="008E1A8B" w:rsidRPr="006D7501">
              <w:rPr>
                <w:bCs/>
              </w:rPr>
              <w:t>ir noteikts, ka Valsts policija</w:t>
            </w:r>
            <w:r w:rsidR="00CD58EC" w:rsidRPr="006D7501">
              <w:rPr>
                <w:bCs/>
              </w:rPr>
              <w:t xml:space="preserve"> ievadīs ziņas arī par jaunu ieroču aprites komercdarbības subjektu</w:t>
            </w:r>
            <w:r w:rsidRPr="006D7501">
              <w:rPr>
                <w:bCs/>
              </w:rPr>
              <w:t xml:space="preserve"> – ieroču brokeri</w:t>
            </w:r>
            <w:r w:rsidR="00CD58EC" w:rsidRPr="006D7501">
              <w:rPr>
                <w:bCs/>
              </w:rPr>
              <w:t xml:space="preserve">. </w:t>
            </w:r>
            <w:r w:rsidRPr="006D7501">
              <w:rPr>
                <w:bCs/>
              </w:rPr>
              <w:t>Projektā tiek</w:t>
            </w:r>
            <w:r w:rsidR="00CD58EC" w:rsidRPr="006D7501">
              <w:rPr>
                <w:bCs/>
              </w:rPr>
              <w:t xml:space="preserve"> precizēts ziņu apjoms, kuru būtu nepieciešams sniegt par A, B, C, D, E kategorijas ieročiem</w:t>
            </w:r>
            <w:r w:rsidR="00EF0688" w:rsidRPr="006D7501">
              <w:rPr>
                <w:bCs/>
              </w:rPr>
              <w:t xml:space="preserve"> un šaujamieroču būtiskām sastāvdaļām,</w:t>
            </w:r>
            <w:r w:rsidR="00CD58EC" w:rsidRPr="006D7501">
              <w:rPr>
                <w:bCs/>
              </w:rPr>
              <w:t xml:space="preserve"> noteikts ziņu apjoms dezaktivētiem ieročiem</w:t>
            </w:r>
            <w:r w:rsidR="00EF0688" w:rsidRPr="006D7501">
              <w:rPr>
                <w:bCs/>
              </w:rPr>
              <w:t>, kas ir dezaktivēti saskaņā ar Komisijas 2015. gada 15. decembra īstenošanas regulu (ES) </w:t>
            </w:r>
            <w:hyperlink r:id="rId7" w:tgtFrame="_blank" w:history="1">
              <w:r w:rsidR="00EF0688" w:rsidRPr="006D7501">
                <w:rPr>
                  <w:rStyle w:val="Hyperlink"/>
                  <w:bCs/>
                  <w:u w:val="none"/>
                </w:rPr>
                <w:t>2015/2403</w:t>
              </w:r>
            </w:hyperlink>
            <w:r w:rsidR="00EF0688" w:rsidRPr="006D7501">
              <w:rPr>
                <w:bCs/>
              </w:rPr>
              <w:t>, ar ko izstrādā kopīgas pamatnostādnes par dezaktivēšanas standartiem un metodēm, lai nodrošinātu, ka dezaktivētie šaujamieroči tiek padarīti neatgriezeniski neizmantojami</w:t>
            </w:r>
            <w:r w:rsidR="00324281" w:rsidRPr="006D7501">
              <w:rPr>
                <w:bCs/>
              </w:rPr>
              <w:t xml:space="preserve"> (turpmāk- regulu </w:t>
            </w:r>
            <w:hyperlink r:id="rId8" w:tgtFrame="_blank" w:history="1">
              <w:r w:rsidR="00324281" w:rsidRPr="006D7501">
                <w:rPr>
                  <w:rStyle w:val="Hyperlink"/>
                  <w:bCs/>
                </w:rPr>
                <w:t>2015/2403</w:t>
              </w:r>
            </w:hyperlink>
            <w:r w:rsidR="00324281" w:rsidRPr="006D7501">
              <w:rPr>
                <w:bCs/>
              </w:rPr>
              <w:t>)</w:t>
            </w:r>
            <w:r w:rsidR="00EF0688" w:rsidRPr="006D7501">
              <w:rPr>
                <w:bCs/>
              </w:rPr>
              <w:t>,</w:t>
            </w:r>
            <w:r w:rsidR="00E218FD" w:rsidRPr="006D7501">
              <w:rPr>
                <w:bCs/>
              </w:rPr>
              <w:t xml:space="preserve"> noteikts iekļaujamais ziņu apjoms atbilstoši Likuma prasībām</w:t>
            </w:r>
            <w:r w:rsidR="007A448B" w:rsidRPr="006D7501">
              <w:rPr>
                <w:bCs/>
                <w:color w:val="FF0000"/>
              </w:rPr>
              <w:t xml:space="preserve"> </w:t>
            </w:r>
            <w:r w:rsidR="007A448B" w:rsidRPr="006D7501">
              <w:rPr>
                <w:bCs/>
              </w:rPr>
              <w:t>par</w:t>
            </w:r>
            <w:r w:rsidR="00E218FD" w:rsidRPr="006D7501">
              <w:rPr>
                <w:bCs/>
                <w:color w:val="FF0000"/>
              </w:rPr>
              <w:t xml:space="preserve"> </w:t>
            </w:r>
            <w:r w:rsidR="00E218FD" w:rsidRPr="006D7501">
              <w:rPr>
                <w:bCs/>
              </w:rPr>
              <w:t xml:space="preserve">Valsts policijas verificētiem </w:t>
            </w:r>
            <w:proofErr w:type="spellStart"/>
            <w:r w:rsidR="00E218FD" w:rsidRPr="006D7501">
              <w:rPr>
                <w:bCs/>
              </w:rPr>
              <w:t>salūtieročiem</w:t>
            </w:r>
            <w:proofErr w:type="spellEnd"/>
            <w:r w:rsidR="00E218FD" w:rsidRPr="006D7501">
              <w:rPr>
                <w:bCs/>
              </w:rPr>
              <w:t xml:space="preserve"> (akustiskiem ieročiem),</w:t>
            </w:r>
            <w:r w:rsidR="008E1A8B" w:rsidRPr="006D7501">
              <w:rPr>
                <w:bCs/>
              </w:rPr>
              <w:t xml:space="preserve"> </w:t>
            </w:r>
            <w:r w:rsidR="00EF0688" w:rsidRPr="006D7501">
              <w:rPr>
                <w:bCs/>
              </w:rPr>
              <w:t>kā arī noteikts iekļaujam</w:t>
            </w:r>
            <w:r w:rsidR="008E1A8B" w:rsidRPr="006D7501">
              <w:rPr>
                <w:bCs/>
              </w:rPr>
              <w:t>ai</w:t>
            </w:r>
            <w:r w:rsidR="00EF0688" w:rsidRPr="006D7501">
              <w:rPr>
                <w:bCs/>
              </w:rPr>
              <w:t xml:space="preserve">s ziņu apjoms </w:t>
            </w:r>
            <w:r w:rsidR="00EF0688" w:rsidRPr="006D7501">
              <w:rPr>
                <w:bCs/>
              </w:rPr>
              <w:lastRenderedPageBreak/>
              <w:t>munīcijai un komerciālā apritē esoš</w:t>
            </w:r>
            <w:r w:rsidR="008E1A8B" w:rsidRPr="006D7501">
              <w:rPr>
                <w:bCs/>
              </w:rPr>
              <w:t>a</w:t>
            </w:r>
            <w:r w:rsidR="00EF0688" w:rsidRPr="006D7501">
              <w:rPr>
                <w:bCs/>
              </w:rPr>
              <w:t xml:space="preserve">m šaujampulverim ar </w:t>
            </w:r>
            <w:r w:rsidR="008E1A8B" w:rsidRPr="006D7501">
              <w:rPr>
                <w:bCs/>
              </w:rPr>
              <w:t>mērķi</w:t>
            </w:r>
            <w:r w:rsidR="00EF0688" w:rsidRPr="006D7501">
              <w:rPr>
                <w:bCs/>
              </w:rPr>
              <w:t xml:space="preserve"> nodrošināt to vienoto uzskaiti un izsekojamību. </w:t>
            </w:r>
          </w:p>
          <w:p w14:paraId="1146AF6E" w14:textId="423AF790" w:rsidR="00FD4A93" w:rsidRPr="006D7501" w:rsidRDefault="00FD4A93" w:rsidP="00E218FD">
            <w:pPr>
              <w:ind w:firstLine="250"/>
              <w:jc w:val="both"/>
              <w:rPr>
                <w:bCs/>
              </w:rPr>
            </w:pPr>
            <w:r w:rsidRPr="006D7501">
              <w:t>Fiziskajām personām ir tiesības iegādāties, glabāt, nēsāt un pārvadāt ieročus, to sastāvdaļas un tiem paredzēto munīciju, kā arī speciālos līdzekļus, ja ir izpildījušies Ieroču aprites likumā noteiktie nosacījumi (piemēram,  attiecībā uz personas vecumu, tiesisko statusu (Ieroču aprites likuma 14.pants)). Līdz ar to Ieroču reģistrā tiek ietverta informācija par minētajiem nosacījumiem, tai skaitā tiesisko statusu, proti, vai persona ir Latvijas pilsonis, Latvijas nepilsonis, Eiropas Savienības dalībvalsts pilsonis un Eiropas Ekonomikas zonas valsts pilsonis, pastāvīgās uzturēšanās atļauju Latvijas Republikā saņēmusī persona u.tml.</w:t>
            </w:r>
          </w:p>
          <w:p w14:paraId="6D2573CD" w14:textId="0DE40BDF" w:rsidR="00CD58EC" w:rsidRPr="006D7501" w:rsidRDefault="00EF0688" w:rsidP="007A448B">
            <w:pPr>
              <w:ind w:firstLine="250"/>
              <w:jc w:val="both"/>
              <w:rPr>
                <w:bCs/>
              </w:rPr>
            </w:pPr>
            <w:r w:rsidRPr="006D7501">
              <w:rPr>
                <w:bCs/>
              </w:rPr>
              <w:t>Vienlaikus Projektā tiesību normas paredz</w:t>
            </w:r>
            <w:r w:rsidR="007A448B" w:rsidRPr="006D7501">
              <w:rPr>
                <w:bCs/>
              </w:rPr>
              <w:t xml:space="preserve">, </w:t>
            </w:r>
            <w:r w:rsidR="00324281" w:rsidRPr="006D7501">
              <w:rPr>
                <w:bCs/>
              </w:rPr>
              <w:t>sniedzot ziņas par šau</w:t>
            </w:r>
            <w:r w:rsidR="002C4EFE" w:rsidRPr="006D7501">
              <w:rPr>
                <w:bCs/>
              </w:rPr>
              <w:t>jamieroci, šaujamieroču būtiskajām</w:t>
            </w:r>
            <w:r w:rsidR="00324281" w:rsidRPr="006D7501">
              <w:rPr>
                <w:bCs/>
              </w:rPr>
              <w:t xml:space="preserve"> sastāvdaļām (tajā skaitā arī par šaujamieroču maināmām būtiskām sastāvdaļām), šaujamieročiem, kas dezaktivēti saskaņā ar  regulu </w:t>
            </w:r>
            <w:hyperlink r:id="rId9" w:tgtFrame="_blank" w:history="1">
              <w:r w:rsidR="00324281" w:rsidRPr="006D7501">
                <w:rPr>
                  <w:rStyle w:val="Hyperlink"/>
                  <w:bCs/>
                  <w:u w:val="none"/>
                </w:rPr>
                <w:t>2015/2403</w:t>
              </w:r>
            </w:hyperlink>
            <w:r w:rsidR="00324281" w:rsidRPr="006D7501">
              <w:rPr>
                <w:bCs/>
              </w:rPr>
              <w:t xml:space="preserve"> prasībām</w:t>
            </w:r>
            <w:r w:rsidR="002C4EFE" w:rsidRPr="006D7501">
              <w:rPr>
                <w:bCs/>
              </w:rPr>
              <w:t>,</w:t>
            </w:r>
            <w:r w:rsidR="00324281" w:rsidRPr="006D7501">
              <w:rPr>
                <w:bCs/>
              </w:rPr>
              <w:t xml:space="preserve"> ievadīt minēto priekšmetu marķējumu.</w:t>
            </w:r>
            <w:r w:rsidR="00E218FD" w:rsidRPr="006D7501">
              <w:rPr>
                <w:bCs/>
              </w:rPr>
              <w:t xml:space="preserve"> Saskaņā ar Likuma 1.panta 37.punktu marķēšana ir tādu īpašu atzīmju vai numuru iestrādāšana uz ieroča, tā būtiskajām sastāvdaļām un munīcijas, kas ļauj to atšķirt no citiem ieročiem, to sastāvdaļām un munīcijas. Šobrīd marķēšanas kārtību nosaka Ministru kabineta 2019.gada 30.aprīļa noteikumi Nr. 182 “Šaujamieroču, to būtisko sastāvdaļu un munīcijas, lielas enerģijas pneimatisko ieroču un gāzes ieroču un </w:t>
            </w:r>
            <w:proofErr w:type="spellStart"/>
            <w:r w:rsidR="00E218FD" w:rsidRPr="006D7501">
              <w:rPr>
                <w:bCs/>
              </w:rPr>
              <w:t>signālieroču</w:t>
            </w:r>
            <w:proofErr w:type="spellEnd"/>
            <w:r w:rsidR="00E218FD" w:rsidRPr="006D7501">
              <w:rPr>
                <w:bCs/>
              </w:rPr>
              <w:t xml:space="preserve"> marķēšanas kārtība”, kas savukārt  atbilst  2019.gada 16.</w:t>
            </w:r>
            <w:r w:rsidR="002C4EFE" w:rsidRPr="006D7501">
              <w:rPr>
                <w:bCs/>
              </w:rPr>
              <w:t>janvārī Eiropas Komisija pieņemtajai</w:t>
            </w:r>
            <w:r w:rsidR="00E218FD" w:rsidRPr="006D7501">
              <w:rPr>
                <w:bCs/>
              </w:rPr>
              <w:t xml:space="preserve"> Komisijas īstenošanas direktīvu (ES) 2019/68 ar ko nosaka šaujamieroču un to būtisko daļu marķējumu tehniskās specifikācijas saskaņā ar Padomes Direktīvu 91/477/EEK par ieroču iegādes un glabāšanas kontroli.</w:t>
            </w:r>
          </w:p>
          <w:p w14:paraId="00A8334C" w14:textId="02CE1527" w:rsidR="00881EF8" w:rsidRPr="006D7501" w:rsidRDefault="00881EF8" w:rsidP="00881EF8">
            <w:pPr>
              <w:jc w:val="both"/>
            </w:pPr>
            <w:r w:rsidRPr="006D7501">
              <w:t>Ieroču aprites likuma 87.panta pirmā daļa nosaka, ka I</w:t>
            </w:r>
            <w:r w:rsidRPr="006D7501">
              <w:rPr>
                <w:shd w:val="clear" w:color="auto" w:fill="FFFFFF"/>
              </w:rPr>
              <w:t xml:space="preserve">eroču reģistrā reģistrē Latvijas fizisko un juridisko personu, valsts un pašvaldību institūciju (izņemot Nacionālo bruņoto spēku un valsts drošības iestāžu) šaujamieročus, to būtiskās sastāvdaļas un munīciju. Projekta 4.punktā ir norādītas tās valsts un pašvaldības iestādes, kuras sniedz ziņas reģistram, piemēram, </w:t>
            </w:r>
            <w:r w:rsidRPr="006D7501">
              <w:rPr>
                <w:bCs/>
              </w:rPr>
              <w:t>Iekšlietu ministrijas sistēmas iestādes, Nodrošinājuma valsts aģentūra, Valsts ieņēmumu dienests, Ieslodzījuma vietu pārvalde un citas iestādes</w:t>
            </w:r>
          </w:p>
          <w:p w14:paraId="100FBD04" w14:textId="142ECE61" w:rsidR="00CD58EC" w:rsidRPr="006D7501" w:rsidRDefault="00E218FD" w:rsidP="004D5D22">
            <w:pPr>
              <w:ind w:firstLine="250"/>
              <w:jc w:val="both"/>
              <w:rPr>
                <w:bCs/>
              </w:rPr>
            </w:pPr>
            <w:r w:rsidRPr="006D7501">
              <w:rPr>
                <w:bCs/>
              </w:rPr>
              <w:t xml:space="preserve">Vienlaikus </w:t>
            </w:r>
            <w:r w:rsidR="004D5D22" w:rsidRPr="006D7501">
              <w:rPr>
                <w:bCs/>
              </w:rPr>
              <w:t>ir papildināts institūciju loks, kas Ieroču reģistrā iekļautās ziņas būs tiesīgas izmantot normatīvajos aktos noteikto funkciju veikšanai. Šādas institūcijas ir Iekšējas drošības birojs, Uzturlīdzekļu garantijas fonds, tiesu izpildītāji</w:t>
            </w:r>
            <w:r w:rsidR="009F03DE">
              <w:rPr>
                <w:bCs/>
              </w:rPr>
              <w:t xml:space="preserve"> un Aizsardzības ministrija</w:t>
            </w:r>
            <w:r w:rsidR="004D5D22" w:rsidRPr="006D7501">
              <w:rPr>
                <w:bCs/>
              </w:rPr>
              <w:t xml:space="preserve">. </w:t>
            </w:r>
            <w:r w:rsidR="009F03DE" w:rsidRPr="009F03DE">
              <w:rPr>
                <w:bCs/>
              </w:rPr>
              <w:t xml:space="preserve">Šāda piekļuve Aizsardzības ministrijai nepieciešama, lai atbilstoši savai kompetencei sekmīgi nodrošinātu  Stratēģiskās nozīmes preču aprites likuma 16.pantā noteikto uzdevumu -  Eiropas Savienības Kopējā militāro preču sarakstā minēto preču </w:t>
            </w:r>
            <w:r w:rsidR="009F03DE" w:rsidRPr="009F03DE">
              <w:rPr>
                <w:bCs/>
              </w:rPr>
              <w:lastRenderedPageBreak/>
              <w:t>apriti kontroli, attiecībā uz tiem ieroči komersantiem, kuriem ir izsniegts militārā ražotāja sertifikāts, un kuriem vienlaikus ir arī Valsts policijas izsniegta licence komercdarbībai ar ieročiem.</w:t>
            </w:r>
            <w:r w:rsidR="009F03DE">
              <w:rPr>
                <w:bCs/>
              </w:rPr>
              <w:t xml:space="preserve"> </w:t>
            </w:r>
            <w:r w:rsidR="004D5D22" w:rsidRPr="006D7501">
              <w:rPr>
                <w:bCs/>
              </w:rPr>
              <w:t>Papildus ir preciz</w:t>
            </w:r>
            <w:r w:rsidR="008E1A8B" w:rsidRPr="006D7501">
              <w:rPr>
                <w:bCs/>
              </w:rPr>
              <w:t>ēts</w:t>
            </w:r>
            <w:r w:rsidR="004D5D22" w:rsidRPr="006D7501">
              <w:rPr>
                <w:bCs/>
              </w:rPr>
              <w:t xml:space="preserve"> iestādes nosaukums, kas pēc veiktām izmaiņām tās darbības reglamentējošos normatīvajos aktos mainīja nosaukumu no Drošības policijas uz Valsts drošības dienestu. </w:t>
            </w:r>
          </w:p>
          <w:p w14:paraId="055A2CF9" w14:textId="77777777" w:rsidR="00A80797" w:rsidRPr="006D7501" w:rsidRDefault="00A80797" w:rsidP="00A80797">
            <w:pPr>
              <w:pStyle w:val="tv213"/>
              <w:shd w:val="clear" w:color="auto" w:fill="FFFFFF"/>
              <w:spacing w:before="0" w:beforeAutospacing="0" w:after="0" w:afterAutospacing="0"/>
              <w:ind w:firstLine="356"/>
              <w:jc w:val="both"/>
            </w:pPr>
            <w:r w:rsidRPr="006D7501">
              <w:t>Datu apstrādes likuma 11.panta otrās daļa 2.punkts nosaka, ka datu subjekta tiesību vai tiesisko interešu aizsardzībai pārzinis ārējos normatīvajos aktos noteiktajā kārtībā datu subjektam sniedz informāciju par personas datu glabāšanas termiņu vai, ja tas nav iespējams, kritērijiem, kas izmantoti termiņa noteikšanai.</w:t>
            </w:r>
          </w:p>
          <w:p w14:paraId="410D1AE1" w14:textId="256E7706" w:rsidR="00A80797" w:rsidRPr="006D7501" w:rsidRDefault="00A80797" w:rsidP="00A80797">
            <w:pPr>
              <w:ind w:firstLine="250"/>
              <w:jc w:val="both"/>
              <w:rPr>
                <w:bCs/>
              </w:rPr>
            </w:pPr>
            <w:r w:rsidRPr="006D7501">
              <w:t xml:space="preserve">Projekta 30.punkts paredz, ka reģistrā iekļautās </w:t>
            </w:r>
            <w:r w:rsidRPr="006D7501">
              <w:rPr>
                <w:bCs/>
              </w:rPr>
              <w:t>ziņas 10 gadus pēc attiecīgo šaujamieroču un to būtisko sastāvdaļu iznīcināšanas ir tiesīga izmantot Valsts policija – normatīvajos aktos ieroču aprites jomā noteikto funkciju veikšanai un muitas iestādes – normatīvajos aktos muitas jomā noteikto funkciju veikšanai. Savukārt projekta 31.punktā ir noteikts, ka  reģistrā iekļautās ziņas 30 gadus pēc attiecīgo šaujamieroču un to būtisko sastāvdaļu iznīcināšanas ir tiesīgas izmantot tās institūcijas, kuru kompetencē ir noziedzīgu nodarījumu novēršana, izmeklēšana, atklāšana vai saukšana pie atbildības par tiem, vai kriminālsodu izpilde. Minētie termiņi tieši izriet no Direktīvas</w:t>
            </w:r>
            <w:r w:rsidRPr="006D7501">
              <w:t xml:space="preserve"> (ES) 2017/853 prasībām, jo tās 1.panta ietvertā 4.panta 4.punkts ceturtā ievilkuma a) apakšpunkts nosaka pienākumu dalībvalstīm glabāt attiecīgos datus līdz 10 gadiem pēc attiecīgo šaujamieroču un to būtisko sastāvdaļu iznicināšanas un nodrošināt piekļuvi šiem datiem muitas iestādēm un tām iestādēm, kas nodrošina attiecīgo atļauju izsniegšanu ieroču aprites jomā. Savukārt Direktīvas (ES) 2017/853 1.panta ietvertā 4.panta 4.punkts ceturtā ievilkuma b) apakšpunkts paredz pienākumu glābāt datus  līdz 30 gadiem un nodrošināt piekļuvi šiem datiem tām iestādēm, kuru kompetencē ir noziedzīgu nodarījumu novēršana, izmeklēšana, atklāšana vai saukšana pie atbildības par tiem, vai kriminālsodu izpilde</w:t>
            </w:r>
            <w:r w:rsidR="00881EF8" w:rsidRPr="006D7501">
              <w:t>.</w:t>
            </w:r>
          </w:p>
          <w:p w14:paraId="77092E7B" w14:textId="216B7C5F" w:rsidR="00003465" w:rsidRPr="006D7501" w:rsidRDefault="008C6EB0" w:rsidP="00653460">
            <w:pPr>
              <w:ind w:firstLine="250"/>
              <w:jc w:val="both"/>
              <w:rPr>
                <w:rFonts w:eastAsia="Arial"/>
                <w:strike/>
              </w:rPr>
            </w:pPr>
            <w:r w:rsidRPr="006D7501">
              <w:rPr>
                <w:bCs/>
              </w:rPr>
              <w:t>Projekt</w:t>
            </w:r>
            <w:r w:rsidR="007D1A9F" w:rsidRPr="006D7501">
              <w:rPr>
                <w:bCs/>
              </w:rPr>
              <w:t>a</w:t>
            </w:r>
            <w:r w:rsidRPr="006D7501">
              <w:rPr>
                <w:bCs/>
              </w:rPr>
              <w:t xml:space="preserve"> 3</w:t>
            </w:r>
            <w:r w:rsidR="00853181" w:rsidRPr="006D7501">
              <w:rPr>
                <w:bCs/>
              </w:rPr>
              <w:t>4</w:t>
            </w:r>
            <w:r w:rsidRPr="006D7501">
              <w:rPr>
                <w:bCs/>
              </w:rPr>
              <w:t xml:space="preserve">.punkts paredz pienākumu Iekšlietu ministrijas Informācijas centram </w:t>
            </w:r>
            <w:r w:rsidRPr="006D7501">
              <w:t>reģistrā iekļautās ziņas par šaujamieročiem vai šaujamieroču būtiskām sastāvdaļām dzēst no reģistra, kad pagājuši 30 gadi no šaujamieroču vai šaujamieroču būtisko sastāvdaļu iznīcināšanas dienas</w:t>
            </w:r>
            <w:r w:rsidRPr="006D7501">
              <w:rPr>
                <w:rFonts w:eastAsia="Arial"/>
              </w:rPr>
              <w:t>.</w:t>
            </w:r>
          </w:p>
        </w:tc>
      </w:tr>
      <w:tr w:rsidR="00DB0AC9" w:rsidRPr="006D7501" w14:paraId="7A0518B5" w14:textId="77777777" w:rsidTr="007843CB">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2D417F6C" w14:textId="77777777" w:rsidR="00DB0AC9" w:rsidRPr="006D7501" w:rsidRDefault="00DB0AC9" w:rsidP="00BD02FB">
            <w:pPr>
              <w:jc w:val="center"/>
            </w:pPr>
            <w:r w:rsidRPr="006D7501">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44C223E8" w14:textId="77777777" w:rsidR="00DB0AC9" w:rsidRPr="006D7501" w:rsidRDefault="00DB0AC9" w:rsidP="00BD02FB">
            <w:r w:rsidRPr="006D7501">
              <w:t>Projekta izstrādē iesaistītās institūcijas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66E854AB" w14:textId="77777777" w:rsidR="00DB0AC9" w:rsidRPr="006D7501" w:rsidRDefault="00DB0AC9" w:rsidP="00253920">
            <w:pPr>
              <w:spacing w:after="120"/>
              <w:jc w:val="both"/>
            </w:pPr>
            <w:r w:rsidRPr="006D7501">
              <w:t>Iekšlietu ministrija</w:t>
            </w:r>
            <w:r w:rsidR="00253920" w:rsidRPr="006D7501">
              <w:t>s Informācijas centrs</w:t>
            </w:r>
            <w:r w:rsidR="00C23E69" w:rsidRPr="006D7501">
              <w:t>, Valsts policija</w:t>
            </w:r>
            <w:r w:rsidR="00253920" w:rsidRPr="006D7501">
              <w:t>.</w:t>
            </w:r>
          </w:p>
        </w:tc>
      </w:tr>
      <w:tr w:rsidR="00DB0AC9" w:rsidRPr="006D7501" w14:paraId="36E85F28" w14:textId="77777777" w:rsidTr="007843CB">
        <w:tc>
          <w:tcPr>
            <w:tcW w:w="303" w:type="pct"/>
            <w:tcBorders>
              <w:top w:val="outset" w:sz="6" w:space="0" w:color="414142"/>
              <w:left w:val="outset" w:sz="6" w:space="0" w:color="414142"/>
              <w:bottom w:val="outset" w:sz="6" w:space="0" w:color="414142"/>
              <w:right w:val="outset" w:sz="6" w:space="0" w:color="414142"/>
            </w:tcBorders>
            <w:hideMark/>
          </w:tcPr>
          <w:p w14:paraId="3091C9DF" w14:textId="77777777" w:rsidR="00DB0AC9" w:rsidRPr="006D7501" w:rsidRDefault="00DB0AC9" w:rsidP="00BD02FB">
            <w:pPr>
              <w:jc w:val="center"/>
            </w:pPr>
            <w:r w:rsidRPr="006D7501">
              <w:t>4.</w:t>
            </w:r>
          </w:p>
        </w:tc>
        <w:tc>
          <w:tcPr>
            <w:tcW w:w="1512" w:type="pct"/>
            <w:tcBorders>
              <w:top w:val="outset" w:sz="6" w:space="0" w:color="414142"/>
              <w:left w:val="outset" w:sz="6" w:space="0" w:color="414142"/>
              <w:bottom w:val="outset" w:sz="6" w:space="0" w:color="414142"/>
              <w:right w:val="outset" w:sz="6" w:space="0" w:color="414142"/>
            </w:tcBorders>
            <w:hideMark/>
          </w:tcPr>
          <w:p w14:paraId="63FA3C10" w14:textId="77777777" w:rsidR="00DB0AC9" w:rsidRPr="006D7501" w:rsidRDefault="00DB0AC9" w:rsidP="00BD02FB">
            <w:r w:rsidRPr="006D7501">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11DF19AB" w14:textId="28FB86B2" w:rsidR="00DB0AC9" w:rsidRPr="006D7501" w:rsidRDefault="00973EE3" w:rsidP="00973EE3">
            <w:r>
              <w:t xml:space="preserve">Neskatoties uz to, ka projekts ievērojami pilnveido Ieroču reģistra darbību, piemēram, paredzot, ka </w:t>
            </w:r>
            <w:r w:rsidRPr="006D7501">
              <w:t xml:space="preserve">komersanti sniegs ziņas Ieroču reģistrā </w:t>
            </w:r>
            <w:r w:rsidRPr="006D7501">
              <w:rPr>
                <w:bCs/>
              </w:rPr>
              <w:t>tiešsaistes datu pārraides veidā</w:t>
            </w:r>
            <w:r>
              <w:rPr>
                <w:bCs/>
              </w:rPr>
              <w:t xml:space="preserve">, tomēr projekts tikai daļēji risina problēmjautājumus, kas minētie </w:t>
            </w:r>
            <w:r w:rsidRPr="00973EE3">
              <w:rPr>
                <w:bCs/>
              </w:rPr>
              <w:t>Ministru kabineta 2018.gada 4.septembra sēdes protokola Nr.41 28.</w:t>
            </w:r>
            <w:r w:rsidRPr="00973EE3">
              <w:t>paragrāfā</w:t>
            </w:r>
            <w:r>
              <w:rPr>
                <w:sz w:val="28"/>
                <w:szCs w:val="28"/>
              </w:rPr>
              <w:t>.</w:t>
            </w:r>
          </w:p>
        </w:tc>
      </w:tr>
    </w:tbl>
    <w:p w14:paraId="0B97578D" w14:textId="77777777" w:rsidR="00DB0AC9" w:rsidRPr="006D7501" w:rsidRDefault="00DB0AC9" w:rsidP="00DB0AC9">
      <w:pPr>
        <w:shd w:val="clear" w:color="auto" w:fill="FFFFFF"/>
        <w:ind w:firstLine="30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9"/>
        <w:gridCol w:w="2738"/>
        <w:gridCol w:w="5768"/>
      </w:tblGrid>
      <w:tr w:rsidR="00DB0AC9" w:rsidRPr="006D7501" w14:paraId="3CFA550A" w14:textId="77777777" w:rsidTr="007843CB">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80683C7" w14:textId="77777777" w:rsidR="00DB0AC9" w:rsidRPr="006D7501" w:rsidRDefault="00DB0AC9" w:rsidP="00BD02FB">
            <w:pPr>
              <w:jc w:val="center"/>
              <w:rPr>
                <w:b/>
                <w:bCs/>
              </w:rPr>
            </w:pPr>
            <w:r w:rsidRPr="006D7501">
              <w:rPr>
                <w:b/>
                <w:bCs/>
              </w:rPr>
              <w:t>II. Tiesību akta projekta ietekme uz sabiedrību, tautsaimniecības attīstību un administratīvo slogu</w:t>
            </w:r>
          </w:p>
        </w:tc>
      </w:tr>
      <w:tr w:rsidR="00DB0AC9" w:rsidRPr="006D7501" w14:paraId="2F4D776D" w14:textId="77777777" w:rsidTr="007843CB">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6A9D421D" w14:textId="77777777" w:rsidR="00DB0AC9" w:rsidRPr="006D7501" w:rsidRDefault="00DB0AC9" w:rsidP="00BD02FB">
            <w:r w:rsidRPr="006D7501">
              <w:t>1.</w:t>
            </w:r>
          </w:p>
        </w:tc>
        <w:tc>
          <w:tcPr>
            <w:tcW w:w="1512" w:type="pct"/>
            <w:tcBorders>
              <w:top w:val="outset" w:sz="6" w:space="0" w:color="414142"/>
              <w:left w:val="outset" w:sz="6" w:space="0" w:color="414142"/>
              <w:bottom w:val="outset" w:sz="6" w:space="0" w:color="414142"/>
              <w:right w:val="outset" w:sz="6" w:space="0" w:color="414142"/>
            </w:tcBorders>
            <w:hideMark/>
          </w:tcPr>
          <w:p w14:paraId="2DFE3870" w14:textId="77777777" w:rsidR="00DB0AC9" w:rsidRPr="006D7501" w:rsidRDefault="00DB0AC9" w:rsidP="00BD02FB">
            <w:r w:rsidRPr="006D7501">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0CC7FBBB" w14:textId="77777777" w:rsidR="009715A8" w:rsidRPr="006D7501" w:rsidRDefault="009715A8" w:rsidP="00244289">
            <w:pPr>
              <w:jc w:val="both"/>
            </w:pPr>
            <w:r w:rsidRPr="006D7501">
              <w:t>Saskaņā ar Iekšlietu ministrijas Informācijas centra publicēto pārskatu par ieroču īpašniekiem (fiziskām personām) un to īpašuma ejošajiem ieročiem Latvijas Republikā:</w:t>
            </w:r>
          </w:p>
          <w:p w14:paraId="6F10DCA5" w14:textId="77777777" w:rsidR="009715A8" w:rsidRPr="006D7501" w:rsidRDefault="009715A8" w:rsidP="00244289">
            <w:pPr>
              <w:jc w:val="both"/>
            </w:pPr>
            <w:r w:rsidRPr="006D7501">
              <w:t>1. Lielas enerģijas pneimatisko ieroču īpašnieki 37;</w:t>
            </w:r>
          </w:p>
          <w:p w14:paraId="74ED8A1E" w14:textId="77777777" w:rsidR="009715A8" w:rsidRPr="006D7501" w:rsidRDefault="009715A8" w:rsidP="00244289">
            <w:pPr>
              <w:jc w:val="both"/>
            </w:pPr>
            <w:r w:rsidRPr="006D7501">
              <w:t>2. Lielas enerģijas pneimatisko ieroču kopskaits 39;</w:t>
            </w:r>
          </w:p>
          <w:p w14:paraId="57D89B8E" w14:textId="77777777" w:rsidR="009715A8" w:rsidRPr="006D7501" w:rsidRDefault="009715A8" w:rsidP="009715A8">
            <w:pPr>
              <w:jc w:val="both"/>
            </w:pPr>
            <w:r w:rsidRPr="006D7501">
              <w:t>3. Gāzes ieroču īpašnieki 21274;</w:t>
            </w:r>
          </w:p>
          <w:p w14:paraId="2BD47DC4" w14:textId="77777777" w:rsidR="009715A8" w:rsidRPr="006D7501" w:rsidRDefault="009715A8" w:rsidP="009715A8">
            <w:pPr>
              <w:jc w:val="both"/>
            </w:pPr>
            <w:r w:rsidRPr="006D7501">
              <w:t>4. Reģistrēti gāzes ieroči 27462;</w:t>
            </w:r>
          </w:p>
          <w:p w14:paraId="11E98041" w14:textId="77777777" w:rsidR="009715A8" w:rsidRPr="006D7501" w:rsidRDefault="009715A8" w:rsidP="009715A8">
            <w:pPr>
              <w:jc w:val="both"/>
            </w:pPr>
            <w:r w:rsidRPr="006D7501">
              <w:t>5.Šaujamieroču īpašnieki 33108;</w:t>
            </w:r>
          </w:p>
          <w:p w14:paraId="45E9EBFE" w14:textId="77777777" w:rsidR="009715A8" w:rsidRPr="006D7501" w:rsidRDefault="009715A8" w:rsidP="009715A8">
            <w:pPr>
              <w:jc w:val="both"/>
            </w:pPr>
            <w:r w:rsidRPr="006D7501">
              <w:t>5.1. no tiem sievietes 805;</w:t>
            </w:r>
          </w:p>
          <w:p w14:paraId="3A0F59D2" w14:textId="77777777" w:rsidR="009715A8" w:rsidRPr="006D7501" w:rsidRDefault="009715A8" w:rsidP="009715A8">
            <w:pPr>
              <w:jc w:val="both"/>
            </w:pPr>
            <w:r w:rsidRPr="006D7501">
              <w:t>5.2. no tiem vīrieši 32303;</w:t>
            </w:r>
          </w:p>
          <w:p w14:paraId="79F5B25D" w14:textId="77777777" w:rsidR="009715A8" w:rsidRPr="006D7501" w:rsidRDefault="009715A8" w:rsidP="009715A8">
            <w:pPr>
              <w:jc w:val="both"/>
            </w:pPr>
            <w:r w:rsidRPr="006D7501">
              <w:t>6. Reģistrējamo šaujamieroču kopskaits 68975;</w:t>
            </w:r>
          </w:p>
          <w:p w14:paraId="61C89B42" w14:textId="77777777" w:rsidR="009715A8" w:rsidRPr="006D7501" w:rsidRDefault="009715A8" w:rsidP="009715A8">
            <w:pPr>
              <w:jc w:val="both"/>
            </w:pPr>
            <w:r w:rsidRPr="006D7501">
              <w:t>6.1. no tiem medībām 57073;</w:t>
            </w:r>
          </w:p>
          <w:p w14:paraId="67F92E62" w14:textId="77777777" w:rsidR="009715A8" w:rsidRPr="006D7501" w:rsidRDefault="009715A8" w:rsidP="009715A8">
            <w:pPr>
              <w:jc w:val="both"/>
            </w:pPr>
            <w:r w:rsidRPr="006D7501">
              <w:t>6.1.1. no tiem garstobra-vītņstobra šaujamieroči 22881;</w:t>
            </w:r>
          </w:p>
          <w:p w14:paraId="5D7545A8" w14:textId="77777777" w:rsidR="009715A8" w:rsidRPr="006D7501" w:rsidRDefault="009715A8" w:rsidP="009715A8">
            <w:pPr>
              <w:jc w:val="both"/>
            </w:pPr>
            <w:r w:rsidRPr="006D7501">
              <w:t>6.1.2. no tiem garstobra-gludstobra šaujamieroči 34192;</w:t>
            </w:r>
          </w:p>
          <w:p w14:paraId="76FE38FC" w14:textId="77777777" w:rsidR="009715A8" w:rsidRPr="006D7501" w:rsidRDefault="009715A8" w:rsidP="009715A8">
            <w:pPr>
              <w:jc w:val="both"/>
            </w:pPr>
            <w:r w:rsidRPr="006D7501">
              <w:t>6.2. no tiem sportam 419;</w:t>
            </w:r>
          </w:p>
          <w:p w14:paraId="11DD1E86" w14:textId="77777777" w:rsidR="009715A8" w:rsidRPr="006D7501" w:rsidRDefault="009715A8" w:rsidP="009715A8">
            <w:pPr>
              <w:jc w:val="both"/>
            </w:pPr>
            <w:r w:rsidRPr="006D7501">
              <w:t>6.2.1. no tiem īsstobra šaujamieroči 259</w:t>
            </w:r>
          </w:p>
          <w:p w14:paraId="6AE8C1A2" w14:textId="77777777" w:rsidR="009715A8" w:rsidRPr="006D7501" w:rsidRDefault="009715A8" w:rsidP="009715A8">
            <w:pPr>
              <w:jc w:val="both"/>
            </w:pPr>
            <w:r w:rsidRPr="006D7501">
              <w:t>6.2.2. no tiem garstobra vītņstobra šaujamieroči 133;</w:t>
            </w:r>
          </w:p>
          <w:p w14:paraId="7E596493" w14:textId="77777777" w:rsidR="009715A8" w:rsidRPr="006D7501" w:rsidRDefault="009715A8" w:rsidP="009715A8">
            <w:pPr>
              <w:jc w:val="both"/>
            </w:pPr>
            <w:r w:rsidRPr="006D7501">
              <w:t>6.3. no tiem pašaizsardzībai 11432;</w:t>
            </w:r>
          </w:p>
          <w:p w14:paraId="46745E01" w14:textId="77777777" w:rsidR="009715A8" w:rsidRPr="006D7501" w:rsidRDefault="009715A8" w:rsidP="009715A8">
            <w:pPr>
              <w:jc w:val="both"/>
            </w:pPr>
            <w:r w:rsidRPr="006D7501">
              <w:t>6.3.1. no tiem īsstobra šaujamieroči (pistoles, revolveri) 10912;</w:t>
            </w:r>
          </w:p>
          <w:p w14:paraId="794716EA" w14:textId="77777777" w:rsidR="009715A8" w:rsidRPr="006D7501" w:rsidRDefault="009715A8" w:rsidP="009715A8">
            <w:pPr>
              <w:jc w:val="both"/>
            </w:pPr>
            <w:r w:rsidRPr="006D7501">
              <w:t>6.3.1.1. no tiem ar nēsāšanas atļauju 9880;</w:t>
            </w:r>
          </w:p>
          <w:p w14:paraId="374704F2" w14:textId="77777777" w:rsidR="009715A8" w:rsidRPr="006D7501" w:rsidRDefault="009715A8" w:rsidP="009715A8">
            <w:pPr>
              <w:jc w:val="both"/>
            </w:pPr>
            <w:r w:rsidRPr="006D7501">
              <w:t>6.3.2. no tiem garstobra gludstobra šaujamieroči 519.</w:t>
            </w:r>
          </w:p>
          <w:p w14:paraId="3A958E28" w14:textId="77777777" w:rsidR="009715A8" w:rsidRPr="006D7501" w:rsidRDefault="009715A8" w:rsidP="009715A8">
            <w:pPr>
              <w:jc w:val="both"/>
            </w:pPr>
            <w:r w:rsidRPr="006D7501">
              <w:t>Saskaņā ar Iekšlietu ministrijas Informācijas centra rīcībā esošo informāciju fiziskām personām ir reģistrētas 12 ieroču kolekcijas.</w:t>
            </w:r>
          </w:p>
          <w:p w14:paraId="167B70FF" w14:textId="77777777" w:rsidR="00244289" w:rsidRPr="006D7501" w:rsidRDefault="00244289" w:rsidP="009715A8">
            <w:pPr>
              <w:jc w:val="both"/>
            </w:pPr>
          </w:p>
          <w:p w14:paraId="18AA9FA9" w14:textId="77777777" w:rsidR="009715A8" w:rsidRPr="006D7501" w:rsidRDefault="009715A8" w:rsidP="00244289">
            <w:pPr>
              <w:jc w:val="both"/>
            </w:pPr>
            <w:r w:rsidRPr="006D7501">
              <w:t>Saskaņā ar Valsts policijas rīcībā esošo informāciju:</w:t>
            </w:r>
          </w:p>
          <w:p w14:paraId="64BBD2A3" w14:textId="77777777" w:rsidR="009715A8" w:rsidRPr="006D7501" w:rsidRDefault="009715A8" w:rsidP="00244289">
            <w:pPr>
              <w:jc w:val="both"/>
            </w:pPr>
            <w:r w:rsidRPr="006D7501">
              <w:t>1. ieroču tirdzniecības komersanti - 41 ar 83</w:t>
            </w:r>
            <w:r w:rsidRPr="006D7501">
              <w:rPr>
                <w:b/>
              </w:rPr>
              <w:t xml:space="preserve"> </w:t>
            </w:r>
            <w:r w:rsidRPr="006D7501">
              <w:t>ieroču un speciālo līdzekļu tirdzniecības objektiem, to glabāto šaujamieroču un lielas enerģijas pneimatisko ieroču skaits 4891 (garstobra-vītņstobra šaujamieroči 12145, garstobra-gludstobra šaujamieroči 1158, īsstobra šaujamieroči (pistoles un revolveri) 1547, lielas enerģijas pneimatiskie ieroči 41).</w:t>
            </w:r>
          </w:p>
          <w:p w14:paraId="148C928E" w14:textId="77777777" w:rsidR="009715A8" w:rsidRPr="006D7501" w:rsidRDefault="009715A8" w:rsidP="009715A8">
            <w:pPr>
              <w:jc w:val="both"/>
            </w:pPr>
            <w:r w:rsidRPr="006D7501">
              <w:t xml:space="preserve">2. ieroču un </w:t>
            </w:r>
            <w:r w:rsidR="00117568" w:rsidRPr="006D7501">
              <w:t xml:space="preserve">šaujamieroču </w:t>
            </w:r>
            <w:r w:rsidRPr="006D7501">
              <w:t>munīcijas izgatavošanas komersanti 6;</w:t>
            </w:r>
            <w:r w:rsidRPr="006D7501">
              <w:rPr>
                <w:b/>
              </w:rPr>
              <w:t xml:space="preserve"> </w:t>
            </w:r>
          </w:p>
          <w:p w14:paraId="6FDF152B" w14:textId="77777777" w:rsidR="009715A8" w:rsidRPr="006D7501" w:rsidRDefault="009715A8" w:rsidP="009715A8">
            <w:pPr>
              <w:jc w:val="both"/>
            </w:pPr>
            <w:r w:rsidRPr="006D7501">
              <w:t>3. ieroču remonta komersanti 11;</w:t>
            </w:r>
          </w:p>
          <w:p w14:paraId="5C3C0CAE" w14:textId="77777777" w:rsidR="009715A8" w:rsidRPr="006D7501" w:rsidRDefault="009715A8" w:rsidP="009715A8">
            <w:pPr>
              <w:jc w:val="both"/>
            </w:pPr>
            <w:r w:rsidRPr="006D7501">
              <w:t>4. Juridiskām personām reģistrētie ieroči:</w:t>
            </w:r>
          </w:p>
          <w:p w14:paraId="06BF4502" w14:textId="77777777" w:rsidR="009715A8" w:rsidRPr="006D7501" w:rsidRDefault="009715A8" w:rsidP="009715A8">
            <w:pPr>
              <w:jc w:val="both"/>
            </w:pPr>
            <w:r w:rsidRPr="006D7501">
              <w:t>4.1. savvaļas sugu dzīvnieku turēšanas juridiskās personas, kurām reģistrēti ieroči: 0;</w:t>
            </w:r>
          </w:p>
          <w:p w14:paraId="72C71060" w14:textId="77777777" w:rsidR="009715A8" w:rsidRPr="006D7501" w:rsidRDefault="009715A8" w:rsidP="009715A8">
            <w:pPr>
              <w:jc w:val="both"/>
            </w:pPr>
            <w:r w:rsidRPr="006D7501">
              <w:t>4.2. sporta organizācijas, kurām reģistrēti ieroči: 14, tām reģistrēti 778 šaujamieroči (garstobra-vītņstobra šaujamieroči 456, garstobra-gludstobra šaujamieroči 0, īsstobra šaujamieroči (pistoles un revolveri) 322, lielas enerģijas pneimatiskie ieroči 0;</w:t>
            </w:r>
          </w:p>
          <w:p w14:paraId="59CC2AFC" w14:textId="77777777" w:rsidR="009715A8" w:rsidRPr="006D7501" w:rsidRDefault="009715A8" w:rsidP="009715A8">
            <w:pPr>
              <w:jc w:val="both"/>
            </w:pPr>
            <w:r w:rsidRPr="006D7501">
              <w:t>4.3. šautuves (šaušanas stendi) kopā: 63, šautuves, kurās reģistrēti ieroči: 12, tajās reģistrēti 164 ieroči (garstobra-vītņstobra šaujamieroči 40, garstobra-gludstobra šaujamieroči 20, īsstobra šaujamieroči (pistoles un revolveri) 104, lielas enerģijas pneimatiskie ieroči 0;</w:t>
            </w:r>
          </w:p>
          <w:p w14:paraId="0899E5FC" w14:textId="77777777" w:rsidR="009715A8" w:rsidRPr="006D7501" w:rsidRDefault="009715A8" w:rsidP="009715A8">
            <w:pPr>
              <w:jc w:val="both"/>
            </w:pPr>
            <w:r w:rsidRPr="006D7501">
              <w:t>4.4. juridisko personu ieroču kolekcijas: 0;</w:t>
            </w:r>
          </w:p>
          <w:p w14:paraId="13189F42" w14:textId="77777777" w:rsidR="009715A8" w:rsidRPr="006D7501" w:rsidRDefault="009715A8" w:rsidP="009715A8">
            <w:pPr>
              <w:jc w:val="both"/>
            </w:pPr>
            <w:r w:rsidRPr="006D7501">
              <w:t>4.5. apsardzes komersanti, kuriem reģistrēti šaujamieroči: 11, tiem reģistrēti 135 šaujamieroči (garstobra-gludstobra šaujamieroči 18, īsstobra šaujamieroči (pistoles un revolveri) 117);</w:t>
            </w:r>
          </w:p>
          <w:p w14:paraId="32A26EFC" w14:textId="77777777" w:rsidR="00233136" w:rsidRPr="006D7501" w:rsidRDefault="009715A8" w:rsidP="009715A8">
            <w:pPr>
              <w:jc w:val="both"/>
            </w:pPr>
            <w:r w:rsidRPr="006D7501">
              <w:t>4.6. iekšējie drošības dienesti: 56, no tiem ar šaujamieročiem 5, tiem reģistrēti 129 šaujamieroči (garstobra-gludstobra šaujamieroči 8, īsstobra šaujamieroči (pistoles un revolveri) 121).</w:t>
            </w:r>
          </w:p>
          <w:p w14:paraId="1C888261" w14:textId="77777777" w:rsidR="00244289" w:rsidRPr="006D7501" w:rsidRDefault="00244289" w:rsidP="009715A8">
            <w:pPr>
              <w:jc w:val="both"/>
            </w:pPr>
          </w:p>
          <w:p w14:paraId="3BFE8BFF" w14:textId="77777777" w:rsidR="00244289" w:rsidRPr="006D7501" w:rsidRDefault="00EA3679" w:rsidP="009715A8">
            <w:pPr>
              <w:jc w:val="both"/>
            </w:pPr>
            <w:r w:rsidRPr="006D7501">
              <w:t>Šobrīd nevar identificēt, cik būs to fizisko un juridisko personu, kuras vēlēsies saņemt ieroču brokera atļauju (licenci), lai organizētu darījumus ieroču aprites jomā.</w:t>
            </w:r>
          </w:p>
        </w:tc>
      </w:tr>
      <w:tr w:rsidR="00DB0AC9" w:rsidRPr="006D7501" w14:paraId="54397BFB" w14:textId="77777777" w:rsidTr="007843CB">
        <w:trPr>
          <w:trHeight w:val="1471"/>
        </w:trPr>
        <w:tc>
          <w:tcPr>
            <w:tcW w:w="303" w:type="pct"/>
            <w:tcBorders>
              <w:top w:val="outset" w:sz="6" w:space="0" w:color="414142"/>
              <w:left w:val="outset" w:sz="6" w:space="0" w:color="414142"/>
              <w:bottom w:val="outset" w:sz="6" w:space="0" w:color="414142"/>
              <w:right w:val="outset" w:sz="6" w:space="0" w:color="414142"/>
            </w:tcBorders>
            <w:hideMark/>
          </w:tcPr>
          <w:p w14:paraId="49EB5681" w14:textId="77777777" w:rsidR="00DB0AC9" w:rsidRPr="006D7501" w:rsidRDefault="00DB0AC9" w:rsidP="00BD02FB">
            <w:r w:rsidRPr="006D7501">
              <w:t>2.</w:t>
            </w:r>
          </w:p>
        </w:tc>
        <w:tc>
          <w:tcPr>
            <w:tcW w:w="1512" w:type="pct"/>
            <w:tcBorders>
              <w:top w:val="outset" w:sz="6" w:space="0" w:color="414142"/>
              <w:left w:val="outset" w:sz="6" w:space="0" w:color="414142"/>
              <w:bottom w:val="outset" w:sz="6" w:space="0" w:color="414142"/>
              <w:right w:val="outset" w:sz="6" w:space="0" w:color="414142"/>
            </w:tcBorders>
            <w:hideMark/>
          </w:tcPr>
          <w:p w14:paraId="64627EC2" w14:textId="77777777" w:rsidR="00DB0AC9" w:rsidRPr="006D7501" w:rsidRDefault="00DB0AC9" w:rsidP="00BD02FB">
            <w:r w:rsidRPr="006D7501">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3FF279DA" w14:textId="2FFF783D" w:rsidR="00B846E5" w:rsidRPr="006D7501" w:rsidRDefault="00FD31F9">
            <w:pPr>
              <w:spacing w:after="120"/>
              <w:jc w:val="both"/>
            </w:pPr>
            <w:r w:rsidRPr="006D7501">
              <w:t>F</w:t>
            </w:r>
            <w:r w:rsidR="00501742" w:rsidRPr="006D7501">
              <w:t>iziskajām un  juridiskajām p</w:t>
            </w:r>
            <w:r w:rsidR="009715A8" w:rsidRPr="006D7501">
              <w:t>ersonām administratīvais slogs palielinās</w:t>
            </w:r>
            <w:r w:rsidR="00D42161" w:rsidRPr="006D7501">
              <w:t>, jo jāiesniedz ne tikai ziņas par ieročiem, bet arī par munīciju,</w:t>
            </w:r>
            <w:r w:rsidR="009715A8" w:rsidRPr="006D7501">
              <w:t xml:space="preserve"> </w:t>
            </w:r>
            <w:r w:rsidR="006F05E5" w:rsidRPr="006D7501">
              <w:t xml:space="preserve">bet ziņu iesniegšanas veids paliek nemainīgs līdz 2019.gada </w:t>
            </w:r>
            <w:r w:rsidR="007048DD" w:rsidRPr="006D7501">
              <w:t>14</w:t>
            </w:r>
            <w:r w:rsidR="006F05E5" w:rsidRPr="006D7501">
              <w:t>.dec</w:t>
            </w:r>
            <w:r w:rsidR="00E04882" w:rsidRPr="006D7501">
              <w:t>e</w:t>
            </w:r>
            <w:r w:rsidR="006F05E5" w:rsidRPr="006D7501">
              <w:t>mbrim. P</w:t>
            </w:r>
            <w:r w:rsidR="009715A8" w:rsidRPr="006D7501">
              <w:t xml:space="preserve">rojekta tiesiskais regulējums </w:t>
            </w:r>
            <w:r w:rsidR="00501742" w:rsidRPr="006D7501">
              <w:t xml:space="preserve">maina to pienākumus </w:t>
            </w:r>
            <w:r w:rsidR="00E04882" w:rsidRPr="006D7501">
              <w:t>u</w:t>
            </w:r>
            <w:r w:rsidR="00501742" w:rsidRPr="006D7501">
              <w:t>n veicamās darbības</w:t>
            </w:r>
            <w:r w:rsidR="006F05E5" w:rsidRPr="006D7501">
              <w:t xml:space="preserve"> un </w:t>
            </w:r>
            <w:r w:rsidR="00995EA6" w:rsidRPr="006D7501">
              <w:t xml:space="preserve">administratīvais slogs </w:t>
            </w:r>
            <w:r w:rsidR="006F05E5" w:rsidRPr="006D7501">
              <w:t>samazinās pēc 2020.gada 1.janvāra, kad ziņas varēs iesniegt elektroniski tiešsaistes datu pārraides režīmā Ieroču reģistrā</w:t>
            </w:r>
            <w:r w:rsidR="00B6712E" w:rsidRPr="006D7501">
              <w:t xml:space="preserve"> (pielikumā)</w:t>
            </w:r>
            <w:r w:rsidR="00995EA6" w:rsidRPr="006D7501">
              <w:t>.</w:t>
            </w:r>
          </w:p>
        </w:tc>
      </w:tr>
      <w:tr w:rsidR="00DB0AC9" w:rsidRPr="006D7501" w14:paraId="4D506EA4" w14:textId="77777777" w:rsidTr="007843CB">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3C563994" w14:textId="048D532F" w:rsidR="00DB0AC9" w:rsidRPr="006D7501" w:rsidRDefault="00DB0AC9" w:rsidP="00BD02FB">
            <w:r w:rsidRPr="006D7501">
              <w:t>3.</w:t>
            </w:r>
          </w:p>
        </w:tc>
        <w:tc>
          <w:tcPr>
            <w:tcW w:w="1512" w:type="pct"/>
            <w:tcBorders>
              <w:top w:val="outset" w:sz="6" w:space="0" w:color="414142"/>
              <w:left w:val="outset" w:sz="6" w:space="0" w:color="414142"/>
              <w:bottom w:val="outset" w:sz="6" w:space="0" w:color="414142"/>
              <w:right w:val="outset" w:sz="6" w:space="0" w:color="414142"/>
            </w:tcBorders>
            <w:hideMark/>
          </w:tcPr>
          <w:p w14:paraId="52EBC419" w14:textId="77777777" w:rsidR="00DB0AC9" w:rsidRPr="006D7501" w:rsidRDefault="00DB0AC9" w:rsidP="00BD02FB">
            <w:r w:rsidRPr="006D7501">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39CECB0C" w14:textId="77777777" w:rsidR="00DB0AC9" w:rsidRPr="006D7501" w:rsidRDefault="00501742" w:rsidP="0039407A">
            <w:pPr>
              <w:jc w:val="both"/>
            </w:pPr>
            <w:r w:rsidRPr="006D7501">
              <w:t>Projekts šo jomu neskar.</w:t>
            </w:r>
          </w:p>
        </w:tc>
      </w:tr>
      <w:tr w:rsidR="00DB0AC9" w:rsidRPr="006D7501" w14:paraId="62B872D4" w14:textId="77777777" w:rsidTr="007843CB">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1B156E8" w14:textId="77777777" w:rsidR="00DB0AC9" w:rsidRPr="006D7501" w:rsidRDefault="00DB0AC9" w:rsidP="00BD02FB">
            <w:r w:rsidRPr="006D7501">
              <w:t>4.</w:t>
            </w:r>
          </w:p>
        </w:tc>
        <w:tc>
          <w:tcPr>
            <w:tcW w:w="1512" w:type="pct"/>
            <w:tcBorders>
              <w:top w:val="outset" w:sz="6" w:space="0" w:color="414142"/>
              <w:left w:val="outset" w:sz="6" w:space="0" w:color="414142"/>
              <w:bottom w:val="outset" w:sz="6" w:space="0" w:color="414142"/>
              <w:right w:val="outset" w:sz="6" w:space="0" w:color="414142"/>
            </w:tcBorders>
            <w:hideMark/>
          </w:tcPr>
          <w:p w14:paraId="2B5FC724" w14:textId="77777777" w:rsidR="00DB0AC9" w:rsidRPr="006D7501" w:rsidRDefault="00DB0AC9" w:rsidP="00BD02FB">
            <w:r w:rsidRPr="006D7501">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14678726" w14:textId="77777777" w:rsidR="00DB0AC9" w:rsidRPr="006D7501" w:rsidRDefault="00501742" w:rsidP="00BD02FB">
            <w:r w:rsidRPr="006D7501">
              <w:t>Projekts šo jomu neskar.</w:t>
            </w:r>
          </w:p>
        </w:tc>
      </w:tr>
      <w:tr w:rsidR="00DB0AC9" w:rsidRPr="006D7501" w14:paraId="3C718C07" w14:textId="77777777" w:rsidTr="007843CB">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591A076E" w14:textId="77777777" w:rsidR="00DB0AC9" w:rsidRPr="006D7501" w:rsidRDefault="00DB0AC9" w:rsidP="00BD02FB">
            <w:r w:rsidRPr="006D7501">
              <w:t>5.</w:t>
            </w:r>
          </w:p>
        </w:tc>
        <w:tc>
          <w:tcPr>
            <w:tcW w:w="1512" w:type="pct"/>
            <w:tcBorders>
              <w:top w:val="outset" w:sz="6" w:space="0" w:color="414142"/>
              <w:left w:val="outset" w:sz="6" w:space="0" w:color="414142"/>
              <w:bottom w:val="outset" w:sz="6" w:space="0" w:color="414142"/>
              <w:right w:val="outset" w:sz="6" w:space="0" w:color="414142"/>
            </w:tcBorders>
            <w:hideMark/>
          </w:tcPr>
          <w:p w14:paraId="569BEDB0" w14:textId="77777777" w:rsidR="00DB0AC9" w:rsidRPr="006D7501" w:rsidRDefault="00DB0AC9" w:rsidP="00BD02FB">
            <w:r w:rsidRPr="006D7501">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36FA53E7" w14:textId="77777777" w:rsidR="00DB0AC9" w:rsidRPr="006D7501" w:rsidRDefault="00DB0AC9" w:rsidP="00BD02FB">
            <w:r w:rsidRPr="006D7501">
              <w:t>Nav</w:t>
            </w:r>
          </w:p>
        </w:tc>
      </w:tr>
    </w:tbl>
    <w:p w14:paraId="6B15AA7A" w14:textId="77777777" w:rsidR="00DB0AC9" w:rsidRPr="006D7501" w:rsidRDefault="00DB0AC9" w:rsidP="003C17D9">
      <w:pPr>
        <w:shd w:val="clear" w:color="auto" w:fill="FFFFFF"/>
        <w:ind w:firstLine="300"/>
      </w:pPr>
      <w:r w:rsidRPr="006D7501">
        <w:rPr>
          <w:rFonts w:ascii="Arial" w:hAnsi="Arial" w:cs="Arial"/>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DB0AC9" w:rsidRPr="006D7501" w14:paraId="01CC92C7" w14:textId="77777777" w:rsidTr="007843C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93A0487" w14:textId="77777777" w:rsidR="00DB0AC9" w:rsidRPr="006D7501" w:rsidRDefault="00DB0AC9" w:rsidP="00BD02FB">
            <w:pPr>
              <w:spacing w:after="120"/>
              <w:jc w:val="center"/>
              <w:rPr>
                <w:b/>
                <w:bCs/>
              </w:rPr>
            </w:pPr>
            <w:r w:rsidRPr="006D7501">
              <w:rPr>
                <w:b/>
                <w:bCs/>
              </w:rPr>
              <w:t>III. Tiesību akta projekta ietekme uz valsts budžetu un pašvaldību budžetiem</w:t>
            </w:r>
          </w:p>
        </w:tc>
      </w:tr>
      <w:tr w:rsidR="00DB0AC9" w:rsidRPr="006D7501" w14:paraId="276779E4" w14:textId="77777777" w:rsidTr="007843CB">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02786B4" w14:textId="77777777" w:rsidR="00DB0AC9" w:rsidRPr="006D7501" w:rsidRDefault="00DB0AC9" w:rsidP="00BD02FB">
            <w:pPr>
              <w:spacing w:after="120"/>
              <w:jc w:val="center"/>
              <w:rPr>
                <w:b/>
                <w:bCs/>
              </w:rPr>
            </w:pPr>
            <w:r w:rsidRPr="006D7501">
              <w:t>Projekts šo jomu neskar.</w:t>
            </w:r>
          </w:p>
        </w:tc>
      </w:tr>
    </w:tbl>
    <w:p w14:paraId="47BBE9C8" w14:textId="77777777" w:rsidR="00DB0AC9" w:rsidRPr="006D7501" w:rsidRDefault="00DB0AC9" w:rsidP="003C17D9">
      <w:pPr>
        <w:shd w:val="clear" w:color="auto" w:fill="FFFFFF"/>
        <w:rPr>
          <w:sz w:val="22"/>
          <w:szCs w:val="22"/>
        </w:rPr>
      </w:pPr>
    </w:p>
    <w:p w14:paraId="0F048237" w14:textId="77777777" w:rsidR="000A637C" w:rsidRPr="006D7501" w:rsidRDefault="000A637C" w:rsidP="003C17D9">
      <w:pPr>
        <w:shd w:val="clear" w:color="auto" w:fill="FFFFFF"/>
        <w:rPr>
          <w:sz w:val="22"/>
          <w:szCs w:val="22"/>
        </w:rPr>
      </w:pPr>
    </w:p>
    <w:tbl>
      <w:tblPr>
        <w:tblW w:w="5000" w:type="pct"/>
        <w:jc w:val="center"/>
        <w:tblBorders>
          <w:top w:val="single" w:sz="6" w:space="0" w:color="414142"/>
          <w:left w:val="single" w:sz="6" w:space="0" w:color="414142"/>
          <w:bottom w:val="single" w:sz="6" w:space="0" w:color="414142"/>
          <w:right w:val="single" w:sz="6" w:space="0" w:color="414142"/>
        </w:tblBorders>
        <w:tblLook w:val="0400" w:firstRow="0" w:lastRow="0" w:firstColumn="0" w:lastColumn="0" w:noHBand="0" w:noVBand="1"/>
      </w:tblPr>
      <w:tblGrid>
        <w:gridCol w:w="9055"/>
      </w:tblGrid>
      <w:tr w:rsidR="000A637C" w:rsidRPr="006D7501" w14:paraId="4DEC39CF" w14:textId="77777777" w:rsidTr="007843CB">
        <w:trPr>
          <w:trHeight w:val="180"/>
          <w:jc w:val="center"/>
        </w:trPr>
        <w:tc>
          <w:tcPr>
            <w:tcW w:w="5000" w:type="pct"/>
            <w:tcBorders>
              <w:top w:val="single" w:sz="6" w:space="0" w:color="414142"/>
              <w:left w:val="single" w:sz="6" w:space="0" w:color="414142"/>
              <w:bottom w:val="single" w:sz="6" w:space="0" w:color="414142"/>
              <w:right w:val="single" w:sz="6" w:space="0" w:color="414142"/>
            </w:tcBorders>
            <w:vAlign w:val="center"/>
          </w:tcPr>
          <w:p w14:paraId="74B13932" w14:textId="77777777" w:rsidR="000A637C" w:rsidRPr="006D7501" w:rsidRDefault="000A637C" w:rsidP="000D308E">
            <w:pPr>
              <w:jc w:val="center"/>
              <w:rPr>
                <w:b/>
              </w:rPr>
            </w:pPr>
            <w:r w:rsidRPr="006D7501">
              <w:rPr>
                <w:b/>
              </w:rPr>
              <w:t>IV. Tiesību akta projekta ietekme uz spēkā esošo tiesību normu sistēmu</w:t>
            </w:r>
          </w:p>
        </w:tc>
      </w:tr>
      <w:tr w:rsidR="007D7328" w:rsidRPr="006D7501" w14:paraId="6EE9BA60" w14:textId="77777777" w:rsidTr="007843CB">
        <w:trPr>
          <w:jc w:val="center"/>
        </w:trPr>
        <w:tc>
          <w:tcPr>
            <w:tcW w:w="5000" w:type="pct"/>
            <w:tcBorders>
              <w:top w:val="single" w:sz="6" w:space="0" w:color="414142"/>
              <w:left w:val="single" w:sz="6" w:space="0" w:color="414142"/>
              <w:bottom w:val="single" w:sz="6" w:space="0" w:color="414142"/>
              <w:right w:val="single" w:sz="6" w:space="0" w:color="414142"/>
            </w:tcBorders>
          </w:tcPr>
          <w:p w14:paraId="2C4F07C4" w14:textId="6C10EDEF" w:rsidR="007D7328" w:rsidRPr="006D7501" w:rsidRDefault="007D7328" w:rsidP="007D7328">
            <w:pPr>
              <w:spacing w:line="259" w:lineRule="auto"/>
              <w:jc w:val="center"/>
            </w:pPr>
            <w:r w:rsidRPr="006D7501">
              <w:t>Projekts šo jomu neskar.</w:t>
            </w:r>
          </w:p>
        </w:tc>
      </w:tr>
    </w:tbl>
    <w:p w14:paraId="43B039A4" w14:textId="77777777" w:rsidR="0048532A" w:rsidRPr="006D7501" w:rsidRDefault="0048532A" w:rsidP="00DB0AC9">
      <w:pPr>
        <w:shd w:val="clear" w:color="auto" w:fill="FFFFFF"/>
        <w:ind w:firstLine="300"/>
        <w:rPr>
          <w:rFonts w:ascii="Arial" w:hAnsi="Arial" w:cs="Arial"/>
        </w:rPr>
      </w:pPr>
    </w:p>
    <w:tbl>
      <w:tblPr>
        <w:tblW w:w="5000" w:type="pct"/>
        <w:tblBorders>
          <w:top w:val="single" w:sz="6" w:space="0" w:color="414142"/>
          <w:left w:val="single" w:sz="6" w:space="0" w:color="414142"/>
          <w:bottom w:val="single" w:sz="6" w:space="0" w:color="414142"/>
          <w:right w:val="single" w:sz="6" w:space="0" w:color="414142"/>
        </w:tblBorders>
        <w:tblLook w:val="0400" w:firstRow="0" w:lastRow="0" w:firstColumn="0" w:lastColumn="0" w:noHBand="0" w:noVBand="1"/>
      </w:tblPr>
      <w:tblGrid>
        <w:gridCol w:w="504"/>
        <w:gridCol w:w="2347"/>
        <w:gridCol w:w="6204"/>
      </w:tblGrid>
      <w:tr w:rsidR="0048532A" w:rsidRPr="006D7501" w14:paraId="4E6BDC7D" w14:textId="77777777" w:rsidTr="007843CB">
        <w:tc>
          <w:tcPr>
            <w:tcW w:w="5000" w:type="pct"/>
            <w:gridSpan w:val="3"/>
            <w:tcBorders>
              <w:top w:val="single" w:sz="6" w:space="0" w:color="414142"/>
              <w:left w:val="single" w:sz="6" w:space="0" w:color="414142"/>
              <w:bottom w:val="single" w:sz="6" w:space="0" w:color="414142"/>
              <w:right w:val="single" w:sz="6" w:space="0" w:color="414142"/>
            </w:tcBorders>
            <w:vAlign w:val="center"/>
          </w:tcPr>
          <w:p w14:paraId="5AA0305A" w14:textId="77777777" w:rsidR="0048532A" w:rsidRPr="006D7501" w:rsidRDefault="0048532A" w:rsidP="000D308E">
            <w:pPr>
              <w:jc w:val="center"/>
              <w:rPr>
                <w:b/>
              </w:rPr>
            </w:pPr>
            <w:r w:rsidRPr="006D7501">
              <w:rPr>
                <w:b/>
              </w:rPr>
              <w:t>V. Tiesību akta projekta atbilstība Latvijas Republikas starptautiskajām saistībām</w:t>
            </w:r>
          </w:p>
        </w:tc>
      </w:tr>
      <w:tr w:rsidR="0048532A" w:rsidRPr="006D7501" w14:paraId="06E902BD" w14:textId="77777777" w:rsidTr="007843CB">
        <w:tc>
          <w:tcPr>
            <w:tcW w:w="278" w:type="pct"/>
            <w:tcBorders>
              <w:top w:val="single" w:sz="6" w:space="0" w:color="414142"/>
              <w:left w:val="single" w:sz="6" w:space="0" w:color="414142"/>
              <w:bottom w:val="single" w:sz="6" w:space="0" w:color="414142"/>
              <w:right w:val="single" w:sz="6" w:space="0" w:color="414142"/>
            </w:tcBorders>
          </w:tcPr>
          <w:p w14:paraId="1AF6818D" w14:textId="77777777" w:rsidR="0048532A" w:rsidRPr="006D7501" w:rsidRDefault="0048532A" w:rsidP="000D308E">
            <w:r w:rsidRPr="006D7501">
              <w:t>1.</w:t>
            </w:r>
          </w:p>
        </w:tc>
        <w:tc>
          <w:tcPr>
            <w:tcW w:w="1296" w:type="pct"/>
            <w:tcBorders>
              <w:top w:val="single" w:sz="6" w:space="0" w:color="414142"/>
              <w:left w:val="single" w:sz="6" w:space="0" w:color="414142"/>
              <w:bottom w:val="single" w:sz="6" w:space="0" w:color="414142"/>
              <w:right w:val="single" w:sz="6" w:space="0" w:color="414142"/>
            </w:tcBorders>
          </w:tcPr>
          <w:p w14:paraId="7DD4C567" w14:textId="77777777" w:rsidR="0048532A" w:rsidRPr="006D7501" w:rsidRDefault="0048532A" w:rsidP="000D308E">
            <w:r w:rsidRPr="006D7501">
              <w:t>Saistības pret Eiropas Savienību</w:t>
            </w:r>
          </w:p>
        </w:tc>
        <w:tc>
          <w:tcPr>
            <w:tcW w:w="3425" w:type="pct"/>
            <w:tcBorders>
              <w:top w:val="single" w:sz="6" w:space="0" w:color="414142"/>
              <w:left w:val="single" w:sz="6" w:space="0" w:color="414142"/>
              <w:bottom w:val="single" w:sz="6" w:space="0" w:color="414142"/>
              <w:right w:val="single" w:sz="6" w:space="0" w:color="414142"/>
            </w:tcBorders>
          </w:tcPr>
          <w:p w14:paraId="66A5EFAF" w14:textId="32A06634" w:rsidR="0048532A" w:rsidRPr="006D7501" w:rsidRDefault="009B4A70" w:rsidP="008D5E73">
            <w:pPr>
              <w:jc w:val="both"/>
            </w:pPr>
            <w:r w:rsidRPr="006D7501">
              <w:t>Direktīva</w:t>
            </w:r>
            <w:r w:rsidR="001D7C2A" w:rsidRPr="006D7501">
              <w:t>s</w:t>
            </w:r>
            <w:r w:rsidRPr="006D7501">
              <w:t xml:space="preserve"> (ES) 2017/853 2.panta 2.punkts nosaka, ka atkāpjoties no šā panta 1. punkta, dalībvalstīs stājas spēkā normatīvie un administratīvie akti, kas vajadzīgi, lai atbilstu Direktīvas 91/477/EEK, kā tā grozīta ar šo direktīvu, 4. panta 3. punktam un 4. panta 4. punktam, līdz 2019. gada 14. decembrim.</w:t>
            </w:r>
          </w:p>
        </w:tc>
      </w:tr>
      <w:tr w:rsidR="0048532A" w:rsidRPr="006D7501" w14:paraId="34EB12B8" w14:textId="77777777" w:rsidTr="007843CB">
        <w:tc>
          <w:tcPr>
            <w:tcW w:w="278" w:type="pct"/>
            <w:tcBorders>
              <w:top w:val="single" w:sz="6" w:space="0" w:color="414142"/>
              <w:left w:val="single" w:sz="6" w:space="0" w:color="414142"/>
              <w:bottom w:val="single" w:sz="6" w:space="0" w:color="414142"/>
              <w:right w:val="single" w:sz="6" w:space="0" w:color="414142"/>
            </w:tcBorders>
          </w:tcPr>
          <w:p w14:paraId="341AD14C" w14:textId="77777777" w:rsidR="0048532A" w:rsidRPr="006D7501" w:rsidRDefault="0048532A" w:rsidP="000D308E">
            <w:r w:rsidRPr="006D7501">
              <w:t>2.</w:t>
            </w:r>
          </w:p>
        </w:tc>
        <w:tc>
          <w:tcPr>
            <w:tcW w:w="1296" w:type="pct"/>
            <w:tcBorders>
              <w:top w:val="single" w:sz="6" w:space="0" w:color="414142"/>
              <w:left w:val="single" w:sz="6" w:space="0" w:color="414142"/>
              <w:bottom w:val="single" w:sz="6" w:space="0" w:color="414142"/>
              <w:right w:val="single" w:sz="6" w:space="0" w:color="414142"/>
            </w:tcBorders>
          </w:tcPr>
          <w:p w14:paraId="03DC12C6" w14:textId="77777777" w:rsidR="0048532A" w:rsidRPr="006D7501" w:rsidRDefault="0048532A" w:rsidP="000D308E">
            <w:r w:rsidRPr="006D7501">
              <w:t>Citas starptautiskās saistības</w:t>
            </w:r>
          </w:p>
        </w:tc>
        <w:tc>
          <w:tcPr>
            <w:tcW w:w="3425" w:type="pct"/>
            <w:tcBorders>
              <w:top w:val="single" w:sz="6" w:space="0" w:color="414142"/>
              <w:left w:val="single" w:sz="6" w:space="0" w:color="414142"/>
              <w:bottom w:val="single" w:sz="6" w:space="0" w:color="414142"/>
              <w:right w:val="single" w:sz="6" w:space="0" w:color="414142"/>
            </w:tcBorders>
          </w:tcPr>
          <w:p w14:paraId="2CC8F851" w14:textId="61EC7DE1" w:rsidR="0048532A" w:rsidRPr="006D7501" w:rsidRDefault="007715DC" w:rsidP="000D308E">
            <w:pPr>
              <w:jc w:val="both"/>
            </w:pPr>
            <w:r w:rsidRPr="006D7501">
              <w:t>Nav.</w:t>
            </w:r>
          </w:p>
        </w:tc>
      </w:tr>
      <w:tr w:rsidR="0048532A" w:rsidRPr="006D7501" w14:paraId="32F26CD2" w14:textId="77777777" w:rsidTr="007843CB">
        <w:tc>
          <w:tcPr>
            <w:tcW w:w="278" w:type="pct"/>
            <w:tcBorders>
              <w:top w:val="single" w:sz="6" w:space="0" w:color="414142"/>
              <w:left w:val="single" w:sz="6" w:space="0" w:color="414142"/>
              <w:bottom w:val="single" w:sz="6" w:space="0" w:color="414142"/>
              <w:right w:val="single" w:sz="6" w:space="0" w:color="414142"/>
            </w:tcBorders>
          </w:tcPr>
          <w:p w14:paraId="3939E7C6" w14:textId="77777777" w:rsidR="0048532A" w:rsidRPr="006D7501" w:rsidRDefault="0048532A" w:rsidP="000D308E">
            <w:r w:rsidRPr="006D7501">
              <w:t>3.</w:t>
            </w:r>
          </w:p>
        </w:tc>
        <w:tc>
          <w:tcPr>
            <w:tcW w:w="1296" w:type="pct"/>
            <w:tcBorders>
              <w:top w:val="single" w:sz="6" w:space="0" w:color="414142"/>
              <w:left w:val="single" w:sz="6" w:space="0" w:color="414142"/>
              <w:bottom w:val="single" w:sz="6" w:space="0" w:color="414142"/>
              <w:right w:val="single" w:sz="6" w:space="0" w:color="414142"/>
            </w:tcBorders>
          </w:tcPr>
          <w:p w14:paraId="7D7D62FA" w14:textId="77777777" w:rsidR="0048532A" w:rsidRPr="006D7501" w:rsidRDefault="0048532A" w:rsidP="000D308E">
            <w:r w:rsidRPr="006D7501">
              <w:t>Cita informācija</w:t>
            </w:r>
          </w:p>
        </w:tc>
        <w:tc>
          <w:tcPr>
            <w:tcW w:w="3425" w:type="pct"/>
            <w:tcBorders>
              <w:top w:val="single" w:sz="6" w:space="0" w:color="414142"/>
              <w:left w:val="single" w:sz="6" w:space="0" w:color="414142"/>
              <w:bottom w:val="single" w:sz="6" w:space="0" w:color="414142"/>
              <w:right w:val="single" w:sz="6" w:space="0" w:color="414142"/>
            </w:tcBorders>
          </w:tcPr>
          <w:p w14:paraId="4E4B1F09" w14:textId="37CCB841" w:rsidR="0048532A" w:rsidRPr="006D7501" w:rsidRDefault="00302548" w:rsidP="00302548">
            <w:pPr>
              <w:jc w:val="both"/>
            </w:pPr>
            <w:r w:rsidRPr="006D7501">
              <w:t xml:space="preserve">Projekta 5.punktā minētās </w:t>
            </w:r>
            <w:r w:rsidRPr="006D7501">
              <w:rPr>
                <w:bCs/>
              </w:rPr>
              <w:t>Komisijas 2015. gada 15. decembra īstenošanas regulas (ES) 2015/2403, ar ko izstrādā kopīgas pamatnostādnes par dezaktivēšanas standartiem un metodēm, lai nodrošinātu, ka dezaktivētie šaujamieroči tiek padarīti neatgriezeniski neizmantojami, prasības ar šo projektu netiek pārņemtas vai ieviestas, līdz ar to projekts neskar jautājumus par atbilstību minētājai regulai.</w:t>
            </w:r>
          </w:p>
        </w:tc>
      </w:tr>
    </w:tbl>
    <w:p w14:paraId="194571E2" w14:textId="77777777" w:rsidR="00DB0AC9" w:rsidRPr="006D7501" w:rsidRDefault="00DB0AC9" w:rsidP="00DB0AC9">
      <w:pPr>
        <w:shd w:val="clear" w:color="auto" w:fill="FFFFFF"/>
        <w:ind w:firstLine="300"/>
        <w:rPr>
          <w:rFonts w:ascii="Arial" w:hAnsi="Arial" w:cs="Arial"/>
        </w:rPr>
      </w:pPr>
      <w:r w:rsidRPr="006D7501">
        <w:rPr>
          <w:rFonts w:ascii="Arial" w:hAnsi="Arial" w:cs="Arial"/>
        </w:rPr>
        <w:t> </w:t>
      </w:r>
    </w:p>
    <w:tbl>
      <w:tblPr>
        <w:tblW w:w="5000" w:type="pct"/>
        <w:jc w:val="center"/>
        <w:tblBorders>
          <w:top w:val="single" w:sz="6" w:space="0" w:color="414142"/>
          <w:left w:val="single" w:sz="6" w:space="0" w:color="414142"/>
          <w:bottom w:val="single" w:sz="6" w:space="0" w:color="414142"/>
          <w:right w:val="single" w:sz="6" w:space="0" w:color="414142"/>
        </w:tblBorders>
        <w:tblLook w:val="0400" w:firstRow="0" w:lastRow="0" w:firstColumn="0" w:lastColumn="0" w:noHBand="0" w:noVBand="1"/>
      </w:tblPr>
      <w:tblGrid>
        <w:gridCol w:w="1972"/>
        <w:gridCol w:w="1780"/>
        <w:gridCol w:w="2264"/>
        <w:gridCol w:w="3039"/>
      </w:tblGrid>
      <w:tr w:rsidR="0048532A" w:rsidRPr="006D7501" w14:paraId="514C9101" w14:textId="77777777" w:rsidTr="007843CB">
        <w:trPr>
          <w:jc w:val="center"/>
        </w:trPr>
        <w:tc>
          <w:tcPr>
            <w:tcW w:w="5000" w:type="pct"/>
            <w:gridSpan w:val="4"/>
            <w:tcBorders>
              <w:top w:val="single" w:sz="6" w:space="0" w:color="414142"/>
              <w:left w:val="single" w:sz="6" w:space="0" w:color="414142"/>
              <w:bottom w:val="single" w:sz="6" w:space="0" w:color="414142"/>
              <w:right w:val="single" w:sz="6" w:space="0" w:color="414142"/>
            </w:tcBorders>
            <w:vAlign w:val="center"/>
          </w:tcPr>
          <w:p w14:paraId="182EAA6B" w14:textId="77777777" w:rsidR="0048532A" w:rsidRPr="006D7501" w:rsidRDefault="0048532A" w:rsidP="000D308E">
            <w:pPr>
              <w:spacing w:before="100" w:after="100"/>
              <w:jc w:val="center"/>
              <w:rPr>
                <w:b/>
              </w:rPr>
            </w:pPr>
            <w:r w:rsidRPr="006D7501">
              <w:rPr>
                <w:b/>
              </w:rPr>
              <w:t>1. tabula</w:t>
            </w:r>
            <w:r w:rsidRPr="006D7501">
              <w:rPr>
                <w:b/>
              </w:rPr>
              <w:br/>
              <w:t>Tiesību akta projekta atbilstība ES tiesību aktiem</w:t>
            </w:r>
          </w:p>
        </w:tc>
      </w:tr>
      <w:tr w:rsidR="0048532A" w:rsidRPr="006D7501" w14:paraId="33F63DD4"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0163ADCE" w14:textId="77777777" w:rsidR="0048532A" w:rsidRPr="006D7501" w:rsidRDefault="0048532A" w:rsidP="000D308E">
            <w:r w:rsidRPr="006D7501">
              <w:t>Attiecīgā ES tiesību akta datums, numurs un nosaukums</w:t>
            </w:r>
          </w:p>
        </w:tc>
        <w:tc>
          <w:tcPr>
            <w:tcW w:w="3911" w:type="pct"/>
            <w:gridSpan w:val="3"/>
            <w:tcBorders>
              <w:top w:val="single" w:sz="6" w:space="0" w:color="414142"/>
              <w:left w:val="single" w:sz="6" w:space="0" w:color="414142"/>
              <w:bottom w:val="single" w:sz="6" w:space="0" w:color="414142"/>
              <w:right w:val="single" w:sz="6" w:space="0" w:color="414142"/>
            </w:tcBorders>
          </w:tcPr>
          <w:p w14:paraId="680F7487" w14:textId="2F7A0FCE" w:rsidR="0048532A" w:rsidRPr="006D7501" w:rsidRDefault="009B4A70" w:rsidP="000D308E">
            <w:r w:rsidRPr="006D7501">
              <w:t>Eiropas Parlamenta un Padomes 2017.gada 17.maija Direktīvas (ES) 2017/853 ar ko groza Padomes Direktīvu 91/477/EEK par ieroču iegādes un glabāšanas kontroli</w:t>
            </w:r>
          </w:p>
        </w:tc>
      </w:tr>
      <w:tr w:rsidR="0048532A" w:rsidRPr="006D7501" w14:paraId="762E8DA9"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vAlign w:val="center"/>
          </w:tcPr>
          <w:p w14:paraId="08AECAB5" w14:textId="77777777" w:rsidR="0048532A" w:rsidRPr="006D7501" w:rsidRDefault="0048532A" w:rsidP="000D308E">
            <w:pPr>
              <w:spacing w:before="100" w:after="100"/>
              <w:jc w:val="center"/>
            </w:pPr>
            <w:r w:rsidRPr="006D7501">
              <w:t>A</w:t>
            </w:r>
          </w:p>
        </w:tc>
        <w:tc>
          <w:tcPr>
            <w:tcW w:w="983" w:type="pct"/>
            <w:tcBorders>
              <w:top w:val="single" w:sz="6" w:space="0" w:color="414142"/>
              <w:left w:val="single" w:sz="6" w:space="0" w:color="414142"/>
              <w:bottom w:val="single" w:sz="6" w:space="0" w:color="414142"/>
              <w:right w:val="single" w:sz="6" w:space="0" w:color="414142"/>
            </w:tcBorders>
            <w:vAlign w:val="center"/>
          </w:tcPr>
          <w:p w14:paraId="34A32951" w14:textId="77777777" w:rsidR="0048532A" w:rsidRPr="006D7501" w:rsidRDefault="0048532A" w:rsidP="000D308E">
            <w:pPr>
              <w:spacing w:before="100" w:after="100"/>
              <w:jc w:val="center"/>
            </w:pPr>
            <w:r w:rsidRPr="006D7501">
              <w:t>B</w:t>
            </w:r>
          </w:p>
        </w:tc>
        <w:tc>
          <w:tcPr>
            <w:tcW w:w="1250" w:type="pct"/>
            <w:tcBorders>
              <w:top w:val="single" w:sz="6" w:space="0" w:color="414142"/>
              <w:left w:val="single" w:sz="6" w:space="0" w:color="414142"/>
              <w:bottom w:val="single" w:sz="6" w:space="0" w:color="414142"/>
              <w:right w:val="single" w:sz="6" w:space="0" w:color="414142"/>
            </w:tcBorders>
            <w:vAlign w:val="center"/>
          </w:tcPr>
          <w:p w14:paraId="7274DEAA" w14:textId="77777777" w:rsidR="0048532A" w:rsidRPr="006D7501" w:rsidRDefault="0048532A" w:rsidP="000D308E">
            <w:pPr>
              <w:spacing w:before="100" w:after="100"/>
              <w:jc w:val="center"/>
            </w:pPr>
            <w:r w:rsidRPr="006D7501">
              <w:t>C</w:t>
            </w:r>
          </w:p>
        </w:tc>
        <w:tc>
          <w:tcPr>
            <w:tcW w:w="1678" w:type="pct"/>
            <w:tcBorders>
              <w:top w:val="single" w:sz="6" w:space="0" w:color="414142"/>
              <w:left w:val="single" w:sz="6" w:space="0" w:color="414142"/>
              <w:bottom w:val="single" w:sz="6" w:space="0" w:color="414142"/>
              <w:right w:val="single" w:sz="6" w:space="0" w:color="414142"/>
            </w:tcBorders>
            <w:vAlign w:val="center"/>
          </w:tcPr>
          <w:p w14:paraId="088F2296" w14:textId="77777777" w:rsidR="0048532A" w:rsidRPr="006D7501" w:rsidRDefault="0048532A" w:rsidP="000D308E">
            <w:pPr>
              <w:spacing w:before="100" w:after="100"/>
              <w:jc w:val="center"/>
            </w:pPr>
            <w:r w:rsidRPr="006D7501">
              <w:t>D</w:t>
            </w:r>
          </w:p>
        </w:tc>
      </w:tr>
      <w:tr w:rsidR="0048532A" w:rsidRPr="006D7501" w14:paraId="36910D2F"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72FD7CEF" w14:textId="77777777" w:rsidR="0048532A" w:rsidRPr="006D7501" w:rsidRDefault="0048532A" w:rsidP="000D308E">
            <w:r w:rsidRPr="006D7501">
              <w:t>Attiecīgā ES tiesību akta panta numurs (uzskaitot katru tiesību akta vienību – pantu, daļu, punktu, apakšpunktu)</w:t>
            </w:r>
          </w:p>
        </w:tc>
        <w:tc>
          <w:tcPr>
            <w:tcW w:w="983" w:type="pct"/>
            <w:tcBorders>
              <w:top w:val="single" w:sz="6" w:space="0" w:color="414142"/>
              <w:left w:val="single" w:sz="6" w:space="0" w:color="414142"/>
              <w:bottom w:val="single" w:sz="6" w:space="0" w:color="414142"/>
              <w:right w:val="single" w:sz="6" w:space="0" w:color="414142"/>
            </w:tcBorders>
          </w:tcPr>
          <w:p w14:paraId="01AED670" w14:textId="77777777" w:rsidR="0048532A" w:rsidRPr="006D7501" w:rsidRDefault="0048532A" w:rsidP="000D308E">
            <w:r w:rsidRPr="006D7501">
              <w:t>Projekta vienība, kas pārņem vai ievieš katru šīs tabulas A ailē minēto ES tiesību akta vienību, vai tiesību akts, kur attiecīgā ES tiesību akta vienība pārņemta vai ieviesta</w:t>
            </w:r>
          </w:p>
        </w:tc>
        <w:tc>
          <w:tcPr>
            <w:tcW w:w="1250" w:type="pct"/>
            <w:tcBorders>
              <w:top w:val="single" w:sz="6" w:space="0" w:color="414142"/>
              <w:left w:val="single" w:sz="6" w:space="0" w:color="414142"/>
              <w:bottom w:val="single" w:sz="6" w:space="0" w:color="414142"/>
              <w:right w:val="single" w:sz="6" w:space="0" w:color="414142"/>
            </w:tcBorders>
          </w:tcPr>
          <w:p w14:paraId="2B6532AC" w14:textId="77777777" w:rsidR="0048532A" w:rsidRPr="006D7501" w:rsidRDefault="0048532A" w:rsidP="000D308E">
            <w:r w:rsidRPr="006D7501">
              <w:t>Informācija par to, vai šīs tabulas A ailē minētās ES tiesību akta vienības tiek pārņemtas vai ieviestas pilnībā vai daļēji.</w:t>
            </w:r>
          </w:p>
          <w:p w14:paraId="6455BBDD" w14:textId="77777777" w:rsidR="0048532A" w:rsidRPr="006D7501" w:rsidRDefault="0048532A" w:rsidP="000D308E">
            <w:pPr>
              <w:spacing w:before="280" w:after="280"/>
            </w:pPr>
            <w:r w:rsidRPr="006D7501">
              <w:t>Ja attiecīgā ES tiesību akta vienība tiek pārņemta vai ieviesta daļēji, sniedz attiecīgu skaidrojumu, kā arī precīzi norāda, kad un kādā veidā ES tiesību akta vienība tiks pārņemta vai ieviesta pilnībā.</w:t>
            </w:r>
          </w:p>
          <w:p w14:paraId="4814F3C9" w14:textId="77777777" w:rsidR="0048532A" w:rsidRPr="006D7501" w:rsidRDefault="0048532A" w:rsidP="000D308E">
            <w:pPr>
              <w:spacing w:after="100"/>
            </w:pPr>
            <w:r w:rsidRPr="006D7501">
              <w:t>Norāda institūciju, kas ir atbildīga par šo saistību izpildi pilnībā</w:t>
            </w:r>
          </w:p>
        </w:tc>
        <w:tc>
          <w:tcPr>
            <w:tcW w:w="1678" w:type="pct"/>
            <w:tcBorders>
              <w:top w:val="single" w:sz="6" w:space="0" w:color="414142"/>
              <w:left w:val="single" w:sz="6" w:space="0" w:color="414142"/>
              <w:bottom w:val="single" w:sz="6" w:space="0" w:color="414142"/>
              <w:right w:val="single" w:sz="6" w:space="0" w:color="414142"/>
            </w:tcBorders>
          </w:tcPr>
          <w:p w14:paraId="66D95270" w14:textId="77777777" w:rsidR="0048532A" w:rsidRPr="006D7501" w:rsidRDefault="0048532A" w:rsidP="000D308E">
            <w:r w:rsidRPr="006D7501">
              <w:t>Informācija par to, vai šīs tabulas B ailē minētās projekta vienības paredz stingrākas prasības nekā šīs tabulas A ailē minētās ES tiesību akta vienības.</w:t>
            </w:r>
          </w:p>
          <w:p w14:paraId="3A3C8C86" w14:textId="77777777" w:rsidR="0048532A" w:rsidRPr="006D7501" w:rsidRDefault="0048532A" w:rsidP="000D308E">
            <w:pPr>
              <w:spacing w:before="280" w:after="280"/>
            </w:pPr>
            <w:r w:rsidRPr="006D7501">
              <w:t>Ja projekts satur stingrākas prasības nekā attiecīgais ES tiesību akts, norāda pamatojumu un samērīgumu.</w:t>
            </w:r>
          </w:p>
          <w:p w14:paraId="3FE7B17E" w14:textId="77777777" w:rsidR="0048532A" w:rsidRPr="006D7501" w:rsidRDefault="0048532A" w:rsidP="000D308E">
            <w:pPr>
              <w:spacing w:after="100"/>
            </w:pPr>
            <w:r w:rsidRPr="006D7501">
              <w:t>Norāda iespējamās alternatīvas (t.sk. alternatīvas, kas neparedz tiesiskā regulējuma izstrādi) – kādos gadījumos būtu iespējams izvairīties no stingrāku prasību noteikšanas, nekā paredzēts attiecīgajos ES tiesību aktos</w:t>
            </w:r>
          </w:p>
        </w:tc>
      </w:tr>
      <w:tr w:rsidR="007715DC" w:rsidRPr="006D7501" w14:paraId="2F31C4EA"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5B9FA36E" w14:textId="7360F14C" w:rsidR="007715DC" w:rsidRPr="006D7501" w:rsidRDefault="002912A1" w:rsidP="000D308E">
            <w:r w:rsidRPr="006D7501">
              <w:t xml:space="preserve">1.panta ietvertā </w:t>
            </w:r>
            <w:r w:rsidR="00705BD0" w:rsidRPr="006D7501">
              <w:t>4. panta 3. punkts a) apakšpunkts</w:t>
            </w:r>
          </w:p>
        </w:tc>
        <w:tc>
          <w:tcPr>
            <w:tcW w:w="983" w:type="pct"/>
            <w:tcBorders>
              <w:top w:val="single" w:sz="6" w:space="0" w:color="414142"/>
              <w:left w:val="single" w:sz="6" w:space="0" w:color="414142"/>
              <w:bottom w:val="single" w:sz="6" w:space="0" w:color="414142"/>
              <w:right w:val="single" w:sz="6" w:space="0" w:color="414142"/>
            </w:tcBorders>
          </w:tcPr>
          <w:p w14:paraId="164DAAD9" w14:textId="3725AE64" w:rsidR="007715DC" w:rsidRPr="006D7501" w:rsidRDefault="00853181" w:rsidP="00853181">
            <w:r w:rsidRPr="006D7501">
              <w:t>Projekta 9.punkts, 10</w:t>
            </w:r>
            <w:r w:rsidR="00880C90" w:rsidRPr="006D7501">
              <w:t>.punkts.</w:t>
            </w:r>
          </w:p>
        </w:tc>
        <w:tc>
          <w:tcPr>
            <w:tcW w:w="1250" w:type="pct"/>
            <w:tcBorders>
              <w:top w:val="single" w:sz="6" w:space="0" w:color="414142"/>
              <w:left w:val="single" w:sz="6" w:space="0" w:color="414142"/>
              <w:bottom w:val="single" w:sz="6" w:space="0" w:color="414142"/>
              <w:right w:val="single" w:sz="6" w:space="0" w:color="414142"/>
            </w:tcBorders>
          </w:tcPr>
          <w:p w14:paraId="3CA01249" w14:textId="25699692" w:rsidR="007715DC" w:rsidRPr="006D7501" w:rsidRDefault="009B4A70" w:rsidP="000D308E">
            <w:r w:rsidRPr="006D7501">
              <w:t>Atbilst</w:t>
            </w:r>
          </w:p>
        </w:tc>
        <w:tc>
          <w:tcPr>
            <w:tcW w:w="1678" w:type="pct"/>
            <w:tcBorders>
              <w:top w:val="single" w:sz="6" w:space="0" w:color="414142"/>
              <w:left w:val="single" w:sz="6" w:space="0" w:color="414142"/>
              <w:bottom w:val="single" w:sz="6" w:space="0" w:color="414142"/>
              <w:right w:val="single" w:sz="6" w:space="0" w:color="414142"/>
            </w:tcBorders>
          </w:tcPr>
          <w:p w14:paraId="63EA50FC" w14:textId="6323B80B" w:rsidR="007715DC" w:rsidRPr="006D7501" w:rsidRDefault="00880C90" w:rsidP="000D308E">
            <w:r w:rsidRPr="006D7501">
              <w:t>Projekts nesatur stingrākas prasības nekā attiecīgais ES tiesību akts.</w:t>
            </w:r>
          </w:p>
        </w:tc>
      </w:tr>
      <w:tr w:rsidR="00705BD0" w:rsidRPr="006D7501" w14:paraId="15AC8019"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1732B556" w14:textId="19495CDA" w:rsidR="00705BD0" w:rsidRPr="006D7501" w:rsidRDefault="002912A1" w:rsidP="000D308E">
            <w:r w:rsidRPr="006D7501">
              <w:t xml:space="preserve">1.panta ietvertā </w:t>
            </w:r>
            <w:r w:rsidR="00705BD0" w:rsidRPr="006D7501">
              <w:t>4. panta 3. punkts b) apakšpunkts</w:t>
            </w:r>
          </w:p>
        </w:tc>
        <w:tc>
          <w:tcPr>
            <w:tcW w:w="983" w:type="pct"/>
            <w:tcBorders>
              <w:top w:val="single" w:sz="6" w:space="0" w:color="414142"/>
              <w:left w:val="single" w:sz="6" w:space="0" w:color="414142"/>
              <w:bottom w:val="single" w:sz="6" w:space="0" w:color="414142"/>
              <w:right w:val="single" w:sz="6" w:space="0" w:color="414142"/>
            </w:tcBorders>
          </w:tcPr>
          <w:p w14:paraId="0F6368A8" w14:textId="4BE03AB6" w:rsidR="00705BD0" w:rsidRPr="006D7501" w:rsidRDefault="00880C90" w:rsidP="00853181">
            <w:r w:rsidRPr="006D7501">
              <w:t>Projekta 2</w:t>
            </w:r>
            <w:r w:rsidR="00853181" w:rsidRPr="006D7501">
              <w:t>3</w:t>
            </w:r>
            <w:r w:rsidRPr="006D7501">
              <w:t>.punkts, 2</w:t>
            </w:r>
            <w:r w:rsidR="00853181" w:rsidRPr="006D7501">
              <w:t>4</w:t>
            </w:r>
            <w:r w:rsidRPr="006D7501">
              <w:t>.punkts</w:t>
            </w:r>
          </w:p>
        </w:tc>
        <w:tc>
          <w:tcPr>
            <w:tcW w:w="1250" w:type="pct"/>
            <w:tcBorders>
              <w:top w:val="single" w:sz="6" w:space="0" w:color="414142"/>
              <w:left w:val="single" w:sz="6" w:space="0" w:color="414142"/>
              <w:bottom w:val="single" w:sz="6" w:space="0" w:color="414142"/>
              <w:right w:val="single" w:sz="6" w:space="0" w:color="414142"/>
            </w:tcBorders>
          </w:tcPr>
          <w:p w14:paraId="73B2A249" w14:textId="69C6FA26" w:rsidR="00705BD0" w:rsidRPr="006D7501" w:rsidRDefault="009B4A70" w:rsidP="000D308E">
            <w:r w:rsidRPr="006D7501">
              <w:t>Atbilst</w:t>
            </w:r>
          </w:p>
        </w:tc>
        <w:tc>
          <w:tcPr>
            <w:tcW w:w="1678" w:type="pct"/>
            <w:tcBorders>
              <w:top w:val="single" w:sz="6" w:space="0" w:color="414142"/>
              <w:left w:val="single" w:sz="6" w:space="0" w:color="414142"/>
              <w:bottom w:val="single" w:sz="6" w:space="0" w:color="414142"/>
              <w:right w:val="single" w:sz="6" w:space="0" w:color="414142"/>
            </w:tcBorders>
          </w:tcPr>
          <w:p w14:paraId="2708BFA2" w14:textId="0F5A8186" w:rsidR="00705BD0" w:rsidRPr="006D7501" w:rsidRDefault="00880C90" w:rsidP="000D308E">
            <w:r w:rsidRPr="006D7501">
              <w:t>Projekts nesatur stingrākas prasības nekā attiecīgais ES tiesību akts.</w:t>
            </w:r>
          </w:p>
        </w:tc>
      </w:tr>
      <w:tr w:rsidR="00705BD0" w:rsidRPr="006D7501" w14:paraId="503BF55F"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4747F225" w14:textId="5553A98C" w:rsidR="00705BD0" w:rsidRPr="006D7501" w:rsidRDefault="002912A1" w:rsidP="000D308E">
            <w:r w:rsidRPr="006D7501">
              <w:t xml:space="preserve">1.panta ietvertā </w:t>
            </w:r>
            <w:r w:rsidR="00705BD0" w:rsidRPr="006D7501">
              <w:t>4. panta 3. punkts c) apakšpunkts</w:t>
            </w:r>
          </w:p>
        </w:tc>
        <w:tc>
          <w:tcPr>
            <w:tcW w:w="983" w:type="pct"/>
            <w:tcBorders>
              <w:top w:val="single" w:sz="6" w:space="0" w:color="414142"/>
              <w:left w:val="single" w:sz="6" w:space="0" w:color="414142"/>
              <w:bottom w:val="single" w:sz="6" w:space="0" w:color="414142"/>
              <w:right w:val="single" w:sz="6" w:space="0" w:color="414142"/>
            </w:tcBorders>
          </w:tcPr>
          <w:p w14:paraId="2E214E4F" w14:textId="4C163503" w:rsidR="00705BD0" w:rsidRPr="006D7501" w:rsidRDefault="00880C90" w:rsidP="000D308E">
            <w:r w:rsidRPr="006D7501">
              <w:t>Ieroču aprites likuma 74.panta otrā daļa</w:t>
            </w:r>
          </w:p>
        </w:tc>
        <w:tc>
          <w:tcPr>
            <w:tcW w:w="1250" w:type="pct"/>
            <w:tcBorders>
              <w:top w:val="single" w:sz="6" w:space="0" w:color="414142"/>
              <w:left w:val="single" w:sz="6" w:space="0" w:color="414142"/>
              <w:bottom w:val="single" w:sz="6" w:space="0" w:color="414142"/>
              <w:right w:val="single" w:sz="6" w:space="0" w:color="414142"/>
            </w:tcBorders>
          </w:tcPr>
          <w:p w14:paraId="4EC5F082" w14:textId="6C956583" w:rsidR="00705BD0" w:rsidRPr="006D7501" w:rsidRDefault="009B4A70" w:rsidP="000D308E">
            <w:r w:rsidRPr="006D7501">
              <w:t>Atbilst</w:t>
            </w:r>
          </w:p>
        </w:tc>
        <w:tc>
          <w:tcPr>
            <w:tcW w:w="1678" w:type="pct"/>
            <w:tcBorders>
              <w:top w:val="single" w:sz="6" w:space="0" w:color="414142"/>
              <w:left w:val="single" w:sz="6" w:space="0" w:color="414142"/>
              <w:bottom w:val="single" w:sz="6" w:space="0" w:color="414142"/>
              <w:right w:val="single" w:sz="6" w:space="0" w:color="414142"/>
            </w:tcBorders>
          </w:tcPr>
          <w:p w14:paraId="1AA893D4" w14:textId="6B5CACE3" w:rsidR="00705BD0" w:rsidRPr="006D7501" w:rsidRDefault="00880C90" w:rsidP="000D308E">
            <w:r w:rsidRPr="006D7501">
              <w:t>Projekts nesatur stingrākas prasības nekā attiecīgais ES tiesību akts.</w:t>
            </w:r>
          </w:p>
        </w:tc>
      </w:tr>
      <w:tr w:rsidR="00705BD0" w:rsidRPr="006D7501" w14:paraId="5B4DAD84"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58793C79" w14:textId="44FDB6BA" w:rsidR="00705BD0" w:rsidRPr="006D7501" w:rsidRDefault="002912A1" w:rsidP="000D308E">
            <w:r w:rsidRPr="006D7501">
              <w:t xml:space="preserve">1.panta ietvertā </w:t>
            </w:r>
            <w:r w:rsidR="001B04D8" w:rsidRPr="006D7501">
              <w:t>4. panta 4. punkts otrā ievilkuma</w:t>
            </w:r>
            <w:r w:rsidR="00880C90" w:rsidRPr="006D7501">
              <w:t xml:space="preserve"> a) apakšpunkts</w:t>
            </w:r>
          </w:p>
        </w:tc>
        <w:tc>
          <w:tcPr>
            <w:tcW w:w="983" w:type="pct"/>
            <w:tcBorders>
              <w:top w:val="single" w:sz="6" w:space="0" w:color="414142"/>
              <w:left w:val="single" w:sz="6" w:space="0" w:color="414142"/>
              <w:bottom w:val="single" w:sz="6" w:space="0" w:color="414142"/>
              <w:right w:val="single" w:sz="6" w:space="0" w:color="414142"/>
            </w:tcBorders>
          </w:tcPr>
          <w:p w14:paraId="3E11C5EC" w14:textId="0C5F47C7" w:rsidR="00705BD0" w:rsidRPr="006D7501" w:rsidRDefault="00880C90" w:rsidP="000D308E">
            <w:r w:rsidRPr="006D7501">
              <w:t>Projekta</w:t>
            </w:r>
            <w:r w:rsidR="00853181" w:rsidRPr="006D7501">
              <w:t xml:space="preserve"> 11</w:t>
            </w:r>
            <w:r w:rsidRPr="006D7501">
              <w:t>.punkts</w:t>
            </w:r>
          </w:p>
        </w:tc>
        <w:tc>
          <w:tcPr>
            <w:tcW w:w="1250" w:type="pct"/>
            <w:tcBorders>
              <w:top w:val="single" w:sz="6" w:space="0" w:color="414142"/>
              <w:left w:val="single" w:sz="6" w:space="0" w:color="414142"/>
              <w:bottom w:val="single" w:sz="6" w:space="0" w:color="414142"/>
              <w:right w:val="single" w:sz="6" w:space="0" w:color="414142"/>
            </w:tcBorders>
          </w:tcPr>
          <w:p w14:paraId="4AE2D204" w14:textId="5D085D77" w:rsidR="00705BD0" w:rsidRPr="006D7501" w:rsidRDefault="009B4A70" w:rsidP="000D308E">
            <w:r w:rsidRPr="006D7501">
              <w:t>Atbilst</w:t>
            </w:r>
          </w:p>
        </w:tc>
        <w:tc>
          <w:tcPr>
            <w:tcW w:w="1678" w:type="pct"/>
            <w:tcBorders>
              <w:top w:val="single" w:sz="6" w:space="0" w:color="414142"/>
              <w:left w:val="single" w:sz="6" w:space="0" w:color="414142"/>
              <w:bottom w:val="single" w:sz="6" w:space="0" w:color="414142"/>
              <w:right w:val="single" w:sz="6" w:space="0" w:color="414142"/>
            </w:tcBorders>
          </w:tcPr>
          <w:p w14:paraId="7A9FB0C7" w14:textId="7815E0BB" w:rsidR="00705BD0" w:rsidRPr="006D7501" w:rsidRDefault="00880C90" w:rsidP="000D308E">
            <w:r w:rsidRPr="006D7501">
              <w:t>Projekts nesatur stingrākas prasības nekā attiecīgais ES tiesību akts.</w:t>
            </w:r>
          </w:p>
        </w:tc>
      </w:tr>
      <w:tr w:rsidR="00880C90" w:rsidRPr="006D7501" w14:paraId="0F7C7BF5"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2159C579" w14:textId="1144A61F" w:rsidR="00880C90" w:rsidRPr="006D7501" w:rsidRDefault="002912A1" w:rsidP="000D308E">
            <w:r w:rsidRPr="006D7501">
              <w:t xml:space="preserve">1.panta ietvertā </w:t>
            </w:r>
            <w:r w:rsidR="001B04D8" w:rsidRPr="006D7501">
              <w:t>4. panta 4. punkts otrā ievilkuma</w:t>
            </w:r>
            <w:r w:rsidR="00880C90" w:rsidRPr="006D7501">
              <w:t xml:space="preserve"> b) apakšpunkts</w:t>
            </w:r>
          </w:p>
        </w:tc>
        <w:tc>
          <w:tcPr>
            <w:tcW w:w="983" w:type="pct"/>
            <w:tcBorders>
              <w:top w:val="single" w:sz="6" w:space="0" w:color="414142"/>
              <w:left w:val="single" w:sz="6" w:space="0" w:color="414142"/>
              <w:bottom w:val="single" w:sz="6" w:space="0" w:color="414142"/>
              <w:right w:val="single" w:sz="6" w:space="0" w:color="414142"/>
            </w:tcBorders>
          </w:tcPr>
          <w:p w14:paraId="0BF9696F" w14:textId="71721DE3" w:rsidR="00880C90" w:rsidRPr="006D7501" w:rsidRDefault="00880C90" w:rsidP="00853181">
            <w:r w:rsidRPr="006D7501">
              <w:t>Projekta 1</w:t>
            </w:r>
            <w:r w:rsidR="00853181" w:rsidRPr="006D7501">
              <w:t>1</w:t>
            </w:r>
            <w:r w:rsidRPr="006D7501">
              <w:t>.punkts</w:t>
            </w:r>
            <w:r w:rsidR="00853181" w:rsidRPr="006D7501">
              <w:t>, 12</w:t>
            </w:r>
            <w:r w:rsidRPr="006D7501">
              <w:t>.punkts</w:t>
            </w:r>
          </w:p>
        </w:tc>
        <w:tc>
          <w:tcPr>
            <w:tcW w:w="1250" w:type="pct"/>
            <w:tcBorders>
              <w:top w:val="single" w:sz="6" w:space="0" w:color="414142"/>
              <w:left w:val="single" w:sz="6" w:space="0" w:color="414142"/>
              <w:bottom w:val="single" w:sz="6" w:space="0" w:color="414142"/>
              <w:right w:val="single" w:sz="6" w:space="0" w:color="414142"/>
            </w:tcBorders>
          </w:tcPr>
          <w:p w14:paraId="7A4E7CD2" w14:textId="638F9D1F" w:rsidR="00880C90" w:rsidRPr="006D7501" w:rsidRDefault="00577BB3" w:rsidP="000D308E">
            <w:r w:rsidRPr="006D7501">
              <w:t>Atbilst</w:t>
            </w:r>
          </w:p>
        </w:tc>
        <w:tc>
          <w:tcPr>
            <w:tcW w:w="1678" w:type="pct"/>
            <w:tcBorders>
              <w:top w:val="single" w:sz="6" w:space="0" w:color="414142"/>
              <w:left w:val="single" w:sz="6" w:space="0" w:color="414142"/>
              <w:bottom w:val="single" w:sz="6" w:space="0" w:color="414142"/>
              <w:right w:val="single" w:sz="6" w:space="0" w:color="414142"/>
            </w:tcBorders>
          </w:tcPr>
          <w:p w14:paraId="301778A7" w14:textId="1E4871C0" w:rsidR="00880C90" w:rsidRPr="006D7501" w:rsidRDefault="00577BB3" w:rsidP="000D308E">
            <w:r w:rsidRPr="006D7501">
              <w:t>Projekts nesatur stingrākas prasības nekā attiecīgais ES tiesību akts.</w:t>
            </w:r>
          </w:p>
        </w:tc>
      </w:tr>
      <w:tr w:rsidR="00577BB3" w:rsidRPr="006D7501" w14:paraId="58C1C82C"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7B080BB1" w14:textId="50D61EA0" w:rsidR="00577BB3" w:rsidRPr="006D7501" w:rsidRDefault="002912A1" w:rsidP="000D308E">
            <w:r w:rsidRPr="006D7501">
              <w:t xml:space="preserve">1.panta ietvertā </w:t>
            </w:r>
            <w:r w:rsidR="00577BB3" w:rsidRPr="006D7501">
              <w:t xml:space="preserve">4. panta </w:t>
            </w:r>
            <w:r w:rsidR="001B04D8" w:rsidRPr="006D7501">
              <w:t>4. punkts otrā ievilkuma</w:t>
            </w:r>
            <w:r w:rsidR="00577BB3" w:rsidRPr="006D7501">
              <w:t xml:space="preserve"> c) apakšpunkts</w:t>
            </w:r>
          </w:p>
        </w:tc>
        <w:tc>
          <w:tcPr>
            <w:tcW w:w="983" w:type="pct"/>
            <w:tcBorders>
              <w:top w:val="single" w:sz="6" w:space="0" w:color="414142"/>
              <w:left w:val="single" w:sz="6" w:space="0" w:color="414142"/>
              <w:bottom w:val="single" w:sz="6" w:space="0" w:color="414142"/>
              <w:right w:val="single" w:sz="6" w:space="0" w:color="414142"/>
            </w:tcBorders>
          </w:tcPr>
          <w:p w14:paraId="7EB56FD8" w14:textId="4E2B747C" w:rsidR="00577BB3" w:rsidRPr="006D7501" w:rsidRDefault="00853181" w:rsidP="00853181">
            <w:r w:rsidRPr="006D7501">
              <w:t>Projekta 5.</w:t>
            </w:r>
            <w:r w:rsidR="00577BB3" w:rsidRPr="006D7501">
              <w:t xml:space="preserve">punkts, 6.punkts, </w:t>
            </w:r>
            <w:r w:rsidR="004B4648" w:rsidRPr="006D7501">
              <w:t>9.punkts</w:t>
            </w:r>
          </w:p>
        </w:tc>
        <w:tc>
          <w:tcPr>
            <w:tcW w:w="1250" w:type="pct"/>
            <w:tcBorders>
              <w:top w:val="single" w:sz="6" w:space="0" w:color="414142"/>
              <w:left w:val="single" w:sz="6" w:space="0" w:color="414142"/>
              <w:bottom w:val="single" w:sz="6" w:space="0" w:color="414142"/>
              <w:right w:val="single" w:sz="6" w:space="0" w:color="414142"/>
            </w:tcBorders>
          </w:tcPr>
          <w:p w14:paraId="1190BD10" w14:textId="5371B6B7" w:rsidR="00577BB3" w:rsidRPr="006D7501" w:rsidRDefault="00EC02DC" w:rsidP="000D308E">
            <w:r w:rsidRPr="006D7501">
              <w:t>Atbilst</w:t>
            </w:r>
          </w:p>
        </w:tc>
        <w:tc>
          <w:tcPr>
            <w:tcW w:w="1678" w:type="pct"/>
            <w:tcBorders>
              <w:top w:val="single" w:sz="6" w:space="0" w:color="414142"/>
              <w:left w:val="single" w:sz="6" w:space="0" w:color="414142"/>
              <w:bottom w:val="single" w:sz="6" w:space="0" w:color="414142"/>
              <w:right w:val="single" w:sz="6" w:space="0" w:color="414142"/>
            </w:tcBorders>
          </w:tcPr>
          <w:p w14:paraId="78B1D192" w14:textId="6D7C4911" w:rsidR="00577BB3" w:rsidRPr="006D7501" w:rsidRDefault="00EC02DC" w:rsidP="000D308E">
            <w:r w:rsidRPr="006D7501">
              <w:t>Projekts nesatur stingrākas prasības nekā attiecīgais ES tiesību akts.</w:t>
            </w:r>
          </w:p>
        </w:tc>
      </w:tr>
      <w:tr w:rsidR="00EC02DC" w:rsidRPr="006D7501" w14:paraId="6AF9167E"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47506C78" w14:textId="64B322DE" w:rsidR="00EC02DC" w:rsidRPr="006D7501" w:rsidRDefault="002912A1" w:rsidP="000D308E">
            <w:r w:rsidRPr="006D7501">
              <w:t xml:space="preserve">1.panta ietvertā </w:t>
            </w:r>
            <w:r w:rsidR="001B04D8" w:rsidRPr="006D7501">
              <w:t>4. panta 4. punkts otrā ievilkuma</w:t>
            </w:r>
            <w:r w:rsidR="00EC02DC" w:rsidRPr="006D7501">
              <w:t xml:space="preserve"> d) apakšpunkts</w:t>
            </w:r>
          </w:p>
        </w:tc>
        <w:tc>
          <w:tcPr>
            <w:tcW w:w="983" w:type="pct"/>
            <w:tcBorders>
              <w:top w:val="single" w:sz="6" w:space="0" w:color="414142"/>
              <w:left w:val="single" w:sz="6" w:space="0" w:color="414142"/>
              <w:bottom w:val="single" w:sz="6" w:space="0" w:color="414142"/>
              <w:right w:val="single" w:sz="6" w:space="0" w:color="414142"/>
            </w:tcBorders>
          </w:tcPr>
          <w:p w14:paraId="052A4E3F" w14:textId="77777777" w:rsidR="004B4648" w:rsidRPr="006D7501" w:rsidRDefault="004B4648" w:rsidP="000D308E">
            <w:r w:rsidRPr="006D7501">
              <w:t>Projekta</w:t>
            </w:r>
          </w:p>
          <w:p w14:paraId="41BE2D04" w14:textId="77777777" w:rsidR="007B63FC" w:rsidRPr="006D7501" w:rsidRDefault="004B4648" w:rsidP="000D308E">
            <w:r w:rsidRPr="006D7501">
              <w:t>11.punkts,</w:t>
            </w:r>
          </w:p>
          <w:p w14:paraId="735E1BB2" w14:textId="543C44F4" w:rsidR="00EC02DC" w:rsidRPr="006D7501" w:rsidRDefault="007B63FC" w:rsidP="00EF1799">
            <w:r w:rsidRPr="006D7501">
              <w:t>16.punkts,</w:t>
            </w:r>
            <w:r w:rsidR="004B4648" w:rsidRPr="006D7501">
              <w:t xml:space="preserve"> 17</w:t>
            </w:r>
            <w:r w:rsidR="00EC02DC" w:rsidRPr="006D7501">
              <w:t xml:space="preserve">.punkts, </w:t>
            </w:r>
          </w:p>
        </w:tc>
        <w:tc>
          <w:tcPr>
            <w:tcW w:w="1250" w:type="pct"/>
            <w:tcBorders>
              <w:top w:val="single" w:sz="6" w:space="0" w:color="414142"/>
              <w:left w:val="single" w:sz="6" w:space="0" w:color="414142"/>
              <w:bottom w:val="single" w:sz="6" w:space="0" w:color="414142"/>
              <w:right w:val="single" w:sz="6" w:space="0" w:color="414142"/>
            </w:tcBorders>
          </w:tcPr>
          <w:p w14:paraId="7C596F46" w14:textId="66906272" w:rsidR="00EC02DC" w:rsidRPr="006D7501" w:rsidRDefault="00EC02DC" w:rsidP="000D308E">
            <w:r w:rsidRPr="006D7501">
              <w:t>Atbilst</w:t>
            </w:r>
          </w:p>
        </w:tc>
        <w:tc>
          <w:tcPr>
            <w:tcW w:w="1678" w:type="pct"/>
            <w:tcBorders>
              <w:top w:val="single" w:sz="6" w:space="0" w:color="414142"/>
              <w:left w:val="single" w:sz="6" w:space="0" w:color="414142"/>
              <w:bottom w:val="single" w:sz="6" w:space="0" w:color="414142"/>
              <w:right w:val="single" w:sz="6" w:space="0" w:color="414142"/>
            </w:tcBorders>
          </w:tcPr>
          <w:p w14:paraId="0E0EDB20" w14:textId="164F601D" w:rsidR="00EC02DC" w:rsidRPr="006D7501" w:rsidRDefault="00EC02DC" w:rsidP="000D308E">
            <w:r w:rsidRPr="006D7501">
              <w:t>Projekts nesatur stingrākas prasības nekā attiecīgais ES tiesību akts.</w:t>
            </w:r>
          </w:p>
        </w:tc>
      </w:tr>
      <w:tr w:rsidR="001B04D8" w:rsidRPr="006D7501" w14:paraId="3AE4E79A"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2B530EA2" w14:textId="45F4A737" w:rsidR="001B04D8" w:rsidRPr="006D7501" w:rsidRDefault="002912A1" w:rsidP="007E600B">
            <w:r w:rsidRPr="006D7501">
              <w:t xml:space="preserve">1.panta ietvertā </w:t>
            </w:r>
            <w:r w:rsidR="001B04D8" w:rsidRPr="006D7501">
              <w:t>4.panta 4.punkt</w:t>
            </w:r>
            <w:r w:rsidR="007E600B" w:rsidRPr="006D7501">
              <w:t>s</w:t>
            </w:r>
            <w:r w:rsidR="001B04D8" w:rsidRPr="006D7501">
              <w:t xml:space="preserve"> trešais ievilkums</w:t>
            </w:r>
          </w:p>
        </w:tc>
        <w:tc>
          <w:tcPr>
            <w:tcW w:w="983" w:type="pct"/>
            <w:tcBorders>
              <w:top w:val="single" w:sz="6" w:space="0" w:color="414142"/>
              <w:left w:val="single" w:sz="6" w:space="0" w:color="414142"/>
              <w:bottom w:val="single" w:sz="6" w:space="0" w:color="414142"/>
              <w:right w:val="single" w:sz="6" w:space="0" w:color="414142"/>
            </w:tcBorders>
          </w:tcPr>
          <w:p w14:paraId="2C651A12" w14:textId="6A3A404C" w:rsidR="001B04D8" w:rsidRPr="006D7501" w:rsidRDefault="001B04D8" w:rsidP="000D308E">
            <w:r w:rsidRPr="006D7501">
              <w:t>Projekta 34.punkts</w:t>
            </w:r>
          </w:p>
        </w:tc>
        <w:tc>
          <w:tcPr>
            <w:tcW w:w="1250" w:type="pct"/>
            <w:tcBorders>
              <w:top w:val="single" w:sz="6" w:space="0" w:color="414142"/>
              <w:left w:val="single" w:sz="6" w:space="0" w:color="414142"/>
              <w:bottom w:val="single" w:sz="6" w:space="0" w:color="414142"/>
              <w:right w:val="single" w:sz="6" w:space="0" w:color="414142"/>
            </w:tcBorders>
          </w:tcPr>
          <w:p w14:paraId="3DA5E760" w14:textId="72256526" w:rsidR="001B04D8" w:rsidRPr="006D7501" w:rsidRDefault="008D11EC" w:rsidP="000D308E">
            <w:r w:rsidRPr="006D7501">
              <w:t>Atbilst</w:t>
            </w:r>
          </w:p>
        </w:tc>
        <w:tc>
          <w:tcPr>
            <w:tcW w:w="1678" w:type="pct"/>
            <w:tcBorders>
              <w:top w:val="single" w:sz="6" w:space="0" w:color="414142"/>
              <w:left w:val="single" w:sz="6" w:space="0" w:color="414142"/>
              <w:bottom w:val="single" w:sz="6" w:space="0" w:color="414142"/>
              <w:right w:val="single" w:sz="6" w:space="0" w:color="414142"/>
            </w:tcBorders>
          </w:tcPr>
          <w:p w14:paraId="20AA289E" w14:textId="2F97A30A" w:rsidR="001B04D8" w:rsidRPr="006D7501" w:rsidRDefault="008D11EC" w:rsidP="000D308E">
            <w:r w:rsidRPr="006D7501">
              <w:t>Projekts nesatur stingrākas prasības nekā attiecīgais ES tiesību akts.</w:t>
            </w:r>
          </w:p>
        </w:tc>
      </w:tr>
      <w:tr w:rsidR="004B4648" w:rsidRPr="006D7501" w14:paraId="5062DBBB"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374D2499" w14:textId="10137A1E" w:rsidR="004B4648" w:rsidRPr="006D7501" w:rsidRDefault="007B63FC" w:rsidP="00775701">
            <w:r w:rsidRPr="006D7501">
              <w:t xml:space="preserve">1.panta ietvertā </w:t>
            </w:r>
            <w:r w:rsidR="004B4648" w:rsidRPr="006D7501">
              <w:t>4.panta 4.punkt</w:t>
            </w:r>
            <w:r w:rsidR="00775701" w:rsidRPr="006D7501">
              <w:t>s</w:t>
            </w:r>
            <w:r w:rsidR="001B04D8" w:rsidRPr="006D7501">
              <w:t xml:space="preserve"> </w:t>
            </w:r>
            <w:r w:rsidR="0044034F" w:rsidRPr="006D7501">
              <w:t>ceturtā</w:t>
            </w:r>
            <w:r w:rsidR="001B04D8" w:rsidRPr="006D7501">
              <w:t xml:space="preserve"> ievilkuma </w:t>
            </w:r>
            <w:r w:rsidR="004B4648" w:rsidRPr="006D7501">
              <w:t xml:space="preserve">a) apakšpunkts </w:t>
            </w:r>
          </w:p>
        </w:tc>
        <w:tc>
          <w:tcPr>
            <w:tcW w:w="983" w:type="pct"/>
            <w:tcBorders>
              <w:top w:val="single" w:sz="6" w:space="0" w:color="414142"/>
              <w:left w:val="single" w:sz="6" w:space="0" w:color="414142"/>
              <w:bottom w:val="single" w:sz="6" w:space="0" w:color="414142"/>
              <w:right w:val="single" w:sz="6" w:space="0" w:color="414142"/>
            </w:tcBorders>
          </w:tcPr>
          <w:p w14:paraId="2581C65E" w14:textId="3266646F" w:rsidR="004B4648" w:rsidRPr="006D7501" w:rsidRDefault="004B4648" w:rsidP="000D308E">
            <w:r w:rsidRPr="006D7501">
              <w:t>Projekta 30.punkts</w:t>
            </w:r>
          </w:p>
        </w:tc>
        <w:tc>
          <w:tcPr>
            <w:tcW w:w="1250" w:type="pct"/>
            <w:tcBorders>
              <w:top w:val="single" w:sz="6" w:space="0" w:color="414142"/>
              <w:left w:val="single" w:sz="6" w:space="0" w:color="414142"/>
              <w:bottom w:val="single" w:sz="6" w:space="0" w:color="414142"/>
              <w:right w:val="single" w:sz="6" w:space="0" w:color="414142"/>
            </w:tcBorders>
          </w:tcPr>
          <w:p w14:paraId="7EA3D43E" w14:textId="1A012785" w:rsidR="004B4648" w:rsidRPr="006D7501" w:rsidRDefault="008D11EC" w:rsidP="000D308E">
            <w:r w:rsidRPr="006D7501">
              <w:t>Atbilst</w:t>
            </w:r>
          </w:p>
        </w:tc>
        <w:tc>
          <w:tcPr>
            <w:tcW w:w="1678" w:type="pct"/>
            <w:tcBorders>
              <w:top w:val="single" w:sz="6" w:space="0" w:color="414142"/>
              <w:left w:val="single" w:sz="6" w:space="0" w:color="414142"/>
              <w:bottom w:val="single" w:sz="6" w:space="0" w:color="414142"/>
              <w:right w:val="single" w:sz="6" w:space="0" w:color="414142"/>
            </w:tcBorders>
          </w:tcPr>
          <w:p w14:paraId="6E125564" w14:textId="1D9F63D9" w:rsidR="004B4648" w:rsidRPr="006D7501" w:rsidRDefault="008D11EC" w:rsidP="000D308E">
            <w:r w:rsidRPr="006D7501">
              <w:t>Projekts nesatur stingrākas prasības nekā attiecīgais ES tiesību akts.</w:t>
            </w:r>
          </w:p>
        </w:tc>
      </w:tr>
      <w:tr w:rsidR="004B4648" w:rsidRPr="006D7501" w14:paraId="15372321"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76A99F70" w14:textId="1DBBB1C2" w:rsidR="004B4648" w:rsidRPr="006D7501" w:rsidRDefault="007B63FC" w:rsidP="00775701">
            <w:r w:rsidRPr="006D7501">
              <w:t xml:space="preserve">1.panta ietvertā </w:t>
            </w:r>
            <w:r w:rsidR="004B4648" w:rsidRPr="006D7501">
              <w:t>4.panta 4.punkt</w:t>
            </w:r>
            <w:r w:rsidR="00775701" w:rsidRPr="006D7501">
              <w:t>s</w:t>
            </w:r>
            <w:r w:rsidR="0044034F" w:rsidRPr="006D7501">
              <w:t xml:space="preserve"> ceturtā ievilkuma </w:t>
            </w:r>
            <w:r w:rsidR="004B4648" w:rsidRPr="006D7501">
              <w:t>b) apakšpunkts</w:t>
            </w:r>
          </w:p>
        </w:tc>
        <w:tc>
          <w:tcPr>
            <w:tcW w:w="983" w:type="pct"/>
            <w:tcBorders>
              <w:top w:val="single" w:sz="6" w:space="0" w:color="414142"/>
              <w:left w:val="single" w:sz="6" w:space="0" w:color="414142"/>
              <w:bottom w:val="single" w:sz="6" w:space="0" w:color="414142"/>
              <w:right w:val="single" w:sz="6" w:space="0" w:color="414142"/>
            </w:tcBorders>
          </w:tcPr>
          <w:p w14:paraId="645672C9" w14:textId="4967E91A" w:rsidR="004B4648" w:rsidRPr="006D7501" w:rsidRDefault="004B4648" w:rsidP="004B4648">
            <w:r w:rsidRPr="006D7501">
              <w:t>Projekta 31.punkts</w:t>
            </w:r>
          </w:p>
        </w:tc>
        <w:tc>
          <w:tcPr>
            <w:tcW w:w="1250" w:type="pct"/>
            <w:tcBorders>
              <w:top w:val="single" w:sz="6" w:space="0" w:color="414142"/>
              <w:left w:val="single" w:sz="6" w:space="0" w:color="414142"/>
              <w:bottom w:val="single" w:sz="6" w:space="0" w:color="414142"/>
              <w:right w:val="single" w:sz="6" w:space="0" w:color="414142"/>
            </w:tcBorders>
          </w:tcPr>
          <w:p w14:paraId="637E86D3" w14:textId="3D0E44E1" w:rsidR="004B4648" w:rsidRPr="006D7501" w:rsidRDefault="008D11EC" w:rsidP="000D308E">
            <w:r w:rsidRPr="006D7501">
              <w:t>Atbilst</w:t>
            </w:r>
          </w:p>
        </w:tc>
        <w:tc>
          <w:tcPr>
            <w:tcW w:w="1678" w:type="pct"/>
            <w:tcBorders>
              <w:top w:val="single" w:sz="6" w:space="0" w:color="414142"/>
              <w:left w:val="single" w:sz="6" w:space="0" w:color="414142"/>
              <w:bottom w:val="single" w:sz="6" w:space="0" w:color="414142"/>
              <w:right w:val="single" w:sz="6" w:space="0" w:color="414142"/>
            </w:tcBorders>
          </w:tcPr>
          <w:p w14:paraId="08072585" w14:textId="53E6A721" w:rsidR="004B4648" w:rsidRPr="006D7501" w:rsidRDefault="008D11EC" w:rsidP="000D308E">
            <w:r w:rsidRPr="006D7501">
              <w:t>Projekts nesatur stingrākas prasības nekā attiecīgais ES tiesību akts.</w:t>
            </w:r>
          </w:p>
        </w:tc>
      </w:tr>
      <w:tr w:rsidR="00705BD0" w:rsidRPr="006D7501" w14:paraId="693930D9"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1BABB7AA" w14:textId="5890389A" w:rsidR="00705BD0" w:rsidRPr="006D7501" w:rsidRDefault="007B63FC" w:rsidP="000D308E">
            <w:r w:rsidRPr="006D7501">
              <w:t xml:space="preserve">1.panta ietvertā </w:t>
            </w:r>
            <w:r w:rsidR="00705BD0" w:rsidRPr="006D7501">
              <w:t>4. panta 4. punkts</w:t>
            </w:r>
            <w:r w:rsidR="0044034F" w:rsidRPr="006D7501">
              <w:t xml:space="preserve"> otrā daļa</w:t>
            </w:r>
          </w:p>
        </w:tc>
        <w:tc>
          <w:tcPr>
            <w:tcW w:w="983" w:type="pct"/>
            <w:tcBorders>
              <w:top w:val="single" w:sz="6" w:space="0" w:color="414142"/>
              <w:left w:val="single" w:sz="6" w:space="0" w:color="414142"/>
              <w:bottom w:val="single" w:sz="6" w:space="0" w:color="414142"/>
              <w:right w:val="single" w:sz="6" w:space="0" w:color="414142"/>
            </w:tcBorders>
          </w:tcPr>
          <w:p w14:paraId="25B1C502" w14:textId="6270282E" w:rsidR="00705BD0" w:rsidRPr="006D7501" w:rsidRDefault="0044034F" w:rsidP="0044034F">
            <w:r w:rsidRPr="006D7501">
              <w:t>Projekta 11.punkts, 12</w:t>
            </w:r>
            <w:r w:rsidR="00EC02DC" w:rsidRPr="006D7501">
              <w:t>.punkts, 1</w:t>
            </w:r>
            <w:r w:rsidRPr="006D7501">
              <w:t>3.punkts, 14.punkts, 15.punkts, 16.punkts, 23.punkts, 24</w:t>
            </w:r>
            <w:r w:rsidR="00EC02DC" w:rsidRPr="006D7501">
              <w:t>.punkts</w:t>
            </w:r>
          </w:p>
        </w:tc>
        <w:tc>
          <w:tcPr>
            <w:tcW w:w="1250" w:type="pct"/>
            <w:tcBorders>
              <w:top w:val="single" w:sz="6" w:space="0" w:color="414142"/>
              <w:left w:val="single" w:sz="6" w:space="0" w:color="414142"/>
              <w:bottom w:val="single" w:sz="6" w:space="0" w:color="414142"/>
              <w:right w:val="single" w:sz="6" w:space="0" w:color="414142"/>
            </w:tcBorders>
          </w:tcPr>
          <w:p w14:paraId="2FDFB14F" w14:textId="5657E9B5" w:rsidR="00705BD0" w:rsidRPr="006D7501" w:rsidRDefault="009B4A70" w:rsidP="000D308E">
            <w:r w:rsidRPr="006D7501">
              <w:t>Atbilst</w:t>
            </w:r>
          </w:p>
        </w:tc>
        <w:tc>
          <w:tcPr>
            <w:tcW w:w="1678" w:type="pct"/>
            <w:tcBorders>
              <w:top w:val="single" w:sz="6" w:space="0" w:color="414142"/>
              <w:left w:val="single" w:sz="6" w:space="0" w:color="414142"/>
              <w:bottom w:val="single" w:sz="6" w:space="0" w:color="414142"/>
              <w:right w:val="single" w:sz="6" w:space="0" w:color="414142"/>
            </w:tcBorders>
          </w:tcPr>
          <w:p w14:paraId="33A20226" w14:textId="5A1672C8" w:rsidR="00705BD0" w:rsidRPr="006D7501" w:rsidRDefault="008D11EC" w:rsidP="000D308E">
            <w:r w:rsidRPr="006D7501">
              <w:t>Projekts nesatur stingrākas prasības nekā attiecīgais ES tiesību akts.</w:t>
            </w:r>
          </w:p>
        </w:tc>
      </w:tr>
      <w:tr w:rsidR="0048532A" w:rsidRPr="006D7501" w14:paraId="6863D54C"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4856A962" w14:textId="77777777" w:rsidR="0048532A" w:rsidRPr="006D7501" w:rsidRDefault="0048532A" w:rsidP="000D308E">
            <w:r w:rsidRPr="006D7501">
              <w:t>Kā ir izmantota ES tiesību aktā paredzētā rīcības brīvība dalībvalstij pārņemt vai ieviest noteiktas ES tiesību akta normas?</w:t>
            </w:r>
            <w:r w:rsidRPr="006D7501">
              <w:br/>
              <w:t>Kādēļ?</w:t>
            </w:r>
          </w:p>
        </w:tc>
        <w:tc>
          <w:tcPr>
            <w:tcW w:w="3911" w:type="pct"/>
            <w:gridSpan w:val="3"/>
            <w:tcBorders>
              <w:top w:val="single" w:sz="6" w:space="0" w:color="414142"/>
              <w:left w:val="single" w:sz="6" w:space="0" w:color="414142"/>
              <w:bottom w:val="single" w:sz="6" w:space="0" w:color="414142"/>
              <w:right w:val="single" w:sz="6" w:space="0" w:color="414142"/>
            </w:tcBorders>
          </w:tcPr>
          <w:p w14:paraId="3FACEF44" w14:textId="77777777" w:rsidR="0048532A" w:rsidRPr="006D7501" w:rsidRDefault="0048532A" w:rsidP="000D308E">
            <w:pPr>
              <w:jc w:val="both"/>
            </w:pPr>
            <w:r w:rsidRPr="006D7501">
              <w:t xml:space="preserve"> Projekts šo jomu neskar.</w:t>
            </w:r>
          </w:p>
        </w:tc>
      </w:tr>
      <w:tr w:rsidR="0048532A" w:rsidRPr="006D7501" w14:paraId="17FBB103"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58FABD65" w14:textId="77777777" w:rsidR="0048532A" w:rsidRPr="006D7501" w:rsidRDefault="0048532A" w:rsidP="000D308E">
            <w:r w:rsidRPr="006D750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1" w:type="pct"/>
            <w:gridSpan w:val="3"/>
            <w:tcBorders>
              <w:top w:val="single" w:sz="6" w:space="0" w:color="414142"/>
              <w:left w:val="single" w:sz="6" w:space="0" w:color="414142"/>
              <w:bottom w:val="single" w:sz="6" w:space="0" w:color="414142"/>
              <w:right w:val="single" w:sz="6" w:space="0" w:color="414142"/>
            </w:tcBorders>
          </w:tcPr>
          <w:p w14:paraId="26409E0A" w14:textId="77777777" w:rsidR="0048532A" w:rsidRPr="006D7501" w:rsidRDefault="0048532A" w:rsidP="000D308E">
            <w:r w:rsidRPr="006D7501">
              <w:t>Projekts šo jomu neskar.</w:t>
            </w:r>
          </w:p>
        </w:tc>
      </w:tr>
      <w:tr w:rsidR="0048532A" w:rsidRPr="006D7501" w14:paraId="7BE109D3" w14:textId="77777777" w:rsidTr="007843CB">
        <w:trPr>
          <w:jc w:val="center"/>
        </w:trPr>
        <w:tc>
          <w:tcPr>
            <w:tcW w:w="1089" w:type="pct"/>
            <w:tcBorders>
              <w:top w:val="single" w:sz="6" w:space="0" w:color="414142"/>
              <w:left w:val="single" w:sz="6" w:space="0" w:color="414142"/>
              <w:bottom w:val="single" w:sz="6" w:space="0" w:color="414142"/>
              <w:right w:val="single" w:sz="6" w:space="0" w:color="414142"/>
            </w:tcBorders>
          </w:tcPr>
          <w:p w14:paraId="2DC28F97" w14:textId="77777777" w:rsidR="0048532A" w:rsidRPr="006D7501" w:rsidRDefault="0048532A" w:rsidP="000D308E">
            <w:r w:rsidRPr="006D7501">
              <w:t>Cita informācija</w:t>
            </w:r>
          </w:p>
        </w:tc>
        <w:tc>
          <w:tcPr>
            <w:tcW w:w="3911" w:type="pct"/>
            <w:gridSpan w:val="3"/>
            <w:tcBorders>
              <w:top w:val="single" w:sz="6" w:space="0" w:color="414142"/>
              <w:left w:val="single" w:sz="6" w:space="0" w:color="414142"/>
              <w:bottom w:val="single" w:sz="6" w:space="0" w:color="414142"/>
              <w:right w:val="single" w:sz="6" w:space="0" w:color="414142"/>
            </w:tcBorders>
          </w:tcPr>
          <w:p w14:paraId="1C0B62FB" w14:textId="77777777" w:rsidR="0048532A" w:rsidRPr="006D7501" w:rsidRDefault="0048532A" w:rsidP="000D308E">
            <w:pPr>
              <w:spacing w:after="120"/>
              <w:jc w:val="both"/>
            </w:pPr>
            <w:r w:rsidRPr="006D7501">
              <w:t>Nav</w:t>
            </w:r>
          </w:p>
        </w:tc>
      </w:tr>
    </w:tbl>
    <w:p w14:paraId="7E398876" w14:textId="77777777" w:rsidR="0048532A" w:rsidRPr="006D7501" w:rsidRDefault="0048532A" w:rsidP="005970FA">
      <w:pPr>
        <w:shd w:val="clear" w:color="auto" w:fill="FFFFFF"/>
      </w:pPr>
    </w:p>
    <w:p w14:paraId="00350EFB" w14:textId="77777777" w:rsidR="0048532A" w:rsidRPr="006D7501" w:rsidRDefault="0048532A" w:rsidP="005970FA">
      <w:pPr>
        <w:shd w:val="clear" w:color="auto" w:fill="FFFFFF"/>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1230"/>
        <w:gridCol w:w="7407"/>
      </w:tblGrid>
      <w:tr w:rsidR="00DB0AC9" w:rsidRPr="006D7501" w14:paraId="3C4827B0" w14:textId="77777777" w:rsidTr="007843CB">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E8C6D42" w14:textId="77777777" w:rsidR="00DB0AC9" w:rsidRPr="006D7501" w:rsidRDefault="00DB0AC9" w:rsidP="00BD02FB">
            <w:pPr>
              <w:jc w:val="center"/>
              <w:rPr>
                <w:b/>
                <w:bCs/>
              </w:rPr>
            </w:pPr>
            <w:r w:rsidRPr="006D7501">
              <w:rPr>
                <w:b/>
                <w:bCs/>
              </w:rPr>
              <w:t>VI. Sabiedrības līdzdalība un komunikācijas aktivitātes</w:t>
            </w:r>
          </w:p>
        </w:tc>
      </w:tr>
      <w:tr w:rsidR="00A26BC0" w:rsidRPr="006D7501" w14:paraId="77BAC894" w14:textId="77777777" w:rsidTr="007843CB">
        <w:trPr>
          <w:trHeight w:val="540"/>
          <w:jc w:val="center"/>
        </w:trPr>
        <w:tc>
          <w:tcPr>
            <w:tcW w:w="231" w:type="pct"/>
            <w:tcBorders>
              <w:top w:val="outset" w:sz="6" w:space="0" w:color="414142"/>
              <w:left w:val="outset" w:sz="6" w:space="0" w:color="414142"/>
              <w:bottom w:val="outset" w:sz="6" w:space="0" w:color="414142"/>
              <w:right w:val="outset" w:sz="6" w:space="0" w:color="414142"/>
            </w:tcBorders>
            <w:hideMark/>
          </w:tcPr>
          <w:p w14:paraId="37276150" w14:textId="77777777" w:rsidR="00A26BC0" w:rsidRPr="006D7501" w:rsidRDefault="00A26BC0" w:rsidP="00BD02FB">
            <w:r w:rsidRPr="006D7501">
              <w:t>1.</w:t>
            </w:r>
          </w:p>
        </w:tc>
        <w:tc>
          <w:tcPr>
            <w:tcW w:w="679" w:type="pct"/>
            <w:tcBorders>
              <w:top w:val="outset" w:sz="6" w:space="0" w:color="414142"/>
              <w:left w:val="outset" w:sz="6" w:space="0" w:color="414142"/>
              <w:bottom w:val="outset" w:sz="6" w:space="0" w:color="414142"/>
              <w:right w:val="outset" w:sz="6" w:space="0" w:color="414142"/>
            </w:tcBorders>
            <w:hideMark/>
          </w:tcPr>
          <w:p w14:paraId="7CCD05F6" w14:textId="77777777" w:rsidR="00A26BC0" w:rsidRPr="006D7501" w:rsidRDefault="00A26BC0" w:rsidP="00BD02FB">
            <w:r w:rsidRPr="006D7501">
              <w:t>Plānotās sabiedrības līdzdalības un komunikācijas aktivitātes saistībā ar projektu</w:t>
            </w:r>
          </w:p>
        </w:tc>
        <w:tc>
          <w:tcPr>
            <w:tcW w:w="4090" w:type="pct"/>
            <w:tcBorders>
              <w:top w:val="outset" w:sz="6" w:space="0" w:color="414142"/>
              <w:left w:val="outset" w:sz="6" w:space="0" w:color="414142"/>
              <w:bottom w:val="outset" w:sz="6" w:space="0" w:color="414142"/>
              <w:right w:val="outset" w:sz="6" w:space="0" w:color="414142"/>
            </w:tcBorders>
            <w:hideMark/>
          </w:tcPr>
          <w:p w14:paraId="42E69DBE" w14:textId="5CE33461" w:rsidR="00B835BD" w:rsidRPr="006D7501" w:rsidRDefault="00B835BD" w:rsidP="00B835BD">
            <w:pPr>
              <w:spacing w:after="120"/>
              <w:jc w:val="both"/>
              <w:rPr>
                <w:b/>
              </w:rPr>
            </w:pPr>
            <w:r w:rsidRPr="006D7501">
              <w:rPr>
                <w:rFonts w:eastAsia="Calibri"/>
                <w:lang w:eastAsia="en-US"/>
              </w:rPr>
              <w:t>Sabiedrības līdzdalība tika nodrošināta saskaņā ar Ministru kabineta 2009.gada 25.augusta noteikumiem Nr.970 “Sabiedrības līdzdalības kārtība attīstības plānošanas procesā”, sagatavojot un publicējot paziņojumu par līdzdalības procesu.</w:t>
            </w:r>
          </w:p>
          <w:p w14:paraId="606AAEA5" w14:textId="6998A614" w:rsidR="00B835BD" w:rsidRPr="006D7501" w:rsidRDefault="00B835BD" w:rsidP="00F71CF1">
            <w:pPr>
              <w:spacing w:after="120"/>
              <w:jc w:val="both"/>
              <w:rPr>
                <w:b/>
              </w:rPr>
            </w:pPr>
          </w:p>
        </w:tc>
      </w:tr>
      <w:tr w:rsidR="00A26BC0" w:rsidRPr="006D7501" w14:paraId="5681E0DB" w14:textId="77777777" w:rsidTr="007843CB">
        <w:trPr>
          <w:trHeight w:val="330"/>
          <w:jc w:val="center"/>
        </w:trPr>
        <w:tc>
          <w:tcPr>
            <w:tcW w:w="231" w:type="pct"/>
            <w:tcBorders>
              <w:top w:val="outset" w:sz="6" w:space="0" w:color="414142"/>
              <w:left w:val="outset" w:sz="6" w:space="0" w:color="414142"/>
              <w:bottom w:val="outset" w:sz="6" w:space="0" w:color="414142"/>
              <w:right w:val="outset" w:sz="6" w:space="0" w:color="414142"/>
            </w:tcBorders>
            <w:hideMark/>
          </w:tcPr>
          <w:p w14:paraId="53ADD165" w14:textId="77777777" w:rsidR="00A26BC0" w:rsidRPr="006D7501" w:rsidRDefault="00A26BC0" w:rsidP="00BD02FB">
            <w:r w:rsidRPr="006D7501">
              <w:t>2.</w:t>
            </w:r>
          </w:p>
        </w:tc>
        <w:tc>
          <w:tcPr>
            <w:tcW w:w="679" w:type="pct"/>
            <w:tcBorders>
              <w:top w:val="outset" w:sz="6" w:space="0" w:color="414142"/>
              <w:left w:val="outset" w:sz="6" w:space="0" w:color="414142"/>
              <w:bottom w:val="outset" w:sz="6" w:space="0" w:color="414142"/>
              <w:right w:val="outset" w:sz="6" w:space="0" w:color="414142"/>
            </w:tcBorders>
            <w:hideMark/>
          </w:tcPr>
          <w:p w14:paraId="4E4704CE" w14:textId="77777777" w:rsidR="00A26BC0" w:rsidRPr="006D7501" w:rsidRDefault="00A26BC0" w:rsidP="00BD02FB">
            <w:r w:rsidRPr="006D7501">
              <w:t>Sabiedrības līdzdalība projekta izstrādē</w:t>
            </w:r>
          </w:p>
        </w:tc>
        <w:tc>
          <w:tcPr>
            <w:tcW w:w="4090" w:type="pct"/>
            <w:tcBorders>
              <w:top w:val="outset" w:sz="6" w:space="0" w:color="414142"/>
              <w:left w:val="outset" w:sz="6" w:space="0" w:color="414142"/>
              <w:bottom w:val="outset" w:sz="6" w:space="0" w:color="414142"/>
              <w:right w:val="outset" w:sz="6" w:space="0" w:color="414142"/>
            </w:tcBorders>
            <w:hideMark/>
          </w:tcPr>
          <w:p w14:paraId="052CADD7" w14:textId="4B09DBAE" w:rsidR="00B835BD" w:rsidRPr="006D7501" w:rsidRDefault="00B835BD" w:rsidP="00B835BD">
            <w:pPr>
              <w:spacing w:after="120"/>
              <w:jc w:val="both"/>
            </w:pPr>
            <w:r w:rsidRPr="006D7501">
              <w:t>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Ministru kabineta noteikumu projekts 2018.gada 26.jūlijā  ievietots Iekšlietu ministrijas mājas lapā sadaļā „Sabiedrības līdzdalība” apakšsadaļā ,,Diskusiju dokumenti”, tīmekļvietnes adrese: http://www.iem.gov.lv/lat/sadarbiba_ar_nvo/diskusiju_dokumenti/?doc=40776</w:t>
            </w:r>
          </w:p>
          <w:p w14:paraId="15902902" w14:textId="59968D27" w:rsidR="00A26BC0" w:rsidRPr="006D7501" w:rsidRDefault="00B835BD" w:rsidP="00433A4E">
            <w:pPr>
              <w:spacing w:after="120"/>
              <w:jc w:val="both"/>
            </w:pPr>
            <w:r w:rsidRPr="006D7501">
              <w:t>Iekšlietu ministrija, izpildot Ministru kabineta 2009.gada 25.augusta noteikumu Nr.970 ,,Sabiedrības līdzdalības kārtība attīstības plānošanas procesā" 14.punktu, projektu  2018.gada 26.jūlijā nosūtīja Valsts kancelejai.</w:t>
            </w:r>
          </w:p>
        </w:tc>
      </w:tr>
      <w:tr w:rsidR="00A26BC0" w:rsidRPr="006D7501" w14:paraId="23A78EC0" w14:textId="77777777" w:rsidTr="007843CB">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14:paraId="4F9C1510" w14:textId="77777777" w:rsidR="00A26BC0" w:rsidRPr="006D7501" w:rsidRDefault="00A26BC0" w:rsidP="00BD02FB">
            <w:r w:rsidRPr="006D7501">
              <w:t>3.</w:t>
            </w:r>
          </w:p>
        </w:tc>
        <w:tc>
          <w:tcPr>
            <w:tcW w:w="679" w:type="pct"/>
            <w:tcBorders>
              <w:top w:val="outset" w:sz="6" w:space="0" w:color="414142"/>
              <w:left w:val="outset" w:sz="6" w:space="0" w:color="414142"/>
              <w:bottom w:val="outset" w:sz="6" w:space="0" w:color="414142"/>
              <w:right w:val="outset" w:sz="6" w:space="0" w:color="414142"/>
            </w:tcBorders>
            <w:hideMark/>
          </w:tcPr>
          <w:p w14:paraId="31E0E90B" w14:textId="77777777" w:rsidR="00A26BC0" w:rsidRPr="006D7501" w:rsidRDefault="00A26BC0" w:rsidP="00BD02FB">
            <w:r w:rsidRPr="006D7501">
              <w:t>Sabiedrības līdzdalības rezultāti</w:t>
            </w:r>
          </w:p>
        </w:tc>
        <w:tc>
          <w:tcPr>
            <w:tcW w:w="4090" w:type="pct"/>
            <w:tcBorders>
              <w:top w:val="outset" w:sz="6" w:space="0" w:color="414142"/>
              <w:left w:val="outset" w:sz="6" w:space="0" w:color="414142"/>
              <w:bottom w:val="outset" w:sz="6" w:space="0" w:color="414142"/>
              <w:right w:val="outset" w:sz="6" w:space="0" w:color="414142"/>
            </w:tcBorders>
            <w:hideMark/>
          </w:tcPr>
          <w:p w14:paraId="1C5929DC" w14:textId="36301059" w:rsidR="00A26BC0" w:rsidRPr="006D7501" w:rsidRDefault="00A26BC0">
            <w:pPr>
              <w:spacing w:after="120"/>
            </w:pPr>
            <w:r w:rsidRPr="006D7501">
              <w:t xml:space="preserve">Par </w:t>
            </w:r>
            <w:r w:rsidR="00F71CF1" w:rsidRPr="006D7501">
              <w:t>Ministru kabineta noteikumu projektu</w:t>
            </w:r>
            <w:r w:rsidRPr="006D7501">
              <w:t xml:space="preserve"> </w:t>
            </w:r>
            <w:r w:rsidR="009D78D5" w:rsidRPr="006D7501">
              <w:t>komentāri</w:t>
            </w:r>
            <w:r w:rsidRPr="006D7501">
              <w:t xml:space="preserve"> </w:t>
            </w:r>
            <w:r w:rsidR="00117568" w:rsidRPr="006D7501">
              <w:t>nav</w:t>
            </w:r>
            <w:r w:rsidR="0075667D" w:rsidRPr="006D7501">
              <w:rPr>
                <w:i/>
              </w:rPr>
              <w:t xml:space="preserve"> </w:t>
            </w:r>
            <w:r w:rsidRPr="006D7501">
              <w:t>saņemti.</w:t>
            </w:r>
            <w:r w:rsidR="00C23E69" w:rsidRPr="006D7501">
              <w:t xml:space="preserve"> </w:t>
            </w:r>
          </w:p>
        </w:tc>
      </w:tr>
      <w:tr w:rsidR="00A26BC0" w:rsidRPr="006D7501" w14:paraId="652A99B9" w14:textId="77777777" w:rsidTr="007843CB">
        <w:trPr>
          <w:trHeight w:val="465"/>
          <w:jc w:val="center"/>
        </w:trPr>
        <w:tc>
          <w:tcPr>
            <w:tcW w:w="231" w:type="pct"/>
            <w:tcBorders>
              <w:top w:val="outset" w:sz="6" w:space="0" w:color="414142"/>
              <w:left w:val="outset" w:sz="6" w:space="0" w:color="414142"/>
              <w:bottom w:val="outset" w:sz="6" w:space="0" w:color="414142"/>
              <w:right w:val="outset" w:sz="6" w:space="0" w:color="414142"/>
            </w:tcBorders>
            <w:hideMark/>
          </w:tcPr>
          <w:p w14:paraId="6E1C2D92" w14:textId="77777777" w:rsidR="00A26BC0" w:rsidRPr="006D7501" w:rsidRDefault="00A26BC0" w:rsidP="00BD02FB">
            <w:r w:rsidRPr="006D7501">
              <w:t>4.</w:t>
            </w:r>
          </w:p>
        </w:tc>
        <w:tc>
          <w:tcPr>
            <w:tcW w:w="679" w:type="pct"/>
            <w:tcBorders>
              <w:top w:val="outset" w:sz="6" w:space="0" w:color="414142"/>
              <w:left w:val="outset" w:sz="6" w:space="0" w:color="414142"/>
              <w:bottom w:val="outset" w:sz="6" w:space="0" w:color="414142"/>
              <w:right w:val="outset" w:sz="6" w:space="0" w:color="414142"/>
            </w:tcBorders>
            <w:hideMark/>
          </w:tcPr>
          <w:p w14:paraId="4A0D215D" w14:textId="77777777" w:rsidR="00A26BC0" w:rsidRPr="006D7501" w:rsidRDefault="00A26BC0" w:rsidP="00BD02FB">
            <w:r w:rsidRPr="006D7501">
              <w:t>Cita informācija</w:t>
            </w:r>
          </w:p>
        </w:tc>
        <w:tc>
          <w:tcPr>
            <w:tcW w:w="4090" w:type="pct"/>
            <w:tcBorders>
              <w:top w:val="outset" w:sz="6" w:space="0" w:color="414142"/>
              <w:left w:val="outset" w:sz="6" w:space="0" w:color="414142"/>
              <w:bottom w:val="outset" w:sz="6" w:space="0" w:color="414142"/>
              <w:right w:val="outset" w:sz="6" w:space="0" w:color="414142"/>
            </w:tcBorders>
            <w:hideMark/>
          </w:tcPr>
          <w:p w14:paraId="74C5D934" w14:textId="77777777" w:rsidR="00A26BC0" w:rsidRPr="006D7501" w:rsidRDefault="00A26BC0" w:rsidP="00BD02FB">
            <w:pPr>
              <w:spacing w:after="120"/>
            </w:pPr>
            <w:r w:rsidRPr="006D7501">
              <w:t>Nav</w:t>
            </w:r>
          </w:p>
        </w:tc>
      </w:tr>
    </w:tbl>
    <w:p w14:paraId="2E583589" w14:textId="77777777" w:rsidR="00DB0AC9" w:rsidRPr="006D7501" w:rsidRDefault="00DB0AC9" w:rsidP="00DB0AC9">
      <w:pPr>
        <w:shd w:val="clear" w:color="auto" w:fill="FFFFFF"/>
        <w:ind w:firstLine="300"/>
      </w:pPr>
      <w:r w:rsidRPr="006D7501">
        <w:rPr>
          <w:rFonts w:ascii="Arial" w:hAnsi="Arial" w:cs="Arial"/>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139"/>
        <w:gridCol w:w="6418"/>
      </w:tblGrid>
      <w:tr w:rsidR="00DB0AC9" w:rsidRPr="006D7501" w14:paraId="75134E9D" w14:textId="77777777" w:rsidTr="007843CB">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0A8EC2" w14:textId="77777777" w:rsidR="00DB0AC9" w:rsidRPr="006D7501" w:rsidRDefault="00DB0AC9" w:rsidP="00BD02FB">
            <w:pPr>
              <w:jc w:val="center"/>
              <w:rPr>
                <w:b/>
                <w:bCs/>
              </w:rPr>
            </w:pPr>
            <w:r w:rsidRPr="006D7501">
              <w:rPr>
                <w:b/>
                <w:bCs/>
              </w:rPr>
              <w:t>VII. Tiesību akta projekta izpildes nodrošināšana un tās ietekme uz institūcijām</w:t>
            </w:r>
          </w:p>
        </w:tc>
      </w:tr>
      <w:tr w:rsidR="005E5398" w:rsidRPr="006D7501" w14:paraId="3BCBD8AF" w14:textId="77777777" w:rsidTr="007843CB">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00BBC856" w14:textId="77777777" w:rsidR="005E5398" w:rsidRPr="006D7501" w:rsidRDefault="005E5398" w:rsidP="00BD02FB">
            <w:r w:rsidRPr="006D7501">
              <w:t>1.</w:t>
            </w:r>
          </w:p>
        </w:tc>
        <w:tc>
          <w:tcPr>
            <w:tcW w:w="1181" w:type="pct"/>
            <w:tcBorders>
              <w:top w:val="outset" w:sz="6" w:space="0" w:color="414142"/>
              <w:left w:val="outset" w:sz="6" w:space="0" w:color="414142"/>
              <w:bottom w:val="outset" w:sz="6" w:space="0" w:color="414142"/>
              <w:right w:val="outset" w:sz="6" w:space="0" w:color="414142"/>
            </w:tcBorders>
            <w:hideMark/>
          </w:tcPr>
          <w:p w14:paraId="3F0142EA" w14:textId="77777777" w:rsidR="005E5398" w:rsidRPr="006D7501" w:rsidRDefault="005E5398" w:rsidP="00BD02FB">
            <w:r w:rsidRPr="006D7501">
              <w:t>Projekta izpildē iesaistītās institūcijas</w:t>
            </w:r>
          </w:p>
        </w:tc>
        <w:tc>
          <w:tcPr>
            <w:tcW w:w="3544" w:type="pct"/>
            <w:tcBorders>
              <w:top w:val="outset" w:sz="6" w:space="0" w:color="414142"/>
              <w:left w:val="outset" w:sz="6" w:space="0" w:color="414142"/>
              <w:bottom w:val="outset" w:sz="6" w:space="0" w:color="414142"/>
              <w:right w:val="outset" w:sz="6" w:space="0" w:color="414142"/>
            </w:tcBorders>
            <w:hideMark/>
          </w:tcPr>
          <w:p w14:paraId="2E70E347" w14:textId="77777777" w:rsidR="005E5398" w:rsidRPr="006D7501" w:rsidRDefault="003E000A" w:rsidP="003E000A">
            <w:pPr>
              <w:spacing w:after="120"/>
              <w:jc w:val="both"/>
            </w:pPr>
            <w:r w:rsidRPr="006D7501">
              <w:t xml:space="preserve">Iekšlietu </w:t>
            </w:r>
            <w:r w:rsidR="00C23E69" w:rsidRPr="006D7501">
              <w:t>ministrijas Informācijas centrs, Valsts policija.</w:t>
            </w:r>
          </w:p>
        </w:tc>
      </w:tr>
      <w:tr w:rsidR="005E5398" w:rsidRPr="006D7501" w14:paraId="146F9288" w14:textId="77777777" w:rsidTr="007843CB">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16448CC4" w14:textId="77777777" w:rsidR="005E5398" w:rsidRPr="006D7501" w:rsidRDefault="005E5398" w:rsidP="00BD02FB">
            <w:r w:rsidRPr="006D7501">
              <w:t>2.</w:t>
            </w:r>
          </w:p>
        </w:tc>
        <w:tc>
          <w:tcPr>
            <w:tcW w:w="1181" w:type="pct"/>
            <w:tcBorders>
              <w:top w:val="outset" w:sz="6" w:space="0" w:color="414142"/>
              <w:left w:val="outset" w:sz="6" w:space="0" w:color="414142"/>
              <w:bottom w:val="outset" w:sz="6" w:space="0" w:color="414142"/>
              <w:right w:val="outset" w:sz="6" w:space="0" w:color="414142"/>
            </w:tcBorders>
            <w:hideMark/>
          </w:tcPr>
          <w:p w14:paraId="5ED8F0DA" w14:textId="77777777" w:rsidR="005E5398" w:rsidRPr="006D7501" w:rsidRDefault="005E5398" w:rsidP="00BD02FB">
            <w:r w:rsidRPr="006D7501">
              <w:t>Projekta izpildes ietekme uz pārvaldes funkcijām un institucionālo struktūru.</w:t>
            </w:r>
          </w:p>
          <w:p w14:paraId="439CB722" w14:textId="77777777" w:rsidR="005E5398" w:rsidRPr="006D7501" w:rsidRDefault="005E5398" w:rsidP="00BD02FB">
            <w:r w:rsidRPr="006D7501">
              <w:t>Jaunu institūciju izveide, esošu institūciju likvidācija vai reorganizācija, to ietekme uz institūcijas cilvēkresursiem</w:t>
            </w:r>
          </w:p>
        </w:tc>
        <w:tc>
          <w:tcPr>
            <w:tcW w:w="3544" w:type="pct"/>
            <w:tcBorders>
              <w:top w:val="outset" w:sz="6" w:space="0" w:color="414142"/>
              <w:left w:val="outset" w:sz="6" w:space="0" w:color="414142"/>
              <w:bottom w:val="outset" w:sz="6" w:space="0" w:color="414142"/>
              <w:right w:val="outset" w:sz="6" w:space="0" w:color="414142"/>
            </w:tcBorders>
            <w:hideMark/>
          </w:tcPr>
          <w:p w14:paraId="6E2A6851" w14:textId="77777777" w:rsidR="0084754B" w:rsidRPr="006D7501" w:rsidRDefault="005E5398" w:rsidP="00C432E1">
            <w:pPr>
              <w:spacing w:after="120"/>
              <w:jc w:val="both"/>
            </w:pPr>
            <w:r w:rsidRPr="006D7501">
              <w:t xml:space="preserve">Projekta izpildes rezultātā nav paredzēta esošu institūciju likvidācija vai reorganizācija. </w:t>
            </w:r>
          </w:p>
          <w:p w14:paraId="6BF0EAE0" w14:textId="77777777" w:rsidR="005E5398" w:rsidRPr="006D7501" w:rsidRDefault="00C23E69" w:rsidP="00C432E1">
            <w:pPr>
              <w:spacing w:after="120"/>
              <w:jc w:val="both"/>
            </w:pPr>
            <w:r w:rsidRPr="006D7501">
              <w:t>Iestāžu institucionālā struktūra netiek ietekmēta, papildus cilvēkresursi nav nepieciešami.</w:t>
            </w:r>
          </w:p>
        </w:tc>
      </w:tr>
      <w:tr w:rsidR="005E5398" w:rsidRPr="006D7501" w14:paraId="76CCDF8F" w14:textId="77777777" w:rsidTr="007843CB">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17552853" w14:textId="77777777" w:rsidR="005E5398" w:rsidRPr="006D7501" w:rsidRDefault="005E5398" w:rsidP="00BD02FB">
            <w:r w:rsidRPr="006D7501">
              <w:t>3.</w:t>
            </w:r>
          </w:p>
        </w:tc>
        <w:tc>
          <w:tcPr>
            <w:tcW w:w="1181" w:type="pct"/>
            <w:tcBorders>
              <w:top w:val="outset" w:sz="6" w:space="0" w:color="414142"/>
              <w:left w:val="outset" w:sz="6" w:space="0" w:color="414142"/>
              <w:bottom w:val="outset" w:sz="6" w:space="0" w:color="414142"/>
              <w:right w:val="outset" w:sz="6" w:space="0" w:color="414142"/>
            </w:tcBorders>
            <w:hideMark/>
          </w:tcPr>
          <w:p w14:paraId="38F8C57B" w14:textId="77777777" w:rsidR="005E5398" w:rsidRPr="006D7501" w:rsidRDefault="005E5398" w:rsidP="00BD02FB">
            <w:r w:rsidRPr="006D7501">
              <w:t>Cita informācija</w:t>
            </w:r>
          </w:p>
        </w:tc>
        <w:tc>
          <w:tcPr>
            <w:tcW w:w="3544" w:type="pct"/>
            <w:tcBorders>
              <w:top w:val="outset" w:sz="6" w:space="0" w:color="414142"/>
              <w:left w:val="outset" w:sz="6" w:space="0" w:color="414142"/>
              <w:bottom w:val="outset" w:sz="6" w:space="0" w:color="414142"/>
              <w:right w:val="outset" w:sz="6" w:space="0" w:color="414142"/>
            </w:tcBorders>
            <w:hideMark/>
          </w:tcPr>
          <w:p w14:paraId="3ABCC48B" w14:textId="77777777" w:rsidR="005E5398" w:rsidRPr="006D7501" w:rsidRDefault="005E5398" w:rsidP="00BD02FB">
            <w:pPr>
              <w:spacing w:after="120"/>
            </w:pPr>
            <w:r w:rsidRPr="006D7501">
              <w:t>Nav</w:t>
            </w:r>
          </w:p>
        </w:tc>
      </w:tr>
    </w:tbl>
    <w:p w14:paraId="2CA973B3" w14:textId="77777777" w:rsidR="005E5398" w:rsidRPr="00E73568" w:rsidRDefault="005E5398" w:rsidP="005E5398">
      <w:pPr>
        <w:tabs>
          <w:tab w:val="left" w:pos="6237"/>
        </w:tabs>
        <w:spacing w:after="120"/>
        <w:rPr>
          <w:sz w:val="22"/>
        </w:rPr>
      </w:pPr>
    </w:p>
    <w:p w14:paraId="7BC87284" w14:textId="77777777" w:rsidR="002C1B6D" w:rsidRPr="006D7501" w:rsidRDefault="002C1B6D" w:rsidP="005E5398">
      <w:pPr>
        <w:tabs>
          <w:tab w:val="left" w:pos="6237"/>
        </w:tabs>
        <w:spacing w:after="120"/>
      </w:pPr>
    </w:p>
    <w:p w14:paraId="53DE1FA6" w14:textId="38455365" w:rsidR="005E5398" w:rsidRPr="006D7501" w:rsidRDefault="005E5398" w:rsidP="005E5398">
      <w:pPr>
        <w:tabs>
          <w:tab w:val="left" w:pos="6237"/>
        </w:tabs>
        <w:spacing w:after="120"/>
      </w:pPr>
      <w:r w:rsidRPr="006D7501">
        <w:t>Iekšlietu ministrs</w:t>
      </w:r>
      <w:r w:rsidRPr="006D7501">
        <w:tab/>
      </w:r>
      <w:r w:rsidR="00C148B3" w:rsidRPr="006D7501">
        <w:t xml:space="preserve">Sandis </w:t>
      </w:r>
      <w:proofErr w:type="spellStart"/>
      <w:r w:rsidR="00C148B3" w:rsidRPr="006D7501">
        <w:t>Ģirģens</w:t>
      </w:r>
      <w:proofErr w:type="spellEnd"/>
    </w:p>
    <w:p w14:paraId="0B70FA26" w14:textId="77777777" w:rsidR="005E5398" w:rsidRPr="006D7501" w:rsidRDefault="005E5398" w:rsidP="005E5398">
      <w:pPr>
        <w:spacing w:after="120"/>
        <w:ind w:firstLine="720"/>
      </w:pPr>
    </w:p>
    <w:p w14:paraId="08394B4A" w14:textId="77777777" w:rsidR="005E5398" w:rsidRPr="006D7501" w:rsidRDefault="005E5398" w:rsidP="005E5398">
      <w:pPr>
        <w:spacing w:after="120"/>
      </w:pPr>
      <w:r w:rsidRPr="006D7501">
        <w:t>Vīza:</w:t>
      </w:r>
    </w:p>
    <w:p w14:paraId="57499ADB" w14:textId="6294A1C2" w:rsidR="00355B27" w:rsidRPr="006D7501" w:rsidRDefault="005E5398" w:rsidP="00E5515A">
      <w:pPr>
        <w:tabs>
          <w:tab w:val="left" w:pos="6237"/>
        </w:tabs>
        <w:spacing w:after="120"/>
      </w:pPr>
      <w:r w:rsidRPr="006D7501">
        <w:t>valsts sekretārs</w:t>
      </w:r>
      <w:r w:rsidRPr="006D7501">
        <w:tab/>
        <w:t>Dimitrijs Trofimovs</w:t>
      </w:r>
    </w:p>
    <w:p w14:paraId="29549053" w14:textId="029FE750" w:rsidR="00E5515A" w:rsidRDefault="00E5515A" w:rsidP="00E4481F">
      <w:pPr>
        <w:tabs>
          <w:tab w:val="left" w:pos="6237"/>
        </w:tabs>
        <w:rPr>
          <w:sz w:val="20"/>
          <w:szCs w:val="20"/>
        </w:rPr>
      </w:pPr>
    </w:p>
    <w:p w14:paraId="5EC80DD8" w14:textId="77777777" w:rsidR="007843CB" w:rsidRDefault="007843CB" w:rsidP="00E4481F">
      <w:pPr>
        <w:tabs>
          <w:tab w:val="left" w:pos="6237"/>
        </w:tabs>
        <w:rPr>
          <w:sz w:val="20"/>
          <w:szCs w:val="20"/>
        </w:rPr>
      </w:pPr>
    </w:p>
    <w:p w14:paraId="3BC7F129" w14:textId="77777777" w:rsidR="007843CB" w:rsidRDefault="007843CB" w:rsidP="00E4481F">
      <w:pPr>
        <w:tabs>
          <w:tab w:val="left" w:pos="6237"/>
        </w:tabs>
        <w:rPr>
          <w:sz w:val="20"/>
          <w:szCs w:val="20"/>
        </w:rPr>
      </w:pPr>
    </w:p>
    <w:p w14:paraId="007B75A2" w14:textId="77777777" w:rsidR="007843CB" w:rsidRDefault="007843CB" w:rsidP="00E4481F">
      <w:pPr>
        <w:tabs>
          <w:tab w:val="left" w:pos="6237"/>
        </w:tabs>
        <w:rPr>
          <w:sz w:val="20"/>
          <w:szCs w:val="20"/>
        </w:rPr>
      </w:pPr>
    </w:p>
    <w:p w14:paraId="1B5C831F" w14:textId="77777777" w:rsidR="007843CB" w:rsidRDefault="007843CB" w:rsidP="00E4481F">
      <w:pPr>
        <w:tabs>
          <w:tab w:val="left" w:pos="6237"/>
        </w:tabs>
        <w:rPr>
          <w:sz w:val="20"/>
          <w:szCs w:val="20"/>
        </w:rPr>
      </w:pPr>
    </w:p>
    <w:p w14:paraId="471F09BD" w14:textId="77777777" w:rsidR="007843CB" w:rsidRDefault="007843CB" w:rsidP="00E4481F">
      <w:pPr>
        <w:tabs>
          <w:tab w:val="left" w:pos="6237"/>
        </w:tabs>
        <w:rPr>
          <w:sz w:val="20"/>
          <w:szCs w:val="20"/>
        </w:rPr>
      </w:pPr>
    </w:p>
    <w:p w14:paraId="0CC575F6" w14:textId="77777777" w:rsidR="007843CB" w:rsidRDefault="007843CB" w:rsidP="00E4481F">
      <w:pPr>
        <w:tabs>
          <w:tab w:val="left" w:pos="6237"/>
        </w:tabs>
        <w:rPr>
          <w:sz w:val="20"/>
          <w:szCs w:val="20"/>
        </w:rPr>
      </w:pPr>
    </w:p>
    <w:p w14:paraId="0E4B1585" w14:textId="77777777" w:rsidR="007843CB" w:rsidRDefault="007843CB" w:rsidP="00E4481F">
      <w:pPr>
        <w:tabs>
          <w:tab w:val="left" w:pos="6237"/>
        </w:tabs>
        <w:rPr>
          <w:sz w:val="20"/>
          <w:szCs w:val="20"/>
        </w:rPr>
      </w:pPr>
    </w:p>
    <w:p w14:paraId="718536CD" w14:textId="77777777" w:rsidR="007843CB" w:rsidRDefault="007843CB" w:rsidP="00E4481F">
      <w:pPr>
        <w:tabs>
          <w:tab w:val="left" w:pos="6237"/>
        </w:tabs>
        <w:rPr>
          <w:sz w:val="20"/>
          <w:szCs w:val="20"/>
        </w:rPr>
      </w:pPr>
    </w:p>
    <w:p w14:paraId="1E944C1D" w14:textId="77777777" w:rsidR="007843CB" w:rsidRDefault="007843CB" w:rsidP="00E4481F">
      <w:pPr>
        <w:tabs>
          <w:tab w:val="left" w:pos="6237"/>
        </w:tabs>
        <w:rPr>
          <w:sz w:val="20"/>
          <w:szCs w:val="20"/>
        </w:rPr>
      </w:pPr>
    </w:p>
    <w:p w14:paraId="3A38AEE8" w14:textId="77777777" w:rsidR="007843CB" w:rsidRDefault="007843CB" w:rsidP="00E4481F">
      <w:pPr>
        <w:tabs>
          <w:tab w:val="left" w:pos="6237"/>
        </w:tabs>
        <w:rPr>
          <w:sz w:val="20"/>
          <w:szCs w:val="20"/>
        </w:rPr>
      </w:pPr>
    </w:p>
    <w:p w14:paraId="2B9AC0DE" w14:textId="77777777" w:rsidR="007843CB" w:rsidRDefault="007843CB" w:rsidP="00E4481F">
      <w:pPr>
        <w:tabs>
          <w:tab w:val="left" w:pos="6237"/>
        </w:tabs>
        <w:rPr>
          <w:sz w:val="20"/>
          <w:szCs w:val="20"/>
        </w:rPr>
      </w:pPr>
    </w:p>
    <w:p w14:paraId="6AE5BC2B" w14:textId="77777777" w:rsidR="007843CB" w:rsidRDefault="007843CB" w:rsidP="00E4481F">
      <w:pPr>
        <w:tabs>
          <w:tab w:val="left" w:pos="6237"/>
        </w:tabs>
        <w:rPr>
          <w:sz w:val="20"/>
          <w:szCs w:val="20"/>
        </w:rPr>
      </w:pPr>
    </w:p>
    <w:p w14:paraId="0A70AE51" w14:textId="77777777" w:rsidR="007843CB" w:rsidRDefault="007843CB" w:rsidP="00E4481F">
      <w:pPr>
        <w:tabs>
          <w:tab w:val="left" w:pos="6237"/>
        </w:tabs>
        <w:rPr>
          <w:sz w:val="20"/>
          <w:szCs w:val="20"/>
        </w:rPr>
      </w:pPr>
    </w:p>
    <w:p w14:paraId="1FDC1419" w14:textId="77777777" w:rsidR="007843CB" w:rsidRDefault="007843CB" w:rsidP="00E4481F">
      <w:pPr>
        <w:tabs>
          <w:tab w:val="left" w:pos="6237"/>
        </w:tabs>
        <w:rPr>
          <w:sz w:val="20"/>
          <w:szCs w:val="20"/>
        </w:rPr>
      </w:pPr>
    </w:p>
    <w:p w14:paraId="58FBBF2C" w14:textId="77777777" w:rsidR="007843CB" w:rsidRDefault="007843CB" w:rsidP="00E4481F">
      <w:pPr>
        <w:tabs>
          <w:tab w:val="left" w:pos="6237"/>
        </w:tabs>
        <w:rPr>
          <w:sz w:val="20"/>
          <w:szCs w:val="20"/>
        </w:rPr>
      </w:pPr>
    </w:p>
    <w:p w14:paraId="4CE1EEC0" w14:textId="77777777" w:rsidR="007843CB" w:rsidRDefault="007843CB" w:rsidP="00E4481F">
      <w:pPr>
        <w:tabs>
          <w:tab w:val="left" w:pos="6237"/>
        </w:tabs>
        <w:rPr>
          <w:sz w:val="20"/>
          <w:szCs w:val="20"/>
        </w:rPr>
      </w:pPr>
    </w:p>
    <w:p w14:paraId="12910795" w14:textId="77777777" w:rsidR="007843CB" w:rsidRDefault="007843CB" w:rsidP="00E4481F">
      <w:pPr>
        <w:tabs>
          <w:tab w:val="left" w:pos="6237"/>
        </w:tabs>
        <w:rPr>
          <w:sz w:val="20"/>
          <w:szCs w:val="20"/>
        </w:rPr>
      </w:pPr>
    </w:p>
    <w:p w14:paraId="60DC8BB6" w14:textId="77777777" w:rsidR="007843CB" w:rsidRDefault="007843CB" w:rsidP="00E4481F">
      <w:pPr>
        <w:tabs>
          <w:tab w:val="left" w:pos="6237"/>
        </w:tabs>
        <w:rPr>
          <w:sz w:val="20"/>
          <w:szCs w:val="20"/>
        </w:rPr>
      </w:pPr>
    </w:p>
    <w:p w14:paraId="07E8A1E2" w14:textId="77777777" w:rsidR="007843CB" w:rsidRPr="006D7501" w:rsidRDefault="007843CB" w:rsidP="00E4481F">
      <w:pPr>
        <w:tabs>
          <w:tab w:val="left" w:pos="6237"/>
        </w:tabs>
        <w:rPr>
          <w:sz w:val="20"/>
          <w:szCs w:val="20"/>
        </w:rPr>
      </w:pPr>
    </w:p>
    <w:p w14:paraId="634BC26D" w14:textId="77777777" w:rsidR="00E5515A" w:rsidRPr="006D7501" w:rsidRDefault="00E5515A" w:rsidP="00E5515A">
      <w:pPr>
        <w:rPr>
          <w:sz w:val="20"/>
          <w:szCs w:val="20"/>
        </w:rPr>
      </w:pPr>
      <w:proofErr w:type="spellStart"/>
      <w:r w:rsidRPr="006D7501">
        <w:rPr>
          <w:sz w:val="20"/>
          <w:szCs w:val="20"/>
        </w:rPr>
        <w:t>E.Rubins</w:t>
      </w:r>
      <w:proofErr w:type="spellEnd"/>
      <w:r w:rsidRPr="006D7501">
        <w:rPr>
          <w:sz w:val="20"/>
          <w:szCs w:val="20"/>
        </w:rPr>
        <w:t>, 67208367</w:t>
      </w:r>
    </w:p>
    <w:p w14:paraId="4B79A4C1" w14:textId="7FB20707" w:rsidR="00E5515A" w:rsidRPr="00E4481F" w:rsidRDefault="00FF22EC" w:rsidP="00E4481F">
      <w:pPr>
        <w:tabs>
          <w:tab w:val="left" w:pos="6237"/>
        </w:tabs>
        <w:rPr>
          <w:sz w:val="20"/>
          <w:szCs w:val="20"/>
        </w:rPr>
      </w:pPr>
      <w:hyperlink r:id="rId10" w:history="1">
        <w:r w:rsidR="00E5515A" w:rsidRPr="006D7501">
          <w:rPr>
            <w:rStyle w:val="Hyperlink"/>
            <w:color w:val="auto"/>
            <w:sz w:val="20"/>
            <w:szCs w:val="20"/>
          </w:rPr>
          <w:t>edgars.rubins@ic.iem.gov.lv</w:t>
        </w:r>
      </w:hyperlink>
      <w:r w:rsidR="00E5515A">
        <w:rPr>
          <w:sz w:val="20"/>
          <w:szCs w:val="20"/>
        </w:rPr>
        <w:t xml:space="preserve"> </w:t>
      </w:r>
    </w:p>
    <w:sectPr w:rsidR="00E5515A" w:rsidRPr="00E4481F" w:rsidSect="00FF22EC">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5092D" w14:textId="77777777" w:rsidR="000C7426" w:rsidRDefault="000C7426" w:rsidP="00DB0AC9">
      <w:r>
        <w:separator/>
      </w:r>
    </w:p>
  </w:endnote>
  <w:endnote w:type="continuationSeparator" w:id="0">
    <w:p w14:paraId="6FFC1B41" w14:textId="77777777" w:rsidR="000C7426" w:rsidRDefault="000C7426"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56390" w14:textId="472F1E22" w:rsidR="00EF47A7" w:rsidRPr="00E4481F" w:rsidRDefault="003F0017" w:rsidP="00EF47A7">
    <w:pPr>
      <w:pStyle w:val="Footer"/>
      <w:jc w:val="both"/>
      <w:rPr>
        <w:sz w:val="20"/>
        <w:szCs w:val="20"/>
      </w:rPr>
    </w:pPr>
    <w:r>
      <w:rPr>
        <w:sz w:val="20"/>
        <w:szCs w:val="20"/>
      </w:rPr>
      <w:t>IEMAnot_</w:t>
    </w:r>
    <w:r w:rsidR="00EA5CD7">
      <w:rPr>
        <w:sz w:val="20"/>
        <w:szCs w:val="20"/>
      </w:rPr>
      <w:t>191219_IR</w:t>
    </w:r>
    <w:r w:rsidR="00EF47A7">
      <w:rPr>
        <w:sz w:val="20"/>
        <w:szCs w:val="20"/>
      </w:rPr>
      <w:t xml:space="preserve"> </w:t>
    </w:r>
  </w:p>
  <w:p w14:paraId="1C798320" w14:textId="5BFB7889" w:rsidR="005E5398" w:rsidRDefault="00CB7C96" w:rsidP="00C148B3">
    <w:pPr>
      <w:pStyle w:val="Footer"/>
      <w:tabs>
        <w:tab w:val="clear" w:pos="4153"/>
        <w:tab w:val="clear" w:pos="8306"/>
        <w:tab w:val="left" w:pos="124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17A1" w14:textId="3884ADA2" w:rsidR="005E5398" w:rsidRPr="00E4481F" w:rsidRDefault="00C56ADE" w:rsidP="00E4481F">
    <w:pPr>
      <w:pStyle w:val="Footer"/>
      <w:jc w:val="both"/>
      <w:rPr>
        <w:sz w:val="20"/>
        <w:szCs w:val="20"/>
      </w:rPr>
    </w:pPr>
    <w:r>
      <w:rPr>
        <w:sz w:val="20"/>
        <w:szCs w:val="20"/>
      </w:rPr>
      <w:t>IEMAnot_</w:t>
    </w:r>
    <w:r w:rsidR="00EA5CD7">
      <w:rPr>
        <w:sz w:val="20"/>
        <w:szCs w:val="20"/>
      </w:rPr>
      <w:t>191219_IR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A0724" w14:textId="77777777" w:rsidR="000C7426" w:rsidRDefault="000C7426" w:rsidP="00DB0AC9">
      <w:r>
        <w:separator/>
      </w:r>
    </w:p>
  </w:footnote>
  <w:footnote w:type="continuationSeparator" w:id="0">
    <w:p w14:paraId="371C3453" w14:textId="77777777" w:rsidR="000C7426" w:rsidRDefault="000C7426"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14:paraId="30C9E002" w14:textId="169BF0AC" w:rsidR="00DB0AC9" w:rsidRDefault="00703D40">
        <w:pPr>
          <w:pStyle w:val="Header"/>
          <w:jc w:val="center"/>
        </w:pPr>
        <w:r>
          <w:fldChar w:fldCharType="begin"/>
        </w:r>
        <w:r>
          <w:instrText xml:space="preserve"> PAGE   \* MERGEFORMAT </w:instrText>
        </w:r>
        <w:r>
          <w:fldChar w:fldCharType="separate"/>
        </w:r>
        <w:r w:rsidR="00FF22EC">
          <w:rPr>
            <w:noProof/>
          </w:rPr>
          <w:t>10</w:t>
        </w:r>
        <w:r>
          <w:rPr>
            <w:noProof/>
          </w:rPr>
          <w:fldChar w:fldCharType="end"/>
        </w:r>
      </w:p>
    </w:sdtContent>
  </w:sdt>
  <w:p w14:paraId="4BA36885" w14:textId="77777777" w:rsidR="00DB0AC9" w:rsidRDefault="00DB0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74F20"/>
    <w:multiLevelType w:val="hybridMultilevel"/>
    <w:tmpl w:val="BCFEEB92"/>
    <w:lvl w:ilvl="0" w:tplc="4ED0FEAC">
      <w:start w:val="5"/>
      <w:numFmt w:val="bullet"/>
      <w:lvlText w:val="-"/>
      <w:lvlJc w:val="left"/>
      <w:pPr>
        <w:ind w:left="720" w:hanging="360"/>
      </w:pPr>
      <w:rPr>
        <w:rFonts w:ascii="Times New Roman" w:eastAsia="Times New Roman" w:hAnsi="Times New Roman"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2B1ECF"/>
    <w:multiLevelType w:val="multilevel"/>
    <w:tmpl w:val="46689374"/>
    <w:lvl w:ilvl="0">
      <w:start w:val="1"/>
      <w:numFmt w:val="decimal"/>
      <w:lvlText w:val="%1."/>
      <w:lvlJc w:val="left"/>
      <w:pPr>
        <w:ind w:left="660" w:hanging="360"/>
      </w:pPr>
      <w:rPr>
        <w:rFonts w:hint="default"/>
        <w:b w:val="0"/>
        <w:color w:val="auto"/>
        <w:sz w:val="28"/>
        <w:szCs w:val="28"/>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5">
    <w:nsid w:val="39BC261B"/>
    <w:multiLevelType w:val="multilevel"/>
    <w:tmpl w:val="129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AF5113D"/>
    <w:multiLevelType w:val="hybridMultilevel"/>
    <w:tmpl w:val="8DD0C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3"/>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3465"/>
    <w:rsid w:val="00017199"/>
    <w:rsid w:val="0001731C"/>
    <w:rsid w:val="00030099"/>
    <w:rsid w:val="00034CBA"/>
    <w:rsid w:val="00041399"/>
    <w:rsid w:val="000454E7"/>
    <w:rsid w:val="000619BD"/>
    <w:rsid w:val="00082C5B"/>
    <w:rsid w:val="000A4B00"/>
    <w:rsid w:val="000A637C"/>
    <w:rsid w:val="000B52E0"/>
    <w:rsid w:val="000C7324"/>
    <w:rsid w:val="000C7426"/>
    <w:rsid w:val="000D42DC"/>
    <w:rsid w:val="000D4C59"/>
    <w:rsid w:val="000D5A11"/>
    <w:rsid w:val="000D61C2"/>
    <w:rsid w:val="000D64B2"/>
    <w:rsid w:val="000E2BCF"/>
    <w:rsid w:val="00100D1C"/>
    <w:rsid w:val="00101003"/>
    <w:rsid w:val="00115545"/>
    <w:rsid w:val="00117568"/>
    <w:rsid w:val="001202F6"/>
    <w:rsid w:val="0013525D"/>
    <w:rsid w:val="00144C0B"/>
    <w:rsid w:val="0015214B"/>
    <w:rsid w:val="00152D82"/>
    <w:rsid w:val="00153D7F"/>
    <w:rsid w:val="00160870"/>
    <w:rsid w:val="00162112"/>
    <w:rsid w:val="00166E23"/>
    <w:rsid w:val="001702AC"/>
    <w:rsid w:val="00181B28"/>
    <w:rsid w:val="00197418"/>
    <w:rsid w:val="001A7BF7"/>
    <w:rsid w:val="001B04D8"/>
    <w:rsid w:val="001D614F"/>
    <w:rsid w:val="001D7C2A"/>
    <w:rsid w:val="001E24A5"/>
    <w:rsid w:val="001E6930"/>
    <w:rsid w:val="001F04C5"/>
    <w:rsid w:val="001F46BD"/>
    <w:rsid w:val="002019E8"/>
    <w:rsid w:val="002045F4"/>
    <w:rsid w:val="00211917"/>
    <w:rsid w:val="00216F8D"/>
    <w:rsid w:val="00221656"/>
    <w:rsid w:val="0022570B"/>
    <w:rsid w:val="0022794C"/>
    <w:rsid w:val="00233136"/>
    <w:rsid w:val="00242D9D"/>
    <w:rsid w:val="00244289"/>
    <w:rsid w:val="00253920"/>
    <w:rsid w:val="00257CD7"/>
    <w:rsid w:val="0026479F"/>
    <w:rsid w:val="00265769"/>
    <w:rsid w:val="00281C83"/>
    <w:rsid w:val="0028578C"/>
    <w:rsid w:val="00290A3B"/>
    <w:rsid w:val="002912A1"/>
    <w:rsid w:val="002A2EC3"/>
    <w:rsid w:val="002A6761"/>
    <w:rsid w:val="002B2FF5"/>
    <w:rsid w:val="002B3076"/>
    <w:rsid w:val="002B4691"/>
    <w:rsid w:val="002C1B6D"/>
    <w:rsid w:val="002C4EFE"/>
    <w:rsid w:val="002F5808"/>
    <w:rsid w:val="00302548"/>
    <w:rsid w:val="003212E7"/>
    <w:rsid w:val="003228BA"/>
    <w:rsid w:val="00324281"/>
    <w:rsid w:val="00340B84"/>
    <w:rsid w:val="00341FDD"/>
    <w:rsid w:val="00355A4E"/>
    <w:rsid w:val="00355B27"/>
    <w:rsid w:val="00361301"/>
    <w:rsid w:val="00361824"/>
    <w:rsid w:val="00362DD4"/>
    <w:rsid w:val="00371D81"/>
    <w:rsid w:val="00380F5A"/>
    <w:rsid w:val="00386C01"/>
    <w:rsid w:val="0039407A"/>
    <w:rsid w:val="00394CA7"/>
    <w:rsid w:val="003963B7"/>
    <w:rsid w:val="003A70DE"/>
    <w:rsid w:val="003C17D9"/>
    <w:rsid w:val="003C4F62"/>
    <w:rsid w:val="003D2B9E"/>
    <w:rsid w:val="003D4AF6"/>
    <w:rsid w:val="003E000A"/>
    <w:rsid w:val="003E095E"/>
    <w:rsid w:val="003F0017"/>
    <w:rsid w:val="00410980"/>
    <w:rsid w:val="00422088"/>
    <w:rsid w:val="00426197"/>
    <w:rsid w:val="00433A4E"/>
    <w:rsid w:val="0044034F"/>
    <w:rsid w:val="00441051"/>
    <w:rsid w:val="00442541"/>
    <w:rsid w:val="00446103"/>
    <w:rsid w:val="004807F7"/>
    <w:rsid w:val="00480E97"/>
    <w:rsid w:val="0048532A"/>
    <w:rsid w:val="00491AFD"/>
    <w:rsid w:val="00492553"/>
    <w:rsid w:val="00494598"/>
    <w:rsid w:val="004A033F"/>
    <w:rsid w:val="004A1D35"/>
    <w:rsid w:val="004B4648"/>
    <w:rsid w:val="004D2745"/>
    <w:rsid w:val="004D5D22"/>
    <w:rsid w:val="004E5A42"/>
    <w:rsid w:val="004E6766"/>
    <w:rsid w:val="004F2758"/>
    <w:rsid w:val="005016BE"/>
    <w:rsid w:val="00501742"/>
    <w:rsid w:val="00522218"/>
    <w:rsid w:val="005223C3"/>
    <w:rsid w:val="005312E9"/>
    <w:rsid w:val="00536894"/>
    <w:rsid w:val="00540709"/>
    <w:rsid w:val="005547AB"/>
    <w:rsid w:val="00556BF7"/>
    <w:rsid w:val="00567D0C"/>
    <w:rsid w:val="00577BB3"/>
    <w:rsid w:val="00590F2C"/>
    <w:rsid w:val="00592ED5"/>
    <w:rsid w:val="005970FA"/>
    <w:rsid w:val="005B2D66"/>
    <w:rsid w:val="005B4110"/>
    <w:rsid w:val="005C2B9B"/>
    <w:rsid w:val="005E5398"/>
    <w:rsid w:val="005F0F30"/>
    <w:rsid w:val="00610CFD"/>
    <w:rsid w:val="006124DA"/>
    <w:rsid w:val="0061253D"/>
    <w:rsid w:val="006315C4"/>
    <w:rsid w:val="00653440"/>
    <w:rsid w:val="00653460"/>
    <w:rsid w:val="00674BD1"/>
    <w:rsid w:val="006769C3"/>
    <w:rsid w:val="00681396"/>
    <w:rsid w:val="00690D84"/>
    <w:rsid w:val="00690FC5"/>
    <w:rsid w:val="006916F7"/>
    <w:rsid w:val="006B01D1"/>
    <w:rsid w:val="006B0E6F"/>
    <w:rsid w:val="006B2D49"/>
    <w:rsid w:val="006B63A0"/>
    <w:rsid w:val="006D018E"/>
    <w:rsid w:val="006D1405"/>
    <w:rsid w:val="006D55FC"/>
    <w:rsid w:val="006D7501"/>
    <w:rsid w:val="006F05E5"/>
    <w:rsid w:val="006F4644"/>
    <w:rsid w:val="00703D40"/>
    <w:rsid w:val="007048DD"/>
    <w:rsid w:val="00705BD0"/>
    <w:rsid w:val="00707762"/>
    <w:rsid w:val="00707F96"/>
    <w:rsid w:val="0071393E"/>
    <w:rsid w:val="00720FB2"/>
    <w:rsid w:val="007260A0"/>
    <w:rsid w:val="0073513D"/>
    <w:rsid w:val="0074643B"/>
    <w:rsid w:val="00755F88"/>
    <w:rsid w:val="0075667D"/>
    <w:rsid w:val="007715DC"/>
    <w:rsid w:val="00775701"/>
    <w:rsid w:val="00782C9C"/>
    <w:rsid w:val="007843CB"/>
    <w:rsid w:val="007A05F4"/>
    <w:rsid w:val="007A448B"/>
    <w:rsid w:val="007B63FC"/>
    <w:rsid w:val="007B72BB"/>
    <w:rsid w:val="007D1A9F"/>
    <w:rsid w:val="007D4A2A"/>
    <w:rsid w:val="007D67BB"/>
    <w:rsid w:val="007D7014"/>
    <w:rsid w:val="007D7328"/>
    <w:rsid w:val="007E1451"/>
    <w:rsid w:val="007E2F76"/>
    <w:rsid w:val="007E31AF"/>
    <w:rsid w:val="007E600B"/>
    <w:rsid w:val="007E676C"/>
    <w:rsid w:val="007F3D3B"/>
    <w:rsid w:val="008224D5"/>
    <w:rsid w:val="00823902"/>
    <w:rsid w:val="00837A73"/>
    <w:rsid w:val="008412F4"/>
    <w:rsid w:val="00841311"/>
    <w:rsid w:val="008436E3"/>
    <w:rsid w:val="0084754B"/>
    <w:rsid w:val="00853181"/>
    <w:rsid w:val="008573BD"/>
    <w:rsid w:val="00874B27"/>
    <w:rsid w:val="00880C90"/>
    <w:rsid w:val="00881EF8"/>
    <w:rsid w:val="00884A91"/>
    <w:rsid w:val="008954B0"/>
    <w:rsid w:val="008A726F"/>
    <w:rsid w:val="008B0DF9"/>
    <w:rsid w:val="008B1930"/>
    <w:rsid w:val="008C3036"/>
    <w:rsid w:val="008C6EB0"/>
    <w:rsid w:val="008D11EC"/>
    <w:rsid w:val="008D5E73"/>
    <w:rsid w:val="008E1A8B"/>
    <w:rsid w:val="008E78D7"/>
    <w:rsid w:val="008E7D3C"/>
    <w:rsid w:val="0090020D"/>
    <w:rsid w:val="00903864"/>
    <w:rsid w:val="00903FAE"/>
    <w:rsid w:val="0091642C"/>
    <w:rsid w:val="0092718C"/>
    <w:rsid w:val="009715A8"/>
    <w:rsid w:val="00973EE3"/>
    <w:rsid w:val="00975965"/>
    <w:rsid w:val="00995EA6"/>
    <w:rsid w:val="009A1583"/>
    <w:rsid w:val="009B4A70"/>
    <w:rsid w:val="009D78D5"/>
    <w:rsid w:val="009F03DE"/>
    <w:rsid w:val="00A127A3"/>
    <w:rsid w:val="00A147A5"/>
    <w:rsid w:val="00A15BE3"/>
    <w:rsid w:val="00A26BC0"/>
    <w:rsid w:val="00A34071"/>
    <w:rsid w:val="00A342BB"/>
    <w:rsid w:val="00A50EFC"/>
    <w:rsid w:val="00A67A36"/>
    <w:rsid w:val="00A80797"/>
    <w:rsid w:val="00A83927"/>
    <w:rsid w:val="00AB0169"/>
    <w:rsid w:val="00AB07D3"/>
    <w:rsid w:val="00AC3190"/>
    <w:rsid w:val="00AC5E1C"/>
    <w:rsid w:val="00AC711D"/>
    <w:rsid w:val="00AD0C22"/>
    <w:rsid w:val="00AD706C"/>
    <w:rsid w:val="00AE6BA3"/>
    <w:rsid w:val="00AF62EC"/>
    <w:rsid w:val="00B05DB0"/>
    <w:rsid w:val="00B111CC"/>
    <w:rsid w:val="00B13F20"/>
    <w:rsid w:val="00B14BDD"/>
    <w:rsid w:val="00B230F3"/>
    <w:rsid w:val="00B23911"/>
    <w:rsid w:val="00B43833"/>
    <w:rsid w:val="00B47460"/>
    <w:rsid w:val="00B6712E"/>
    <w:rsid w:val="00B73700"/>
    <w:rsid w:val="00B7575D"/>
    <w:rsid w:val="00B769A1"/>
    <w:rsid w:val="00B835BD"/>
    <w:rsid w:val="00B846E5"/>
    <w:rsid w:val="00B92EB5"/>
    <w:rsid w:val="00BA0182"/>
    <w:rsid w:val="00BA467E"/>
    <w:rsid w:val="00BB26AC"/>
    <w:rsid w:val="00BC0C64"/>
    <w:rsid w:val="00BC4EF3"/>
    <w:rsid w:val="00BD3FF8"/>
    <w:rsid w:val="00BE154B"/>
    <w:rsid w:val="00BE20C8"/>
    <w:rsid w:val="00C1237D"/>
    <w:rsid w:val="00C148B3"/>
    <w:rsid w:val="00C154CB"/>
    <w:rsid w:val="00C16814"/>
    <w:rsid w:val="00C213CB"/>
    <w:rsid w:val="00C21EC3"/>
    <w:rsid w:val="00C23E69"/>
    <w:rsid w:val="00C31E03"/>
    <w:rsid w:val="00C340B0"/>
    <w:rsid w:val="00C364E7"/>
    <w:rsid w:val="00C432E1"/>
    <w:rsid w:val="00C5188C"/>
    <w:rsid w:val="00C55D49"/>
    <w:rsid w:val="00C56ADE"/>
    <w:rsid w:val="00C56D5E"/>
    <w:rsid w:val="00C7720A"/>
    <w:rsid w:val="00C83D88"/>
    <w:rsid w:val="00C94034"/>
    <w:rsid w:val="00C966BB"/>
    <w:rsid w:val="00CB7C96"/>
    <w:rsid w:val="00CC3BED"/>
    <w:rsid w:val="00CC4CB8"/>
    <w:rsid w:val="00CD3A78"/>
    <w:rsid w:val="00CD58EC"/>
    <w:rsid w:val="00CE041E"/>
    <w:rsid w:val="00CE12BB"/>
    <w:rsid w:val="00CF6755"/>
    <w:rsid w:val="00D25D3E"/>
    <w:rsid w:val="00D42161"/>
    <w:rsid w:val="00D47E57"/>
    <w:rsid w:val="00D56183"/>
    <w:rsid w:val="00D564F9"/>
    <w:rsid w:val="00D623FB"/>
    <w:rsid w:val="00D76363"/>
    <w:rsid w:val="00D822BD"/>
    <w:rsid w:val="00D87B80"/>
    <w:rsid w:val="00DB0AC9"/>
    <w:rsid w:val="00DB586D"/>
    <w:rsid w:val="00DE1F06"/>
    <w:rsid w:val="00DF1F55"/>
    <w:rsid w:val="00E0207F"/>
    <w:rsid w:val="00E04882"/>
    <w:rsid w:val="00E15A53"/>
    <w:rsid w:val="00E16084"/>
    <w:rsid w:val="00E218FD"/>
    <w:rsid w:val="00E223B7"/>
    <w:rsid w:val="00E23151"/>
    <w:rsid w:val="00E32F8B"/>
    <w:rsid w:val="00E35431"/>
    <w:rsid w:val="00E40407"/>
    <w:rsid w:val="00E4481F"/>
    <w:rsid w:val="00E5515A"/>
    <w:rsid w:val="00E65480"/>
    <w:rsid w:val="00E73568"/>
    <w:rsid w:val="00E92DDB"/>
    <w:rsid w:val="00EA3679"/>
    <w:rsid w:val="00EA5CD7"/>
    <w:rsid w:val="00EC02DC"/>
    <w:rsid w:val="00EC0B39"/>
    <w:rsid w:val="00EE59FC"/>
    <w:rsid w:val="00EF0688"/>
    <w:rsid w:val="00EF06A9"/>
    <w:rsid w:val="00EF1799"/>
    <w:rsid w:val="00EF47A7"/>
    <w:rsid w:val="00EF6309"/>
    <w:rsid w:val="00F12D1D"/>
    <w:rsid w:val="00F262EF"/>
    <w:rsid w:val="00F32A81"/>
    <w:rsid w:val="00F65299"/>
    <w:rsid w:val="00F7112F"/>
    <w:rsid w:val="00F71CF1"/>
    <w:rsid w:val="00F7428A"/>
    <w:rsid w:val="00F75A9B"/>
    <w:rsid w:val="00F86AF3"/>
    <w:rsid w:val="00F914CD"/>
    <w:rsid w:val="00F96EE5"/>
    <w:rsid w:val="00F978DA"/>
    <w:rsid w:val="00FA5100"/>
    <w:rsid w:val="00FA6AA9"/>
    <w:rsid w:val="00FB3347"/>
    <w:rsid w:val="00FC6183"/>
    <w:rsid w:val="00FD31F9"/>
    <w:rsid w:val="00FD4A93"/>
    <w:rsid w:val="00FE5068"/>
    <w:rsid w:val="00FF22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029C"/>
  <w15:docId w15:val="{BFAD4C33-9189-47D4-9F28-B31ADA75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paragraph" w:customStyle="1" w:styleId="tv213limenis2">
    <w:name w:val="tv213 limenis2"/>
    <w:basedOn w:val="Normal"/>
    <w:rsid w:val="0028578C"/>
    <w:pPr>
      <w:spacing w:before="100" w:beforeAutospacing="1" w:after="100" w:afterAutospacing="1"/>
    </w:pPr>
  </w:style>
  <w:style w:type="character" w:styleId="CommentReference">
    <w:name w:val="annotation reference"/>
    <w:basedOn w:val="DefaultParagraphFont"/>
    <w:uiPriority w:val="99"/>
    <w:semiHidden/>
    <w:unhideWhenUsed/>
    <w:rsid w:val="00F65299"/>
    <w:rPr>
      <w:sz w:val="16"/>
      <w:szCs w:val="16"/>
    </w:rPr>
  </w:style>
  <w:style w:type="paragraph" w:styleId="CommentText">
    <w:name w:val="annotation text"/>
    <w:basedOn w:val="Normal"/>
    <w:link w:val="CommentTextChar"/>
    <w:uiPriority w:val="99"/>
    <w:semiHidden/>
    <w:unhideWhenUsed/>
    <w:rsid w:val="00F65299"/>
    <w:rPr>
      <w:sz w:val="20"/>
      <w:szCs w:val="20"/>
    </w:rPr>
  </w:style>
  <w:style w:type="character" w:customStyle="1" w:styleId="CommentTextChar">
    <w:name w:val="Comment Text Char"/>
    <w:basedOn w:val="DefaultParagraphFont"/>
    <w:link w:val="CommentText"/>
    <w:uiPriority w:val="99"/>
    <w:semiHidden/>
    <w:rsid w:val="00F65299"/>
    <w:rPr>
      <w:rFonts w:ascii="Times New Roman" w:eastAsia="Times New Roman" w:hAnsi="Times New Roman" w:cs="Times New Roman"/>
      <w:sz w:val="20"/>
      <w:szCs w:val="20"/>
      <w:lang w:eastAsia="lv-LV"/>
    </w:rPr>
  </w:style>
  <w:style w:type="table" w:customStyle="1" w:styleId="TableGridLight1">
    <w:name w:val="Table Grid Light1"/>
    <w:basedOn w:val="TableNormal"/>
    <w:uiPriority w:val="40"/>
    <w:rsid w:val="0048532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D5E73"/>
    <w:rPr>
      <w:b/>
      <w:bCs/>
    </w:rPr>
  </w:style>
  <w:style w:type="character" w:customStyle="1" w:styleId="CommentSubjectChar">
    <w:name w:val="Comment Subject Char"/>
    <w:basedOn w:val="CommentTextChar"/>
    <w:link w:val="CommentSubject"/>
    <w:uiPriority w:val="99"/>
    <w:semiHidden/>
    <w:rsid w:val="008D5E73"/>
    <w:rPr>
      <w:rFonts w:ascii="Times New Roman" w:eastAsia="Times New Roman" w:hAnsi="Times New Roman" w:cs="Times New Roman"/>
      <w:b/>
      <w:bCs/>
      <w:sz w:val="20"/>
      <w:szCs w:val="20"/>
      <w:lang w:eastAsia="lv-LV"/>
    </w:rPr>
  </w:style>
  <w:style w:type="character" w:customStyle="1" w:styleId="UnresolvedMention">
    <w:name w:val="Unresolved Mention"/>
    <w:basedOn w:val="DefaultParagraphFont"/>
    <w:uiPriority w:val="99"/>
    <w:semiHidden/>
    <w:unhideWhenUsed/>
    <w:rsid w:val="00C148B3"/>
    <w:rPr>
      <w:color w:val="605E5C"/>
      <w:shd w:val="clear" w:color="auto" w:fill="E1DFDD"/>
    </w:rPr>
  </w:style>
  <w:style w:type="paragraph" w:customStyle="1" w:styleId="Default">
    <w:name w:val="Default"/>
    <w:rsid w:val="00DB586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
    <w:name w:val="tv213"/>
    <w:basedOn w:val="Normal"/>
    <w:rsid w:val="00A807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74090">
      <w:bodyDiv w:val="1"/>
      <w:marLeft w:val="0"/>
      <w:marRight w:val="0"/>
      <w:marTop w:val="0"/>
      <w:marBottom w:val="0"/>
      <w:divBdr>
        <w:top w:val="none" w:sz="0" w:space="0" w:color="auto"/>
        <w:left w:val="none" w:sz="0" w:space="0" w:color="auto"/>
        <w:bottom w:val="none" w:sz="0" w:space="0" w:color="auto"/>
        <w:right w:val="none" w:sz="0" w:space="0" w:color="auto"/>
      </w:divBdr>
      <w:divsChild>
        <w:div w:id="285619090">
          <w:marLeft w:val="0"/>
          <w:marRight w:val="0"/>
          <w:marTop w:val="480"/>
          <w:marBottom w:val="240"/>
          <w:divBdr>
            <w:top w:val="none" w:sz="0" w:space="0" w:color="auto"/>
            <w:left w:val="none" w:sz="0" w:space="0" w:color="auto"/>
            <w:bottom w:val="none" w:sz="0" w:space="0" w:color="auto"/>
            <w:right w:val="none" w:sz="0" w:space="0" w:color="auto"/>
          </w:divBdr>
        </w:div>
        <w:div w:id="35591671">
          <w:marLeft w:val="0"/>
          <w:marRight w:val="0"/>
          <w:marTop w:val="0"/>
          <w:marBottom w:val="567"/>
          <w:divBdr>
            <w:top w:val="none" w:sz="0" w:space="0" w:color="auto"/>
            <w:left w:val="none" w:sz="0" w:space="0" w:color="auto"/>
            <w:bottom w:val="none" w:sz="0" w:space="0" w:color="auto"/>
            <w:right w:val="none" w:sz="0" w:space="0" w:color="auto"/>
          </w:divBdr>
        </w:div>
      </w:divsChild>
    </w:div>
    <w:div w:id="1141730717">
      <w:bodyDiv w:val="1"/>
      <w:marLeft w:val="0"/>
      <w:marRight w:val="0"/>
      <w:marTop w:val="0"/>
      <w:marBottom w:val="0"/>
      <w:divBdr>
        <w:top w:val="none" w:sz="0" w:space="0" w:color="auto"/>
        <w:left w:val="none" w:sz="0" w:space="0" w:color="auto"/>
        <w:bottom w:val="none" w:sz="0" w:space="0" w:color="auto"/>
        <w:right w:val="none" w:sz="0" w:space="0" w:color="auto"/>
      </w:divBdr>
    </w:div>
    <w:div w:id="1148747613">
      <w:bodyDiv w:val="1"/>
      <w:marLeft w:val="0"/>
      <w:marRight w:val="0"/>
      <w:marTop w:val="0"/>
      <w:marBottom w:val="0"/>
      <w:divBdr>
        <w:top w:val="none" w:sz="0" w:space="0" w:color="auto"/>
        <w:left w:val="none" w:sz="0" w:space="0" w:color="auto"/>
        <w:bottom w:val="none" w:sz="0" w:space="0" w:color="auto"/>
        <w:right w:val="none" w:sz="0" w:space="0" w:color="auto"/>
      </w:divBdr>
    </w:div>
    <w:div w:id="20465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impl/2015/2403/oj/?local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eli/reg_impl/2015/2403/oj/?locale=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dgars.rubins@ic.iem.gov.lv" TargetMode="External"/><Relationship Id="rId4" Type="http://schemas.openxmlformats.org/officeDocument/2006/relationships/webSettings" Target="webSettings.xml"/><Relationship Id="rId9" Type="http://schemas.openxmlformats.org/officeDocument/2006/relationships/hyperlink" Target="http://eur-lex.europa.eu/eli/reg_impl/2015/2403/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14059</Words>
  <Characters>8014</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Iekšlietu ministrijas Informācijas centrs</Company>
  <LinksUpToDate>false</LinksUpToDate>
  <CharactersWithSpaces>22029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Ieroču uzskaites noteikumi</dc:title>
  <dc:subject>Anotācija</dc:subject>
  <dc:creator>Edgars Rubins</dc:creator>
  <dc:description>67208367, edgars.rubins@ic.iem.gov.lv</dc:description>
  <cp:lastModifiedBy>Edgars Rubins</cp:lastModifiedBy>
  <cp:revision>6</cp:revision>
  <cp:lastPrinted>2019-12-19T07:31:00Z</cp:lastPrinted>
  <dcterms:created xsi:type="dcterms:W3CDTF">2019-12-19T07:32:00Z</dcterms:created>
  <dcterms:modified xsi:type="dcterms:W3CDTF">2019-12-19T10:12:00Z</dcterms:modified>
</cp:coreProperties>
</file>