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BC" w:rsidRPr="00473058" w:rsidRDefault="006C0EDA" w:rsidP="007F26BC">
      <w:pPr>
        <w:shd w:val="clear" w:color="auto" w:fill="FFFFFF"/>
        <w:spacing w:line="260" w:lineRule="exact"/>
        <w:jc w:val="center"/>
        <w:rPr>
          <w:b/>
          <w:bCs/>
          <w:sz w:val="28"/>
          <w:szCs w:val="28"/>
        </w:rPr>
      </w:pPr>
      <w:r w:rsidRPr="00473058">
        <w:rPr>
          <w:b/>
          <w:sz w:val="28"/>
          <w:szCs w:val="28"/>
        </w:rPr>
        <w:t>Likum</w:t>
      </w:r>
      <w:r w:rsidR="007F26BC" w:rsidRPr="00473058">
        <w:rPr>
          <w:b/>
          <w:sz w:val="28"/>
          <w:szCs w:val="28"/>
        </w:rPr>
        <w:t>projekta “</w:t>
      </w:r>
      <w:r w:rsidR="00CE5CFE" w:rsidRPr="00473058">
        <w:rPr>
          <w:b/>
          <w:bCs/>
          <w:sz w:val="28"/>
          <w:szCs w:val="28"/>
        </w:rPr>
        <w:t>Grozījumi Pirotehnisko izstrādājumu aprites likumā</w:t>
      </w:r>
      <w:r w:rsidR="007F26BC" w:rsidRPr="00473058">
        <w:rPr>
          <w:b/>
          <w:bCs/>
          <w:sz w:val="28"/>
          <w:szCs w:val="28"/>
        </w:rPr>
        <w:t>” sākotnējās ietekmes novērtējuma ziņojums (anotācija)</w:t>
      </w:r>
    </w:p>
    <w:p w:rsidR="00893DF1" w:rsidRPr="00473058" w:rsidRDefault="00893DF1" w:rsidP="007F26BC">
      <w:pPr>
        <w:shd w:val="clear" w:color="auto" w:fill="FFFFFF"/>
        <w:spacing w:line="260" w:lineRule="exact"/>
        <w:jc w:val="center"/>
        <w:rPr>
          <w:b/>
          <w:bCs/>
          <w:sz w:val="26"/>
          <w:szCs w:val="26"/>
        </w:rPr>
      </w:pPr>
    </w:p>
    <w:p w:rsidR="007F26BC" w:rsidRPr="00473058" w:rsidRDefault="007F26BC" w:rsidP="007F26BC">
      <w:pPr>
        <w:pStyle w:val="Nosaukums"/>
        <w:ind w:firstLine="539"/>
        <w:jc w:val="both"/>
        <w:rPr>
          <w:sz w:val="16"/>
          <w:szCs w:val="16"/>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0"/>
        <w:gridCol w:w="6625"/>
      </w:tblGrid>
      <w:tr w:rsidR="007F26BC" w:rsidRPr="00473058" w:rsidTr="00A70557">
        <w:trPr>
          <w:cantSplit/>
        </w:trPr>
        <w:tc>
          <w:tcPr>
            <w:tcW w:w="9242" w:type="dxa"/>
            <w:gridSpan w:val="2"/>
            <w:shd w:val="clear" w:color="auto" w:fill="FFFFFF"/>
            <w:vAlign w:val="center"/>
            <w:hideMark/>
          </w:tcPr>
          <w:p w:rsidR="007F26BC" w:rsidRPr="00473058" w:rsidRDefault="007F26BC" w:rsidP="001A46FA">
            <w:pPr>
              <w:jc w:val="center"/>
              <w:rPr>
                <w:b/>
                <w:iCs/>
                <w:lang w:eastAsia="en-US"/>
              </w:rPr>
            </w:pPr>
            <w:r w:rsidRPr="00473058">
              <w:rPr>
                <w:b/>
                <w:iCs/>
                <w:lang w:eastAsia="en-US"/>
              </w:rPr>
              <w:t>Tiesību akta projekta anotācijas kopsavilkums</w:t>
            </w:r>
          </w:p>
        </w:tc>
      </w:tr>
      <w:tr w:rsidR="00460918" w:rsidRPr="00473058" w:rsidTr="00A70557">
        <w:trPr>
          <w:cantSplit/>
        </w:trPr>
        <w:tc>
          <w:tcPr>
            <w:tcW w:w="2566" w:type="dxa"/>
            <w:shd w:val="clear" w:color="auto" w:fill="FFFFFF"/>
            <w:hideMark/>
          </w:tcPr>
          <w:p w:rsidR="007F26BC" w:rsidRPr="00473058" w:rsidRDefault="007F26BC" w:rsidP="005476F3">
            <w:pPr>
              <w:rPr>
                <w:iCs/>
                <w:lang w:eastAsia="en-US"/>
              </w:rPr>
            </w:pPr>
            <w:r w:rsidRPr="00473058">
              <w:rPr>
                <w:iCs/>
                <w:lang w:eastAsia="en-US"/>
              </w:rPr>
              <w:t>Mērķis, risinājums un projekta spēkā stāšanās laiks</w:t>
            </w:r>
          </w:p>
        </w:tc>
        <w:tc>
          <w:tcPr>
            <w:tcW w:w="6676" w:type="dxa"/>
            <w:shd w:val="clear" w:color="auto" w:fill="FFFFFF"/>
            <w:hideMark/>
          </w:tcPr>
          <w:p w:rsidR="007F26BC" w:rsidRPr="00473058" w:rsidRDefault="00186ED8" w:rsidP="00E231B2">
            <w:pPr>
              <w:jc w:val="both"/>
              <w:rPr>
                <w:rFonts w:eastAsia="+mn-ea"/>
                <w:bCs/>
              </w:rPr>
            </w:pPr>
            <w:r w:rsidRPr="00473058">
              <w:t xml:space="preserve">Likumprojekta </w:t>
            </w:r>
            <w:r w:rsidR="00CE5CFE" w:rsidRPr="00473058">
              <w:t xml:space="preserve">“Grozījumi </w:t>
            </w:r>
            <w:r w:rsidR="00CE5CFE" w:rsidRPr="00473058">
              <w:rPr>
                <w:bCs/>
              </w:rPr>
              <w:t>Pirotehnisko izstrādājumu aprites likumā</w:t>
            </w:r>
            <w:r w:rsidRPr="00473058">
              <w:rPr>
                <w:bCs/>
              </w:rPr>
              <w:t>”</w:t>
            </w:r>
            <w:r w:rsidRPr="00473058">
              <w:rPr>
                <w:b/>
                <w:bCs/>
              </w:rPr>
              <w:t xml:space="preserve"> </w:t>
            </w:r>
            <w:r w:rsidRPr="00473058">
              <w:rPr>
                <w:bCs/>
              </w:rPr>
              <w:t xml:space="preserve">(turpmāk – </w:t>
            </w:r>
            <w:r w:rsidR="00236780" w:rsidRPr="00473058">
              <w:rPr>
                <w:bCs/>
              </w:rPr>
              <w:t>L</w:t>
            </w:r>
            <w:r w:rsidRPr="00473058">
              <w:rPr>
                <w:bCs/>
              </w:rPr>
              <w:t>ikumprojekts)</w:t>
            </w:r>
            <w:r w:rsidRPr="00473058">
              <w:rPr>
                <w:b/>
                <w:bCs/>
              </w:rPr>
              <w:t xml:space="preserve"> </w:t>
            </w:r>
            <w:r w:rsidR="005D116B" w:rsidRPr="00473058">
              <w:t xml:space="preserve">mērķis ir </w:t>
            </w:r>
            <w:r w:rsidR="00146CAD" w:rsidRPr="00473058">
              <w:rPr>
                <w:rFonts w:eastAsia="+mn-ea"/>
              </w:rPr>
              <w:t xml:space="preserve">nodrošināt </w:t>
            </w:r>
            <w:r w:rsidR="00146CAD" w:rsidRPr="00473058">
              <w:rPr>
                <w:rFonts w:eastAsia="+mn-ea"/>
                <w:bCs/>
              </w:rPr>
              <w:t xml:space="preserve">Ministru kabineta 2014.gada 22.aprīļa sēdē </w:t>
            </w:r>
            <w:r w:rsidR="00E231B2" w:rsidRPr="00473058">
              <w:rPr>
                <w:rFonts w:eastAsia="+mn-ea"/>
                <w:bCs/>
              </w:rPr>
              <w:t>dotā uzdevuma (prot. Nr.24 26.§) izpildi, attiecībā uz</w:t>
            </w:r>
            <w:r w:rsidR="00146CAD" w:rsidRPr="00473058">
              <w:rPr>
                <w:rFonts w:eastAsia="+mn-ea"/>
                <w:bCs/>
              </w:rPr>
              <w:t xml:space="preserve"> nozaru administratīvo pārkāpumu kodifikācijas sistēmas ieviešanu.</w:t>
            </w:r>
          </w:p>
          <w:p w:rsidR="00E231B2" w:rsidRPr="00473058" w:rsidRDefault="009179E2" w:rsidP="00E231B2">
            <w:pPr>
              <w:jc w:val="both"/>
              <w:rPr>
                <w:rFonts w:eastAsia="+mn-ea"/>
                <w:bCs/>
              </w:rPr>
            </w:pPr>
            <w:r w:rsidRPr="00473058">
              <w:t>Likumprojekts stāsies spēkā vienlaikus ar Administratīvās atbildības likumu.</w:t>
            </w:r>
          </w:p>
        </w:tc>
      </w:tr>
    </w:tbl>
    <w:p w:rsidR="007F26BC" w:rsidRPr="00473058" w:rsidRDefault="007F26BC" w:rsidP="007F26BC">
      <w:pPr>
        <w:pStyle w:val="Nosaukums"/>
        <w:spacing w:line="260" w:lineRule="exact"/>
        <w:ind w:firstLine="539"/>
        <w:jc w:val="both"/>
        <w:rPr>
          <w:sz w:val="8"/>
          <w:szCs w:val="8"/>
        </w:rPr>
      </w:pPr>
    </w:p>
    <w:tbl>
      <w:tblPr>
        <w:tblW w:w="512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94"/>
        <w:gridCol w:w="82"/>
        <w:gridCol w:w="876"/>
        <w:gridCol w:w="986"/>
        <w:gridCol w:w="858"/>
        <w:gridCol w:w="266"/>
        <w:gridCol w:w="1125"/>
        <w:gridCol w:w="1125"/>
        <w:gridCol w:w="1125"/>
        <w:gridCol w:w="1125"/>
        <w:gridCol w:w="1122"/>
      </w:tblGrid>
      <w:tr w:rsidR="007F26BC" w:rsidRPr="00473058" w:rsidTr="005D76F9">
        <w:tc>
          <w:tcPr>
            <w:tcW w:w="5000" w:type="pct"/>
            <w:gridSpan w:val="11"/>
            <w:vAlign w:val="center"/>
            <w:hideMark/>
          </w:tcPr>
          <w:p w:rsidR="007F26BC" w:rsidRPr="00473058" w:rsidRDefault="007F26BC" w:rsidP="001A46FA">
            <w:pPr>
              <w:jc w:val="center"/>
              <w:rPr>
                <w:b/>
                <w:bCs/>
              </w:rPr>
            </w:pPr>
            <w:r w:rsidRPr="00473058">
              <w:rPr>
                <w:b/>
                <w:bCs/>
              </w:rPr>
              <w:t>I. Tiesību akta projekta izstrādes nepieciešamība</w:t>
            </w:r>
          </w:p>
        </w:tc>
      </w:tr>
      <w:tr w:rsidR="00A7399B" w:rsidRPr="00473058" w:rsidTr="00154B4C">
        <w:tc>
          <w:tcPr>
            <w:tcW w:w="320" w:type="pct"/>
            <w:hideMark/>
          </w:tcPr>
          <w:p w:rsidR="007F26BC" w:rsidRPr="00473058" w:rsidRDefault="007F26BC" w:rsidP="001A46FA">
            <w:pPr>
              <w:jc w:val="center"/>
            </w:pPr>
            <w:r w:rsidRPr="00473058">
              <w:t>1.</w:t>
            </w:r>
          </w:p>
        </w:tc>
        <w:tc>
          <w:tcPr>
            <w:tcW w:w="1047" w:type="pct"/>
            <w:gridSpan w:val="3"/>
            <w:hideMark/>
          </w:tcPr>
          <w:p w:rsidR="007F26BC" w:rsidRPr="00473058" w:rsidRDefault="007F26BC" w:rsidP="001A46FA">
            <w:r w:rsidRPr="00473058">
              <w:t>Pamatojums</w:t>
            </w:r>
          </w:p>
        </w:tc>
        <w:tc>
          <w:tcPr>
            <w:tcW w:w="3633" w:type="pct"/>
            <w:gridSpan w:val="7"/>
            <w:hideMark/>
          </w:tcPr>
          <w:p w:rsidR="007F26BC" w:rsidRPr="00473058" w:rsidRDefault="00B616D6" w:rsidP="00B616D6">
            <w:pPr>
              <w:jc w:val="both"/>
            </w:pPr>
            <w:r w:rsidRPr="00473058">
              <w:rPr>
                <w:rFonts w:eastAsiaTheme="minorHAnsi"/>
                <w:lang w:eastAsia="en-US"/>
              </w:rPr>
              <w:t>Likumprojekts izstrādāts,</w:t>
            </w:r>
            <w:r w:rsidRPr="00473058">
              <w:rPr>
                <w:bCs/>
                <w:lang w:eastAsia="en-US"/>
              </w:rPr>
              <w:t xml:space="preserve"> lai nodrošinātu Ministru kabineta 2014.gada 22.aprīļa sēdes </w:t>
            </w:r>
            <w:proofErr w:type="spellStart"/>
            <w:r w:rsidRPr="00473058">
              <w:rPr>
                <w:bCs/>
                <w:lang w:eastAsia="en-US"/>
              </w:rPr>
              <w:t>protokollēmuma</w:t>
            </w:r>
            <w:proofErr w:type="spellEnd"/>
            <w:r w:rsidRPr="00473058">
              <w:rPr>
                <w:bCs/>
                <w:lang w:eastAsia="en-US"/>
              </w:rPr>
              <w:t xml:space="preserve"> (prot. Nr.24 26.§) “Informatīvais ziņojums “Nozaru administratīvo pārkāpumu kodifikācijas ieviešanas sistēma”” (turpmāk – informatīvais ziņojums) 2.punkta izpildi.</w:t>
            </w:r>
          </w:p>
        </w:tc>
      </w:tr>
      <w:tr w:rsidR="00A7399B" w:rsidRPr="00473058" w:rsidTr="00154B4C">
        <w:trPr>
          <w:trHeight w:val="684"/>
        </w:trPr>
        <w:tc>
          <w:tcPr>
            <w:tcW w:w="320" w:type="pct"/>
            <w:hideMark/>
          </w:tcPr>
          <w:p w:rsidR="00142F57" w:rsidRPr="00473058" w:rsidRDefault="00FE72E6" w:rsidP="00FE72E6">
            <w:pPr>
              <w:jc w:val="center"/>
            </w:pPr>
            <w:r w:rsidRPr="00473058">
              <w:t>2.</w:t>
            </w:r>
          </w:p>
        </w:tc>
        <w:tc>
          <w:tcPr>
            <w:tcW w:w="1047" w:type="pct"/>
            <w:gridSpan w:val="3"/>
            <w:hideMark/>
          </w:tcPr>
          <w:p w:rsidR="00142F57" w:rsidRPr="00473058" w:rsidRDefault="00142F57" w:rsidP="00FE72E6">
            <w:r w:rsidRPr="00473058">
              <w:t>Pašreizējā situācija un problēmas, kuru risināšanai tiesību akta projekts izstrādāts, tiesiskā regulējuma mērķis un būtība</w:t>
            </w:r>
          </w:p>
        </w:tc>
        <w:tc>
          <w:tcPr>
            <w:tcW w:w="3633" w:type="pct"/>
            <w:gridSpan w:val="7"/>
            <w:hideMark/>
          </w:tcPr>
          <w:p w:rsidR="001E624E" w:rsidRPr="00473058" w:rsidRDefault="004C70FB" w:rsidP="005D76F9">
            <w:pPr>
              <w:ind w:firstLine="252"/>
              <w:jc w:val="both"/>
              <w:rPr>
                <w:bCs/>
                <w:lang w:eastAsia="en-US"/>
              </w:rPr>
            </w:pPr>
            <w:r w:rsidRPr="00473058">
              <w:rPr>
                <w:bCs/>
                <w:lang w:eastAsia="en-US"/>
              </w:rPr>
              <w:t>Likumprojekts paredz</w:t>
            </w:r>
            <w:r w:rsidR="001E624E" w:rsidRPr="00473058">
              <w:rPr>
                <w:bCs/>
                <w:lang w:eastAsia="en-US"/>
              </w:rPr>
              <w:t>:</w:t>
            </w:r>
          </w:p>
          <w:p w:rsidR="001E624E" w:rsidRPr="00473058" w:rsidRDefault="001E624E" w:rsidP="005D76F9">
            <w:pPr>
              <w:ind w:firstLine="252"/>
              <w:jc w:val="both"/>
            </w:pPr>
            <w:r w:rsidRPr="00473058">
              <w:rPr>
                <w:bCs/>
                <w:lang w:eastAsia="en-US"/>
              </w:rPr>
              <w:t xml:space="preserve">- precizēt Pirotehnisko izstrādājumu aprites likuma (turpmāk – Likums) 8.panta pirmo daļu </w:t>
            </w:r>
            <w:r w:rsidR="00595C9E" w:rsidRPr="00473058">
              <w:rPr>
                <w:bCs/>
                <w:lang w:eastAsia="en-US"/>
              </w:rPr>
              <w:t xml:space="preserve">konkretizējot speciālās atļaujas (licences) darbības apturēšanas </w:t>
            </w:r>
            <w:r w:rsidR="001B5E6E" w:rsidRPr="00473058">
              <w:rPr>
                <w:bCs/>
                <w:lang w:eastAsia="en-US"/>
              </w:rPr>
              <w:t>regulējumu</w:t>
            </w:r>
            <w:r w:rsidR="00595C9E" w:rsidRPr="00473058">
              <w:rPr>
                <w:bCs/>
                <w:lang w:eastAsia="en-US"/>
              </w:rPr>
              <w:t>, atļaujot speciālo atļauju (licenci) apturēt, “</w:t>
            </w:r>
            <w:r w:rsidR="00595C9E" w:rsidRPr="00473058">
              <w:t>pilnībā vai attiecībā uz kādu no speciāla</w:t>
            </w:r>
            <w:r w:rsidR="00C873C2" w:rsidRPr="00473058">
              <w:t>jā atļaujā (licencē) norādītu</w:t>
            </w:r>
            <w:r w:rsidR="00595C9E" w:rsidRPr="00473058">
              <w:t xml:space="preserve"> </w:t>
            </w:r>
            <w:r w:rsidR="00D90ADD" w:rsidRPr="00473058">
              <w:t xml:space="preserve">pirotehnisko izstrādājumu </w:t>
            </w:r>
            <w:r w:rsidR="00F3391C" w:rsidRPr="00473058">
              <w:t>ražošana</w:t>
            </w:r>
            <w:bookmarkStart w:id="0" w:name="_GoBack"/>
            <w:bookmarkEnd w:id="0"/>
            <w:r w:rsidR="00F3391C" w:rsidRPr="00473058">
              <w:t xml:space="preserve">s, glabāšanas vai realizācijas </w:t>
            </w:r>
            <w:r w:rsidR="00C873C2" w:rsidRPr="00473058">
              <w:t>vietu</w:t>
            </w:r>
            <w:r w:rsidR="00595C9E" w:rsidRPr="00473058">
              <w:t xml:space="preserve">”. </w:t>
            </w:r>
          </w:p>
          <w:p w:rsidR="00C5057E" w:rsidRPr="00473058" w:rsidRDefault="00595C9E">
            <w:pPr>
              <w:ind w:firstLine="252"/>
              <w:jc w:val="both"/>
            </w:pPr>
            <w:r w:rsidRPr="00473058">
              <w:t>Precizējums nepieciešams un izriet no speciālajā atļaujā (licencē) iekļautajām ziņām</w:t>
            </w:r>
            <w:r w:rsidR="002A1592" w:rsidRPr="00473058">
              <w:t xml:space="preserve"> – ražošanas telpu, glabāšanas telpu (noliktavu), realizācijas vietu (veikalu) adresēm</w:t>
            </w:r>
            <w:r w:rsidRPr="00473058">
              <w:t>,</w:t>
            </w:r>
            <w:r w:rsidR="00C5057E" w:rsidRPr="00473058">
              <w:t xml:space="preserve"> kas tiek norādītas </w:t>
            </w:r>
            <w:r w:rsidR="00F3391C" w:rsidRPr="00473058">
              <w:t>speciālajā atļaujā (licencē)</w:t>
            </w:r>
            <w:r w:rsidR="00C5057E" w:rsidRPr="00473058">
              <w:t xml:space="preserve">. </w:t>
            </w:r>
          </w:p>
          <w:p w:rsidR="000C0FC4" w:rsidRPr="00473058" w:rsidRDefault="00C5057E">
            <w:pPr>
              <w:ind w:firstLine="252"/>
              <w:jc w:val="both"/>
            </w:pPr>
            <w:r w:rsidRPr="00473058">
              <w:t>Apturot speciālās atļaujas (licences) darbību</w:t>
            </w:r>
            <w:r w:rsidR="002D437D" w:rsidRPr="00473058">
              <w:t xml:space="preserve"> pilnā apjomā</w:t>
            </w:r>
            <w:r w:rsidRPr="00473058">
              <w:t xml:space="preserve">, darbība tiek apturēta visās </w:t>
            </w:r>
            <w:r w:rsidR="000C0FC4" w:rsidRPr="00473058">
              <w:t xml:space="preserve">speciālajā atļaujā (licencē) </w:t>
            </w:r>
            <w:r w:rsidRPr="00473058">
              <w:t>norādītājās adresēs,</w:t>
            </w:r>
            <w:r w:rsidR="007B17BA" w:rsidRPr="00473058">
              <w:t xml:space="preserve"> tādejādi būtiski ietekmējot komersanta darbību, turpretim, </w:t>
            </w:r>
            <w:r w:rsidRPr="00473058">
              <w:t xml:space="preserve">lai ievērotu </w:t>
            </w:r>
            <w:r w:rsidR="000233C7" w:rsidRPr="00473058">
              <w:t>samērīgumu</w:t>
            </w:r>
            <w:r w:rsidR="007B17BA" w:rsidRPr="00473058">
              <w:t>,</w:t>
            </w:r>
            <w:r w:rsidR="000233C7" w:rsidRPr="00473058">
              <w:t xml:space="preserve"> 8.panta pirmās daļas precizējums</w:t>
            </w:r>
            <w:r w:rsidR="007B17BA" w:rsidRPr="00473058">
              <w:t xml:space="preserve"> lēmuma pieņēmējam dod tiesības izvērtēt pārkāpuma smagumu un izvēlēties </w:t>
            </w:r>
            <w:r w:rsidR="00F11145" w:rsidRPr="00473058">
              <w:t>konkrētajai situācijai taisnīgāko un lietderīgāko risinājumu.</w:t>
            </w:r>
          </w:p>
          <w:p w:rsidR="006B4971" w:rsidRPr="00473058" w:rsidRDefault="006B4971">
            <w:pPr>
              <w:ind w:firstLine="252"/>
              <w:jc w:val="both"/>
            </w:pPr>
            <w:r w:rsidRPr="00473058">
              <w:t>Ņemot vērā pirotehnisko izstrādājumu bīstamību, iespējamos sabiedriskās kārtības, vides, personas dzīvības, veselības vai mantas apdraudējumus, lēmums par speciālas atļaujas (licences) apturēšanu</w:t>
            </w:r>
            <w:r w:rsidR="00DF6A20" w:rsidRPr="00473058">
              <w:t xml:space="preserve"> var tikt pieņemts </w:t>
            </w:r>
            <w:r w:rsidRPr="00473058">
              <w:t xml:space="preserve">steidzamības kārtā </w:t>
            </w:r>
            <w:r w:rsidR="00DF6A20" w:rsidRPr="00473058">
              <w:t xml:space="preserve">un </w:t>
            </w:r>
            <w:r w:rsidRPr="00473058">
              <w:t>stā</w:t>
            </w:r>
            <w:r w:rsidR="00693994" w:rsidRPr="00473058">
              <w:t>t</w:t>
            </w:r>
            <w:r w:rsidR="00DF6A20" w:rsidRPr="00473058">
              <w:t xml:space="preserve">ies </w:t>
            </w:r>
            <w:r w:rsidRPr="00473058">
              <w:t>spēkā un</w:t>
            </w:r>
            <w:r w:rsidR="0014126D" w:rsidRPr="00473058">
              <w:t xml:space="preserve"> ir</w:t>
            </w:r>
            <w:r w:rsidRPr="00473058">
              <w:t xml:space="preserve"> izpildāms nekavējoties.</w:t>
            </w:r>
          </w:p>
          <w:p w:rsidR="004C70FB" w:rsidRPr="00473058" w:rsidRDefault="001E624E" w:rsidP="005D76F9">
            <w:pPr>
              <w:ind w:firstLine="252"/>
              <w:jc w:val="both"/>
              <w:rPr>
                <w:bCs/>
                <w:lang w:eastAsia="en-US"/>
              </w:rPr>
            </w:pPr>
            <w:r w:rsidRPr="00473058">
              <w:rPr>
                <w:bCs/>
                <w:lang w:eastAsia="en-US"/>
              </w:rPr>
              <w:t>-</w:t>
            </w:r>
            <w:r w:rsidR="004C70FB" w:rsidRPr="00473058">
              <w:rPr>
                <w:bCs/>
                <w:lang w:eastAsia="en-US"/>
              </w:rPr>
              <w:t xml:space="preserve"> papildināt</w:t>
            </w:r>
            <w:r w:rsidR="008B6F19" w:rsidRPr="00473058">
              <w:rPr>
                <w:bCs/>
                <w:lang w:eastAsia="en-US"/>
              </w:rPr>
              <w:t xml:space="preserve"> Likum</w:t>
            </w:r>
            <w:r w:rsidRPr="00473058">
              <w:rPr>
                <w:bCs/>
                <w:lang w:eastAsia="en-US"/>
              </w:rPr>
              <w:t>u</w:t>
            </w:r>
            <w:r w:rsidR="008B6F19" w:rsidRPr="00473058">
              <w:rPr>
                <w:bCs/>
                <w:lang w:eastAsia="en-US"/>
              </w:rPr>
              <w:t xml:space="preserve"> </w:t>
            </w:r>
            <w:r w:rsidR="004C70FB" w:rsidRPr="00473058">
              <w:rPr>
                <w:bCs/>
                <w:lang w:eastAsia="en-US"/>
              </w:rPr>
              <w:t xml:space="preserve">ar jaunu nodaļu par administratīvo atbildību </w:t>
            </w:r>
            <w:r w:rsidR="00DF4A89" w:rsidRPr="00473058">
              <w:rPr>
                <w:bCs/>
                <w:lang w:eastAsia="en-US"/>
              </w:rPr>
              <w:t>pirotehnisko izstrādājumu aprites</w:t>
            </w:r>
            <w:r w:rsidR="004C70FB" w:rsidRPr="00473058">
              <w:rPr>
                <w:bCs/>
                <w:lang w:eastAsia="en-US"/>
              </w:rPr>
              <w:t xml:space="preserve"> jomā un kompetenci sodu piemērošanā.</w:t>
            </w:r>
          </w:p>
          <w:p w:rsidR="0007017E" w:rsidRPr="00473058" w:rsidRDefault="0007017E" w:rsidP="005D76F9">
            <w:pPr>
              <w:ind w:firstLine="252"/>
              <w:jc w:val="both"/>
              <w:rPr>
                <w:bCs/>
                <w:lang w:eastAsia="en-US"/>
              </w:rPr>
            </w:pPr>
            <w:r w:rsidRPr="00473058">
              <w:rPr>
                <w:rFonts w:eastAsia="Calibri"/>
                <w:lang w:eastAsia="en-US"/>
              </w:rPr>
              <w:t>Latvijas Administratīvo pārkāpumu kodekss (turpmāk – Kodekss) nosaka atbildību un sodu apmēru par pirotehnisko izstrādājumu aprites pārkāpumiem. Pēc Administratīv</w:t>
            </w:r>
            <w:r w:rsidR="004B172C" w:rsidRPr="00473058">
              <w:rPr>
                <w:rFonts w:eastAsia="Calibri"/>
                <w:lang w:eastAsia="en-US"/>
              </w:rPr>
              <w:t xml:space="preserve">ās atbildības </w:t>
            </w:r>
            <w:r w:rsidRPr="00473058">
              <w:rPr>
                <w:rFonts w:eastAsia="Calibri"/>
                <w:lang w:eastAsia="en-US"/>
              </w:rPr>
              <w:t>likuma spēkā stāšanās normas, kas nosaka atbildību un soda apmēru par administratīvajiem pārkāpumiem tiks kodificētas un iekļautas attiecīgajos speciālajos nozaru normatīvajos aktos.</w:t>
            </w:r>
          </w:p>
          <w:p w:rsidR="00B67CBD" w:rsidRPr="00473058" w:rsidRDefault="00B67CBD" w:rsidP="005D76F9">
            <w:pPr>
              <w:ind w:firstLine="252"/>
              <w:jc w:val="both"/>
              <w:rPr>
                <w:bCs/>
                <w:lang w:eastAsia="en-US"/>
              </w:rPr>
            </w:pPr>
            <w:r w:rsidRPr="00473058">
              <w:rPr>
                <w:bCs/>
                <w:lang w:eastAsia="en-US"/>
              </w:rPr>
              <w:lastRenderedPageBreak/>
              <w:t>Ar Likumprojektu tiek pārņemtas un precizētas Kodeks</w:t>
            </w:r>
            <w:r w:rsidR="0007017E" w:rsidRPr="00473058">
              <w:rPr>
                <w:bCs/>
                <w:lang w:eastAsia="en-US"/>
              </w:rPr>
              <w:t>a</w:t>
            </w:r>
            <w:r w:rsidRPr="00473058">
              <w:rPr>
                <w:bCs/>
                <w:lang w:eastAsia="en-US"/>
              </w:rPr>
              <w:t xml:space="preserve"> normas par administratīvajiem pārkāpumiem </w:t>
            </w:r>
            <w:r w:rsidR="005C1344" w:rsidRPr="00473058">
              <w:rPr>
                <w:bCs/>
                <w:lang w:eastAsia="en-US"/>
              </w:rPr>
              <w:t>pirotehnisko izstrādājumu</w:t>
            </w:r>
            <w:r w:rsidR="00882761" w:rsidRPr="00473058">
              <w:rPr>
                <w:bCs/>
                <w:lang w:eastAsia="en-US"/>
              </w:rPr>
              <w:t xml:space="preserve"> </w:t>
            </w:r>
            <w:r w:rsidR="005C1344" w:rsidRPr="00473058">
              <w:rPr>
                <w:bCs/>
                <w:lang w:eastAsia="en-US"/>
              </w:rPr>
              <w:t xml:space="preserve">aprites </w:t>
            </w:r>
            <w:r w:rsidRPr="00473058">
              <w:rPr>
                <w:bCs/>
                <w:lang w:eastAsia="en-US"/>
              </w:rPr>
              <w:t>jomā, soda apmēru un kompetento iestādi sodu piemērošanā.</w:t>
            </w:r>
          </w:p>
          <w:p w:rsidR="00B67CBD" w:rsidRPr="00473058" w:rsidRDefault="00B67CBD" w:rsidP="005D76F9">
            <w:pPr>
              <w:ind w:firstLine="252"/>
              <w:jc w:val="both"/>
              <w:rPr>
                <w:bCs/>
                <w:lang w:eastAsia="en-US"/>
              </w:rPr>
            </w:pPr>
            <w:r w:rsidRPr="00473058">
              <w:rPr>
                <w:bCs/>
                <w:lang w:eastAsia="en-US"/>
              </w:rPr>
              <w:t>Viens no Likumprojekta galvenajiem mērķiem ir papildināt pašlaik spēkā esošo tiesisko regulējumu tādā apmērā, cik tas ir nepieciešams, lai pārņemtu Kodeksa tiesību normas.</w:t>
            </w:r>
          </w:p>
          <w:p w:rsidR="00B67CBD" w:rsidRPr="00473058" w:rsidRDefault="00B67CBD" w:rsidP="005D76F9">
            <w:pPr>
              <w:ind w:firstLine="252"/>
              <w:jc w:val="both"/>
              <w:rPr>
                <w:bCs/>
                <w:lang w:eastAsia="en-US"/>
              </w:rPr>
            </w:pPr>
            <w:r w:rsidRPr="00473058">
              <w:rPr>
                <w:bCs/>
                <w:lang w:eastAsia="en-US"/>
              </w:rPr>
              <w:t xml:space="preserve">Likumprojekta </w:t>
            </w:r>
            <w:r w:rsidR="005C1344" w:rsidRPr="00473058">
              <w:rPr>
                <w:bCs/>
                <w:lang w:eastAsia="en-US"/>
              </w:rPr>
              <w:t>IX</w:t>
            </w:r>
            <w:r w:rsidRPr="00473058">
              <w:rPr>
                <w:bCs/>
                <w:lang w:eastAsia="en-US"/>
              </w:rPr>
              <w:t xml:space="preserve">. nodaļā ir iekļauti visi šobrīd Kodeksā esošie administratīvie pārkāpumi </w:t>
            </w:r>
            <w:r w:rsidR="001F1A09" w:rsidRPr="00473058">
              <w:rPr>
                <w:bCs/>
                <w:lang w:eastAsia="en-US"/>
              </w:rPr>
              <w:t xml:space="preserve">pirotehnisko izstrādājumu aprites </w:t>
            </w:r>
            <w:r w:rsidRPr="00473058">
              <w:rPr>
                <w:bCs/>
                <w:lang w:eastAsia="en-US"/>
              </w:rPr>
              <w:t>jomā un noteikta</w:t>
            </w:r>
            <w:r w:rsidR="00C873C2" w:rsidRPr="00473058">
              <w:rPr>
                <w:bCs/>
                <w:lang w:eastAsia="en-US"/>
              </w:rPr>
              <w:t>s</w:t>
            </w:r>
            <w:r w:rsidRPr="00473058">
              <w:rPr>
                <w:bCs/>
                <w:lang w:eastAsia="en-US"/>
              </w:rPr>
              <w:t xml:space="preserve"> kompetentā</w:t>
            </w:r>
            <w:r w:rsidR="00C873C2" w:rsidRPr="00473058">
              <w:rPr>
                <w:bCs/>
                <w:lang w:eastAsia="en-US"/>
              </w:rPr>
              <w:t>s</w:t>
            </w:r>
            <w:r w:rsidRPr="00473058">
              <w:rPr>
                <w:bCs/>
                <w:lang w:eastAsia="en-US"/>
              </w:rPr>
              <w:t xml:space="preserve"> iestāde</w:t>
            </w:r>
            <w:r w:rsidR="00C873C2" w:rsidRPr="00473058">
              <w:rPr>
                <w:bCs/>
                <w:lang w:eastAsia="en-US"/>
              </w:rPr>
              <w:t>s, kurām</w:t>
            </w:r>
            <w:r w:rsidRPr="00473058">
              <w:rPr>
                <w:bCs/>
                <w:lang w:eastAsia="en-US"/>
              </w:rPr>
              <w:t xml:space="preserve"> būs piekritīga administratīvo sodu piemērošana.</w:t>
            </w:r>
          </w:p>
          <w:p w:rsidR="00C873C2" w:rsidRPr="00473058" w:rsidRDefault="00C873C2" w:rsidP="00315353">
            <w:pPr>
              <w:ind w:firstLine="252"/>
              <w:jc w:val="both"/>
              <w:rPr>
                <w:bCs/>
                <w:lang w:eastAsia="en-US"/>
              </w:rPr>
            </w:pPr>
          </w:p>
          <w:p w:rsidR="004C70FB" w:rsidRPr="00473058" w:rsidRDefault="004C70FB" w:rsidP="00315353">
            <w:pPr>
              <w:ind w:firstLine="252"/>
              <w:jc w:val="both"/>
              <w:rPr>
                <w:bCs/>
                <w:lang w:eastAsia="en-US"/>
              </w:rPr>
            </w:pPr>
            <w:r w:rsidRPr="00473058">
              <w:rPr>
                <w:bCs/>
                <w:lang w:eastAsia="en-US"/>
              </w:rPr>
              <w:t>Ar Likumprojektu tiek pārņemt</w:t>
            </w:r>
            <w:r w:rsidR="00772A12" w:rsidRPr="00473058">
              <w:rPr>
                <w:bCs/>
                <w:lang w:eastAsia="en-US"/>
              </w:rPr>
              <w:t>a</w:t>
            </w:r>
            <w:r w:rsidRPr="00473058">
              <w:rPr>
                <w:bCs/>
                <w:lang w:eastAsia="en-US"/>
              </w:rPr>
              <w:t xml:space="preserve"> Kodeksa </w:t>
            </w:r>
            <w:r w:rsidR="008B6F19" w:rsidRPr="00473058">
              <w:rPr>
                <w:bCs/>
                <w:lang w:eastAsia="en-US"/>
              </w:rPr>
              <w:t>166.</w:t>
            </w:r>
            <w:r w:rsidR="008B6F19" w:rsidRPr="00473058">
              <w:rPr>
                <w:bCs/>
                <w:vertAlign w:val="superscript"/>
                <w:lang w:eastAsia="en-US"/>
              </w:rPr>
              <w:t>2</w:t>
            </w:r>
            <w:r w:rsidR="008B6F19" w:rsidRPr="00473058">
              <w:rPr>
                <w:bCs/>
                <w:lang w:eastAsia="en-US"/>
              </w:rPr>
              <w:t xml:space="preserve"> pant</w:t>
            </w:r>
            <w:r w:rsidR="001369E5" w:rsidRPr="00473058">
              <w:rPr>
                <w:bCs/>
                <w:lang w:eastAsia="en-US"/>
              </w:rPr>
              <w:t xml:space="preserve">a </w:t>
            </w:r>
            <w:r w:rsidR="00772A12" w:rsidRPr="00473058">
              <w:rPr>
                <w:bCs/>
                <w:lang w:eastAsia="en-US"/>
              </w:rPr>
              <w:t>pirmā daļa</w:t>
            </w:r>
            <w:r w:rsidR="003904C2" w:rsidRPr="00473058">
              <w:rPr>
                <w:bCs/>
                <w:lang w:eastAsia="en-US"/>
              </w:rPr>
              <w:t xml:space="preserve">, 181.panta trešā daļa, </w:t>
            </w:r>
            <w:r w:rsidR="003904C2" w:rsidRPr="00473058">
              <w:t xml:space="preserve">183.pants </w:t>
            </w:r>
            <w:r w:rsidR="003904C2" w:rsidRPr="00473058">
              <w:rPr>
                <w:bCs/>
                <w:lang w:eastAsia="en-US"/>
              </w:rPr>
              <w:t>un</w:t>
            </w:r>
            <w:r w:rsidR="003904C2" w:rsidRPr="00473058">
              <w:t xml:space="preserve"> 183.</w:t>
            </w:r>
            <w:r w:rsidR="003904C2" w:rsidRPr="00473058">
              <w:rPr>
                <w:vertAlign w:val="superscript"/>
              </w:rPr>
              <w:t>3</w:t>
            </w:r>
            <w:r w:rsidR="00CA4FC6" w:rsidRPr="00473058">
              <w:rPr>
                <w:bCs/>
                <w:lang w:eastAsia="en-US"/>
              </w:rPr>
              <w:t xml:space="preserve"> </w:t>
            </w:r>
            <w:r w:rsidR="003904C2" w:rsidRPr="00473058">
              <w:rPr>
                <w:bCs/>
                <w:lang w:eastAsia="en-US"/>
              </w:rPr>
              <w:t>pants</w:t>
            </w:r>
            <w:r w:rsidR="008B6F19" w:rsidRPr="00473058">
              <w:rPr>
                <w:bCs/>
                <w:lang w:eastAsia="en-US"/>
              </w:rPr>
              <w:t xml:space="preserve"> </w:t>
            </w:r>
            <w:r w:rsidRPr="00473058">
              <w:rPr>
                <w:bCs/>
                <w:lang w:eastAsia="en-US"/>
              </w:rPr>
              <w:t>šādā kārtībā:</w:t>
            </w:r>
          </w:p>
          <w:p w:rsidR="00FF7A1E" w:rsidRPr="00473058" w:rsidRDefault="00FF7A1E" w:rsidP="00FF7A1E">
            <w:pPr>
              <w:pStyle w:val="Sarakstarindkopa"/>
              <w:numPr>
                <w:ilvl w:val="0"/>
                <w:numId w:val="25"/>
              </w:numPr>
              <w:jc w:val="both"/>
              <w:rPr>
                <w:bCs/>
                <w:lang w:eastAsia="en-US"/>
              </w:rPr>
            </w:pPr>
            <w:r w:rsidRPr="00473058">
              <w:rPr>
                <w:bCs/>
                <w:lang w:eastAsia="en-US"/>
              </w:rPr>
              <w:t>Kodeksa 166.</w:t>
            </w:r>
            <w:r w:rsidRPr="00473058">
              <w:rPr>
                <w:bCs/>
                <w:vertAlign w:val="superscript"/>
                <w:lang w:eastAsia="en-US"/>
              </w:rPr>
              <w:t>2</w:t>
            </w:r>
            <w:r w:rsidR="00772A12" w:rsidRPr="00473058">
              <w:rPr>
                <w:bCs/>
                <w:lang w:eastAsia="en-US"/>
              </w:rPr>
              <w:t xml:space="preserve"> panta pirmā daļa</w:t>
            </w:r>
            <w:r w:rsidRPr="00473058">
              <w:rPr>
                <w:bCs/>
                <w:lang w:eastAsia="en-US"/>
              </w:rPr>
              <w:t xml:space="preserve"> – </w:t>
            </w:r>
            <w:r w:rsidR="00496665" w:rsidRPr="00473058">
              <w:rPr>
                <w:bCs/>
                <w:lang w:eastAsia="en-US"/>
              </w:rPr>
              <w:t xml:space="preserve">Likumprojekta </w:t>
            </w:r>
            <w:r w:rsidR="007D6555" w:rsidRPr="00473058">
              <w:rPr>
                <w:bCs/>
                <w:lang w:eastAsia="en-US"/>
              </w:rPr>
              <w:t>28</w:t>
            </w:r>
            <w:r w:rsidRPr="00473058">
              <w:rPr>
                <w:bCs/>
                <w:lang w:eastAsia="en-US"/>
              </w:rPr>
              <w:t>.pants;</w:t>
            </w:r>
          </w:p>
          <w:p w:rsidR="004C70FB" w:rsidRPr="00473058" w:rsidRDefault="00200A33" w:rsidP="004C70FB">
            <w:pPr>
              <w:numPr>
                <w:ilvl w:val="0"/>
                <w:numId w:val="25"/>
              </w:numPr>
              <w:jc w:val="both"/>
              <w:rPr>
                <w:bCs/>
                <w:lang w:eastAsia="en-US"/>
              </w:rPr>
            </w:pPr>
            <w:r w:rsidRPr="00473058">
              <w:rPr>
                <w:bCs/>
                <w:lang w:eastAsia="en-US"/>
              </w:rPr>
              <w:t>Kodeksa 181.</w:t>
            </w:r>
            <w:r w:rsidR="00EA03DF" w:rsidRPr="00473058">
              <w:rPr>
                <w:bCs/>
                <w:lang w:eastAsia="en-US"/>
              </w:rPr>
              <w:t>panta trešā daļa</w:t>
            </w:r>
            <w:r w:rsidR="003904C2" w:rsidRPr="00473058">
              <w:rPr>
                <w:bCs/>
                <w:lang w:eastAsia="en-US"/>
              </w:rPr>
              <w:t xml:space="preserve">, 183.pants un </w:t>
            </w:r>
            <w:r w:rsidR="003904C2" w:rsidRPr="00473058">
              <w:t>183.</w:t>
            </w:r>
            <w:r w:rsidR="003904C2" w:rsidRPr="00473058">
              <w:rPr>
                <w:vertAlign w:val="superscript"/>
              </w:rPr>
              <w:t>3</w:t>
            </w:r>
            <w:r w:rsidR="003904C2" w:rsidRPr="00473058">
              <w:rPr>
                <w:bCs/>
                <w:lang w:eastAsia="en-US"/>
              </w:rPr>
              <w:t xml:space="preserve"> pants </w:t>
            </w:r>
            <w:r w:rsidR="004C70FB" w:rsidRPr="00473058">
              <w:rPr>
                <w:bCs/>
                <w:lang w:eastAsia="en-US"/>
              </w:rPr>
              <w:t>– Likumprojekta 2</w:t>
            </w:r>
            <w:r w:rsidRPr="00473058">
              <w:rPr>
                <w:bCs/>
                <w:lang w:eastAsia="en-US"/>
              </w:rPr>
              <w:t>7</w:t>
            </w:r>
            <w:r w:rsidR="0075445A" w:rsidRPr="00473058">
              <w:rPr>
                <w:bCs/>
                <w:lang w:eastAsia="en-US"/>
              </w:rPr>
              <w:t>.pants</w:t>
            </w:r>
            <w:r w:rsidR="008236A8" w:rsidRPr="00473058">
              <w:rPr>
                <w:bCs/>
                <w:lang w:eastAsia="en-US"/>
              </w:rPr>
              <w:t>.</w:t>
            </w:r>
          </w:p>
          <w:p w:rsidR="004C70FB" w:rsidRPr="00473058" w:rsidRDefault="00EA03DF" w:rsidP="004B172C">
            <w:pPr>
              <w:ind w:firstLine="252"/>
              <w:jc w:val="both"/>
              <w:rPr>
                <w:bCs/>
                <w:lang w:eastAsia="en-US"/>
              </w:rPr>
            </w:pPr>
            <w:r w:rsidRPr="00473058">
              <w:rPr>
                <w:bCs/>
                <w:lang w:eastAsia="en-US"/>
              </w:rPr>
              <w:t>A</w:t>
            </w:r>
            <w:r w:rsidR="004C70FB" w:rsidRPr="00473058">
              <w:rPr>
                <w:bCs/>
                <w:lang w:eastAsia="en-US"/>
              </w:rPr>
              <w:t xml:space="preserve">dministratīvo pārkāpumu tiesiskie sastāvi </w:t>
            </w:r>
            <w:r w:rsidR="00DB43DC" w:rsidRPr="00473058">
              <w:rPr>
                <w:bCs/>
                <w:lang w:eastAsia="en-US"/>
              </w:rPr>
              <w:t xml:space="preserve">Likumprojektā </w:t>
            </w:r>
            <w:r w:rsidR="004C70FB" w:rsidRPr="00473058">
              <w:rPr>
                <w:bCs/>
                <w:lang w:eastAsia="en-US"/>
              </w:rPr>
              <w:t xml:space="preserve">tiek saglabāti, jo ir jānodrošina </w:t>
            </w:r>
            <w:r w:rsidR="00FF7A1E" w:rsidRPr="00473058">
              <w:rPr>
                <w:bCs/>
                <w:lang w:eastAsia="en-US"/>
              </w:rPr>
              <w:t>pirotehnisko izstrādājumu aprites</w:t>
            </w:r>
            <w:r w:rsidR="00F4631C" w:rsidRPr="00473058">
              <w:rPr>
                <w:bCs/>
                <w:lang w:eastAsia="en-US"/>
              </w:rPr>
              <w:t xml:space="preserve"> jomas</w:t>
            </w:r>
            <w:r w:rsidR="004C70FB" w:rsidRPr="00473058">
              <w:rPr>
                <w:bCs/>
                <w:lang w:eastAsia="en-US"/>
              </w:rPr>
              <w:t xml:space="preserve"> reglamentējošo normatīvo aktu ievērošan</w:t>
            </w:r>
            <w:r w:rsidR="004E39D7" w:rsidRPr="00473058">
              <w:rPr>
                <w:bCs/>
                <w:lang w:eastAsia="en-US"/>
              </w:rPr>
              <w:t>a</w:t>
            </w:r>
            <w:r w:rsidR="00A66C0A" w:rsidRPr="00473058">
              <w:rPr>
                <w:bCs/>
                <w:lang w:eastAsia="en-US"/>
              </w:rPr>
              <w:t>. Minētajos Likumprojekta</w:t>
            </w:r>
            <w:r w:rsidR="004C70FB" w:rsidRPr="00473058">
              <w:rPr>
                <w:bCs/>
                <w:lang w:eastAsia="en-US"/>
              </w:rPr>
              <w:t xml:space="preserve"> pantos noteiktie </w:t>
            </w:r>
            <w:r w:rsidR="004E39D7" w:rsidRPr="00473058">
              <w:rPr>
                <w:bCs/>
                <w:lang w:eastAsia="en-US"/>
              </w:rPr>
              <w:t xml:space="preserve">pārkāpumi </w:t>
            </w:r>
            <w:r w:rsidR="004C70FB" w:rsidRPr="00473058">
              <w:rPr>
                <w:bCs/>
                <w:lang w:eastAsia="en-US"/>
              </w:rPr>
              <w:t xml:space="preserve">var radīt </w:t>
            </w:r>
            <w:r w:rsidR="00DB43DC" w:rsidRPr="00473058">
              <w:rPr>
                <w:bCs/>
                <w:lang w:eastAsia="en-US"/>
              </w:rPr>
              <w:t xml:space="preserve">būtiskas </w:t>
            </w:r>
            <w:r w:rsidR="004C70FB" w:rsidRPr="00473058">
              <w:rPr>
                <w:bCs/>
                <w:lang w:eastAsia="en-US"/>
              </w:rPr>
              <w:t xml:space="preserve">sekas, jo var tikt apdraudēta pastāvošā kārtība, kas noteikta normatīvajos aktos, piemēram, Likumā. Ņemot vērā pastāvošo aktualitāti </w:t>
            </w:r>
            <w:r w:rsidR="00FF7A1E" w:rsidRPr="00473058">
              <w:rPr>
                <w:bCs/>
                <w:lang w:eastAsia="en-US"/>
              </w:rPr>
              <w:t>pirotehnisko izstrādājumu aprites jomā</w:t>
            </w:r>
            <w:r w:rsidR="004C70FB" w:rsidRPr="00473058">
              <w:rPr>
                <w:bCs/>
                <w:lang w:eastAsia="en-US"/>
              </w:rPr>
              <w:t xml:space="preserve">, kā arī sabiedrības drošības nodrošināšanas jomā, šie administratīvie pārkāpumi aizskar sabiedriskās intereses pietiekami lielā mērā, lai attaisnotu nepieciešamību tos saglabāt. </w:t>
            </w:r>
          </w:p>
          <w:p w:rsidR="006C5B3A" w:rsidRPr="00473058" w:rsidRDefault="006C5B3A" w:rsidP="008236A8">
            <w:pPr>
              <w:jc w:val="both"/>
              <w:rPr>
                <w:bCs/>
                <w:lang w:eastAsia="en-US"/>
              </w:rPr>
            </w:pPr>
          </w:p>
          <w:p w:rsidR="000F79CA" w:rsidRPr="00473058" w:rsidRDefault="00CA0266" w:rsidP="00FE32AE">
            <w:pPr>
              <w:ind w:firstLine="252"/>
              <w:jc w:val="both"/>
            </w:pPr>
            <w:r w:rsidRPr="00473058">
              <w:rPr>
                <w:bCs/>
                <w:lang w:eastAsia="en-US"/>
              </w:rPr>
              <w:t>Kodeksa 181.panta trešajā daļā</w:t>
            </w:r>
            <w:r w:rsidR="004C70FB" w:rsidRPr="00473058">
              <w:rPr>
                <w:bCs/>
                <w:lang w:eastAsia="en-US"/>
              </w:rPr>
              <w:t xml:space="preserve"> paredzētā administratīvā pārkāpuma sastāvs</w:t>
            </w:r>
            <w:r w:rsidR="000F79CA" w:rsidRPr="00473058">
              <w:rPr>
                <w:bCs/>
                <w:lang w:eastAsia="en-US"/>
              </w:rPr>
              <w:t>,</w:t>
            </w:r>
            <w:r w:rsidR="004C70FB" w:rsidRPr="00473058">
              <w:rPr>
                <w:bCs/>
                <w:lang w:eastAsia="en-US"/>
              </w:rPr>
              <w:t xml:space="preserve"> </w:t>
            </w:r>
            <w:r w:rsidR="000F79CA" w:rsidRPr="00473058">
              <w:rPr>
                <w:bCs/>
                <w:lang w:eastAsia="en-US"/>
              </w:rPr>
              <w:t xml:space="preserve">pirotehnisko izstrādājumu aprites noteikumu pārkāpšana, </w:t>
            </w:r>
            <w:r w:rsidR="004C70FB" w:rsidRPr="00473058">
              <w:rPr>
                <w:bCs/>
                <w:lang w:eastAsia="en-US"/>
              </w:rPr>
              <w:t>izteikts Likumprojekta</w:t>
            </w:r>
            <w:r w:rsidR="00A333B2" w:rsidRPr="00473058">
              <w:rPr>
                <w:bCs/>
                <w:lang w:eastAsia="en-US"/>
              </w:rPr>
              <w:t xml:space="preserve"> 2</w:t>
            </w:r>
            <w:r w:rsidR="00EC33D0" w:rsidRPr="00473058">
              <w:rPr>
                <w:bCs/>
                <w:lang w:eastAsia="en-US"/>
              </w:rPr>
              <w:t>7.pantā</w:t>
            </w:r>
            <w:r w:rsidR="000F79CA" w:rsidRPr="00473058">
              <w:rPr>
                <w:bCs/>
                <w:lang w:eastAsia="en-US"/>
              </w:rPr>
              <w:t xml:space="preserve">, integrējot tajā </w:t>
            </w:r>
            <w:r w:rsidR="005D2423" w:rsidRPr="00473058">
              <w:rPr>
                <w:bCs/>
                <w:lang w:eastAsia="en-US"/>
              </w:rPr>
              <w:t xml:space="preserve">Kodeksa </w:t>
            </w:r>
            <w:r w:rsidR="005D2423" w:rsidRPr="00473058">
              <w:t>183. un 183.</w:t>
            </w:r>
            <w:r w:rsidR="005D2423" w:rsidRPr="00473058">
              <w:rPr>
                <w:vertAlign w:val="superscript"/>
              </w:rPr>
              <w:t xml:space="preserve">3 </w:t>
            </w:r>
            <w:r w:rsidR="005D2423" w:rsidRPr="00473058">
              <w:t>pantu sast</w:t>
            </w:r>
            <w:r w:rsidR="00386D91" w:rsidRPr="00473058">
              <w:t>āvus, ņemot vērā to, ka definējums “aprites noteikumi” ir ar plašāku tvērumu un iekļauj sevī gan komerciālās aprites noteikumus</w:t>
            </w:r>
            <w:r w:rsidR="00DB43DC" w:rsidRPr="00473058">
              <w:t>, pirotehnisko izstrādājumu piedāvāšanu tirgū, pirotehnisko pakalpojumu sniegšanas nosacījumus</w:t>
            </w:r>
            <w:r w:rsidR="00386D91" w:rsidRPr="00473058">
              <w:t>, gan speciālās atļaujas (licences) darbības laikā pildāmās prasības</w:t>
            </w:r>
            <w:r w:rsidR="00DB43DC" w:rsidRPr="00473058">
              <w:t>, pirotehnisko izstrādājumu ražošanas, glabāšanas, realizācijas nosacījumus, kā arī ražotāja, importētāja, izplatītāja un pirotehnisko pakalpojumu sniedzēja pienākumus</w:t>
            </w:r>
            <w:r w:rsidR="00386D91" w:rsidRPr="00473058">
              <w:t>.</w:t>
            </w:r>
          </w:p>
          <w:p w:rsidR="00F34307" w:rsidRPr="00473058" w:rsidRDefault="00F34307" w:rsidP="00FE32AE">
            <w:pPr>
              <w:ind w:firstLine="252"/>
              <w:jc w:val="both"/>
              <w:rPr>
                <w:shd w:val="clear" w:color="auto" w:fill="FFFFFF"/>
              </w:rPr>
            </w:pPr>
            <w:r w:rsidRPr="00473058">
              <w:t xml:space="preserve">Līdz ar to administratīvā atbildība par administratīvo sastāvu </w:t>
            </w:r>
            <w:r w:rsidRPr="00473058">
              <w:rPr>
                <w:i/>
              </w:rPr>
              <w:t>“</w:t>
            </w:r>
            <w:r w:rsidRPr="00473058">
              <w:rPr>
                <w:bCs/>
                <w:i/>
                <w:shd w:val="clear" w:color="auto" w:fill="FFFFFF"/>
              </w:rPr>
              <w:t xml:space="preserve">pirotehnisko izstrādājumu komerciālās aprites noteikumu pārkāpšana” </w:t>
            </w:r>
            <w:r w:rsidRPr="00473058">
              <w:rPr>
                <w:bCs/>
                <w:shd w:val="clear" w:color="auto" w:fill="FFFFFF"/>
              </w:rPr>
              <w:t xml:space="preserve">tiek paredzēta Likumprojekta 27.pantā </w:t>
            </w:r>
            <w:r w:rsidR="00C873C2" w:rsidRPr="00473058">
              <w:rPr>
                <w:bCs/>
                <w:shd w:val="clear" w:color="auto" w:fill="FFFFFF"/>
              </w:rPr>
              <w:t>“</w:t>
            </w:r>
            <w:r w:rsidR="00C873C2" w:rsidRPr="00473058">
              <w:rPr>
                <w:bCs/>
                <w:i/>
                <w:shd w:val="clear" w:color="auto" w:fill="FFFFFF"/>
              </w:rPr>
              <w:t>P</w:t>
            </w:r>
            <w:r w:rsidRPr="00473058">
              <w:rPr>
                <w:bCs/>
                <w:i/>
                <w:shd w:val="clear" w:color="auto" w:fill="FFFFFF"/>
              </w:rPr>
              <w:t>irotehnisko izstrādājumu aprites noteikumu pārkāpšana</w:t>
            </w:r>
            <w:r w:rsidR="00C873C2" w:rsidRPr="00473058">
              <w:rPr>
                <w:bCs/>
                <w:shd w:val="clear" w:color="auto" w:fill="FFFFFF"/>
              </w:rPr>
              <w:t>”</w:t>
            </w:r>
            <w:r w:rsidRPr="00473058">
              <w:rPr>
                <w:bCs/>
                <w:shd w:val="clear" w:color="auto" w:fill="FFFFFF"/>
              </w:rPr>
              <w:t>, neizdalot atsevišķi komerciālās aprites pārkāpumus</w:t>
            </w:r>
            <w:r w:rsidRPr="00473058">
              <w:rPr>
                <w:bCs/>
                <w:i/>
                <w:shd w:val="clear" w:color="auto" w:fill="FFFFFF"/>
              </w:rPr>
              <w:t xml:space="preserve">, </w:t>
            </w:r>
            <w:r w:rsidRPr="00473058">
              <w:rPr>
                <w:bCs/>
                <w:shd w:val="clear" w:color="auto" w:fill="FFFFFF"/>
              </w:rPr>
              <w:t>un attiecīgi pārkāpumi</w:t>
            </w:r>
            <w:r w:rsidRPr="00473058">
              <w:rPr>
                <w:bCs/>
                <w:i/>
                <w:shd w:val="clear" w:color="auto" w:fill="FFFFFF"/>
              </w:rPr>
              <w:t xml:space="preserve"> “p</w:t>
            </w:r>
            <w:r w:rsidRPr="00473058">
              <w:rPr>
                <w:i/>
                <w:shd w:val="clear" w:color="auto" w:fill="FFFFFF"/>
              </w:rPr>
              <w:t>ar tādu prasību neizpildi, kuras jāpilda speciālās atļaujas (licences) darbībām ar uguņošanas ierīcēm un skatuves pirotehniskajiem izstrādājumiem vai sprāgstvielām un spridzināšanas ietaisēm darbības laikā”</w:t>
            </w:r>
            <w:r w:rsidRPr="00473058">
              <w:rPr>
                <w:rFonts w:ascii="Arial" w:hAnsi="Arial" w:cs="Arial"/>
                <w:sz w:val="20"/>
                <w:szCs w:val="20"/>
                <w:shd w:val="clear" w:color="auto" w:fill="FFFFFF"/>
              </w:rPr>
              <w:t xml:space="preserve"> </w:t>
            </w:r>
            <w:r w:rsidRPr="00473058">
              <w:t>tiek regulēti Likumprojekta 27.</w:t>
            </w:r>
            <w:r w:rsidRPr="00473058">
              <w:rPr>
                <w:shd w:val="clear" w:color="auto" w:fill="FFFFFF"/>
              </w:rPr>
              <w:t>panta ietvaros, neizdalot no pirotehnisko izstrādājumu aprites noteikumiem atsevišķā normā prasības, kas jāpilda speciālās atļaujas (licences) darbības laikā.</w:t>
            </w:r>
          </w:p>
          <w:p w:rsidR="00361F25" w:rsidRPr="00473058" w:rsidRDefault="00906964" w:rsidP="00361F25">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r w:rsidRPr="00473058">
              <w:t>Pirotehnisko izstrādājumu aprite tiek regulēta Likumā, Ministru kabineta 2015.gada 28.jūlija noteikumos nr.434 “Pirotehnisko izst</w:t>
            </w:r>
            <w:r w:rsidR="00382C5C" w:rsidRPr="00473058">
              <w:t>rādājumu drošuma pamatprasības”</w:t>
            </w:r>
            <w:r w:rsidRPr="00473058">
              <w:t xml:space="preserve"> un Ministru kabineta </w:t>
            </w:r>
            <w:r w:rsidRPr="00473058">
              <w:lastRenderedPageBreak/>
              <w:t>2011.gada 22.marta noteikum</w:t>
            </w:r>
            <w:r w:rsidR="005260B8" w:rsidRPr="00473058">
              <w:t>os</w:t>
            </w:r>
            <w:r w:rsidRPr="00473058">
              <w:t xml:space="preserve"> nr.214 “</w:t>
            </w:r>
            <w:r w:rsidRPr="00473058">
              <w:rPr>
                <w:bCs/>
              </w:rPr>
              <w:t>Uguņošanas ierīču un skatuves pirotehnisko izstrādājumu glabāšanas, realizācijas, iegādāšanās, pārnēsāšanas, pārvadāšanas, ražošanas, demonstrēšanas (izmantošanas), kā arī komercizstāžu rīkošanas un pirotehnisko pakalpojumu sniegšanas noteikumi”.</w:t>
            </w:r>
            <w:r w:rsidR="00361F25" w:rsidRPr="00473058">
              <w:rPr>
                <w:bCs/>
              </w:rPr>
              <w:t xml:space="preserve"> Piemēram, saskaņā ar likuma 15.panta pirmo daļu </w:t>
            </w:r>
            <w:r w:rsidR="00361F25" w:rsidRPr="00473058">
              <w:t>F1 kategorijas uguņošanas ierīces ir tiesības iegādāties, glabāt un izmantot fiziskajai personai, kas sasniegusi 14 gadu vecumu. Savukārt praksē tiek konstatēti gadījumi, kad attiecīgā norma netiek ievērota. Sevišķi aktuāli pirotehnisko izstrādājumu aprite katru gadu ir ziemassvētku un jaunā gada sagaidī</w:t>
            </w:r>
            <w:r w:rsidR="00FB131F" w:rsidRPr="00473058">
              <w:t>šanas laikā</w:t>
            </w:r>
            <w:r w:rsidR="00361F25" w:rsidRPr="00473058">
              <w:t xml:space="preserve">, kad komercdarbība tiek veikta </w:t>
            </w:r>
            <w:r w:rsidR="00FB131F" w:rsidRPr="00473058">
              <w:t xml:space="preserve">neievērojot speciālajā atļaujā (licencē) ietverto, tādējādi pārkāpjot </w:t>
            </w:r>
            <w:r w:rsidR="00361F25" w:rsidRPr="00473058">
              <w:t xml:space="preserve"> Ministru kabin</w:t>
            </w:r>
            <w:r w:rsidR="00FB131F" w:rsidRPr="00473058">
              <w:t>eta 2011.gada 22.marta noteikumu</w:t>
            </w:r>
            <w:r w:rsidR="00361F25" w:rsidRPr="00473058">
              <w:t xml:space="preserve"> nr.214 “</w:t>
            </w:r>
            <w:r w:rsidR="00361F25" w:rsidRPr="00473058">
              <w:rPr>
                <w:bCs/>
              </w:rPr>
              <w:t>Uguņošanas ierīču un skatuves pirotehnisko izstrādājumu glabāšanas, realizācijas, iegādāšanās, pārnēsāšanas, pārvadāšanas, ražošanas, demonstrēšanas (izmantošanas), kā arī komercizstāžu rīkošanas un pirotehnisko pakalpojumu sniegšanas noteikumi”</w:t>
            </w:r>
            <w:r w:rsidR="00FB131F" w:rsidRPr="00473058">
              <w:rPr>
                <w:bCs/>
              </w:rPr>
              <w:t xml:space="preserve"> </w:t>
            </w:r>
            <w:r w:rsidR="00361F25" w:rsidRPr="00473058">
              <w:rPr>
                <w:shd w:val="clear" w:color="auto" w:fill="FFFFFF"/>
              </w:rPr>
              <w:t>35.</w:t>
            </w:r>
            <w:r w:rsidR="00FB131F" w:rsidRPr="00473058">
              <w:rPr>
                <w:shd w:val="clear" w:color="auto" w:fill="FFFFFF"/>
              </w:rPr>
              <w:t>punkta prasības “</w:t>
            </w:r>
            <w:r w:rsidR="00361F25" w:rsidRPr="00473058">
              <w:rPr>
                <w:shd w:val="clear" w:color="auto" w:fill="FFFFFF"/>
              </w:rPr>
              <w:t>Komersants, kas saņēmis speciālo atļauju (licenci) uguņošanas ierīču un skatuves pirotehnisko izstrādājumu realizācijai, glabā un realizē 2. un 3.klases uguņošanas ierīces un T1 klases skatuves pirotehniskos izstrādājumus mazumtirdzniecībā īpaši ierīkotā pastāvīgā tirdzniecības vietā, kuras adrese norādīta speciālajā atļaujā (licencē) (turpmāk – veikals). Glabāt un realizēt 4.klases uguņošanas ierīces un T2 klases skatuves pirotehniskos izstrādājumus veikalā nav atļauts.</w:t>
            </w:r>
            <w:r w:rsidR="00FB131F" w:rsidRPr="00473058">
              <w:rPr>
                <w:shd w:val="clear" w:color="auto" w:fill="FFFFFF"/>
              </w:rPr>
              <w:t>”</w:t>
            </w:r>
          </w:p>
          <w:p w:rsidR="00F34307" w:rsidRPr="00473058" w:rsidRDefault="00F34307" w:rsidP="00F34307">
            <w:pPr>
              <w:ind w:firstLine="252"/>
              <w:jc w:val="both"/>
              <w:rPr>
                <w:bCs/>
                <w:lang w:eastAsia="en-US"/>
              </w:rPr>
            </w:pPr>
            <w:r w:rsidRPr="00473058">
              <w:rPr>
                <w:bCs/>
                <w:lang w:eastAsia="en-US"/>
              </w:rPr>
              <w:t xml:space="preserve">Likumprojekta </w:t>
            </w:r>
            <w:r w:rsidR="00DF61D5" w:rsidRPr="00473058">
              <w:rPr>
                <w:bCs/>
                <w:lang w:eastAsia="en-US"/>
              </w:rPr>
              <w:t xml:space="preserve">27.pantā </w:t>
            </w:r>
            <w:r w:rsidR="00E1202D" w:rsidRPr="00473058">
              <w:rPr>
                <w:bCs/>
                <w:lang w:eastAsia="en-US"/>
              </w:rPr>
              <w:t>noteiktie</w:t>
            </w:r>
            <w:r w:rsidR="00DF61D5" w:rsidRPr="00473058">
              <w:rPr>
                <w:bCs/>
                <w:lang w:eastAsia="en-US"/>
              </w:rPr>
              <w:t xml:space="preserve"> naudas sodi par </w:t>
            </w:r>
            <w:r w:rsidR="00DF61D5" w:rsidRPr="00473058">
              <w:rPr>
                <w:shd w:val="clear" w:color="auto" w:fill="FFFFFF"/>
              </w:rPr>
              <w:t xml:space="preserve">pirotehnisko izstrādājumu aprites noteikumu pārkāpšanu – fiziskajām </w:t>
            </w:r>
            <w:r w:rsidR="00740E74" w:rsidRPr="00473058">
              <w:rPr>
                <w:shd w:val="clear" w:color="auto" w:fill="FFFFFF"/>
              </w:rPr>
              <w:t xml:space="preserve">un juridiskajām </w:t>
            </w:r>
            <w:r w:rsidR="00DF61D5" w:rsidRPr="00473058">
              <w:rPr>
                <w:shd w:val="clear" w:color="auto" w:fill="FFFFFF"/>
              </w:rPr>
              <w:t>personām tiek saglabāt</w:t>
            </w:r>
            <w:r w:rsidR="00E1202D" w:rsidRPr="00473058">
              <w:rPr>
                <w:shd w:val="clear" w:color="auto" w:fill="FFFFFF"/>
              </w:rPr>
              <w:t xml:space="preserve">i </w:t>
            </w:r>
            <w:r w:rsidR="00DF61D5" w:rsidRPr="00473058">
              <w:rPr>
                <w:shd w:val="clear" w:color="auto" w:fill="FFFFFF"/>
              </w:rPr>
              <w:t>Kodeksā noteiktajā apmērā</w:t>
            </w:r>
            <w:r w:rsidR="003904C2" w:rsidRPr="00473058">
              <w:rPr>
                <w:shd w:val="clear" w:color="auto" w:fill="FFFFFF"/>
              </w:rPr>
              <w:t xml:space="preserve">, ņemot vērā Kodeksa </w:t>
            </w:r>
            <w:r w:rsidR="003904C2" w:rsidRPr="00473058">
              <w:rPr>
                <w:bCs/>
                <w:lang w:eastAsia="en-US"/>
              </w:rPr>
              <w:t>181.panta trešā daļā</w:t>
            </w:r>
            <w:r w:rsidR="00BA6D78" w:rsidRPr="00473058">
              <w:rPr>
                <w:bCs/>
                <w:lang w:eastAsia="en-US"/>
              </w:rPr>
              <w:t xml:space="preserve"> (</w:t>
            </w:r>
            <w:r w:rsidR="00BA6D78" w:rsidRPr="00473058">
              <w:rPr>
                <w:bCs/>
                <w:i/>
                <w:lang w:eastAsia="en-US"/>
              </w:rPr>
              <w:t xml:space="preserve">fiziskai personai no 35 līdz 350 </w:t>
            </w:r>
            <w:proofErr w:type="spellStart"/>
            <w:r w:rsidR="00BA6D78" w:rsidRPr="00473058">
              <w:rPr>
                <w:bCs/>
                <w:i/>
                <w:lang w:eastAsia="en-US"/>
              </w:rPr>
              <w:t>euro</w:t>
            </w:r>
            <w:proofErr w:type="spellEnd"/>
            <w:r w:rsidR="00BA6D78" w:rsidRPr="00473058">
              <w:rPr>
                <w:bCs/>
                <w:i/>
                <w:lang w:eastAsia="en-US"/>
              </w:rPr>
              <w:t xml:space="preserve">, juridiskajai personai no 70 līdz 700 </w:t>
            </w:r>
            <w:proofErr w:type="spellStart"/>
            <w:r w:rsidR="00BA6D78" w:rsidRPr="00473058">
              <w:rPr>
                <w:bCs/>
                <w:i/>
                <w:lang w:eastAsia="en-US"/>
              </w:rPr>
              <w:t>euro</w:t>
            </w:r>
            <w:proofErr w:type="spellEnd"/>
            <w:r w:rsidR="00BA6D78" w:rsidRPr="00473058">
              <w:rPr>
                <w:bCs/>
                <w:lang w:eastAsia="en-US"/>
              </w:rPr>
              <w:t>)</w:t>
            </w:r>
            <w:r w:rsidR="003904C2" w:rsidRPr="00473058">
              <w:rPr>
                <w:bCs/>
                <w:lang w:eastAsia="en-US"/>
              </w:rPr>
              <w:t>, 183.pantā</w:t>
            </w:r>
            <w:r w:rsidR="00BA6D78" w:rsidRPr="00473058">
              <w:rPr>
                <w:bCs/>
                <w:lang w:eastAsia="en-US"/>
              </w:rPr>
              <w:t xml:space="preserve"> (</w:t>
            </w:r>
            <w:r w:rsidR="00BA6D78" w:rsidRPr="00473058">
              <w:rPr>
                <w:bCs/>
                <w:i/>
                <w:lang w:eastAsia="en-US"/>
              </w:rPr>
              <w:t xml:space="preserve">juridiskajai personai no 35 līdz 1400 </w:t>
            </w:r>
            <w:proofErr w:type="spellStart"/>
            <w:r w:rsidR="00BA6D78" w:rsidRPr="00473058">
              <w:rPr>
                <w:bCs/>
                <w:i/>
                <w:lang w:eastAsia="en-US"/>
              </w:rPr>
              <w:t>euro</w:t>
            </w:r>
            <w:proofErr w:type="spellEnd"/>
            <w:r w:rsidR="00BA6D78" w:rsidRPr="00473058">
              <w:rPr>
                <w:bCs/>
                <w:lang w:eastAsia="en-US"/>
              </w:rPr>
              <w:t xml:space="preserve">), </w:t>
            </w:r>
            <w:r w:rsidR="003904C2" w:rsidRPr="00473058">
              <w:rPr>
                <w:bCs/>
                <w:lang w:eastAsia="en-US"/>
              </w:rPr>
              <w:t xml:space="preserve"> un </w:t>
            </w:r>
            <w:r w:rsidR="003904C2" w:rsidRPr="00473058">
              <w:t>183.</w:t>
            </w:r>
            <w:r w:rsidR="003904C2" w:rsidRPr="00473058">
              <w:rPr>
                <w:vertAlign w:val="superscript"/>
              </w:rPr>
              <w:t>3</w:t>
            </w:r>
            <w:r w:rsidR="003904C2" w:rsidRPr="00473058">
              <w:rPr>
                <w:bCs/>
                <w:lang w:eastAsia="en-US"/>
              </w:rPr>
              <w:t xml:space="preserve"> pantā </w:t>
            </w:r>
            <w:r w:rsidR="00BA6D78" w:rsidRPr="00473058">
              <w:rPr>
                <w:bCs/>
                <w:lang w:eastAsia="en-US"/>
              </w:rPr>
              <w:t>(</w:t>
            </w:r>
            <w:r w:rsidR="00BA6D78" w:rsidRPr="00473058">
              <w:rPr>
                <w:bCs/>
                <w:i/>
                <w:lang w:eastAsia="en-US"/>
              </w:rPr>
              <w:t xml:space="preserve">fiziskai personai no 35 līdz 350 </w:t>
            </w:r>
            <w:proofErr w:type="spellStart"/>
            <w:r w:rsidR="00BA6D78" w:rsidRPr="00473058">
              <w:rPr>
                <w:bCs/>
                <w:i/>
                <w:lang w:eastAsia="en-US"/>
              </w:rPr>
              <w:t>euro</w:t>
            </w:r>
            <w:proofErr w:type="spellEnd"/>
            <w:r w:rsidR="00BA6D78" w:rsidRPr="00473058">
              <w:rPr>
                <w:bCs/>
                <w:i/>
                <w:lang w:eastAsia="en-US"/>
              </w:rPr>
              <w:t xml:space="preserve">, juridiskajai personai no 70 līdz 500 </w:t>
            </w:r>
            <w:proofErr w:type="spellStart"/>
            <w:r w:rsidR="00BA6D78" w:rsidRPr="00473058">
              <w:rPr>
                <w:bCs/>
                <w:i/>
                <w:lang w:eastAsia="en-US"/>
              </w:rPr>
              <w:t>euro</w:t>
            </w:r>
            <w:proofErr w:type="spellEnd"/>
            <w:r w:rsidR="00BA6D78" w:rsidRPr="00473058">
              <w:rPr>
                <w:bCs/>
                <w:lang w:eastAsia="en-US"/>
              </w:rPr>
              <w:t xml:space="preserve">), </w:t>
            </w:r>
            <w:r w:rsidR="003904C2" w:rsidRPr="00473058">
              <w:rPr>
                <w:bCs/>
                <w:lang w:eastAsia="en-US"/>
              </w:rPr>
              <w:t>noteikto minimālo un maksimālo sankciju apmēru</w:t>
            </w:r>
            <w:r w:rsidR="00740E74" w:rsidRPr="00473058">
              <w:rPr>
                <w:shd w:val="clear" w:color="auto" w:fill="FFFFFF"/>
              </w:rPr>
              <w:t>.</w:t>
            </w:r>
          </w:p>
          <w:p w:rsidR="00F736D0" w:rsidRPr="00473058" w:rsidRDefault="00F736D0" w:rsidP="000D429C">
            <w:pPr>
              <w:ind w:firstLine="252"/>
              <w:jc w:val="both"/>
              <w:rPr>
                <w:bCs/>
                <w:lang w:eastAsia="en-US"/>
              </w:rPr>
            </w:pPr>
          </w:p>
          <w:p w:rsidR="000D429C" w:rsidRPr="00473058" w:rsidRDefault="000D429C" w:rsidP="000D429C">
            <w:pPr>
              <w:ind w:firstLine="252"/>
              <w:jc w:val="both"/>
            </w:pPr>
            <w:r w:rsidRPr="00473058">
              <w:rPr>
                <w:bCs/>
                <w:lang w:eastAsia="en-US"/>
              </w:rPr>
              <w:t>Kodeksa 166.</w:t>
            </w:r>
            <w:r w:rsidRPr="00473058">
              <w:rPr>
                <w:bCs/>
                <w:vertAlign w:val="superscript"/>
                <w:lang w:eastAsia="en-US"/>
              </w:rPr>
              <w:t>2</w:t>
            </w:r>
            <w:r w:rsidRPr="00473058">
              <w:rPr>
                <w:bCs/>
                <w:lang w:eastAsia="en-US"/>
              </w:rPr>
              <w:t xml:space="preserve"> pantā</w:t>
            </w:r>
            <w:r w:rsidR="00E1202D" w:rsidRPr="00473058">
              <w:rPr>
                <w:bCs/>
                <w:lang w:eastAsia="en-US"/>
              </w:rPr>
              <w:t xml:space="preserve"> paredzētā administratīvā pārkāpuma sastāvs komercdarbības uzsākšana vai veikšana bez speciālās atļaujas (licences) izteikts </w:t>
            </w:r>
            <w:r w:rsidRPr="00473058">
              <w:rPr>
                <w:bCs/>
                <w:lang w:eastAsia="en-US"/>
              </w:rPr>
              <w:t>Likumprojekta 28.pant</w:t>
            </w:r>
            <w:r w:rsidR="00E1202D" w:rsidRPr="00473058">
              <w:rPr>
                <w:bCs/>
                <w:lang w:eastAsia="en-US"/>
              </w:rPr>
              <w:t xml:space="preserve">ā. </w:t>
            </w:r>
            <w:r w:rsidRPr="00473058">
              <w:rPr>
                <w:bCs/>
                <w:lang w:eastAsia="en-US"/>
              </w:rPr>
              <w:t xml:space="preserve"> </w:t>
            </w:r>
            <w:r w:rsidRPr="00473058">
              <w:rPr>
                <w:rFonts w:eastAsia="Calibri"/>
                <w:lang w:eastAsia="en-US"/>
              </w:rPr>
              <w:t>Likumprojekta 28.pantā</w:t>
            </w:r>
            <w:r w:rsidR="00DA2272" w:rsidRPr="00473058">
              <w:rPr>
                <w:rFonts w:eastAsia="Calibri"/>
                <w:lang w:eastAsia="en-US"/>
              </w:rPr>
              <w:t xml:space="preserve"> precizēts</w:t>
            </w:r>
            <w:r w:rsidRPr="00473058">
              <w:rPr>
                <w:rFonts w:eastAsia="Calibri"/>
                <w:lang w:eastAsia="en-US"/>
              </w:rPr>
              <w:t xml:space="preserve"> Kodeksa 166.</w:t>
            </w:r>
            <w:r w:rsidRPr="00473058">
              <w:rPr>
                <w:rFonts w:eastAsia="Calibri"/>
                <w:vertAlign w:val="superscript"/>
                <w:lang w:eastAsia="en-US"/>
              </w:rPr>
              <w:t>2</w:t>
            </w:r>
            <w:r w:rsidR="00E1202D" w:rsidRPr="00473058">
              <w:rPr>
                <w:rFonts w:eastAsia="Calibri"/>
                <w:vertAlign w:val="superscript"/>
                <w:lang w:eastAsia="en-US"/>
              </w:rPr>
              <w:t xml:space="preserve"> </w:t>
            </w:r>
            <w:r w:rsidRPr="00473058">
              <w:rPr>
                <w:rFonts w:eastAsia="Calibri"/>
                <w:lang w:eastAsia="en-US"/>
              </w:rPr>
              <w:t xml:space="preserve">panta pirmajā daļā </w:t>
            </w:r>
            <w:r w:rsidR="00E1202D" w:rsidRPr="00473058">
              <w:rPr>
                <w:rFonts w:eastAsia="Calibri"/>
                <w:lang w:eastAsia="en-US"/>
              </w:rPr>
              <w:t xml:space="preserve">paredzētā </w:t>
            </w:r>
            <w:r w:rsidRPr="00473058">
              <w:rPr>
                <w:rFonts w:eastAsia="Calibri"/>
                <w:lang w:eastAsia="en-US"/>
              </w:rPr>
              <w:t>papildsoda formulējums atbilstoši Komerclikuma</w:t>
            </w:r>
            <w:r w:rsidRPr="00473058">
              <w:rPr>
                <w:bCs/>
              </w:rPr>
              <w:t xml:space="preserve"> 4.</w:t>
            </w:r>
            <w:r w:rsidRPr="00473058">
              <w:rPr>
                <w:bCs/>
                <w:vertAlign w:val="superscript"/>
              </w:rPr>
              <w:t>2</w:t>
            </w:r>
            <w:r w:rsidR="00DA2272" w:rsidRPr="00473058">
              <w:rPr>
                <w:bCs/>
                <w:vertAlign w:val="superscript"/>
              </w:rPr>
              <w:t xml:space="preserve"> </w:t>
            </w:r>
            <w:r w:rsidRPr="00473058">
              <w:rPr>
                <w:bCs/>
              </w:rPr>
              <w:t>pantam</w:t>
            </w:r>
            <w:r w:rsidR="00FB131F" w:rsidRPr="00473058">
              <w:rPr>
                <w:bCs/>
              </w:rPr>
              <w:t>.</w:t>
            </w:r>
          </w:p>
          <w:p w:rsidR="00F736D0" w:rsidRPr="00473058" w:rsidRDefault="00CE3FEA" w:rsidP="00F736D0">
            <w:pPr>
              <w:shd w:val="clear" w:color="auto" w:fill="FFFFFF"/>
              <w:jc w:val="both"/>
              <w:rPr>
                <w:bCs/>
              </w:rPr>
            </w:pPr>
            <w:r w:rsidRPr="00473058">
              <w:t>P</w:t>
            </w:r>
            <w:r w:rsidR="00F736D0" w:rsidRPr="00473058">
              <w:t>rasība, ka komercdarbība pirotehnisko izstrādājumu aprites jomā ir iespējama tikai saņemot speciālo atļauju (licenci)</w:t>
            </w:r>
            <w:r w:rsidRPr="00473058">
              <w:t xml:space="preserve">, ir </w:t>
            </w:r>
            <w:r w:rsidR="00F736D0" w:rsidRPr="00473058">
              <w:t>noteikta Likumā un Ministru kabineta 2011.gada 28.jūnija noteikumos nr.502 “</w:t>
            </w:r>
            <w:r w:rsidR="00F736D0" w:rsidRPr="00473058">
              <w:rPr>
                <w:bCs/>
              </w:rPr>
              <w:t>Kārtība, kādā izsniedzamas speciālās atļaujas (licences) un Valsts policijas atļaujas komercdarbībai ar uguņošanas ierīcēm un skatuves pirotehniskajiem izstrādājumiem un maksājama valsts nodeva”.</w:t>
            </w:r>
          </w:p>
          <w:p w:rsidR="000D429C" w:rsidRPr="00473058" w:rsidRDefault="000D429C" w:rsidP="00386D91">
            <w:pPr>
              <w:ind w:firstLine="252"/>
              <w:jc w:val="both"/>
              <w:rPr>
                <w:bCs/>
                <w:lang w:eastAsia="en-US"/>
              </w:rPr>
            </w:pPr>
          </w:p>
          <w:p w:rsidR="005260B8" w:rsidRPr="00473058" w:rsidRDefault="004C70FB" w:rsidP="00386D91">
            <w:pPr>
              <w:ind w:firstLine="252"/>
              <w:jc w:val="both"/>
              <w:rPr>
                <w:bCs/>
                <w:lang w:eastAsia="en-US"/>
              </w:rPr>
            </w:pPr>
            <w:r w:rsidRPr="00473058">
              <w:rPr>
                <w:bCs/>
                <w:lang w:eastAsia="en-US"/>
              </w:rPr>
              <w:t xml:space="preserve">Likumprojekta </w:t>
            </w:r>
            <w:r w:rsidR="00815B5B" w:rsidRPr="00473058">
              <w:rPr>
                <w:bCs/>
                <w:lang w:eastAsia="en-US"/>
              </w:rPr>
              <w:t>29</w:t>
            </w:r>
            <w:r w:rsidRPr="00473058">
              <w:rPr>
                <w:bCs/>
                <w:lang w:eastAsia="en-US"/>
              </w:rPr>
              <w:t xml:space="preserve">.pants noteic kompetenci sodu piemērošanā, kas paredz, ka administratīvo pārkāpumu procesus par Likumprojekta 27. un </w:t>
            </w:r>
            <w:r w:rsidR="00815B5B" w:rsidRPr="00473058">
              <w:rPr>
                <w:bCs/>
                <w:lang w:eastAsia="en-US"/>
              </w:rPr>
              <w:t>28</w:t>
            </w:r>
            <w:r w:rsidRPr="00473058">
              <w:rPr>
                <w:bCs/>
                <w:lang w:eastAsia="en-US"/>
              </w:rPr>
              <w:t>.pantā paredzētajiem administratīvajiem pārkāpumiem veic Valsts policija</w:t>
            </w:r>
            <w:r w:rsidR="00B37291" w:rsidRPr="00473058">
              <w:rPr>
                <w:bCs/>
                <w:lang w:eastAsia="en-US"/>
              </w:rPr>
              <w:t xml:space="preserve"> un pašvaldības policija</w:t>
            </w:r>
            <w:r w:rsidR="00AE5354" w:rsidRPr="00473058">
              <w:rPr>
                <w:bCs/>
                <w:lang w:eastAsia="en-US"/>
              </w:rPr>
              <w:t>.</w:t>
            </w:r>
            <w:r w:rsidR="00284CD7" w:rsidRPr="00473058">
              <w:rPr>
                <w:bCs/>
                <w:lang w:eastAsia="en-US"/>
              </w:rPr>
              <w:t xml:space="preserve"> </w:t>
            </w:r>
          </w:p>
          <w:p w:rsidR="005260B8" w:rsidRPr="00473058" w:rsidRDefault="005260B8" w:rsidP="00386D91">
            <w:pPr>
              <w:ind w:firstLine="252"/>
              <w:jc w:val="both"/>
              <w:rPr>
                <w:bCs/>
                <w:lang w:eastAsia="en-US"/>
              </w:rPr>
            </w:pPr>
          </w:p>
          <w:p w:rsidR="004C70FB" w:rsidRPr="00473058" w:rsidRDefault="00430293" w:rsidP="00386D91">
            <w:pPr>
              <w:ind w:firstLine="252"/>
              <w:jc w:val="both"/>
              <w:rPr>
                <w:bCs/>
                <w:lang w:eastAsia="en-US"/>
              </w:rPr>
            </w:pPr>
            <w:r w:rsidRPr="00473058">
              <w:rPr>
                <w:bCs/>
                <w:lang w:eastAsia="en-US"/>
              </w:rPr>
              <w:lastRenderedPageBreak/>
              <w:t>S</w:t>
            </w:r>
            <w:r w:rsidR="004C70FB" w:rsidRPr="00473058">
              <w:rPr>
                <w:bCs/>
                <w:lang w:eastAsia="en-US"/>
              </w:rPr>
              <w:t>askaņā ar Kodeksa 215</w:t>
            </w:r>
            <w:r w:rsidR="004C70FB" w:rsidRPr="00473058">
              <w:rPr>
                <w:bCs/>
                <w:vertAlign w:val="superscript"/>
                <w:lang w:eastAsia="en-US"/>
              </w:rPr>
              <w:t>1</w:t>
            </w:r>
            <w:r w:rsidR="004C70FB" w:rsidRPr="00473058">
              <w:rPr>
                <w:bCs/>
                <w:lang w:eastAsia="en-US"/>
              </w:rPr>
              <w:t>.pantu Kodeksa 166</w:t>
            </w:r>
            <w:r w:rsidR="004C70FB" w:rsidRPr="00473058">
              <w:rPr>
                <w:bCs/>
                <w:vertAlign w:val="superscript"/>
                <w:lang w:eastAsia="en-US"/>
              </w:rPr>
              <w:t>2</w:t>
            </w:r>
            <w:r w:rsidR="004C70FB" w:rsidRPr="00473058">
              <w:rPr>
                <w:bCs/>
                <w:lang w:eastAsia="en-US"/>
              </w:rPr>
              <w:t>.pantā paredzēto administratīvo pārkāpumu (par komercdarbību bez speciālās atļaujas (licences)) lietu izskatīšana ir piekritība Valsts ieņēmumu dienestam (izņemot lietas par pārkāpumiem tajos gadījumos, kad kontroli veikušas un administratīvo pārkāpumu protokolu par šajā pantā minēto pārkāpumu sastādījušas citas institūcijas amatpersonas, kas pilnvarotas izskatīt attiecīgā administratīvā pārkāpuma lietas).</w:t>
            </w:r>
          </w:p>
          <w:p w:rsidR="00951175" w:rsidRPr="00473058" w:rsidRDefault="004C70FB" w:rsidP="00386D91">
            <w:pPr>
              <w:ind w:firstLine="252"/>
              <w:jc w:val="both"/>
              <w:rPr>
                <w:bCs/>
                <w:lang w:eastAsia="en-US"/>
              </w:rPr>
            </w:pPr>
            <w:r w:rsidRPr="00473058">
              <w:rPr>
                <w:bCs/>
                <w:lang w:eastAsia="en-US"/>
              </w:rPr>
              <w:t xml:space="preserve">Izvērtējot gadījumu skaitu, kad Valsts ieņēmumu dienests konstatējis </w:t>
            </w:r>
            <w:r w:rsidR="00B37291" w:rsidRPr="00473058">
              <w:rPr>
                <w:bCs/>
                <w:lang w:eastAsia="en-US"/>
              </w:rPr>
              <w:t>pirotehnisko izstrādājumu aprites</w:t>
            </w:r>
            <w:r w:rsidRPr="00473058">
              <w:rPr>
                <w:bCs/>
                <w:lang w:eastAsia="en-US"/>
              </w:rPr>
              <w:t xml:space="preserve"> darbību bez speciālās atļaujas (licences), secināts, ka pēdējo trīs gadu laikā šādi gadījumi </w:t>
            </w:r>
            <w:r w:rsidR="00504CE0" w:rsidRPr="00473058">
              <w:rPr>
                <w:bCs/>
                <w:lang w:eastAsia="en-US"/>
              </w:rPr>
              <w:t xml:space="preserve">nav </w:t>
            </w:r>
            <w:r w:rsidRPr="00473058">
              <w:rPr>
                <w:bCs/>
                <w:lang w:eastAsia="en-US"/>
              </w:rPr>
              <w:t xml:space="preserve">konstatēti. </w:t>
            </w:r>
            <w:r w:rsidR="00B37291" w:rsidRPr="00473058">
              <w:rPr>
                <w:bCs/>
                <w:lang w:eastAsia="en-US"/>
              </w:rPr>
              <w:t>Valsts policija</w:t>
            </w:r>
            <w:r w:rsidRPr="00473058">
              <w:rPr>
                <w:bCs/>
                <w:lang w:eastAsia="en-US"/>
              </w:rPr>
              <w:t xml:space="preserve"> uzskata, ka nav lietderīgi noteikt </w:t>
            </w:r>
            <w:r w:rsidR="00B37291" w:rsidRPr="00473058">
              <w:rPr>
                <w:bCs/>
                <w:lang w:eastAsia="en-US"/>
              </w:rPr>
              <w:t xml:space="preserve">Valsts ieņēmumu dienesta </w:t>
            </w:r>
            <w:r w:rsidRPr="00473058">
              <w:rPr>
                <w:bCs/>
                <w:lang w:eastAsia="en-US"/>
              </w:rPr>
              <w:t xml:space="preserve">kompetenci soda </w:t>
            </w:r>
            <w:r w:rsidR="005260B8" w:rsidRPr="00473058">
              <w:rPr>
                <w:bCs/>
                <w:lang w:eastAsia="en-US"/>
              </w:rPr>
              <w:t>piemērošanā par Likumprojekta 28</w:t>
            </w:r>
            <w:r w:rsidRPr="00473058">
              <w:rPr>
                <w:bCs/>
                <w:lang w:eastAsia="en-US"/>
              </w:rPr>
              <w:t>.pantā paredzētajiem pārkāpumiem.</w:t>
            </w:r>
          </w:p>
        </w:tc>
      </w:tr>
      <w:tr w:rsidR="00A7399B" w:rsidRPr="00473058" w:rsidTr="00154B4C">
        <w:tc>
          <w:tcPr>
            <w:tcW w:w="320" w:type="pct"/>
            <w:hideMark/>
          </w:tcPr>
          <w:p w:rsidR="007F26BC" w:rsidRPr="00473058" w:rsidRDefault="007F26BC" w:rsidP="001A46FA">
            <w:pPr>
              <w:jc w:val="center"/>
            </w:pPr>
            <w:r w:rsidRPr="00473058">
              <w:lastRenderedPageBreak/>
              <w:t>3.</w:t>
            </w:r>
          </w:p>
        </w:tc>
        <w:tc>
          <w:tcPr>
            <w:tcW w:w="1047" w:type="pct"/>
            <w:gridSpan w:val="3"/>
            <w:hideMark/>
          </w:tcPr>
          <w:p w:rsidR="007F26BC" w:rsidRPr="00473058" w:rsidRDefault="007F26BC" w:rsidP="001A46FA">
            <w:r w:rsidRPr="00473058">
              <w:t>Projekta izstrādē iesaistītās institūcijas un publiskas personas kapitālsabiedrības</w:t>
            </w:r>
          </w:p>
        </w:tc>
        <w:tc>
          <w:tcPr>
            <w:tcW w:w="3633" w:type="pct"/>
            <w:gridSpan w:val="7"/>
            <w:hideMark/>
          </w:tcPr>
          <w:p w:rsidR="00882A12" w:rsidRPr="00473058" w:rsidRDefault="00882A12" w:rsidP="00E231B2">
            <w:pPr>
              <w:jc w:val="both"/>
            </w:pPr>
            <w:r w:rsidRPr="00473058">
              <w:t xml:space="preserve">Iekšlietu ministrija, </w:t>
            </w:r>
            <w:r w:rsidR="00E231B2" w:rsidRPr="00473058">
              <w:t>Valsts policija.</w:t>
            </w:r>
          </w:p>
        </w:tc>
      </w:tr>
      <w:tr w:rsidR="00A7399B" w:rsidRPr="00473058" w:rsidTr="00154B4C">
        <w:tc>
          <w:tcPr>
            <w:tcW w:w="320" w:type="pct"/>
            <w:hideMark/>
          </w:tcPr>
          <w:p w:rsidR="007F26BC" w:rsidRPr="00473058" w:rsidRDefault="007F26BC" w:rsidP="001A46FA">
            <w:pPr>
              <w:jc w:val="center"/>
            </w:pPr>
            <w:r w:rsidRPr="00473058">
              <w:t>4.</w:t>
            </w:r>
          </w:p>
        </w:tc>
        <w:tc>
          <w:tcPr>
            <w:tcW w:w="1047" w:type="pct"/>
            <w:gridSpan w:val="3"/>
            <w:hideMark/>
          </w:tcPr>
          <w:p w:rsidR="007F26BC" w:rsidRPr="00473058" w:rsidRDefault="007F26BC" w:rsidP="001A46FA">
            <w:r w:rsidRPr="00473058">
              <w:t>Cita informācija</w:t>
            </w:r>
          </w:p>
        </w:tc>
        <w:tc>
          <w:tcPr>
            <w:tcW w:w="3633" w:type="pct"/>
            <w:gridSpan w:val="7"/>
          </w:tcPr>
          <w:p w:rsidR="008432E0" w:rsidRPr="00473058" w:rsidRDefault="00402A0A" w:rsidP="001A46FA">
            <w:pPr>
              <w:jc w:val="both"/>
            </w:pPr>
            <w:r w:rsidRPr="00473058">
              <w:t>Likumprojekts pirms izsludināšanas Valsts sekretāru sanāksmē izskatīts Tieslietu ministrijas izveidotajā Latvijas Administratīvo pārkāpumu kodeksa pastāvīgajā darba grupā.</w:t>
            </w:r>
          </w:p>
        </w:tc>
      </w:tr>
      <w:tr w:rsidR="007F26BC" w:rsidRPr="00473058" w:rsidTr="005D76F9">
        <w:trPr>
          <w:cantSplit/>
        </w:trPr>
        <w:tc>
          <w:tcPr>
            <w:tcW w:w="5000" w:type="pct"/>
            <w:gridSpan w:val="11"/>
            <w:vAlign w:val="center"/>
            <w:hideMark/>
          </w:tcPr>
          <w:p w:rsidR="00667CC6" w:rsidRPr="00473058" w:rsidRDefault="007F26BC" w:rsidP="00667CC6">
            <w:pPr>
              <w:jc w:val="center"/>
            </w:pPr>
            <w:r w:rsidRPr="00473058">
              <w:rPr>
                <w:b/>
                <w:bCs/>
              </w:rPr>
              <w:t>II. Tiesību akta projekta ietekme uz sabiedrību, tautsaimniecības attīstību un administratīvo slogu</w:t>
            </w:r>
          </w:p>
        </w:tc>
      </w:tr>
      <w:tr w:rsidR="00A7399B" w:rsidRPr="00473058" w:rsidTr="00154B4C">
        <w:trPr>
          <w:cantSplit/>
          <w:trHeight w:val="2190"/>
        </w:trPr>
        <w:tc>
          <w:tcPr>
            <w:tcW w:w="320" w:type="pct"/>
            <w:hideMark/>
          </w:tcPr>
          <w:p w:rsidR="007F26BC" w:rsidRPr="00473058" w:rsidRDefault="00085E4E" w:rsidP="001A46FA">
            <w:pPr>
              <w:jc w:val="center"/>
            </w:pPr>
            <w:r w:rsidRPr="00473058">
              <w:t>1.</w:t>
            </w:r>
          </w:p>
        </w:tc>
        <w:tc>
          <w:tcPr>
            <w:tcW w:w="1047" w:type="pct"/>
            <w:gridSpan w:val="3"/>
            <w:hideMark/>
          </w:tcPr>
          <w:p w:rsidR="00C44D90" w:rsidRPr="00473058" w:rsidRDefault="007F26BC">
            <w:r w:rsidRPr="00473058">
              <w:t xml:space="preserve">Sabiedrības </w:t>
            </w:r>
            <w:proofErr w:type="spellStart"/>
            <w:r w:rsidRPr="00473058">
              <w:t>mērķgrupas</w:t>
            </w:r>
            <w:proofErr w:type="spellEnd"/>
            <w:r w:rsidRPr="00473058">
              <w:t>, kuras tiesiskais regulējums ietekmē vai varētu ietekmēt</w:t>
            </w:r>
          </w:p>
          <w:p w:rsidR="00C44D90" w:rsidRPr="00473058" w:rsidRDefault="00C44D90"/>
          <w:p w:rsidR="007D1E77" w:rsidRPr="00473058" w:rsidRDefault="007D1E77"/>
        </w:tc>
        <w:tc>
          <w:tcPr>
            <w:tcW w:w="3633" w:type="pct"/>
            <w:gridSpan w:val="7"/>
            <w:hideMark/>
          </w:tcPr>
          <w:p w:rsidR="005109FE" w:rsidRPr="00473058" w:rsidRDefault="005109FE" w:rsidP="008D50C5">
            <w:pPr>
              <w:jc w:val="both"/>
            </w:pPr>
            <w:r w:rsidRPr="00473058">
              <w:t xml:space="preserve">Sabiedrības </w:t>
            </w:r>
            <w:proofErr w:type="spellStart"/>
            <w:r w:rsidRPr="00473058">
              <w:t>mērķgrupas</w:t>
            </w:r>
            <w:proofErr w:type="spellEnd"/>
            <w:r w:rsidRPr="00473058">
              <w:t xml:space="preserve"> ir komersanti, kas saņēmuši speciālo atļauju (licenci):</w:t>
            </w:r>
          </w:p>
          <w:p w:rsidR="004768D7" w:rsidRPr="00473058" w:rsidRDefault="008D50C5" w:rsidP="005109FE">
            <w:pPr>
              <w:pStyle w:val="Sarakstarindkopa"/>
              <w:numPr>
                <w:ilvl w:val="0"/>
                <w:numId w:val="32"/>
              </w:numPr>
              <w:jc w:val="both"/>
            </w:pPr>
            <w:r w:rsidRPr="00473058">
              <w:t xml:space="preserve">pirotehnisko izstrādājumu (uguņošanas ierīču un skatuves pirotehnisko izstrādājumu) realizācijai </w:t>
            </w:r>
            <w:r w:rsidR="00C77FBB" w:rsidRPr="00473058">
              <w:t>50;</w:t>
            </w:r>
          </w:p>
          <w:p w:rsidR="004768D7" w:rsidRPr="00473058" w:rsidRDefault="005109FE" w:rsidP="008D50C5">
            <w:pPr>
              <w:pStyle w:val="Sarakstarindkopa"/>
              <w:numPr>
                <w:ilvl w:val="0"/>
                <w:numId w:val="32"/>
              </w:numPr>
              <w:jc w:val="both"/>
            </w:pPr>
            <w:r w:rsidRPr="00473058">
              <w:t xml:space="preserve">pirotehnisko izstrādājumu </w:t>
            </w:r>
            <w:r w:rsidR="008D50C5" w:rsidRPr="00473058">
              <w:t xml:space="preserve">ražošanai </w:t>
            </w:r>
            <w:r w:rsidR="00C77FBB" w:rsidRPr="00473058">
              <w:t>1;</w:t>
            </w:r>
          </w:p>
          <w:p w:rsidR="005109FE" w:rsidRPr="00473058" w:rsidRDefault="005109FE" w:rsidP="008D50C5">
            <w:pPr>
              <w:pStyle w:val="Sarakstarindkopa"/>
              <w:numPr>
                <w:ilvl w:val="0"/>
                <w:numId w:val="32"/>
              </w:numPr>
              <w:jc w:val="both"/>
            </w:pPr>
            <w:r w:rsidRPr="00473058">
              <w:t>l</w:t>
            </w:r>
            <w:r w:rsidR="008D50C5" w:rsidRPr="00473058">
              <w:t>icences pirotehnisko pakalpojumu sniegšanai</w:t>
            </w:r>
            <w:r w:rsidRPr="00473058">
              <w:t xml:space="preserve"> </w:t>
            </w:r>
            <w:r w:rsidR="00C77FBB" w:rsidRPr="00473058">
              <w:t xml:space="preserve">14. </w:t>
            </w:r>
          </w:p>
          <w:p w:rsidR="00116F86" w:rsidRPr="00473058" w:rsidRDefault="008D50C5" w:rsidP="00C77FBB">
            <w:pPr>
              <w:jc w:val="both"/>
            </w:pPr>
            <w:r w:rsidRPr="00473058">
              <w:t xml:space="preserve">Pirotehniķa sertifikāti ir izsniegti </w:t>
            </w:r>
            <w:r w:rsidR="00C77FBB" w:rsidRPr="00473058">
              <w:t xml:space="preserve">67 </w:t>
            </w:r>
            <w:r w:rsidRPr="00473058">
              <w:t>personām.</w:t>
            </w:r>
          </w:p>
        </w:tc>
      </w:tr>
      <w:tr w:rsidR="00A7399B" w:rsidRPr="00473058" w:rsidTr="00154B4C">
        <w:trPr>
          <w:cantSplit/>
        </w:trPr>
        <w:tc>
          <w:tcPr>
            <w:tcW w:w="320" w:type="pct"/>
            <w:hideMark/>
          </w:tcPr>
          <w:p w:rsidR="007F26BC" w:rsidRPr="00473058" w:rsidRDefault="007F26BC" w:rsidP="001A46FA">
            <w:pPr>
              <w:jc w:val="center"/>
            </w:pPr>
            <w:r w:rsidRPr="00473058">
              <w:t>2.</w:t>
            </w:r>
          </w:p>
        </w:tc>
        <w:tc>
          <w:tcPr>
            <w:tcW w:w="1047" w:type="pct"/>
            <w:gridSpan w:val="3"/>
            <w:hideMark/>
          </w:tcPr>
          <w:p w:rsidR="007F26BC" w:rsidRPr="00473058" w:rsidRDefault="007F26BC" w:rsidP="007D1E77">
            <w:r w:rsidRPr="00473058">
              <w:t>Tiesiskā regulējuma ietekme uz tautsaimniecību un administratīvo slogu</w:t>
            </w:r>
          </w:p>
        </w:tc>
        <w:tc>
          <w:tcPr>
            <w:tcW w:w="3633" w:type="pct"/>
            <w:gridSpan w:val="7"/>
            <w:hideMark/>
          </w:tcPr>
          <w:p w:rsidR="00A05177" w:rsidRPr="00473058" w:rsidRDefault="00923DE7" w:rsidP="00A05177">
            <w:r w:rsidRPr="00473058">
              <w:t xml:space="preserve"> </w:t>
            </w:r>
            <w:r w:rsidR="00A05177" w:rsidRPr="00473058">
              <w:t>Projekts šo jomu neskar.</w:t>
            </w:r>
          </w:p>
          <w:p w:rsidR="00DF55C9" w:rsidRPr="00473058" w:rsidRDefault="00DF55C9" w:rsidP="00E231B2">
            <w:pPr>
              <w:jc w:val="both"/>
            </w:pPr>
          </w:p>
          <w:p w:rsidR="00DF55C9" w:rsidRPr="00473058" w:rsidRDefault="00DF55C9" w:rsidP="00DF55C9"/>
          <w:p w:rsidR="00227DE5" w:rsidRPr="00473058" w:rsidRDefault="00DF55C9" w:rsidP="00B445B0">
            <w:pPr>
              <w:tabs>
                <w:tab w:val="left" w:pos="5250"/>
              </w:tabs>
            </w:pPr>
            <w:r w:rsidRPr="00473058">
              <w:tab/>
            </w:r>
          </w:p>
        </w:tc>
      </w:tr>
      <w:tr w:rsidR="00A7399B" w:rsidRPr="00473058" w:rsidTr="00154B4C">
        <w:trPr>
          <w:cantSplit/>
        </w:trPr>
        <w:tc>
          <w:tcPr>
            <w:tcW w:w="320" w:type="pct"/>
            <w:hideMark/>
          </w:tcPr>
          <w:p w:rsidR="007F26BC" w:rsidRPr="00473058" w:rsidRDefault="007F26BC" w:rsidP="001A46FA">
            <w:pPr>
              <w:jc w:val="center"/>
            </w:pPr>
            <w:r w:rsidRPr="00473058">
              <w:t>3.</w:t>
            </w:r>
          </w:p>
        </w:tc>
        <w:tc>
          <w:tcPr>
            <w:tcW w:w="1047" w:type="pct"/>
            <w:gridSpan w:val="3"/>
            <w:hideMark/>
          </w:tcPr>
          <w:p w:rsidR="007F26BC" w:rsidRPr="00473058" w:rsidRDefault="007F26BC" w:rsidP="00D87590">
            <w:r w:rsidRPr="00473058">
              <w:t>Administratīvo izmaksu monetārs novērtējums</w:t>
            </w:r>
          </w:p>
        </w:tc>
        <w:tc>
          <w:tcPr>
            <w:tcW w:w="3633" w:type="pct"/>
            <w:gridSpan w:val="7"/>
            <w:hideMark/>
          </w:tcPr>
          <w:p w:rsidR="00A05177" w:rsidRPr="00473058" w:rsidRDefault="00A05177" w:rsidP="00A05177">
            <w:r w:rsidRPr="00473058">
              <w:t>Projekts šo jomu neskar.</w:t>
            </w:r>
          </w:p>
          <w:p w:rsidR="007F26BC" w:rsidRPr="00473058" w:rsidRDefault="007F26BC" w:rsidP="003C6FAF">
            <w:pPr>
              <w:jc w:val="both"/>
            </w:pPr>
          </w:p>
        </w:tc>
      </w:tr>
      <w:tr w:rsidR="00A7399B" w:rsidRPr="00473058" w:rsidTr="00154B4C">
        <w:trPr>
          <w:cantSplit/>
        </w:trPr>
        <w:tc>
          <w:tcPr>
            <w:tcW w:w="320" w:type="pct"/>
            <w:hideMark/>
          </w:tcPr>
          <w:p w:rsidR="007F26BC" w:rsidRPr="00473058" w:rsidRDefault="007F26BC" w:rsidP="001A46FA">
            <w:pPr>
              <w:jc w:val="center"/>
            </w:pPr>
            <w:r w:rsidRPr="00473058">
              <w:t>4.</w:t>
            </w:r>
          </w:p>
        </w:tc>
        <w:tc>
          <w:tcPr>
            <w:tcW w:w="1047" w:type="pct"/>
            <w:gridSpan w:val="3"/>
            <w:hideMark/>
          </w:tcPr>
          <w:p w:rsidR="007F26BC" w:rsidRPr="00473058" w:rsidRDefault="007F26BC" w:rsidP="001A46FA">
            <w:r w:rsidRPr="00473058">
              <w:t>Atbilstības izmaksu monetārs novērtējums</w:t>
            </w:r>
          </w:p>
        </w:tc>
        <w:tc>
          <w:tcPr>
            <w:tcW w:w="3633" w:type="pct"/>
            <w:gridSpan w:val="7"/>
            <w:hideMark/>
          </w:tcPr>
          <w:p w:rsidR="00A05177" w:rsidRPr="00473058" w:rsidRDefault="00A05177" w:rsidP="00A05177">
            <w:r w:rsidRPr="00473058">
              <w:t>Projekts šo jomu neskar.</w:t>
            </w:r>
          </w:p>
          <w:p w:rsidR="007F26BC" w:rsidRPr="00473058" w:rsidRDefault="007F26BC" w:rsidP="001A46FA"/>
        </w:tc>
      </w:tr>
      <w:tr w:rsidR="00A7399B" w:rsidRPr="00473058" w:rsidTr="00154B4C">
        <w:trPr>
          <w:cantSplit/>
        </w:trPr>
        <w:tc>
          <w:tcPr>
            <w:tcW w:w="320" w:type="pct"/>
            <w:hideMark/>
          </w:tcPr>
          <w:p w:rsidR="007F26BC" w:rsidRPr="00473058" w:rsidRDefault="007F26BC" w:rsidP="001A46FA">
            <w:pPr>
              <w:jc w:val="center"/>
            </w:pPr>
            <w:r w:rsidRPr="00473058">
              <w:t>5.</w:t>
            </w:r>
          </w:p>
        </w:tc>
        <w:tc>
          <w:tcPr>
            <w:tcW w:w="1047" w:type="pct"/>
            <w:gridSpan w:val="3"/>
            <w:hideMark/>
          </w:tcPr>
          <w:p w:rsidR="007F26BC" w:rsidRPr="00473058" w:rsidRDefault="007F26BC" w:rsidP="001A46FA">
            <w:r w:rsidRPr="00473058">
              <w:t>Cita informācija</w:t>
            </w:r>
          </w:p>
        </w:tc>
        <w:tc>
          <w:tcPr>
            <w:tcW w:w="3633" w:type="pct"/>
            <w:gridSpan w:val="7"/>
            <w:hideMark/>
          </w:tcPr>
          <w:p w:rsidR="007F26BC" w:rsidRPr="00473058" w:rsidRDefault="00A05177" w:rsidP="001A46FA">
            <w:r w:rsidRPr="00473058">
              <w:t>Nav.</w:t>
            </w:r>
          </w:p>
        </w:tc>
      </w:tr>
      <w:tr w:rsidR="00A05177" w:rsidRPr="00473058" w:rsidTr="005D76F9">
        <w:trPr>
          <w:cantSplit/>
        </w:trPr>
        <w:tc>
          <w:tcPr>
            <w:tcW w:w="5000" w:type="pct"/>
            <w:gridSpan w:val="11"/>
          </w:tcPr>
          <w:p w:rsidR="00A05177" w:rsidRPr="00473058" w:rsidRDefault="00A05177" w:rsidP="001A46FA"/>
        </w:tc>
      </w:tr>
      <w:tr w:rsidR="00A7399B" w:rsidRPr="00473058" w:rsidTr="005D76F9">
        <w:tblPrEx>
          <w:tblCellMar>
            <w:top w:w="0" w:type="dxa"/>
            <w:left w:w="108" w:type="dxa"/>
            <w:bottom w:w="0" w:type="dxa"/>
            <w:right w:w="108" w:type="dxa"/>
          </w:tblCellMar>
        </w:tblPrEx>
        <w:tc>
          <w:tcPr>
            <w:tcW w:w="5000" w:type="pct"/>
            <w:gridSpan w:val="11"/>
            <w:shd w:val="clear" w:color="auto" w:fill="auto"/>
            <w:vAlign w:val="center"/>
          </w:tcPr>
          <w:p w:rsidR="00A7399B" w:rsidRPr="00473058" w:rsidRDefault="00A7399B" w:rsidP="00F34307">
            <w:pPr>
              <w:jc w:val="center"/>
              <w:rPr>
                <w:iCs/>
              </w:rPr>
            </w:pPr>
            <w:r w:rsidRPr="00473058">
              <w:rPr>
                <w:b/>
                <w:bCs/>
                <w:iCs/>
              </w:rPr>
              <w:t>III. Tiesību akta projekta ietekme uz valsts budžetu un pašvaldību budžetiem</w:t>
            </w:r>
          </w:p>
        </w:tc>
      </w:tr>
      <w:tr w:rsidR="00A7399B" w:rsidRPr="00473058" w:rsidTr="00154B4C">
        <w:tblPrEx>
          <w:tblCellMar>
            <w:top w:w="0" w:type="dxa"/>
            <w:left w:w="108" w:type="dxa"/>
            <w:bottom w:w="0" w:type="dxa"/>
            <w:right w:w="108" w:type="dxa"/>
          </w:tblCellMar>
        </w:tblPrEx>
        <w:tc>
          <w:tcPr>
            <w:tcW w:w="836" w:type="pct"/>
            <w:gridSpan w:val="3"/>
            <w:vMerge w:val="restart"/>
            <w:shd w:val="clear" w:color="auto" w:fill="auto"/>
            <w:vAlign w:val="center"/>
            <w:hideMark/>
          </w:tcPr>
          <w:p w:rsidR="00A7399B" w:rsidRPr="00473058" w:rsidRDefault="00A7399B" w:rsidP="00F34307">
            <w:pPr>
              <w:jc w:val="center"/>
              <w:rPr>
                <w:iCs/>
              </w:rPr>
            </w:pPr>
            <w:r w:rsidRPr="00473058">
              <w:rPr>
                <w:iCs/>
              </w:rPr>
              <w:t>Rādītāji</w:t>
            </w:r>
          </w:p>
        </w:tc>
        <w:tc>
          <w:tcPr>
            <w:tcW w:w="1136" w:type="pct"/>
            <w:gridSpan w:val="3"/>
            <w:vMerge w:val="restart"/>
            <w:shd w:val="clear" w:color="auto" w:fill="auto"/>
            <w:vAlign w:val="center"/>
            <w:hideMark/>
          </w:tcPr>
          <w:p w:rsidR="00A7399B" w:rsidRPr="00473058" w:rsidRDefault="0041477C" w:rsidP="00F34307">
            <w:pPr>
              <w:jc w:val="center"/>
              <w:rPr>
                <w:iCs/>
              </w:rPr>
            </w:pPr>
            <w:r w:rsidRPr="00473058">
              <w:rPr>
                <w:iCs/>
              </w:rPr>
              <w:t>2020</w:t>
            </w:r>
          </w:p>
        </w:tc>
        <w:tc>
          <w:tcPr>
            <w:tcW w:w="3028" w:type="pct"/>
            <w:gridSpan w:val="5"/>
            <w:shd w:val="clear" w:color="auto" w:fill="auto"/>
            <w:vAlign w:val="center"/>
            <w:hideMark/>
          </w:tcPr>
          <w:p w:rsidR="00A7399B" w:rsidRPr="00473058" w:rsidRDefault="00A7399B" w:rsidP="00F34307">
            <w:pPr>
              <w:jc w:val="center"/>
              <w:rPr>
                <w:iCs/>
              </w:rPr>
            </w:pPr>
            <w:r w:rsidRPr="00473058">
              <w:rPr>
                <w:iCs/>
              </w:rPr>
              <w:t>Turpmākie trīs gadi (</w:t>
            </w:r>
            <w:proofErr w:type="spellStart"/>
            <w:r w:rsidRPr="00473058">
              <w:rPr>
                <w:i/>
                <w:iCs/>
              </w:rPr>
              <w:t>euro</w:t>
            </w:r>
            <w:proofErr w:type="spellEnd"/>
            <w:r w:rsidRPr="00473058">
              <w:rPr>
                <w:iCs/>
              </w:rPr>
              <w:t>)</w:t>
            </w:r>
          </w:p>
        </w:tc>
      </w:tr>
      <w:tr w:rsidR="008518F2" w:rsidRPr="00473058" w:rsidTr="00154B4C">
        <w:tblPrEx>
          <w:tblCellMar>
            <w:top w:w="0" w:type="dxa"/>
            <w:left w:w="108" w:type="dxa"/>
            <w:bottom w:w="0" w:type="dxa"/>
            <w:right w:w="108" w:type="dxa"/>
          </w:tblCellMar>
        </w:tblPrEx>
        <w:tc>
          <w:tcPr>
            <w:tcW w:w="836" w:type="pct"/>
            <w:gridSpan w:val="3"/>
            <w:vMerge/>
            <w:shd w:val="clear" w:color="auto" w:fill="auto"/>
            <w:vAlign w:val="center"/>
            <w:hideMark/>
          </w:tcPr>
          <w:p w:rsidR="00A7399B" w:rsidRPr="00473058" w:rsidRDefault="00A7399B" w:rsidP="00F34307">
            <w:pPr>
              <w:jc w:val="center"/>
              <w:rPr>
                <w:iCs/>
              </w:rPr>
            </w:pPr>
          </w:p>
        </w:tc>
        <w:tc>
          <w:tcPr>
            <w:tcW w:w="1136" w:type="pct"/>
            <w:gridSpan w:val="3"/>
            <w:vMerge/>
            <w:shd w:val="clear" w:color="auto" w:fill="auto"/>
            <w:vAlign w:val="center"/>
            <w:hideMark/>
          </w:tcPr>
          <w:p w:rsidR="00A7399B" w:rsidRPr="00473058" w:rsidRDefault="00A7399B" w:rsidP="00F34307">
            <w:pPr>
              <w:jc w:val="center"/>
              <w:rPr>
                <w:iCs/>
              </w:rPr>
            </w:pPr>
          </w:p>
        </w:tc>
        <w:tc>
          <w:tcPr>
            <w:tcW w:w="1212" w:type="pct"/>
            <w:gridSpan w:val="2"/>
            <w:shd w:val="clear" w:color="auto" w:fill="auto"/>
            <w:vAlign w:val="center"/>
            <w:hideMark/>
          </w:tcPr>
          <w:p w:rsidR="00A7399B" w:rsidRPr="00473058" w:rsidRDefault="0041477C" w:rsidP="00F34307">
            <w:pPr>
              <w:jc w:val="center"/>
              <w:rPr>
                <w:iCs/>
              </w:rPr>
            </w:pPr>
            <w:r w:rsidRPr="00473058">
              <w:rPr>
                <w:iCs/>
              </w:rPr>
              <w:t>2021</w:t>
            </w:r>
          </w:p>
        </w:tc>
        <w:tc>
          <w:tcPr>
            <w:tcW w:w="1212" w:type="pct"/>
            <w:gridSpan w:val="2"/>
            <w:shd w:val="clear" w:color="auto" w:fill="auto"/>
            <w:vAlign w:val="center"/>
            <w:hideMark/>
          </w:tcPr>
          <w:p w:rsidR="00A7399B" w:rsidRPr="00473058" w:rsidRDefault="0041477C" w:rsidP="00F34307">
            <w:pPr>
              <w:jc w:val="center"/>
              <w:rPr>
                <w:iCs/>
              </w:rPr>
            </w:pPr>
            <w:r w:rsidRPr="00473058">
              <w:rPr>
                <w:iCs/>
              </w:rPr>
              <w:t>2022</w:t>
            </w:r>
          </w:p>
        </w:tc>
        <w:tc>
          <w:tcPr>
            <w:tcW w:w="604" w:type="pct"/>
            <w:shd w:val="clear" w:color="auto" w:fill="auto"/>
            <w:vAlign w:val="center"/>
            <w:hideMark/>
          </w:tcPr>
          <w:p w:rsidR="00A7399B" w:rsidRPr="00473058" w:rsidRDefault="0041477C" w:rsidP="00F34307">
            <w:pPr>
              <w:jc w:val="center"/>
              <w:rPr>
                <w:iCs/>
              </w:rPr>
            </w:pPr>
            <w:r w:rsidRPr="00473058">
              <w:rPr>
                <w:iCs/>
              </w:rPr>
              <w:t>2023</w:t>
            </w:r>
          </w:p>
        </w:tc>
      </w:tr>
      <w:tr w:rsidR="00A7399B" w:rsidRPr="00473058" w:rsidTr="00154B4C">
        <w:tblPrEx>
          <w:tblCellMar>
            <w:top w:w="0" w:type="dxa"/>
            <w:left w:w="108" w:type="dxa"/>
            <w:bottom w:w="0" w:type="dxa"/>
            <w:right w:w="108" w:type="dxa"/>
          </w:tblCellMar>
        </w:tblPrEx>
        <w:tc>
          <w:tcPr>
            <w:tcW w:w="836" w:type="pct"/>
            <w:gridSpan w:val="3"/>
            <w:vMerge/>
            <w:shd w:val="clear" w:color="auto" w:fill="auto"/>
            <w:vAlign w:val="center"/>
            <w:hideMark/>
          </w:tcPr>
          <w:p w:rsidR="00A7399B" w:rsidRPr="00473058" w:rsidRDefault="00A7399B" w:rsidP="00F34307">
            <w:pPr>
              <w:jc w:val="center"/>
              <w:rPr>
                <w:iCs/>
              </w:rPr>
            </w:pPr>
          </w:p>
        </w:tc>
        <w:tc>
          <w:tcPr>
            <w:tcW w:w="531" w:type="pct"/>
            <w:shd w:val="clear" w:color="auto" w:fill="auto"/>
            <w:vAlign w:val="center"/>
            <w:hideMark/>
          </w:tcPr>
          <w:p w:rsidR="00A7399B" w:rsidRPr="00473058" w:rsidRDefault="00A7399B" w:rsidP="00F34307">
            <w:pPr>
              <w:jc w:val="center"/>
              <w:rPr>
                <w:iCs/>
                <w:sz w:val="20"/>
                <w:szCs w:val="20"/>
              </w:rPr>
            </w:pPr>
            <w:r w:rsidRPr="00473058">
              <w:rPr>
                <w:iCs/>
                <w:sz w:val="20"/>
                <w:szCs w:val="20"/>
              </w:rPr>
              <w:t>saskaņā ar valsts budžetu kārtējam gadam</w:t>
            </w:r>
          </w:p>
        </w:tc>
        <w:tc>
          <w:tcPr>
            <w:tcW w:w="605" w:type="pct"/>
            <w:gridSpan w:val="2"/>
            <w:shd w:val="clear" w:color="auto" w:fill="auto"/>
            <w:vAlign w:val="center"/>
            <w:hideMark/>
          </w:tcPr>
          <w:p w:rsidR="00A7399B" w:rsidRPr="00473058" w:rsidRDefault="00A7399B" w:rsidP="00F34307">
            <w:pPr>
              <w:jc w:val="center"/>
              <w:rPr>
                <w:iCs/>
                <w:sz w:val="20"/>
                <w:szCs w:val="20"/>
              </w:rPr>
            </w:pPr>
            <w:r w:rsidRPr="00473058">
              <w:rPr>
                <w:iCs/>
                <w:sz w:val="20"/>
                <w:szCs w:val="20"/>
              </w:rPr>
              <w:t>izmaiņas kārtējā gadā, salīdzinot ar valsts budžetu kārtējam gadam</w:t>
            </w:r>
          </w:p>
        </w:tc>
        <w:tc>
          <w:tcPr>
            <w:tcW w:w="606" w:type="pct"/>
            <w:shd w:val="clear" w:color="auto" w:fill="auto"/>
            <w:vAlign w:val="center"/>
            <w:hideMark/>
          </w:tcPr>
          <w:p w:rsidR="00A7399B" w:rsidRPr="00473058" w:rsidRDefault="00A7399B" w:rsidP="00F34307">
            <w:pPr>
              <w:jc w:val="center"/>
              <w:rPr>
                <w:iCs/>
                <w:sz w:val="20"/>
                <w:szCs w:val="20"/>
              </w:rPr>
            </w:pPr>
            <w:r w:rsidRPr="00473058">
              <w:rPr>
                <w:iCs/>
                <w:sz w:val="20"/>
                <w:szCs w:val="20"/>
              </w:rPr>
              <w:t>saskaņā ar vidēja termiņa budžeta ietvaru</w:t>
            </w:r>
          </w:p>
        </w:tc>
        <w:tc>
          <w:tcPr>
            <w:tcW w:w="606" w:type="pct"/>
            <w:shd w:val="clear" w:color="auto" w:fill="auto"/>
            <w:vAlign w:val="center"/>
            <w:hideMark/>
          </w:tcPr>
          <w:p w:rsidR="00A7399B" w:rsidRPr="00473058" w:rsidRDefault="00A7399B" w:rsidP="00F34307">
            <w:pPr>
              <w:jc w:val="center"/>
              <w:rPr>
                <w:iCs/>
                <w:sz w:val="20"/>
                <w:szCs w:val="20"/>
              </w:rPr>
            </w:pPr>
            <w:r w:rsidRPr="00473058">
              <w:rPr>
                <w:iCs/>
                <w:sz w:val="20"/>
                <w:szCs w:val="20"/>
              </w:rPr>
              <w:t>izmaiņas, salīdzinot ar vidēja termiņa budžeta ietvaru 2020.</w:t>
            </w:r>
          </w:p>
          <w:p w:rsidR="00A7399B" w:rsidRPr="00473058" w:rsidRDefault="00A7399B" w:rsidP="00F34307">
            <w:pPr>
              <w:jc w:val="center"/>
              <w:rPr>
                <w:iCs/>
                <w:sz w:val="20"/>
                <w:szCs w:val="20"/>
              </w:rPr>
            </w:pPr>
            <w:r w:rsidRPr="00473058">
              <w:rPr>
                <w:iCs/>
                <w:sz w:val="20"/>
                <w:szCs w:val="20"/>
              </w:rPr>
              <w:t>gadam</w:t>
            </w:r>
          </w:p>
        </w:tc>
        <w:tc>
          <w:tcPr>
            <w:tcW w:w="606" w:type="pct"/>
            <w:shd w:val="clear" w:color="auto" w:fill="auto"/>
            <w:vAlign w:val="center"/>
            <w:hideMark/>
          </w:tcPr>
          <w:p w:rsidR="00A7399B" w:rsidRPr="00473058" w:rsidRDefault="00A7399B" w:rsidP="00F34307">
            <w:pPr>
              <w:jc w:val="center"/>
              <w:rPr>
                <w:iCs/>
                <w:sz w:val="20"/>
                <w:szCs w:val="20"/>
              </w:rPr>
            </w:pPr>
            <w:r w:rsidRPr="00473058">
              <w:rPr>
                <w:iCs/>
                <w:sz w:val="20"/>
                <w:szCs w:val="20"/>
              </w:rPr>
              <w:t>saskaņā ar vidēja termiņa budžeta ietvaru</w:t>
            </w:r>
          </w:p>
        </w:tc>
        <w:tc>
          <w:tcPr>
            <w:tcW w:w="606" w:type="pct"/>
            <w:shd w:val="clear" w:color="auto" w:fill="auto"/>
            <w:vAlign w:val="center"/>
            <w:hideMark/>
          </w:tcPr>
          <w:p w:rsidR="00A7399B" w:rsidRPr="00473058" w:rsidRDefault="00A7399B" w:rsidP="00F34307">
            <w:pPr>
              <w:jc w:val="center"/>
              <w:rPr>
                <w:iCs/>
                <w:sz w:val="20"/>
                <w:szCs w:val="20"/>
              </w:rPr>
            </w:pPr>
            <w:r w:rsidRPr="00473058">
              <w:rPr>
                <w:iCs/>
                <w:sz w:val="20"/>
                <w:szCs w:val="20"/>
              </w:rPr>
              <w:t>izmaiņas, salīdzinot ar vidēja termiņa budžeta ietvaru 2021.</w:t>
            </w:r>
          </w:p>
          <w:p w:rsidR="00A7399B" w:rsidRPr="00473058" w:rsidRDefault="00A7399B" w:rsidP="00F34307">
            <w:pPr>
              <w:jc w:val="center"/>
              <w:rPr>
                <w:iCs/>
                <w:sz w:val="20"/>
                <w:szCs w:val="20"/>
              </w:rPr>
            </w:pPr>
            <w:r w:rsidRPr="00473058">
              <w:rPr>
                <w:iCs/>
                <w:sz w:val="20"/>
                <w:szCs w:val="20"/>
              </w:rPr>
              <w:t>gadam</w:t>
            </w:r>
          </w:p>
        </w:tc>
        <w:tc>
          <w:tcPr>
            <w:tcW w:w="604" w:type="pct"/>
            <w:shd w:val="clear" w:color="auto" w:fill="auto"/>
            <w:vAlign w:val="center"/>
            <w:hideMark/>
          </w:tcPr>
          <w:p w:rsidR="00A7399B" w:rsidRPr="00473058" w:rsidRDefault="00A7399B" w:rsidP="00F34307">
            <w:pPr>
              <w:jc w:val="center"/>
              <w:rPr>
                <w:iCs/>
                <w:sz w:val="20"/>
                <w:szCs w:val="20"/>
              </w:rPr>
            </w:pPr>
            <w:r w:rsidRPr="00473058">
              <w:rPr>
                <w:iCs/>
                <w:sz w:val="20"/>
                <w:szCs w:val="20"/>
              </w:rPr>
              <w:t>izmaiņas, salīdzinot ar vidēja termiņa budžeta ietvaru 2022.</w:t>
            </w:r>
          </w:p>
          <w:p w:rsidR="00A7399B" w:rsidRPr="00473058" w:rsidRDefault="00A7399B" w:rsidP="00F34307">
            <w:pPr>
              <w:jc w:val="center"/>
              <w:rPr>
                <w:iCs/>
                <w:sz w:val="20"/>
                <w:szCs w:val="20"/>
              </w:rPr>
            </w:pPr>
            <w:r w:rsidRPr="00473058">
              <w:rPr>
                <w:iCs/>
                <w:sz w:val="20"/>
                <w:szCs w:val="20"/>
              </w:rPr>
              <w:t>gadam</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jc w:val="center"/>
              <w:rPr>
                <w:iCs/>
                <w:sz w:val="20"/>
                <w:szCs w:val="20"/>
              </w:rPr>
            </w:pPr>
            <w:r w:rsidRPr="00473058">
              <w:rPr>
                <w:iCs/>
                <w:sz w:val="20"/>
                <w:szCs w:val="20"/>
              </w:rPr>
              <w:t>1</w:t>
            </w:r>
          </w:p>
        </w:tc>
        <w:tc>
          <w:tcPr>
            <w:tcW w:w="531" w:type="pct"/>
            <w:shd w:val="clear" w:color="auto" w:fill="auto"/>
            <w:hideMark/>
          </w:tcPr>
          <w:p w:rsidR="00A7399B" w:rsidRPr="00473058" w:rsidRDefault="00A7399B" w:rsidP="00F34307">
            <w:pPr>
              <w:jc w:val="center"/>
              <w:rPr>
                <w:iCs/>
                <w:sz w:val="20"/>
                <w:szCs w:val="20"/>
              </w:rPr>
            </w:pPr>
            <w:r w:rsidRPr="00473058">
              <w:rPr>
                <w:iCs/>
                <w:sz w:val="20"/>
                <w:szCs w:val="20"/>
              </w:rPr>
              <w:t>2</w:t>
            </w:r>
          </w:p>
        </w:tc>
        <w:tc>
          <w:tcPr>
            <w:tcW w:w="605" w:type="pct"/>
            <w:gridSpan w:val="2"/>
            <w:shd w:val="clear" w:color="auto" w:fill="auto"/>
            <w:hideMark/>
          </w:tcPr>
          <w:p w:rsidR="00A7399B" w:rsidRPr="00473058" w:rsidRDefault="00A7399B" w:rsidP="00F34307">
            <w:pPr>
              <w:jc w:val="center"/>
              <w:rPr>
                <w:iCs/>
                <w:sz w:val="20"/>
                <w:szCs w:val="20"/>
              </w:rPr>
            </w:pPr>
            <w:r w:rsidRPr="00473058">
              <w:rPr>
                <w:iCs/>
                <w:sz w:val="20"/>
                <w:szCs w:val="20"/>
              </w:rPr>
              <w:t>3</w:t>
            </w:r>
          </w:p>
        </w:tc>
        <w:tc>
          <w:tcPr>
            <w:tcW w:w="606" w:type="pct"/>
            <w:shd w:val="clear" w:color="auto" w:fill="auto"/>
            <w:hideMark/>
          </w:tcPr>
          <w:p w:rsidR="00A7399B" w:rsidRPr="00473058" w:rsidRDefault="00A7399B" w:rsidP="00F34307">
            <w:pPr>
              <w:jc w:val="center"/>
              <w:rPr>
                <w:iCs/>
                <w:sz w:val="20"/>
                <w:szCs w:val="20"/>
              </w:rPr>
            </w:pPr>
            <w:r w:rsidRPr="00473058">
              <w:rPr>
                <w:iCs/>
                <w:sz w:val="20"/>
                <w:szCs w:val="20"/>
              </w:rPr>
              <w:t>4</w:t>
            </w:r>
          </w:p>
        </w:tc>
        <w:tc>
          <w:tcPr>
            <w:tcW w:w="606" w:type="pct"/>
            <w:shd w:val="clear" w:color="auto" w:fill="auto"/>
            <w:hideMark/>
          </w:tcPr>
          <w:p w:rsidR="00A7399B" w:rsidRPr="00473058" w:rsidRDefault="00A7399B" w:rsidP="00F34307">
            <w:pPr>
              <w:jc w:val="center"/>
              <w:rPr>
                <w:iCs/>
                <w:sz w:val="20"/>
                <w:szCs w:val="20"/>
              </w:rPr>
            </w:pPr>
            <w:r w:rsidRPr="00473058">
              <w:rPr>
                <w:iCs/>
                <w:sz w:val="20"/>
                <w:szCs w:val="20"/>
              </w:rPr>
              <w:t>5</w:t>
            </w:r>
          </w:p>
        </w:tc>
        <w:tc>
          <w:tcPr>
            <w:tcW w:w="606" w:type="pct"/>
            <w:shd w:val="clear" w:color="auto" w:fill="auto"/>
            <w:hideMark/>
          </w:tcPr>
          <w:p w:rsidR="00A7399B" w:rsidRPr="00473058" w:rsidRDefault="00A7399B" w:rsidP="00F34307">
            <w:pPr>
              <w:jc w:val="center"/>
              <w:rPr>
                <w:iCs/>
                <w:sz w:val="20"/>
                <w:szCs w:val="20"/>
              </w:rPr>
            </w:pPr>
            <w:r w:rsidRPr="00473058">
              <w:rPr>
                <w:iCs/>
                <w:sz w:val="20"/>
                <w:szCs w:val="20"/>
              </w:rPr>
              <w:t>6</w:t>
            </w:r>
          </w:p>
        </w:tc>
        <w:tc>
          <w:tcPr>
            <w:tcW w:w="606" w:type="pct"/>
            <w:shd w:val="clear" w:color="auto" w:fill="auto"/>
            <w:hideMark/>
          </w:tcPr>
          <w:p w:rsidR="00A7399B" w:rsidRPr="00473058" w:rsidRDefault="00A7399B" w:rsidP="00F34307">
            <w:pPr>
              <w:jc w:val="center"/>
              <w:rPr>
                <w:iCs/>
                <w:sz w:val="20"/>
                <w:szCs w:val="20"/>
              </w:rPr>
            </w:pPr>
            <w:r w:rsidRPr="00473058">
              <w:rPr>
                <w:iCs/>
                <w:sz w:val="20"/>
                <w:szCs w:val="20"/>
              </w:rPr>
              <w:t>7</w:t>
            </w:r>
          </w:p>
        </w:tc>
        <w:tc>
          <w:tcPr>
            <w:tcW w:w="604" w:type="pct"/>
            <w:shd w:val="clear" w:color="auto" w:fill="auto"/>
            <w:hideMark/>
          </w:tcPr>
          <w:p w:rsidR="00A7399B" w:rsidRPr="00473058" w:rsidRDefault="00A7399B" w:rsidP="00F34307">
            <w:pPr>
              <w:jc w:val="center"/>
              <w:rPr>
                <w:iCs/>
                <w:sz w:val="20"/>
                <w:szCs w:val="20"/>
              </w:rPr>
            </w:pPr>
            <w:r w:rsidRPr="00473058">
              <w:rPr>
                <w:iCs/>
                <w:sz w:val="20"/>
                <w:szCs w:val="20"/>
              </w:rPr>
              <w:t>8</w:t>
            </w:r>
          </w:p>
        </w:tc>
      </w:tr>
      <w:tr w:rsidR="00154B4C" w:rsidRPr="00473058" w:rsidTr="00154B4C">
        <w:tblPrEx>
          <w:tblCellMar>
            <w:top w:w="0" w:type="dxa"/>
            <w:left w:w="108" w:type="dxa"/>
            <w:bottom w:w="0" w:type="dxa"/>
            <w:right w:w="108" w:type="dxa"/>
          </w:tblCellMar>
        </w:tblPrEx>
        <w:tc>
          <w:tcPr>
            <w:tcW w:w="836" w:type="pct"/>
            <w:gridSpan w:val="3"/>
            <w:shd w:val="clear" w:color="auto" w:fill="auto"/>
            <w:hideMark/>
          </w:tcPr>
          <w:p w:rsidR="00154B4C" w:rsidRPr="00473058" w:rsidRDefault="00154B4C" w:rsidP="00154B4C">
            <w:pPr>
              <w:rPr>
                <w:iCs/>
              </w:rPr>
            </w:pPr>
            <w:r w:rsidRPr="00473058">
              <w:rPr>
                <w:iCs/>
              </w:rPr>
              <w:t>1. Budžeta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4"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r>
      <w:tr w:rsidR="00154B4C" w:rsidRPr="00473058" w:rsidTr="00154B4C">
        <w:tblPrEx>
          <w:tblCellMar>
            <w:top w:w="0" w:type="dxa"/>
            <w:left w:w="108" w:type="dxa"/>
            <w:bottom w:w="0" w:type="dxa"/>
            <w:right w:w="108" w:type="dxa"/>
          </w:tblCellMar>
        </w:tblPrEx>
        <w:tc>
          <w:tcPr>
            <w:tcW w:w="836" w:type="pct"/>
            <w:gridSpan w:val="3"/>
            <w:shd w:val="clear" w:color="auto" w:fill="auto"/>
            <w:hideMark/>
          </w:tcPr>
          <w:p w:rsidR="00154B4C" w:rsidRPr="00473058" w:rsidRDefault="00154B4C" w:rsidP="00154B4C">
            <w:pPr>
              <w:rPr>
                <w:iCs/>
              </w:rPr>
            </w:pPr>
            <w:r w:rsidRPr="00473058">
              <w:rPr>
                <w:iCs/>
              </w:rPr>
              <w:t>1.1. valsts pamatbudžeta, tai skaitā ieņēmumi no maksas pakalpojumiem un citi pašu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4"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1.2. valsts speciālais budžets</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1.3. pašvaldību budžets</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2. Budžeta izdevumi</w:t>
            </w:r>
          </w:p>
        </w:tc>
        <w:tc>
          <w:tcPr>
            <w:tcW w:w="531"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4"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2.1. valsts pamatbudžets</w:t>
            </w:r>
          </w:p>
        </w:tc>
        <w:tc>
          <w:tcPr>
            <w:tcW w:w="531"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c>
          <w:tcPr>
            <w:tcW w:w="604" w:type="pct"/>
            <w:shd w:val="clear" w:color="auto" w:fill="auto"/>
            <w:vAlign w:val="center"/>
            <w:hideMark/>
          </w:tcPr>
          <w:p w:rsidR="00A7399B" w:rsidRPr="00473058" w:rsidRDefault="00A7399B" w:rsidP="00F34307">
            <w:pPr>
              <w:jc w:val="center"/>
              <w:rPr>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2.2. valsts speciālais budžets</w:t>
            </w:r>
          </w:p>
          <w:p w:rsidR="008518F2" w:rsidRPr="00473058" w:rsidRDefault="008518F2" w:rsidP="00F34307">
            <w:pPr>
              <w:rPr>
                <w:iCs/>
              </w:rPr>
            </w:pPr>
          </w:p>
          <w:p w:rsidR="008518F2" w:rsidRPr="00473058" w:rsidRDefault="008518F2" w:rsidP="00F34307">
            <w:pPr>
              <w:rPr>
                <w:iCs/>
              </w:rPr>
            </w:pPr>
          </w:p>
        </w:tc>
        <w:tc>
          <w:tcPr>
            <w:tcW w:w="531"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rsidP="00F34307">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8518F2">
            <w:pPr>
              <w:tabs>
                <w:tab w:val="left" w:pos="865"/>
              </w:tabs>
              <w:rPr>
                <w:iCs/>
              </w:rPr>
            </w:pPr>
            <w:r w:rsidRPr="00473058">
              <w:rPr>
                <w:iCs/>
              </w:rPr>
              <w:t>2.3. pašvaldību budžets</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154B4C" w:rsidRPr="00473058" w:rsidTr="00154B4C">
        <w:tblPrEx>
          <w:tblCellMar>
            <w:top w:w="0" w:type="dxa"/>
            <w:left w:w="108" w:type="dxa"/>
            <w:bottom w:w="0" w:type="dxa"/>
            <w:right w:w="108" w:type="dxa"/>
          </w:tblCellMar>
        </w:tblPrEx>
        <w:tc>
          <w:tcPr>
            <w:tcW w:w="836" w:type="pct"/>
            <w:gridSpan w:val="3"/>
            <w:shd w:val="clear" w:color="auto" w:fill="auto"/>
            <w:hideMark/>
          </w:tcPr>
          <w:p w:rsidR="00154B4C" w:rsidRPr="00473058" w:rsidRDefault="00154B4C" w:rsidP="00154B4C">
            <w:pPr>
              <w:rPr>
                <w:iCs/>
              </w:rPr>
            </w:pPr>
            <w:r w:rsidRPr="00473058">
              <w:rPr>
                <w:iCs/>
              </w:rPr>
              <w:t>3. Finansiālā ietekme</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4"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r>
      <w:tr w:rsidR="00154B4C" w:rsidRPr="00473058" w:rsidTr="00154B4C">
        <w:tblPrEx>
          <w:tblCellMar>
            <w:top w:w="0" w:type="dxa"/>
            <w:left w:w="108" w:type="dxa"/>
            <w:bottom w:w="0" w:type="dxa"/>
            <w:right w:w="108" w:type="dxa"/>
          </w:tblCellMar>
        </w:tblPrEx>
        <w:tc>
          <w:tcPr>
            <w:tcW w:w="836" w:type="pct"/>
            <w:gridSpan w:val="3"/>
            <w:shd w:val="clear" w:color="auto" w:fill="auto"/>
            <w:hideMark/>
          </w:tcPr>
          <w:p w:rsidR="00154B4C" w:rsidRPr="00473058" w:rsidRDefault="00154B4C" w:rsidP="00154B4C">
            <w:pPr>
              <w:rPr>
                <w:iCs/>
              </w:rPr>
            </w:pPr>
            <w:r w:rsidRPr="00473058">
              <w:rPr>
                <w:iCs/>
              </w:rPr>
              <w:t>3.1. valsts pamatbudžets</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6" w:type="pct"/>
            <w:tcBorders>
              <w:top w:val="outset" w:sz="6" w:space="0" w:color="414142"/>
              <w:left w:val="outset" w:sz="6" w:space="0" w:color="414142"/>
              <w:bottom w:val="outset" w:sz="6" w:space="0" w:color="414142"/>
              <w:right w:val="outset" w:sz="6" w:space="0" w:color="414142"/>
            </w:tcBorders>
            <w:vAlign w:val="center"/>
            <w:hideMark/>
          </w:tcPr>
          <w:p w:rsidR="00154B4C" w:rsidRPr="00473058" w:rsidRDefault="00154B4C" w:rsidP="00154B4C">
            <w:pPr>
              <w:jc w:val="center"/>
              <w:rPr>
                <w:sz w:val="22"/>
                <w:szCs w:val="22"/>
              </w:rPr>
            </w:pPr>
            <w:r w:rsidRPr="00473058">
              <w:rPr>
                <w:sz w:val="22"/>
                <w:szCs w:val="22"/>
              </w:rPr>
              <w:t>761 391</w:t>
            </w:r>
          </w:p>
        </w:tc>
        <w:tc>
          <w:tcPr>
            <w:tcW w:w="606"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c>
          <w:tcPr>
            <w:tcW w:w="604" w:type="pct"/>
            <w:shd w:val="clear" w:color="auto" w:fill="auto"/>
            <w:vAlign w:val="center"/>
          </w:tcPr>
          <w:p w:rsidR="00154B4C" w:rsidRPr="00473058" w:rsidRDefault="00154B4C" w:rsidP="00154B4C">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3.2. speciālais budžets</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3.3. pašvaldību budžets</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 xml:space="preserve">4. Finanšu līdzekļi papildu izdevumu finansēšanai </w:t>
            </w:r>
            <w:r w:rsidRPr="00473058">
              <w:rPr>
                <w:iCs/>
              </w:rPr>
              <w:lastRenderedPageBreak/>
              <w:t>(kompensējošu izdevumu samazinājumu norāda ar "+" zīmi)</w:t>
            </w:r>
          </w:p>
        </w:tc>
        <w:tc>
          <w:tcPr>
            <w:tcW w:w="531" w:type="pct"/>
            <w:shd w:val="clear" w:color="auto" w:fill="auto"/>
            <w:vAlign w:val="center"/>
            <w:hideMark/>
          </w:tcPr>
          <w:p w:rsidR="00A7399B" w:rsidRPr="00473058" w:rsidRDefault="00A7399B">
            <w:pPr>
              <w:jc w:val="center"/>
              <w:rPr>
                <w:iCs/>
                <w:sz w:val="22"/>
                <w:szCs w:val="22"/>
              </w:rPr>
            </w:pPr>
            <w:r w:rsidRPr="00473058">
              <w:rPr>
                <w:iCs/>
                <w:sz w:val="22"/>
                <w:szCs w:val="22"/>
              </w:rPr>
              <w:lastRenderedPageBreak/>
              <w:t>X</w:t>
            </w: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X</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X</w:t>
            </w: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5. Precizēta finansiālā ietekme</w:t>
            </w:r>
          </w:p>
        </w:tc>
        <w:tc>
          <w:tcPr>
            <w:tcW w:w="531" w:type="pct"/>
            <w:vMerge w:val="restart"/>
            <w:shd w:val="clear" w:color="auto" w:fill="auto"/>
            <w:vAlign w:val="center"/>
          </w:tcPr>
          <w:p w:rsidR="00A7399B" w:rsidRPr="00473058" w:rsidRDefault="00A7399B">
            <w:pPr>
              <w:jc w:val="center"/>
              <w:rPr>
                <w:iCs/>
                <w:sz w:val="22"/>
                <w:szCs w:val="22"/>
              </w:rPr>
            </w:pPr>
            <w:r w:rsidRPr="00473058">
              <w:rPr>
                <w:iCs/>
                <w:sz w:val="22"/>
                <w:szCs w:val="22"/>
              </w:rPr>
              <w:t>X</w:t>
            </w: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A7399B" w:rsidRPr="00473058" w:rsidRDefault="00A7399B">
            <w:pPr>
              <w:jc w:val="center"/>
              <w:rPr>
                <w:sz w:val="22"/>
                <w:szCs w:val="22"/>
              </w:rPr>
            </w:pPr>
            <w:r w:rsidRPr="00473058">
              <w:rPr>
                <w:sz w:val="22"/>
                <w:szCs w:val="22"/>
              </w:rPr>
              <w:t>0</w:t>
            </w:r>
          </w:p>
        </w:tc>
        <w:tc>
          <w:tcPr>
            <w:tcW w:w="606" w:type="pct"/>
            <w:vMerge w:val="restart"/>
            <w:shd w:val="clear" w:color="auto" w:fill="auto"/>
            <w:vAlign w:val="center"/>
          </w:tcPr>
          <w:p w:rsidR="00A7399B" w:rsidRPr="00473058" w:rsidRDefault="00A7399B">
            <w:pPr>
              <w:jc w:val="center"/>
              <w:rPr>
                <w:iCs/>
                <w:sz w:val="22"/>
                <w:szCs w:val="22"/>
              </w:rPr>
            </w:pPr>
            <w:r w:rsidRPr="00473058">
              <w:rPr>
                <w:iCs/>
                <w:sz w:val="22"/>
                <w:szCs w:val="22"/>
              </w:rPr>
              <w:t>X</w:t>
            </w:r>
          </w:p>
        </w:tc>
        <w:tc>
          <w:tcPr>
            <w:tcW w:w="606" w:type="pct"/>
            <w:shd w:val="clear" w:color="auto" w:fill="auto"/>
            <w:vAlign w:val="center"/>
          </w:tcPr>
          <w:p w:rsidR="00A7399B" w:rsidRPr="00473058" w:rsidRDefault="00034D00">
            <w:pPr>
              <w:jc w:val="center"/>
              <w:rPr>
                <w:iCs/>
                <w:sz w:val="22"/>
                <w:szCs w:val="22"/>
              </w:rPr>
            </w:pPr>
            <w:r w:rsidRPr="00473058">
              <w:rPr>
                <w:iCs/>
                <w:sz w:val="22"/>
                <w:szCs w:val="22"/>
              </w:rPr>
              <w:t>0</w:t>
            </w:r>
          </w:p>
        </w:tc>
        <w:tc>
          <w:tcPr>
            <w:tcW w:w="606" w:type="pct"/>
            <w:vMerge w:val="restart"/>
            <w:shd w:val="clear" w:color="auto" w:fill="auto"/>
            <w:vAlign w:val="center"/>
          </w:tcPr>
          <w:p w:rsidR="00A7399B" w:rsidRPr="00473058" w:rsidRDefault="00A7399B">
            <w:pPr>
              <w:jc w:val="center"/>
              <w:rPr>
                <w:iCs/>
                <w:sz w:val="22"/>
                <w:szCs w:val="22"/>
              </w:rPr>
            </w:pPr>
            <w:r w:rsidRPr="00473058">
              <w:rPr>
                <w:iCs/>
                <w:sz w:val="22"/>
                <w:szCs w:val="22"/>
              </w:rPr>
              <w:t>X</w:t>
            </w:r>
          </w:p>
        </w:tc>
        <w:tc>
          <w:tcPr>
            <w:tcW w:w="606" w:type="pct"/>
            <w:shd w:val="clear" w:color="auto" w:fill="auto"/>
            <w:vAlign w:val="center"/>
          </w:tcPr>
          <w:p w:rsidR="00A7399B" w:rsidRPr="00473058" w:rsidRDefault="00034D00">
            <w:pPr>
              <w:jc w:val="center"/>
              <w:rPr>
                <w:iCs/>
                <w:sz w:val="22"/>
                <w:szCs w:val="22"/>
              </w:rPr>
            </w:pPr>
            <w:r w:rsidRPr="00473058">
              <w:rPr>
                <w:iCs/>
                <w:sz w:val="22"/>
                <w:szCs w:val="22"/>
              </w:rPr>
              <w:t>0</w:t>
            </w:r>
          </w:p>
        </w:tc>
        <w:tc>
          <w:tcPr>
            <w:tcW w:w="604" w:type="pct"/>
            <w:shd w:val="clear" w:color="auto" w:fill="auto"/>
            <w:vAlign w:val="center"/>
          </w:tcPr>
          <w:p w:rsidR="00A7399B" w:rsidRPr="00473058" w:rsidRDefault="00034D00">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5.1. valsts pamatbudžets</w:t>
            </w:r>
          </w:p>
        </w:tc>
        <w:tc>
          <w:tcPr>
            <w:tcW w:w="531" w:type="pct"/>
            <w:vMerge/>
            <w:shd w:val="clear" w:color="auto" w:fill="auto"/>
            <w:vAlign w:val="center"/>
            <w:hideMark/>
          </w:tcPr>
          <w:p w:rsidR="00A7399B" w:rsidRPr="00473058" w:rsidRDefault="00A7399B" w:rsidP="001E624E">
            <w:pPr>
              <w:jc w:val="center"/>
              <w:rPr>
                <w:iCs/>
                <w:sz w:val="22"/>
                <w:szCs w:val="22"/>
              </w:rPr>
            </w:pPr>
          </w:p>
        </w:tc>
        <w:tc>
          <w:tcPr>
            <w:tcW w:w="605" w:type="pct"/>
            <w:gridSpan w:val="2"/>
            <w:tcBorders>
              <w:top w:val="outset" w:sz="6" w:space="0" w:color="414142"/>
              <w:left w:val="outset" w:sz="6" w:space="0" w:color="414142"/>
              <w:bottom w:val="outset" w:sz="6" w:space="0" w:color="414142"/>
              <w:right w:val="outset" w:sz="6" w:space="0" w:color="414142"/>
            </w:tcBorders>
            <w:vAlign w:val="center"/>
            <w:hideMark/>
          </w:tcPr>
          <w:p w:rsidR="00A7399B" w:rsidRPr="00473058" w:rsidRDefault="00A7399B">
            <w:pPr>
              <w:jc w:val="center"/>
              <w:rPr>
                <w:sz w:val="22"/>
                <w:szCs w:val="22"/>
              </w:rPr>
            </w:pPr>
            <w:r w:rsidRPr="00473058">
              <w:rPr>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tcPr>
          <w:p w:rsidR="00A7399B" w:rsidRPr="00473058" w:rsidRDefault="00034D00">
            <w:pPr>
              <w:jc w:val="center"/>
              <w:rPr>
                <w:iCs/>
                <w:sz w:val="22"/>
                <w:szCs w:val="22"/>
              </w:rPr>
            </w:pPr>
            <w:r w:rsidRPr="00473058">
              <w:rPr>
                <w:iCs/>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tcPr>
          <w:p w:rsidR="00A7399B" w:rsidRPr="00473058" w:rsidRDefault="00034D00">
            <w:pPr>
              <w:jc w:val="center"/>
              <w:rPr>
                <w:iCs/>
                <w:sz w:val="22"/>
                <w:szCs w:val="22"/>
              </w:rPr>
            </w:pPr>
            <w:r w:rsidRPr="00473058">
              <w:rPr>
                <w:iCs/>
                <w:sz w:val="22"/>
                <w:szCs w:val="22"/>
              </w:rPr>
              <w:t>0</w:t>
            </w:r>
          </w:p>
        </w:tc>
        <w:tc>
          <w:tcPr>
            <w:tcW w:w="604" w:type="pct"/>
            <w:shd w:val="clear" w:color="auto" w:fill="auto"/>
            <w:vAlign w:val="center"/>
          </w:tcPr>
          <w:p w:rsidR="00A7399B" w:rsidRPr="00473058" w:rsidRDefault="00034D00">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5.2. speciālais budžets</w:t>
            </w:r>
          </w:p>
        </w:tc>
        <w:tc>
          <w:tcPr>
            <w:tcW w:w="531" w:type="pct"/>
            <w:vMerge/>
            <w:shd w:val="clear" w:color="auto" w:fill="auto"/>
            <w:vAlign w:val="center"/>
            <w:hideMark/>
          </w:tcPr>
          <w:p w:rsidR="00A7399B" w:rsidRPr="00473058" w:rsidRDefault="00A7399B" w:rsidP="001E624E">
            <w:pPr>
              <w:jc w:val="center"/>
              <w:rPr>
                <w:iCs/>
                <w:sz w:val="22"/>
                <w:szCs w:val="22"/>
              </w:rPr>
            </w:pP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5.3. pašvaldību budžets</w:t>
            </w:r>
          </w:p>
        </w:tc>
        <w:tc>
          <w:tcPr>
            <w:tcW w:w="531" w:type="pct"/>
            <w:vMerge/>
            <w:shd w:val="clear" w:color="auto" w:fill="auto"/>
            <w:vAlign w:val="center"/>
            <w:hideMark/>
          </w:tcPr>
          <w:p w:rsidR="00A7399B" w:rsidRPr="00473058" w:rsidRDefault="00A7399B" w:rsidP="001E624E">
            <w:pPr>
              <w:jc w:val="center"/>
              <w:rPr>
                <w:iCs/>
                <w:sz w:val="22"/>
                <w:szCs w:val="22"/>
              </w:rPr>
            </w:pPr>
          </w:p>
        </w:tc>
        <w:tc>
          <w:tcPr>
            <w:tcW w:w="605" w:type="pct"/>
            <w:gridSpan w:val="2"/>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6" w:type="pct"/>
            <w:vMerge/>
            <w:shd w:val="clear" w:color="auto" w:fill="auto"/>
            <w:vAlign w:val="center"/>
            <w:hideMark/>
          </w:tcPr>
          <w:p w:rsidR="00A7399B" w:rsidRPr="00473058" w:rsidRDefault="00A7399B" w:rsidP="001E624E">
            <w:pPr>
              <w:jc w:val="center"/>
              <w:rPr>
                <w:iCs/>
                <w:sz w:val="22"/>
                <w:szCs w:val="22"/>
              </w:rPr>
            </w:pPr>
          </w:p>
        </w:tc>
        <w:tc>
          <w:tcPr>
            <w:tcW w:w="606" w:type="pct"/>
            <w:shd w:val="clear" w:color="auto" w:fill="auto"/>
            <w:vAlign w:val="center"/>
            <w:hideMark/>
          </w:tcPr>
          <w:p w:rsidR="00A7399B" w:rsidRPr="00473058" w:rsidRDefault="00A7399B">
            <w:pPr>
              <w:jc w:val="center"/>
              <w:rPr>
                <w:iCs/>
                <w:sz w:val="22"/>
                <w:szCs w:val="22"/>
              </w:rPr>
            </w:pPr>
            <w:r w:rsidRPr="00473058">
              <w:rPr>
                <w:iCs/>
                <w:sz w:val="22"/>
                <w:szCs w:val="22"/>
              </w:rPr>
              <w:t>0</w:t>
            </w:r>
          </w:p>
        </w:tc>
        <w:tc>
          <w:tcPr>
            <w:tcW w:w="604" w:type="pct"/>
            <w:shd w:val="clear" w:color="auto" w:fill="auto"/>
            <w:vAlign w:val="center"/>
            <w:hideMark/>
          </w:tcPr>
          <w:p w:rsidR="00A7399B" w:rsidRPr="00473058" w:rsidRDefault="00A7399B">
            <w:pPr>
              <w:jc w:val="center"/>
              <w:rPr>
                <w:iCs/>
                <w:sz w:val="22"/>
                <w:szCs w:val="22"/>
              </w:rPr>
            </w:pPr>
            <w:r w:rsidRPr="00473058">
              <w:rPr>
                <w:iCs/>
                <w:sz w:val="22"/>
                <w:szCs w:val="22"/>
              </w:rPr>
              <w:t>0</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6. Detalizēts ieņēmumu un izdevumu aprēķins (ja nepieciešams, detalizētu ieņēmumu un izdevumu aprēķinu var pievienot anotācijas pielikumā)</w:t>
            </w:r>
          </w:p>
        </w:tc>
        <w:tc>
          <w:tcPr>
            <w:tcW w:w="4164" w:type="pct"/>
            <w:gridSpan w:val="8"/>
            <w:vMerge w:val="restart"/>
            <w:tcBorders>
              <w:top w:val="outset" w:sz="6" w:space="0" w:color="414142"/>
              <w:left w:val="outset" w:sz="6" w:space="0" w:color="414142"/>
              <w:bottom w:val="outset" w:sz="6" w:space="0" w:color="414142"/>
              <w:right w:val="outset" w:sz="6" w:space="0" w:color="414142"/>
            </w:tcBorders>
            <w:vAlign w:val="center"/>
          </w:tcPr>
          <w:p w:rsidR="00A7399B" w:rsidRPr="00473058" w:rsidRDefault="00A7399B" w:rsidP="00F34307">
            <w:pPr>
              <w:jc w:val="both"/>
              <w:rPr>
                <w:b/>
                <w:i/>
              </w:rPr>
            </w:pPr>
            <w:r w:rsidRPr="00473058">
              <w:rPr>
                <w:b/>
                <w:i/>
              </w:rPr>
              <w:t>Detalizēts ieņēmumu aprēķins:</w:t>
            </w:r>
          </w:p>
          <w:p w:rsidR="00A7399B" w:rsidRPr="00473058" w:rsidRDefault="00A7399B" w:rsidP="00F34307">
            <w:pPr>
              <w:ind w:firstLine="468"/>
              <w:jc w:val="both"/>
            </w:pPr>
            <w:r w:rsidRPr="00473058">
              <w:t>Saskaņā ar likumu „Par valsts budžetu 20</w:t>
            </w:r>
            <w:r w:rsidR="00154B4C" w:rsidRPr="00473058">
              <w:t>20</w:t>
            </w:r>
            <w:r w:rsidRPr="00473058">
              <w:t>.gadam” un likumu “Par vidēja termiņa budžeta ietvaru 20</w:t>
            </w:r>
            <w:r w:rsidR="00154B4C" w:rsidRPr="00473058">
              <w:t>20., 2021. un 2022</w:t>
            </w:r>
            <w:r w:rsidRPr="00473058">
              <w:t>.gadam” valsts budžeta ieņēmumi no naudas sodiem, ko uzliek Valsts policija 20</w:t>
            </w:r>
            <w:r w:rsidR="00154B4C" w:rsidRPr="00473058">
              <w:t>20</w:t>
            </w:r>
            <w:r w:rsidRPr="00473058">
              <w:t xml:space="preserve">.gadā un turpmāk katru gadu plānoti </w:t>
            </w:r>
            <w:r w:rsidR="00154B4C" w:rsidRPr="00473058">
              <w:t xml:space="preserve">761 391 </w:t>
            </w:r>
            <w:r w:rsidRPr="00473058">
              <w:rPr>
                <w:i/>
              </w:rPr>
              <w:t xml:space="preserve">euro </w:t>
            </w:r>
            <w:r w:rsidRPr="00473058">
              <w:t>apmērā (ieņēmumu klasifikācijas kods 10.1.1.2.).</w:t>
            </w:r>
          </w:p>
          <w:p w:rsidR="00034D00" w:rsidRPr="00473058" w:rsidRDefault="00034D00" w:rsidP="00F34307">
            <w:pPr>
              <w:ind w:firstLine="468"/>
              <w:jc w:val="both"/>
            </w:pPr>
          </w:p>
          <w:p w:rsidR="00A7399B" w:rsidRPr="00473058" w:rsidRDefault="00034D00" w:rsidP="00F34307">
            <w:pPr>
              <w:ind w:firstLine="468"/>
              <w:jc w:val="both"/>
            </w:pPr>
            <w:r w:rsidRPr="00473058">
              <w:t>L</w:t>
            </w:r>
            <w:r w:rsidR="00A7399B" w:rsidRPr="00473058">
              <w:t>ikumprojekts “Grozījumi Pirotehnisko izstr</w:t>
            </w:r>
            <w:r w:rsidRPr="00473058">
              <w:t xml:space="preserve">ādājumu aprites likumā” pārņem </w:t>
            </w:r>
            <w:r w:rsidR="00A7399B" w:rsidRPr="00473058">
              <w:t>Latvijas Administratīvo pārkāpumu kodeksā iekļautās normas par administratīvajiem pārkāpumiem pirotehnisko izstrādājumu jomā un soda apmēru piemērošanā.</w:t>
            </w:r>
          </w:p>
          <w:p w:rsidR="00A7399B" w:rsidRPr="00473058" w:rsidRDefault="00A7399B" w:rsidP="00F34307">
            <w:pPr>
              <w:ind w:firstLine="468"/>
              <w:jc w:val="both"/>
            </w:pPr>
          </w:p>
          <w:p w:rsidR="00A7399B" w:rsidRPr="00473058" w:rsidRDefault="00A7399B" w:rsidP="00034D00">
            <w:pPr>
              <w:ind w:firstLine="468"/>
              <w:jc w:val="both"/>
              <w:rPr>
                <w:i/>
              </w:rPr>
            </w:pP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6.1. detalizēts ieņēmumu aprēķins</w:t>
            </w:r>
          </w:p>
        </w:tc>
        <w:tc>
          <w:tcPr>
            <w:tcW w:w="4164" w:type="pct"/>
            <w:gridSpan w:val="8"/>
            <w:vMerge/>
            <w:shd w:val="clear" w:color="auto" w:fill="auto"/>
            <w:hideMark/>
          </w:tcPr>
          <w:p w:rsidR="00A7399B" w:rsidRPr="00473058" w:rsidRDefault="00A7399B" w:rsidP="00F34307">
            <w:pPr>
              <w:rPr>
                <w:iCs/>
              </w:rPr>
            </w:pP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6.2. detalizēts izdevumu aprēķins</w:t>
            </w:r>
          </w:p>
        </w:tc>
        <w:tc>
          <w:tcPr>
            <w:tcW w:w="4164" w:type="pct"/>
            <w:gridSpan w:val="8"/>
            <w:vMerge/>
            <w:shd w:val="clear" w:color="auto" w:fill="auto"/>
            <w:hideMark/>
          </w:tcPr>
          <w:p w:rsidR="00A7399B" w:rsidRPr="00473058" w:rsidRDefault="00A7399B" w:rsidP="00F34307">
            <w:pPr>
              <w:rPr>
                <w:iCs/>
              </w:rPr>
            </w:pP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7. Amata vietu skaita izmaiņas</w:t>
            </w:r>
          </w:p>
        </w:tc>
        <w:tc>
          <w:tcPr>
            <w:tcW w:w="4164" w:type="pct"/>
            <w:gridSpan w:val="8"/>
            <w:shd w:val="clear" w:color="auto" w:fill="auto"/>
            <w:hideMark/>
          </w:tcPr>
          <w:p w:rsidR="00A7399B" w:rsidRPr="00473058" w:rsidRDefault="00A7399B" w:rsidP="00F34307">
            <w:pPr>
              <w:jc w:val="both"/>
              <w:rPr>
                <w:iCs/>
              </w:rPr>
            </w:pPr>
            <w:r w:rsidRPr="00473058">
              <w:rPr>
                <w:iCs/>
              </w:rPr>
              <w:t>Projekts šo jomu neskar.</w:t>
            </w:r>
          </w:p>
        </w:tc>
      </w:tr>
      <w:tr w:rsidR="00A7399B" w:rsidRPr="00473058" w:rsidTr="00154B4C">
        <w:tblPrEx>
          <w:tblCellMar>
            <w:top w:w="0" w:type="dxa"/>
            <w:left w:w="108" w:type="dxa"/>
            <w:bottom w:w="0" w:type="dxa"/>
            <w:right w:w="108" w:type="dxa"/>
          </w:tblCellMar>
        </w:tblPrEx>
        <w:tc>
          <w:tcPr>
            <w:tcW w:w="836" w:type="pct"/>
            <w:gridSpan w:val="3"/>
            <w:shd w:val="clear" w:color="auto" w:fill="auto"/>
            <w:hideMark/>
          </w:tcPr>
          <w:p w:rsidR="00A7399B" w:rsidRPr="00473058" w:rsidRDefault="00A7399B" w:rsidP="00F34307">
            <w:pPr>
              <w:rPr>
                <w:iCs/>
              </w:rPr>
            </w:pPr>
            <w:r w:rsidRPr="00473058">
              <w:rPr>
                <w:iCs/>
              </w:rPr>
              <w:t>8. Cita informācija</w:t>
            </w:r>
          </w:p>
        </w:tc>
        <w:tc>
          <w:tcPr>
            <w:tcW w:w="4164" w:type="pct"/>
            <w:gridSpan w:val="8"/>
            <w:shd w:val="clear" w:color="auto" w:fill="auto"/>
          </w:tcPr>
          <w:p w:rsidR="00A7399B" w:rsidRPr="00473058" w:rsidRDefault="00034D00" w:rsidP="00034D00">
            <w:pPr>
              <w:spacing w:line="259" w:lineRule="auto"/>
              <w:jc w:val="both"/>
              <w:rPr>
                <w:kern w:val="1"/>
                <w:lang w:eastAsia="hi-IN" w:bidi="hi-IN"/>
              </w:rPr>
            </w:pPr>
            <w:r w:rsidRPr="00473058">
              <w:rPr>
                <w:kern w:val="1"/>
                <w:lang w:eastAsia="hi-IN" w:bidi="hi-IN"/>
              </w:rPr>
              <w:t>Nav paredzēta administratīvās atbildības sodu apmēru paaugstināšana un tie tiek saglabāti Latvijas Administratīvo pārkāpumu kodeksā paredzētajā apmērā.</w:t>
            </w:r>
          </w:p>
        </w:tc>
      </w:tr>
      <w:tr w:rsidR="007F26BC" w:rsidRPr="00473058" w:rsidTr="005D76F9">
        <w:trPr>
          <w:cantSplit/>
        </w:trPr>
        <w:tc>
          <w:tcPr>
            <w:tcW w:w="5000" w:type="pct"/>
            <w:gridSpan w:val="11"/>
            <w:vAlign w:val="center"/>
            <w:hideMark/>
          </w:tcPr>
          <w:p w:rsidR="007F26BC" w:rsidRPr="00473058" w:rsidRDefault="007F26BC" w:rsidP="001A46FA">
            <w:pPr>
              <w:jc w:val="center"/>
              <w:rPr>
                <w:b/>
                <w:bCs/>
              </w:rPr>
            </w:pPr>
            <w:r w:rsidRPr="00473058">
              <w:rPr>
                <w:b/>
                <w:bCs/>
              </w:rPr>
              <w:t>IV. Tiesību akta projekta ietekme uz spēkā esošo tiesību normu sistēmu</w:t>
            </w:r>
          </w:p>
          <w:p w:rsidR="002D5555" w:rsidRPr="00473058" w:rsidRDefault="00A05177" w:rsidP="00A05177">
            <w:pPr>
              <w:widowControl w:val="0"/>
              <w:tabs>
                <w:tab w:val="left" w:pos="64"/>
                <w:tab w:val="left" w:pos="1134"/>
              </w:tabs>
              <w:ind w:left="64" w:right="96"/>
              <w:jc w:val="center"/>
              <w:rPr>
                <w:b/>
                <w:bCs/>
              </w:rPr>
            </w:pPr>
            <w:r w:rsidRPr="00473058">
              <w:t>Projekts šo jomu neskar.</w:t>
            </w:r>
          </w:p>
        </w:tc>
      </w:tr>
      <w:tr w:rsidR="007F26BC" w:rsidRPr="00473058" w:rsidTr="005D76F9">
        <w:trPr>
          <w:cantSplit/>
        </w:trPr>
        <w:tc>
          <w:tcPr>
            <w:tcW w:w="5000" w:type="pct"/>
            <w:gridSpan w:val="11"/>
            <w:vAlign w:val="center"/>
            <w:hideMark/>
          </w:tcPr>
          <w:p w:rsidR="007F26BC" w:rsidRPr="00473058" w:rsidRDefault="007F26BC" w:rsidP="001A46FA">
            <w:pPr>
              <w:jc w:val="center"/>
              <w:rPr>
                <w:b/>
                <w:bCs/>
              </w:rPr>
            </w:pPr>
            <w:r w:rsidRPr="00473058">
              <w:rPr>
                <w:b/>
                <w:bCs/>
              </w:rPr>
              <w:t>V. Tiesību akta projekta atbilstība Latvijas Republikas starptautiskajām saistībām</w:t>
            </w:r>
          </w:p>
        </w:tc>
      </w:tr>
      <w:tr w:rsidR="007F26BC" w:rsidRPr="00473058" w:rsidTr="005D76F9">
        <w:trPr>
          <w:cantSplit/>
          <w:trHeight w:val="162"/>
        </w:trPr>
        <w:tc>
          <w:tcPr>
            <w:tcW w:w="5000" w:type="pct"/>
            <w:gridSpan w:val="11"/>
          </w:tcPr>
          <w:p w:rsidR="007F26BC" w:rsidRPr="00473058" w:rsidRDefault="007F26BC" w:rsidP="001A46FA">
            <w:pPr>
              <w:jc w:val="center"/>
            </w:pPr>
            <w:r w:rsidRPr="00473058">
              <w:t>Projekts šo jomu neskar.</w:t>
            </w:r>
          </w:p>
        </w:tc>
      </w:tr>
      <w:tr w:rsidR="007F26BC" w:rsidRPr="00473058" w:rsidTr="005D76F9">
        <w:trPr>
          <w:cantSplit/>
        </w:trPr>
        <w:tc>
          <w:tcPr>
            <w:tcW w:w="5000" w:type="pct"/>
            <w:gridSpan w:val="11"/>
            <w:vAlign w:val="center"/>
            <w:hideMark/>
          </w:tcPr>
          <w:p w:rsidR="007F26BC" w:rsidRPr="00473058" w:rsidRDefault="00267834" w:rsidP="001A46FA">
            <w:pPr>
              <w:jc w:val="center"/>
              <w:rPr>
                <w:b/>
                <w:bCs/>
              </w:rPr>
            </w:pPr>
            <w:r w:rsidRPr="00473058">
              <w:br w:type="page"/>
            </w:r>
            <w:r w:rsidR="007F26BC" w:rsidRPr="00473058">
              <w:rPr>
                <w:b/>
                <w:bCs/>
              </w:rPr>
              <w:t>VI. Sabiedrības līdzdalība un komunikācijas aktivitātes</w:t>
            </w:r>
          </w:p>
        </w:tc>
      </w:tr>
      <w:tr w:rsidR="008573E8" w:rsidRPr="00473058" w:rsidTr="00154B4C">
        <w:trPr>
          <w:cantSplit/>
        </w:trPr>
        <w:tc>
          <w:tcPr>
            <w:tcW w:w="364" w:type="pct"/>
            <w:gridSpan w:val="2"/>
            <w:hideMark/>
          </w:tcPr>
          <w:p w:rsidR="007F26BC" w:rsidRPr="00473058" w:rsidRDefault="007F26BC" w:rsidP="001A46FA">
            <w:pPr>
              <w:jc w:val="center"/>
            </w:pPr>
            <w:r w:rsidRPr="00473058">
              <w:t>1.</w:t>
            </w:r>
          </w:p>
        </w:tc>
        <w:tc>
          <w:tcPr>
            <w:tcW w:w="1465" w:type="pct"/>
            <w:gridSpan w:val="3"/>
            <w:hideMark/>
          </w:tcPr>
          <w:p w:rsidR="007F26BC" w:rsidRPr="00473058" w:rsidRDefault="007F26BC" w:rsidP="001A46FA">
            <w:r w:rsidRPr="00473058">
              <w:t>Plānotās sabiedrības līdzdalības un komunikācijas aktivitātes saistībā ar projektu</w:t>
            </w:r>
          </w:p>
        </w:tc>
        <w:tc>
          <w:tcPr>
            <w:tcW w:w="3171" w:type="pct"/>
            <w:gridSpan w:val="6"/>
            <w:hideMark/>
          </w:tcPr>
          <w:p w:rsidR="007F26BC" w:rsidRPr="00473058" w:rsidRDefault="00265529" w:rsidP="00A338AD">
            <w:pPr>
              <w:jc w:val="both"/>
            </w:pPr>
            <w:r w:rsidRPr="00473058">
              <w:rPr>
                <w:color w:val="000000" w:themeColor="text1"/>
              </w:rPr>
              <w:t>Par projektu informēta sabiedrība, informāciju publicējot Iekšlietu ministrijas un Ministru kabineta tīmekļvietnēs.</w:t>
            </w:r>
          </w:p>
        </w:tc>
      </w:tr>
      <w:tr w:rsidR="008573E8" w:rsidRPr="00473058" w:rsidTr="00154B4C">
        <w:trPr>
          <w:cantSplit/>
        </w:trPr>
        <w:tc>
          <w:tcPr>
            <w:tcW w:w="364" w:type="pct"/>
            <w:gridSpan w:val="2"/>
            <w:hideMark/>
          </w:tcPr>
          <w:p w:rsidR="007F26BC" w:rsidRPr="00473058" w:rsidRDefault="007F26BC" w:rsidP="001A46FA">
            <w:pPr>
              <w:jc w:val="center"/>
            </w:pPr>
            <w:r w:rsidRPr="00473058">
              <w:lastRenderedPageBreak/>
              <w:t>2.</w:t>
            </w:r>
          </w:p>
        </w:tc>
        <w:tc>
          <w:tcPr>
            <w:tcW w:w="1465" w:type="pct"/>
            <w:gridSpan w:val="3"/>
            <w:hideMark/>
          </w:tcPr>
          <w:p w:rsidR="007F26BC" w:rsidRPr="00473058" w:rsidRDefault="007F26BC" w:rsidP="001A46FA">
            <w:r w:rsidRPr="00473058">
              <w:t>Sabiedrības līdzdalība projekta izstrādē</w:t>
            </w:r>
          </w:p>
        </w:tc>
        <w:tc>
          <w:tcPr>
            <w:tcW w:w="3171" w:type="pct"/>
            <w:gridSpan w:val="6"/>
            <w:hideMark/>
          </w:tcPr>
          <w:p w:rsidR="007F26BC" w:rsidRPr="00473058" w:rsidRDefault="00265529" w:rsidP="00A338AD">
            <w:pPr>
              <w:jc w:val="both"/>
            </w:pPr>
            <w:r w:rsidRPr="00473058">
              <w:rPr>
                <w:rFonts w:eastAsia="Calibri"/>
                <w:color w:val="000000" w:themeColor="text1"/>
              </w:rPr>
              <w:t xml:space="preserve">Sabiedrības </w:t>
            </w:r>
            <w:r w:rsidRPr="00473058">
              <w:rPr>
                <w:rFonts w:eastAsia="Calibri"/>
              </w:rPr>
              <w:t xml:space="preserve">pārstāvjiem tika dota iespēja līdzdarboties projekta izstrādē, </w:t>
            </w:r>
            <w:proofErr w:type="spellStart"/>
            <w:r w:rsidRPr="00473058">
              <w:rPr>
                <w:rFonts w:eastAsia="Calibri"/>
              </w:rPr>
              <w:t>rakstveidā</w:t>
            </w:r>
            <w:proofErr w:type="spellEnd"/>
            <w:r w:rsidRPr="00473058">
              <w:rPr>
                <w:rFonts w:eastAsia="Calibri"/>
              </w:rPr>
              <w:t xml:space="preserve"> sniedzot viedokli par projektu līdz 2019.gada 26.aprīlim</w:t>
            </w:r>
            <w:r w:rsidRPr="00473058">
              <w:rPr>
                <w:color w:val="000000"/>
              </w:rPr>
              <w:t>.</w:t>
            </w:r>
          </w:p>
        </w:tc>
      </w:tr>
      <w:tr w:rsidR="008573E8" w:rsidRPr="00473058" w:rsidTr="00154B4C">
        <w:trPr>
          <w:cantSplit/>
        </w:trPr>
        <w:tc>
          <w:tcPr>
            <w:tcW w:w="364" w:type="pct"/>
            <w:gridSpan w:val="2"/>
            <w:hideMark/>
          </w:tcPr>
          <w:p w:rsidR="007F26BC" w:rsidRPr="00473058" w:rsidRDefault="007F26BC" w:rsidP="001A46FA">
            <w:pPr>
              <w:jc w:val="center"/>
            </w:pPr>
            <w:r w:rsidRPr="00473058">
              <w:t>3.</w:t>
            </w:r>
          </w:p>
        </w:tc>
        <w:tc>
          <w:tcPr>
            <w:tcW w:w="1465" w:type="pct"/>
            <w:gridSpan w:val="3"/>
            <w:hideMark/>
          </w:tcPr>
          <w:p w:rsidR="007F26BC" w:rsidRPr="00473058" w:rsidRDefault="007F26BC" w:rsidP="001A46FA">
            <w:r w:rsidRPr="00473058">
              <w:t>Sabiedrības līdzdalības rezultāti</w:t>
            </w:r>
          </w:p>
        </w:tc>
        <w:tc>
          <w:tcPr>
            <w:tcW w:w="3171" w:type="pct"/>
            <w:gridSpan w:val="6"/>
            <w:hideMark/>
          </w:tcPr>
          <w:p w:rsidR="007F26BC" w:rsidRPr="00473058" w:rsidRDefault="00265529" w:rsidP="001A46FA">
            <w:pPr>
              <w:rPr>
                <w:i/>
              </w:rPr>
            </w:pPr>
            <w:r w:rsidRPr="00473058">
              <w:rPr>
                <w:color w:val="000000"/>
              </w:rPr>
              <w:t xml:space="preserve">Viedokļi par projektu </w:t>
            </w:r>
            <w:r w:rsidRPr="00473058">
              <w:t>noteiktajā laika periodā netika sniegti.</w:t>
            </w:r>
          </w:p>
        </w:tc>
      </w:tr>
      <w:tr w:rsidR="008573E8" w:rsidRPr="00473058" w:rsidTr="00154B4C">
        <w:trPr>
          <w:cantSplit/>
        </w:trPr>
        <w:tc>
          <w:tcPr>
            <w:tcW w:w="364" w:type="pct"/>
            <w:gridSpan w:val="2"/>
            <w:hideMark/>
          </w:tcPr>
          <w:p w:rsidR="007F26BC" w:rsidRPr="00473058" w:rsidRDefault="007F26BC" w:rsidP="001A46FA">
            <w:pPr>
              <w:jc w:val="center"/>
            </w:pPr>
            <w:r w:rsidRPr="00473058">
              <w:t>4.</w:t>
            </w:r>
          </w:p>
        </w:tc>
        <w:tc>
          <w:tcPr>
            <w:tcW w:w="1465" w:type="pct"/>
            <w:gridSpan w:val="3"/>
            <w:hideMark/>
          </w:tcPr>
          <w:p w:rsidR="007F26BC" w:rsidRPr="00473058" w:rsidRDefault="007F26BC" w:rsidP="001A46FA">
            <w:r w:rsidRPr="00473058">
              <w:t>Cita informācija</w:t>
            </w:r>
          </w:p>
        </w:tc>
        <w:tc>
          <w:tcPr>
            <w:tcW w:w="3171" w:type="pct"/>
            <w:gridSpan w:val="6"/>
            <w:hideMark/>
          </w:tcPr>
          <w:p w:rsidR="007F26BC" w:rsidRPr="00473058" w:rsidRDefault="009D3888" w:rsidP="001A46FA">
            <w:r w:rsidRPr="00473058">
              <w:t>Nav.</w:t>
            </w:r>
          </w:p>
        </w:tc>
      </w:tr>
      <w:tr w:rsidR="007F26BC" w:rsidRPr="00473058" w:rsidTr="005D76F9">
        <w:trPr>
          <w:cantSplit/>
        </w:trPr>
        <w:tc>
          <w:tcPr>
            <w:tcW w:w="5000" w:type="pct"/>
            <w:gridSpan w:val="11"/>
            <w:vAlign w:val="center"/>
            <w:hideMark/>
          </w:tcPr>
          <w:p w:rsidR="007F26BC" w:rsidRPr="00473058" w:rsidRDefault="007F26BC" w:rsidP="001A46FA">
            <w:pPr>
              <w:jc w:val="center"/>
              <w:rPr>
                <w:b/>
                <w:bCs/>
              </w:rPr>
            </w:pPr>
            <w:r w:rsidRPr="00473058">
              <w:rPr>
                <w:b/>
                <w:bCs/>
              </w:rPr>
              <w:t>VII. Tiesību akta projekta izpildes nodrošināšana un tās ietekme uz institūcijām</w:t>
            </w:r>
          </w:p>
        </w:tc>
      </w:tr>
      <w:tr w:rsidR="008573E8" w:rsidRPr="00473058" w:rsidTr="00154B4C">
        <w:trPr>
          <w:cantSplit/>
        </w:trPr>
        <w:tc>
          <w:tcPr>
            <w:tcW w:w="364" w:type="pct"/>
            <w:gridSpan w:val="2"/>
            <w:hideMark/>
          </w:tcPr>
          <w:p w:rsidR="007F26BC" w:rsidRPr="00473058" w:rsidRDefault="007F26BC" w:rsidP="001A46FA">
            <w:pPr>
              <w:jc w:val="center"/>
            </w:pPr>
            <w:r w:rsidRPr="00473058">
              <w:t>1.</w:t>
            </w:r>
          </w:p>
        </w:tc>
        <w:tc>
          <w:tcPr>
            <w:tcW w:w="1465" w:type="pct"/>
            <w:gridSpan w:val="3"/>
            <w:hideMark/>
          </w:tcPr>
          <w:p w:rsidR="007F26BC" w:rsidRPr="00473058" w:rsidRDefault="007F26BC" w:rsidP="001A46FA">
            <w:r w:rsidRPr="00473058">
              <w:t>Projekta izpildē iesaistītās institūcijas</w:t>
            </w:r>
          </w:p>
        </w:tc>
        <w:tc>
          <w:tcPr>
            <w:tcW w:w="3171" w:type="pct"/>
            <w:gridSpan w:val="6"/>
            <w:hideMark/>
          </w:tcPr>
          <w:p w:rsidR="007F26BC" w:rsidRPr="00473058" w:rsidRDefault="00227DE5" w:rsidP="00E231B2">
            <w:r w:rsidRPr="00473058">
              <w:t xml:space="preserve"> Valsts policija</w:t>
            </w:r>
            <w:r w:rsidR="001B5E6E" w:rsidRPr="00473058">
              <w:t xml:space="preserve"> un pašvaldības policija</w:t>
            </w:r>
            <w:r w:rsidR="00E231B2" w:rsidRPr="00473058">
              <w:t>.</w:t>
            </w:r>
          </w:p>
        </w:tc>
      </w:tr>
      <w:tr w:rsidR="008573E8" w:rsidRPr="00473058" w:rsidTr="00154B4C">
        <w:trPr>
          <w:cantSplit/>
        </w:trPr>
        <w:tc>
          <w:tcPr>
            <w:tcW w:w="364" w:type="pct"/>
            <w:gridSpan w:val="2"/>
            <w:hideMark/>
          </w:tcPr>
          <w:p w:rsidR="007F26BC" w:rsidRPr="00473058" w:rsidRDefault="007F26BC" w:rsidP="001A46FA">
            <w:pPr>
              <w:jc w:val="center"/>
            </w:pPr>
            <w:r w:rsidRPr="00473058">
              <w:t>2.</w:t>
            </w:r>
          </w:p>
        </w:tc>
        <w:tc>
          <w:tcPr>
            <w:tcW w:w="1465" w:type="pct"/>
            <w:gridSpan w:val="3"/>
            <w:hideMark/>
          </w:tcPr>
          <w:p w:rsidR="007F26BC" w:rsidRPr="00473058" w:rsidRDefault="007F26BC" w:rsidP="001A46FA">
            <w:r w:rsidRPr="00473058">
              <w:t>Projekta izpildes ietekme uz pārvaldes funkcijām un institucionālo struktūru.</w:t>
            </w:r>
            <w:r w:rsidRPr="00473058">
              <w:br/>
              <w:t>Jaunu institūciju izveide, esošu institūciju likvidācija vai reorganizācija, to ietekme uz institūcijas cilvēkresursiem</w:t>
            </w:r>
          </w:p>
        </w:tc>
        <w:tc>
          <w:tcPr>
            <w:tcW w:w="3171" w:type="pct"/>
            <w:gridSpan w:val="6"/>
            <w:hideMark/>
          </w:tcPr>
          <w:p w:rsidR="00227DE5" w:rsidRPr="00473058" w:rsidRDefault="00227DE5" w:rsidP="00227DE5">
            <w:pPr>
              <w:jc w:val="both"/>
            </w:pPr>
            <w:r w:rsidRPr="00473058">
              <w:t>Ar Likumprojektu jaunas funkcijas un uzdevumi netiek radīti.</w:t>
            </w:r>
          </w:p>
          <w:p w:rsidR="00227DE5" w:rsidRPr="00473058" w:rsidRDefault="00227DE5" w:rsidP="00227DE5">
            <w:pPr>
              <w:jc w:val="both"/>
            </w:pPr>
            <w:r w:rsidRPr="00473058">
              <w:t>Jaunas institūcijas netiek veidotas.</w:t>
            </w:r>
          </w:p>
          <w:p w:rsidR="007F26BC" w:rsidRPr="00473058" w:rsidRDefault="007F26BC" w:rsidP="00227DE5">
            <w:pPr>
              <w:jc w:val="both"/>
            </w:pPr>
          </w:p>
        </w:tc>
      </w:tr>
      <w:tr w:rsidR="008573E8" w:rsidRPr="00473058" w:rsidTr="00154B4C">
        <w:trPr>
          <w:cantSplit/>
        </w:trPr>
        <w:tc>
          <w:tcPr>
            <w:tcW w:w="364" w:type="pct"/>
            <w:gridSpan w:val="2"/>
            <w:hideMark/>
          </w:tcPr>
          <w:p w:rsidR="007F26BC" w:rsidRPr="00473058" w:rsidRDefault="007F26BC" w:rsidP="001A46FA">
            <w:pPr>
              <w:jc w:val="center"/>
            </w:pPr>
            <w:r w:rsidRPr="00473058">
              <w:t>3.</w:t>
            </w:r>
          </w:p>
        </w:tc>
        <w:tc>
          <w:tcPr>
            <w:tcW w:w="1465" w:type="pct"/>
            <w:gridSpan w:val="3"/>
            <w:hideMark/>
          </w:tcPr>
          <w:p w:rsidR="007F26BC" w:rsidRPr="00473058" w:rsidRDefault="007F26BC" w:rsidP="001A46FA">
            <w:r w:rsidRPr="00473058">
              <w:t>Cita informācija</w:t>
            </w:r>
          </w:p>
        </w:tc>
        <w:tc>
          <w:tcPr>
            <w:tcW w:w="3171" w:type="pct"/>
            <w:gridSpan w:val="6"/>
            <w:hideMark/>
          </w:tcPr>
          <w:p w:rsidR="007F26BC" w:rsidRPr="00473058" w:rsidRDefault="00227DE5" w:rsidP="001A46FA">
            <w:r w:rsidRPr="00473058">
              <w:t xml:space="preserve"> Nav.</w:t>
            </w:r>
          </w:p>
        </w:tc>
      </w:tr>
    </w:tbl>
    <w:p w:rsidR="00E231B2" w:rsidRPr="00473058" w:rsidRDefault="00E231B2" w:rsidP="007F26BC">
      <w:pPr>
        <w:tabs>
          <w:tab w:val="left" w:pos="6521"/>
        </w:tabs>
        <w:jc w:val="both"/>
      </w:pPr>
    </w:p>
    <w:p w:rsidR="007F26BC" w:rsidRPr="00473058" w:rsidRDefault="007F26BC" w:rsidP="007F26BC">
      <w:pPr>
        <w:tabs>
          <w:tab w:val="left" w:pos="6521"/>
        </w:tabs>
        <w:jc w:val="both"/>
      </w:pPr>
      <w:r w:rsidRPr="00473058">
        <w:t>Iekšlietu ministrs</w:t>
      </w:r>
      <w:r w:rsidRPr="00473058">
        <w:tab/>
      </w:r>
      <w:r w:rsidR="00E231B2" w:rsidRPr="00473058">
        <w:t>S</w:t>
      </w:r>
      <w:r w:rsidR="005109FE" w:rsidRPr="00473058">
        <w:t xml:space="preserve">andis </w:t>
      </w:r>
      <w:proofErr w:type="spellStart"/>
      <w:r w:rsidR="00E231B2" w:rsidRPr="00473058">
        <w:t>Ģirģens</w:t>
      </w:r>
      <w:proofErr w:type="spellEnd"/>
    </w:p>
    <w:p w:rsidR="00E231B2" w:rsidRPr="00473058" w:rsidRDefault="00E231B2" w:rsidP="007F26BC">
      <w:pPr>
        <w:tabs>
          <w:tab w:val="left" w:pos="6521"/>
        </w:tabs>
        <w:jc w:val="both"/>
      </w:pPr>
    </w:p>
    <w:p w:rsidR="009D3888" w:rsidRPr="00473058" w:rsidRDefault="009D3888" w:rsidP="007F26BC">
      <w:pPr>
        <w:tabs>
          <w:tab w:val="left" w:pos="6521"/>
        </w:tabs>
        <w:jc w:val="both"/>
      </w:pPr>
    </w:p>
    <w:p w:rsidR="009D3888" w:rsidRPr="00473058" w:rsidRDefault="009D3888" w:rsidP="007F26BC">
      <w:pPr>
        <w:tabs>
          <w:tab w:val="left" w:pos="6521"/>
        </w:tabs>
        <w:jc w:val="both"/>
      </w:pPr>
    </w:p>
    <w:p w:rsidR="00CE5CFE" w:rsidRPr="00473058" w:rsidRDefault="007F26BC">
      <w:pPr>
        <w:pStyle w:val="naisf"/>
        <w:rPr>
          <w:szCs w:val="24"/>
        </w:rPr>
      </w:pPr>
      <w:r w:rsidRPr="00473058">
        <w:rPr>
          <w:szCs w:val="24"/>
        </w:rPr>
        <w:t>Vīza: valsts sekretārs</w:t>
      </w:r>
      <w:r w:rsidRPr="00473058">
        <w:rPr>
          <w:szCs w:val="24"/>
        </w:rPr>
        <w:tab/>
      </w:r>
      <w:r w:rsidRPr="00473058">
        <w:rPr>
          <w:szCs w:val="24"/>
        </w:rPr>
        <w:tab/>
      </w:r>
      <w:r w:rsidRPr="00473058">
        <w:rPr>
          <w:szCs w:val="24"/>
        </w:rPr>
        <w:tab/>
        <w:t xml:space="preserve"> </w:t>
      </w:r>
      <w:r w:rsidRPr="00473058">
        <w:rPr>
          <w:szCs w:val="24"/>
        </w:rPr>
        <w:tab/>
      </w:r>
      <w:r w:rsidRPr="00473058">
        <w:rPr>
          <w:szCs w:val="24"/>
        </w:rPr>
        <w:tab/>
      </w:r>
      <w:r w:rsidRPr="00473058">
        <w:rPr>
          <w:szCs w:val="24"/>
        </w:rPr>
        <w:tab/>
      </w:r>
      <w:r w:rsidR="00C37AE0" w:rsidRPr="00473058">
        <w:rPr>
          <w:szCs w:val="24"/>
        </w:rPr>
        <w:t xml:space="preserve">            </w:t>
      </w:r>
      <w:r w:rsidR="005109FE" w:rsidRPr="00473058">
        <w:rPr>
          <w:szCs w:val="24"/>
        </w:rPr>
        <w:t xml:space="preserve">Dimitrijs </w:t>
      </w:r>
      <w:r w:rsidRPr="00473058">
        <w:rPr>
          <w:szCs w:val="24"/>
        </w:rPr>
        <w:t>Trofimovs</w:t>
      </w:r>
    </w:p>
    <w:sectPr w:rsidR="00CE5CFE" w:rsidRPr="00473058" w:rsidSect="00877B15">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D92" w:rsidRDefault="002A2D92" w:rsidP="007F26BC">
      <w:r>
        <w:separator/>
      </w:r>
    </w:p>
  </w:endnote>
  <w:endnote w:type="continuationSeparator" w:id="0">
    <w:p w:rsidR="002A2D92" w:rsidRDefault="002A2D92" w:rsidP="007F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2D" w:rsidRPr="00BD1CAA" w:rsidRDefault="00E1202D" w:rsidP="00BD1CAA">
    <w:pPr>
      <w:pStyle w:val="Kjene"/>
    </w:pPr>
    <w:r w:rsidRPr="00B9664F">
      <w:rPr>
        <w:sz w:val="20"/>
        <w:szCs w:val="20"/>
      </w:rPr>
      <w:t>IEMAnot_</w:t>
    </w:r>
    <w:r w:rsidR="00473058">
      <w:rPr>
        <w:sz w:val="20"/>
        <w:szCs w:val="20"/>
      </w:rPr>
      <w:t>10</w:t>
    </w:r>
    <w:r w:rsidR="003904C2">
      <w:rPr>
        <w:sz w:val="20"/>
        <w:szCs w:val="20"/>
      </w:rPr>
      <w:t>0120</w:t>
    </w:r>
    <w:r>
      <w:rPr>
        <w:sz w:val="20"/>
        <w:szCs w:val="20"/>
      </w:rPr>
      <w:t>_grozPirotehnika_kodifikācija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2D" w:rsidRPr="004A24D2" w:rsidRDefault="00E1202D" w:rsidP="00E231B2">
    <w:pPr>
      <w:pStyle w:val="Kjene"/>
      <w:jc w:val="both"/>
      <w:rPr>
        <w:sz w:val="20"/>
        <w:szCs w:val="20"/>
      </w:rPr>
    </w:pPr>
    <w:r w:rsidRPr="00B9664F">
      <w:rPr>
        <w:sz w:val="20"/>
        <w:szCs w:val="20"/>
      </w:rPr>
      <w:t>IEMAnot_</w:t>
    </w:r>
    <w:r w:rsidR="00473058">
      <w:rPr>
        <w:sz w:val="20"/>
        <w:szCs w:val="20"/>
      </w:rPr>
      <w:t>10</w:t>
    </w:r>
    <w:r w:rsidR="003904C2">
      <w:rPr>
        <w:sz w:val="20"/>
        <w:szCs w:val="20"/>
      </w:rPr>
      <w:t>0120</w:t>
    </w:r>
    <w:r>
      <w:rPr>
        <w:sz w:val="20"/>
        <w:szCs w:val="20"/>
      </w:rPr>
      <w:t>_grozPirotehnika_kodifikācija</w:t>
    </w:r>
  </w:p>
  <w:p w:rsidR="00E1202D" w:rsidRPr="00B40F00" w:rsidRDefault="00E1202D" w:rsidP="00B40F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D92" w:rsidRDefault="002A2D92" w:rsidP="007F26BC">
      <w:r>
        <w:separator/>
      </w:r>
    </w:p>
  </w:footnote>
  <w:footnote w:type="continuationSeparator" w:id="0">
    <w:p w:rsidR="002A2D92" w:rsidRDefault="002A2D92" w:rsidP="007F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rsidR="00E1202D" w:rsidRDefault="00E1202D">
        <w:pPr>
          <w:pStyle w:val="Galvene"/>
          <w:jc w:val="center"/>
        </w:pPr>
        <w:r>
          <w:fldChar w:fldCharType="begin"/>
        </w:r>
        <w:r>
          <w:instrText xml:space="preserve"> PAGE   \* MERGEFORMAT </w:instrText>
        </w:r>
        <w:r>
          <w:fldChar w:fldCharType="separate"/>
        </w:r>
        <w:r w:rsidR="00473058">
          <w:rPr>
            <w:noProof/>
          </w:rPr>
          <w:t>7</w:t>
        </w:r>
        <w:r>
          <w:rPr>
            <w:noProof/>
          </w:rPr>
          <w:fldChar w:fldCharType="end"/>
        </w:r>
      </w:p>
    </w:sdtContent>
  </w:sdt>
  <w:p w:rsidR="00E1202D" w:rsidRDefault="00E1202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194"/>
    <w:multiLevelType w:val="multilevel"/>
    <w:tmpl w:val="06845848"/>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DA06BC"/>
    <w:multiLevelType w:val="hybridMultilevel"/>
    <w:tmpl w:val="056EBD9A"/>
    <w:lvl w:ilvl="0" w:tplc="3AFAF770">
      <w:start w:val="1"/>
      <w:numFmt w:val="decimal"/>
      <w:lvlText w:val="%1)"/>
      <w:lvlJc w:val="left"/>
      <w:pPr>
        <w:ind w:left="420" w:hanging="360"/>
      </w:pPr>
      <w:rPr>
        <w:rFonts w:ascii="Times New Roman" w:eastAsia="Times New Roman"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7C41EAB"/>
    <w:multiLevelType w:val="multilevel"/>
    <w:tmpl w:val="9572B2EE"/>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 w15:restartNumberingAfterBreak="0">
    <w:nsid w:val="07D647A1"/>
    <w:multiLevelType w:val="multilevel"/>
    <w:tmpl w:val="50A41F56"/>
    <w:lvl w:ilvl="0">
      <w:start w:val="1"/>
      <w:numFmt w:val="decimal"/>
      <w:lvlText w:val="%1)"/>
      <w:lvlJc w:val="left"/>
      <w:pPr>
        <w:ind w:left="1515" w:hanging="360"/>
      </w:pPr>
      <w:rPr>
        <w:i w:val="0"/>
      </w:rPr>
    </w:lvl>
    <w:lvl w:ilvl="1">
      <w:start w:val="1"/>
      <w:numFmt w:val="lowerLetter"/>
      <w:lvlText w:val="%2."/>
      <w:lvlJc w:val="left"/>
      <w:pPr>
        <w:ind w:left="2235" w:hanging="360"/>
      </w:pPr>
    </w:lvl>
    <w:lvl w:ilvl="2">
      <w:start w:val="1"/>
      <w:numFmt w:val="lowerRoman"/>
      <w:lvlText w:val="%3."/>
      <w:lvlJc w:val="right"/>
      <w:pPr>
        <w:ind w:left="2955" w:hanging="18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A3669E9"/>
    <w:multiLevelType w:val="multilevel"/>
    <w:tmpl w:val="9B7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4521"/>
    <w:multiLevelType w:val="multilevel"/>
    <w:tmpl w:val="DCEAAC2C"/>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6F26CD"/>
    <w:multiLevelType w:val="multilevel"/>
    <w:tmpl w:val="222C4A80"/>
    <w:lvl w:ilvl="0">
      <w:start w:val="1"/>
      <w:numFmt w:val="decimal"/>
      <w:lvlText w:val="%1)"/>
      <w:lvlJc w:val="left"/>
      <w:pPr>
        <w:ind w:left="1636" w:hanging="360"/>
      </w:pPr>
      <w:rPr>
        <w:rFonts w:ascii="Times New Roman" w:hAnsi="Times New Roman" w:cs="Times New Roman" w:hint="default"/>
        <w:color w:val="auto"/>
        <w:sz w:val="28"/>
        <w:szCs w:val="28"/>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15:restartNumberingAfterBreak="0">
    <w:nsid w:val="18BD32A5"/>
    <w:multiLevelType w:val="hybridMultilevel"/>
    <w:tmpl w:val="682615DE"/>
    <w:lvl w:ilvl="0" w:tplc="0426000F">
      <w:start w:val="1"/>
      <w:numFmt w:val="decimal"/>
      <w:lvlText w:val="%1."/>
      <w:lvlJc w:val="left"/>
      <w:pPr>
        <w:ind w:left="1331" w:hanging="360"/>
      </w:p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8" w15:restartNumberingAfterBreak="0">
    <w:nsid w:val="1ACA75BF"/>
    <w:multiLevelType w:val="multilevel"/>
    <w:tmpl w:val="479E0B54"/>
    <w:lvl w:ilvl="0">
      <w:start w:val="1"/>
      <w:numFmt w:val="decimal"/>
      <w:lvlText w:val="%1."/>
      <w:lvlJc w:val="left"/>
      <w:pPr>
        <w:ind w:left="2062"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9" w15:restartNumberingAfterBreak="0">
    <w:nsid w:val="29C93BDC"/>
    <w:multiLevelType w:val="hybridMultilevel"/>
    <w:tmpl w:val="4F7217C0"/>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CB18A2"/>
    <w:multiLevelType w:val="hybridMultilevel"/>
    <w:tmpl w:val="B900D1D8"/>
    <w:lvl w:ilvl="0" w:tplc="FE20A89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E680914"/>
    <w:multiLevelType w:val="multilevel"/>
    <w:tmpl w:val="07828318"/>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12" w15:restartNumberingAfterBreak="0">
    <w:nsid w:val="2F0B793F"/>
    <w:multiLevelType w:val="multilevel"/>
    <w:tmpl w:val="4F7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507AF"/>
    <w:multiLevelType w:val="multilevel"/>
    <w:tmpl w:val="F4BED660"/>
    <w:lvl w:ilvl="0">
      <w:start w:val="1"/>
      <w:numFmt w:val="decimal"/>
      <w:lvlText w:val="%1)"/>
      <w:lvlJc w:val="left"/>
      <w:pPr>
        <w:ind w:left="2345" w:hanging="360"/>
      </w:pPr>
      <w:rPr>
        <w:rFonts w:ascii="Times New Roman" w:hAnsi="Times New Roman" w:cs="Times New Roman"/>
        <w:b w:val="0"/>
        <w:i w:val="0"/>
        <w:sz w:val="28"/>
        <w:szCs w:val="28"/>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0712AF5"/>
    <w:multiLevelType w:val="multilevel"/>
    <w:tmpl w:val="76144048"/>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15:restartNumberingAfterBreak="0">
    <w:nsid w:val="391405A3"/>
    <w:multiLevelType w:val="hybridMultilevel"/>
    <w:tmpl w:val="DD76B0DC"/>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3C1D28"/>
    <w:multiLevelType w:val="hybridMultilevel"/>
    <w:tmpl w:val="83B8C3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F595A"/>
    <w:multiLevelType w:val="hybridMultilevel"/>
    <w:tmpl w:val="906E61F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ED4A5D"/>
    <w:multiLevelType w:val="multilevel"/>
    <w:tmpl w:val="49B895E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46613C39"/>
    <w:multiLevelType w:val="multilevel"/>
    <w:tmpl w:val="4DFAE200"/>
    <w:lvl w:ilvl="0">
      <w:start w:val="1"/>
      <w:numFmt w:val="decimal"/>
      <w:lvlText w:val="(%1)"/>
      <w:lvlJc w:val="left"/>
      <w:pPr>
        <w:ind w:left="1155" w:hanging="525"/>
      </w:pPr>
      <w:rPr>
        <w:rFonts w:ascii="Times New Roman" w:hAnsi="Times New Roman" w:cs="Times New Roman"/>
        <w:sz w:val="28"/>
        <w:szCs w:val="28"/>
        <w:u w:val="none"/>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0" w15:restartNumberingAfterBreak="0">
    <w:nsid w:val="4C5B77F2"/>
    <w:multiLevelType w:val="multilevel"/>
    <w:tmpl w:val="9502F298"/>
    <w:lvl w:ilvl="0">
      <w:start w:val="1"/>
      <w:numFmt w:val="decimal"/>
      <w:lvlText w:val="%1)"/>
      <w:lvlJc w:val="left"/>
      <w:pPr>
        <w:ind w:left="1568" w:hanging="360"/>
      </w:pPr>
      <w:rPr>
        <w:rFonts w:ascii="Times New Roman" w:hAnsi="Times New Roman" w:cs="Times New Roman"/>
        <w:b w:val="0"/>
        <w:i w:val="0"/>
        <w:sz w:val="28"/>
        <w:szCs w:val="28"/>
      </w:rPr>
    </w:lvl>
    <w:lvl w:ilvl="1">
      <w:start w:val="1"/>
      <w:numFmt w:val="lowerLetter"/>
      <w:lvlText w:val="%2."/>
      <w:lvlJc w:val="left"/>
      <w:pPr>
        <w:ind w:left="2288" w:hanging="360"/>
      </w:p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21" w15:restartNumberingAfterBreak="0">
    <w:nsid w:val="516E3F48"/>
    <w:multiLevelType w:val="hybridMultilevel"/>
    <w:tmpl w:val="6F0C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5815A4"/>
    <w:multiLevelType w:val="hybridMultilevel"/>
    <w:tmpl w:val="C78E2676"/>
    <w:lvl w:ilvl="0" w:tplc="0504C878">
      <w:start w:val="1"/>
      <w:numFmt w:val="bullet"/>
      <w:lvlText w:val="•"/>
      <w:lvlJc w:val="left"/>
      <w:pPr>
        <w:tabs>
          <w:tab w:val="num" w:pos="720"/>
        </w:tabs>
        <w:ind w:left="720" w:hanging="360"/>
      </w:pPr>
      <w:rPr>
        <w:rFonts w:ascii="Arial" w:hAnsi="Arial" w:hint="default"/>
      </w:rPr>
    </w:lvl>
    <w:lvl w:ilvl="1" w:tplc="3E5A7B08" w:tentative="1">
      <w:start w:val="1"/>
      <w:numFmt w:val="bullet"/>
      <w:lvlText w:val="•"/>
      <w:lvlJc w:val="left"/>
      <w:pPr>
        <w:tabs>
          <w:tab w:val="num" w:pos="1440"/>
        </w:tabs>
        <w:ind w:left="1440" w:hanging="360"/>
      </w:pPr>
      <w:rPr>
        <w:rFonts w:ascii="Arial" w:hAnsi="Arial" w:hint="default"/>
      </w:rPr>
    </w:lvl>
    <w:lvl w:ilvl="2" w:tplc="7710FC36" w:tentative="1">
      <w:start w:val="1"/>
      <w:numFmt w:val="bullet"/>
      <w:lvlText w:val="•"/>
      <w:lvlJc w:val="left"/>
      <w:pPr>
        <w:tabs>
          <w:tab w:val="num" w:pos="2160"/>
        </w:tabs>
        <w:ind w:left="2160" w:hanging="360"/>
      </w:pPr>
      <w:rPr>
        <w:rFonts w:ascii="Arial" w:hAnsi="Arial" w:hint="default"/>
      </w:rPr>
    </w:lvl>
    <w:lvl w:ilvl="3" w:tplc="36D601F6" w:tentative="1">
      <w:start w:val="1"/>
      <w:numFmt w:val="bullet"/>
      <w:lvlText w:val="•"/>
      <w:lvlJc w:val="left"/>
      <w:pPr>
        <w:tabs>
          <w:tab w:val="num" w:pos="2880"/>
        </w:tabs>
        <w:ind w:left="2880" w:hanging="360"/>
      </w:pPr>
      <w:rPr>
        <w:rFonts w:ascii="Arial" w:hAnsi="Arial" w:hint="default"/>
      </w:rPr>
    </w:lvl>
    <w:lvl w:ilvl="4" w:tplc="81202250" w:tentative="1">
      <w:start w:val="1"/>
      <w:numFmt w:val="bullet"/>
      <w:lvlText w:val="•"/>
      <w:lvlJc w:val="left"/>
      <w:pPr>
        <w:tabs>
          <w:tab w:val="num" w:pos="3600"/>
        </w:tabs>
        <w:ind w:left="3600" w:hanging="360"/>
      </w:pPr>
      <w:rPr>
        <w:rFonts w:ascii="Arial" w:hAnsi="Arial" w:hint="default"/>
      </w:rPr>
    </w:lvl>
    <w:lvl w:ilvl="5" w:tplc="AB7EB4AC" w:tentative="1">
      <w:start w:val="1"/>
      <w:numFmt w:val="bullet"/>
      <w:lvlText w:val="•"/>
      <w:lvlJc w:val="left"/>
      <w:pPr>
        <w:tabs>
          <w:tab w:val="num" w:pos="4320"/>
        </w:tabs>
        <w:ind w:left="4320" w:hanging="360"/>
      </w:pPr>
      <w:rPr>
        <w:rFonts w:ascii="Arial" w:hAnsi="Arial" w:hint="default"/>
      </w:rPr>
    </w:lvl>
    <w:lvl w:ilvl="6" w:tplc="BE1CB3E0" w:tentative="1">
      <w:start w:val="1"/>
      <w:numFmt w:val="bullet"/>
      <w:lvlText w:val="•"/>
      <w:lvlJc w:val="left"/>
      <w:pPr>
        <w:tabs>
          <w:tab w:val="num" w:pos="5040"/>
        </w:tabs>
        <w:ind w:left="5040" w:hanging="360"/>
      </w:pPr>
      <w:rPr>
        <w:rFonts w:ascii="Arial" w:hAnsi="Arial" w:hint="default"/>
      </w:rPr>
    </w:lvl>
    <w:lvl w:ilvl="7" w:tplc="4D9A8EAC" w:tentative="1">
      <w:start w:val="1"/>
      <w:numFmt w:val="bullet"/>
      <w:lvlText w:val="•"/>
      <w:lvlJc w:val="left"/>
      <w:pPr>
        <w:tabs>
          <w:tab w:val="num" w:pos="5760"/>
        </w:tabs>
        <w:ind w:left="5760" w:hanging="360"/>
      </w:pPr>
      <w:rPr>
        <w:rFonts w:ascii="Arial" w:hAnsi="Arial" w:hint="default"/>
      </w:rPr>
    </w:lvl>
    <w:lvl w:ilvl="8" w:tplc="CD54B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6879E3"/>
    <w:multiLevelType w:val="hybridMultilevel"/>
    <w:tmpl w:val="753E7034"/>
    <w:lvl w:ilvl="0" w:tplc="EDB03608">
      <w:start w:val="1"/>
      <w:numFmt w:val="bullet"/>
      <w:lvlText w:val=""/>
      <w:lvlJc w:val="left"/>
      <w:pPr>
        <w:tabs>
          <w:tab w:val="num" w:pos="720"/>
        </w:tabs>
        <w:ind w:left="720" w:hanging="360"/>
      </w:pPr>
      <w:rPr>
        <w:rFonts w:ascii="Wingdings" w:hAnsi="Wingdings" w:hint="default"/>
      </w:rPr>
    </w:lvl>
    <w:lvl w:ilvl="1" w:tplc="6290B74C" w:tentative="1">
      <w:start w:val="1"/>
      <w:numFmt w:val="bullet"/>
      <w:lvlText w:val=""/>
      <w:lvlJc w:val="left"/>
      <w:pPr>
        <w:tabs>
          <w:tab w:val="num" w:pos="1440"/>
        </w:tabs>
        <w:ind w:left="1440" w:hanging="360"/>
      </w:pPr>
      <w:rPr>
        <w:rFonts w:ascii="Wingdings" w:hAnsi="Wingdings" w:hint="default"/>
      </w:rPr>
    </w:lvl>
    <w:lvl w:ilvl="2" w:tplc="7924FB22">
      <w:start w:val="278"/>
      <w:numFmt w:val="bullet"/>
      <w:lvlText w:val=""/>
      <w:lvlJc w:val="left"/>
      <w:pPr>
        <w:tabs>
          <w:tab w:val="num" w:pos="2160"/>
        </w:tabs>
        <w:ind w:left="2160" w:hanging="360"/>
      </w:pPr>
      <w:rPr>
        <w:rFonts w:ascii="Wingdings" w:hAnsi="Wingdings" w:hint="default"/>
      </w:rPr>
    </w:lvl>
    <w:lvl w:ilvl="3" w:tplc="068C8776" w:tentative="1">
      <w:start w:val="1"/>
      <w:numFmt w:val="bullet"/>
      <w:lvlText w:val=""/>
      <w:lvlJc w:val="left"/>
      <w:pPr>
        <w:tabs>
          <w:tab w:val="num" w:pos="2880"/>
        </w:tabs>
        <w:ind w:left="2880" w:hanging="360"/>
      </w:pPr>
      <w:rPr>
        <w:rFonts w:ascii="Wingdings" w:hAnsi="Wingdings" w:hint="default"/>
      </w:rPr>
    </w:lvl>
    <w:lvl w:ilvl="4" w:tplc="37CABE66" w:tentative="1">
      <w:start w:val="1"/>
      <w:numFmt w:val="bullet"/>
      <w:lvlText w:val=""/>
      <w:lvlJc w:val="left"/>
      <w:pPr>
        <w:tabs>
          <w:tab w:val="num" w:pos="3600"/>
        </w:tabs>
        <w:ind w:left="3600" w:hanging="360"/>
      </w:pPr>
      <w:rPr>
        <w:rFonts w:ascii="Wingdings" w:hAnsi="Wingdings" w:hint="default"/>
      </w:rPr>
    </w:lvl>
    <w:lvl w:ilvl="5" w:tplc="DC380C1E" w:tentative="1">
      <w:start w:val="1"/>
      <w:numFmt w:val="bullet"/>
      <w:lvlText w:val=""/>
      <w:lvlJc w:val="left"/>
      <w:pPr>
        <w:tabs>
          <w:tab w:val="num" w:pos="4320"/>
        </w:tabs>
        <w:ind w:left="4320" w:hanging="360"/>
      </w:pPr>
      <w:rPr>
        <w:rFonts w:ascii="Wingdings" w:hAnsi="Wingdings" w:hint="default"/>
      </w:rPr>
    </w:lvl>
    <w:lvl w:ilvl="6" w:tplc="19C024EE" w:tentative="1">
      <w:start w:val="1"/>
      <w:numFmt w:val="bullet"/>
      <w:lvlText w:val=""/>
      <w:lvlJc w:val="left"/>
      <w:pPr>
        <w:tabs>
          <w:tab w:val="num" w:pos="5040"/>
        </w:tabs>
        <w:ind w:left="5040" w:hanging="360"/>
      </w:pPr>
      <w:rPr>
        <w:rFonts w:ascii="Wingdings" w:hAnsi="Wingdings" w:hint="default"/>
      </w:rPr>
    </w:lvl>
    <w:lvl w:ilvl="7" w:tplc="1E7AB022" w:tentative="1">
      <w:start w:val="1"/>
      <w:numFmt w:val="bullet"/>
      <w:lvlText w:val=""/>
      <w:lvlJc w:val="left"/>
      <w:pPr>
        <w:tabs>
          <w:tab w:val="num" w:pos="5760"/>
        </w:tabs>
        <w:ind w:left="5760" w:hanging="360"/>
      </w:pPr>
      <w:rPr>
        <w:rFonts w:ascii="Wingdings" w:hAnsi="Wingdings" w:hint="default"/>
      </w:rPr>
    </w:lvl>
    <w:lvl w:ilvl="8" w:tplc="9A1C980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8138F6"/>
    <w:multiLevelType w:val="hybridMultilevel"/>
    <w:tmpl w:val="2910B4CC"/>
    <w:lvl w:ilvl="0" w:tplc="6A3CEA34">
      <w:start w:val="1"/>
      <w:numFmt w:val="decimal"/>
      <w:lvlText w:val="%1."/>
      <w:lvlJc w:val="left"/>
      <w:pPr>
        <w:ind w:left="1257" w:hanging="360"/>
      </w:pPr>
      <w:rPr>
        <w:color w:val="0D0D0D"/>
      </w:rPr>
    </w:lvl>
    <w:lvl w:ilvl="1" w:tplc="04260019" w:tentative="1">
      <w:start w:val="1"/>
      <w:numFmt w:val="lowerLetter"/>
      <w:lvlText w:val="%2."/>
      <w:lvlJc w:val="left"/>
      <w:pPr>
        <w:ind w:left="1977" w:hanging="360"/>
      </w:pPr>
    </w:lvl>
    <w:lvl w:ilvl="2" w:tplc="0426001B" w:tentative="1">
      <w:start w:val="1"/>
      <w:numFmt w:val="lowerRoman"/>
      <w:lvlText w:val="%3."/>
      <w:lvlJc w:val="right"/>
      <w:pPr>
        <w:ind w:left="2697" w:hanging="180"/>
      </w:pPr>
    </w:lvl>
    <w:lvl w:ilvl="3" w:tplc="0426000F" w:tentative="1">
      <w:start w:val="1"/>
      <w:numFmt w:val="decimal"/>
      <w:lvlText w:val="%4."/>
      <w:lvlJc w:val="left"/>
      <w:pPr>
        <w:ind w:left="3417" w:hanging="360"/>
      </w:pPr>
    </w:lvl>
    <w:lvl w:ilvl="4" w:tplc="04260019" w:tentative="1">
      <w:start w:val="1"/>
      <w:numFmt w:val="lowerLetter"/>
      <w:lvlText w:val="%5."/>
      <w:lvlJc w:val="left"/>
      <w:pPr>
        <w:ind w:left="4137" w:hanging="360"/>
      </w:pPr>
    </w:lvl>
    <w:lvl w:ilvl="5" w:tplc="0426001B" w:tentative="1">
      <w:start w:val="1"/>
      <w:numFmt w:val="lowerRoman"/>
      <w:lvlText w:val="%6."/>
      <w:lvlJc w:val="right"/>
      <w:pPr>
        <w:ind w:left="4857" w:hanging="180"/>
      </w:pPr>
    </w:lvl>
    <w:lvl w:ilvl="6" w:tplc="0426000F" w:tentative="1">
      <w:start w:val="1"/>
      <w:numFmt w:val="decimal"/>
      <w:lvlText w:val="%7."/>
      <w:lvlJc w:val="left"/>
      <w:pPr>
        <w:ind w:left="5577" w:hanging="360"/>
      </w:pPr>
    </w:lvl>
    <w:lvl w:ilvl="7" w:tplc="04260019" w:tentative="1">
      <w:start w:val="1"/>
      <w:numFmt w:val="lowerLetter"/>
      <w:lvlText w:val="%8."/>
      <w:lvlJc w:val="left"/>
      <w:pPr>
        <w:ind w:left="6297" w:hanging="360"/>
      </w:pPr>
    </w:lvl>
    <w:lvl w:ilvl="8" w:tplc="0426001B" w:tentative="1">
      <w:start w:val="1"/>
      <w:numFmt w:val="lowerRoman"/>
      <w:lvlText w:val="%9."/>
      <w:lvlJc w:val="right"/>
      <w:pPr>
        <w:ind w:left="7017" w:hanging="180"/>
      </w:pPr>
    </w:lvl>
  </w:abstractNum>
  <w:abstractNum w:abstractNumId="25" w15:restartNumberingAfterBreak="0">
    <w:nsid w:val="74F81528"/>
    <w:multiLevelType w:val="hybridMultilevel"/>
    <w:tmpl w:val="D884C858"/>
    <w:lvl w:ilvl="0" w:tplc="A82C4B7A">
      <w:start w:val="1"/>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92C60A7"/>
    <w:multiLevelType w:val="hybridMultilevel"/>
    <w:tmpl w:val="AE0EDBE0"/>
    <w:lvl w:ilvl="0" w:tplc="BE3E040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8379B5"/>
    <w:multiLevelType w:val="hybridMultilevel"/>
    <w:tmpl w:val="6BBEBC94"/>
    <w:lvl w:ilvl="0" w:tplc="79E49F9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8" w15:restartNumberingAfterBreak="0">
    <w:nsid w:val="7C8E18D8"/>
    <w:multiLevelType w:val="hybridMultilevel"/>
    <w:tmpl w:val="7ED42956"/>
    <w:lvl w:ilvl="0" w:tplc="E9B20596">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BF13B5"/>
    <w:multiLevelType w:val="multilevel"/>
    <w:tmpl w:val="834461C2"/>
    <w:lvl w:ilvl="0">
      <w:start w:val="1"/>
      <w:numFmt w:val="decimal"/>
      <w:lvlText w:val="(%1)"/>
      <w:lvlJc w:val="left"/>
      <w:pPr>
        <w:ind w:left="1211" w:hanging="360"/>
      </w:pPr>
      <w:rPr>
        <w:b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2"/>
  </w:num>
  <w:num w:numId="2">
    <w:abstractNumId w:val="8"/>
  </w:num>
  <w:num w:numId="3">
    <w:abstractNumId w:val="19"/>
  </w:num>
  <w:num w:numId="4">
    <w:abstractNumId w:val="17"/>
  </w:num>
  <w:num w:numId="5">
    <w:abstractNumId w:val="15"/>
  </w:num>
  <w:num w:numId="6">
    <w:abstractNumId w:val="3"/>
  </w:num>
  <w:num w:numId="7">
    <w:abstractNumId w:val="29"/>
  </w:num>
  <w:num w:numId="8">
    <w:abstractNumId w:val="20"/>
  </w:num>
  <w:num w:numId="9">
    <w:abstractNumId w:val="4"/>
  </w:num>
  <w:num w:numId="10">
    <w:abstractNumId w:val="11"/>
  </w:num>
  <w:num w:numId="11">
    <w:abstractNumId w:val="1"/>
  </w:num>
  <w:num w:numId="12">
    <w:abstractNumId w:val="0"/>
  </w:num>
  <w:num w:numId="13">
    <w:abstractNumId w:val="13"/>
  </w:num>
  <w:num w:numId="14">
    <w:abstractNumId w:val="25"/>
  </w:num>
  <w:num w:numId="15">
    <w:abstractNumId w:val="27"/>
  </w:num>
  <w:num w:numId="16">
    <w:abstractNumId w:val="18"/>
  </w:num>
  <w:num w:numId="17">
    <w:abstractNumId w:val="26"/>
  </w:num>
  <w:num w:numId="18">
    <w:abstractNumId w:val="10"/>
  </w:num>
  <w:num w:numId="19">
    <w:abstractNumId w:val="14"/>
  </w:num>
  <w:num w:numId="20">
    <w:abstractNumId w:val="5"/>
  </w:num>
  <w:num w:numId="21">
    <w:abstractNumId w:val="22"/>
  </w:num>
  <w:num w:numId="22">
    <w:abstractNumId w:val="6"/>
  </w:num>
  <w:num w:numId="23">
    <w:abstractNumId w:val="2"/>
  </w:num>
  <w:num w:numId="24">
    <w:abstractNumId w:val="24"/>
  </w:num>
  <w:num w:numId="25">
    <w:abstractNumId w:val="9"/>
  </w:num>
  <w:num w:numId="26">
    <w:abstractNumId w:val="23"/>
  </w:num>
  <w:num w:numId="27">
    <w:abstractNumId w:val="28"/>
  </w:num>
  <w:num w:numId="28">
    <w:abstractNumId w:val="7"/>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BC"/>
    <w:rsid w:val="00002088"/>
    <w:rsid w:val="0000684E"/>
    <w:rsid w:val="000072B9"/>
    <w:rsid w:val="00010333"/>
    <w:rsid w:val="00013AA5"/>
    <w:rsid w:val="00021584"/>
    <w:rsid w:val="000233C7"/>
    <w:rsid w:val="00033360"/>
    <w:rsid w:val="00034D00"/>
    <w:rsid w:val="00035D5B"/>
    <w:rsid w:val="00035DC9"/>
    <w:rsid w:val="00036231"/>
    <w:rsid w:val="0003641D"/>
    <w:rsid w:val="000432AE"/>
    <w:rsid w:val="00043452"/>
    <w:rsid w:val="000441BE"/>
    <w:rsid w:val="000446A1"/>
    <w:rsid w:val="000447C4"/>
    <w:rsid w:val="00045D6E"/>
    <w:rsid w:val="000514D6"/>
    <w:rsid w:val="00054AA6"/>
    <w:rsid w:val="00056FF6"/>
    <w:rsid w:val="0006148D"/>
    <w:rsid w:val="00064B26"/>
    <w:rsid w:val="0007017E"/>
    <w:rsid w:val="00070BAD"/>
    <w:rsid w:val="0007458D"/>
    <w:rsid w:val="00076C6D"/>
    <w:rsid w:val="000776CF"/>
    <w:rsid w:val="00077AF8"/>
    <w:rsid w:val="00080382"/>
    <w:rsid w:val="00081731"/>
    <w:rsid w:val="000833F9"/>
    <w:rsid w:val="00083DC5"/>
    <w:rsid w:val="00085E4E"/>
    <w:rsid w:val="00086EE7"/>
    <w:rsid w:val="00094866"/>
    <w:rsid w:val="00096E41"/>
    <w:rsid w:val="00096F33"/>
    <w:rsid w:val="000A18E1"/>
    <w:rsid w:val="000A1B81"/>
    <w:rsid w:val="000A5FD5"/>
    <w:rsid w:val="000B043B"/>
    <w:rsid w:val="000B402E"/>
    <w:rsid w:val="000B4D1F"/>
    <w:rsid w:val="000B5292"/>
    <w:rsid w:val="000C0FC4"/>
    <w:rsid w:val="000C1547"/>
    <w:rsid w:val="000C284A"/>
    <w:rsid w:val="000C41E8"/>
    <w:rsid w:val="000D429C"/>
    <w:rsid w:val="000D490D"/>
    <w:rsid w:val="000D600D"/>
    <w:rsid w:val="000D6859"/>
    <w:rsid w:val="000D6B51"/>
    <w:rsid w:val="000E1DC3"/>
    <w:rsid w:val="000E36BB"/>
    <w:rsid w:val="000E4752"/>
    <w:rsid w:val="000E7B38"/>
    <w:rsid w:val="000F5DFA"/>
    <w:rsid w:val="000F7449"/>
    <w:rsid w:val="000F79CA"/>
    <w:rsid w:val="000F7DA9"/>
    <w:rsid w:val="001007A5"/>
    <w:rsid w:val="00101A1D"/>
    <w:rsid w:val="00102A8D"/>
    <w:rsid w:val="00104B5F"/>
    <w:rsid w:val="001054EA"/>
    <w:rsid w:val="00106C2E"/>
    <w:rsid w:val="001101E6"/>
    <w:rsid w:val="001105EB"/>
    <w:rsid w:val="00110681"/>
    <w:rsid w:val="00113C08"/>
    <w:rsid w:val="0011522E"/>
    <w:rsid w:val="00116F86"/>
    <w:rsid w:val="00117EC3"/>
    <w:rsid w:val="00122AC4"/>
    <w:rsid w:val="00122D03"/>
    <w:rsid w:val="00125794"/>
    <w:rsid w:val="00126482"/>
    <w:rsid w:val="001308C4"/>
    <w:rsid w:val="0013169D"/>
    <w:rsid w:val="001331AC"/>
    <w:rsid w:val="0013695F"/>
    <w:rsid w:val="001369E5"/>
    <w:rsid w:val="00137D60"/>
    <w:rsid w:val="00137DEE"/>
    <w:rsid w:val="001405DE"/>
    <w:rsid w:val="0014126D"/>
    <w:rsid w:val="00141C45"/>
    <w:rsid w:val="0014205D"/>
    <w:rsid w:val="00142F57"/>
    <w:rsid w:val="0014312F"/>
    <w:rsid w:val="001452F2"/>
    <w:rsid w:val="00145449"/>
    <w:rsid w:val="00146CAD"/>
    <w:rsid w:val="00147944"/>
    <w:rsid w:val="00151957"/>
    <w:rsid w:val="00154B4C"/>
    <w:rsid w:val="00161887"/>
    <w:rsid w:val="001629E7"/>
    <w:rsid w:val="0016455E"/>
    <w:rsid w:val="001803AD"/>
    <w:rsid w:val="001843F7"/>
    <w:rsid w:val="00186ED8"/>
    <w:rsid w:val="00196B85"/>
    <w:rsid w:val="001A13CB"/>
    <w:rsid w:val="001A1B3C"/>
    <w:rsid w:val="001A43B7"/>
    <w:rsid w:val="001A46FA"/>
    <w:rsid w:val="001A53D2"/>
    <w:rsid w:val="001A7441"/>
    <w:rsid w:val="001A7B56"/>
    <w:rsid w:val="001A7F8B"/>
    <w:rsid w:val="001B05E7"/>
    <w:rsid w:val="001B3779"/>
    <w:rsid w:val="001B54A9"/>
    <w:rsid w:val="001B5E6E"/>
    <w:rsid w:val="001B6FE4"/>
    <w:rsid w:val="001C13C7"/>
    <w:rsid w:val="001C1DEC"/>
    <w:rsid w:val="001D297B"/>
    <w:rsid w:val="001D2E3F"/>
    <w:rsid w:val="001D63F3"/>
    <w:rsid w:val="001D6655"/>
    <w:rsid w:val="001D6824"/>
    <w:rsid w:val="001D7232"/>
    <w:rsid w:val="001E2B3E"/>
    <w:rsid w:val="001E53CA"/>
    <w:rsid w:val="001E624E"/>
    <w:rsid w:val="001E7559"/>
    <w:rsid w:val="001F1A09"/>
    <w:rsid w:val="001F22A3"/>
    <w:rsid w:val="001F64A1"/>
    <w:rsid w:val="001F6C0D"/>
    <w:rsid w:val="00200425"/>
    <w:rsid w:val="00200A33"/>
    <w:rsid w:val="00202DB8"/>
    <w:rsid w:val="00205AC0"/>
    <w:rsid w:val="00205D92"/>
    <w:rsid w:val="00206E4E"/>
    <w:rsid w:val="00211EDF"/>
    <w:rsid w:val="00212BE3"/>
    <w:rsid w:val="00213436"/>
    <w:rsid w:val="002215F1"/>
    <w:rsid w:val="002221A3"/>
    <w:rsid w:val="00222FBC"/>
    <w:rsid w:val="00223673"/>
    <w:rsid w:val="00224C6F"/>
    <w:rsid w:val="00225314"/>
    <w:rsid w:val="002260EE"/>
    <w:rsid w:val="00227DE5"/>
    <w:rsid w:val="002315AD"/>
    <w:rsid w:val="00233B88"/>
    <w:rsid w:val="00234235"/>
    <w:rsid w:val="00234F39"/>
    <w:rsid w:val="00236780"/>
    <w:rsid w:val="00236A9A"/>
    <w:rsid w:val="00237D7D"/>
    <w:rsid w:val="00241DAD"/>
    <w:rsid w:val="00243C5F"/>
    <w:rsid w:val="00245420"/>
    <w:rsid w:val="00247AD9"/>
    <w:rsid w:val="00252795"/>
    <w:rsid w:val="00262F5B"/>
    <w:rsid w:val="00265529"/>
    <w:rsid w:val="00266161"/>
    <w:rsid w:val="00267070"/>
    <w:rsid w:val="00267834"/>
    <w:rsid w:val="002706F7"/>
    <w:rsid w:val="00271B28"/>
    <w:rsid w:val="00273C0D"/>
    <w:rsid w:val="002747AE"/>
    <w:rsid w:val="00275626"/>
    <w:rsid w:val="00276B39"/>
    <w:rsid w:val="00277246"/>
    <w:rsid w:val="002802FB"/>
    <w:rsid w:val="002815E2"/>
    <w:rsid w:val="002817FC"/>
    <w:rsid w:val="00281A1A"/>
    <w:rsid w:val="00283C7C"/>
    <w:rsid w:val="00284CD7"/>
    <w:rsid w:val="0029013B"/>
    <w:rsid w:val="0029689A"/>
    <w:rsid w:val="00297FEA"/>
    <w:rsid w:val="002A0ECA"/>
    <w:rsid w:val="002A1592"/>
    <w:rsid w:val="002A2D92"/>
    <w:rsid w:val="002A356E"/>
    <w:rsid w:val="002B0678"/>
    <w:rsid w:val="002B6096"/>
    <w:rsid w:val="002B6A5B"/>
    <w:rsid w:val="002C05E3"/>
    <w:rsid w:val="002C14EE"/>
    <w:rsid w:val="002C39D9"/>
    <w:rsid w:val="002C5744"/>
    <w:rsid w:val="002C749C"/>
    <w:rsid w:val="002D1A78"/>
    <w:rsid w:val="002D437D"/>
    <w:rsid w:val="002D5555"/>
    <w:rsid w:val="002D6A8B"/>
    <w:rsid w:val="002E292B"/>
    <w:rsid w:val="002F18F0"/>
    <w:rsid w:val="002F1F9A"/>
    <w:rsid w:val="002F6B61"/>
    <w:rsid w:val="0030073A"/>
    <w:rsid w:val="0030742E"/>
    <w:rsid w:val="00307476"/>
    <w:rsid w:val="00315353"/>
    <w:rsid w:val="0031615C"/>
    <w:rsid w:val="0031754B"/>
    <w:rsid w:val="00320960"/>
    <w:rsid w:val="0032250B"/>
    <w:rsid w:val="00323C63"/>
    <w:rsid w:val="0032444C"/>
    <w:rsid w:val="003269AF"/>
    <w:rsid w:val="00327F2A"/>
    <w:rsid w:val="003318E5"/>
    <w:rsid w:val="00332449"/>
    <w:rsid w:val="00333DA1"/>
    <w:rsid w:val="00335BAA"/>
    <w:rsid w:val="0033697B"/>
    <w:rsid w:val="003407E2"/>
    <w:rsid w:val="00340C6F"/>
    <w:rsid w:val="00342024"/>
    <w:rsid w:val="00343FF0"/>
    <w:rsid w:val="0034492A"/>
    <w:rsid w:val="00344930"/>
    <w:rsid w:val="00353612"/>
    <w:rsid w:val="0035557F"/>
    <w:rsid w:val="00356C81"/>
    <w:rsid w:val="00357189"/>
    <w:rsid w:val="00357CE9"/>
    <w:rsid w:val="00361F25"/>
    <w:rsid w:val="0036207A"/>
    <w:rsid w:val="00363878"/>
    <w:rsid w:val="00364ED1"/>
    <w:rsid w:val="003679C1"/>
    <w:rsid w:val="003710D7"/>
    <w:rsid w:val="00375540"/>
    <w:rsid w:val="00381D7F"/>
    <w:rsid w:val="0038270A"/>
    <w:rsid w:val="00382A79"/>
    <w:rsid w:val="00382C5C"/>
    <w:rsid w:val="00386D91"/>
    <w:rsid w:val="00387BBA"/>
    <w:rsid w:val="003904C2"/>
    <w:rsid w:val="0039426B"/>
    <w:rsid w:val="00397959"/>
    <w:rsid w:val="003A0EB3"/>
    <w:rsid w:val="003A0F47"/>
    <w:rsid w:val="003A1F3E"/>
    <w:rsid w:val="003A39F8"/>
    <w:rsid w:val="003A44E4"/>
    <w:rsid w:val="003A74C0"/>
    <w:rsid w:val="003A7DD0"/>
    <w:rsid w:val="003B15C7"/>
    <w:rsid w:val="003B333D"/>
    <w:rsid w:val="003B37D5"/>
    <w:rsid w:val="003B5F49"/>
    <w:rsid w:val="003B60EC"/>
    <w:rsid w:val="003C18F1"/>
    <w:rsid w:val="003C2DA3"/>
    <w:rsid w:val="003C4A2E"/>
    <w:rsid w:val="003C5B6E"/>
    <w:rsid w:val="003C6FAF"/>
    <w:rsid w:val="003D032D"/>
    <w:rsid w:val="003D25ED"/>
    <w:rsid w:val="003D4D45"/>
    <w:rsid w:val="003D575C"/>
    <w:rsid w:val="003D74A8"/>
    <w:rsid w:val="003E0EA0"/>
    <w:rsid w:val="003E1C5C"/>
    <w:rsid w:val="003E459C"/>
    <w:rsid w:val="003E76E8"/>
    <w:rsid w:val="003F11F8"/>
    <w:rsid w:val="003F1C83"/>
    <w:rsid w:val="003F2B87"/>
    <w:rsid w:val="003F3422"/>
    <w:rsid w:val="003F4D0A"/>
    <w:rsid w:val="003F6625"/>
    <w:rsid w:val="00402A0A"/>
    <w:rsid w:val="0040639C"/>
    <w:rsid w:val="00407F35"/>
    <w:rsid w:val="00410979"/>
    <w:rsid w:val="0041477C"/>
    <w:rsid w:val="004236BC"/>
    <w:rsid w:val="0042740B"/>
    <w:rsid w:val="00430293"/>
    <w:rsid w:val="0043210D"/>
    <w:rsid w:val="00433688"/>
    <w:rsid w:val="00433D3E"/>
    <w:rsid w:val="00440452"/>
    <w:rsid w:val="0044057A"/>
    <w:rsid w:val="00442891"/>
    <w:rsid w:val="00450CBD"/>
    <w:rsid w:val="004568EF"/>
    <w:rsid w:val="004607CD"/>
    <w:rsid w:val="00460918"/>
    <w:rsid w:val="00462292"/>
    <w:rsid w:val="00463A3B"/>
    <w:rsid w:val="00465094"/>
    <w:rsid w:val="00465D01"/>
    <w:rsid w:val="00467121"/>
    <w:rsid w:val="004676FD"/>
    <w:rsid w:val="00471448"/>
    <w:rsid w:val="00473058"/>
    <w:rsid w:val="00473CC1"/>
    <w:rsid w:val="004747EB"/>
    <w:rsid w:val="00475C7D"/>
    <w:rsid w:val="004768D7"/>
    <w:rsid w:val="00476BC7"/>
    <w:rsid w:val="00477856"/>
    <w:rsid w:val="004825CB"/>
    <w:rsid w:val="00483AFD"/>
    <w:rsid w:val="00487575"/>
    <w:rsid w:val="00493144"/>
    <w:rsid w:val="004932F1"/>
    <w:rsid w:val="00493F4D"/>
    <w:rsid w:val="00494F89"/>
    <w:rsid w:val="00495957"/>
    <w:rsid w:val="00496665"/>
    <w:rsid w:val="004A24D2"/>
    <w:rsid w:val="004A6E28"/>
    <w:rsid w:val="004A7EA8"/>
    <w:rsid w:val="004B172C"/>
    <w:rsid w:val="004B3603"/>
    <w:rsid w:val="004B5C4B"/>
    <w:rsid w:val="004C70FB"/>
    <w:rsid w:val="004C7DA3"/>
    <w:rsid w:val="004D4504"/>
    <w:rsid w:val="004D5140"/>
    <w:rsid w:val="004E0D10"/>
    <w:rsid w:val="004E2587"/>
    <w:rsid w:val="004E39D7"/>
    <w:rsid w:val="004E6740"/>
    <w:rsid w:val="004F17C3"/>
    <w:rsid w:val="004F1D62"/>
    <w:rsid w:val="004F2BA3"/>
    <w:rsid w:val="004F3886"/>
    <w:rsid w:val="004F6108"/>
    <w:rsid w:val="004F68EF"/>
    <w:rsid w:val="00500517"/>
    <w:rsid w:val="00500954"/>
    <w:rsid w:val="00502EA5"/>
    <w:rsid w:val="00504CE0"/>
    <w:rsid w:val="00504FA8"/>
    <w:rsid w:val="005060D6"/>
    <w:rsid w:val="005109FE"/>
    <w:rsid w:val="00512466"/>
    <w:rsid w:val="005175E4"/>
    <w:rsid w:val="00522381"/>
    <w:rsid w:val="005227D0"/>
    <w:rsid w:val="00522998"/>
    <w:rsid w:val="005260B8"/>
    <w:rsid w:val="005265F6"/>
    <w:rsid w:val="00527A2F"/>
    <w:rsid w:val="00527E17"/>
    <w:rsid w:val="00531FFB"/>
    <w:rsid w:val="00536970"/>
    <w:rsid w:val="00536A99"/>
    <w:rsid w:val="005370A4"/>
    <w:rsid w:val="00541795"/>
    <w:rsid w:val="00542B01"/>
    <w:rsid w:val="005432E9"/>
    <w:rsid w:val="00546035"/>
    <w:rsid w:val="00546F29"/>
    <w:rsid w:val="00547607"/>
    <w:rsid w:val="005476F3"/>
    <w:rsid w:val="00550751"/>
    <w:rsid w:val="00550CA4"/>
    <w:rsid w:val="00551A50"/>
    <w:rsid w:val="00553E9F"/>
    <w:rsid w:val="00562254"/>
    <w:rsid w:val="00564EC0"/>
    <w:rsid w:val="005664D6"/>
    <w:rsid w:val="005708DC"/>
    <w:rsid w:val="0057375E"/>
    <w:rsid w:val="00580C6B"/>
    <w:rsid w:val="00586AA2"/>
    <w:rsid w:val="00591466"/>
    <w:rsid w:val="00591FCA"/>
    <w:rsid w:val="00592E27"/>
    <w:rsid w:val="0059410E"/>
    <w:rsid w:val="00595387"/>
    <w:rsid w:val="00595C9E"/>
    <w:rsid w:val="00595DCF"/>
    <w:rsid w:val="005A2663"/>
    <w:rsid w:val="005A27DD"/>
    <w:rsid w:val="005A319C"/>
    <w:rsid w:val="005A31FF"/>
    <w:rsid w:val="005A4F3F"/>
    <w:rsid w:val="005A506F"/>
    <w:rsid w:val="005B4083"/>
    <w:rsid w:val="005B4129"/>
    <w:rsid w:val="005C1344"/>
    <w:rsid w:val="005C14D7"/>
    <w:rsid w:val="005C35CC"/>
    <w:rsid w:val="005C5F09"/>
    <w:rsid w:val="005C6AFA"/>
    <w:rsid w:val="005D0252"/>
    <w:rsid w:val="005D116B"/>
    <w:rsid w:val="005D1234"/>
    <w:rsid w:val="005D1466"/>
    <w:rsid w:val="005D17B9"/>
    <w:rsid w:val="005D2423"/>
    <w:rsid w:val="005D76F9"/>
    <w:rsid w:val="005E478B"/>
    <w:rsid w:val="005E51AA"/>
    <w:rsid w:val="005E6414"/>
    <w:rsid w:val="005E7DAA"/>
    <w:rsid w:val="005F197B"/>
    <w:rsid w:val="005F398C"/>
    <w:rsid w:val="005F462A"/>
    <w:rsid w:val="005F5410"/>
    <w:rsid w:val="0060069D"/>
    <w:rsid w:val="00600FC4"/>
    <w:rsid w:val="00601BE1"/>
    <w:rsid w:val="006065A2"/>
    <w:rsid w:val="00606B24"/>
    <w:rsid w:val="0061127D"/>
    <w:rsid w:val="006174F6"/>
    <w:rsid w:val="00620373"/>
    <w:rsid w:val="006248B7"/>
    <w:rsid w:val="0062500B"/>
    <w:rsid w:val="00627DE9"/>
    <w:rsid w:val="00631306"/>
    <w:rsid w:val="00631AD9"/>
    <w:rsid w:val="00634545"/>
    <w:rsid w:val="00636EEB"/>
    <w:rsid w:val="00640823"/>
    <w:rsid w:val="00641A12"/>
    <w:rsid w:val="00644528"/>
    <w:rsid w:val="006511A2"/>
    <w:rsid w:val="00653EAD"/>
    <w:rsid w:val="00654044"/>
    <w:rsid w:val="006571A0"/>
    <w:rsid w:val="00661B9C"/>
    <w:rsid w:val="0066252B"/>
    <w:rsid w:val="00664EE5"/>
    <w:rsid w:val="006666EE"/>
    <w:rsid w:val="006670CE"/>
    <w:rsid w:val="00667CC6"/>
    <w:rsid w:val="00672931"/>
    <w:rsid w:val="00675E05"/>
    <w:rsid w:val="006770BC"/>
    <w:rsid w:val="006828B8"/>
    <w:rsid w:val="0068367F"/>
    <w:rsid w:val="00693994"/>
    <w:rsid w:val="00693F46"/>
    <w:rsid w:val="006A02D1"/>
    <w:rsid w:val="006A6BD8"/>
    <w:rsid w:val="006B252D"/>
    <w:rsid w:val="006B2D3C"/>
    <w:rsid w:val="006B4971"/>
    <w:rsid w:val="006B52CF"/>
    <w:rsid w:val="006B6193"/>
    <w:rsid w:val="006B685D"/>
    <w:rsid w:val="006B7219"/>
    <w:rsid w:val="006C0EDA"/>
    <w:rsid w:val="006C3359"/>
    <w:rsid w:val="006C5B3A"/>
    <w:rsid w:val="006C69AD"/>
    <w:rsid w:val="006C7BA0"/>
    <w:rsid w:val="006C7F46"/>
    <w:rsid w:val="006D18C5"/>
    <w:rsid w:val="006E4C54"/>
    <w:rsid w:val="006E5CB6"/>
    <w:rsid w:val="006E7C3E"/>
    <w:rsid w:val="006F3338"/>
    <w:rsid w:val="006F4D43"/>
    <w:rsid w:val="006F74CA"/>
    <w:rsid w:val="00700286"/>
    <w:rsid w:val="00702685"/>
    <w:rsid w:val="00706935"/>
    <w:rsid w:val="007070F5"/>
    <w:rsid w:val="00713530"/>
    <w:rsid w:val="00724A50"/>
    <w:rsid w:val="007267EF"/>
    <w:rsid w:val="007303F1"/>
    <w:rsid w:val="0073796F"/>
    <w:rsid w:val="007401CF"/>
    <w:rsid w:val="0074031F"/>
    <w:rsid w:val="00740E74"/>
    <w:rsid w:val="007442BB"/>
    <w:rsid w:val="00745ACC"/>
    <w:rsid w:val="00745ECA"/>
    <w:rsid w:val="00746C2A"/>
    <w:rsid w:val="00751532"/>
    <w:rsid w:val="00753E38"/>
    <w:rsid w:val="0075445A"/>
    <w:rsid w:val="007571C4"/>
    <w:rsid w:val="00757CCC"/>
    <w:rsid w:val="00766377"/>
    <w:rsid w:val="00772A12"/>
    <w:rsid w:val="0077593A"/>
    <w:rsid w:val="00785365"/>
    <w:rsid w:val="00785A5D"/>
    <w:rsid w:val="0078653A"/>
    <w:rsid w:val="0078789C"/>
    <w:rsid w:val="007921B3"/>
    <w:rsid w:val="007934C7"/>
    <w:rsid w:val="00793823"/>
    <w:rsid w:val="00796CED"/>
    <w:rsid w:val="007A07F7"/>
    <w:rsid w:val="007A2908"/>
    <w:rsid w:val="007A40BC"/>
    <w:rsid w:val="007A770C"/>
    <w:rsid w:val="007B0228"/>
    <w:rsid w:val="007B0E81"/>
    <w:rsid w:val="007B17BA"/>
    <w:rsid w:val="007B20B3"/>
    <w:rsid w:val="007B30EF"/>
    <w:rsid w:val="007B3E80"/>
    <w:rsid w:val="007B4A77"/>
    <w:rsid w:val="007B5254"/>
    <w:rsid w:val="007B5C1A"/>
    <w:rsid w:val="007B71E9"/>
    <w:rsid w:val="007B79EA"/>
    <w:rsid w:val="007C0A7F"/>
    <w:rsid w:val="007C2C2A"/>
    <w:rsid w:val="007C4875"/>
    <w:rsid w:val="007C6D7B"/>
    <w:rsid w:val="007C7706"/>
    <w:rsid w:val="007D1E77"/>
    <w:rsid w:val="007D1E98"/>
    <w:rsid w:val="007D217A"/>
    <w:rsid w:val="007D558F"/>
    <w:rsid w:val="007D5A0B"/>
    <w:rsid w:val="007D6555"/>
    <w:rsid w:val="007D7749"/>
    <w:rsid w:val="007D7E5D"/>
    <w:rsid w:val="007E0F3B"/>
    <w:rsid w:val="007E6B1F"/>
    <w:rsid w:val="007F26BC"/>
    <w:rsid w:val="007F29CF"/>
    <w:rsid w:val="007F4A8B"/>
    <w:rsid w:val="007F6634"/>
    <w:rsid w:val="007F7593"/>
    <w:rsid w:val="007F7A43"/>
    <w:rsid w:val="008010DB"/>
    <w:rsid w:val="00801624"/>
    <w:rsid w:val="00801865"/>
    <w:rsid w:val="00802472"/>
    <w:rsid w:val="00803CE3"/>
    <w:rsid w:val="00804CB7"/>
    <w:rsid w:val="00807473"/>
    <w:rsid w:val="008113E8"/>
    <w:rsid w:val="0081434F"/>
    <w:rsid w:val="00814DD1"/>
    <w:rsid w:val="00815B5B"/>
    <w:rsid w:val="00823566"/>
    <w:rsid w:val="008236A8"/>
    <w:rsid w:val="0082428A"/>
    <w:rsid w:val="00825FF9"/>
    <w:rsid w:val="00835544"/>
    <w:rsid w:val="00835D7B"/>
    <w:rsid w:val="00836F13"/>
    <w:rsid w:val="008375F4"/>
    <w:rsid w:val="00842983"/>
    <w:rsid w:val="008432E0"/>
    <w:rsid w:val="00844E05"/>
    <w:rsid w:val="00846022"/>
    <w:rsid w:val="00847886"/>
    <w:rsid w:val="00847DC7"/>
    <w:rsid w:val="008518F2"/>
    <w:rsid w:val="00854F00"/>
    <w:rsid w:val="00855748"/>
    <w:rsid w:val="00855FBC"/>
    <w:rsid w:val="00856084"/>
    <w:rsid w:val="00856324"/>
    <w:rsid w:val="008573E8"/>
    <w:rsid w:val="00860034"/>
    <w:rsid w:val="008603DF"/>
    <w:rsid w:val="0086279A"/>
    <w:rsid w:val="008629C1"/>
    <w:rsid w:val="00862A42"/>
    <w:rsid w:val="008635C5"/>
    <w:rsid w:val="008661D1"/>
    <w:rsid w:val="008663B9"/>
    <w:rsid w:val="00866A86"/>
    <w:rsid w:val="008706CE"/>
    <w:rsid w:val="00871F68"/>
    <w:rsid w:val="0087560D"/>
    <w:rsid w:val="00877B15"/>
    <w:rsid w:val="00881055"/>
    <w:rsid w:val="00882761"/>
    <w:rsid w:val="00882A12"/>
    <w:rsid w:val="00882E9A"/>
    <w:rsid w:val="0088521E"/>
    <w:rsid w:val="0089061C"/>
    <w:rsid w:val="00890C36"/>
    <w:rsid w:val="00892C45"/>
    <w:rsid w:val="008934E7"/>
    <w:rsid w:val="00893DF1"/>
    <w:rsid w:val="008940B6"/>
    <w:rsid w:val="00894281"/>
    <w:rsid w:val="00896CE7"/>
    <w:rsid w:val="008A4977"/>
    <w:rsid w:val="008A6119"/>
    <w:rsid w:val="008A6E00"/>
    <w:rsid w:val="008B2AA6"/>
    <w:rsid w:val="008B699D"/>
    <w:rsid w:val="008B6BF5"/>
    <w:rsid w:val="008B6F19"/>
    <w:rsid w:val="008B6FFF"/>
    <w:rsid w:val="008B74EF"/>
    <w:rsid w:val="008C5C50"/>
    <w:rsid w:val="008D0552"/>
    <w:rsid w:val="008D3F41"/>
    <w:rsid w:val="008D47DC"/>
    <w:rsid w:val="008D50C5"/>
    <w:rsid w:val="008D75E2"/>
    <w:rsid w:val="008E08FB"/>
    <w:rsid w:val="008E319F"/>
    <w:rsid w:val="008E5F0F"/>
    <w:rsid w:val="008E61C9"/>
    <w:rsid w:val="008E75E1"/>
    <w:rsid w:val="008F0CC2"/>
    <w:rsid w:val="008F1409"/>
    <w:rsid w:val="008F1D7D"/>
    <w:rsid w:val="008F33B2"/>
    <w:rsid w:val="008F3BA2"/>
    <w:rsid w:val="008F42A4"/>
    <w:rsid w:val="008F5258"/>
    <w:rsid w:val="008F5B85"/>
    <w:rsid w:val="008F5D9E"/>
    <w:rsid w:val="008F70E0"/>
    <w:rsid w:val="009023BF"/>
    <w:rsid w:val="00902546"/>
    <w:rsid w:val="00903E33"/>
    <w:rsid w:val="00905CC9"/>
    <w:rsid w:val="00906964"/>
    <w:rsid w:val="0091231B"/>
    <w:rsid w:val="009125BF"/>
    <w:rsid w:val="00916367"/>
    <w:rsid w:val="009179E2"/>
    <w:rsid w:val="00923A58"/>
    <w:rsid w:val="00923DE7"/>
    <w:rsid w:val="009248B9"/>
    <w:rsid w:val="0092609C"/>
    <w:rsid w:val="009275E1"/>
    <w:rsid w:val="0093022C"/>
    <w:rsid w:val="0093023C"/>
    <w:rsid w:val="00931EF8"/>
    <w:rsid w:val="00941593"/>
    <w:rsid w:val="00943983"/>
    <w:rsid w:val="00943F56"/>
    <w:rsid w:val="00946676"/>
    <w:rsid w:val="00951175"/>
    <w:rsid w:val="009521A0"/>
    <w:rsid w:val="009538B7"/>
    <w:rsid w:val="00955085"/>
    <w:rsid w:val="0095607B"/>
    <w:rsid w:val="00956469"/>
    <w:rsid w:val="00962898"/>
    <w:rsid w:val="00964D1A"/>
    <w:rsid w:val="00964D46"/>
    <w:rsid w:val="00971A46"/>
    <w:rsid w:val="009725FF"/>
    <w:rsid w:val="00973FBD"/>
    <w:rsid w:val="00980782"/>
    <w:rsid w:val="00984E80"/>
    <w:rsid w:val="00990D4B"/>
    <w:rsid w:val="00996A96"/>
    <w:rsid w:val="009971F8"/>
    <w:rsid w:val="009A00FE"/>
    <w:rsid w:val="009A1AE7"/>
    <w:rsid w:val="009A65E2"/>
    <w:rsid w:val="009A688B"/>
    <w:rsid w:val="009C1765"/>
    <w:rsid w:val="009C6EFB"/>
    <w:rsid w:val="009D0026"/>
    <w:rsid w:val="009D05B9"/>
    <w:rsid w:val="009D1F0D"/>
    <w:rsid w:val="009D2167"/>
    <w:rsid w:val="009D3888"/>
    <w:rsid w:val="009D52E4"/>
    <w:rsid w:val="009E0BB8"/>
    <w:rsid w:val="009E1AFA"/>
    <w:rsid w:val="009E5BEF"/>
    <w:rsid w:val="009F0D41"/>
    <w:rsid w:val="009F20F8"/>
    <w:rsid w:val="009F420E"/>
    <w:rsid w:val="009F528F"/>
    <w:rsid w:val="009F70AE"/>
    <w:rsid w:val="00A04113"/>
    <w:rsid w:val="00A05177"/>
    <w:rsid w:val="00A0669F"/>
    <w:rsid w:val="00A06CC1"/>
    <w:rsid w:val="00A10BF6"/>
    <w:rsid w:val="00A1165C"/>
    <w:rsid w:val="00A12BC9"/>
    <w:rsid w:val="00A147FB"/>
    <w:rsid w:val="00A164DC"/>
    <w:rsid w:val="00A1723F"/>
    <w:rsid w:val="00A17631"/>
    <w:rsid w:val="00A21F83"/>
    <w:rsid w:val="00A233ED"/>
    <w:rsid w:val="00A235EE"/>
    <w:rsid w:val="00A26475"/>
    <w:rsid w:val="00A2799E"/>
    <w:rsid w:val="00A32310"/>
    <w:rsid w:val="00A333B2"/>
    <w:rsid w:val="00A3349E"/>
    <w:rsid w:val="00A338AD"/>
    <w:rsid w:val="00A35874"/>
    <w:rsid w:val="00A370B1"/>
    <w:rsid w:val="00A42137"/>
    <w:rsid w:val="00A465D2"/>
    <w:rsid w:val="00A5070C"/>
    <w:rsid w:val="00A52812"/>
    <w:rsid w:val="00A5436C"/>
    <w:rsid w:val="00A55478"/>
    <w:rsid w:val="00A5581A"/>
    <w:rsid w:val="00A55CC1"/>
    <w:rsid w:val="00A564BC"/>
    <w:rsid w:val="00A57EDB"/>
    <w:rsid w:val="00A63622"/>
    <w:rsid w:val="00A64E2F"/>
    <w:rsid w:val="00A650CB"/>
    <w:rsid w:val="00A66C0A"/>
    <w:rsid w:val="00A70557"/>
    <w:rsid w:val="00A7399B"/>
    <w:rsid w:val="00A73F03"/>
    <w:rsid w:val="00A75813"/>
    <w:rsid w:val="00A808AA"/>
    <w:rsid w:val="00A81162"/>
    <w:rsid w:val="00A831F2"/>
    <w:rsid w:val="00A83B75"/>
    <w:rsid w:val="00A84070"/>
    <w:rsid w:val="00A84300"/>
    <w:rsid w:val="00A8494A"/>
    <w:rsid w:val="00A85B94"/>
    <w:rsid w:val="00A86011"/>
    <w:rsid w:val="00A8611A"/>
    <w:rsid w:val="00A869E6"/>
    <w:rsid w:val="00A86A3C"/>
    <w:rsid w:val="00A879FE"/>
    <w:rsid w:val="00A90B95"/>
    <w:rsid w:val="00A95D2D"/>
    <w:rsid w:val="00A97105"/>
    <w:rsid w:val="00AA1E10"/>
    <w:rsid w:val="00AA3426"/>
    <w:rsid w:val="00AA61EE"/>
    <w:rsid w:val="00AA71A0"/>
    <w:rsid w:val="00AA7E55"/>
    <w:rsid w:val="00AB1DAB"/>
    <w:rsid w:val="00AB3A2F"/>
    <w:rsid w:val="00AB4EA4"/>
    <w:rsid w:val="00AC1BC1"/>
    <w:rsid w:val="00AC3D7A"/>
    <w:rsid w:val="00AC4360"/>
    <w:rsid w:val="00AC50B0"/>
    <w:rsid w:val="00AC536D"/>
    <w:rsid w:val="00AC7600"/>
    <w:rsid w:val="00AD2926"/>
    <w:rsid w:val="00AD3098"/>
    <w:rsid w:val="00AD4160"/>
    <w:rsid w:val="00AD6053"/>
    <w:rsid w:val="00AE0BB2"/>
    <w:rsid w:val="00AE1319"/>
    <w:rsid w:val="00AE3049"/>
    <w:rsid w:val="00AE4C0F"/>
    <w:rsid w:val="00AE5354"/>
    <w:rsid w:val="00AF00DA"/>
    <w:rsid w:val="00AF0A92"/>
    <w:rsid w:val="00B02F3D"/>
    <w:rsid w:val="00B03DF3"/>
    <w:rsid w:val="00B051C7"/>
    <w:rsid w:val="00B101DF"/>
    <w:rsid w:val="00B108BB"/>
    <w:rsid w:val="00B11F26"/>
    <w:rsid w:val="00B130DC"/>
    <w:rsid w:val="00B1560A"/>
    <w:rsid w:val="00B15ED2"/>
    <w:rsid w:val="00B173B8"/>
    <w:rsid w:val="00B17CFE"/>
    <w:rsid w:val="00B2036B"/>
    <w:rsid w:val="00B24EE2"/>
    <w:rsid w:val="00B25BDE"/>
    <w:rsid w:val="00B268F6"/>
    <w:rsid w:val="00B358AD"/>
    <w:rsid w:val="00B35947"/>
    <w:rsid w:val="00B37291"/>
    <w:rsid w:val="00B37B4B"/>
    <w:rsid w:val="00B40F00"/>
    <w:rsid w:val="00B4156C"/>
    <w:rsid w:val="00B41DAC"/>
    <w:rsid w:val="00B43092"/>
    <w:rsid w:val="00B445B0"/>
    <w:rsid w:val="00B45757"/>
    <w:rsid w:val="00B45B8E"/>
    <w:rsid w:val="00B50CC9"/>
    <w:rsid w:val="00B5238D"/>
    <w:rsid w:val="00B52C46"/>
    <w:rsid w:val="00B53003"/>
    <w:rsid w:val="00B531AB"/>
    <w:rsid w:val="00B60EF0"/>
    <w:rsid w:val="00B616D6"/>
    <w:rsid w:val="00B62EBA"/>
    <w:rsid w:val="00B63EE8"/>
    <w:rsid w:val="00B659DD"/>
    <w:rsid w:val="00B67CBD"/>
    <w:rsid w:val="00B7196E"/>
    <w:rsid w:val="00B72535"/>
    <w:rsid w:val="00B734D7"/>
    <w:rsid w:val="00B75211"/>
    <w:rsid w:val="00B77226"/>
    <w:rsid w:val="00B80E4D"/>
    <w:rsid w:val="00B8444C"/>
    <w:rsid w:val="00B84906"/>
    <w:rsid w:val="00B867D5"/>
    <w:rsid w:val="00B934CA"/>
    <w:rsid w:val="00B93A86"/>
    <w:rsid w:val="00B94479"/>
    <w:rsid w:val="00B945F5"/>
    <w:rsid w:val="00BA46EC"/>
    <w:rsid w:val="00BA578B"/>
    <w:rsid w:val="00BA60A9"/>
    <w:rsid w:val="00BA6D78"/>
    <w:rsid w:val="00BB65AB"/>
    <w:rsid w:val="00BC2715"/>
    <w:rsid w:val="00BC342F"/>
    <w:rsid w:val="00BD0235"/>
    <w:rsid w:val="00BD1CAA"/>
    <w:rsid w:val="00BD26C6"/>
    <w:rsid w:val="00BD32F2"/>
    <w:rsid w:val="00BD3FD4"/>
    <w:rsid w:val="00BD4401"/>
    <w:rsid w:val="00BD6B09"/>
    <w:rsid w:val="00BD758E"/>
    <w:rsid w:val="00BD7A14"/>
    <w:rsid w:val="00BD7B93"/>
    <w:rsid w:val="00BE041A"/>
    <w:rsid w:val="00BE043E"/>
    <w:rsid w:val="00BE22DB"/>
    <w:rsid w:val="00BE701C"/>
    <w:rsid w:val="00BF146C"/>
    <w:rsid w:val="00C01406"/>
    <w:rsid w:val="00C01727"/>
    <w:rsid w:val="00C01C7B"/>
    <w:rsid w:val="00C06B6E"/>
    <w:rsid w:val="00C07091"/>
    <w:rsid w:val="00C11016"/>
    <w:rsid w:val="00C14B34"/>
    <w:rsid w:val="00C200F8"/>
    <w:rsid w:val="00C202CE"/>
    <w:rsid w:val="00C21DF3"/>
    <w:rsid w:val="00C21EF7"/>
    <w:rsid w:val="00C24698"/>
    <w:rsid w:val="00C246FE"/>
    <w:rsid w:val="00C259C7"/>
    <w:rsid w:val="00C306BE"/>
    <w:rsid w:val="00C30840"/>
    <w:rsid w:val="00C34217"/>
    <w:rsid w:val="00C37AE0"/>
    <w:rsid w:val="00C37FC2"/>
    <w:rsid w:val="00C42D36"/>
    <w:rsid w:val="00C44504"/>
    <w:rsid w:val="00C44D90"/>
    <w:rsid w:val="00C44E1F"/>
    <w:rsid w:val="00C46F91"/>
    <w:rsid w:val="00C5021F"/>
    <w:rsid w:val="00C5057E"/>
    <w:rsid w:val="00C513BD"/>
    <w:rsid w:val="00C519F2"/>
    <w:rsid w:val="00C51A67"/>
    <w:rsid w:val="00C57B19"/>
    <w:rsid w:val="00C61BD1"/>
    <w:rsid w:val="00C641BB"/>
    <w:rsid w:val="00C66987"/>
    <w:rsid w:val="00C66A18"/>
    <w:rsid w:val="00C71A65"/>
    <w:rsid w:val="00C75B56"/>
    <w:rsid w:val="00C77FBB"/>
    <w:rsid w:val="00C860F1"/>
    <w:rsid w:val="00C8650C"/>
    <w:rsid w:val="00C86816"/>
    <w:rsid w:val="00C873C2"/>
    <w:rsid w:val="00C918A1"/>
    <w:rsid w:val="00C94110"/>
    <w:rsid w:val="00C972AC"/>
    <w:rsid w:val="00C97546"/>
    <w:rsid w:val="00CA0266"/>
    <w:rsid w:val="00CA1E55"/>
    <w:rsid w:val="00CA2293"/>
    <w:rsid w:val="00CA43D5"/>
    <w:rsid w:val="00CA452C"/>
    <w:rsid w:val="00CA461E"/>
    <w:rsid w:val="00CA4FC6"/>
    <w:rsid w:val="00CA50A6"/>
    <w:rsid w:val="00CA5B4D"/>
    <w:rsid w:val="00CB30E9"/>
    <w:rsid w:val="00CB3F2F"/>
    <w:rsid w:val="00CB6984"/>
    <w:rsid w:val="00CB7009"/>
    <w:rsid w:val="00CC1092"/>
    <w:rsid w:val="00CC134B"/>
    <w:rsid w:val="00CC1A02"/>
    <w:rsid w:val="00CC324E"/>
    <w:rsid w:val="00CC4174"/>
    <w:rsid w:val="00CC5E94"/>
    <w:rsid w:val="00CC66CA"/>
    <w:rsid w:val="00CC7A81"/>
    <w:rsid w:val="00CD08F3"/>
    <w:rsid w:val="00CD2F23"/>
    <w:rsid w:val="00CD315E"/>
    <w:rsid w:val="00CD5297"/>
    <w:rsid w:val="00CD603E"/>
    <w:rsid w:val="00CD6573"/>
    <w:rsid w:val="00CE1452"/>
    <w:rsid w:val="00CE157B"/>
    <w:rsid w:val="00CE3FEA"/>
    <w:rsid w:val="00CE4DC5"/>
    <w:rsid w:val="00CE552C"/>
    <w:rsid w:val="00CE5CFE"/>
    <w:rsid w:val="00CF23F1"/>
    <w:rsid w:val="00CF268E"/>
    <w:rsid w:val="00CF31F9"/>
    <w:rsid w:val="00CF4C32"/>
    <w:rsid w:val="00CF7893"/>
    <w:rsid w:val="00D04B91"/>
    <w:rsid w:val="00D05C4D"/>
    <w:rsid w:val="00D16FD8"/>
    <w:rsid w:val="00D24E10"/>
    <w:rsid w:val="00D2760E"/>
    <w:rsid w:val="00D276C8"/>
    <w:rsid w:val="00D303E4"/>
    <w:rsid w:val="00D31FF2"/>
    <w:rsid w:val="00D344A0"/>
    <w:rsid w:val="00D43E8A"/>
    <w:rsid w:val="00D658E9"/>
    <w:rsid w:val="00D65F7F"/>
    <w:rsid w:val="00D7017E"/>
    <w:rsid w:val="00D82AA4"/>
    <w:rsid w:val="00D851C8"/>
    <w:rsid w:val="00D86BC4"/>
    <w:rsid w:val="00D87590"/>
    <w:rsid w:val="00D87813"/>
    <w:rsid w:val="00D90ADD"/>
    <w:rsid w:val="00D912E5"/>
    <w:rsid w:val="00D91333"/>
    <w:rsid w:val="00D91383"/>
    <w:rsid w:val="00D91991"/>
    <w:rsid w:val="00D92A1B"/>
    <w:rsid w:val="00D9371B"/>
    <w:rsid w:val="00D9460D"/>
    <w:rsid w:val="00D96A97"/>
    <w:rsid w:val="00DA0C00"/>
    <w:rsid w:val="00DA2272"/>
    <w:rsid w:val="00DA3524"/>
    <w:rsid w:val="00DA379B"/>
    <w:rsid w:val="00DB34D2"/>
    <w:rsid w:val="00DB43DC"/>
    <w:rsid w:val="00DB5A47"/>
    <w:rsid w:val="00DB793B"/>
    <w:rsid w:val="00DC3282"/>
    <w:rsid w:val="00DC35CE"/>
    <w:rsid w:val="00DC63A9"/>
    <w:rsid w:val="00DD0171"/>
    <w:rsid w:val="00DD3466"/>
    <w:rsid w:val="00DE0F0F"/>
    <w:rsid w:val="00DE1181"/>
    <w:rsid w:val="00DE3493"/>
    <w:rsid w:val="00DE59FA"/>
    <w:rsid w:val="00DF4731"/>
    <w:rsid w:val="00DF4754"/>
    <w:rsid w:val="00DF4A89"/>
    <w:rsid w:val="00DF55C9"/>
    <w:rsid w:val="00DF61D5"/>
    <w:rsid w:val="00DF6A20"/>
    <w:rsid w:val="00E012B8"/>
    <w:rsid w:val="00E053C3"/>
    <w:rsid w:val="00E06FE2"/>
    <w:rsid w:val="00E07477"/>
    <w:rsid w:val="00E07F8A"/>
    <w:rsid w:val="00E116DF"/>
    <w:rsid w:val="00E1202D"/>
    <w:rsid w:val="00E227A2"/>
    <w:rsid w:val="00E22AE4"/>
    <w:rsid w:val="00E231B2"/>
    <w:rsid w:val="00E25EA6"/>
    <w:rsid w:val="00E27717"/>
    <w:rsid w:val="00E27BC9"/>
    <w:rsid w:val="00E3115D"/>
    <w:rsid w:val="00E328DF"/>
    <w:rsid w:val="00E35110"/>
    <w:rsid w:val="00E37F36"/>
    <w:rsid w:val="00E41224"/>
    <w:rsid w:val="00E41515"/>
    <w:rsid w:val="00E4191F"/>
    <w:rsid w:val="00E433B6"/>
    <w:rsid w:val="00E4388A"/>
    <w:rsid w:val="00E43D10"/>
    <w:rsid w:val="00E4531C"/>
    <w:rsid w:val="00E456F4"/>
    <w:rsid w:val="00E55FFE"/>
    <w:rsid w:val="00E5634E"/>
    <w:rsid w:val="00E619C6"/>
    <w:rsid w:val="00E644E0"/>
    <w:rsid w:val="00E70B14"/>
    <w:rsid w:val="00E744D4"/>
    <w:rsid w:val="00E7537B"/>
    <w:rsid w:val="00E75E77"/>
    <w:rsid w:val="00E76725"/>
    <w:rsid w:val="00E76A90"/>
    <w:rsid w:val="00E800DF"/>
    <w:rsid w:val="00E80DA0"/>
    <w:rsid w:val="00E81B66"/>
    <w:rsid w:val="00E83B1E"/>
    <w:rsid w:val="00E854A9"/>
    <w:rsid w:val="00E9005D"/>
    <w:rsid w:val="00E9093D"/>
    <w:rsid w:val="00E91E80"/>
    <w:rsid w:val="00E91FA8"/>
    <w:rsid w:val="00E95F47"/>
    <w:rsid w:val="00EA0360"/>
    <w:rsid w:val="00EA03DF"/>
    <w:rsid w:val="00EA06E6"/>
    <w:rsid w:val="00EA196B"/>
    <w:rsid w:val="00EA5DEA"/>
    <w:rsid w:val="00EB30C9"/>
    <w:rsid w:val="00EB3803"/>
    <w:rsid w:val="00EB3E7C"/>
    <w:rsid w:val="00EB4FB8"/>
    <w:rsid w:val="00EB5E0D"/>
    <w:rsid w:val="00EB6866"/>
    <w:rsid w:val="00EC05BF"/>
    <w:rsid w:val="00EC33D0"/>
    <w:rsid w:val="00EC4385"/>
    <w:rsid w:val="00EC5447"/>
    <w:rsid w:val="00EC6AF7"/>
    <w:rsid w:val="00ED20D8"/>
    <w:rsid w:val="00EE0C2D"/>
    <w:rsid w:val="00EE0FFB"/>
    <w:rsid w:val="00EE1002"/>
    <w:rsid w:val="00EE5264"/>
    <w:rsid w:val="00EE6049"/>
    <w:rsid w:val="00EE69A6"/>
    <w:rsid w:val="00EE797C"/>
    <w:rsid w:val="00EF1765"/>
    <w:rsid w:val="00EF1B6A"/>
    <w:rsid w:val="00EF2C09"/>
    <w:rsid w:val="00EF2E5B"/>
    <w:rsid w:val="00EF5AB7"/>
    <w:rsid w:val="00EF689E"/>
    <w:rsid w:val="00EF73A4"/>
    <w:rsid w:val="00F03A7E"/>
    <w:rsid w:val="00F0584E"/>
    <w:rsid w:val="00F107A3"/>
    <w:rsid w:val="00F11145"/>
    <w:rsid w:val="00F122FB"/>
    <w:rsid w:val="00F12C09"/>
    <w:rsid w:val="00F1492F"/>
    <w:rsid w:val="00F24412"/>
    <w:rsid w:val="00F24E6D"/>
    <w:rsid w:val="00F25CB0"/>
    <w:rsid w:val="00F2663C"/>
    <w:rsid w:val="00F276FE"/>
    <w:rsid w:val="00F27AE4"/>
    <w:rsid w:val="00F3391C"/>
    <w:rsid w:val="00F34307"/>
    <w:rsid w:val="00F34D81"/>
    <w:rsid w:val="00F357DD"/>
    <w:rsid w:val="00F35EE3"/>
    <w:rsid w:val="00F36043"/>
    <w:rsid w:val="00F36143"/>
    <w:rsid w:val="00F37101"/>
    <w:rsid w:val="00F41C26"/>
    <w:rsid w:val="00F441C3"/>
    <w:rsid w:val="00F4631C"/>
    <w:rsid w:val="00F46332"/>
    <w:rsid w:val="00F51D91"/>
    <w:rsid w:val="00F5409F"/>
    <w:rsid w:val="00F54173"/>
    <w:rsid w:val="00F55D7F"/>
    <w:rsid w:val="00F5695C"/>
    <w:rsid w:val="00F578C6"/>
    <w:rsid w:val="00F6111D"/>
    <w:rsid w:val="00F61610"/>
    <w:rsid w:val="00F6222C"/>
    <w:rsid w:val="00F66BD3"/>
    <w:rsid w:val="00F700F2"/>
    <w:rsid w:val="00F70A83"/>
    <w:rsid w:val="00F71604"/>
    <w:rsid w:val="00F736D0"/>
    <w:rsid w:val="00F75DB1"/>
    <w:rsid w:val="00F77C58"/>
    <w:rsid w:val="00F8043B"/>
    <w:rsid w:val="00F9313A"/>
    <w:rsid w:val="00F9348B"/>
    <w:rsid w:val="00F9372D"/>
    <w:rsid w:val="00F97874"/>
    <w:rsid w:val="00F97D67"/>
    <w:rsid w:val="00FA2398"/>
    <w:rsid w:val="00FA3336"/>
    <w:rsid w:val="00FA4334"/>
    <w:rsid w:val="00FB0C77"/>
    <w:rsid w:val="00FB11E9"/>
    <w:rsid w:val="00FB131F"/>
    <w:rsid w:val="00FB481A"/>
    <w:rsid w:val="00FB6775"/>
    <w:rsid w:val="00FC04A7"/>
    <w:rsid w:val="00FC3AB7"/>
    <w:rsid w:val="00FC4D1B"/>
    <w:rsid w:val="00FC5047"/>
    <w:rsid w:val="00FC611E"/>
    <w:rsid w:val="00FD01AE"/>
    <w:rsid w:val="00FD22D0"/>
    <w:rsid w:val="00FD34A4"/>
    <w:rsid w:val="00FD3975"/>
    <w:rsid w:val="00FE1574"/>
    <w:rsid w:val="00FE1B2C"/>
    <w:rsid w:val="00FE32AE"/>
    <w:rsid w:val="00FE72E6"/>
    <w:rsid w:val="00FE79B7"/>
    <w:rsid w:val="00FF26E9"/>
    <w:rsid w:val="00FF2D10"/>
    <w:rsid w:val="00FF3EFB"/>
    <w:rsid w:val="00FF62EA"/>
    <w:rsid w:val="00FF70AB"/>
    <w:rsid w:val="00FF728D"/>
    <w:rsid w:val="00FF7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F9E5"/>
  <w15:docId w15:val="{C57F084A-33D2-4CF8-AA26-0A17B2C4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26B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3710D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link w:val="Virsraksts3Rakstz"/>
    <w:uiPriority w:val="9"/>
    <w:qFormat/>
    <w:rsid w:val="007F26BC"/>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7F26BC"/>
    <w:rPr>
      <w:rFonts w:ascii="Times New Roman" w:eastAsia="Times New Roman" w:hAnsi="Times New Roman" w:cs="Times New Roman"/>
      <w:b/>
      <w:bCs/>
      <w:sz w:val="27"/>
      <w:szCs w:val="27"/>
      <w:lang w:eastAsia="lv-LV"/>
    </w:rPr>
  </w:style>
  <w:style w:type="paragraph" w:styleId="Nosaukums">
    <w:name w:val="Title"/>
    <w:basedOn w:val="Parasts"/>
    <w:link w:val="NosaukumsRakstz"/>
    <w:qFormat/>
    <w:rsid w:val="007F26BC"/>
    <w:pPr>
      <w:jc w:val="center"/>
    </w:pPr>
    <w:rPr>
      <w:sz w:val="28"/>
      <w:szCs w:val="20"/>
      <w:lang w:eastAsia="en-US"/>
    </w:rPr>
  </w:style>
  <w:style w:type="character" w:customStyle="1" w:styleId="NosaukumsRakstz">
    <w:name w:val="Nosaukums Rakstz."/>
    <w:basedOn w:val="Noklusjumarindkopasfonts"/>
    <w:link w:val="Nosaukums"/>
    <w:rsid w:val="007F26BC"/>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7F26BC"/>
    <w:rPr>
      <w:color w:val="0000FF"/>
      <w:u w:val="single"/>
    </w:rPr>
  </w:style>
  <w:style w:type="paragraph" w:styleId="Galvene">
    <w:name w:val="header"/>
    <w:basedOn w:val="Parasts"/>
    <w:link w:val="GalveneRakstz"/>
    <w:uiPriority w:val="99"/>
    <w:unhideWhenUsed/>
    <w:rsid w:val="007F26BC"/>
    <w:pPr>
      <w:tabs>
        <w:tab w:val="center" w:pos="4153"/>
        <w:tab w:val="right" w:pos="8306"/>
      </w:tabs>
    </w:pPr>
  </w:style>
  <w:style w:type="character" w:customStyle="1" w:styleId="GalveneRakstz">
    <w:name w:val="Galvene Rakstz."/>
    <w:basedOn w:val="Noklusjumarindkopasfonts"/>
    <w:link w:val="Galvene"/>
    <w:uiPriority w:val="99"/>
    <w:rsid w:val="007F26B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F26BC"/>
    <w:pPr>
      <w:tabs>
        <w:tab w:val="center" w:pos="4153"/>
        <w:tab w:val="right" w:pos="8306"/>
      </w:tabs>
    </w:pPr>
  </w:style>
  <w:style w:type="character" w:customStyle="1" w:styleId="KjeneRakstz">
    <w:name w:val="Kājene Rakstz."/>
    <w:basedOn w:val="Noklusjumarindkopasfonts"/>
    <w:link w:val="Kjene"/>
    <w:uiPriority w:val="99"/>
    <w:rsid w:val="007F26BC"/>
    <w:rPr>
      <w:rFonts w:ascii="Times New Roman" w:eastAsia="Times New Roman" w:hAnsi="Times New Roman" w:cs="Times New Roman"/>
      <w:sz w:val="24"/>
      <w:szCs w:val="24"/>
      <w:lang w:eastAsia="lv-LV"/>
    </w:rPr>
  </w:style>
  <w:style w:type="paragraph" w:customStyle="1" w:styleId="naisf">
    <w:name w:val="naisf"/>
    <w:basedOn w:val="Parasts"/>
    <w:rsid w:val="007F26BC"/>
    <w:pPr>
      <w:spacing w:before="100" w:after="100"/>
    </w:pPr>
    <w:rPr>
      <w:szCs w:val="20"/>
    </w:rPr>
  </w:style>
  <w:style w:type="paragraph" w:styleId="Vresteksts">
    <w:name w:val="footnote text"/>
    <w:basedOn w:val="Parasts"/>
    <w:link w:val="VrestekstsRakstz"/>
    <w:uiPriority w:val="99"/>
    <w:semiHidden/>
    <w:unhideWhenUsed/>
    <w:rsid w:val="007F26BC"/>
    <w:rPr>
      <w:sz w:val="20"/>
      <w:szCs w:val="20"/>
    </w:rPr>
  </w:style>
  <w:style w:type="character" w:customStyle="1" w:styleId="VrestekstsRakstz">
    <w:name w:val="Vēres teksts Rakstz."/>
    <w:basedOn w:val="Noklusjumarindkopasfonts"/>
    <w:link w:val="Vresteksts"/>
    <w:uiPriority w:val="99"/>
    <w:semiHidden/>
    <w:rsid w:val="007F26BC"/>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7F26BC"/>
    <w:rPr>
      <w:vertAlign w:val="superscript"/>
    </w:rPr>
  </w:style>
  <w:style w:type="paragraph" w:customStyle="1" w:styleId="naiskr">
    <w:name w:val="naiskr"/>
    <w:basedOn w:val="Parasts"/>
    <w:rsid w:val="002C14EE"/>
    <w:pPr>
      <w:spacing w:before="75" w:after="75"/>
    </w:pPr>
  </w:style>
  <w:style w:type="paragraph" w:customStyle="1" w:styleId="NormalWebCharChar">
    <w:name w:val="Normal (Web) Char Char"/>
    <w:basedOn w:val="Parasts"/>
    <w:rsid w:val="003C6FAF"/>
    <w:pPr>
      <w:widowControl w:val="0"/>
      <w:suppressAutoHyphens/>
      <w:spacing w:before="280" w:after="280"/>
    </w:pPr>
    <w:rPr>
      <w:color w:val="000000"/>
      <w:sz w:val="20"/>
      <w:szCs w:val="20"/>
      <w:lang w:eastAsia="zh-CN"/>
    </w:rPr>
  </w:style>
  <w:style w:type="paragraph" w:styleId="Komentrateksts">
    <w:name w:val="annotation text"/>
    <w:basedOn w:val="Parasts"/>
    <w:link w:val="KomentratekstsRakstz"/>
    <w:unhideWhenUsed/>
    <w:rsid w:val="00357189"/>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rsid w:val="00357189"/>
    <w:rPr>
      <w:sz w:val="20"/>
      <w:szCs w:val="20"/>
    </w:rPr>
  </w:style>
  <w:style w:type="character" w:customStyle="1" w:styleId="Virsraksts1Rakstz">
    <w:name w:val="Virsraksts 1 Rakstz."/>
    <w:basedOn w:val="Noklusjumarindkopasfonts"/>
    <w:link w:val="Virsraksts1"/>
    <w:uiPriority w:val="9"/>
    <w:rsid w:val="003710D7"/>
    <w:rPr>
      <w:rFonts w:asciiTheme="majorHAnsi" w:eastAsiaTheme="majorEastAsia" w:hAnsiTheme="majorHAnsi" w:cstheme="majorBidi"/>
      <w:color w:val="2E74B5" w:themeColor="accent1" w:themeShade="BF"/>
      <w:sz w:val="32"/>
      <w:szCs w:val="32"/>
      <w:lang w:eastAsia="lv-LV"/>
    </w:rPr>
  </w:style>
  <w:style w:type="paragraph" w:styleId="Sarakstarindkopa">
    <w:name w:val="List Paragraph"/>
    <w:basedOn w:val="Parasts"/>
    <w:uiPriority w:val="99"/>
    <w:qFormat/>
    <w:rsid w:val="005265F6"/>
    <w:pPr>
      <w:ind w:left="720"/>
      <w:contextualSpacing/>
    </w:pPr>
  </w:style>
  <w:style w:type="paragraph" w:styleId="Balonteksts">
    <w:name w:val="Balloon Text"/>
    <w:basedOn w:val="Parasts"/>
    <w:link w:val="BalontekstsRakstz"/>
    <w:uiPriority w:val="99"/>
    <w:semiHidden/>
    <w:unhideWhenUsed/>
    <w:rsid w:val="005D11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116B"/>
    <w:rPr>
      <w:rFonts w:ascii="Segoe UI" w:eastAsia="Times New Roman" w:hAnsi="Segoe UI" w:cs="Segoe UI"/>
      <w:sz w:val="18"/>
      <w:szCs w:val="18"/>
      <w:lang w:eastAsia="lv-LV"/>
    </w:rPr>
  </w:style>
  <w:style w:type="paragraph" w:styleId="Paraststmeklis">
    <w:name w:val="Normal (Web)"/>
    <w:basedOn w:val="Parasts"/>
    <w:uiPriority w:val="99"/>
    <w:unhideWhenUsed/>
    <w:rsid w:val="00CB30E9"/>
    <w:pPr>
      <w:spacing w:before="100" w:beforeAutospacing="1" w:after="100" w:afterAutospacing="1"/>
    </w:pPr>
  </w:style>
  <w:style w:type="table" w:styleId="Reatabula">
    <w:name w:val="Table Grid"/>
    <w:basedOn w:val="Parastatabula"/>
    <w:uiPriority w:val="39"/>
    <w:rsid w:val="0014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4F68EF"/>
    <w:pPr>
      <w:spacing w:after="0" w:line="240" w:lineRule="auto"/>
    </w:pPr>
    <w:rPr>
      <w:rFonts w:ascii="Calibri" w:eastAsia="Times New Roman" w:hAnsi="Calibri" w:cs="Times New Roman"/>
      <w:lang w:eastAsia="lv-LV"/>
    </w:rPr>
  </w:style>
  <w:style w:type="character" w:styleId="Komentraatsauce">
    <w:name w:val="annotation reference"/>
    <w:basedOn w:val="Noklusjumarindkopasfonts"/>
    <w:uiPriority w:val="99"/>
    <w:semiHidden/>
    <w:unhideWhenUsed/>
    <w:rsid w:val="00DF55C9"/>
    <w:rPr>
      <w:sz w:val="16"/>
      <w:szCs w:val="16"/>
    </w:rPr>
  </w:style>
  <w:style w:type="paragraph" w:styleId="Komentratma">
    <w:name w:val="annotation subject"/>
    <w:basedOn w:val="Komentrateksts"/>
    <w:next w:val="Komentrateksts"/>
    <w:link w:val="KomentratmaRakstz"/>
    <w:uiPriority w:val="99"/>
    <w:semiHidden/>
    <w:unhideWhenUsed/>
    <w:rsid w:val="00DF55C9"/>
    <w:pPr>
      <w:spacing w:after="0"/>
    </w:pPr>
    <w:rPr>
      <w:rFonts w:ascii="Times New Roman" w:eastAsia="Times New Roman" w:hAnsi="Times New Roman" w:cs="Times New Roman"/>
      <w:b/>
      <w:bCs/>
      <w:lang w:eastAsia="lv-LV"/>
    </w:rPr>
  </w:style>
  <w:style w:type="character" w:customStyle="1" w:styleId="KomentratmaRakstz">
    <w:name w:val="Komentāra tēma Rakstz."/>
    <w:basedOn w:val="KomentratekstsRakstz"/>
    <w:link w:val="Komentratma"/>
    <w:uiPriority w:val="99"/>
    <w:semiHidden/>
    <w:rsid w:val="00DF55C9"/>
    <w:rPr>
      <w:rFonts w:ascii="Times New Roman" w:eastAsia="Times New Roman" w:hAnsi="Times New Roman" w:cs="Times New Roman"/>
      <w:b/>
      <w:bCs/>
      <w:sz w:val="20"/>
      <w:szCs w:val="20"/>
      <w:lang w:eastAsia="lv-LV"/>
    </w:rPr>
  </w:style>
  <w:style w:type="paragraph" w:customStyle="1" w:styleId="tv213">
    <w:name w:val="tv213"/>
    <w:basedOn w:val="Parasts"/>
    <w:rsid w:val="00B15E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2905">
      <w:bodyDiv w:val="1"/>
      <w:marLeft w:val="0"/>
      <w:marRight w:val="0"/>
      <w:marTop w:val="0"/>
      <w:marBottom w:val="0"/>
      <w:divBdr>
        <w:top w:val="none" w:sz="0" w:space="0" w:color="auto"/>
        <w:left w:val="none" w:sz="0" w:space="0" w:color="auto"/>
        <w:bottom w:val="none" w:sz="0" w:space="0" w:color="auto"/>
        <w:right w:val="none" w:sz="0" w:space="0" w:color="auto"/>
      </w:divBdr>
    </w:div>
    <w:div w:id="121387410">
      <w:bodyDiv w:val="1"/>
      <w:marLeft w:val="0"/>
      <w:marRight w:val="0"/>
      <w:marTop w:val="0"/>
      <w:marBottom w:val="0"/>
      <w:divBdr>
        <w:top w:val="none" w:sz="0" w:space="0" w:color="auto"/>
        <w:left w:val="none" w:sz="0" w:space="0" w:color="auto"/>
        <w:bottom w:val="none" w:sz="0" w:space="0" w:color="auto"/>
        <w:right w:val="none" w:sz="0" w:space="0" w:color="auto"/>
      </w:divBdr>
    </w:div>
    <w:div w:id="163663913">
      <w:bodyDiv w:val="1"/>
      <w:marLeft w:val="0"/>
      <w:marRight w:val="0"/>
      <w:marTop w:val="0"/>
      <w:marBottom w:val="0"/>
      <w:divBdr>
        <w:top w:val="none" w:sz="0" w:space="0" w:color="auto"/>
        <w:left w:val="none" w:sz="0" w:space="0" w:color="auto"/>
        <w:bottom w:val="none" w:sz="0" w:space="0" w:color="auto"/>
        <w:right w:val="none" w:sz="0" w:space="0" w:color="auto"/>
      </w:divBdr>
    </w:div>
    <w:div w:id="210270251">
      <w:bodyDiv w:val="1"/>
      <w:marLeft w:val="0"/>
      <w:marRight w:val="0"/>
      <w:marTop w:val="0"/>
      <w:marBottom w:val="0"/>
      <w:divBdr>
        <w:top w:val="none" w:sz="0" w:space="0" w:color="auto"/>
        <w:left w:val="none" w:sz="0" w:space="0" w:color="auto"/>
        <w:bottom w:val="none" w:sz="0" w:space="0" w:color="auto"/>
        <w:right w:val="none" w:sz="0" w:space="0" w:color="auto"/>
      </w:divBdr>
      <w:divsChild>
        <w:div w:id="289436126">
          <w:marLeft w:val="0"/>
          <w:marRight w:val="0"/>
          <w:marTop w:val="480"/>
          <w:marBottom w:val="240"/>
          <w:divBdr>
            <w:top w:val="none" w:sz="0" w:space="0" w:color="auto"/>
            <w:left w:val="none" w:sz="0" w:space="0" w:color="auto"/>
            <w:bottom w:val="none" w:sz="0" w:space="0" w:color="auto"/>
            <w:right w:val="none" w:sz="0" w:space="0" w:color="auto"/>
          </w:divBdr>
        </w:div>
        <w:div w:id="225340464">
          <w:marLeft w:val="0"/>
          <w:marRight w:val="0"/>
          <w:marTop w:val="0"/>
          <w:marBottom w:val="567"/>
          <w:divBdr>
            <w:top w:val="none" w:sz="0" w:space="0" w:color="auto"/>
            <w:left w:val="none" w:sz="0" w:space="0" w:color="auto"/>
            <w:bottom w:val="none" w:sz="0" w:space="0" w:color="auto"/>
            <w:right w:val="none" w:sz="0" w:space="0" w:color="auto"/>
          </w:divBdr>
        </w:div>
      </w:divsChild>
    </w:div>
    <w:div w:id="302079295">
      <w:bodyDiv w:val="1"/>
      <w:marLeft w:val="0"/>
      <w:marRight w:val="0"/>
      <w:marTop w:val="0"/>
      <w:marBottom w:val="0"/>
      <w:divBdr>
        <w:top w:val="none" w:sz="0" w:space="0" w:color="auto"/>
        <w:left w:val="none" w:sz="0" w:space="0" w:color="auto"/>
        <w:bottom w:val="none" w:sz="0" w:space="0" w:color="auto"/>
        <w:right w:val="none" w:sz="0" w:space="0" w:color="auto"/>
      </w:divBdr>
    </w:div>
    <w:div w:id="358312603">
      <w:bodyDiv w:val="1"/>
      <w:marLeft w:val="0"/>
      <w:marRight w:val="0"/>
      <w:marTop w:val="0"/>
      <w:marBottom w:val="0"/>
      <w:divBdr>
        <w:top w:val="none" w:sz="0" w:space="0" w:color="auto"/>
        <w:left w:val="none" w:sz="0" w:space="0" w:color="auto"/>
        <w:bottom w:val="none" w:sz="0" w:space="0" w:color="auto"/>
        <w:right w:val="none" w:sz="0" w:space="0" w:color="auto"/>
      </w:divBdr>
      <w:divsChild>
        <w:div w:id="1369187459">
          <w:marLeft w:val="0"/>
          <w:marRight w:val="0"/>
          <w:marTop w:val="480"/>
          <w:marBottom w:val="240"/>
          <w:divBdr>
            <w:top w:val="none" w:sz="0" w:space="0" w:color="auto"/>
            <w:left w:val="none" w:sz="0" w:space="0" w:color="auto"/>
            <w:bottom w:val="none" w:sz="0" w:space="0" w:color="auto"/>
            <w:right w:val="none" w:sz="0" w:space="0" w:color="auto"/>
          </w:divBdr>
        </w:div>
        <w:div w:id="1058556243">
          <w:marLeft w:val="0"/>
          <w:marRight w:val="0"/>
          <w:marTop w:val="0"/>
          <w:marBottom w:val="567"/>
          <w:divBdr>
            <w:top w:val="none" w:sz="0" w:space="0" w:color="auto"/>
            <w:left w:val="none" w:sz="0" w:space="0" w:color="auto"/>
            <w:bottom w:val="none" w:sz="0" w:space="0" w:color="auto"/>
            <w:right w:val="none" w:sz="0" w:space="0" w:color="auto"/>
          </w:divBdr>
        </w:div>
      </w:divsChild>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615063067">
      <w:bodyDiv w:val="1"/>
      <w:marLeft w:val="0"/>
      <w:marRight w:val="0"/>
      <w:marTop w:val="0"/>
      <w:marBottom w:val="0"/>
      <w:divBdr>
        <w:top w:val="none" w:sz="0" w:space="0" w:color="auto"/>
        <w:left w:val="none" w:sz="0" w:space="0" w:color="auto"/>
        <w:bottom w:val="none" w:sz="0" w:space="0" w:color="auto"/>
        <w:right w:val="none" w:sz="0" w:space="0" w:color="auto"/>
      </w:divBdr>
    </w:div>
    <w:div w:id="682051169">
      <w:bodyDiv w:val="1"/>
      <w:marLeft w:val="0"/>
      <w:marRight w:val="0"/>
      <w:marTop w:val="0"/>
      <w:marBottom w:val="0"/>
      <w:divBdr>
        <w:top w:val="none" w:sz="0" w:space="0" w:color="auto"/>
        <w:left w:val="none" w:sz="0" w:space="0" w:color="auto"/>
        <w:bottom w:val="none" w:sz="0" w:space="0" w:color="auto"/>
        <w:right w:val="none" w:sz="0" w:space="0" w:color="auto"/>
      </w:divBdr>
    </w:div>
    <w:div w:id="792331347">
      <w:bodyDiv w:val="1"/>
      <w:marLeft w:val="0"/>
      <w:marRight w:val="0"/>
      <w:marTop w:val="0"/>
      <w:marBottom w:val="0"/>
      <w:divBdr>
        <w:top w:val="none" w:sz="0" w:space="0" w:color="auto"/>
        <w:left w:val="none" w:sz="0" w:space="0" w:color="auto"/>
        <w:bottom w:val="none" w:sz="0" w:space="0" w:color="auto"/>
        <w:right w:val="none" w:sz="0" w:space="0" w:color="auto"/>
      </w:divBdr>
    </w:div>
    <w:div w:id="820387494">
      <w:bodyDiv w:val="1"/>
      <w:marLeft w:val="0"/>
      <w:marRight w:val="0"/>
      <w:marTop w:val="0"/>
      <w:marBottom w:val="0"/>
      <w:divBdr>
        <w:top w:val="none" w:sz="0" w:space="0" w:color="auto"/>
        <w:left w:val="none" w:sz="0" w:space="0" w:color="auto"/>
        <w:bottom w:val="none" w:sz="0" w:space="0" w:color="auto"/>
        <w:right w:val="none" w:sz="0" w:space="0" w:color="auto"/>
      </w:divBdr>
      <w:divsChild>
        <w:div w:id="1325544380">
          <w:marLeft w:val="0"/>
          <w:marRight w:val="0"/>
          <w:marTop w:val="480"/>
          <w:marBottom w:val="240"/>
          <w:divBdr>
            <w:top w:val="none" w:sz="0" w:space="0" w:color="auto"/>
            <w:left w:val="none" w:sz="0" w:space="0" w:color="auto"/>
            <w:bottom w:val="none" w:sz="0" w:space="0" w:color="auto"/>
            <w:right w:val="none" w:sz="0" w:space="0" w:color="auto"/>
          </w:divBdr>
        </w:div>
        <w:div w:id="1173109011">
          <w:marLeft w:val="0"/>
          <w:marRight w:val="0"/>
          <w:marTop w:val="0"/>
          <w:marBottom w:val="567"/>
          <w:divBdr>
            <w:top w:val="none" w:sz="0" w:space="0" w:color="auto"/>
            <w:left w:val="none" w:sz="0" w:space="0" w:color="auto"/>
            <w:bottom w:val="none" w:sz="0" w:space="0" w:color="auto"/>
            <w:right w:val="none" w:sz="0" w:space="0" w:color="auto"/>
          </w:divBdr>
        </w:div>
      </w:divsChild>
    </w:div>
    <w:div w:id="837310237">
      <w:bodyDiv w:val="1"/>
      <w:marLeft w:val="0"/>
      <w:marRight w:val="0"/>
      <w:marTop w:val="0"/>
      <w:marBottom w:val="0"/>
      <w:divBdr>
        <w:top w:val="none" w:sz="0" w:space="0" w:color="auto"/>
        <w:left w:val="none" w:sz="0" w:space="0" w:color="auto"/>
        <w:bottom w:val="none" w:sz="0" w:space="0" w:color="auto"/>
        <w:right w:val="none" w:sz="0" w:space="0" w:color="auto"/>
      </w:divBdr>
    </w:div>
    <w:div w:id="916213596">
      <w:bodyDiv w:val="1"/>
      <w:marLeft w:val="0"/>
      <w:marRight w:val="0"/>
      <w:marTop w:val="0"/>
      <w:marBottom w:val="0"/>
      <w:divBdr>
        <w:top w:val="none" w:sz="0" w:space="0" w:color="auto"/>
        <w:left w:val="none" w:sz="0" w:space="0" w:color="auto"/>
        <w:bottom w:val="none" w:sz="0" w:space="0" w:color="auto"/>
        <w:right w:val="none" w:sz="0" w:space="0" w:color="auto"/>
      </w:divBdr>
    </w:div>
    <w:div w:id="984092992">
      <w:bodyDiv w:val="1"/>
      <w:marLeft w:val="0"/>
      <w:marRight w:val="0"/>
      <w:marTop w:val="0"/>
      <w:marBottom w:val="0"/>
      <w:divBdr>
        <w:top w:val="none" w:sz="0" w:space="0" w:color="auto"/>
        <w:left w:val="none" w:sz="0" w:space="0" w:color="auto"/>
        <w:bottom w:val="none" w:sz="0" w:space="0" w:color="auto"/>
        <w:right w:val="none" w:sz="0" w:space="0" w:color="auto"/>
      </w:divBdr>
    </w:div>
    <w:div w:id="1015352444">
      <w:bodyDiv w:val="1"/>
      <w:marLeft w:val="0"/>
      <w:marRight w:val="0"/>
      <w:marTop w:val="0"/>
      <w:marBottom w:val="0"/>
      <w:divBdr>
        <w:top w:val="none" w:sz="0" w:space="0" w:color="auto"/>
        <w:left w:val="none" w:sz="0" w:space="0" w:color="auto"/>
        <w:bottom w:val="none" w:sz="0" w:space="0" w:color="auto"/>
        <w:right w:val="none" w:sz="0" w:space="0" w:color="auto"/>
      </w:divBdr>
      <w:divsChild>
        <w:div w:id="540749567">
          <w:marLeft w:val="0"/>
          <w:marRight w:val="0"/>
          <w:marTop w:val="0"/>
          <w:marBottom w:val="0"/>
          <w:divBdr>
            <w:top w:val="none" w:sz="0" w:space="0" w:color="auto"/>
            <w:left w:val="none" w:sz="0" w:space="0" w:color="auto"/>
            <w:bottom w:val="none" w:sz="0" w:space="0" w:color="auto"/>
            <w:right w:val="none" w:sz="0" w:space="0" w:color="auto"/>
          </w:divBdr>
          <w:divsChild>
            <w:div w:id="1142311745">
              <w:marLeft w:val="0"/>
              <w:marRight w:val="0"/>
              <w:marTop w:val="0"/>
              <w:marBottom w:val="0"/>
              <w:divBdr>
                <w:top w:val="none" w:sz="0" w:space="0" w:color="auto"/>
                <w:left w:val="none" w:sz="0" w:space="0" w:color="auto"/>
                <w:bottom w:val="none" w:sz="0" w:space="0" w:color="auto"/>
                <w:right w:val="none" w:sz="0" w:space="0" w:color="auto"/>
              </w:divBdr>
              <w:divsChild>
                <w:div w:id="1912499700">
                  <w:marLeft w:val="0"/>
                  <w:marRight w:val="0"/>
                  <w:marTop w:val="0"/>
                  <w:marBottom w:val="0"/>
                  <w:divBdr>
                    <w:top w:val="none" w:sz="0" w:space="0" w:color="auto"/>
                    <w:left w:val="none" w:sz="0" w:space="0" w:color="auto"/>
                    <w:bottom w:val="none" w:sz="0" w:space="0" w:color="auto"/>
                    <w:right w:val="none" w:sz="0" w:space="0" w:color="auto"/>
                  </w:divBdr>
                  <w:divsChild>
                    <w:div w:id="660275286">
                      <w:marLeft w:val="0"/>
                      <w:marRight w:val="0"/>
                      <w:marTop w:val="0"/>
                      <w:marBottom w:val="0"/>
                      <w:divBdr>
                        <w:top w:val="none" w:sz="0" w:space="0" w:color="auto"/>
                        <w:left w:val="none" w:sz="0" w:space="0" w:color="auto"/>
                        <w:bottom w:val="none" w:sz="0" w:space="0" w:color="auto"/>
                        <w:right w:val="none" w:sz="0" w:space="0" w:color="auto"/>
                      </w:divBdr>
                      <w:divsChild>
                        <w:div w:id="1238444414">
                          <w:marLeft w:val="0"/>
                          <w:marRight w:val="0"/>
                          <w:marTop w:val="0"/>
                          <w:marBottom w:val="0"/>
                          <w:divBdr>
                            <w:top w:val="none" w:sz="0" w:space="0" w:color="auto"/>
                            <w:left w:val="none" w:sz="0" w:space="0" w:color="auto"/>
                            <w:bottom w:val="none" w:sz="0" w:space="0" w:color="auto"/>
                            <w:right w:val="none" w:sz="0" w:space="0" w:color="auto"/>
                          </w:divBdr>
                        </w:div>
                        <w:div w:id="1604192341">
                          <w:marLeft w:val="0"/>
                          <w:marRight w:val="0"/>
                          <w:marTop w:val="0"/>
                          <w:marBottom w:val="0"/>
                          <w:divBdr>
                            <w:top w:val="none" w:sz="0" w:space="0" w:color="auto"/>
                            <w:left w:val="none" w:sz="0" w:space="0" w:color="auto"/>
                            <w:bottom w:val="none" w:sz="0" w:space="0" w:color="auto"/>
                            <w:right w:val="none" w:sz="0" w:space="0" w:color="auto"/>
                          </w:divBdr>
                          <w:divsChild>
                            <w:div w:id="313294406">
                              <w:marLeft w:val="0"/>
                              <w:marRight w:val="0"/>
                              <w:marTop w:val="0"/>
                              <w:marBottom w:val="0"/>
                              <w:divBdr>
                                <w:top w:val="none" w:sz="0" w:space="0" w:color="auto"/>
                                <w:left w:val="none" w:sz="0" w:space="0" w:color="auto"/>
                                <w:bottom w:val="none" w:sz="0" w:space="0" w:color="auto"/>
                                <w:right w:val="none" w:sz="0" w:space="0" w:color="auto"/>
                              </w:divBdr>
                              <w:divsChild>
                                <w:div w:id="18416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764322">
          <w:marLeft w:val="0"/>
          <w:marRight w:val="0"/>
          <w:marTop w:val="0"/>
          <w:marBottom w:val="0"/>
          <w:divBdr>
            <w:top w:val="none" w:sz="0" w:space="0" w:color="auto"/>
            <w:left w:val="none" w:sz="0" w:space="0" w:color="auto"/>
            <w:bottom w:val="none" w:sz="0" w:space="0" w:color="auto"/>
            <w:right w:val="none" w:sz="0" w:space="0" w:color="auto"/>
          </w:divBdr>
          <w:divsChild>
            <w:div w:id="454983104">
              <w:marLeft w:val="0"/>
              <w:marRight w:val="0"/>
              <w:marTop w:val="0"/>
              <w:marBottom w:val="0"/>
              <w:divBdr>
                <w:top w:val="none" w:sz="0" w:space="0" w:color="auto"/>
                <w:left w:val="none" w:sz="0" w:space="0" w:color="auto"/>
                <w:bottom w:val="none" w:sz="0" w:space="0" w:color="auto"/>
                <w:right w:val="none" w:sz="0" w:space="0" w:color="auto"/>
              </w:divBdr>
              <w:divsChild>
                <w:div w:id="73280762">
                  <w:marLeft w:val="0"/>
                  <w:marRight w:val="0"/>
                  <w:marTop w:val="0"/>
                  <w:marBottom w:val="0"/>
                  <w:divBdr>
                    <w:top w:val="none" w:sz="0" w:space="0" w:color="auto"/>
                    <w:left w:val="none" w:sz="0" w:space="0" w:color="auto"/>
                    <w:bottom w:val="none" w:sz="0" w:space="0" w:color="auto"/>
                    <w:right w:val="none" w:sz="0" w:space="0" w:color="auto"/>
                  </w:divBdr>
                  <w:divsChild>
                    <w:div w:id="1239091794">
                      <w:marLeft w:val="0"/>
                      <w:marRight w:val="0"/>
                      <w:marTop w:val="0"/>
                      <w:marBottom w:val="0"/>
                      <w:divBdr>
                        <w:top w:val="none" w:sz="0" w:space="0" w:color="auto"/>
                        <w:left w:val="none" w:sz="0" w:space="0" w:color="auto"/>
                        <w:bottom w:val="none" w:sz="0" w:space="0" w:color="auto"/>
                        <w:right w:val="none" w:sz="0" w:space="0" w:color="auto"/>
                      </w:divBdr>
                      <w:divsChild>
                        <w:div w:id="484518493">
                          <w:marLeft w:val="0"/>
                          <w:marRight w:val="0"/>
                          <w:marTop w:val="0"/>
                          <w:marBottom w:val="0"/>
                          <w:divBdr>
                            <w:top w:val="none" w:sz="0" w:space="0" w:color="auto"/>
                            <w:left w:val="none" w:sz="0" w:space="0" w:color="auto"/>
                            <w:bottom w:val="none" w:sz="0" w:space="0" w:color="auto"/>
                            <w:right w:val="none" w:sz="0" w:space="0" w:color="auto"/>
                          </w:divBdr>
                        </w:div>
                        <w:div w:id="20172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329">
                  <w:marLeft w:val="0"/>
                  <w:marRight w:val="0"/>
                  <w:marTop w:val="0"/>
                  <w:marBottom w:val="0"/>
                  <w:divBdr>
                    <w:top w:val="none" w:sz="0" w:space="0" w:color="auto"/>
                    <w:left w:val="none" w:sz="0" w:space="0" w:color="auto"/>
                    <w:bottom w:val="none" w:sz="0" w:space="0" w:color="auto"/>
                    <w:right w:val="none" w:sz="0" w:space="0" w:color="auto"/>
                  </w:divBdr>
                  <w:divsChild>
                    <w:div w:id="1027637141">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 w:id="625895435">
                          <w:marLeft w:val="0"/>
                          <w:marRight w:val="0"/>
                          <w:marTop w:val="0"/>
                          <w:marBottom w:val="0"/>
                          <w:divBdr>
                            <w:top w:val="none" w:sz="0" w:space="0" w:color="auto"/>
                            <w:left w:val="none" w:sz="0" w:space="0" w:color="auto"/>
                            <w:bottom w:val="none" w:sz="0" w:space="0" w:color="auto"/>
                            <w:right w:val="none" w:sz="0" w:space="0" w:color="auto"/>
                          </w:divBdr>
                        </w:div>
                      </w:divsChild>
                    </w:div>
                    <w:div w:id="1096830047">
                      <w:marLeft w:val="0"/>
                      <w:marRight w:val="0"/>
                      <w:marTop w:val="0"/>
                      <w:marBottom w:val="0"/>
                      <w:divBdr>
                        <w:top w:val="none" w:sz="0" w:space="0" w:color="auto"/>
                        <w:left w:val="none" w:sz="0" w:space="0" w:color="auto"/>
                        <w:bottom w:val="none" w:sz="0" w:space="0" w:color="auto"/>
                        <w:right w:val="none" w:sz="0" w:space="0" w:color="auto"/>
                      </w:divBdr>
                      <w:divsChild>
                        <w:div w:id="1155727915">
                          <w:marLeft w:val="0"/>
                          <w:marRight w:val="0"/>
                          <w:marTop w:val="0"/>
                          <w:marBottom w:val="0"/>
                          <w:divBdr>
                            <w:top w:val="none" w:sz="0" w:space="0" w:color="auto"/>
                            <w:left w:val="none" w:sz="0" w:space="0" w:color="auto"/>
                            <w:bottom w:val="none" w:sz="0" w:space="0" w:color="auto"/>
                            <w:right w:val="none" w:sz="0" w:space="0" w:color="auto"/>
                          </w:divBdr>
                          <w:divsChild>
                            <w:div w:id="12611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919">
                      <w:marLeft w:val="0"/>
                      <w:marRight w:val="0"/>
                      <w:marTop w:val="0"/>
                      <w:marBottom w:val="0"/>
                      <w:divBdr>
                        <w:top w:val="none" w:sz="0" w:space="0" w:color="auto"/>
                        <w:left w:val="none" w:sz="0" w:space="0" w:color="auto"/>
                        <w:bottom w:val="none" w:sz="0" w:space="0" w:color="auto"/>
                        <w:right w:val="none" w:sz="0" w:space="0" w:color="auto"/>
                      </w:divBdr>
                      <w:divsChild>
                        <w:div w:id="728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787">
                  <w:marLeft w:val="0"/>
                  <w:marRight w:val="0"/>
                  <w:marTop w:val="0"/>
                  <w:marBottom w:val="0"/>
                  <w:divBdr>
                    <w:top w:val="none" w:sz="0" w:space="0" w:color="auto"/>
                    <w:left w:val="none" w:sz="0" w:space="0" w:color="auto"/>
                    <w:bottom w:val="none" w:sz="0" w:space="0" w:color="auto"/>
                    <w:right w:val="none" w:sz="0" w:space="0" w:color="auto"/>
                  </w:divBdr>
                  <w:divsChild>
                    <w:div w:id="276452974">
                      <w:marLeft w:val="0"/>
                      <w:marRight w:val="0"/>
                      <w:marTop w:val="0"/>
                      <w:marBottom w:val="0"/>
                      <w:divBdr>
                        <w:top w:val="none" w:sz="0" w:space="0" w:color="auto"/>
                        <w:left w:val="none" w:sz="0" w:space="0" w:color="auto"/>
                        <w:bottom w:val="none" w:sz="0" w:space="0" w:color="auto"/>
                        <w:right w:val="none" w:sz="0" w:space="0" w:color="auto"/>
                      </w:divBdr>
                    </w:div>
                    <w:div w:id="1295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8091">
              <w:marLeft w:val="0"/>
              <w:marRight w:val="0"/>
              <w:marTop w:val="0"/>
              <w:marBottom w:val="0"/>
              <w:divBdr>
                <w:top w:val="none" w:sz="0" w:space="0" w:color="auto"/>
                <w:left w:val="none" w:sz="0" w:space="0" w:color="auto"/>
                <w:bottom w:val="none" w:sz="0" w:space="0" w:color="auto"/>
                <w:right w:val="none" w:sz="0" w:space="0" w:color="auto"/>
              </w:divBdr>
              <w:divsChild>
                <w:div w:id="751585764">
                  <w:marLeft w:val="0"/>
                  <w:marRight w:val="0"/>
                  <w:marTop w:val="0"/>
                  <w:marBottom w:val="0"/>
                  <w:divBdr>
                    <w:top w:val="none" w:sz="0" w:space="0" w:color="auto"/>
                    <w:left w:val="none" w:sz="0" w:space="0" w:color="auto"/>
                    <w:bottom w:val="none" w:sz="0" w:space="0" w:color="auto"/>
                    <w:right w:val="none" w:sz="0" w:space="0" w:color="auto"/>
                  </w:divBdr>
                  <w:divsChild>
                    <w:div w:id="13387472">
                      <w:marLeft w:val="0"/>
                      <w:marRight w:val="0"/>
                      <w:marTop w:val="0"/>
                      <w:marBottom w:val="0"/>
                      <w:divBdr>
                        <w:top w:val="none" w:sz="0" w:space="0" w:color="auto"/>
                        <w:left w:val="none" w:sz="0" w:space="0" w:color="auto"/>
                        <w:bottom w:val="none" w:sz="0" w:space="0" w:color="auto"/>
                        <w:right w:val="none" w:sz="0" w:space="0" w:color="auto"/>
                      </w:divBdr>
                    </w:div>
                    <w:div w:id="1490711200">
                      <w:marLeft w:val="0"/>
                      <w:marRight w:val="0"/>
                      <w:marTop w:val="0"/>
                      <w:marBottom w:val="0"/>
                      <w:divBdr>
                        <w:top w:val="none" w:sz="0" w:space="0" w:color="auto"/>
                        <w:left w:val="none" w:sz="0" w:space="0" w:color="auto"/>
                        <w:bottom w:val="none" w:sz="0" w:space="0" w:color="auto"/>
                        <w:right w:val="none" w:sz="0" w:space="0" w:color="auto"/>
                      </w:divBdr>
                      <w:divsChild>
                        <w:div w:id="639770411">
                          <w:marLeft w:val="0"/>
                          <w:marRight w:val="0"/>
                          <w:marTop w:val="0"/>
                          <w:marBottom w:val="0"/>
                          <w:divBdr>
                            <w:top w:val="none" w:sz="0" w:space="0" w:color="auto"/>
                            <w:left w:val="none" w:sz="0" w:space="0" w:color="auto"/>
                            <w:bottom w:val="none" w:sz="0" w:space="0" w:color="auto"/>
                            <w:right w:val="none" w:sz="0" w:space="0" w:color="auto"/>
                          </w:divBdr>
                        </w:div>
                        <w:div w:id="1142120853">
                          <w:marLeft w:val="0"/>
                          <w:marRight w:val="0"/>
                          <w:marTop w:val="0"/>
                          <w:marBottom w:val="0"/>
                          <w:divBdr>
                            <w:top w:val="none" w:sz="0" w:space="0" w:color="auto"/>
                            <w:left w:val="none" w:sz="0" w:space="0" w:color="auto"/>
                            <w:bottom w:val="none" w:sz="0" w:space="0" w:color="auto"/>
                            <w:right w:val="none" w:sz="0" w:space="0" w:color="auto"/>
                          </w:divBdr>
                          <w:divsChild>
                            <w:div w:id="13482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30546">
          <w:marLeft w:val="0"/>
          <w:marRight w:val="0"/>
          <w:marTop w:val="0"/>
          <w:marBottom w:val="0"/>
          <w:divBdr>
            <w:top w:val="none" w:sz="0" w:space="0" w:color="auto"/>
            <w:left w:val="none" w:sz="0" w:space="0" w:color="auto"/>
            <w:bottom w:val="none" w:sz="0" w:space="0" w:color="auto"/>
            <w:right w:val="none" w:sz="0" w:space="0" w:color="auto"/>
          </w:divBdr>
          <w:divsChild>
            <w:div w:id="1494222678">
              <w:marLeft w:val="0"/>
              <w:marRight w:val="0"/>
              <w:marTop w:val="0"/>
              <w:marBottom w:val="0"/>
              <w:divBdr>
                <w:top w:val="none" w:sz="0" w:space="0" w:color="auto"/>
                <w:left w:val="none" w:sz="0" w:space="0" w:color="auto"/>
                <w:bottom w:val="none" w:sz="0" w:space="0" w:color="auto"/>
                <w:right w:val="none" w:sz="0" w:space="0" w:color="auto"/>
              </w:divBdr>
              <w:divsChild>
                <w:div w:id="1624923502">
                  <w:marLeft w:val="0"/>
                  <w:marRight w:val="0"/>
                  <w:marTop w:val="0"/>
                  <w:marBottom w:val="0"/>
                  <w:divBdr>
                    <w:top w:val="none" w:sz="0" w:space="0" w:color="auto"/>
                    <w:left w:val="none" w:sz="0" w:space="0" w:color="auto"/>
                    <w:bottom w:val="none" w:sz="0" w:space="0" w:color="auto"/>
                    <w:right w:val="none" w:sz="0" w:space="0" w:color="auto"/>
                  </w:divBdr>
                  <w:divsChild>
                    <w:div w:id="1592229045">
                      <w:marLeft w:val="0"/>
                      <w:marRight w:val="0"/>
                      <w:marTop w:val="0"/>
                      <w:marBottom w:val="0"/>
                      <w:divBdr>
                        <w:top w:val="none" w:sz="0" w:space="0" w:color="auto"/>
                        <w:left w:val="none" w:sz="0" w:space="0" w:color="auto"/>
                        <w:bottom w:val="none" w:sz="0" w:space="0" w:color="auto"/>
                        <w:right w:val="none" w:sz="0" w:space="0" w:color="auto"/>
                      </w:divBdr>
                      <w:divsChild>
                        <w:div w:id="1491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3737">
      <w:bodyDiv w:val="1"/>
      <w:marLeft w:val="0"/>
      <w:marRight w:val="0"/>
      <w:marTop w:val="0"/>
      <w:marBottom w:val="0"/>
      <w:divBdr>
        <w:top w:val="none" w:sz="0" w:space="0" w:color="auto"/>
        <w:left w:val="none" w:sz="0" w:space="0" w:color="auto"/>
        <w:bottom w:val="none" w:sz="0" w:space="0" w:color="auto"/>
        <w:right w:val="none" w:sz="0" w:space="0" w:color="auto"/>
      </w:divBdr>
    </w:div>
    <w:div w:id="1084493637">
      <w:bodyDiv w:val="1"/>
      <w:marLeft w:val="0"/>
      <w:marRight w:val="0"/>
      <w:marTop w:val="0"/>
      <w:marBottom w:val="0"/>
      <w:divBdr>
        <w:top w:val="none" w:sz="0" w:space="0" w:color="auto"/>
        <w:left w:val="none" w:sz="0" w:space="0" w:color="auto"/>
        <w:bottom w:val="none" w:sz="0" w:space="0" w:color="auto"/>
        <w:right w:val="none" w:sz="0" w:space="0" w:color="auto"/>
      </w:divBdr>
    </w:div>
    <w:div w:id="1141852357">
      <w:bodyDiv w:val="1"/>
      <w:marLeft w:val="0"/>
      <w:marRight w:val="0"/>
      <w:marTop w:val="0"/>
      <w:marBottom w:val="0"/>
      <w:divBdr>
        <w:top w:val="none" w:sz="0" w:space="0" w:color="auto"/>
        <w:left w:val="none" w:sz="0" w:space="0" w:color="auto"/>
        <w:bottom w:val="none" w:sz="0" w:space="0" w:color="auto"/>
        <w:right w:val="none" w:sz="0" w:space="0" w:color="auto"/>
      </w:divBdr>
    </w:div>
    <w:div w:id="1252355693">
      <w:bodyDiv w:val="1"/>
      <w:marLeft w:val="0"/>
      <w:marRight w:val="0"/>
      <w:marTop w:val="0"/>
      <w:marBottom w:val="0"/>
      <w:divBdr>
        <w:top w:val="none" w:sz="0" w:space="0" w:color="auto"/>
        <w:left w:val="none" w:sz="0" w:space="0" w:color="auto"/>
        <w:bottom w:val="none" w:sz="0" w:space="0" w:color="auto"/>
        <w:right w:val="none" w:sz="0" w:space="0" w:color="auto"/>
      </w:divBdr>
    </w:div>
    <w:div w:id="1257523555">
      <w:bodyDiv w:val="1"/>
      <w:marLeft w:val="0"/>
      <w:marRight w:val="0"/>
      <w:marTop w:val="0"/>
      <w:marBottom w:val="0"/>
      <w:divBdr>
        <w:top w:val="none" w:sz="0" w:space="0" w:color="auto"/>
        <w:left w:val="none" w:sz="0" w:space="0" w:color="auto"/>
        <w:bottom w:val="none" w:sz="0" w:space="0" w:color="auto"/>
        <w:right w:val="none" w:sz="0" w:space="0" w:color="auto"/>
      </w:divBdr>
    </w:div>
    <w:div w:id="1321274733">
      <w:bodyDiv w:val="1"/>
      <w:marLeft w:val="0"/>
      <w:marRight w:val="0"/>
      <w:marTop w:val="0"/>
      <w:marBottom w:val="0"/>
      <w:divBdr>
        <w:top w:val="none" w:sz="0" w:space="0" w:color="auto"/>
        <w:left w:val="none" w:sz="0" w:space="0" w:color="auto"/>
        <w:bottom w:val="none" w:sz="0" w:space="0" w:color="auto"/>
        <w:right w:val="none" w:sz="0" w:space="0" w:color="auto"/>
      </w:divBdr>
    </w:div>
    <w:div w:id="1348747591">
      <w:bodyDiv w:val="1"/>
      <w:marLeft w:val="0"/>
      <w:marRight w:val="0"/>
      <w:marTop w:val="0"/>
      <w:marBottom w:val="0"/>
      <w:divBdr>
        <w:top w:val="none" w:sz="0" w:space="0" w:color="auto"/>
        <w:left w:val="none" w:sz="0" w:space="0" w:color="auto"/>
        <w:bottom w:val="none" w:sz="0" w:space="0" w:color="auto"/>
        <w:right w:val="none" w:sz="0" w:space="0" w:color="auto"/>
      </w:divBdr>
    </w:div>
    <w:div w:id="1383092632">
      <w:bodyDiv w:val="1"/>
      <w:marLeft w:val="0"/>
      <w:marRight w:val="0"/>
      <w:marTop w:val="0"/>
      <w:marBottom w:val="0"/>
      <w:divBdr>
        <w:top w:val="none" w:sz="0" w:space="0" w:color="auto"/>
        <w:left w:val="none" w:sz="0" w:space="0" w:color="auto"/>
        <w:bottom w:val="none" w:sz="0" w:space="0" w:color="auto"/>
        <w:right w:val="none" w:sz="0" w:space="0" w:color="auto"/>
      </w:divBdr>
    </w:div>
    <w:div w:id="1436168165">
      <w:bodyDiv w:val="1"/>
      <w:marLeft w:val="0"/>
      <w:marRight w:val="0"/>
      <w:marTop w:val="0"/>
      <w:marBottom w:val="0"/>
      <w:divBdr>
        <w:top w:val="none" w:sz="0" w:space="0" w:color="auto"/>
        <w:left w:val="none" w:sz="0" w:space="0" w:color="auto"/>
        <w:bottom w:val="none" w:sz="0" w:space="0" w:color="auto"/>
        <w:right w:val="none" w:sz="0" w:space="0" w:color="auto"/>
      </w:divBdr>
    </w:div>
    <w:div w:id="1497306249">
      <w:bodyDiv w:val="1"/>
      <w:marLeft w:val="0"/>
      <w:marRight w:val="0"/>
      <w:marTop w:val="0"/>
      <w:marBottom w:val="0"/>
      <w:divBdr>
        <w:top w:val="none" w:sz="0" w:space="0" w:color="auto"/>
        <w:left w:val="none" w:sz="0" w:space="0" w:color="auto"/>
        <w:bottom w:val="none" w:sz="0" w:space="0" w:color="auto"/>
        <w:right w:val="none" w:sz="0" w:space="0" w:color="auto"/>
      </w:divBdr>
      <w:divsChild>
        <w:div w:id="1088110845">
          <w:marLeft w:val="547"/>
          <w:marRight w:val="0"/>
          <w:marTop w:val="86"/>
          <w:marBottom w:val="0"/>
          <w:divBdr>
            <w:top w:val="none" w:sz="0" w:space="0" w:color="auto"/>
            <w:left w:val="none" w:sz="0" w:space="0" w:color="auto"/>
            <w:bottom w:val="none" w:sz="0" w:space="0" w:color="auto"/>
            <w:right w:val="none" w:sz="0" w:space="0" w:color="auto"/>
          </w:divBdr>
        </w:div>
        <w:div w:id="639532456">
          <w:marLeft w:val="576"/>
          <w:marRight w:val="0"/>
          <w:marTop w:val="82"/>
          <w:marBottom w:val="0"/>
          <w:divBdr>
            <w:top w:val="none" w:sz="0" w:space="0" w:color="auto"/>
            <w:left w:val="none" w:sz="0" w:space="0" w:color="auto"/>
            <w:bottom w:val="none" w:sz="0" w:space="0" w:color="auto"/>
            <w:right w:val="none" w:sz="0" w:space="0" w:color="auto"/>
          </w:divBdr>
        </w:div>
        <w:div w:id="2005156633">
          <w:marLeft w:val="576"/>
          <w:marRight w:val="0"/>
          <w:marTop w:val="82"/>
          <w:marBottom w:val="0"/>
          <w:divBdr>
            <w:top w:val="none" w:sz="0" w:space="0" w:color="auto"/>
            <w:left w:val="none" w:sz="0" w:space="0" w:color="auto"/>
            <w:bottom w:val="none" w:sz="0" w:space="0" w:color="auto"/>
            <w:right w:val="none" w:sz="0" w:space="0" w:color="auto"/>
          </w:divBdr>
        </w:div>
        <w:div w:id="627013188">
          <w:marLeft w:val="576"/>
          <w:marRight w:val="0"/>
          <w:marTop w:val="82"/>
          <w:marBottom w:val="0"/>
          <w:divBdr>
            <w:top w:val="none" w:sz="0" w:space="0" w:color="auto"/>
            <w:left w:val="none" w:sz="0" w:space="0" w:color="auto"/>
            <w:bottom w:val="none" w:sz="0" w:space="0" w:color="auto"/>
            <w:right w:val="none" w:sz="0" w:space="0" w:color="auto"/>
          </w:divBdr>
        </w:div>
        <w:div w:id="154608518">
          <w:marLeft w:val="576"/>
          <w:marRight w:val="0"/>
          <w:marTop w:val="82"/>
          <w:marBottom w:val="0"/>
          <w:divBdr>
            <w:top w:val="none" w:sz="0" w:space="0" w:color="auto"/>
            <w:left w:val="none" w:sz="0" w:space="0" w:color="auto"/>
            <w:bottom w:val="none" w:sz="0" w:space="0" w:color="auto"/>
            <w:right w:val="none" w:sz="0" w:space="0" w:color="auto"/>
          </w:divBdr>
        </w:div>
      </w:divsChild>
    </w:div>
    <w:div w:id="1510027846">
      <w:bodyDiv w:val="1"/>
      <w:marLeft w:val="0"/>
      <w:marRight w:val="0"/>
      <w:marTop w:val="0"/>
      <w:marBottom w:val="0"/>
      <w:divBdr>
        <w:top w:val="none" w:sz="0" w:space="0" w:color="auto"/>
        <w:left w:val="none" w:sz="0" w:space="0" w:color="auto"/>
        <w:bottom w:val="none" w:sz="0" w:space="0" w:color="auto"/>
        <w:right w:val="none" w:sz="0" w:space="0" w:color="auto"/>
      </w:divBdr>
    </w:div>
    <w:div w:id="1601528837">
      <w:bodyDiv w:val="1"/>
      <w:marLeft w:val="0"/>
      <w:marRight w:val="0"/>
      <w:marTop w:val="0"/>
      <w:marBottom w:val="0"/>
      <w:divBdr>
        <w:top w:val="none" w:sz="0" w:space="0" w:color="auto"/>
        <w:left w:val="none" w:sz="0" w:space="0" w:color="auto"/>
        <w:bottom w:val="none" w:sz="0" w:space="0" w:color="auto"/>
        <w:right w:val="none" w:sz="0" w:space="0" w:color="auto"/>
      </w:divBdr>
      <w:divsChild>
        <w:div w:id="1243949261">
          <w:marLeft w:val="0"/>
          <w:marRight w:val="0"/>
          <w:marTop w:val="480"/>
          <w:marBottom w:val="240"/>
          <w:divBdr>
            <w:top w:val="none" w:sz="0" w:space="0" w:color="auto"/>
            <w:left w:val="none" w:sz="0" w:space="0" w:color="auto"/>
            <w:bottom w:val="none" w:sz="0" w:space="0" w:color="auto"/>
            <w:right w:val="none" w:sz="0" w:space="0" w:color="auto"/>
          </w:divBdr>
        </w:div>
        <w:div w:id="1314748600">
          <w:marLeft w:val="0"/>
          <w:marRight w:val="0"/>
          <w:marTop w:val="0"/>
          <w:marBottom w:val="567"/>
          <w:divBdr>
            <w:top w:val="none" w:sz="0" w:space="0" w:color="auto"/>
            <w:left w:val="none" w:sz="0" w:space="0" w:color="auto"/>
            <w:bottom w:val="none" w:sz="0" w:space="0" w:color="auto"/>
            <w:right w:val="none" w:sz="0" w:space="0" w:color="auto"/>
          </w:divBdr>
        </w:div>
      </w:divsChild>
    </w:div>
    <w:div w:id="1658341470">
      <w:bodyDiv w:val="1"/>
      <w:marLeft w:val="0"/>
      <w:marRight w:val="0"/>
      <w:marTop w:val="0"/>
      <w:marBottom w:val="0"/>
      <w:divBdr>
        <w:top w:val="none" w:sz="0" w:space="0" w:color="auto"/>
        <w:left w:val="none" w:sz="0" w:space="0" w:color="auto"/>
        <w:bottom w:val="none" w:sz="0" w:space="0" w:color="auto"/>
        <w:right w:val="none" w:sz="0" w:space="0" w:color="auto"/>
      </w:divBdr>
    </w:div>
    <w:div w:id="1664510812">
      <w:bodyDiv w:val="1"/>
      <w:marLeft w:val="0"/>
      <w:marRight w:val="0"/>
      <w:marTop w:val="0"/>
      <w:marBottom w:val="0"/>
      <w:divBdr>
        <w:top w:val="none" w:sz="0" w:space="0" w:color="auto"/>
        <w:left w:val="none" w:sz="0" w:space="0" w:color="auto"/>
        <w:bottom w:val="none" w:sz="0" w:space="0" w:color="auto"/>
        <w:right w:val="none" w:sz="0" w:space="0" w:color="auto"/>
      </w:divBdr>
    </w:div>
    <w:div w:id="1664815188">
      <w:bodyDiv w:val="1"/>
      <w:marLeft w:val="0"/>
      <w:marRight w:val="0"/>
      <w:marTop w:val="0"/>
      <w:marBottom w:val="0"/>
      <w:divBdr>
        <w:top w:val="none" w:sz="0" w:space="0" w:color="auto"/>
        <w:left w:val="none" w:sz="0" w:space="0" w:color="auto"/>
        <w:bottom w:val="none" w:sz="0" w:space="0" w:color="auto"/>
        <w:right w:val="none" w:sz="0" w:space="0" w:color="auto"/>
      </w:divBdr>
    </w:div>
    <w:div w:id="1732073842">
      <w:bodyDiv w:val="1"/>
      <w:marLeft w:val="0"/>
      <w:marRight w:val="0"/>
      <w:marTop w:val="0"/>
      <w:marBottom w:val="0"/>
      <w:divBdr>
        <w:top w:val="none" w:sz="0" w:space="0" w:color="auto"/>
        <w:left w:val="none" w:sz="0" w:space="0" w:color="auto"/>
        <w:bottom w:val="none" w:sz="0" w:space="0" w:color="auto"/>
        <w:right w:val="none" w:sz="0" w:space="0" w:color="auto"/>
      </w:divBdr>
      <w:divsChild>
        <w:div w:id="62142389">
          <w:marLeft w:val="0"/>
          <w:marRight w:val="0"/>
          <w:marTop w:val="480"/>
          <w:marBottom w:val="240"/>
          <w:divBdr>
            <w:top w:val="none" w:sz="0" w:space="0" w:color="auto"/>
            <w:left w:val="none" w:sz="0" w:space="0" w:color="auto"/>
            <w:bottom w:val="none" w:sz="0" w:space="0" w:color="auto"/>
            <w:right w:val="none" w:sz="0" w:space="0" w:color="auto"/>
          </w:divBdr>
        </w:div>
        <w:div w:id="746193452">
          <w:marLeft w:val="0"/>
          <w:marRight w:val="0"/>
          <w:marTop w:val="0"/>
          <w:marBottom w:val="567"/>
          <w:divBdr>
            <w:top w:val="none" w:sz="0" w:space="0" w:color="auto"/>
            <w:left w:val="none" w:sz="0" w:space="0" w:color="auto"/>
            <w:bottom w:val="none" w:sz="0" w:space="0" w:color="auto"/>
            <w:right w:val="none" w:sz="0" w:space="0" w:color="auto"/>
          </w:divBdr>
        </w:div>
      </w:divsChild>
    </w:div>
    <w:div w:id="1734235849">
      <w:bodyDiv w:val="1"/>
      <w:marLeft w:val="0"/>
      <w:marRight w:val="0"/>
      <w:marTop w:val="0"/>
      <w:marBottom w:val="0"/>
      <w:divBdr>
        <w:top w:val="none" w:sz="0" w:space="0" w:color="auto"/>
        <w:left w:val="none" w:sz="0" w:space="0" w:color="auto"/>
        <w:bottom w:val="none" w:sz="0" w:space="0" w:color="auto"/>
        <w:right w:val="none" w:sz="0" w:space="0" w:color="auto"/>
      </w:divBdr>
      <w:divsChild>
        <w:div w:id="1250113524">
          <w:marLeft w:val="0"/>
          <w:marRight w:val="0"/>
          <w:marTop w:val="480"/>
          <w:marBottom w:val="240"/>
          <w:divBdr>
            <w:top w:val="none" w:sz="0" w:space="0" w:color="auto"/>
            <w:left w:val="none" w:sz="0" w:space="0" w:color="auto"/>
            <w:bottom w:val="none" w:sz="0" w:space="0" w:color="auto"/>
            <w:right w:val="none" w:sz="0" w:space="0" w:color="auto"/>
          </w:divBdr>
        </w:div>
        <w:div w:id="828903007">
          <w:marLeft w:val="0"/>
          <w:marRight w:val="0"/>
          <w:marTop w:val="0"/>
          <w:marBottom w:val="567"/>
          <w:divBdr>
            <w:top w:val="none" w:sz="0" w:space="0" w:color="auto"/>
            <w:left w:val="none" w:sz="0" w:space="0" w:color="auto"/>
            <w:bottom w:val="none" w:sz="0" w:space="0" w:color="auto"/>
            <w:right w:val="none" w:sz="0" w:space="0" w:color="auto"/>
          </w:divBdr>
        </w:div>
      </w:divsChild>
    </w:div>
    <w:div w:id="1759133935">
      <w:bodyDiv w:val="1"/>
      <w:marLeft w:val="0"/>
      <w:marRight w:val="0"/>
      <w:marTop w:val="0"/>
      <w:marBottom w:val="0"/>
      <w:divBdr>
        <w:top w:val="none" w:sz="0" w:space="0" w:color="auto"/>
        <w:left w:val="none" w:sz="0" w:space="0" w:color="auto"/>
        <w:bottom w:val="none" w:sz="0" w:space="0" w:color="auto"/>
        <w:right w:val="none" w:sz="0" w:space="0" w:color="auto"/>
      </w:divBdr>
    </w:div>
    <w:div w:id="1768652397">
      <w:bodyDiv w:val="1"/>
      <w:marLeft w:val="0"/>
      <w:marRight w:val="0"/>
      <w:marTop w:val="0"/>
      <w:marBottom w:val="0"/>
      <w:divBdr>
        <w:top w:val="none" w:sz="0" w:space="0" w:color="auto"/>
        <w:left w:val="none" w:sz="0" w:space="0" w:color="auto"/>
        <w:bottom w:val="none" w:sz="0" w:space="0" w:color="auto"/>
        <w:right w:val="none" w:sz="0" w:space="0" w:color="auto"/>
      </w:divBdr>
    </w:div>
    <w:div w:id="1821339076">
      <w:bodyDiv w:val="1"/>
      <w:marLeft w:val="0"/>
      <w:marRight w:val="0"/>
      <w:marTop w:val="0"/>
      <w:marBottom w:val="0"/>
      <w:divBdr>
        <w:top w:val="none" w:sz="0" w:space="0" w:color="auto"/>
        <w:left w:val="none" w:sz="0" w:space="0" w:color="auto"/>
        <w:bottom w:val="none" w:sz="0" w:space="0" w:color="auto"/>
        <w:right w:val="none" w:sz="0" w:space="0" w:color="auto"/>
      </w:divBdr>
    </w:div>
    <w:div w:id="1848901686">
      <w:bodyDiv w:val="1"/>
      <w:marLeft w:val="0"/>
      <w:marRight w:val="0"/>
      <w:marTop w:val="0"/>
      <w:marBottom w:val="0"/>
      <w:divBdr>
        <w:top w:val="none" w:sz="0" w:space="0" w:color="auto"/>
        <w:left w:val="none" w:sz="0" w:space="0" w:color="auto"/>
        <w:bottom w:val="none" w:sz="0" w:space="0" w:color="auto"/>
        <w:right w:val="none" w:sz="0" w:space="0" w:color="auto"/>
      </w:divBdr>
    </w:div>
    <w:div w:id="1879313597">
      <w:bodyDiv w:val="1"/>
      <w:marLeft w:val="0"/>
      <w:marRight w:val="0"/>
      <w:marTop w:val="0"/>
      <w:marBottom w:val="0"/>
      <w:divBdr>
        <w:top w:val="none" w:sz="0" w:space="0" w:color="auto"/>
        <w:left w:val="none" w:sz="0" w:space="0" w:color="auto"/>
        <w:bottom w:val="none" w:sz="0" w:space="0" w:color="auto"/>
        <w:right w:val="none" w:sz="0" w:space="0" w:color="auto"/>
      </w:divBdr>
    </w:div>
    <w:div w:id="1880509494">
      <w:bodyDiv w:val="1"/>
      <w:marLeft w:val="0"/>
      <w:marRight w:val="0"/>
      <w:marTop w:val="0"/>
      <w:marBottom w:val="0"/>
      <w:divBdr>
        <w:top w:val="none" w:sz="0" w:space="0" w:color="auto"/>
        <w:left w:val="none" w:sz="0" w:space="0" w:color="auto"/>
        <w:bottom w:val="none" w:sz="0" w:space="0" w:color="auto"/>
        <w:right w:val="none" w:sz="0" w:space="0" w:color="auto"/>
      </w:divBdr>
      <w:divsChild>
        <w:div w:id="1010982443">
          <w:marLeft w:val="0"/>
          <w:marRight w:val="0"/>
          <w:marTop w:val="480"/>
          <w:marBottom w:val="240"/>
          <w:divBdr>
            <w:top w:val="none" w:sz="0" w:space="0" w:color="auto"/>
            <w:left w:val="none" w:sz="0" w:space="0" w:color="auto"/>
            <w:bottom w:val="none" w:sz="0" w:space="0" w:color="auto"/>
            <w:right w:val="none" w:sz="0" w:space="0" w:color="auto"/>
          </w:divBdr>
        </w:div>
        <w:div w:id="865748743">
          <w:marLeft w:val="0"/>
          <w:marRight w:val="0"/>
          <w:marTop w:val="0"/>
          <w:marBottom w:val="567"/>
          <w:divBdr>
            <w:top w:val="none" w:sz="0" w:space="0" w:color="auto"/>
            <w:left w:val="none" w:sz="0" w:space="0" w:color="auto"/>
            <w:bottom w:val="none" w:sz="0" w:space="0" w:color="auto"/>
            <w:right w:val="none" w:sz="0" w:space="0" w:color="auto"/>
          </w:divBdr>
        </w:div>
      </w:divsChild>
    </w:div>
    <w:div w:id="1889798802">
      <w:bodyDiv w:val="1"/>
      <w:marLeft w:val="0"/>
      <w:marRight w:val="0"/>
      <w:marTop w:val="0"/>
      <w:marBottom w:val="0"/>
      <w:divBdr>
        <w:top w:val="none" w:sz="0" w:space="0" w:color="auto"/>
        <w:left w:val="none" w:sz="0" w:space="0" w:color="auto"/>
        <w:bottom w:val="none" w:sz="0" w:space="0" w:color="auto"/>
        <w:right w:val="none" w:sz="0" w:space="0" w:color="auto"/>
      </w:divBdr>
      <w:divsChild>
        <w:div w:id="1883521598">
          <w:marLeft w:val="0"/>
          <w:marRight w:val="0"/>
          <w:marTop w:val="480"/>
          <w:marBottom w:val="240"/>
          <w:divBdr>
            <w:top w:val="none" w:sz="0" w:space="0" w:color="auto"/>
            <w:left w:val="none" w:sz="0" w:space="0" w:color="auto"/>
            <w:bottom w:val="none" w:sz="0" w:space="0" w:color="auto"/>
            <w:right w:val="none" w:sz="0" w:space="0" w:color="auto"/>
          </w:divBdr>
        </w:div>
        <w:div w:id="1681275204">
          <w:marLeft w:val="0"/>
          <w:marRight w:val="0"/>
          <w:marTop w:val="0"/>
          <w:marBottom w:val="567"/>
          <w:divBdr>
            <w:top w:val="none" w:sz="0" w:space="0" w:color="auto"/>
            <w:left w:val="none" w:sz="0" w:space="0" w:color="auto"/>
            <w:bottom w:val="none" w:sz="0" w:space="0" w:color="auto"/>
            <w:right w:val="none" w:sz="0" w:space="0" w:color="auto"/>
          </w:divBdr>
        </w:div>
      </w:divsChild>
    </w:div>
    <w:div w:id="2077582895">
      <w:bodyDiv w:val="1"/>
      <w:marLeft w:val="0"/>
      <w:marRight w:val="0"/>
      <w:marTop w:val="0"/>
      <w:marBottom w:val="0"/>
      <w:divBdr>
        <w:top w:val="none" w:sz="0" w:space="0" w:color="auto"/>
        <w:left w:val="none" w:sz="0" w:space="0" w:color="auto"/>
        <w:bottom w:val="none" w:sz="0" w:space="0" w:color="auto"/>
        <w:right w:val="none" w:sz="0" w:space="0" w:color="auto"/>
      </w:divBdr>
    </w:div>
    <w:div w:id="21350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90DB-3E55-4D8C-95EE-F4D3DB58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9258</Words>
  <Characters>5278</Characters>
  <Application>Microsoft Office Word</Application>
  <DocSecurity>0</DocSecurity>
  <Lines>43</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Intars Opolais</cp:lastModifiedBy>
  <cp:revision>8</cp:revision>
  <cp:lastPrinted>2019-11-20T08:13:00Z</cp:lastPrinted>
  <dcterms:created xsi:type="dcterms:W3CDTF">2020-01-06T11:28:00Z</dcterms:created>
  <dcterms:modified xsi:type="dcterms:W3CDTF">2020-01-10T09:01:00Z</dcterms:modified>
</cp:coreProperties>
</file>