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FA780F">
        <w:rPr>
          <w:rFonts w:ascii="Times New Roman" w:eastAsia="Times New Roman" w:hAnsi="Times New Roman" w:cs="Times New Roman"/>
          <w:b/>
          <w:bCs/>
          <w:sz w:val="28"/>
          <w:szCs w:val="28"/>
          <w:lang w:eastAsia="lv-LV"/>
        </w:rPr>
        <w:t>a</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FA780F">
        <w:rPr>
          <w:rFonts w:ascii="Times New Roman" w:eastAsia="Times New Roman" w:hAnsi="Times New Roman" w:cs="Times New Roman"/>
          <w:b/>
          <w:bCs/>
          <w:sz w:val="28"/>
          <w:szCs w:val="28"/>
          <w:lang w:eastAsia="lv-LV"/>
        </w:rPr>
        <w:t>a</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FA780F">
        <w:rPr>
          <w:rFonts w:ascii="Times New Roman" w:hAnsi="Times New Roman"/>
          <w:b/>
          <w:sz w:val="28"/>
          <w:szCs w:val="28"/>
        </w:rPr>
        <w:t>Grozījumi</w:t>
      </w:r>
      <w:r w:rsidR="00FA780F" w:rsidRPr="0063174A">
        <w:rPr>
          <w:rFonts w:ascii="Times New Roman" w:hAnsi="Times New Roman"/>
          <w:b/>
          <w:sz w:val="28"/>
          <w:szCs w:val="28"/>
        </w:rPr>
        <w:t xml:space="preserve"> Ministru kabineta 2014.gada 23.jūlija rīkojumā Nr.369 “Par valsts nekustamo īpašumu nodošanu Latvijas Universitātes īpašumā”</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FA780F" w:rsidRDefault="00FA780F" w:rsidP="00FA780F">
            <w:pPr>
              <w:ind w:firstLine="498"/>
              <w:jc w:val="both"/>
              <w:rPr>
                <w:rFonts w:ascii="Times New Roman" w:eastAsia="Times New Roman" w:hAnsi="Times New Roman" w:cs="Times New Roman"/>
                <w:sz w:val="28"/>
                <w:szCs w:val="28"/>
                <w:lang w:eastAsia="lv-LV"/>
              </w:rPr>
            </w:pPr>
            <w:r w:rsidRPr="004937FF">
              <w:rPr>
                <w:rFonts w:ascii="Times New Roman" w:eastAsia="Times New Roman" w:hAnsi="Times New Roman" w:cs="Times New Roman"/>
                <w:sz w:val="28"/>
                <w:szCs w:val="28"/>
                <w:lang w:eastAsia="lv-LV"/>
              </w:rPr>
              <w:t>Nav nepieciešams aizpildīt.</w:t>
            </w:r>
          </w:p>
          <w:p w:rsidR="00042EA9" w:rsidRPr="001D02E0" w:rsidRDefault="00042EA9" w:rsidP="0027220B">
            <w:pPr>
              <w:ind w:firstLine="712"/>
              <w:jc w:val="both"/>
              <w:rPr>
                <w:rFonts w:ascii="Times New Roman" w:eastAsia="Times New Roman" w:hAnsi="Times New Roman" w:cs="Times New Roman"/>
                <w:b/>
                <w:sz w:val="28"/>
                <w:szCs w:val="28"/>
                <w:lang w:eastAsia="lv-LV"/>
              </w:rPr>
            </w:pP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FA780F" w:rsidP="00FA780F">
            <w:pPr>
              <w:spacing w:after="0" w:line="240" w:lineRule="auto"/>
              <w:ind w:right="118" w:firstLine="54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2018.gada 21.novembra sēdes (protokols Nr.53, 46.§) lēmuma 2.punkts.</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1F391A" w:rsidRDefault="004C777F" w:rsidP="00654B16">
            <w:pPr>
              <w:pStyle w:val="MediumGrid1-Accent21"/>
              <w:spacing w:after="0"/>
              <w:ind w:left="120" w:right="119" w:firstLine="426"/>
              <w:rPr>
                <w:sz w:val="28"/>
                <w:szCs w:val="28"/>
                <w:lang w:val="lv-LV"/>
              </w:rPr>
            </w:pPr>
            <w:r>
              <w:rPr>
                <w:sz w:val="28"/>
                <w:szCs w:val="28"/>
                <w:lang w:val="lv-LV"/>
              </w:rPr>
              <w:t xml:space="preserve">Pamatojoties uz </w:t>
            </w:r>
            <w:r w:rsidR="00491C89">
              <w:rPr>
                <w:sz w:val="28"/>
                <w:szCs w:val="28"/>
                <w:lang w:val="lv-LV"/>
              </w:rPr>
              <w:t xml:space="preserve">Ministru kabineta </w:t>
            </w:r>
            <w:r>
              <w:rPr>
                <w:sz w:val="28"/>
                <w:szCs w:val="28"/>
                <w:lang w:val="lv-LV"/>
              </w:rPr>
              <w:t>2018.gada 27.novembra rīkojum</w:t>
            </w:r>
            <w:r w:rsidR="00E722BA">
              <w:rPr>
                <w:sz w:val="28"/>
                <w:szCs w:val="28"/>
                <w:lang w:val="lv-LV"/>
              </w:rPr>
              <w:t>u</w:t>
            </w:r>
            <w:r>
              <w:rPr>
                <w:sz w:val="28"/>
                <w:szCs w:val="28"/>
                <w:lang w:val="lv-LV"/>
              </w:rPr>
              <w:t xml:space="preserve"> Nr.636 “Par Latvijas Universitātes Nekustamo īpašumu attīstības plānu 2018.-2023.gadam” (turpmāk – MK rīkojums Nr.636), atļauts pārdot izsolē būvi ar kadastra apzīmējumu 0100 115 0123 001 un pēc tās atsavināšanas iegūtos līdzekļus novirzīt Latvijas Universitātes Akadēmiskā centra Rakstu mājas Torņakalnā, Rīgā, būvniecības aizdevuma atmaksai.</w:t>
            </w:r>
          </w:p>
          <w:p w:rsidR="004C777F" w:rsidRDefault="004C777F" w:rsidP="00654B16">
            <w:pPr>
              <w:pStyle w:val="MediumGrid1-Accent21"/>
              <w:spacing w:after="0"/>
              <w:ind w:left="120" w:right="119" w:firstLine="426"/>
              <w:rPr>
                <w:sz w:val="28"/>
                <w:szCs w:val="28"/>
                <w:lang w:val="lv-LV"/>
              </w:rPr>
            </w:pPr>
            <w:r w:rsidRPr="004C777F">
              <w:rPr>
                <w:sz w:val="28"/>
                <w:szCs w:val="28"/>
                <w:lang w:val="lv-LV"/>
              </w:rPr>
              <w:t xml:space="preserve">MK rīkojuma Nr.636 5.punktā Latvijas Universitātei dots uzdevums veikt nepieciešamās darbības, lai </w:t>
            </w:r>
            <w:r w:rsidRPr="004C777F">
              <w:rPr>
                <w:sz w:val="28"/>
                <w:szCs w:val="28"/>
                <w:lang w:val="lv-LV"/>
              </w:rPr>
              <w:t xml:space="preserve">no nekustamā īpašuma </w:t>
            </w:r>
            <w:r w:rsidRPr="004C777F">
              <w:rPr>
                <w:sz w:val="28"/>
                <w:szCs w:val="28"/>
                <w:lang w:val="lv-LV"/>
              </w:rPr>
              <w:t>(nekustamā īpašuma kadastra Nr.</w:t>
            </w:r>
            <w:r w:rsidRPr="004C777F">
              <w:rPr>
                <w:sz w:val="28"/>
                <w:szCs w:val="28"/>
                <w:lang w:val="lv-LV"/>
              </w:rPr>
              <w:t>0100 115 0123) Tālivalža ielā 1B, Rīgā, Burtnieku ielā 1, Rīgā, nodalītu atsevišķā nekustamajā īpašumā būvi (būves kadastra apzīmējums 0100 115 0123 001) un tās uzturēšanai funkcionāli nepieciešamo zemes vienības (zemes vienības kadastra apzīmējums 0100 115 0123) daļu</w:t>
            </w:r>
            <w:r w:rsidRPr="004C777F">
              <w:rPr>
                <w:sz w:val="28"/>
                <w:szCs w:val="28"/>
                <w:lang w:val="lv-LV"/>
              </w:rPr>
              <w:t>.</w:t>
            </w:r>
          </w:p>
          <w:p w:rsidR="004C777F" w:rsidRDefault="004C777F" w:rsidP="004C777F">
            <w:pPr>
              <w:pStyle w:val="MediumGrid1-Accent21"/>
              <w:spacing w:after="0"/>
              <w:ind w:left="120" w:right="119" w:firstLine="426"/>
              <w:rPr>
                <w:sz w:val="28"/>
                <w:szCs w:val="28"/>
                <w:lang w:val="lv-LV"/>
              </w:rPr>
            </w:pPr>
            <w:r>
              <w:rPr>
                <w:sz w:val="28"/>
                <w:szCs w:val="28"/>
                <w:lang w:val="lv-LV"/>
              </w:rPr>
              <w:t xml:space="preserve">Izpildot minēto uzdevumu, Rīgas pilsētas Vidzemes priekšpilsētas tiesas Rīgas pilsētas zemesgrāmatas nodalījumā Nr.100000597495 ir reģistrēts nekustamais īpašums (nekustamā īpašuma kadastra Nr.0100 115 0299) – zemes vienība </w:t>
            </w:r>
            <w:r w:rsidRPr="004C777F">
              <w:rPr>
                <w:sz w:val="28"/>
                <w:szCs w:val="28"/>
                <w:lang w:val="lv-LV"/>
              </w:rPr>
              <w:t>7094 m</w:t>
            </w:r>
            <w:r w:rsidRPr="004C777F">
              <w:rPr>
                <w:sz w:val="28"/>
                <w:szCs w:val="28"/>
                <w:vertAlign w:val="superscript"/>
                <w:lang w:val="lv-LV"/>
              </w:rPr>
              <w:t>2</w:t>
            </w:r>
            <w:r w:rsidRPr="004C777F">
              <w:rPr>
                <w:sz w:val="28"/>
                <w:szCs w:val="28"/>
                <w:lang w:val="lv-LV"/>
              </w:rPr>
              <w:t xml:space="preserve"> platībā (zemes vienības kadastra apzīmējums 0100 115 0298) un būv</w:t>
            </w:r>
            <w:r>
              <w:rPr>
                <w:sz w:val="28"/>
                <w:szCs w:val="28"/>
                <w:lang w:val="lv-LV"/>
              </w:rPr>
              <w:t>e</w:t>
            </w:r>
            <w:r w:rsidRPr="004C777F">
              <w:rPr>
                <w:sz w:val="28"/>
                <w:szCs w:val="28"/>
                <w:lang w:val="lv-LV"/>
              </w:rPr>
              <w:t xml:space="preserve"> (būves kadastra apzīmējums 0100 115 0123 001) – Burtnieku iela 1, Rīgā</w:t>
            </w:r>
            <w:r>
              <w:rPr>
                <w:sz w:val="28"/>
                <w:szCs w:val="28"/>
                <w:lang w:val="lv-LV"/>
              </w:rPr>
              <w:t>.</w:t>
            </w:r>
          </w:p>
          <w:p w:rsidR="004C777F" w:rsidRPr="00086DCA" w:rsidRDefault="004C777F" w:rsidP="00086DCA">
            <w:pPr>
              <w:pStyle w:val="MediumGrid1-Accent21"/>
              <w:spacing w:after="0"/>
              <w:ind w:left="120" w:right="119" w:firstLine="426"/>
              <w:rPr>
                <w:sz w:val="28"/>
                <w:szCs w:val="28"/>
                <w:lang w:val="lv-LV"/>
              </w:rPr>
            </w:pPr>
            <w:r>
              <w:rPr>
                <w:sz w:val="28"/>
                <w:szCs w:val="28"/>
                <w:lang w:val="lv-LV"/>
              </w:rPr>
              <w:t xml:space="preserve">Ņemot vērā iepriekš minēto, kā arī izpildot </w:t>
            </w:r>
            <w:r w:rsidRPr="004C777F">
              <w:rPr>
                <w:sz w:val="28"/>
                <w:szCs w:val="28"/>
                <w:lang w:val="lv-LV"/>
              </w:rPr>
              <w:t>Ministru kabineta 2018.gada 21.novembra sēdes (protokols Nr.53, 46.§) lēmuma 2.punkt</w:t>
            </w:r>
            <w:r>
              <w:rPr>
                <w:sz w:val="28"/>
                <w:szCs w:val="28"/>
                <w:lang w:val="lv-LV"/>
              </w:rPr>
              <w:t xml:space="preserve">ā Izglītības un zinātnes ministrijai (turpmāk – ministrija) doto uzdevumu, ministrija ir sagatavojusi Ministru kabineta rīkojuma projektu </w:t>
            </w:r>
            <w:r w:rsidRPr="004C777F">
              <w:rPr>
                <w:rFonts w:eastAsia="Times New Roman"/>
                <w:bCs/>
                <w:sz w:val="28"/>
                <w:szCs w:val="28"/>
                <w:lang w:val="lv-LV" w:eastAsia="lv-LV"/>
              </w:rPr>
              <w:t>“</w:t>
            </w:r>
            <w:r w:rsidRPr="004C777F">
              <w:rPr>
                <w:sz w:val="28"/>
                <w:szCs w:val="28"/>
                <w:lang w:val="lv-LV"/>
              </w:rPr>
              <w:t>Grozījumi Ministru kabineta 2014.gada 23.jūlija rīkojumā Nr.369 “Par valsts nekustamo īpašumu nodošanu Latvijas Universitātes īpašumā””</w:t>
            </w:r>
            <w:r>
              <w:rPr>
                <w:sz w:val="28"/>
                <w:szCs w:val="28"/>
                <w:lang w:val="lv-LV"/>
              </w:rPr>
              <w:t xml:space="preserve"> (turpmāk – rīkojuma projekts), kas paredz </w:t>
            </w:r>
            <w:r w:rsidR="00086DCA">
              <w:rPr>
                <w:sz w:val="28"/>
                <w:szCs w:val="28"/>
                <w:lang w:val="lv-LV"/>
              </w:rPr>
              <w:t xml:space="preserve">nodrošināt atbilstību </w:t>
            </w:r>
            <w:r w:rsidR="00086DCA">
              <w:rPr>
                <w:sz w:val="28"/>
                <w:szCs w:val="28"/>
                <w:lang w:val="lv-LV"/>
              </w:rPr>
              <w:lastRenderedPageBreak/>
              <w:t xml:space="preserve">faktiskajai situācijai (precizēti nekustamo īpašumu sastāvi), kā arī uzliek pienākumu Latvijas Universitātei nekustamo īpašumu </w:t>
            </w:r>
            <w:r w:rsidR="00086DCA" w:rsidRPr="00086DCA">
              <w:rPr>
                <w:sz w:val="28"/>
                <w:szCs w:val="28"/>
                <w:lang w:val="lv-LV"/>
              </w:rPr>
              <w:t>(nekustamā īpašuma kadastra Nr.0100 115 0123) Tālivalža ielā 1B, Rīgā</w:t>
            </w:r>
            <w:r w:rsidR="00086DCA">
              <w:rPr>
                <w:sz w:val="28"/>
                <w:szCs w:val="28"/>
                <w:lang w:val="lv-LV"/>
              </w:rPr>
              <w:t xml:space="preserve">, bez atlīdzības nodot valstij, ja tas vairs netiks izmantots </w:t>
            </w:r>
            <w:r w:rsidR="00086DCA" w:rsidRPr="004C777F">
              <w:rPr>
                <w:sz w:val="28"/>
                <w:szCs w:val="28"/>
                <w:lang w:val="lv-LV"/>
              </w:rPr>
              <w:t>Ministru kabineta 2014.gada 23.jūlija rīkojum</w:t>
            </w:r>
            <w:r w:rsidR="00086DCA">
              <w:rPr>
                <w:sz w:val="28"/>
                <w:szCs w:val="28"/>
                <w:lang w:val="lv-LV"/>
              </w:rPr>
              <w:t>a</w:t>
            </w:r>
            <w:r w:rsidR="00086DCA" w:rsidRPr="004C777F">
              <w:rPr>
                <w:sz w:val="28"/>
                <w:szCs w:val="28"/>
                <w:lang w:val="lv-LV"/>
              </w:rPr>
              <w:t xml:space="preserve"> Nr.369 “Par valsts nekustamo īpašumu nodošanu Latvijas Universitātes īpašumā”</w:t>
            </w:r>
            <w:r w:rsidR="00086DCA">
              <w:rPr>
                <w:sz w:val="28"/>
                <w:szCs w:val="28"/>
                <w:lang w:val="lv-LV"/>
              </w:rPr>
              <w:t xml:space="preserve"> 1.punktā minēto uzdevumu īstenošanai.</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744AE1">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B1140D" w:rsidRDefault="00DB728D" w:rsidP="000708DF">
            <w:pPr>
              <w:spacing w:after="0" w:line="240" w:lineRule="auto"/>
              <w:ind w:left="176" w:right="118" w:firstLine="720"/>
              <w:jc w:val="both"/>
              <w:rPr>
                <w:rFonts w:ascii="Times New Roman" w:hAnsi="Times New Roman" w:cs="Times New Roman"/>
                <w:sz w:val="28"/>
                <w:szCs w:val="28"/>
              </w:rPr>
            </w:pPr>
            <w:r w:rsidRPr="00740445">
              <w:rPr>
                <w:rFonts w:ascii="Times New Roman" w:eastAsia="Times New Roman" w:hAnsi="Times New Roman" w:cs="Times New Roman"/>
                <w:sz w:val="28"/>
                <w:szCs w:val="28"/>
                <w:lang w:eastAsia="lv-LV"/>
              </w:rPr>
              <w:t>Nav</w:t>
            </w:r>
            <w:r>
              <w:rPr>
                <w:rFonts w:ascii="Times New Roman" w:eastAsia="Times New Roman" w:hAnsi="Times New Roman" w:cs="Times New Roman"/>
                <w:sz w:val="28"/>
                <w:szCs w:val="28"/>
                <w:lang w:eastAsia="lv-LV"/>
              </w:rPr>
              <w:t>.</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E97D3A" w:rsidP="00357979">
            <w:pPr>
              <w:spacing w:after="0" w:line="240" w:lineRule="auto"/>
              <w:ind w:left="114" w:right="108" w:firstLine="426"/>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 xml:space="preserve">Tiesiskais regulējums neietekmē un nemaina sabiedrības </w:t>
            </w:r>
            <w:proofErr w:type="spellStart"/>
            <w:r w:rsidRPr="00740445">
              <w:rPr>
                <w:rFonts w:ascii="Times New Roman" w:hAnsi="Times New Roman" w:cs="Times New Roman"/>
                <w:sz w:val="28"/>
                <w:szCs w:val="28"/>
                <w:lang w:eastAsia="lv-LV"/>
              </w:rPr>
              <w:t>mērķgrupas</w:t>
            </w:r>
            <w:proofErr w:type="spellEnd"/>
            <w:r w:rsidRPr="00740445">
              <w:rPr>
                <w:rFonts w:ascii="Times New Roman" w:hAnsi="Times New Roman" w:cs="Times New Roman"/>
                <w:sz w:val="28"/>
                <w:szCs w:val="28"/>
                <w:lang w:eastAsia="lv-LV"/>
              </w:rPr>
              <w:t xml:space="preserve"> tiesības un pienākumus.</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357979">
            <w:pPr>
              <w:spacing w:after="0" w:line="240" w:lineRule="auto"/>
              <w:ind w:left="110" w:right="118" w:firstLine="430"/>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357979">
            <w:pPr>
              <w:spacing w:after="0" w:line="240" w:lineRule="auto"/>
              <w:ind w:firstLine="54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715F74">
            <w:pPr>
              <w:spacing w:after="0" w:line="240" w:lineRule="auto"/>
              <w:ind w:left="114" w:right="108" w:firstLine="426"/>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715F74">
            <w:pPr>
              <w:spacing w:after="0" w:line="240" w:lineRule="auto"/>
              <w:ind w:firstLine="54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13575C" w:rsidRDefault="0013575C"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E97D3A"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1E250D" w:rsidRPr="00F3171F">
              <w:rPr>
                <w:rFonts w:ascii="Times New Roman" w:eastAsia="Times New Roman" w:hAnsi="Times New Roman" w:cs="Times New Roman"/>
                <w:iCs/>
                <w:sz w:val="28"/>
                <w:szCs w:val="28"/>
                <w:lang w:eastAsia="lv-LV"/>
              </w:rPr>
              <w:t>.gads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E97D3A"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E97D3A"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1E250D" w:rsidRPr="00F3171F">
              <w:rPr>
                <w:rFonts w:ascii="Times New Roman" w:eastAsia="Times New Roman" w:hAnsi="Times New Roman" w:cs="Times New Roman"/>
                <w:iCs/>
                <w:sz w:val="28"/>
                <w:szCs w:val="28"/>
                <w:lang w:eastAsia="lv-LV"/>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E97D3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w:t>
            </w:r>
            <w:r w:rsidR="00E97D3A">
              <w:rPr>
                <w:rFonts w:ascii="Times New Roman" w:eastAsia="Times New Roman" w:hAnsi="Times New Roman" w:cs="Times New Roman"/>
                <w:iCs/>
                <w:sz w:val="28"/>
                <w:szCs w:val="28"/>
                <w:lang w:eastAsia="lv-LV"/>
              </w:rPr>
              <w:t>3</w:t>
            </w:r>
            <w:r w:rsidRPr="00F3171F">
              <w:rPr>
                <w:rFonts w:ascii="Times New Roman" w:eastAsia="Times New Roman" w:hAnsi="Times New Roman" w:cs="Times New Roman"/>
                <w:iCs/>
                <w:sz w:val="28"/>
                <w:szCs w:val="28"/>
                <w:lang w:eastAsia="lv-LV"/>
              </w:rPr>
              <w:t>.</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saskaņā ar valsts budžetu </w:t>
            </w:r>
            <w:r w:rsidRPr="00F3171F">
              <w:rPr>
                <w:rFonts w:ascii="Times New Roman" w:eastAsia="Times New Roman" w:hAnsi="Times New Roman" w:cs="Times New Roman"/>
                <w:iCs/>
                <w:sz w:val="28"/>
                <w:szCs w:val="28"/>
                <w:lang w:eastAsia="lv-LV"/>
              </w:rPr>
              <w:lastRenderedPageBreak/>
              <w:t>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izmaiņas kārtējā gadā, </w:t>
            </w:r>
            <w:r w:rsidRPr="00F3171F">
              <w:rPr>
                <w:rFonts w:ascii="Times New Roman" w:eastAsia="Times New Roman" w:hAnsi="Times New Roman" w:cs="Times New Roman"/>
                <w:iCs/>
                <w:sz w:val="28"/>
                <w:szCs w:val="28"/>
                <w:lang w:eastAsia="lv-LV"/>
              </w:rPr>
              <w:lastRenderedPageBreak/>
              <w:t>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saskaņā ar vidēja termiņa </w:t>
            </w:r>
            <w:r w:rsidRPr="00F3171F">
              <w:rPr>
                <w:rFonts w:ascii="Times New Roman" w:eastAsia="Times New Roman" w:hAnsi="Times New Roman" w:cs="Times New Roman"/>
                <w:iCs/>
                <w:sz w:val="28"/>
                <w:szCs w:val="28"/>
                <w:lang w:eastAsia="lv-LV"/>
              </w:rPr>
              <w:lastRenderedPageBreak/>
              <w:t>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izmaiņas, salīdzinot ar vid</w:t>
            </w:r>
            <w:r w:rsidR="00E97D3A">
              <w:rPr>
                <w:rFonts w:ascii="Times New Roman" w:eastAsia="Times New Roman" w:hAnsi="Times New Roman" w:cs="Times New Roman"/>
                <w:iCs/>
                <w:sz w:val="28"/>
                <w:szCs w:val="28"/>
                <w:lang w:eastAsia="lv-LV"/>
              </w:rPr>
              <w:t xml:space="preserve">ēja </w:t>
            </w:r>
            <w:r w:rsidR="00E97D3A">
              <w:rPr>
                <w:rFonts w:ascii="Times New Roman" w:eastAsia="Times New Roman" w:hAnsi="Times New Roman" w:cs="Times New Roman"/>
                <w:iCs/>
                <w:sz w:val="28"/>
                <w:szCs w:val="28"/>
                <w:lang w:eastAsia="lv-LV"/>
              </w:rPr>
              <w:lastRenderedPageBreak/>
              <w:t>termiņa budžeta ietvaru 2021</w:t>
            </w:r>
            <w:r w:rsidRPr="00F3171F">
              <w:rPr>
                <w:rFonts w:ascii="Times New Roman" w:eastAsia="Times New Roman" w:hAnsi="Times New Roman" w:cs="Times New Roman"/>
                <w:iCs/>
                <w:sz w:val="28"/>
                <w:szCs w:val="28"/>
                <w:lang w:eastAsia="lv-LV"/>
              </w:rPr>
              <w:t>.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saskaņā ar vidēja </w:t>
            </w:r>
            <w:r w:rsidRPr="00F3171F">
              <w:rPr>
                <w:rFonts w:ascii="Times New Roman" w:eastAsia="Times New Roman" w:hAnsi="Times New Roman" w:cs="Times New Roman"/>
                <w:iCs/>
                <w:sz w:val="28"/>
                <w:szCs w:val="28"/>
                <w:lang w:eastAsia="lv-LV"/>
              </w:rPr>
              <w:lastRenderedPageBreak/>
              <w:t>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izmaiņas, salīdzinot ar vid</w:t>
            </w:r>
            <w:r w:rsidR="00E97D3A">
              <w:rPr>
                <w:rFonts w:ascii="Times New Roman" w:eastAsia="Times New Roman" w:hAnsi="Times New Roman" w:cs="Times New Roman"/>
                <w:iCs/>
                <w:sz w:val="28"/>
                <w:szCs w:val="28"/>
                <w:lang w:eastAsia="lv-LV"/>
              </w:rPr>
              <w:t xml:space="preserve">ēja </w:t>
            </w:r>
            <w:r w:rsidR="00E97D3A">
              <w:rPr>
                <w:rFonts w:ascii="Times New Roman" w:eastAsia="Times New Roman" w:hAnsi="Times New Roman" w:cs="Times New Roman"/>
                <w:iCs/>
                <w:sz w:val="28"/>
                <w:szCs w:val="28"/>
                <w:lang w:eastAsia="lv-LV"/>
              </w:rPr>
              <w:lastRenderedPageBreak/>
              <w:t>termiņa budžeta ietvaru 2022</w:t>
            </w:r>
            <w:r w:rsidRPr="00F3171F">
              <w:rPr>
                <w:rFonts w:ascii="Times New Roman" w:eastAsia="Times New Roman" w:hAnsi="Times New Roman" w:cs="Times New Roman"/>
                <w:iCs/>
                <w:sz w:val="28"/>
                <w:szCs w:val="28"/>
                <w:lang w:eastAsia="lv-LV"/>
              </w:rPr>
              <w:t>.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izmaiņas, salīdzinot ar vid</w:t>
            </w:r>
            <w:r w:rsidR="00E97D3A">
              <w:rPr>
                <w:rFonts w:ascii="Times New Roman" w:eastAsia="Times New Roman" w:hAnsi="Times New Roman" w:cs="Times New Roman"/>
                <w:iCs/>
                <w:sz w:val="28"/>
                <w:szCs w:val="28"/>
                <w:lang w:eastAsia="lv-LV"/>
              </w:rPr>
              <w:t xml:space="preserve">ēja </w:t>
            </w:r>
            <w:r w:rsidR="00E97D3A">
              <w:rPr>
                <w:rFonts w:ascii="Times New Roman" w:eastAsia="Times New Roman" w:hAnsi="Times New Roman" w:cs="Times New Roman"/>
                <w:iCs/>
                <w:sz w:val="28"/>
                <w:szCs w:val="28"/>
                <w:lang w:eastAsia="lv-LV"/>
              </w:rPr>
              <w:lastRenderedPageBreak/>
              <w:t>termiņa budžeta ietvaru 2022</w:t>
            </w:r>
            <w:r w:rsidRPr="00F3171F">
              <w:rPr>
                <w:rFonts w:ascii="Times New Roman" w:eastAsia="Times New Roman" w:hAnsi="Times New Roman" w:cs="Times New Roman"/>
                <w:iCs/>
                <w:sz w:val="28"/>
                <w:szCs w:val="28"/>
                <w:lang w:eastAsia="lv-LV"/>
              </w:rPr>
              <w:t>.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lastRenderedPageBreak/>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B114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Nav.</w:t>
            </w:r>
          </w:p>
        </w:tc>
      </w:tr>
    </w:tbl>
    <w:p w:rsidR="0013575C"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7333C" w:rsidRPr="00740445" w:rsidTr="00F35F31">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7333C" w:rsidRPr="00740445" w:rsidRDefault="0097333C" w:rsidP="00CC175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IV. Tiesību akta projekta ietekme uz spēkā esošo tiesību normu sistēmu</w:t>
            </w:r>
          </w:p>
        </w:tc>
      </w:tr>
      <w:tr w:rsidR="0097333C" w:rsidRPr="00740445" w:rsidTr="00F35F31">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7333C" w:rsidRPr="00740445" w:rsidRDefault="0097333C" w:rsidP="00CC175F">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rsidR="0097333C" w:rsidRPr="00740445" w:rsidRDefault="0097333C" w:rsidP="0097333C">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7333C" w:rsidRPr="00740445" w:rsidTr="00F35F31">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7333C" w:rsidRPr="00740445" w:rsidRDefault="0097333C" w:rsidP="00CC175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Tiesību akta projekta atbilstība Latvijas Republikas starptautiskajām saistībām</w:t>
            </w:r>
          </w:p>
        </w:tc>
      </w:tr>
      <w:tr w:rsidR="0097333C" w:rsidRPr="00740445" w:rsidTr="00F35F31">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7333C" w:rsidRPr="00740445" w:rsidRDefault="0097333C" w:rsidP="00CC175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09"/>
        <w:gridCol w:w="329"/>
        <w:gridCol w:w="2225"/>
        <w:gridCol w:w="1216"/>
        <w:gridCol w:w="5731"/>
        <w:gridCol w:w="6"/>
      </w:tblGrid>
      <w:tr w:rsidR="00894C55" w:rsidRPr="00D7680B" w:rsidTr="00256585">
        <w:trPr>
          <w:gridAfter w:val="1"/>
          <w:wAfter w:w="4" w:type="pct"/>
          <w:trHeight w:val="336"/>
          <w:jc w:val="center"/>
        </w:trPr>
        <w:tc>
          <w:tcPr>
            <w:tcW w:w="4996"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256585">
        <w:trPr>
          <w:gridAfter w:val="1"/>
          <w:wAfter w:w="4" w:type="pct"/>
          <w:trHeight w:val="432"/>
          <w:jc w:val="center"/>
        </w:trPr>
        <w:tc>
          <w:tcPr>
            <w:tcW w:w="3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00" w:type="pct"/>
            <w:gridSpan w:val="2"/>
            <w:tcBorders>
              <w:top w:val="outset" w:sz="6" w:space="0" w:color="414142"/>
              <w:left w:val="outset" w:sz="6" w:space="0" w:color="414142"/>
              <w:bottom w:val="outset" w:sz="6" w:space="0" w:color="414142"/>
              <w:right w:val="outset" w:sz="6" w:space="0" w:color="414142"/>
            </w:tcBorders>
            <w:hideMark/>
          </w:tcPr>
          <w:p w:rsidR="008826F7" w:rsidRDefault="00015F8A" w:rsidP="008826F7">
            <w:pPr>
              <w:spacing w:after="0" w:line="240" w:lineRule="auto"/>
              <w:ind w:left="60" w:right="108" w:firstLine="473"/>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7A500F">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7A500F">
              <w:rPr>
                <w:rFonts w:ascii="Times New Roman" w:hAnsi="Times New Roman" w:cs="Times New Roman"/>
                <w:sz w:val="28"/>
                <w:szCs w:val="28"/>
                <w:lang w:eastAsia="lv-LV"/>
              </w:rPr>
              <w:t>.</w:t>
            </w:r>
          </w:p>
          <w:p w:rsidR="00894C55" w:rsidRPr="00D7680B" w:rsidRDefault="00015F8A" w:rsidP="008826F7">
            <w:pPr>
              <w:spacing w:after="0" w:line="240" w:lineRule="auto"/>
              <w:ind w:left="60" w:right="108" w:firstLine="473"/>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256585">
        <w:trPr>
          <w:gridAfter w:val="1"/>
          <w:wAfter w:w="4" w:type="pct"/>
          <w:trHeight w:val="264"/>
          <w:jc w:val="center"/>
        </w:trPr>
        <w:tc>
          <w:tcPr>
            <w:tcW w:w="3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0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7A500F" w:rsidP="00510D8A">
            <w:pPr>
              <w:spacing w:after="0" w:line="240" w:lineRule="auto"/>
              <w:ind w:left="60" w:right="108" w:firstLine="473"/>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Rīkojuma projektā risinātie jautājumi neparedz ieviest izmaiņas, kas varētu ietekmēt sabiedrības intereses.</w:t>
            </w:r>
          </w:p>
        </w:tc>
      </w:tr>
      <w:tr w:rsidR="00894C55" w:rsidRPr="00D7680B" w:rsidTr="00256585">
        <w:trPr>
          <w:gridAfter w:val="1"/>
          <w:wAfter w:w="4" w:type="pct"/>
          <w:trHeight w:val="372"/>
          <w:jc w:val="center"/>
        </w:trPr>
        <w:tc>
          <w:tcPr>
            <w:tcW w:w="3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0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510D8A">
            <w:pPr>
              <w:spacing w:after="0" w:line="240" w:lineRule="auto"/>
              <w:ind w:firstLine="533"/>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256585">
        <w:trPr>
          <w:gridAfter w:val="1"/>
          <w:wAfter w:w="4" w:type="pct"/>
          <w:trHeight w:val="372"/>
          <w:jc w:val="center"/>
        </w:trPr>
        <w:tc>
          <w:tcPr>
            <w:tcW w:w="3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0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510D8A">
            <w:pPr>
              <w:spacing w:after="0" w:line="240" w:lineRule="auto"/>
              <w:ind w:left="768" w:hanging="235"/>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256585">
        <w:trPr>
          <w:trHeight w:val="30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23755B" w:rsidRDefault="0023755B" w:rsidP="0023755B">
            <w:pPr>
              <w:spacing w:after="0" w:line="240" w:lineRule="auto"/>
              <w:jc w:val="center"/>
              <w:rPr>
                <w:rFonts w:ascii="Times New Roman" w:eastAsia="Times New Roman" w:hAnsi="Times New Roman" w:cs="Times New Roman"/>
                <w:b/>
                <w:bCs/>
                <w:sz w:val="28"/>
                <w:szCs w:val="28"/>
                <w:lang w:eastAsia="lv-LV"/>
              </w:rPr>
            </w:pPr>
          </w:p>
          <w:p w:rsidR="00894C55" w:rsidRPr="00D7680B" w:rsidRDefault="00894C55" w:rsidP="0023755B">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7680B" w:rsidTr="00256585">
        <w:trPr>
          <w:trHeight w:val="336"/>
          <w:jc w:val="center"/>
        </w:trPr>
        <w:tc>
          <w:tcPr>
            <w:tcW w:w="50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0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E54619" w:rsidP="00A84BC7">
            <w:pPr>
              <w:spacing w:after="0" w:line="240" w:lineRule="auto"/>
              <w:ind w:firstLine="4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Latvijas Universitāte.</w:t>
            </w:r>
          </w:p>
        </w:tc>
      </w:tr>
      <w:tr w:rsidR="00894C55" w:rsidRPr="00D7680B" w:rsidTr="00256585">
        <w:trPr>
          <w:trHeight w:val="360"/>
          <w:jc w:val="center"/>
        </w:trPr>
        <w:tc>
          <w:tcPr>
            <w:tcW w:w="50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4"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280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A84BC7">
            <w:pPr>
              <w:spacing w:after="0" w:line="240" w:lineRule="auto"/>
              <w:ind w:firstLine="451"/>
              <w:rPr>
                <w:rFonts w:ascii="Times New Roman" w:eastAsia="Times New Roman" w:hAnsi="Times New Roman" w:cs="Times New Roman"/>
                <w:sz w:val="28"/>
                <w:szCs w:val="28"/>
                <w:lang w:eastAsia="lv-LV"/>
              </w:rPr>
            </w:pPr>
            <w:bookmarkStart w:id="0" w:name="_GoBack"/>
            <w:bookmarkEnd w:id="0"/>
            <w:r w:rsidRPr="00D7680B">
              <w:rPr>
                <w:rFonts w:ascii="Times New Roman" w:hAnsi="Times New Roman" w:cs="Times New Roman"/>
                <w:sz w:val="28"/>
                <w:szCs w:val="28"/>
                <w:lang w:eastAsia="lv-LV"/>
              </w:rPr>
              <w:lastRenderedPageBreak/>
              <w:t>Projekts šo jomu neskar.</w:t>
            </w:r>
          </w:p>
        </w:tc>
      </w:tr>
      <w:tr w:rsidR="00015F8A" w:rsidRPr="00D7680B" w:rsidTr="00256585">
        <w:trPr>
          <w:trHeight w:val="312"/>
          <w:jc w:val="center"/>
        </w:trPr>
        <w:tc>
          <w:tcPr>
            <w:tcW w:w="50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68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08" w:type="pct"/>
            <w:gridSpan w:val="2"/>
            <w:tcBorders>
              <w:top w:val="outset" w:sz="6" w:space="0" w:color="414142"/>
              <w:left w:val="outset" w:sz="6" w:space="0" w:color="414142"/>
              <w:bottom w:val="outset" w:sz="6" w:space="0" w:color="414142"/>
              <w:right w:val="outset" w:sz="6" w:space="0" w:color="414142"/>
            </w:tcBorders>
            <w:hideMark/>
          </w:tcPr>
          <w:p w:rsidR="00825832" w:rsidRPr="0030199E" w:rsidRDefault="00825832" w:rsidP="00825832">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rsidR="00894C55" w:rsidRDefault="00825832" w:rsidP="00825832">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rsidR="00550AC4" w:rsidRPr="004937FF" w:rsidRDefault="00550AC4" w:rsidP="00550AC4">
            <w:pPr>
              <w:spacing w:after="0" w:line="240" w:lineRule="auto"/>
              <w:ind w:firstLine="556"/>
              <w:jc w:val="both"/>
              <w:rPr>
                <w:rFonts w:ascii="Times New Roman" w:hAnsi="Times New Roman" w:cs="Times New Roman"/>
                <w:sz w:val="28"/>
                <w:szCs w:val="28"/>
              </w:rPr>
            </w:pPr>
            <w:r w:rsidRPr="0030199E">
              <w:rPr>
                <w:rFonts w:ascii="Times New Roman" w:hAnsi="Times New Roman" w:cs="Times New Roman"/>
                <w:sz w:val="28"/>
                <w:szCs w:val="28"/>
              </w:rPr>
              <w:t>Saskaņā ar Oficiālo publikāciju un tiesiskās informācijas l</w:t>
            </w:r>
            <w:r>
              <w:rPr>
                <w:rFonts w:ascii="Times New Roman" w:hAnsi="Times New Roman" w:cs="Times New Roman"/>
                <w:sz w:val="28"/>
                <w:szCs w:val="28"/>
              </w:rPr>
              <w:t>ikuma 2.</w:t>
            </w:r>
            <w:r>
              <w:rPr>
                <w:rFonts w:ascii="Times New Roman" w:hAnsi="Times New Roman" w:cs="Times New Roman"/>
                <w:sz w:val="28"/>
                <w:szCs w:val="28"/>
              </w:rPr>
              <w:t>panta pirmo daļu un 3.</w:t>
            </w:r>
            <w:r w:rsidRPr="0030199E">
              <w:rPr>
                <w:rFonts w:ascii="Times New Roman" w:hAnsi="Times New Roman" w:cs="Times New Roman"/>
                <w:sz w:val="28"/>
                <w:szCs w:val="28"/>
              </w:rPr>
              <w:t>panta pirmo daļu tiesību akt</w:t>
            </w:r>
            <w:r>
              <w:rPr>
                <w:rFonts w:ascii="Times New Roman" w:hAnsi="Times New Roman" w:cs="Times New Roman"/>
                <w:sz w:val="28"/>
                <w:szCs w:val="28"/>
              </w:rPr>
              <w:t>us publicē oficiālajā izdevumā “</w:t>
            </w:r>
            <w:r w:rsidRPr="0030199E">
              <w:rPr>
                <w:rFonts w:ascii="Times New Roman" w:hAnsi="Times New Roman" w:cs="Times New Roman"/>
                <w:sz w:val="28"/>
                <w:szCs w:val="28"/>
              </w:rPr>
              <w:t xml:space="preserve">Latvijas Vēstnesis”, tos publicējot elektroniski globālā tīmekļa vietnē </w:t>
            </w:r>
            <w:hyperlink r:id="rId12" w:history="1">
              <w:r w:rsidRPr="004937FF">
                <w:rPr>
                  <w:rStyle w:val="Hyperlink"/>
                  <w:rFonts w:ascii="Times New Roman" w:hAnsi="Times New Roman" w:cs="Times New Roman"/>
                  <w:color w:val="auto"/>
                  <w:sz w:val="28"/>
                  <w:szCs w:val="28"/>
                  <w:u w:val="none"/>
                </w:rPr>
                <w:t>www.vestnesis.lv</w:t>
              </w:r>
            </w:hyperlink>
            <w:r w:rsidRPr="004937FF">
              <w:rPr>
                <w:rFonts w:ascii="Times New Roman" w:hAnsi="Times New Roman" w:cs="Times New Roman"/>
                <w:sz w:val="28"/>
                <w:szCs w:val="28"/>
              </w:rPr>
              <w:t>.</w:t>
            </w:r>
          </w:p>
          <w:p w:rsidR="00550AC4" w:rsidRPr="00825832" w:rsidRDefault="00550AC4" w:rsidP="00550AC4">
            <w:pPr>
              <w:spacing w:after="0" w:line="240" w:lineRule="auto"/>
              <w:ind w:right="148" w:firstLine="556"/>
              <w:jc w:val="both"/>
              <w:rPr>
                <w:rFonts w:ascii="Times New Roman" w:hAnsi="Times New Roman" w:cs="Times New Roman"/>
                <w:sz w:val="28"/>
                <w:szCs w:val="28"/>
              </w:rPr>
            </w:pPr>
            <w:r w:rsidRPr="004937FF">
              <w:rPr>
                <w:rFonts w:ascii="Times New Roman" w:hAnsi="Times New Roman" w:cs="Times New Roman"/>
                <w:sz w:val="28"/>
                <w:szCs w:val="28"/>
              </w:rPr>
              <w:t>Rīkojuma projekts stājas spēkā ar tā parakstīšanas brīdi.</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550AC4" w:rsidRPr="00740445" w:rsidRDefault="00550AC4" w:rsidP="00550AC4">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Pr="00740445">
        <w:rPr>
          <w:rFonts w:ascii="Times New Roman" w:hAnsi="Times New Roman" w:cs="Times New Roman"/>
          <w:sz w:val="28"/>
          <w:szCs w:val="28"/>
          <w:lang w:eastAsia="lv-LV"/>
        </w:rPr>
        <w:tab/>
      </w:r>
      <w:r w:rsidRPr="00740445">
        <w:rPr>
          <w:rFonts w:ascii="Times New Roman" w:hAnsi="Times New Roman" w:cs="Times New Roman"/>
          <w:sz w:val="28"/>
          <w:szCs w:val="28"/>
          <w:lang w:eastAsia="lv-LV"/>
        </w:rPr>
        <w:tab/>
      </w:r>
      <w:r w:rsidRPr="00740445">
        <w:rPr>
          <w:rFonts w:ascii="Times New Roman" w:hAnsi="Times New Roman" w:cs="Times New Roman"/>
          <w:sz w:val="28"/>
          <w:szCs w:val="28"/>
          <w:lang w:eastAsia="lv-LV"/>
        </w:rPr>
        <w:tab/>
      </w:r>
      <w:r w:rsidRPr="00740445">
        <w:rPr>
          <w:rFonts w:ascii="Times New Roman" w:hAnsi="Times New Roman" w:cs="Times New Roman"/>
          <w:sz w:val="28"/>
          <w:szCs w:val="28"/>
          <w:lang w:eastAsia="lv-LV"/>
        </w:rPr>
        <w:tab/>
      </w:r>
      <w:r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rsidR="00550AC4" w:rsidRDefault="00550AC4" w:rsidP="00550AC4">
      <w:pPr>
        <w:spacing w:after="0" w:line="240" w:lineRule="auto"/>
        <w:rPr>
          <w:rFonts w:ascii="Times New Roman" w:hAnsi="Times New Roman" w:cs="Times New Roman"/>
          <w:sz w:val="28"/>
          <w:szCs w:val="28"/>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Pr="00C00945" w:rsidRDefault="0013575C" w:rsidP="00015F8A">
      <w:pPr>
        <w:tabs>
          <w:tab w:val="left" w:pos="720"/>
        </w:tabs>
        <w:spacing w:after="0" w:line="240" w:lineRule="auto"/>
        <w:ind w:right="74"/>
        <w:jc w:val="both"/>
        <w:rPr>
          <w:rFonts w:ascii="Times New Roman" w:hAnsi="Times New Roman" w:cs="Times New Roman"/>
          <w:sz w:val="20"/>
          <w:szCs w:val="20"/>
        </w:rPr>
      </w:pPr>
    </w:p>
    <w:p w:rsidR="00550AC4" w:rsidRPr="00EE6304" w:rsidRDefault="00C00945" w:rsidP="00550AC4">
      <w:pPr>
        <w:tabs>
          <w:tab w:val="left" w:pos="720"/>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
    <w:p w:rsidR="004D0B41" w:rsidRPr="00EE6304" w:rsidRDefault="004D0B41" w:rsidP="006444EC">
      <w:pPr>
        <w:tabs>
          <w:tab w:val="left" w:pos="720"/>
        </w:tabs>
        <w:spacing w:after="0" w:line="240" w:lineRule="auto"/>
        <w:ind w:right="74"/>
        <w:jc w:val="both"/>
        <w:rPr>
          <w:rFonts w:ascii="Times New Roman" w:hAnsi="Times New Roman" w:cs="Times New Roman"/>
          <w:sz w:val="20"/>
          <w:szCs w:val="20"/>
        </w:rPr>
      </w:pPr>
    </w:p>
    <w:sectPr w:rsidR="004D0B41" w:rsidRPr="00EE6304" w:rsidSect="004C777F">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FE" w:rsidRDefault="00E612FE" w:rsidP="00894C55">
      <w:pPr>
        <w:spacing w:after="0" w:line="240" w:lineRule="auto"/>
      </w:pPr>
      <w:r>
        <w:separator/>
      </w:r>
    </w:p>
  </w:endnote>
  <w:endnote w:type="continuationSeparator" w:id="0">
    <w:p w:rsidR="00E612FE" w:rsidRDefault="00E612F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0" w:rsidRPr="00745476" w:rsidRDefault="00BE4830"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744AE1">
      <w:rPr>
        <w:rFonts w:ascii="Times New Roman" w:hAnsi="Times New Roman" w:cs="Times New Roman"/>
        <w:noProof/>
        <w:sz w:val="20"/>
        <w:szCs w:val="20"/>
      </w:rPr>
      <w:t>IZMAnot_120220_groz369</w:t>
    </w:r>
    <w:r w:rsidRPr="00745476">
      <w:rPr>
        <w:rFonts w:ascii="Times New Roman" w:hAnsi="Times New Roman" w:cs="Times New Roman"/>
        <w:sz w:val="20"/>
        <w:szCs w:val="20"/>
      </w:rPr>
      <w:fldChar w:fldCharType="end"/>
    </w:r>
  </w:p>
  <w:p w:rsidR="00BE4830" w:rsidRPr="00745476" w:rsidRDefault="00BE4830"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0" w:rsidRPr="00745476" w:rsidRDefault="00BE4830"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744AE1">
      <w:rPr>
        <w:rFonts w:ascii="Times New Roman" w:hAnsi="Times New Roman" w:cs="Times New Roman"/>
        <w:noProof/>
        <w:sz w:val="20"/>
        <w:szCs w:val="20"/>
      </w:rPr>
      <w:t>IZMAnot_120220_groz369</w:t>
    </w:r>
    <w:r w:rsidRPr="00745476">
      <w:rPr>
        <w:rFonts w:ascii="Times New Roman" w:hAnsi="Times New Roman" w:cs="Times New Roman"/>
        <w:sz w:val="20"/>
        <w:szCs w:val="20"/>
      </w:rPr>
      <w:fldChar w:fldCharType="end"/>
    </w:r>
  </w:p>
  <w:p w:rsidR="00BE4830" w:rsidRPr="00745476" w:rsidRDefault="00BE4830"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FE" w:rsidRDefault="00E612FE" w:rsidP="00894C55">
      <w:pPr>
        <w:spacing w:after="0" w:line="240" w:lineRule="auto"/>
      </w:pPr>
      <w:r>
        <w:separator/>
      </w:r>
    </w:p>
  </w:footnote>
  <w:footnote w:type="continuationSeparator" w:id="0">
    <w:p w:rsidR="00E612FE" w:rsidRDefault="00E612F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E4830" w:rsidRPr="00C25B49" w:rsidRDefault="00BE48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84BC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4"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7"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4801"/>
    <w:rsid w:val="000248B5"/>
    <w:rsid w:val="00030C08"/>
    <w:rsid w:val="00042EA9"/>
    <w:rsid w:val="0004413E"/>
    <w:rsid w:val="00046847"/>
    <w:rsid w:val="00046A28"/>
    <w:rsid w:val="00057C6D"/>
    <w:rsid w:val="00062AB9"/>
    <w:rsid w:val="000708DF"/>
    <w:rsid w:val="00086DCA"/>
    <w:rsid w:val="00091369"/>
    <w:rsid w:val="00095EA4"/>
    <w:rsid w:val="000975A7"/>
    <w:rsid w:val="000A0221"/>
    <w:rsid w:val="000B3E2E"/>
    <w:rsid w:val="000B5205"/>
    <w:rsid w:val="000B5720"/>
    <w:rsid w:val="000B6B47"/>
    <w:rsid w:val="000C0CB6"/>
    <w:rsid w:val="000C3296"/>
    <w:rsid w:val="000C6FAA"/>
    <w:rsid w:val="000D17E5"/>
    <w:rsid w:val="000D6C29"/>
    <w:rsid w:val="000D6F41"/>
    <w:rsid w:val="000D7919"/>
    <w:rsid w:val="000E1E4A"/>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51A2C"/>
    <w:rsid w:val="00152B6C"/>
    <w:rsid w:val="0016259A"/>
    <w:rsid w:val="0016486A"/>
    <w:rsid w:val="00166B4B"/>
    <w:rsid w:val="00170D0A"/>
    <w:rsid w:val="0017511C"/>
    <w:rsid w:val="00176150"/>
    <w:rsid w:val="00176228"/>
    <w:rsid w:val="00180623"/>
    <w:rsid w:val="00180B78"/>
    <w:rsid w:val="00182C1C"/>
    <w:rsid w:val="001832CA"/>
    <w:rsid w:val="00193904"/>
    <w:rsid w:val="00194C78"/>
    <w:rsid w:val="0019539A"/>
    <w:rsid w:val="001955B5"/>
    <w:rsid w:val="001A0883"/>
    <w:rsid w:val="001A5E18"/>
    <w:rsid w:val="001A757C"/>
    <w:rsid w:val="001B1305"/>
    <w:rsid w:val="001C1208"/>
    <w:rsid w:val="001C2C17"/>
    <w:rsid w:val="001D02E0"/>
    <w:rsid w:val="001D2708"/>
    <w:rsid w:val="001E250D"/>
    <w:rsid w:val="001F174D"/>
    <w:rsid w:val="001F391A"/>
    <w:rsid w:val="001F446A"/>
    <w:rsid w:val="001F691C"/>
    <w:rsid w:val="00202F0E"/>
    <w:rsid w:val="0020301F"/>
    <w:rsid w:val="00206DCA"/>
    <w:rsid w:val="002261F5"/>
    <w:rsid w:val="00227AB2"/>
    <w:rsid w:val="00227B96"/>
    <w:rsid w:val="0023473B"/>
    <w:rsid w:val="00234B10"/>
    <w:rsid w:val="0023755B"/>
    <w:rsid w:val="00240839"/>
    <w:rsid w:val="002418AF"/>
    <w:rsid w:val="00243012"/>
    <w:rsid w:val="00243426"/>
    <w:rsid w:val="002447DB"/>
    <w:rsid w:val="00245324"/>
    <w:rsid w:val="0025407D"/>
    <w:rsid w:val="00256585"/>
    <w:rsid w:val="00260A58"/>
    <w:rsid w:val="00263059"/>
    <w:rsid w:val="00263EA2"/>
    <w:rsid w:val="0027220B"/>
    <w:rsid w:val="0027602A"/>
    <w:rsid w:val="00281159"/>
    <w:rsid w:val="00281F88"/>
    <w:rsid w:val="00282A8E"/>
    <w:rsid w:val="00284E61"/>
    <w:rsid w:val="002916FD"/>
    <w:rsid w:val="00295982"/>
    <w:rsid w:val="002968DE"/>
    <w:rsid w:val="002A3115"/>
    <w:rsid w:val="002B2206"/>
    <w:rsid w:val="002B4ED4"/>
    <w:rsid w:val="002B78D2"/>
    <w:rsid w:val="002C19AE"/>
    <w:rsid w:val="002C49EE"/>
    <w:rsid w:val="002D15DF"/>
    <w:rsid w:val="002D1663"/>
    <w:rsid w:val="002D1B66"/>
    <w:rsid w:val="002F163E"/>
    <w:rsid w:val="002F30B5"/>
    <w:rsid w:val="002F3624"/>
    <w:rsid w:val="002F44E0"/>
    <w:rsid w:val="00303AF7"/>
    <w:rsid w:val="003068AE"/>
    <w:rsid w:val="00313A7E"/>
    <w:rsid w:val="00315051"/>
    <w:rsid w:val="0032014D"/>
    <w:rsid w:val="00324CDE"/>
    <w:rsid w:val="003300F4"/>
    <w:rsid w:val="0033109D"/>
    <w:rsid w:val="00334DBC"/>
    <w:rsid w:val="0034116E"/>
    <w:rsid w:val="003469A1"/>
    <w:rsid w:val="0034730F"/>
    <w:rsid w:val="0035115A"/>
    <w:rsid w:val="003525A0"/>
    <w:rsid w:val="00357979"/>
    <w:rsid w:val="00361858"/>
    <w:rsid w:val="00362A61"/>
    <w:rsid w:val="00364B32"/>
    <w:rsid w:val="0036726F"/>
    <w:rsid w:val="00370552"/>
    <w:rsid w:val="00375572"/>
    <w:rsid w:val="00375691"/>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F28AC"/>
    <w:rsid w:val="003F2A6A"/>
    <w:rsid w:val="003F321F"/>
    <w:rsid w:val="003F578C"/>
    <w:rsid w:val="004057D8"/>
    <w:rsid w:val="004121A8"/>
    <w:rsid w:val="00413F7B"/>
    <w:rsid w:val="00423AC2"/>
    <w:rsid w:val="00426E5A"/>
    <w:rsid w:val="00434DB9"/>
    <w:rsid w:val="004454FE"/>
    <w:rsid w:val="00446171"/>
    <w:rsid w:val="00450F80"/>
    <w:rsid w:val="00454C33"/>
    <w:rsid w:val="00456F71"/>
    <w:rsid w:val="00457264"/>
    <w:rsid w:val="00461A2A"/>
    <w:rsid w:val="00471F27"/>
    <w:rsid w:val="00473326"/>
    <w:rsid w:val="00473E4C"/>
    <w:rsid w:val="00475B8C"/>
    <w:rsid w:val="00475BFB"/>
    <w:rsid w:val="004816E5"/>
    <w:rsid w:val="004848EC"/>
    <w:rsid w:val="00484A15"/>
    <w:rsid w:val="0048776E"/>
    <w:rsid w:val="00491C89"/>
    <w:rsid w:val="00494F1C"/>
    <w:rsid w:val="00496C74"/>
    <w:rsid w:val="00497B49"/>
    <w:rsid w:val="004A0218"/>
    <w:rsid w:val="004A6FC3"/>
    <w:rsid w:val="004B0B1B"/>
    <w:rsid w:val="004B570F"/>
    <w:rsid w:val="004C7005"/>
    <w:rsid w:val="004C777F"/>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0D8A"/>
    <w:rsid w:val="005134E6"/>
    <w:rsid w:val="0051491C"/>
    <w:rsid w:val="00517A36"/>
    <w:rsid w:val="00521E85"/>
    <w:rsid w:val="0052584B"/>
    <w:rsid w:val="005330D4"/>
    <w:rsid w:val="00533EC3"/>
    <w:rsid w:val="00540032"/>
    <w:rsid w:val="00545D40"/>
    <w:rsid w:val="00550AC4"/>
    <w:rsid w:val="00554EB1"/>
    <w:rsid w:val="00555DFE"/>
    <w:rsid w:val="00557A74"/>
    <w:rsid w:val="00563C8D"/>
    <w:rsid w:val="00567BBF"/>
    <w:rsid w:val="005726CE"/>
    <w:rsid w:val="00574B50"/>
    <w:rsid w:val="00577A7A"/>
    <w:rsid w:val="00583290"/>
    <w:rsid w:val="005833C1"/>
    <w:rsid w:val="00586945"/>
    <w:rsid w:val="0059026D"/>
    <w:rsid w:val="00591C7C"/>
    <w:rsid w:val="005A2DC4"/>
    <w:rsid w:val="005A59C5"/>
    <w:rsid w:val="005A6AA6"/>
    <w:rsid w:val="005B00AC"/>
    <w:rsid w:val="005B2063"/>
    <w:rsid w:val="005B4F91"/>
    <w:rsid w:val="005C11C9"/>
    <w:rsid w:val="005C5A47"/>
    <w:rsid w:val="005C61D9"/>
    <w:rsid w:val="005D0060"/>
    <w:rsid w:val="005D1538"/>
    <w:rsid w:val="005F1304"/>
    <w:rsid w:val="005F47B0"/>
    <w:rsid w:val="005F4D79"/>
    <w:rsid w:val="00600514"/>
    <w:rsid w:val="006014F7"/>
    <w:rsid w:val="0060247E"/>
    <w:rsid w:val="0061223F"/>
    <w:rsid w:val="00614010"/>
    <w:rsid w:val="00620816"/>
    <w:rsid w:val="00620D1E"/>
    <w:rsid w:val="006257C3"/>
    <w:rsid w:val="00626DF0"/>
    <w:rsid w:val="00631462"/>
    <w:rsid w:val="00635711"/>
    <w:rsid w:val="00635C5E"/>
    <w:rsid w:val="006360BD"/>
    <w:rsid w:val="00640059"/>
    <w:rsid w:val="0064246C"/>
    <w:rsid w:val="006444EC"/>
    <w:rsid w:val="00654B16"/>
    <w:rsid w:val="0065778A"/>
    <w:rsid w:val="00662334"/>
    <w:rsid w:val="0066589A"/>
    <w:rsid w:val="00667347"/>
    <w:rsid w:val="006703A3"/>
    <w:rsid w:val="00670B90"/>
    <w:rsid w:val="006717F8"/>
    <w:rsid w:val="006830DE"/>
    <w:rsid w:val="006860F0"/>
    <w:rsid w:val="006868F9"/>
    <w:rsid w:val="00690B81"/>
    <w:rsid w:val="00692C69"/>
    <w:rsid w:val="00694288"/>
    <w:rsid w:val="00694454"/>
    <w:rsid w:val="0069693F"/>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2590"/>
    <w:rsid w:val="007135D7"/>
    <w:rsid w:val="00713FFD"/>
    <w:rsid w:val="00715F74"/>
    <w:rsid w:val="00720585"/>
    <w:rsid w:val="00727F1F"/>
    <w:rsid w:val="007343B9"/>
    <w:rsid w:val="007346B3"/>
    <w:rsid w:val="00736DA5"/>
    <w:rsid w:val="007416F7"/>
    <w:rsid w:val="007425F3"/>
    <w:rsid w:val="00743749"/>
    <w:rsid w:val="00744AE1"/>
    <w:rsid w:val="00745476"/>
    <w:rsid w:val="007467A1"/>
    <w:rsid w:val="00751398"/>
    <w:rsid w:val="00752E74"/>
    <w:rsid w:val="00762252"/>
    <w:rsid w:val="0076231A"/>
    <w:rsid w:val="00771240"/>
    <w:rsid w:val="00773AF6"/>
    <w:rsid w:val="00780608"/>
    <w:rsid w:val="007807C1"/>
    <w:rsid w:val="00785ADA"/>
    <w:rsid w:val="007866BE"/>
    <w:rsid w:val="0078778E"/>
    <w:rsid w:val="00790D10"/>
    <w:rsid w:val="00791670"/>
    <w:rsid w:val="00793841"/>
    <w:rsid w:val="00795F71"/>
    <w:rsid w:val="00796862"/>
    <w:rsid w:val="007A2D83"/>
    <w:rsid w:val="007A4199"/>
    <w:rsid w:val="007A500F"/>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B1A"/>
    <w:rsid w:val="007E11FE"/>
    <w:rsid w:val="007E141A"/>
    <w:rsid w:val="007E2B38"/>
    <w:rsid w:val="007E33F0"/>
    <w:rsid w:val="007E4B66"/>
    <w:rsid w:val="007E73AB"/>
    <w:rsid w:val="007F0847"/>
    <w:rsid w:val="007F2674"/>
    <w:rsid w:val="00800250"/>
    <w:rsid w:val="00801159"/>
    <w:rsid w:val="008044D8"/>
    <w:rsid w:val="00806210"/>
    <w:rsid w:val="00811976"/>
    <w:rsid w:val="00811AD1"/>
    <w:rsid w:val="008120F2"/>
    <w:rsid w:val="0081397C"/>
    <w:rsid w:val="00816C11"/>
    <w:rsid w:val="00820188"/>
    <w:rsid w:val="00825388"/>
    <w:rsid w:val="00825832"/>
    <w:rsid w:val="00825A55"/>
    <w:rsid w:val="008354A2"/>
    <w:rsid w:val="008453D5"/>
    <w:rsid w:val="00846F02"/>
    <w:rsid w:val="00863113"/>
    <w:rsid w:val="00864420"/>
    <w:rsid w:val="00864CCB"/>
    <w:rsid w:val="00864F45"/>
    <w:rsid w:val="008664C7"/>
    <w:rsid w:val="00866A57"/>
    <w:rsid w:val="008771B1"/>
    <w:rsid w:val="008812ED"/>
    <w:rsid w:val="008826F7"/>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3AF3"/>
    <w:rsid w:val="008C3C10"/>
    <w:rsid w:val="008C5359"/>
    <w:rsid w:val="008D6CE3"/>
    <w:rsid w:val="008D711F"/>
    <w:rsid w:val="008D7340"/>
    <w:rsid w:val="008E36FA"/>
    <w:rsid w:val="008E5CED"/>
    <w:rsid w:val="008E6E55"/>
    <w:rsid w:val="008F20D2"/>
    <w:rsid w:val="008F7CF0"/>
    <w:rsid w:val="0090048B"/>
    <w:rsid w:val="009031AE"/>
    <w:rsid w:val="009107B9"/>
    <w:rsid w:val="009121A9"/>
    <w:rsid w:val="00916383"/>
    <w:rsid w:val="00916448"/>
    <w:rsid w:val="009166F1"/>
    <w:rsid w:val="00921C6E"/>
    <w:rsid w:val="00922853"/>
    <w:rsid w:val="00926D4A"/>
    <w:rsid w:val="009272DB"/>
    <w:rsid w:val="00930809"/>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333C"/>
    <w:rsid w:val="00975091"/>
    <w:rsid w:val="009773A5"/>
    <w:rsid w:val="00977962"/>
    <w:rsid w:val="00980EB4"/>
    <w:rsid w:val="00982E53"/>
    <w:rsid w:val="00990155"/>
    <w:rsid w:val="0099566D"/>
    <w:rsid w:val="009A2654"/>
    <w:rsid w:val="009A35B1"/>
    <w:rsid w:val="009A600F"/>
    <w:rsid w:val="009B0780"/>
    <w:rsid w:val="009B2E56"/>
    <w:rsid w:val="009B502D"/>
    <w:rsid w:val="009B529C"/>
    <w:rsid w:val="009B5943"/>
    <w:rsid w:val="009B6303"/>
    <w:rsid w:val="009B742B"/>
    <w:rsid w:val="009B789A"/>
    <w:rsid w:val="009D0A52"/>
    <w:rsid w:val="009D4E46"/>
    <w:rsid w:val="009D7514"/>
    <w:rsid w:val="009E0B02"/>
    <w:rsid w:val="009E0B64"/>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69F3"/>
    <w:rsid w:val="00A40567"/>
    <w:rsid w:val="00A41D2C"/>
    <w:rsid w:val="00A42FD4"/>
    <w:rsid w:val="00A4778E"/>
    <w:rsid w:val="00A4779D"/>
    <w:rsid w:val="00A6027D"/>
    <w:rsid w:val="00A6073E"/>
    <w:rsid w:val="00A63CC4"/>
    <w:rsid w:val="00A65114"/>
    <w:rsid w:val="00A75507"/>
    <w:rsid w:val="00A76455"/>
    <w:rsid w:val="00A80A87"/>
    <w:rsid w:val="00A814C7"/>
    <w:rsid w:val="00A84BC7"/>
    <w:rsid w:val="00A9006E"/>
    <w:rsid w:val="00A90144"/>
    <w:rsid w:val="00A93DDF"/>
    <w:rsid w:val="00A94057"/>
    <w:rsid w:val="00A97884"/>
    <w:rsid w:val="00AA50F6"/>
    <w:rsid w:val="00AA665C"/>
    <w:rsid w:val="00AA6F61"/>
    <w:rsid w:val="00AB08B0"/>
    <w:rsid w:val="00AB3F90"/>
    <w:rsid w:val="00AB462B"/>
    <w:rsid w:val="00AD2FE4"/>
    <w:rsid w:val="00AD5FB2"/>
    <w:rsid w:val="00AD6A40"/>
    <w:rsid w:val="00AD7A56"/>
    <w:rsid w:val="00AE30DD"/>
    <w:rsid w:val="00AE334B"/>
    <w:rsid w:val="00AE4BA7"/>
    <w:rsid w:val="00AE5567"/>
    <w:rsid w:val="00AE6869"/>
    <w:rsid w:val="00AF00B4"/>
    <w:rsid w:val="00AF46DF"/>
    <w:rsid w:val="00B06D50"/>
    <w:rsid w:val="00B07C18"/>
    <w:rsid w:val="00B1140D"/>
    <w:rsid w:val="00B1279C"/>
    <w:rsid w:val="00B2165C"/>
    <w:rsid w:val="00B23E2D"/>
    <w:rsid w:val="00B36400"/>
    <w:rsid w:val="00B367CC"/>
    <w:rsid w:val="00B40B87"/>
    <w:rsid w:val="00B4137F"/>
    <w:rsid w:val="00B415F4"/>
    <w:rsid w:val="00B43486"/>
    <w:rsid w:val="00B50CEB"/>
    <w:rsid w:val="00B5715E"/>
    <w:rsid w:val="00B611DD"/>
    <w:rsid w:val="00B63164"/>
    <w:rsid w:val="00B6687C"/>
    <w:rsid w:val="00B72759"/>
    <w:rsid w:val="00B769DF"/>
    <w:rsid w:val="00B76FD7"/>
    <w:rsid w:val="00B84451"/>
    <w:rsid w:val="00B912D5"/>
    <w:rsid w:val="00B916BC"/>
    <w:rsid w:val="00B96645"/>
    <w:rsid w:val="00B97B9A"/>
    <w:rsid w:val="00BA1922"/>
    <w:rsid w:val="00BA20AA"/>
    <w:rsid w:val="00BA7FD7"/>
    <w:rsid w:val="00BB259C"/>
    <w:rsid w:val="00BB42C2"/>
    <w:rsid w:val="00BB5818"/>
    <w:rsid w:val="00BC5D94"/>
    <w:rsid w:val="00BC786E"/>
    <w:rsid w:val="00BD0D88"/>
    <w:rsid w:val="00BD4348"/>
    <w:rsid w:val="00BD4425"/>
    <w:rsid w:val="00BD6AD6"/>
    <w:rsid w:val="00BD74FB"/>
    <w:rsid w:val="00BD777F"/>
    <w:rsid w:val="00BE4172"/>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139E"/>
    <w:rsid w:val="00C3459E"/>
    <w:rsid w:val="00C35CFF"/>
    <w:rsid w:val="00C41E53"/>
    <w:rsid w:val="00C52288"/>
    <w:rsid w:val="00C5529C"/>
    <w:rsid w:val="00C6704B"/>
    <w:rsid w:val="00C75769"/>
    <w:rsid w:val="00C8148A"/>
    <w:rsid w:val="00C837AD"/>
    <w:rsid w:val="00C8797F"/>
    <w:rsid w:val="00C93902"/>
    <w:rsid w:val="00C97CE2"/>
    <w:rsid w:val="00C97D19"/>
    <w:rsid w:val="00C97DBD"/>
    <w:rsid w:val="00CA0819"/>
    <w:rsid w:val="00CA7BF7"/>
    <w:rsid w:val="00CA7CF2"/>
    <w:rsid w:val="00CA7DFD"/>
    <w:rsid w:val="00CB670B"/>
    <w:rsid w:val="00CB6D2B"/>
    <w:rsid w:val="00CB6F74"/>
    <w:rsid w:val="00CC4BB0"/>
    <w:rsid w:val="00CC51CB"/>
    <w:rsid w:val="00CC5638"/>
    <w:rsid w:val="00CD2894"/>
    <w:rsid w:val="00CE410D"/>
    <w:rsid w:val="00CE4357"/>
    <w:rsid w:val="00CE5657"/>
    <w:rsid w:val="00CF3D6A"/>
    <w:rsid w:val="00CF59D5"/>
    <w:rsid w:val="00CF6A43"/>
    <w:rsid w:val="00CF6EDB"/>
    <w:rsid w:val="00D00469"/>
    <w:rsid w:val="00D04701"/>
    <w:rsid w:val="00D06061"/>
    <w:rsid w:val="00D10E7A"/>
    <w:rsid w:val="00D133F8"/>
    <w:rsid w:val="00D140D5"/>
    <w:rsid w:val="00D30A89"/>
    <w:rsid w:val="00D30E82"/>
    <w:rsid w:val="00D338F7"/>
    <w:rsid w:val="00D345DE"/>
    <w:rsid w:val="00D35F65"/>
    <w:rsid w:val="00D37C1A"/>
    <w:rsid w:val="00D41556"/>
    <w:rsid w:val="00D44D70"/>
    <w:rsid w:val="00D51559"/>
    <w:rsid w:val="00D55F16"/>
    <w:rsid w:val="00D6072B"/>
    <w:rsid w:val="00D60B43"/>
    <w:rsid w:val="00D637F1"/>
    <w:rsid w:val="00D701F7"/>
    <w:rsid w:val="00D7680B"/>
    <w:rsid w:val="00D775E0"/>
    <w:rsid w:val="00D80853"/>
    <w:rsid w:val="00D81B6A"/>
    <w:rsid w:val="00D85DAA"/>
    <w:rsid w:val="00D86C7D"/>
    <w:rsid w:val="00D96C2F"/>
    <w:rsid w:val="00DA26A8"/>
    <w:rsid w:val="00DB1D03"/>
    <w:rsid w:val="00DB37CD"/>
    <w:rsid w:val="00DB40EF"/>
    <w:rsid w:val="00DB728D"/>
    <w:rsid w:val="00DC2FE3"/>
    <w:rsid w:val="00DD48B6"/>
    <w:rsid w:val="00DD5640"/>
    <w:rsid w:val="00DD5E99"/>
    <w:rsid w:val="00DD5FCF"/>
    <w:rsid w:val="00DD635B"/>
    <w:rsid w:val="00DD66A7"/>
    <w:rsid w:val="00DE49D3"/>
    <w:rsid w:val="00DE7E54"/>
    <w:rsid w:val="00DF49A7"/>
    <w:rsid w:val="00DF5C32"/>
    <w:rsid w:val="00DF6462"/>
    <w:rsid w:val="00DF6C27"/>
    <w:rsid w:val="00E0548E"/>
    <w:rsid w:val="00E0744E"/>
    <w:rsid w:val="00E11982"/>
    <w:rsid w:val="00E11C35"/>
    <w:rsid w:val="00E159A0"/>
    <w:rsid w:val="00E15B81"/>
    <w:rsid w:val="00E26AF1"/>
    <w:rsid w:val="00E26B8C"/>
    <w:rsid w:val="00E30742"/>
    <w:rsid w:val="00E31D7B"/>
    <w:rsid w:val="00E32173"/>
    <w:rsid w:val="00E3348E"/>
    <w:rsid w:val="00E36DDE"/>
    <w:rsid w:val="00E3716B"/>
    <w:rsid w:val="00E4169A"/>
    <w:rsid w:val="00E47D6A"/>
    <w:rsid w:val="00E54619"/>
    <w:rsid w:val="00E54CC2"/>
    <w:rsid w:val="00E54D16"/>
    <w:rsid w:val="00E57035"/>
    <w:rsid w:val="00E602CC"/>
    <w:rsid w:val="00E612FE"/>
    <w:rsid w:val="00E617AE"/>
    <w:rsid w:val="00E638A8"/>
    <w:rsid w:val="00E64BB5"/>
    <w:rsid w:val="00E722BA"/>
    <w:rsid w:val="00E73657"/>
    <w:rsid w:val="00E759B1"/>
    <w:rsid w:val="00E7774A"/>
    <w:rsid w:val="00E834FD"/>
    <w:rsid w:val="00E854EF"/>
    <w:rsid w:val="00E90C01"/>
    <w:rsid w:val="00E9613B"/>
    <w:rsid w:val="00E97C4B"/>
    <w:rsid w:val="00E97D3A"/>
    <w:rsid w:val="00EA486E"/>
    <w:rsid w:val="00EA730F"/>
    <w:rsid w:val="00EB1482"/>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22C87"/>
    <w:rsid w:val="00F26F52"/>
    <w:rsid w:val="00F270A9"/>
    <w:rsid w:val="00F3171F"/>
    <w:rsid w:val="00F31BAE"/>
    <w:rsid w:val="00F33AD0"/>
    <w:rsid w:val="00F35F31"/>
    <w:rsid w:val="00F366A7"/>
    <w:rsid w:val="00F40B02"/>
    <w:rsid w:val="00F4245F"/>
    <w:rsid w:val="00F43B0C"/>
    <w:rsid w:val="00F50436"/>
    <w:rsid w:val="00F5368B"/>
    <w:rsid w:val="00F546DD"/>
    <w:rsid w:val="00F57B0C"/>
    <w:rsid w:val="00F60410"/>
    <w:rsid w:val="00F63909"/>
    <w:rsid w:val="00F66785"/>
    <w:rsid w:val="00F66EFD"/>
    <w:rsid w:val="00F67966"/>
    <w:rsid w:val="00F76963"/>
    <w:rsid w:val="00F81403"/>
    <w:rsid w:val="00F83B76"/>
    <w:rsid w:val="00F8773B"/>
    <w:rsid w:val="00F911AA"/>
    <w:rsid w:val="00F91775"/>
    <w:rsid w:val="00F943F8"/>
    <w:rsid w:val="00F96D19"/>
    <w:rsid w:val="00FA48DC"/>
    <w:rsid w:val="00FA780F"/>
    <w:rsid w:val="00FB097A"/>
    <w:rsid w:val="00FB7E67"/>
    <w:rsid w:val="00FC265C"/>
    <w:rsid w:val="00FD29B7"/>
    <w:rsid w:val="00FE06F6"/>
    <w:rsid w:val="00FE20C8"/>
    <w:rsid w:val="00FE2892"/>
    <w:rsid w:val="00FE2E06"/>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04DDD22B-D012-4845-89BF-41C14575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5006</Words>
  <Characters>2854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370</cp:revision>
  <cp:lastPrinted>2018-01-23T09:31:00Z</cp:lastPrinted>
  <dcterms:created xsi:type="dcterms:W3CDTF">2018-01-17T11:26:00Z</dcterms:created>
  <dcterms:modified xsi:type="dcterms:W3CDTF">2020-02-12T07:13:00Z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