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5915C416" w14:textId="77777777" w:rsidR="009D66C8" w:rsidRPr="00404CF4" w:rsidRDefault="00222C95" w:rsidP="00914CB7">
          <w:pPr>
            <w:shd w:val="clear" w:color="auto" w:fill="FFFFFF"/>
            <w:jc w:val="center"/>
            <w:rPr>
              <w:b/>
              <w:bCs/>
            </w:rPr>
          </w:pPr>
          <w:r w:rsidRPr="00370F8E">
            <w:rPr>
              <w:b/>
            </w:rPr>
            <w:t>Ministru kabineta noteikumu projekta “</w:t>
          </w:r>
          <w:r w:rsidR="0086369F" w:rsidRPr="00370F8E">
            <w:rPr>
              <w:b/>
              <w:bCs/>
            </w:rPr>
            <w:t>Grozījumi Ministru kabineta 20</w:t>
          </w:r>
          <w:r w:rsidR="00F33928" w:rsidRPr="00370F8E">
            <w:rPr>
              <w:b/>
              <w:bCs/>
            </w:rPr>
            <w:t>0</w:t>
          </w:r>
          <w:r w:rsidR="00370F8E" w:rsidRPr="00370F8E">
            <w:rPr>
              <w:b/>
              <w:bCs/>
            </w:rPr>
            <w:t>5</w:t>
          </w:r>
          <w:r w:rsidR="0086369F" w:rsidRPr="00370F8E">
            <w:rPr>
              <w:b/>
              <w:bCs/>
            </w:rPr>
            <w:t xml:space="preserve">. gada </w:t>
          </w:r>
          <w:r w:rsidR="00370F8E" w:rsidRPr="00370F8E">
            <w:rPr>
              <w:b/>
              <w:bCs/>
            </w:rPr>
            <w:t>5. jūlija</w:t>
          </w:r>
          <w:r w:rsidR="0086369F" w:rsidRPr="00370F8E">
            <w:rPr>
              <w:b/>
              <w:bCs/>
            </w:rPr>
            <w:t xml:space="preserve"> noteikumos Nr.</w:t>
          </w:r>
          <w:r w:rsidR="006F18AC" w:rsidRPr="00370F8E">
            <w:rPr>
              <w:b/>
              <w:bCs/>
            </w:rPr>
            <w:t> </w:t>
          </w:r>
          <w:r w:rsidR="00370F8E" w:rsidRPr="00370F8E">
            <w:rPr>
              <w:b/>
              <w:bCs/>
            </w:rPr>
            <w:t>489</w:t>
          </w:r>
          <w:r w:rsidR="0086369F" w:rsidRPr="00370F8E">
            <w:rPr>
              <w:b/>
              <w:bCs/>
            </w:rPr>
            <w:t xml:space="preserve"> “</w:t>
          </w:r>
          <w:r w:rsidR="00370F8E" w:rsidRPr="00B16B8F">
            <w:rPr>
              <w:b/>
            </w:rPr>
            <w:t>Noteikumi par izglītības programmu minimālajām prasībām veterinārārsta profesionālās kvalifikācijas iegūšanai un par institūcijām, kuru tiešā kontrolē var apgūt praktisko izglītību veterinārārsta profesijā</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sdtContent>
    </w:sdt>
    <w:p w14:paraId="5915C417"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5915C419" w14:textId="77777777" w:rsidTr="00E92DFB">
        <w:trPr>
          <w:cantSplit/>
        </w:trPr>
        <w:tc>
          <w:tcPr>
            <w:tcW w:w="9067" w:type="dxa"/>
            <w:gridSpan w:val="2"/>
            <w:shd w:val="clear" w:color="auto" w:fill="FFFFFF"/>
            <w:vAlign w:val="center"/>
            <w:hideMark/>
          </w:tcPr>
          <w:p w14:paraId="5915C418"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5915C41D" w14:textId="77777777" w:rsidTr="00E92DFB">
        <w:trPr>
          <w:cantSplit/>
        </w:trPr>
        <w:tc>
          <w:tcPr>
            <w:tcW w:w="3246" w:type="dxa"/>
            <w:shd w:val="clear" w:color="auto" w:fill="FFFFFF"/>
            <w:hideMark/>
          </w:tcPr>
          <w:p w14:paraId="5915C41A"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5915C41B" w14:textId="77777777"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 xml:space="preserve">Eiropas Savienības tiesību normu pārņemšanu Latvijā, lai </w:t>
            </w:r>
            <w:r w:rsidR="006A4BBA">
              <w:rPr>
                <w:rStyle w:val="Strong"/>
                <w:b w:val="0"/>
                <w:bdr w:val="none" w:sz="0" w:space="0" w:color="auto" w:frame="1"/>
                <w:shd w:val="clear" w:color="auto" w:fill="FFFFFF"/>
              </w:rPr>
              <w:t xml:space="preserve">personas varētu iegūt </w:t>
            </w:r>
            <w:r w:rsidR="00370F8E">
              <w:rPr>
                <w:rStyle w:val="Strong"/>
                <w:b w:val="0"/>
                <w:bdr w:val="none" w:sz="0" w:space="0" w:color="auto" w:frame="1"/>
                <w:shd w:val="clear" w:color="auto" w:fill="FFFFFF"/>
              </w:rPr>
              <w:t>veterinār</w:t>
            </w:r>
            <w:r w:rsidR="006A4BBA">
              <w:rPr>
                <w:rStyle w:val="Strong"/>
                <w:b w:val="0"/>
                <w:bdr w:val="none" w:sz="0" w:space="0" w:color="auto" w:frame="1"/>
                <w:shd w:val="clear" w:color="auto" w:fill="FFFFFF"/>
              </w:rPr>
              <w:t>ārsta kvalifikāciju, kuru atzīst Eiropas Savienībā, un</w:t>
            </w:r>
            <w:r w:rsidR="00847CF7">
              <w:rPr>
                <w:rStyle w:val="Strong"/>
                <w:b w:val="0"/>
                <w:bdr w:val="none" w:sz="0" w:space="0" w:color="auto" w:frame="1"/>
                <w:shd w:val="clear" w:color="auto" w:fill="FFFFFF"/>
              </w:rPr>
              <w:t xml:space="preserve">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5915C41C" w14:textId="77777777"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5915C41E"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5915C420" w14:textId="77777777" w:rsidTr="00E92DFB">
        <w:tc>
          <w:tcPr>
            <w:tcW w:w="5000" w:type="pct"/>
            <w:gridSpan w:val="3"/>
            <w:vAlign w:val="center"/>
            <w:hideMark/>
          </w:tcPr>
          <w:p w14:paraId="5915C41F"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5915C428" w14:textId="77777777" w:rsidTr="00E92DFB">
        <w:tc>
          <w:tcPr>
            <w:tcW w:w="311" w:type="pct"/>
            <w:hideMark/>
          </w:tcPr>
          <w:p w14:paraId="5915C421" w14:textId="77777777" w:rsidR="00BD5588" w:rsidRPr="00404CF4" w:rsidRDefault="00222C95" w:rsidP="00C07EB2">
            <w:pPr>
              <w:widowControl w:val="0"/>
              <w:jc w:val="both"/>
            </w:pPr>
            <w:r w:rsidRPr="00404CF4">
              <w:t>1.</w:t>
            </w:r>
          </w:p>
        </w:tc>
        <w:tc>
          <w:tcPr>
            <w:tcW w:w="1479" w:type="pct"/>
            <w:hideMark/>
          </w:tcPr>
          <w:p w14:paraId="5915C422" w14:textId="77777777" w:rsidR="00BD5588" w:rsidRPr="00404CF4" w:rsidRDefault="00222C95" w:rsidP="00C07EB2">
            <w:pPr>
              <w:widowControl w:val="0"/>
              <w:jc w:val="both"/>
            </w:pPr>
            <w:r w:rsidRPr="00404CF4">
              <w:t>Pamatojums</w:t>
            </w:r>
          </w:p>
        </w:tc>
        <w:tc>
          <w:tcPr>
            <w:tcW w:w="3210" w:type="pct"/>
            <w:hideMark/>
          </w:tcPr>
          <w:p w14:paraId="5915C423" w14:textId="77777777" w:rsidR="005D4A1E" w:rsidRDefault="00F77EF3" w:rsidP="00C07EB2">
            <w:pPr>
              <w:shd w:val="clear" w:color="auto" w:fill="FFFFFF"/>
              <w:jc w:val="both"/>
            </w:pPr>
            <w:r w:rsidRPr="00404CF4">
              <w:t xml:space="preserve">     </w:t>
            </w:r>
            <w:r w:rsidR="00190577" w:rsidRPr="00404CF4">
              <w:t>Ministru kabineta noteikumu projekts “</w:t>
            </w:r>
            <w:r w:rsidR="007620DE" w:rsidRPr="007620DE">
              <w:t>Grozījumi Ministru kabineta 200</w:t>
            </w:r>
            <w:r w:rsidR="00370F8E">
              <w:t>5</w:t>
            </w:r>
            <w:r w:rsidR="007620DE" w:rsidRPr="007620DE">
              <w:t xml:space="preserve">. gada </w:t>
            </w:r>
            <w:r w:rsidR="00370F8E">
              <w:t>5</w:t>
            </w:r>
            <w:r w:rsidR="007620DE" w:rsidRPr="007620DE">
              <w:t>. jūlija noteikumos Nr.</w:t>
            </w:r>
            <w:r w:rsidR="00370F8E">
              <w:t>489</w:t>
            </w:r>
            <w:r w:rsidR="007620DE" w:rsidRPr="007620DE">
              <w:t xml:space="preserve"> “</w:t>
            </w:r>
            <w:r w:rsidR="00370F8E" w:rsidRPr="009C2062">
              <w:t>Noteikumi par izglītības programmu minimālajām prasībām veterinārārsta profesionālās kvalifikācijas iegūšanai un par institūcijām, kuru tiešā kontrolē var apgūt praktisko izglītību veterinārārsta profesijā</w:t>
            </w:r>
            <w:r w:rsidR="00190577" w:rsidRPr="00404CF4">
              <w:t>””</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5915C424" w14:textId="77777777"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6. panta </w:t>
            </w:r>
            <w:r w:rsidR="007620DE">
              <w:t>2</w:t>
            </w:r>
            <w:r w:rsidR="00FF4A34" w:rsidRPr="00404CF4">
              <w:t>.</w:t>
            </w:r>
            <w:r w:rsidR="00F77EF3" w:rsidRPr="00404CF4">
              <w:t xml:space="preserve"> punktu</w:t>
            </w:r>
            <w:r w:rsidR="007620DE">
              <w:t xml:space="preserve"> un </w:t>
            </w:r>
            <w:r w:rsidR="00370F8E">
              <w:t>26</w:t>
            </w:r>
            <w:r w:rsidR="001110E3" w:rsidRPr="00404CF4">
              <w:t>. panta</w:t>
            </w:r>
            <w:r w:rsidR="00AA693E">
              <w:t xml:space="preserve"> pirm</w:t>
            </w:r>
            <w:r w:rsidR="007620DE">
              <w:t>o daļu</w:t>
            </w:r>
            <w:r>
              <w:t>,</w:t>
            </w:r>
            <w:r w:rsidR="00370F8E">
              <w:t xml:space="preserve"> 27. panta piekto daļu;</w:t>
            </w:r>
          </w:p>
          <w:p w14:paraId="5915C425" w14:textId="77777777" w:rsidR="00183CF8" w:rsidRDefault="00EB28E1" w:rsidP="00EB28E1">
            <w:pPr>
              <w:jc w:val="both"/>
              <w:rPr>
                <w:bCs/>
                <w:color w:val="000000" w:themeColor="text1"/>
              </w:rPr>
            </w:pPr>
            <w:r>
              <w:rPr>
                <w:bCs/>
                <w:color w:val="000000" w:themeColor="text1"/>
              </w:rPr>
              <w:t>2</w:t>
            </w:r>
            <w:r w:rsidR="00AB7360">
              <w:rPr>
                <w:bCs/>
                <w:color w:val="000000" w:themeColor="text1"/>
              </w:rPr>
              <w:t xml:space="preserve">) </w:t>
            </w:r>
            <w:r w:rsidR="00183CF8" w:rsidRPr="00DE2923">
              <w:rPr>
                <w:color w:val="000000" w:themeColor="text1"/>
              </w:rPr>
              <w:t xml:space="preserve">Eiropas Parlamenta un Padomes </w:t>
            </w:r>
            <w:r w:rsidR="00183CF8" w:rsidRPr="00DE2923">
              <w:rPr>
                <w:bCs/>
                <w:color w:val="000000" w:themeColor="text1"/>
              </w:rPr>
              <w:t>2013.gada 20.novembra</w:t>
            </w:r>
            <w:r w:rsidR="00183CF8" w:rsidRPr="00DE2923">
              <w:rPr>
                <w:color w:val="000000" w:themeColor="text1"/>
              </w:rPr>
              <w:t xml:space="preserve"> Direktīva </w:t>
            </w:r>
            <w:r w:rsidR="00183CF8" w:rsidRPr="00DE2923">
              <w:rPr>
                <w:bCs/>
                <w:color w:val="000000" w:themeColor="text1"/>
              </w:rPr>
              <w:t>2013/55/ES, ar ko groza Direktīvu 2005/36/EK par profesionālo kvalifikāciju atzīšanu un Regulu (ES) Nr.1024/2012 par administratīvo sadarbību, izmantojot Iekšējā tirgus informācijas sistēmu (IMI regulu)</w:t>
            </w:r>
            <w:r w:rsidR="00183CF8">
              <w:rPr>
                <w:bCs/>
                <w:color w:val="000000" w:themeColor="text1"/>
              </w:rPr>
              <w:t xml:space="preserve"> (turpmāk – direktīva 2013/55/ES)</w:t>
            </w:r>
            <w:r w:rsidR="009D0FBC">
              <w:rPr>
                <w:rStyle w:val="FootnoteReference"/>
                <w:bCs/>
                <w:color w:val="000000" w:themeColor="text1"/>
              </w:rPr>
              <w:footnoteReference w:id="1"/>
            </w:r>
            <w:r w:rsidR="00183CF8">
              <w:rPr>
                <w:bCs/>
                <w:color w:val="000000" w:themeColor="text1"/>
              </w:rPr>
              <w:t>;</w:t>
            </w:r>
          </w:p>
          <w:p w14:paraId="5915C426" w14:textId="77777777" w:rsidR="00161647" w:rsidRDefault="00183CF8" w:rsidP="00EB28E1">
            <w:pPr>
              <w:jc w:val="both"/>
              <w:rPr>
                <w:bCs/>
                <w:color w:val="000000" w:themeColor="text1"/>
              </w:rPr>
            </w:pPr>
            <w:r>
              <w:rPr>
                <w:bCs/>
                <w:color w:val="000000" w:themeColor="text1"/>
              </w:rPr>
              <w:t xml:space="preserve">3) </w:t>
            </w:r>
            <w:r w:rsidR="00AB7360" w:rsidRPr="00AB7360">
              <w:rPr>
                <w:bCs/>
                <w:color w:val="000000" w:themeColor="text1"/>
              </w:rPr>
              <w:t>Eiropas Parlamenta un Padomes</w:t>
            </w:r>
            <w:r w:rsidR="00AB7360">
              <w:rPr>
                <w:bCs/>
                <w:color w:val="000000" w:themeColor="text1"/>
              </w:rPr>
              <w:t xml:space="preserve"> 2005.gada 7.septembra Direktīvu</w:t>
            </w:r>
            <w:r w:rsidR="00AB7360" w:rsidRPr="00AB7360">
              <w:rPr>
                <w:bCs/>
                <w:color w:val="000000" w:themeColor="text1"/>
              </w:rPr>
              <w:t xml:space="preserve"> 2005/36/EK par profesionālo kvalifikāciju atzīšanu (turpmāk – direktīva 2005/36/E</w:t>
            </w:r>
            <w:r w:rsidR="00AB7360">
              <w:rPr>
                <w:bCs/>
                <w:color w:val="000000" w:themeColor="text1"/>
              </w:rPr>
              <w:t>K)</w:t>
            </w:r>
            <w:r>
              <w:rPr>
                <w:bCs/>
                <w:color w:val="000000" w:themeColor="text1"/>
              </w:rPr>
              <w:t>.</w:t>
            </w:r>
          </w:p>
          <w:p w14:paraId="5915C427" w14:textId="77777777" w:rsidR="00EB28E1" w:rsidRPr="00C07EB2" w:rsidRDefault="00183CF8" w:rsidP="00EB28E1">
            <w:pPr>
              <w:jc w:val="both"/>
              <w:rPr>
                <w:bCs/>
                <w:color w:val="000000" w:themeColor="text1"/>
              </w:rPr>
            </w:pPr>
            <w:r>
              <w:rPr>
                <w:bCs/>
                <w:color w:val="000000" w:themeColor="text1"/>
              </w:rPr>
              <w:t>4</w:t>
            </w:r>
            <w:r w:rsidR="00EB28E1">
              <w:rPr>
                <w:bCs/>
                <w:color w:val="000000" w:themeColor="text1"/>
              </w:rPr>
              <w:t xml:space="preserve">) </w:t>
            </w:r>
            <w:r w:rsidR="00EB28E1" w:rsidRPr="00492D15">
              <w:t>Ministru kabineta 2019.gada 19. marta sēdē doto uzdevumu</w:t>
            </w:r>
            <w:r w:rsidR="00EB28E1">
              <w:t xml:space="preserve"> (prot. Nr.14 43.§  4. punkts).</w:t>
            </w:r>
          </w:p>
        </w:tc>
      </w:tr>
      <w:tr w:rsidR="00527525" w:rsidRPr="00527525" w14:paraId="5915C438" w14:textId="77777777" w:rsidTr="00E92DFB">
        <w:tc>
          <w:tcPr>
            <w:tcW w:w="311" w:type="pct"/>
            <w:hideMark/>
          </w:tcPr>
          <w:p w14:paraId="5915C429" w14:textId="77777777" w:rsidR="00BD5588" w:rsidRPr="00527525" w:rsidRDefault="00222C95" w:rsidP="00793205">
            <w:pPr>
              <w:widowControl w:val="0"/>
            </w:pPr>
            <w:r w:rsidRPr="00527525">
              <w:t>2.</w:t>
            </w:r>
          </w:p>
        </w:tc>
        <w:tc>
          <w:tcPr>
            <w:tcW w:w="1479" w:type="pct"/>
            <w:hideMark/>
          </w:tcPr>
          <w:p w14:paraId="5915C42A" w14:textId="77777777" w:rsidR="00EB796A" w:rsidRPr="00527525" w:rsidRDefault="00222C95" w:rsidP="00793205">
            <w:pPr>
              <w:widowControl w:val="0"/>
            </w:pPr>
            <w:r w:rsidRPr="00527525">
              <w:t>Pašreizējā situācija un problēmas, kuru risināšanai tiesību akta projekts izstrādāts, tiesiskā regulējuma mērķis un būtība</w:t>
            </w:r>
          </w:p>
          <w:p w14:paraId="5915C42B" w14:textId="77777777" w:rsidR="00EB796A" w:rsidRPr="00527525" w:rsidRDefault="00EB796A" w:rsidP="00EB796A"/>
          <w:p w14:paraId="5915C42C" w14:textId="77777777" w:rsidR="00BD5588" w:rsidRPr="00527525" w:rsidRDefault="00BD5588" w:rsidP="00EB796A">
            <w:pPr>
              <w:jc w:val="right"/>
            </w:pPr>
          </w:p>
        </w:tc>
        <w:tc>
          <w:tcPr>
            <w:tcW w:w="3210" w:type="pct"/>
            <w:hideMark/>
          </w:tcPr>
          <w:p w14:paraId="5915C42D" w14:textId="77777777" w:rsidR="00F416F5" w:rsidRPr="00527525" w:rsidRDefault="00222C95" w:rsidP="00EF33F2">
            <w:pPr>
              <w:shd w:val="clear" w:color="auto" w:fill="FFFFFF"/>
              <w:jc w:val="both"/>
            </w:pPr>
            <w:r w:rsidRPr="00527525">
              <w:t xml:space="preserve">      </w:t>
            </w:r>
            <w:r w:rsidR="00C54801" w:rsidRPr="00527525">
              <w:t xml:space="preserve">Spēkā ir </w:t>
            </w:r>
            <w:r w:rsidR="00F416F5" w:rsidRPr="00527525">
              <w:t>Ministru kabineta 200</w:t>
            </w:r>
            <w:r w:rsidR="003A35EF" w:rsidRPr="00527525">
              <w:t>5</w:t>
            </w:r>
            <w:r w:rsidR="00F416F5" w:rsidRPr="00527525">
              <w:t xml:space="preserve">. gada </w:t>
            </w:r>
            <w:r w:rsidR="003A35EF" w:rsidRPr="00527525">
              <w:t>5</w:t>
            </w:r>
            <w:r w:rsidR="00F416F5" w:rsidRPr="00527525">
              <w:t xml:space="preserve">. jūlija noteikumi Nr. </w:t>
            </w:r>
            <w:r w:rsidR="003A35EF" w:rsidRPr="00527525">
              <w:t>489</w:t>
            </w:r>
            <w:r w:rsidR="00F416F5" w:rsidRPr="00527525">
              <w:t xml:space="preserve"> “</w:t>
            </w:r>
            <w:r w:rsidR="003A35EF" w:rsidRPr="00527525">
              <w:t>Noteikumi par izglītības programmu minimālajām prasībām veterinārārsta profesionālās kvalifikācijas iegūšanai un par institūcijām, kuru tiešā kontrolē var apgūt praktisko izglītību veterinārārsta profesijā</w:t>
            </w:r>
            <w:r w:rsidR="00F416F5" w:rsidRPr="00527525">
              <w:t>”” (turpmāk – noteikumi Nr. </w:t>
            </w:r>
            <w:r w:rsidR="003A35EF" w:rsidRPr="00527525">
              <w:t>489</w:t>
            </w:r>
            <w:r w:rsidR="00F416F5" w:rsidRPr="00527525">
              <w:t>)</w:t>
            </w:r>
            <w:r w:rsidR="00994BC9" w:rsidRPr="00527525">
              <w:t xml:space="preserve">, kuri nosaka </w:t>
            </w:r>
            <w:r w:rsidR="007D772D" w:rsidRPr="00527525">
              <w:t xml:space="preserve">izglītības </w:t>
            </w:r>
            <w:r w:rsidR="00527525" w:rsidRPr="00527525">
              <w:t xml:space="preserve">satura </w:t>
            </w:r>
            <w:r w:rsidR="00F416F5" w:rsidRPr="00527525">
              <w:t>minimālās prasības</w:t>
            </w:r>
            <w:r w:rsidR="00527525" w:rsidRPr="00527525">
              <w:t xml:space="preserve"> </w:t>
            </w:r>
            <w:r w:rsidR="007D772D" w:rsidRPr="00527525">
              <w:t>kvalifikācijas iegūšanai</w:t>
            </w:r>
            <w:r w:rsidR="00F416F5" w:rsidRPr="00527525">
              <w:t xml:space="preserve"> </w:t>
            </w:r>
            <w:r w:rsidR="003A35EF" w:rsidRPr="00527525">
              <w:t>veterin</w:t>
            </w:r>
            <w:r w:rsidR="007D772D" w:rsidRPr="00527525">
              <w:t>ār</w:t>
            </w:r>
            <w:r w:rsidR="00F32B30" w:rsidRPr="00527525">
              <w:t>ār</w:t>
            </w:r>
            <w:r w:rsidR="007D772D" w:rsidRPr="00527525">
              <w:t>sta profesijā</w:t>
            </w:r>
            <w:r w:rsidR="003A35EF" w:rsidRPr="00527525">
              <w:t>.</w:t>
            </w:r>
            <w:r w:rsidR="007D772D" w:rsidRPr="00527525">
              <w:t xml:space="preserve"> </w:t>
            </w:r>
          </w:p>
          <w:p w14:paraId="290A255A" w14:textId="0547A54C" w:rsidR="00423B1E" w:rsidRPr="00527525" w:rsidRDefault="00F02CE4" w:rsidP="00EF33F2">
            <w:pPr>
              <w:shd w:val="clear" w:color="auto" w:fill="FFFFFF"/>
              <w:jc w:val="both"/>
            </w:pPr>
            <w:r w:rsidRPr="00527525">
              <w:t xml:space="preserve">     </w:t>
            </w:r>
            <w:r w:rsidR="00AB7360" w:rsidRPr="00527525">
              <w:t>Latvija</w:t>
            </w:r>
            <w:r w:rsidR="005D4A1E" w:rsidRPr="00527525">
              <w:t xml:space="preserve"> </w:t>
            </w:r>
            <w:r w:rsidR="00AB7360" w:rsidRPr="00527525">
              <w:t xml:space="preserve">ir saņēmusi Eiropas Komisijas (turpmāk – Komisija) </w:t>
            </w:r>
            <w:r w:rsidR="002005D3" w:rsidRPr="00527525">
              <w:t>2019. gada 24. janvāra</w:t>
            </w:r>
            <w:r w:rsidR="00947EFB" w:rsidRPr="00527525">
              <w:t xml:space="preserve"> formālo paziņojumu </w:t>
            </w:r>
            <w:r w:rsidR="00947EFB" w:rsidRPr="00527525">
              <w:lastRenderedPageBreak/>
              <w:t>pārkāpu</w:t>
            </w:r>
            <w:r w:rsidR="002005D3" w:rsidRPr="00527525">
              <w:t>ma procedūras lietā Nr.2018/2296</w:t>
            </w:r>
            <w:r w:rsidR="00AB7360" w:rsidRPr="00527525">
              <w:t xml:space="preserve">, </w:t>
            </w:r>
            <w:r w:rsidR="00BD6D71">
              <w:t xml:space="preserve">kā arī 2019. gada 27. </w:t>
            </w:r>
            <w:r w:rsidR="00B11B8E">
              <w:t xml:space="preserve">novembra argumentēto atzinumu pārkāpuma procedūras lietā 2018/2296, </w:t>
            </w:r>
            <w:r w:rsidR="00AB7360" w:rsidRPr="00527525">
              <w:t>kur</w:t>
            </w:r>
            <w:r w:rsidR="00B11B8E">
              <w:t>os</w:t>
            </w:r>
            <w:r w:rsidR="00AB7360" w:rsidRPr="00527525">
              <w:t xml:space="preserve"> norādīts uz to, ka Latvija nav korekti pārņēmusi vairākas </w:t>
            </w:r>
            <w:r w:rsidR="005933BD" w:rsidRPr="00527525">
              <w:t>direktīvas 2005/36</w:t>
            </w:r>
            <w:r w:rsidR="00AB7360" w:rsidRPr="00527525">
              <w:t>/ES tiesību normas</w:t>
            </w:r>
            <w:r w:rsidR="00846D96" w:rsidRPr="00527525">
              <w:t xml:space="preserve"> attiecībā uz </w:t>
            </w:r>
            <w:r w:rsidR="002005D3" w:rsidRPr="00527525">
              <w:t xml:space="preserve">minimālajām izglītības prasībām </w:t>
            </w:r>
            <w:r w:rsidR="003A35EF" w:rsidRPr="00527525">
              <w:t>veterinār</w:t>
            </w:r>
            <w:r w:rsidR="002005D3" w:rsidRPr="00527525">
              <w:t>ārsta kvalifikācijas iegūšanai.</w:t>
            </w:r>
            <w:r w:rsidR="00423B1E">
              <w:t xml:space="preserve"> </w:t>
            </w:r>
            <w:r w:rsidR="00423B1E" w:rsidRPr="00423B1E">
              <w:t>Ņemot vērā, ka direktīvas un dalībvalstīm adresēti lēmumi privātpersonām nav saistoši, lai šo Eiropas Savienības tiesību aktu normas padarītu saistošas privātpersonām, tie jāpārņem Latvijas tiesību aktos.</w:t>
            </w:r>
            <w:bookmarkStart w:id="0" w:name="_GoBack"/>
            <w:bookmarkEnd w:id="0"/>
          </w:p>
          <w:p w14:paraId="5915C42F" w14:textId="4EDF3D79" w:rsidR="0057142B" w:rsidRPr="00527525" w:rsidRDefault="00846D96" w:rsidP="00EF33F2">
            <w:pPr>
              <w:shd w:val="clear" w:color="auto" w:fill="FFFFFF"/>
              <w:jc w:val="both"/>
            </w:pPr>
            <w:r w:rsidRPr="00527525">
              <w:t xml:space="preserve">     Noteikumu projekta mērķis ir novērst neatbilstību starp direktīv</w:t>
            </w:r>
            <w:r w:rsidR="00F931BA">
              <w:t>ā</w:t>
            </w:r>
            <w:r w:rsidRPr="00527525">
              <w:t xml:space="preserve"> 2005/36/EK</w:t>
            </w:r>
            <w:r w:rsidR="00F931BA">
              <w:t xml:space="preserve"> noteiktajām prasībām</w:t>
            </w:r>
            <w:r w:rsidR="00206F43" w:rsidRPr="00527525">
              <w:t xml:space="preserve"> un</w:t>
            </w:r>
            <w:r w:rsidR="00F931BA">
              <w:t xml:space="preserve"> Latvijas regulējumu, kas noteikts </w:t>
            </w:r>
            <w:r w:rsidR="00206F43" w:rsidRPr="00527525">
              <w:t xml:space="preserve"> noteikum</w:t>
            </w:r>
            <w:r w:rsidR="00F931BA">
              <w:t>os</w:t>
            </w:r>
            <w:r w:rsidR="00206F43" w:rsidRPr="00527525">
              <w:t xml:space="preserve"> Nr. </w:t>
            </w:r>
            <w:r w:rsidR="003A35EF" w:rsidRPr="00527525">
              <w:t>489</w:t>
            </w:r>
            <w:r w:rsidRPr="00527525">
              <w:t>.</w:t>
            </w:r>
            <w:r w:rsidR="00947EFB" w:rsidRPr="00527525">
              <w:t xml:space="preserve"> </w:t>
            </w:r>
          </w:p>
          <w:p w14:paraId="5915C430" w14:textId="46788D1A" w:rsidR="00183CF8" w:rsidRPr="00423B1E" w:rsidRDefault="00423B1E" w:rsidP="00423B1E">
            <w:pPr>
              <w:widowControl w:val="0"/>
              <w:tabs>
                <w:tab w:val="left" w:pos="851"/>
                <w:tab w:val="left" w:pos="993"/>
              </w:tabs>
              <w:jc w:val="both"/>
              <w:rPr>
                <w:iCs/>
              </w:rPr>
            </w:pPr>
            <w:r>
              <w:t xml:space="preserve">     </w:t>
            </w:r>
            <w:r w:rsidR="00183CF8" w:rsidRPr="00527525">
              <w:t xml:space="preserve">Direktīvas 2005/36/EK 38. panta 3. punktā </w:t>
            </w:r>
            <w:r w:rsidR="00FE21D6" w:rsidRPr="00527525">
              <w:t xml:space="preserve">noteiktas prasības attiecībā uz veterinārārstu izglītības programmu saturu, bet </w:t>
            </w:r>
            <w:r w:rsidR="00A6225E">
              <w:t xml:space="preserve">V pielikuma </w:t>
            </w:r>
            <w:r w:rsidR="00FE21D6" w:rsidRPr="00527525">
              <w:t>5.4.1. </w:t>
            </w:r>
            <w:r w:rsidR="00A6225E">
              <w:t>punktā</w:t>
            </w:r>
            <w:r w:rsidR="00FE21D6" w:rsidRPr="00527525">
              <w:t xml:space="preserve"> uzskaitīti studiju kursi, kuriem ir jābūt veterinārārsta kvalifikācijas ieguves studiju programmā.</w:t>
            </w:r>
            <w:r w:rsidR="00ED42ED" w:rsidRPr="00527525">
              <w:t xml:space="preserve"> Reglamentēto profesiju likuma 27. panta ceturtā daļa vispārīgā, aprakstošā formā</w:t>
            </w:r>
            <w:r w:rsidR="00D2245F">
              <w:t>, par ko liecina arī reglamentēto profesiju likuma 27. panta nosaukums,</w:t>
            </w:r>
            <w:r w:rsidR="00ED42ED" w:rsidRPr="00527525">
              <w:t xml:space="preserve"> nosaka </w:t>
            </w:r>
            <w:r w:rsidR="00527525">
              <w:t xml:space="preserve">satura </w:t>
            </w:r>
            <w:r w:rsidR="00ED42ED" w:rsidRPr="00527525">
              <w:t>prasības veterinārmedicīnas studiju programmām.</w:t>
            </w:r>
            <w:r w:rsidR="00BA1DDF">
              <w:t xml:space="preserve"> Reglamentēto profesiju likuma 26. panta pirmā daļa nosaka, ka minimālās prasības profesionālās kvalifikācijas iegūšanai veterinārārsta profesijā nosaka Ministru kabinets.</w:t>
            </w:r>
            <w:r w:rsidR="004C7C94">
              <w:t xml:space="preserve"> </w:t>
            </w:r>
            <w:r w:rsidR="00B210E4">
              <w:t>Saskaņā ar Satversmes Tiesas 2017. gada 29. jūnija spriedumu lietā Nr. 2016-23-03 Ministru kabineta noteikumi var tikt izdoti tikai tad, ja tie ir nepieciešami, lai īstenotu likumus dzīvē. Tas tiek panākts, noteikumos konkretizējot (detaliz</w:t>
            </w:r>
            <w:r>
              <w:t>ējot)</w:t>
            </w:r>
            <w:r w:rsidR="00B210E4">
              <w:t xml:space="preserve"> likuma normas. </w:t>
            </w:r>
            <w:r w:rsidR="00E2088E">
              <w:t xml:space="preserve">Saskaņā ar Ministru kabineta iekārtas likuma 31. panta pirmās daļas 3. punktu Ministru kabineta noteikumus Ministru kabinets pieņem arī tādos gadījumos, ja tas nepieciešams Eiropas Savienības tiesību aktu piemērošanai un ja attiecīgais jautājums ar likumu nav noregulēts. </w:t>
            </w:r>
            <w:r w:rsidR="00CE7184">
              <w:t xml:space="preserve">Direktīvas 2005/36/EK 38. panta 3. punktā noteiktās prasības veterinārārsta izglītības programmas apguves rezultātiem </w:t>
            </w:r>
            <w:r w:rsidR="00552AE6">
              <w:t>līdzvērtīgā detalizācijas un konkrētības pakāpē</w:t>
            </w:r>
            <w:r w:rsidR="00B210E4">
              <w:t xml:space="preserve"> </w:t>
            </w:r>
            <w:r w:rsidR="00A74E49" w:rsidRPr="00AC56CC">
              <w:t>nav noteiktas ne reglame</w:t>
            </w:r>
            <w:r w:rsidR="00552AE6" w:rsidRPr="00AC56CC">
              <w:t>ntēto profesiju likuma 27. panta ceturtajā daļā, ne noteikumos Nr.489.</w:t>
            </w:r>
            <w:r w:rsidR="00A74E49" w:rsidRPr="00AC56CC">
              <w:t xml:space="preserve"> Piemēram, Latvijas tiesību aktos nav </w:t>
            </w:r>
            <w:r w:rsidR="00AC56CC">
              <w:t>konkrēti noteikts, ka veterinārārsta kvalifikācijas ieguves laikā ir jābūt apgūtai d</w:t>
            </w:r>
            <w:r w:rsidR="00AC56CC" w:rsidRPr="00AC56CC">
              <w:t>irektīva</w:t>
            </w:r>
            <w:r w:rsidR="00AC56CC">
              <w:t xml:space="preserve">s 2005/36/EK 38. panta 3. punkta c) apakšpunktā noteiktās </w:t>
            </w:r>
            <w:r w:rsidR="00AC56CC" w:rsidRPr="00423B1E">
              <w:rPr>
                <w:iCs/>
              </w:rPr>
              <w:t>klīniskās, epidemioloģiskās un analītiskās prasmes un kompetences, kas nepieciešamas dzīvnieku slimību profilaksei, diagnostikai un ārstēšanai (tostarp anestēzija, aseptiska ķirurģija un nesāpīga nāve) gan individuālam dzīvniekam, gan dzīvnieku grupai</w:t>
            </w:r>
            <w:r w:rsidR="00AC56CC" w:rsidRPr="00423B1E">
              <w:rPr>
                <w:iCs/>
              </w:rPr>
              <w:t xml:space="preserve">. </w:t>
            </w:r>
            <w:r w:rsidR="00662374" w:rsidRPr="00AC56CC">
              <w:t>Līdz ar to uzskatīt, ka visas</w:t>
            </w:r>
            <w:r w:rsidR="00662374">
              <w:t xml:space="preserve"> prasības veterinārārsta </w:t>
            </w:r>
            <w:r w:rsidR="00E9612F">
              <w:t>kvalifikācijas iegūšanai</w:t>
            </w:r>
            <w:r w:rsidR="00662374">
              <w:t xml:space="preserve"> ir noteiktas reglamentēto profesiju likuma 27. panta ceturtajā daļā, būtu maldinoši, jo likumdevējs ir paredz</w:t>
            </w:r>
            <w:r w:rsidR="004029D7">
              <w:t>ējis</w:t>
            </w:r>
            <w:r w:rsidR="00E9612F">
              <w:t xml:space="preserve"> uzdot Ministru kabinetam uzdevumu</w:t>
            </w:r>
            <w:r w:rsidR="00662374">
              <w:t xml:space="preserve"> </w:t>
            </w:r>
            <w:r w:rsidR="00E9612F">
              <w:t xml:space="preserve">izdot </w:t>
            </w:r>
            <w:r w:rsidR="00AD1087">
              <w:t>atsevišķu</w:t>
            </w:r>
            <w:r w:rsidR="00662374">
              <w:t xml:space="preserve"> normatīvo aktu</w:t>
            </w:r>
            <w:r w:rsidR="00E9612F">
              <w:t>.</w:t>
            </w:r>
            <w:r w:rsidR="00662374">
              <w:t xml:space="preserve"> </w:t>
            </w:r>
            <w:r w:rsidR="00F0527D">
              <w:t xml:space="preserve">Tāpat ir nepamatoti uzskatīt, ka noteikumu Nr. 489 </w:t>
            </w:r>
            <w:r w:rsidR="00F0527D">
              <w:lastRenderedPageBreak/>
              <w:t>2. punktā noteiktie studiju programmā iekļaujamie studiju kursi ir uzskatāmi par reglamentēto profesiju likuma 26. panta pirmajā daļā dotā deleģējuma</w:t>
            </w:r>
            <w:r w:rsidR="000F06AC">
              <w:t xml:space="preserve"> pilnīgu</w:t>
            </w:r>
            <w:r w:rsidR="00F0527D">
              <w:t xml:space="preserve"> izpildi, jo tikai studiju kursu nosaukumi nenorāda uz to apguves rezultātā sasniedzamajiem rezultātiem, proti, zināšanām, kurām ir jābūt iegūtām.</w:t>
            </w:r>
            <w:r w:rsidR="00662374">
              <w:t xml:space="preserve"> </w:t>
            </w:r>
            <w:r w:rsidR="00AD1087">
              <w:t>Jāņem vērā, ka arī direktīvā 2005/36/EK veterinārārsta profesionālajai kvalifikācijai nepieciešamo zināšanu un izglītības programmās iekļauto mācību priekšmetu uzskaitījums</w:t>
            </w:r>
            <w:r w:rsidR="004029D7">
              <w:t xml:space="preserve"> ir atsevišķi nodalītas</w:t>
            </w:r>
            <w:r w:rsidR="00AD1087">
              <w:t xml:space="preserve"> tiesību normas</w:t>
            </w:r>
            <w:r w:rsidR="004029D7">
              <w:t xml:space="preserve"> ar atšķirīgu saturu</w:t>
            </w:r>
            <w:r w:rsidR="00AD1087">
              <w:t>.</w:t>
            </w:r>
            <w:r w:rsidR="00662374">
              <w:t xml:space="preserve"> </w:t>
            </w:r>
            <w:r w:rsidR="00ED42ED" w:rsidRPr="00EB2732">
              <w:t>Noteikumu projekts paredz noteikumos</w:t>
            </w:r>
            <w:r w:rsidR="00FE21D6" w:rsidRPr="00EB2732">
              <w:t xml:space="preserve"> Nr.489 </w:t>
            </w:r>
            <w:r w:rsidR="00ED42ED" w:rsidRPr="00EB2732">
              <w:t>iekļ</w:t>
            </w:r>
            <w:r w:rsidR="00F907E3" w:rsidRPr="00EB2732">
              <w:t>aut satura</w:t>
            </w:r>
            <w:r w:rsidR="00ED42ED" w:rsidRPr="00EB2732">
              <w:t xml:space="preserve"> prasības </w:t>
            </w:r>
            <w:r w:rsidR="00C618AC" w:rsidRPr="00EB2732">
              <w:t xml:space="preserve">direktīvai 2005/36/EK atbilstošā detalizācijas pakāpē. </w:t>
            </w:r>
            <w:r w:rsidR="00DC3ED9" w:rsidRPr="00EB2732">
              <w:t xml:space="preserve">Ņemot vērā, ka </w:t>
            </w:r>
            <w:r w:rsidR="00DC3ED9" w:rsidRPr="00EB2732">
              <w:rPr>
                <w:bCs/>
                <w:iCs/>
              </w:rPr>
              <w:t>normatīvā akta projektā neietver augstāka spēka normatīvā akta tiesību normā ietverto regulējumu</w:t>
            </w:r>
            <w:r w:rsidR="001B5C1B" w:rsidRPr="00EB2732">
              <w:rPr>
                <w:bCs/>
                <w:iCs/>
              </w:rPr>
              <w:t xml:space="preserve">, </w:t>
            </w:r>
            <w:r w:rsidR="00DC3ED9" w:rsidRPr="00EB2732">
              <w:rPr>
                <w:bCs/>
                <w:iCs/>
              </w:rPr>
              <w:t>noteikumu pr</w:t>
            </w:r>
            <w:r w:rsidR="00CF3700">
              <w:rPr>
                <w:bCs/>
                <w:iCs/>
              </w:rPr>
              <w:t>ojektā noteiktais ir uzskatām</w:t>
            </w:r>
            <w:r w:rsidR="00AD1087" w:rsidRPr="00EB2732">
              <w:rPr>
                <w:bCs/>
                <w:iCs/>
              </w:rPr>
              <w:t>s par</w:t>
            </w:r>
            <w:r w:rsidR="00191967" w:rsidRPr="00EB2732">
              <w:rPr>
                <w:bCs/>
                <w:iCs/>
              </w:rPr>
              <w:t xml:space="preserve"> reglame</w:t>
            </w:r>
            <w:r w:rsidR="00AD1087" w:rsidRPr="00EB2732">
              <w:rPr>
                <w:bCs/>
                <w:iCs/>
              </w:rPr>
              <w:t>ntēto profesiju likumā 27. panta ceturtajā daļā noteiktā</w:t>
            </w:r>
            <w:r w:rsidR="00191967" w:rsidRPr="00EB2732">
              <w:rPr>
                <w:bCs/>
                <w:iCs/>
              </w:rPr>
              <w:t xml:space="preserve"> </w:t>
            </w:r>
            <w:r w:rsidR="00CF3700">
              <w:rPr>
                <w:bCs/>
                <w:iCs/>
              </w:rPr>
              <w:t>vispārīgā apraksta detalizētāku un precizējošu izklāstu</w:t>
            </w:r>
            <w:r w:rsidR="00AD1087" w:rsidRPr="00EB2732">
              <w:rPr>
                <w:bCs/>
                <w:iCs/>
              </w:rPr>
              <w:t>, kas atvieglos tiesību normu piemērošanu izglītības iestādēm, kuras īsteno veterinārmedicīnas izglītības programmas</w:t>
            </w:r>
            <w:r w:rsidR="00DC3ED9" w:rsidRPr="00EB2732">
              <w:rPr>
                <w:bCs/>
                <w:iCs/>
              </w:rPr>
              <w:t>.</w:t>
            </w:r>
            <w:r w:rsidR="00EF2917" w:rsidRPr="00EB2732">
              <w:rPr>
                <w:bCs/>
                <w:iCs/>
              </w:rPr>
              <w:t xml:space="preserve"> </w:t>
            </w:r>
            <w:r w:rsidR="00BD6D71">
              <w:rPr>
                <w:bCs/>
                <w:iCs/>
              </w:rPr>
              <w:t>Ar likuma 27.panta ceturtajā daļā noteikti ir pilnīgi nepietiekami direktīvas 2005/36/EK prasību pārņemšanai, kā to ir norādījusi Eiropas Komisija savos atzinumos.</w:t>
            </w:r>
          </w:p>
          <w:p w14:paraId="738615D3" w14:textId="0184241D" w:rsidR="001B5C1B" w:rsidRDefault="001B5C1B" w:rsidP="00EF33F2">
            <w:pPr>
              <w:shd w:val="clear" w:color="auto" w:fill="FFFFFF"/>
              <w:jc w:val="both"/>
            </w:pPr>
            <w:r w:rsidRPr="00EB2732">
              <w:rPr>
                <w:bCs/>
                <w:iCs/>
              </w:rPr>
              <w:t xml:space="preserve">      </w:t>
            </w:r>
          </w:p>
          <w:p w14:paraId="46B3E1DB" w14:textId="01364ED6" w:rsidR="001E024E" w:rsidRDefault="001E024E" w:rsidP="00816732">
            <w:pPr>
              <w:jc w:val="both"/>
            </w:pPr>
            <w:r>
              <w:t xml:space="preserve">     </w:t>
            </w:r>
            <w:r w:rsidR="009C3424">
              <w:t xml:space="preserve">      </w:t>
            </w:r>
            <w:r w:rsidR="00091F62">
              <w:t xml:space="preserve">Direktīvas 2005/36/EK </w:t>
            </w:r>
            <w:r w:rsidR="00091F62" w:rsidRPr="00091F62">
              <w:t>38. panta 3. punktā noteikt</w:t>
            </w:r>
            <w:r w:rsidR="00091F62">
              <w:t>ā</w:t>
            </w:r>
            <w:r w:rsidR="00091F62" w:rsidRPr="00091F62">
              <w:t>s prasības attiecībā uz veterinārārstu izglītības programmu saturu</w:t>
            </w:r>
            <w:r w:rsidR="00091F62">
              <w:t xml:space="preserve"> ir pārņemtas sekojoši:</w:t>
            </w:r>
          </w:p>
          <w:p w14:paraId="1B7B1B4C" w14:textId="77777777" w:rsidR="00091F62" w:rsidRDefault="00091F62" w:rsidP="00816732">
            <w:pPr>
              <w:jc w:val="both"/>
            </w:pPr>
          </w:p>
          <w:tbl>
            <w:tblPr>
              <w:tblStyle w:val="TableGrid"/>
              <w:tblW w:w="0" w:type="auto"/>
              <w:tblLook w:val="04A0" w:firstRow="1" w:lastRow="0" w:firstColumn="1" w:lastColumn="0" w:noHBand="0" w:noVBand="1"/>
            </w:tblPr>
            <w:tblGrid>
              <w:gridCol w:w="2875"/>
              <w:gridCol w:w="2875"/>
            </w:tblGrid>
            <w:tr w:rsidR="00091F62" w:rsidRPr="00091F62" w14:paraId="3824B2F2" w14:textId="77777777" w:rsidTr="00091F62">
              <w:tc>
                <w:tcPr>
                  <w:tcW w:w="2875" w:type="dxa"/>
                </w:tcPr>
                <w:p w14:paraId="4A05A8FF" w14:textId="77777777" w:rsidR="00091F62" w:rsidRPr="00091F62" w:rsidRDefault="00091F62" w:rsidP="00816732">
                  <w:pPr>
                    <w:jc w:val="both"/>
                  </w:pPr>
                  <w:r w:rsidRPr="00091F62">
                    <w:t>Direktīvas 38. panta 3. punktā noteiktās prasības</w:t>
                  </w:r>
                </w:p>
                <w:p w14:paraId="1423355B" w14:textId="540B2134" w:rsidR="00091F62" w:rsidRPr="00091F62" w:rsidRDefault="00091F62" w:rsidP="00816732">
                  <w:pPr>
                    <w:jc w:val="both"/>
                  </w:pPr>
                </w:p>
              </w:tc>
              <w:tc>
                <w:tcPr>
                  <w:tcW w:w="2875" w:type="dxa"/>
                </w:tcPr>
                <w:p w14:paraId="25C2AAF1" w14:textId="6DC2B608" w:rsidR="00091F62" w:rsidRPr="00091F62" w:rsidRDefault="00091F62" w:rsidP="00816732">
                  <w:pPr>
                    <w:jc w:val="both"/>
                  </w:pPr>
                  <w:r w:rsidRPr="00091F62">
                    <w:t>Reglamentēto profesiju likumā</w:t>
                  </w:r>
                  <w:r>
                    <w:t>, noteikumos Nr. 489</w:t>
                  </w:r>
                  <w:r w:rsidRPr="00091F62">
                    <w:t xml:space="preserve"> vai noteikumu projektā noteiktais</w:t>
                  </w:r>
                </w:p>
              </w:tc>
            </w:tr>
            <w:tr w:rsidR="00091F62" w:rsidRPr="00091F62" w14:paraId="17CB9D22" w14:textId="77777777" w:rsidTr="00091F62">
              <w:tc>
                <w:tcPr>
                  <w:tcW w:w="2875" w:type="dxa"/>
                </w:tcPr>
                <w:p w14:paraId="2694B281" w14:textId="3123A604" w:rsidR="00091F62" w:rsidRPr="00091F62" w:rsidRDefault="00091F62" w:rsidP="00091F62">
                  <w:pPr>
                    <w:jc w:val="both"/>
                  </w:pPr>
                  <w:r w:rsidRPr="00EB2732">
                    <w:rPr>
                      <w:color w:val="000000"/>
                    </w:rPr>
                    <w:t>a) atbilstīgas zināšanas tajās zinātnēs, kas ir veterinārārsta darbības pamatā, un Savienības tiesību aktos saistībā ar šo darbību;</w:t>
                  </w:r>
                </w:p>
              </w:tc>
              <w:tc>
                <w:tcPr>
                  <w:tcW w:w="2875" w:type="dxa"/>
                </w:tcPr>
                <w:p w14:paraId="4688F988" w14:textId="1A12C1BC" w:rsidR="00091F62" w:rsidRDefault="00A11EAE" w:rsidP="00816732">
                  <w:pPr>
                    <w:jc w:val="both"/>
                    <w:rPr>
                      <w:shd w:val="clear" w:color="auto" w:fill="FFFFFF"/>
                    </w:rPr>
                  </w:pPr>
                  <w:r>
                    <w:rPr>
                      <w:shd w:val="clear" w:color="auto" w:fill="FFFFFF"/>
                    </w:rPr>
                    <w:t>N</w:t>
                  </w:r>
                  <w:r w:rsidR="00091F62">
                    <w:rPr>
                      <w:shd w:val="clear" w:color="auto" w:fill="FFFFFF"/>
                    </w:rPr>
                    <w:t>oteikumu Nr. 489 2.punktā</w:t>
                  </w:r>
                  <w:r>
                    <w:rPr>
                      <w:shd w:val="clear" w:color="auto" w:fill="FFFFFF"/>
                    </w:rPr>
                    <w:t xml:space="preserve"> ir noteikti studiju programmā iekļaujamo studiju priekšmetu nosaukumi, paredzot, ka studiju programmā ir iekļauti zinātņu nozarēm (fizika, ķīmija, zooloģija, u.t.t.) atbilstoši studiju kursi un šo studiju kursu satura apguve nodrošina attiecīgu zināšanu iegūšanu. </w:t>
                  </w:r>
                </w:p>
                <w:p w14:paraId="0D6222AB" w14:textId="7DAD9F8D" w:rsidR="000034CC" w:rsidRDefault="000034CC" w:rsidP="00816732">
                  <w:pPr>
                    <w:jc w:val="both"/>
                    <w:rPr>
                      <w:shd w:val="clear" w:color="auto" w:fill="FFFFFF"/>
                    </w:rPr>
                  </w:pPr>
                  <w:r>
                    <w:rPr>
                      <w:shd w:val="clear" w:color="auto" w:fill="FFFFFF"/>
                    </w:rPr>
                    <w:t>Reglamentēto profesiju likuma</w:t>
                  </w:r>
                </w:p>
                <w:p w14:paraId="2A161D4B" w14:textId="3BEA711A" w:rsidR="00A11EAE" w:rsidRDefault="00A11EAE" w:rsidP="00816732">
                  <w:pPr>
                    <w:jc w:val="both"/>
                    <w:rPr>
                      <w:shd w:val="clear" w:color="auto" w:fill="FFFFFF"/>
                    </w:rPr>
                  </w:pPr>
                  <w:r>
                    <w:rPr>
                      <w:shd w:val="clear" w:color="auto" w:fill="FFFFFF"/>
                    </w:rPr>
                    <w:t xml:space="preserve">Tomēr </w:t>
                  </w:r>
                  <w:r w:rsidR="00941C3C">
                    <w:rPr>
                      <w:shd w:val="clear" w:color="auto" w:fill="FFFFFF"/>
                    </w:rPr>
                    <w:t xml:space="preserve">ne noteikumos Nr.489, ne reglamentēto profesiju likumā nav noteikts, ka studiju programmā veterinārārsta kvalifikācijas iegūšanai ir </w:t>
                  </w:r>
                  <w:r w:rsidR="00941C3C">
                    <w:rPr>
                      <w:shd w:val="clear" w:color="auto" w:fill="FFFFFF"/>
                    </w:rPr>
                    <w:lastRenderedPageBreak/>
                    <w:t>jābūt iekļautiem tādiem studiju kursiem, kuros ir aplūkots Eiropas Savienības tiesību aktos noteiktais normatīvais regulējums veterinārmedicīnas jomā, piemēram, apgūstot pamatojumu izvirzīto prasību būtībai un apjomam, kā arī tā piemērošanas prasībām, kas noteiktas Latvijas normatīvajos aktos, pieredzei dažādās Eiropas Savienības dalībvalstīs</w:t>
                  </w:r>
                  <w:r w:rsidR="000034CC">
                    <w:rPr>
                      <w:shd w:val="clear" w:color="auto" w:fill="FFFFFF"/>
                    </w:rPr>
                    <w:t xml:space="preserve">, ņemot vērā, ka veterinārārsta profesija ir viena no septiņām </w:t>
                  </w:r>
                  <w:proofErr w:type="spellStart"/>
                  <w:r w:rsidR="000034CC">
                    <w:rPr>
                      <w:shd w:val="clear" w:color="auto" w:fill="FFFFFF"/>
                    </w:rPr>
                    <w:t>sektoriālajām</w:t>
                  </w:r>
                  <w:proofErr w:type="spellEnd"/>
                  <w:r w:rsidR="000034CC">
                    <w:rPr>
                      <w:shd w:val="clear" w:color="auto" w:fill="FFFFFF"/>
                    </w:rPr>
                    <w:t xml:space="preserve"> profesijām, kurās tiek piemērota automātiskā profesionālās kvalifikācijas atzīšana</w:t>
                  </w:r>
                  <w:r w:rsidR="003F699B">
                    <w:rPr>
                      <w:shd w:val="clear" w:color="auto" w:fill="FFFFFF"/>
                    </w:rPr>
                    <w:t>.</w:t>
                  </w:r>
                  <w:r w:rsidR="000034CC">
                    <w:rPr>
                      <w:shd w:val="clear" w:color="auto" w:fill="FFFFFF"/>
                    </w:rPr>
                    <w:t xml:space="preserve"> Lai Latvijā iegūtā veterinārārsta kvalifikācijas dotu iespēju veikt profesionālo darbību Latvijā un jebkurā citā Eiropas Savienības dalībvalstī,</w:t>
                  </w:r>
                  <w:r w:rsidR="00941C3C">
                    <w:rPr>
                      <w:shd w:val="clear" w:color="auto" w:fill="FFFFFF"/>
                    </w:rPr>
                    <w:t xml:space="preserve"> noteikumu projekts paredz papildināt noteikumus Nr. 489 ar šādu apakšpunktu:</w:t>
                  </w:r>
                </w:p>
                <w:p w14:paraId="2D6E8590" w14:textId="0A2F7053" w:rsidR="00941C3C" w:rsidRPr="002A63E1" w:rsidRDefault="00941C3C" w:rsidP="00941C3C">
                  <w:pPr>
                    <w:autoSpaceDE w:val="0"/>
                    <w:autoSpaceDN w:val="0"/>
                    <w:adjustRightInd w:val="0"/>
                  </w:pPr>
                  <w:r>
                    <w:t>“</w:t>
                  </w:r>
                  <w:r w:rsidRPr="002A63E1">
                    <w:t>1.</w:t>
                  </w:r>
                  <w:r w:rsidRPr="002A63E1">
                    <w:rPr>
                      <w:vertAlign w:val="superscript"/>
                    </w:rPr>
                    <w:t xml:space="preserve">1 </w:t>
                  </w:r>
                  <w:r w:rsidRPr="002A63E1">
                    <w:t>1. atbilstošas zināšanas par  Eiropas Savienības  normatīvajos aktos noteiktajiem ar veterinārārsta darbību saistītajiem jautājumiem;</w:t>
                  </w:r>
                  <w:r>
                    <w:t>”</w:t>
                  </w:r>
                </w:p>
                <w:p w14:paraId="3190B710" w14:textId="2DFD9068" w:rsidR="00941C3C" w:rsidRPr="00091F62" w:rsidRDefault="00941C3C" w:rsidP="00816732">
                  <w:pPr>
                    <w:jc w:val="both"/>
                  </w:pPr>
                </w:p>
              </w:tc>
            </w:tr>
            <w:tr w:rsidR="00091F62" w:rsidRPr="00091F62" w14:paraId="38D8244D" w14:textId="77777777" w:rsidTr="00091F62">
              <w:tc>
                <w:tcPr>
                  <w:tcW w:w="2875" w:type="dxa"/>
                </w:tcPr>
                <w:p w14:paraId="50960148" w14:textId="07113109" w:rsidR="00091F62" w:rsidRPr="00EB2732" w:rsidRDefault="00091F62" w:rsidP="00091F62">
                  <w:pPr>
                    <w:jc w:val="both"/>
                    <w:rPr>
                      <w:color w:val="000000"/>
                    </w:rPr>
                  </w:pPr>
                  <w:r w:rsidRPr="00EB2732">
                    <w:rPr>
                      <w:color w:val="000000"/>
                    </w:rPr>
                    <w:lastRenderedPageBreak/>
                    <w:t>b) atbilstīgas zināšanas par dzīvnieku ķermeni, funkcijām, uzvedību un fizioloģiskajām vajadzībām, kā arī prasmes un kompetences, kas nepieciešamas to kopšanai, barošanai, labklājībai, reproduktīvo funkciju nodrošināšanai un higiēnai vispār;</w:t>
                  </w:r>
                </w:p>
              </w:tc>
              <w:tc>
                <w:tcPr>
                  <w:tcW w:w="2875" w:type="dxa"/>
                </w:tcPr>
                <w:p w14:paraId="59BDFBF5" w14:textId="3FA1B432" w:rsidR="00D06955" w:rsidRPr="002A63E1" w:rsidRDefault="00D06955" w:rsidP="00D06955">
                  <w:pPr>
                    <w:autoSpaceDE w:val="0"/>
                    <w:autoSpaceDN w:val="0"/>
                    <w:adjustRightInd w:val="0"/>
                    <w:ind w:firstLine="720"/>
                  </w:pPr>
                  <w:r>
                    <w:t>Reglamentēto profesiju likuma 27.panta ceturtās daļās frāze “</w:t>
                  </w:r>
                  <w:r w:rsidRPr="00F87C70">
                    <w:t>zināšanas par dzīvnieku anatomiju un fizioloģiju,</w:t>
                  </w:r>
                  <w:r>
                    <w:t>” ir detalizētāk izteikta noteikumu projektā: “</w:t>
                  </w:r>
                  <w:r w:rsidRPr="002A63E1">
                    <w:t>1.</w:t>
                  </w:r>
                  <w:r w:rsidRPr="002A63E1">
                    <w:rPr>
                      <w:vertAlign w:val="superscript"/>
                    </w:rPr>
                    <w:t xml:space="preserve">1 </w:t>
                  </w:r>
                  <w:r w:rsidRPr="002A63E1">
                    <w:t>2. atbilstošas zināšanas par dzīvnieku</w:t>
                  </w:r>
                  <w:r w:rsidRPr="002A63E1">
                    <w:rPr>
                      <w:color w:val="FF0000"/>
                    </w:rPr>
                    <w:t xml:space="preserve"> </w:t>
                  </w:r>
                  <w:r w:rsidRPr="002A63E1">
                    <w:t xml:space="preserve">ķermeni, funkcijām, uzvedību un fizioloģiskajām </w:t>
                  </w:r>
                  <w:r w:rsidRPr="002A63E1">
                    <w:lastRenderedPageBreak/>
                    <w:t>vajadzībām, kā arī prasmes un kompetences, kas ir nepieciešamas to kopšanai, barošanai, labturībai, reproduktīvo funkciju nodrošināšanai</w:t>
                  </w:r>
                  <w:r w:rsidRPr="002A63E1" w:rsidDel="007C0086">
                    <w:t xml:space="preserve"> </w:t>
                  </w:r>
                  <w:r w:rsidRPr="002A63E1">
                    <w:t>un higiēnai;</w:t>
                  </w:r>
                  <w:r>
                    <w:t>”</w:t>
                  </w:r>
                </w:p>
                <w:p w14:paraId="25BC0352" w14:textId="77777777" w:rsidR="00091F62" w:rsidRPr="00091F62" w:rsidRDefault="00091F62" w:rsidP="00816732">
                  <w:pPr>
                    <w:jc w:val="both"/>
                  </w:pPr>
                </w:p>
              </w:tc>
            </w:tr>
            <w:tr w:rsidR="00D06955" w:rsidRPr="00091F62" w14:paraId="4B44DFEC" w14:textId="77777777" w:rsidTr="00EB2732">
              <w:trPr>
                <w:trHeight w:val="7739"/>
              </w:trPr>
              <w:tc>
                <w:tcPr>
                  <w:tcW w:w="2875" w:type="dxa"/>
                </w:tcPr>
                <w:p w14:paraId="24F4BC76" w14:textId="77777777" w:rsidR="00D06955" w:rsidRDefault="00D06955" w:rsidP="00091F62">
                  <w:pPr>
                    <w:jc w:val="both"/>
                    <w:rPr>
                      <w:color w:val="000000"/>
                    </w:rPr>
                  </w:pPr>
                  <w:r w:rsidRPr="00EB2732">
                    <w:rPr>
                      <w:color w:val="000000"/>
                    </w:rPr>
                    <w:lastRenderedPageBreak/>
                    <w:t>c) klīniskās, epidemioloģiskās un analītiskās prasmes un kompetences, kas nepieciešamas dzīvnieku slimību profilaksei, diagnosticēšanai un ārstēšanai, tostarp par individuālu dzīvnieku vai dzīvnieku grupu anestēziju, ķirurģisko aseptiku un nesāpīgu nāvi, tostarp speciālas zināšanas par slimībām, kuras var pārnest uz cilvēkiem;</w:t>
                  </w:r>
                </w:p>
                <w:p w14:paraId="452A8182" w14:textId="77777777" w:rsidR="00D06955" w:rsidRPr="00EB2732" w:rsidRDefault="00D06955" w:rsidP="00091F62">
                  <w:pPr>
                    <w:jc w:val="both"/>
                    <w:rPr>
                      <w:color w:val="000000"/>
                    </w:rPr>
                  </w:pPr>
                </w:p>
                <w:p w14:paraId="4226E40D" w14:textId="77777777" w:rsidR="00D06955" w:rsidRDefault="00D06955" w:rsidP="00091F62">
                  <w:pPr>
                    <w:jc w:val="both"/>
                    <w:rPr>
                      <w:color w:val="000000"/>
                    </w:rPr>
                  </w:pPr>
                  <w:r w:rsidRPr="00EB2732">
                    <w:rPr>
                      <w:color w:val="000000"/>
                    </w:rPr>
                    <w:t>d) atbilstīgas zināšanas, prasmes un kompetences profilaktiskajā medicīnā, tostarp kompetences saistībā ar izmeklēšanu un sertificēšanu;</w:t>
                  </w:r>
                </w:p>
                <w:p w14:paraId="69078D74" w14:textId="77777777" w:rsidR="008D729A" w:rsidRDefault="008D729A" w:rsidP="00091F62">
                  <w:pPr>
                    <w:jc w:val="both"/>
                    <w:rPr>
                      <w:color w:val="000000"/>
                    </w:rPr>
                  </w:pPr>
                </w:p>
                <w:p w14:paraId="25ACF3FC" w14:textId="77777777" w:rsidR="008D729A" w:rsidRDefault="008D729A" w:rsidP="00091F62">
                  <w:pPr>
                    <w:jc w:val="both"/>
                    <w:rPr>
                      <w:color w:val="000000"/>
                    </w:rPr>
                  </w:pPr>
                </w:p>
                <w:p w14:paraId="7718CDAE" w14:textId="77777777" w:rsidR="008D729A" w:rsidRDefault="008D729A" w:rsidP="00091F62">
                  <w:pPr>
                    <w:jc w:val="both"/>
                    <w:rPr>
                      <w:color w:val="000000"/>
                    </w:rPr>
                  </w:pPr>
                </w:p>
                <w:p w14:paraId="0D9782D3" w14:textId="77777777" w:rsidR="008D729A" w:rsidRDefault="008D729A" w:rsidP="00091F62">
                  <w:pPr>
                    <w:jc w:val="both"/>
                    <w:rPr>
                      <w:color w:val="000000"/>
                    </w:rPr>
                  </w:pPr>
                </w:p>
                <w:p w14:paraId="0882A0D0" w14:textId="77777777" w:rsidR="008D729A" w:rsidRDefault="008D729A" w:rsidP="00091F62">
                  <w:pPr>
                    <w:jc w:val="both"/>
                    <w:rPr>
                      <w:color w:val="000000"/>
                    </w:rPr>
                  </w:pPr>
                </w:p>
                <w:p w14:paraId="165FFBF8" w14:textId="77777777" w:rsidR="008D729A" w:rsidRDefault="008D729A" w:rsidP="00091F62">
                  <w:pPr>
                    <w:jc w:val="both"/>
                    <w:rPr>
                      <w:color w:val="000000"/>
                    </w:rPr>
                  </w:pPr>
                </w:p>
                <w:p w14:paraId="7B52199B" w14:textId="77777777" w:rsidR="008D729A" w:rsidRDefault="008D729A" w:rsidP="00091F62">
                  <w:pPr>
                    <w:jc w:val="both"/>
                    <w:rPr>
                      <w:color w:val="000000"/>
                    </w:rPr>
                  </w:pPr>
                </w:p>
                <w:p w14:paraId="3587614F" w14:textId="77777777" w:rsidR="008D729A" w:rsidRDefault="008D729A" w:rsidP="00091F62">
                  <w:pPr>
                    <w:jc w:val="both"/>
                    <w:rPr>
                      <w:color w:val="000000"/>
                    </w:rPr>
                  </w:pPr>
                  <w:r w:rsidRPr="008D729A">
                    <w:rPr>
                      <w:color w:val="000000"/>
                    </w:rPr>
                    <w:t>f) zināšanas, prasmes un kompetences, kas nepieciešamas, lai nodrošinātu atbildīgu un saprātīgu veterināro zāļu lietošanu dzīvnieku ārstēšanas nolūkā un lai garantētu pārtikas ķēdes drošumu un vides aizsardzību.</w:t>
                  </w:r>
                </w:p>
                <w:p w14:paraId="4915ED45" w14:textId="5FA0C3E0" w:rsidR="008D729A" w:rsidRPr="00EB2732" w:rsidRDefault="008D729A" w:rsidP="00091F62">
                  <w:pPr>
                    <w:jc w:val="both"/>
                    <w:rPr>
                      <w:color w:val="000000"/>
                    </w:rPr>
                  </w:pPr>
                </w:p>
              </w:tc>
              <w:tc>
                <w:tcPr>
                  <w:tcW w:w="2875" w:type="dxa"/>
                </w:tcPr>
                <w:p w14:paraId="5C7192DE" w14:textId="1E85C18E" w:rsidR="00D06955" w:rsidRDefault="00D06955" w:rsidP="00D06955">
                  <w:pPr>
                    <w:autoSpaceDE w:val="0"/>
                    <w:autoSpaceDN w:val="0"/>
                    <w:adjustRightInd w:val="0"/>
                    <w:ind w:firstLine="720"/>
                  </w:pPr>
                  <w:r w:rsidRPr="00D06955">
                    <w:t>Reglamentēto profesi</w:t>
                  </w:r>
                  <w:r>
                    <w:t>ju likuma 27.panta ceturtās daļa</w:t>
                  </w:r>
                  <w:r w:rsidRPr="00D06955">
                    <w:t>s frāze</w:t>
                  </w:r>
                  <w:r>
                    <w:t xml:space="preserve"> “</w:t>
                  </w:r>
                  <w:r w:rsidRPr="00F87C70">
                    <w:t>slimību cēloņiem, diagnostiku un ārstēšanu,</w:t>
                  </w:r>
                  <w:r>
                    <w:t xml:space="preserve">” izteikta noteikumu projekta šādos apakšpunktos: </w:t>
                  </w:r>
                </w:p>
                <w:p w14:paraId="7FCC6C68" w14:textId="77777777" w:rsidR="008D729A" w:rsidRDefault="00D06955" w:rsidP="00EB2732">
                  <w:pPr>
                    <w:autoSpaceDE w:val="0"/>
                    <w:autoSpaceDN w:val="0"/>
                    <w:adjustRightInd w:val="0"/>
                    <w:ind w:firstLine="720"/>
                    <w:rPr>
                      <w:iCs/>
                    </w:rPr>
                  </w:pPr>
                  <w:r>
                    <w:t>“</w:t>
                  </w:r>
                  <w:r w:rsidRPr="002A63E1">
                    <w:t>1.</w:t>
                  </w:r>
                  <w:r w:rsidRPr="002A63E1">
                    <w:rPr>
                      <w:vertAlign w:val="superscript"/>
                    </w:rPr>
                    <w:t xml:space="preserve">1 </w:t>
                  </w:r>
                  <w:r w:rsidRPr="002A63E1">
                    <w:t xml:space="preserve">3. </w:t>
                  </w:r>
                  <w:r w:rsidRPr="002A63E1">
                    <w:rPr>
                      <w:iCs/>
                    </w:rPr>
                    <w:t xml:space="preserve">klīniskās, epidemioloģiskās un analītiskās prasmes un kompetences, kas nepieciešamas dzīvnieku slimību profilaksei, diagnostikai un ārstēšanai (tostarp anestēzija, aseptiska ķirurģija un nesāpīga nāve) gan individuālam dzīvniekam, gan dzīvnieku grupai, kā arī zināšanas par </w:t>
                  </w:r>
                  <w:proofErr w:type="spellStart"/>
                  <w:r w:rsidRPr="002A63E1">
                    <w:rPr>
                      <w:iCs/>
                    </w:rPr>
                    <w:t>zoonozēm</w:t>
                  </w:r>
                  <w:proofErr w:type="spellEnd"/>
                  <w:r w:rsidRPr="002A63E1">
                    <w:rPr>
                      <w:iCs/>
                    </w:rPr>
                    <w:t>;</w:t>
                  </w:r>
                  <w:r>
                    <w:rPr>
                      <w:iCs/>
                    </w:rPr>
                    <w:t>”</w:t>
                  </w:r>
                  <w:r w:rsidR="008D729A">
                    <w:rPr>
                      <w:iCs/>
                    </w:rPr>
                    <w:t xml:space="preserve"> </w:t>
                  </w:r>
                </w:p>
                <w:p w14:paraId="069CA894" w14:textId="77777777" w:rsidR="008D729A" w:rsidRDefault="008D729A" w:rsidP="00EB2732">
                  <w:pPr>
                    <w:autoSpaceDE w:val="0"/>
                    <w:autoSpaceDN w:val="0"/>
                    <w:adjustRightInd w:val="0"/>
                    <w:ind w:firstLine="720"/>
                    <w:rPr>
                      <w:iCs/>
                    </w:rPr>
                  </w:pPr>
                </w:p>
                <w:p w14:paraId="4ACE0DBC" w14:textId="6159E65D" w:rsidR="00D06955" w:rsidRDefault="00D06955" w:rsidP="00EB2732">
                  <w:pPr>
                    <w:autoSpaceDE w:val="0"/>
                    <w:autoSpaceDN w:val="0"/>
                    <w:adjustRightInd w:val="0"/>
                  </w:pPr>
                  <w:r w:rsidRPr="002A63E1">
                    <w:t>1.</w:t>
                  </w:r>
                  <w:r w:rsidRPr="002A63E1">
                    <w:rPr>
                      <w:vertAlign w:val="superscript"/>
                    </w:rPr>
                    <w:t xml:space="preserve">1 </w:t>
                  </w:r>
                  <w:r w:rsidRPr="002A63E1">
                    <w:t>4. atbilstošas zināšanas, prasmes un kompetences profilaktiskajā medicīnā, tai skaitā kompetences izmeklēšanā un sertificēšanā;</w:t>
                  </w:r>
                </w:p>
                <w:p w14:paraId="5DF1B23F" w14:textId="77777777" w:rsidR="008D729A" w:rsidRDefault="008D729A" w:rsidP="00EB2732">
                  <w:pPr>
                    <w:autoSpaceDE w:val="0"/>
                    <w:autoSpaceDN w:val="0"/>
                    <w:adjustRightInd w:val="0"/>
                    <w:ind w:firstLine="720"/>
                  </w:pPr>
                </w:p>
                <w:p w14:paraId="693C5990" w14:textId="4CC46CAD" w:rsidR="008D729A" w:rsidRPr="00091F62" w:rsidRDefault="008D729A" w:rsidP="00EB2732">
                  <w:pPr>
                    <w:autoSpaceDE w:val="0"/>
                    <w:autoSpaceDN w:val="0"/>
                    <w:adjustRightInd w:val="0"/>
                  </w:pPr>
                  <w:r w:rsidRPr="002A63E1">
                    <w:t>1.</w:t>
                  </w:r>
                  <w:r w:rsidRPr="002A63E1">
                    <w:rPr>
                      <w:vertAlign w:val="superscript"/>
                    </w:rPr>
                    <w:t xml:space="preserve">1 </w:t>
                  </w:r>
                  <w:r w:rsidRPr="002A63E1">
                    <w:t xml:space="preserve">6. </w:t>
                  </w:r>
                  <w:r w:rsidRPr="002A63E1">
                    <w:rPr>
                      <w:iCs/>
                    </w:rPr>
                    <w:t>zināšanas, prasmes un kompetences, kas nepieciešamas, lai nodrošinātu atbildīgu un saprātīgu veterināro zāļu lietošanu dzīvnieku ārstēšanā un garantētu pārtikas ķēdes drošumu un vides aizsardzību.</w:t>
                  </w:r>
                  <w:r>
                    <w:rPr>
                      <w:iCs/>
                    </w:rPr>
                    <w:t>”</w:t>
                  </w:r>
                </w:p>
              </w:tc>
            </w:tr>
            <w:tr w:rsidR="003F699B" w:rsidRPr="00091F62" w14:paraId="0A18DD84" w14:textId="77777777" w:rsidTr="00A41B01">
              <w:trPr>
                <w:trHeight w:val="6909"/>
              </w:trPr>
              <w:tc>
                <w:tcPr>
                  <w:tcW w:w="2875" w:type="dxa"/>
                </w:tcPr>
                <w:p w14:paraId="452016AA" w14:textId="6067BBCE" w:rsidR="003F699B" w:rsidRPr="00EB2732" w:rsidRDefault="003F699B" w:rsidP="00091F62">
                  <w:pPr>
                    <w:jc w:val="both"/>
                    <w:rPr>
                      <w:color w:val="000000"/>
                    </w:rPr>
                  </w:pPr>
                  <w:r w:rsidRPr="00EB2732">
                    <w:rPr>
                      <w:color w:val="000000"/>
                    </w:rPr>
                    <w:lastRenderedPageBreak/>
                    <w:t>e) atbilstīgas zināšanas par higiēnu un tehnoloģijām, kas izmantotas dzīvnieku barības vai cilvēku patēriņam paredzētu dzīvnieku izcelsmes pārtikas produktu ražošanā, izgatavošanā un laišanā apgrozībā, tostarp prasmes un kompetences, kas nepieciešamas, lai izprastu un spētu paskaidrot labu praksi šajā saistībā;</w:t>
                  </w:r>
                </w:p>
              </w:tc>
              <w:tc>
                <w:tcPr>
                  <w:tcW w:w="2875" w:type="dxa"/>
                </w:tcPr>
                <w:p w14:paraId="725EF6F7" w14:textId="6B90E504" w:rsidR="003F699B" w:rsidRPr="002A63E1" w:rsidRDefault="003F699B" w:rsidP="00EE4DA7">
                  <w:pPr>
                    <w:autoSpaceDE w:val="0"/>
                    <w:autoSpaceDN w:val="0"/>
                    <w:adjustRightInd w:val="0"/>
                    <w:ind w:firstLine="720"/>
                  </w:pPr>
                  <w:r w:rsidRPr="00DE3139">
                    <w:t xml:space="preserve">Reglamentēto profesiju likuma 27.panta ceturtās daļas frāze </w:t>
                  </w:r>
                  <w:r>
                    <w:t>“</w:t>
                  </w:r>
                  <w:r w:rsidRPr="00F87C70">
                    <w:t>par higiēnu un tehnoloģiju, kas attiecas uz cilvēku patēriņam paredzētiem dzīvnieku un augu izcelsmes pārtikas produktiem,</w:t>
                  </w:r>
                  <w:r>
                    <w:t>” ir izteikta noteikumu projektā šādā apakšpunktā: “</w:t>
                  </w:r>
                  <w:r w:rsidRPr="002A63E1">
                    <w:t>1.</w:t>
                  </w:r>
                  <w:r w:rsidRPr="002A63E1">
                    <w:rPr>
                      <w:vertAlign w:val="superscript"/>
                    </w:rPr>
                    <w:t xml:space="preserve">1 </w:t>
                  </w:r>
                  <w:r w:rsidRPr="002A63E1">
                    <w:t>5. atbilstošas zināšanas par dzīvnieku barības un dzīvnieku izcelsmes pārtikas produktu higiēnu un tehnoloģijām šo produktu ražošanā, izgatavošanā un apritē, tai skaitā prasmes un kompetences, kas nepieciešamas, lai izprastu un spētu izskaidrot labo praksi šajos jautājumos;</w:t>
                  </w:r>
                  <w:r>
                    <w:t>”</w:t>
                  </w:r>
                </w:p>
                <w:p w14:paraId="7B125A23" w14:textId="59B0E571" w:rsidR="003F699B" w:rsidRPr="00091F62" w:rsidRDefault="003F699B" w:rsidP="00816732">
                  <w:pPr>
                    <w:jc w:val="both"/>
                  </w:pPr>
                </w:p>
              </w:tc>
            </w:tr>
          </w:tbl>
          <w:p w14:paraId="7BDA7762" w14:textId="77777777" w:rsidR="00091F62" w:rsidRPr="00091F62" w:rsidRDefault="00091F62" w:rsidP="00816732">
            <w:pPr>
              <w:jc w:val="both"/>
            </w:pPr>
          </w:p>
          <w:p w14:paraId="5915C431" w14:textId="77777777" w:rsidR="00EE4ECA" w:rsidRPr="00C42BC7" w:rsidRDefault="00C618AC" w:rsidP="00EF33F2">
            <w:pPr>
              <w:shd w:val="clear" w:color="auto" w:fill="FFFFFF"/>
              <w:jc w:val="both"/>
            </w:pPr>
            <w:r w:rsidRPr="00EF5CCE">
              <w:t xml:space="preserve">     </w:t>
            </w:r>
            <w:r w:rsidR="00724006" w:rsidRPr="00C42BC7">
              <w:t>Atsevišķu noteikumu projektā izmantoto terminu lietojuma skaidrojums:</w:t>
            </w:r>
          </w:p>
          <w:p w14:paraId="5915C432" w14:textId="244D0050" w:rsidR="00CE30AF" w:rsidRPr="005B6080" w:rsidRDefault="00C618AC" w:rsidP="001F53A3">
            <w:pPr>
              <w:shd w:val="clear" w:color="auto" w:fill="FFFFFF"/>
              <w:jc w:val="both"/>
              <w:rPr>
                <w:shd w:val="clear" w:color="auto" w:fill="FFFFFF"/>
              </w:rPr>
            </w:pPr>
            <w:r w:rsidRPr="00816732">
              <w:t xml:space="preserve">a) </w:t>
            </w:r>
            <w:r w:rsidR="00724006" w:rsidRPr="00816732">
              <w:t>Direktīvas 2005/36/EK 38. panta 3. punkta b) apakšpunktā ir noteikts, ka veterinārārsta izglītības ieguves laikā cita starpā ir jāapgūst arī prasmes un kompetences, kas nepieciešamas dzīvnieku labklājības nodrošināšanai. Dzīvnieku aizsardzības likuma 1. panta 12. punktā radniecīgs termins “labturība” definēts kā “</w:t>
            </w:r>
            <w:r w:rsidR="00724006" w:rsidRPr="00816732">
              <w:rPr>
                <w:shd w:val="clear" w:color="auto" w:fill="FFFFFF"/>
              </w:rPr>
              <w:t xml:space="preserve">dzīvnieka fizioloģisko un </w:t>
            </w:r>
            <w:proofErr w:type="spellStart"/>
            <w:r w:rsidR="00724006" w:rsidRPr="00816732">
              <w:rPr>
                <w:shd w:val="clear" w:color="auto" w:fill="FFFFFF"/>
              </w:rPr>
              <w:t>etoloģisko</w:t>
            </w:r>
            <w:proofErr w:type="spellEnd"/>
            <w:r w:rsidR="00724006" w:rsidRPr="00816732">
              <w:rPr>
                <w:shd w:val="clear" w:color="auto" w:fill="FFFFFF"/>
              </w:rPr>
              <w:t xml:space="preserve"> vajadzību nodrošināšanas pasākumu kopums”. </w:t>
            </w:r>
            <w:r w:rsidR="005B6080" w:rsidRPr="00816732">
              <w:rPr>
                <w:shd w:val="clear" w:color="auto" w:fill="FFFFFF"/>
              </w:rPr>
              <w:t>N</w:t>
            </w:r>
            <w:r w:rsidR="00724006" w:rsidRPr="005B6080">
              <w:rPr>
                <w:shd w:val="clear" w:color="auto" w:fill="FFFFFF"/>
              </w:rPr>
              <w:t xml:space="preserve">oteikumu projektā </w:t>
            </w:r>
            <w:r w:rsidR="005B6080" w:rsidRPr="00816732">
              <w:rPr>
                <w:shd w:val="clear" w:color="auto" w:fill="FFFFFF"/>
              </w:rPr>
              <w:t xml:space="preserve">tiek lietots </w:t>
            </w:r>
            <w:r w:rsidR="00724006" w:rsidRPr="005B6080">
              <w:rPr>
                <w:shd w:val="clear" w:color="auto" w:fill="FFFFFF"/>
              </w:rPr>
              <w:t>termin</w:t>
            </w:r>
            <w:r w:rsidR="005B6080" w:rsidRPr="00816732">
              <w:rPr>
                <w:shd w:val="clear" w:color="auto" w:fill="FFFFFF"/>
              </w:rPr>
              <w:t>s</w:t>
            </w:r>
            <w:r w:rsidR="00724006" w:rsidRPr="005B6080">
              <w:rPr>
                <w:shd w:val="clear" w:color="auto" w:fill="FFFFFF"/>
              </w:rPr>
              <w:t xml:space="preserve"> “labturība” direktīvas 2005/36/EK saturam</w:t>
            </w:r>
            <w:r w:rsidR="005B6080" w:rsidRPr="00816732">
              <w:rPr>
                <w:shd w:val="clear" w:color="auto" w:fill="FFFFFF"/>
              </w:rPr>
              <w:t xml:space="preserve"> atbilstoši</w:t>
            </w:r>
            <w:r w:rsidR="005B6080" w:rsidRPr="005B6080">
              <w:rPr>
                <w:shd w:val="clear" w:color="auto" w:fill="FFFFFF"/>
              </w:rPr>
              <w:t>;</w:t>
            </w:r>
          </w:p>
          <w:p w14:paraId="5915C433" w14:textId="691BACE4" w:rsidR="001F53A3" w:rsidRPr="009C3424" w:rsidRDefault="00C618AC" w:rsidP="00EB2732">
            <w:pPr>
              <w:shd w:val="clear" w:color="auto" w:fill="FFFFFF"/>
              <w:jc w:val="both"/>
              <w:rPr>
                <w:bCs/>
              </w:rPr>
            </w:pPr>
            <w:r w:rsidRPr="00C42BC7">
              <w:rPr>
                <w:bCs/>
              </w:rPr>
              <w:t xml:space="preserve">b) </w:t>
            </w:r>
            <w:r w:rsidR="001F53A3" w:rsidRPr="00C42BC7">
              <w:rPr>
                <w:bCs/>
              </w:rPr>
              <w:t>Direktīvas 2005/36/</w:t>
            </w:r>
            <w:r w:rsidR="001F53A3" w:rsidRPr="00527525">
              <w:rPr>
                <w:bCs/>
              </w:rPr>
              <w:t xml:space="preserve">EK 38. panta 3. punkta c) apakšpunktā ir noteikts, ka veterinārārsta izglītības ieguves laikā cita starpā ir jāapgūst arī zināšanas par slimībām, kuras var pārnest uz cilvēkiem. Saskaņā ar </w:t>
            </w:r>
            <w:r w:rsidR="001F53A3" w:rsidRPr="003930E7">
              <w:rPr>
                <w:bCs/>
              </w:rPr>
              <w:t xml:space="preserve">Ministru kabineta </w:t>
            </w:r>
            <w:r w:rsidR="001F53A3" w:rsidRPr="00527525">
              <w:t>2012.gada 31.janvāra</w:t>
            </w:r>
            <w:r w:rsidR="001F53A3" w:rsidRPr="003930E7">
              <w:t xml:space="preserve"> </w:t>
            </w:r>
            <w:r w:rsidR="001F53A3" w:rsidRPr="00527525">
              <w:rPr>
                <w:bCs/>
              </w:rPr>
              <w:t>noteikumu</w:t>
            </w:r>
            <w:r w:rsidR="001F53A3" w:rsidRPr="003930E7">
              <w:rPr>
                <w:bCs/>
              </w:rPr>
              <w:t xml:space="preserve"> Nr.90</w:t>
            </w:r>
            <w:r w:rsidR="001F53A3" w:rsidRPr="00527525">
              <w:t xml:space="preserve"> “</w:t>
            </w:r>
            <w:r w:rsidR="001F53A3" w:rsidRPr="003930E7">
              <w:rPr>
                <w:bCs/>
              </w:rPr>
              <w:t>Kārtība, kādā veic uzraudzību un informācijas apmaiņu par infekcijas slimībām, ar kurām slimo gan dzīvnieki, gan cilvēki</w:t>
            </w:r>
            <w:r w:rsidR="001F53A3" w:rsidRPr="00527525">
              <w:rPr>
                <w:bCs/>
              </w:rPr>
              <w:t>” 1. punkt</w:t>
            </w:r>
            <w:r w:rsidR="00A6225E">
              <w:rPr>
                <w:bCs/>
              </w:rPr>
              <w:t>u</w:t>
            </w:r>
            <w:r w:rsidR="001F53A3" w:rsidRPr="00527525">
              <w:rPr>
                <w:bCs/>
              </w:rPr>
              <w:t xml:space="preserve"> infekcijas slimības, ar kurām slimo gan dzīvnieki, gan cilvēki apzīmē ar terminu “</w:t>
            </w:r>
            <w:proofErr w:type="spellStart"/>
            <w:r w:rsidR="001F53A3" w:rsidRPr="00527525">
              <w:rPr>
                <w:bCs/>
              </w:rPr>
              <w:t>zoonozes</w:t>
            </w:r>
            <w:proofErr w:type="spellEnd"/>
            <w:r w:rsidR="001F53A3" w:rsidRPr="00527525">
              <w:rPr>
                <w:bCs/>
              </w:rPr>
              <w:t>”. Līdz ar to noteikumu projekts paredz noteikumu Nr. 489 1.</w:t>
            </w:r>
            <w:r w:rsidR="001F53A3" w:rsidRPr="00527525">
              <w:rPr>
                <w:bCs/>
                <w:vertAlign w:val="superscript"/>
              </w:rPr>
              <w:t>1</w:t>
            </w:r>
            <w:r w:rsidR="001F53A3" w:rsidRPr="00527525">
              <w:rPr>
                <w:bCs/>
              </w:rPr>
              <w:t>3 apakšpunktā zināšanas par slimībām, kuras var pārnest uz cilvēkiem</w:t>
            </w:r>
            <w:r w:rsidR="00A6225E">
              <w:rPr>
                <w:bCs/>
              </w:rPr>
              <w:t>,</w:t>
            </w:r>
            <w:r w:rsidR="001F53A3" w:rsidRPr="00527525">
              <w:rPr>
                <w:bCs/>
              </w:rPr>
              <w:t xml:space="preserve"> izteikt ar terminu “</w:t>
            </w:r>
            <w:proofErr w:type="spellStart"/>
            <w:r w:rsidR="001F53A3" w:rsidRPr="00527525">
              <w:rPr>
                <w:bCs/>
              </w:rPr>
              <w:t>zoonozes</w:t>
            </w:r>
            <w:proofErr w:type="spellEnd"/>
            <w:r w:rsidR="001F53A3" w:rsidRPr="00527525">
              <w:rPr>
                <w:bCs/>
              </w:rPr>
              <w:t>”</w:t>
            </w:r>
            <w:r w:rsidR="008B3B76">
              <w:rPr>
                <w:bCs/>
              </w:rPr>
              <w:t>.</w:t>
            </w:r>
          </w:p>
          <w:p w14:paraId="5915C434" w14:textId="16E536D7" w:rsidR="00EE4ECA" w:rsidRPr="00527525" w:rsidRDefault="00C618AC" w:rsidP="00EF33F2">
            <w:pPr>
              <w:shd w:val="clear" w:color="auto" w:fill="FFFFFF"/>
              <w:jc w:val="both"/>
            </w:pPr>
            <w:r w:rsidRPr="00527525">
              <w:t xml:space="preserve">     Noteikumos Nr. 489 iekļautie mācību priekšmeti “infekcijas slimības” un “ganāmpulka veselība” nav iekļauti </w:t>
            </w:r>
            <w:r w:rsidRPr="00527525">
              <w:lastRenderedPageBreak/>
              <w:t xml:space="preserve">direktīvas 2005/36/EK </w:t>
            </w:r>
            <w:r w:rsidR="00A6225E">
              <w:t xml:space="preserve">V pielikuma </w:t>
            </w:r>
            <w:r w:rsidRPr="00527525">
              <w:t xml:space="preserve">5.4.1. </w:t>
            </w:r>
            <w:r w:rsidR="00A6225E">
              <w:t>punktā</w:t>
            </w:r>
            <w:r w:rsidRPr="00527525">
              <w:t>, tādēļ noteikumu projekts paredz tos svītrot no noteikumiem Nr. </w:t>
            </w:r>
            <w:r w:rsidR="00A350DD" w:rsidRPr="00527525">
              <w:t>489, bet studiju kursa nosaukums “</w:t>
            </w:r>
            <w:r w:rsidR="006A2E5A" w:rsidRPr="00527525">
              <w:t>ekonomikas teorija” precizēts uz “lauku ekonomika”</w:t>
            </w:r>
            <w:r w:rsidR="00733F65">
              <w:t>, bet studiju kursa nosaukums “parazitoloģija un invāzijas slimības” precizēts uz “parazitoloģija”</w:t>
            </w:r>
            <w:r w:rsidR="006A2E5A" w:rsidRPr="00527525">
              <w:t xml:space="preserve"> atbilstoši minētā direktīvas pielikuma </w:t>
            </w:r>
            <w:r w:rsidR="00A6225E">
              <w:t xml:space="preserve">punkta </w:t>
            </w:r>
            <w:r w:rsidR="006A2E5A" w:rsidRPr="00527525">
              <w:t xml:space="preserve">prasībām. </w:t>
            </w:r>
          </w:p>
          <w:p w14:paraId="5915C435" w14:textId="7B295C33" w:rsidR="00F302F3" w:rsidRDefault="00F302F3" w:rsidP="00EF33F2">
            <w:pPr>
              <w:shd w:val="clear" w:color="auto" w:fill="FFFFFF"/>
              <w:jc w:val="both"/>
            </w:pPr>
            <w:r w:rsidRPr="00527525">
              <w:t xml:space="preserve">     Attiecībā uz direktīvas 2005/36/EK </w:t>
            </w:r>
            <w:r w:rsidR="00F31D30">
              <w:t xml:space="preserve">V pielikuma </w:t>
            </w:r>
            <w:r w:rsidRPr="00527525">
              <w:t xml:space="preserve">5.4.1. </w:t>
            </w:r>
            <w:r w:rsidR="00F31D30">
              <w:t>punktā</w:t>
            </w:r>
            <w:r w:rsidR="00F31D30" w:rsidRPr="00527525">
              <w:t xml:space="preserve"> </w:t>
            </w:r>
            <w:r w:rsidRPr="00527525">
              <w:t>iekļautajiem veterinārmedicīnas studiju programmas studiju priekšmetiem ir jāpiemin, ka tie daļēji atšķiras no Eiropas Veterinārmedicīnas izglītības vērtēšanas sistēmas (turpmāk - ESEVIT) noteiktajiem studiju kursiem</w:t>
            </w:r>
            <w:r w:rsidRPr="00527525">
              <w:rPr>
                <w:rStyle w:val="FootnoteReference"/>
              </w:rPr>
              <w:footnoteReference w:id="2"/>
            </w:r>
            <w:r w:rsidRPr="00527525">
              <w:t xml:space="preserve">. Tomēr noteikumu projektā iekļauts direktīvai 2005/36/EK atbilstošais studiju kursu saraksts, kas ir saistošs Latvijai. Latvijas Lauksaimniecības </w:t>
            </w:r>
            <w:r w:rsidR="00E35785">
              <w:t>universitāte</w:t>
            </w:r>
            <w:r w:rsidRPr="00527525">
              <w:t>, kas īsteno veterinārmedicīnas studiju programmas, papildu minimālajām prasībām, kas noteiktas noteikumos Nr.489, studiju programmā var iekļaut arī ESEVIT studiju kursus.</w:t>
            </w:r>
          </w:p>
          <w:p w14:paraId="54FD9CE0" w14:textId="3AA68493" w:rsidR="004E4FAB" w:rsidRPr="00527525" w:rsidRDefault="004E4FAB" w:rsidP="00EF33F2">
            <w:pPr>
              <w:shd w:val="clear" w:color="auto" w:fill="FFFFFF"/>
              <w:jc w:val="both"/>
            </w:pPr>
            <w:r>
              <w:t xml:space="preserve">      </w:t>
            </w:r>
            <w:r w:rsidRPr="004E4FAB">
              <w:t xml:space="preserve">Pēc līdzīga principa direktīvas 2005/36/EK prasības ir pārņemtas attiecībā uz minimālajām prasībām, kas izvirzītas profesionālajai kvalifikācijai, piemēram, zobārsta profesijā. Proti, reglamentēto profesiju likuma 12. panta piektajā daļā ir noteiktas vispārīgās prasības, bet Ministru kabineta 2002. gada 19. februāra noteikumos Nr. 68 “Izglītības programmu minimālās prasības zobārsta, farmaceita, māsas un vecmātes profesionālās kvalifikācijas iegūšanai” (turpmāk – noteikumi Nr.68) </w:t>
            </w:r>
            <w:proofErr w:type="spellStart"/>
            <w:r w:rsidRPr="004E4FAB">
              <w:t>II.sadaļā</w:t>
            </w:r>
            <w:proofErr w:type="spellEnd"/>
            <w:r w:rsidRPr="004E4FAB">
              <w:t xml:space="preserve"> ir noteiktas precīzas prasības zobārsta kvalifikācijas ieguvei. Identiskā pieejā ir noteiktas prasības profesionālajai kvalifikācijai farmaceita profesijā (reglamentēto profesiju likuma 16. panta piektajā daļā ir noteiktas vispārīgas kvalifikācijas prasības, kuras direktīvas 2005/36/EK prasībām atbilstošā detalizācijas pakāpē ir precizētas noteikumu Nr. 68 </w:t>
            </w:r>
            <w:proofErr w:type="spellStart"/>
            <w:r w:rsidRPr="004E4FAB">
              <w:t>III.sadaļā</w:t>
            </w:r>
            <w:proofErr w:type="spellEnd"/>
            <w:r w:rsidRPr="004E4FAB">
              <w:t>.</w:t>
            </w:r>
          </w:p>
          <w:p w14:paraId="5915C436" w14:textId="77777777" w:rsidR="002341E4" w:rsidRPr="00527525" w:rsidRDefault="00B16B8F" w:rsidP="00F302F3">
            <w:pPr>
              <w:shd w:val="clear" w:color="auto" w:fill="FFFFFF"/>
              <w:jc w:val="both"/>
            </w:pPr>
            <w:r w:rsidRPr="00527525">
              <w:rPr>
                <w:shd w:val="clear" w:color="auto" w:fill="FFFFFF"/>
              </w:rPr>
              <w:t xml:space="preserve">     Spēku zaudējušas </w:t>
            </w:r>
            <w:r w:rsidR="00D325B9" w:rsidRPr="00527525">
              <w:rPr>
                <w:shd w:val="clear" w:color="auto" w:fill="FFFFFF"/>
              </w:rPr>
              <w:t>Padomes 1978.gada 18.decembra direktīva </w:t>
            </w:r>
            <w:hyperlink r:id="rId8" w:tgtFrame="_blank" w:history="1">
              <w:r w:rsidR="00D325B9" w:rsidRPr="00527525">
                <w:rPr>
                  <w:rStyle w:val="Hyperlink"/>
                  <w:color w:val="auto"/>
                  <w:shd w:val="clear" w:color="auto" w:fill="FFFFFF"/>
                </w:rPr>
                <w:t>78/1027/EEK</w:t>
              </w:r>
            </w:hyperlink>
            <w:r w:rsidR="00D325B9" w:rsidRPr="00527525">
              <w:rPr>
                <w:shd w:val="clear" w:color="auto" w:fill="FFFFFF"/>
              </w:rPr>
              <w:t> par normatīvo un administratīvo aktu noteikumu koordināciju attiecībā uz veterinārārstu darbību</w:t>
            </w:r>
            <w:r w:rsidRPr="00527525">
              <w:rPr>
                <w:shd w:val="clear" w:color="auto" w:fill="FFFFFF"/>
              </w:rPr>
              <w:t>,</w:t>
            </w:r>
            <w:r w:rsidR="00D325B9" w:rsidRPr="00527525">
              <w:rPr>
                <w:shd w:val="clear" w:color="auto" w:fill="FFFFFF"/>
              </w:rPr>
              <w:t xml:space="preserve"> Eiropas Parlamenta un Padomes 2001.gada 14.maija direktīva </w:t>
            </w:r>
            <w:hyperlink r:id="rId9" w:tgtFrame="_blank" w:history="1">
              <w:r w:rsidR="00D325B9" w:rsidRPr="00527525">
                <w:rPr>
                  <w:rStyle w:val="Hyperlink"/>
                  <w:color w:val="auto"/>
                  <w:shd w:val="clear" w:color="auto" w:fill="FFFFFF"/>
                </w:rPr>
                <w:t>2001/19/EK</w:t>
              </w:r>
            </w:hyperlink>
            <w:r w:rsidR="00D325B9" w:rsidRPr="00527525">
              <w:rPr>
                <w:shd w:val="clear" w:color="auto" w:fill="FFFFFF"/>
              </w:rPr>
              <w:t>, ar kuru groza Padomes direktīvu </w:t>
            </w:r>
            <w:hyperlink r:id="rId10" w:tgtFrame="_blank" w:history="1">
              <w:r w:rsidR="00D325B9" w:rsidRPr="00527525">
                <w:rPr>
                  <w:rStyle w:val="Hyperlink"/>
                  <w:color w:val="auto"/>
                  <w:shd w:val="clear" w:color="auto" w:fill="FFFFFF"/>
                </w:rPr>
                <w:t>89/48/EEK</w:t>
              </w:r>
            </w:hyperlink>
            <w:r w:rsidR="00D325B9" w:rsidRPr="00527525">
              <w:rPr>
                <w:shd w:val="clear" w:color="auto" w:fill="FFFFFF"/>
              </w:rPr>
              <w:t> un Padomes direktīvu </w:t>
            </w:r>
            <w:hyperlink r:id="rId11" w:tgtFrame="_blank" w:history="1">
              <w:r w:rsidR="00D325B9" w:rsidRPr="00527525">
                <w:rPr>
                  <w:rStyle w:val="Hyperlink"/>
                  <w:color w:val="auto"/>
                  <w:shd w:val="clear" w:color="auto" w:fill="FFFFFF"/>
                </w:rPr>
                <w:t>92/51/EEK</w:t>
              </w:r>
            </w:hyperlink>
            <w:r w:rsidR="00D325B9" w:rsidRPr="00527525">
              <w:rPr>
                <w:shd w:val="clear" w:color="auto" w:fill="FFFFFF"/>
              </w:rPr>
              <w:t> par vispārēju sistēmu profesionālo kvalifikāciju atzīšanai, kā arī Padomes direktīvu </w:t>
            </w:r>
            <w:hyperlink r:id="rId12" w:tgtFrame="_blank" w:history="1">
              <w:r w:rsidR="00D325B9" w:rsidRPr="00527525">
                <w:rPr>
                  <w:rStyle w:val="Hyperlink"/>
                  <w:color w:val="auto"/>
                  <w:shd w:val="clear" w:color="auto" w:fill="FFFFFF"/>
                </w:rPr>
                <w:t>77/452/EEK</w:t>
              </w:r>
            </w:hyperlink>
            <w:r w:rsidR="00D325B9" w:rsidRPr="00527525">
              <w:rPr>
                <w:shd w:val="clear" w:color="auto" w:fill="FFFFFF"/>
              </w:rPr>
              <w:t>, Padomes direktīvu </w:t>
            </w:r>
            <w:hyperlink r:id="rId13" w:tgtFrame="_blank" w:history="1">
              <w:r w:rsidR="00D325B9" w:rsidRPr="00527525">
                <w:rPr>
                  <w:rStyle w:val="Hyperlink"/>
                  <w:color w:val="auto"/>
                  <w:shd w:val="clear" w:color="auto" w:fill="FFFFFF"/>
                </w:rPr>
                <w:t>77/453/EEK</w:t>
              </w:r>
            </w:hyperlink>
            <w:r w:rsidR="00D325B9" w:rsidRPr="00527525">
              <w:rPr>
                <w:shd w:val="clear" w:color="auto" w:fill="FFFFFF"/>
              </w:rPr>
              <w:t>, Padomes direktīvu </w:t>
            </w:r>
            <w:hyperlink r:id="rId14" w:tgtFrame="_blank" w:history="1">
              <w:r w:rsidR="00D325B9" w:rsidRPr="00527525">
                <w:rPr>
                  <w:rStyle w:val="Hyperlink"/>
                  <w:color w:val="auto"/>
                  <w:shd w:val="clear" w:color="auto" w:fill="FFFFFF"/>
                </w:rPr>
                <w:t>78/686/EEK</w:t>
              </w:r>
            </w:hyperlink>
            <w:r w:rsidR="00D325B9" w:rsidRPr="00527525">
              <w:rPr>
                <w:shd w:val="clear" w:color="auto" w:fill="FFFFFF"/>
              </w:rPr>
              <w:t>, Padomes direktīvu </w:t>
            </w:r>
            <w:hyperlink r:id="rId15" w:tgtFrame="_blank" w:history="1">
              <w:r w:rsidR="00D325B9" w:rsidRPr="00527525">
                <w:rPr>
                  <w:rStyle w:val="Hyperlink"/>
                  <w:color w:val="auto"/>
                  <w:shd w:val="clear" w:color="auto" w:fill="FFFFFF"/>
                </w:rPr>
                <w:t>78/687/EEK</w:t>
              </w:r>
            </w:hyperlink>
            <w:r w:rsidR="00D325B9" w:rsidRPr="00527525">
              <w:rPr>
                <w:shd w:val="clear" w:color="auto" w:fill="FFFFFF"/>
              </w:rPr>
              <w:t>, Padomes direktīvu </w:t>
            </w:r>
            <w:hyperlink r:id="rId16" w:tgtFrame="_blank" w:history="1">
              <w:r w:rsidR="00D325B9" w:rsidRPr="00527525">
                <w:rPr>
                  <w:rStyle w:val="Hyperlink"/>
                  <w:color w:val="auto"/>
                  <w:shd w:val="clear" w:color="auto" w:fill="FFFFFF"/>
                </w:rPr>
                <w:t>78/1026/EEK</w:t>
              </w:r>
            </w:hyperlink>
            <w:r w:rsidR="00D325B9" w:rsidRPr="00527525">
              <w:rPr>
                <w:shd w:val="clear" w:color="auto" w:fill="FFFFFF"/>
              </w:rPr>
              <w:t>, Padomes direktīvu </w:t>
            </w:r>
            <w:hyperlink r:id="rId17" w:tgtFrame="_blank" w:history="1">
              <w:r w:rsidR="00D325B9" w:rsidRPr="00527525">
                <w:rPr>
                  <w:rStyle w:val="Hyperlink"/>
                  <w:color w:val="auto"/>
                  <w:shd w:val="clear" w:color="auto" w:fill="FFFFFF"/>
                </w:rPr>
                <w:t>78/1027/EEK</w:t>
              </w:r>
            </w:hyperlink>
            <w:r w:rsidR="00D325B9" w:rsidRPr="00527525">
              <w:rPr>
                <w:shd w:val="clear" w:color="auto" w:fill="FFFFFF"/>
              </w:rPr>
              <w:t>, Padomes direktīvu </w:t>
            </w:r>
            <w:hyperlink r:id="rId18" w:tgtFrame="_blank" w:history="1">
              <w:r w:rsidR="00D325B9" w:rsidRPr="00527525">
                <w:rPr>
                  <w:rStyle w:val="Hyperlink"/>
                  <w:color w:val="auto"/>
                  <w:shd w:val="clear" w:color="auto" w:fill="FFFFFF"/>
                </w:rPr>
                <w:t>80/154/EEK</w:t>
              </w:r>
            </w:hyperlink>
            <w:r w:rsidR="00D325B9" w:rsidRPr="00527525">
              <w:rPr>
                <w:shd w:val="clear" w:color="auto" w:fill="FFFFFF"/>
              </w:rPr>
              <w:t xml:space="preserve">, Padomes </w:t>
            </w:r>
            <w:r w:rsidR="00D325B9" w:rsidRPr="00527525">
              <w:rPr>
                <w:shd w:val="clear" w:color="auto" w:fill="FFFFFF"/>
              </w:rPr>
              <w:lastRenderedPageBreak/>
              <w:t>direktīvu </w:t>
            </w:r>
            <w:hyperlink r:id="rId19" w:tgtFrame="_blank" w:history="1">
              <w:r w:rsidR="00D325B9" w:rsidRPr="00527525">
                <w:rPr>
                  <w:rStyle w:val="Hyperlink"/>
                  <w:color w:val="auto"/>
                  <w:shd w:val="clear" w:color="auto" w:fill="FFFFFF"/>
                </w:rPr>
                <w:t>80/155/EEK</w:t>
              </w:r>
            </w:hyperlink>
            <w:r w:rsidR="00D325B9" w:rsidRPr="00527525">
              <w:rPr>
                <w:shd w:val="clear" w:color="auto" w:fill="FFFFFF"/>
              </w:rPr>
              <w:t>, Padomes direktīvu </w:t>
            </w:r>
            <w:hyperlink r:id="rId20" w:tgtFrame="_blank" w:history="1">
              <w:r w:rsidR="00D325B9" w:rsidRPr="00527525">
                <w:rPr>
                  <w:rStyle w:val="Hyperlink"/>
                  <w:color w:val="auto"/>
                  <w:shd w:val="clear" w:color="auto" w:fill="FFFFFF"/>
                </w:rPr>
                <w:t>85/384/EEK</w:t>
              </w:r>
            </w:hyperlink>
            <w:r w:rsidR="00D325B9" w:rsidRPr="00527525">
              <w:rPr>
                <w:shd w:val="clear" w:color="auto" w:fill="FFFFFF"/>
              </w:rPr>
              <w:t>, Padomes direktīvu </w:t>
            </w:r>
            <w:hyperlink r:id="rId21" w:tgtFrame="_blank" w:history="1">
              <w:r w:rsidR="00D325B9" w:rsidRPr="00527525">
                <w:rPr>
                  <w:rStyle w:val="Hyperlink"/>
                  <w:color w:val="auto"/>
                  <w:shd w:val="clear" w:color="auto" w:fill="FFFFFF"/>
                </w:rPr>
                <w:t>85/432/EEK</w:t>
              </w:r>
            </w:hyperlink>
            <w:r w:rsidR="00D325B9" w:rsidRPr="00527525">
              <w:rPr>
                <w:shd w:val="clear" w:color="auto" w:fill="FFFFFF"/>
              </w:rPr>
              <w:t>, Padomes direktīvu </w:t>
            </w:r>
            <w:hyperlink r:id="rId22" w:tgtFrame="_blank" w:history="1">
              <w:r w:rsidR="00D325B9" w:rsidRPr="00527525">
                <w:rPr>
                  <w:rStyle w:val="Hyperlink"/>
                  <w:color w:val="auto"/>
                  <w:shd w:val="clear" w:color="auto" w:fill="FFFFFF"/>
                </w:rPr>
                <w:t>85/433/EEK</w:t>
              </w:r>
            </w:hyperlink>
            <w:r w:rsidRPr="00527525">
              <w:rPr>
                <w:shd w:val="clear" w:color="auto" w:fill="FFFFFF"/>
              </w:rPr>
              <w:t xml:space="preserve"> un </w:t>
            </w:r>
            <w:r w:rsidR="00D325B9" w:rsidRPr="00527525">
              <w:rPr>
                <w:shd w:val="clear" w:color="auto" w:fill="FFFFFF"/>
              </w:rPr>
              <w:t>Padomes direktīvu </w:t>
            </w:r>
            <w:hyperlink r:id="rId23" w:tgtFrame="_blank" w:history="1">
              <w:r w:rsidR="00D325B9" w:rsidRPr="00527525">
                <w:rPr>
                  <w:rStyle w:val="Hyperlink"/>
                  <w:color w:val="auto"/>
                  <w:shd w:val="clear" w:color="auto" w:fill="FFFFFF"/>
                </w:rPr>
                <w:t>93/16/EEK</w:t>
              </w:r>
            </w:hyperlink>
            <w:r w:rsidR="00D325B9" w:rsidRPr="00527525">
              <w:rPr>
                <w:shd w:val="clear" w:color="auto" w:fill="FFFFFF"/>
              </w:rPr>
              <w:t> attiecībā uz vispārējās aprūpes māsu, praktizējošu zobārstu, veterinārārstu, vecmāšu, arhitektu, farmaceitu un ārstu profesijām (dokuments attiecas uz EEZ). Tādēļ noteikumu projekts paredz no noteikumiem Nr. 489 svītrot atsauces uz minētajām direktīvām.</w:t>
            </w:r>
            <w:r w:rsidR="00FB4755" w:rsidRPr="00527525">
              <w:t xml:space="preserve">   </w:t>
            </w:r>
          </w:p>
          <w:p w14:paraId="5915C437" w14:textId="77777777" w:rsidR="00DE6279" w:rsidRPr="00527525" w:rsidRDefault="00DE6279" w:rsidP="00F02CE4">
            <w:pPr>
              <w:pStyle w:val="ListParagraph"/>
              <w:widowControl w:val="0"/>
              <w:spacing w:after="100" w:afterAutospacing="1"/>
              <w:ind w:left="0"/>
              <w:jc w:val="both"/>
            </w:pPr>
          </w:p>
        </w:tc>
      </w:tr>
      <w:tr w:rsidR="001B1B15" w:rsidRPr="00404CF4" w14:paraId="5915C43C" w14:textId="77777777" w:rsidTr="00E92DFB">
        <w:tc>
          <w:tcPr>
            <w:tcW w:w="311" w:type="pct"/>
            <w:hideMark/>
          </w:tcPr>
          <w:p w14:paraId="5915C439" w14:textId="1F0B6ABC" w:rsidR="00BD5588" w:rsidRPr="00404CF4" w:rsidRDefault="00222C95" w:rsidP="00793205">
            <w:pPr>
              <w:widowControl w:val="0"/>
              <w:jc w:val="center"/>
            </w:pPr>
            <w:r w:rsidRPr="00404CF4">
              <w:lastRenderedPageBreak/>
              <w:t>3.</w:t>
            </w:r>
          </w:p>
        </w:tc>
        <w:tc>
          <w:tcPr>
            <w:tcW w:w="1479" w:type="pct"/>
            <w:hideMark/>
          </w:tcPr>
          <w:p w14:paraId="5915C43A"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54093501" w14:textId="77777777" w:rsidR="00161647" w:rsidRDefault="00222C95" w:rsidP="00D325B9">
            <w:pPr>
              <w:widowControl w:val="0"/>
              <w:rPr>
                <w:bCs/>
              </w:rPr>
            </w:pPr>
            <w:r w:rsidRPr="00404CF4">
              <w:rPr>
                <w:bCs/>
              </w:rPr>
              <w:t>Izg</w:t>
            </w:r>
            <w:r w:rsidR="00A5594D" w:rsidRPr="00404CF4">
              <w:rPr>
                <w:bCs/>
              </w:rPr>
              <w:t>lītības un zinātnes ministrija</w:t>
            </w:r>
            <w:r w:rsidR="002341E4">
              <w:rPr>
                <w:bCs/>
              </w:rPr>
              <w:t xml:space="preserve"> (turpmāk – ministrija). Noteikumu projekta izstrādes laikā notika konsultācijas ar </w:t>
            </w:r>
            <w:r w:rsidR="00D325B9">
              <w:rPr>
                <w:bCs/>
              </w:rPr>
              <w:t>Latvijas Lauksaimniecības universitāti.</w:t>
            </w:r>
          </w:p>
          <w:p w14:paraId="5915C43B" w14:textId="65C48D41" w:rsidR="00EF2917" w:rsidRPr="00404CF4" w:rsidRDefault="00EF2917" w:rsidP="00D325B9">
            <w:pPr>
              <w:widowControl w:val="0"/>
            </w:pPr>
          </w:p>
        </w:tc>
      </w:tr>
      <w:tr w:rsidR="001B1B15" w:rsidRPr="00404CF4" w14:paraId="5915C440" w14:textId="77777777" w:rsidTr="00E92DFB">
        <w:tc>
          <w:tcPr>
            <w:tcW w:w="311" w:type="pct"/>
            <w:hideMark/>
          </w:tcPr>
          <w:p w14:paraId="5915C43D" w14:textId="77777777" w:rsidR="00BD5588" w:rsidRPr="00404CF4" w:rsidRDefault="00222C95" w:rsidP="00793205">
            <w:pPr>
              <w:widowControl w:val="0"/>
              <w:jc w:val="center"/>
            </w:pPr>
            <w:r w:rsidRPr="00404CF4">
              <w:t>4.</w:t>
            </w:r>
          </w:p>
        </w:tc>
        <w:tc>
          <w:tcPr>
            <w:tcW w:w="1479" w:type="pct"/>
            <w:hideMark/>
          </w:tcPr>
          <w:p w14:paraId="5915C43E" w14:textId="77777777" w:rsidR="00BD5588" w:rsidRPr="00404CF4" w:rsidRDefault="00222C95" w:rsidP="00793205">
            <w:pPr>
              <w:widowControl w:val="0"/>
            </w:pPr>
            <w:r w:rsidRPr="00404CF4">
              <w:t>Cita informācija</w:t>
            </w:r>
          </w:p>
        </w:tc>
        <w:tc>
          <w:tcPr>
            <w:tcW w:w="3210" w:type="pct"/>
            <w:hideMark/>
          </w:tcPr>
          <w:p w14:paraId="5915C43F" w14:textId="77777777" w:rsidR="00BD5588" w:rsidRPr="00404CF4" w:rsidRDefault="00222C95" w:rsidP="00EA3D31">
            <w:pPr>
              <w:widowControl w:val="0"/>
              <w:ind w:firstLine="108"/>
            </w:pPr>
            <w:r w:rsidRPr="00404CF4">
              <w:t>Nav</w:t>
            </w:r>
            <w:r w:rsidR="00EA3D31" w:rsidRPr="00404CF4">
              <w:t>.</w:t>
            </w:r>
          </w:p>
        </w:tc>
      </w:tr>
    </w:tbl>
    <w:p w14:paraId="5915C441" w14:textId="77777777" w:rsidR="004E4DD9" w:rsidRPr="00404CF4" w:rsidRDefault="004E4DD9" w:rsidP="004E4DD9">
      <w:pPr>
        <w:pStyle w:val="Title"/>
        <w:spacing w:before="130" w:line="260" w:lineRule="exact"/>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097"/>
      </w:tblGrid>
      <w:tr w:rsidR="001B1B15" w:rsidRPr="00404CF4" w14:paraId="5915C443" w14:textId="77777777" w:rsidTr="0031289C">
        <w:tc>
          <w:tcPr>
            <w:tcW w:w="9067" w:type="dxa"/>
            <w:gridSpan w:val="3"/>
            <w:vAlign w:val="center"/>
            <w:hideMark/>
          </w:tcPr>
          <w:p w14:paraId="5915C442"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5915C447" w14:textId="77777777" w:rsidTr="0031289C">
        <w:tc>
          <w:tcPr>
            <w:tcW w:w="516" w:type="dxa"/>
            <w:hideMark/>
          </w:tcPr>
          <w:p w14:paraId="5915C444" w14:textId="77777777" w:rsidR="00BD5588" w:rsidRPr="00404CF4" w:rsidRDefault="00222C95" w:rsidP="00E273A1">
            <w:pPr>
              <w:jc w:val="center"/>
            </w:pPr>
            <w:r w:rsidRPr="00404CF4">
              <w:t>1.</w:t>
            </w:r>
          </w:p>
        </w:tc>
        <w:tc>
          <w:tcPr>
            <w:tcW w:w="2454" w:type="dxa"/>
            <w:hideMark/>
          </w:tcPr>
          <w:p w14:paraId="5915C445"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097" w:type="dxa"/>
            <w:hideMark/>
          </w:tcPr>
          <w:p w14:paraId="5915C446" w14:textId="67633722" w:rsidR="00F81D2F" w:rsidRPr="00404CF4" w:rsidRDefault="00222C95" w:rsidP="00B16B8F">
            <w:pPr>
              <w:pStyle w:val="naiskr"/>
              <w:spacing w:before="0" w:after="0"/>
              <w:jc w:val="both"/>
            </w:pPr>
            <w:r w:rsidRPr="00404CF4">
              <w:t>Noteikumu projektā noteiktais attieksies uz</w:t>
            </w:r>
            <w:r w:rsidR="00466A8F">
              <w:t xml:space="preserve"> </w:t>
            </w:r>
            <w:r w:rsidR="00F81D2F">
              <w:t xml:space="preserve">personām, kas iegūst kvalifikāciju </w:t>
            </w:r>
            <w:r w:rsidR="00B16B8F">
              <w:t>veterinār</w:t>
            </w:r>
            <w:r w:rsidR="00F81D2F">
              <w:t>ārsta profesij</w:t>
            </w:r>
            <w:r w:rsidR="00B16B8F">
              <w:t>ā</w:t>
            </w:r>
            <w:r w:rsidR="00B91CB4">
              <w:t>, kā arī Latvijas Lauksaimniecības universitāti, kas īsteno studiju programmu veterinārārsta kvalifikācijas ieguvei.</w:t>
            </w:r>
          </w:p>
        </w:tc>
      </w:tr>
      <w:tr w:rsidR="001B1B15" w:rsidRPr="00404CF4" w14:paraId="5915C44C" w14:textId="77777777" w:rsidTr="0031289C">
        <w:tc>
          <w:tcPr>
            <w:tcW w:w="516" w:type="dxa"/>
            <w:hideMark/>
          </w:tcPr>
          <w:p w14:paraId="5915C448" w14:textId="77777777" w:rsidR="00BD5588" w:rsidRPr="00404CF4" w:rsidRDefault="00222C95" w:rsidP="00E273A1">
            <w:pPr>
              <w:jc w:val="center"/>
            </w:pPr>
            <w:r w:rsidRPr="00404CF4">
              <w:t>2.</w:t>
            </w:r>
          </w:p>
        </w:tc>
        <w:tc>
          <w:tcPr>
            <w:tcW w:w="2454" w:type="dxa"/>
            <w:hideMark/>
          </w:tcPr>
          <w:p w14:paraId="5915C449" w14:textId="77777777" w:rsidR="00BD5588" w:rsidRPr="00404CF4" w:rsidRDefault="00222C95" w:rsidP="00E30236">
            <w:r w:rsidRPr="00404CF4">
              <w:t>Tiesiskā regulējuma ietekme uz tautsaimniecību un administratīvo slogu</w:t>
            </w:r>
          </w:p>
        </w:tc>
        <w:tc>
          <w:tcPr>
            <w:tcW w:w="6097" w:type="dxa"/>
            <w:hideMark/>
          </w:tcPr>
          <w:p w14:paraId="5915C44A" w14:textId="77777777" w:rsidR="00161647" w:rsidRDefault="00222C95" w:rsidP="00B16445">
            <w:pPr>
              <w:ind w:firstLine="108"/>
              <w:jc w:val="both"/>
            </w:pPr>
            <w:r w:rsidRPr="00404CF4">
              <w:t xml:space="preserve">Projekts šo jomu neskar. </w:t>
            </w:r>
          </w:p>
          <w:p w14:paraId="5915C44B" w14:textId="77777777" w:rsidR="008F3A17" w:rsidRPr="00404CF4" w:rsidRDefault="008F3A17" w:rsidP="00C07EB2">
            <w:pPr>
              <w:ind w:firstLine="108"/>
              <w:jc w:val="both"/>
            </w:pPr>
          </w:p>
        </w:tc>
      </w:tr>
      <w:tr w:rsidR="001B1B15" w:rsidRPr="00404CF4" w14:paraId="5915C450" w14:textId="77777777" w:rsidTr="0031289C">
        <w:tc>
          <w:tcPr>
            <w:tcW w:w="516" w:type="dxa"/>
            <w:hideMark/>
          </w:tcPr>
          <w:p w14:paraId="5915C44D" w14:textId="77777777" w:rsidR="00BD5588" w:rsidRPr="00404CF4" w:rsidRDefault="00222C95" w:rsidP="00E273A1">
            <w:pPr>
              <w:jc w:val="center"/>
            </w:pPr>
            <w:r w:rsidRPr="00404CF4">
              <w:t>3.</w:t>
            </w:r>
          </w:p>
        </w:tc>
        <w:tc>
          <w:tcPr>
            <w:tcW w:w="2454" w:type="dxa"/>
            <w:hideMark/>
          </w:tcPr>
          <w:p w14:paraId="5915C44E" w14:textId="77777777" w:rsidR="00BD5588" w:rsidRPr="00404CF4" w:rsidRDefault="00222C95" w:rsidP="00E30236">
            <w:r w:rsidRPr="00404CF4">
              <w:t>Administratīvo izmaksu monetārs novērtējums</w:t>
            </w:r>
          </w:p>
        </w:tc>
        <w:tc>
          <w:tcPr>
            <w:tcW w:w="6097" w:type="dxa"/>
            <w:hideMark/>
          </w:tcPr>
          <w:p w14:paraId="5915C44F" w14:textId="77777777" w:rsidR="00BD5588" w:rsidRPr="00404CF4" w:rsidRDefault="00222C95" w:rsidP="00EA3D31">
            <w:pPr>
              <w:ind w:firstLine="108"/>
            </w:pPr>
            <w:r w:rsidRPr="00404CF4">
              <w:t>Projekts šo jomu neskar</w:t>
            </w:r>
            <w:r w:rsidR="00EA3D31" w:rsidRPr="00404CF4">
              <w:t>.</w:t>
            </w:r>
          </w:p>
        </w:tc>
      </w:tr>
      <w:tr w:rsidR="001B1B15" w:rsidRPr="00404CF4" w14:paraId="5915C454" w14:textId="77777777" w:rsidTr="0031289C">
        <w:tc>
          <w:tcPr>
            <w:tcW w:w="516" w:type="dxa"/>
            <w:hideMark/>
          </w:tcPr>
          <w:p w14:paraId="5915C451" w14:textId="77777777" w:rsidR="00BD5588" w:rsidRPr="00404CF4" w:rsidRDefault="00222C95" w:rsidP="00E273A1">
            <w:pPr>
              <w:jc w:val="center"/>
            </w:pPr>
            <w:r w:rsidRPr="00404CF4">
              <w:t>4.</w:t>
            </w:r>
          </w:p>
        </w:tc>
        <w:tc>
          <w:tcPr>
            <w:tcW w:w="2454" w:type="dxa"/>
            <w:hideMark/>
          </w:tcPr>
          <w:p w14:paraId="5915C452" w14:textId="77777777" w:rsidR="00BD5588" w:rsidRPr="00404CF4" w:rsidRDefault="00222C95" w:rsidP="00E273A1">
            <w:r w:rsidRPr="00404CF4">
              <w:t>Atbilstības izmaksu monetārs novērtējums</w:t>
            </w:r>
          </w:p>
        </w:tc>
        <w:tc>
          <w:tcPr>
            <w:tcW w:w="6097" w:type="dxa"/>
            <w:hideMark/>
          </w:tcPr>
          <w:p w14:paraId="5915C453" w14:textId="77777777" w:rsidR="00BD5588" w:rsidRPr="00404CF4" w:rsidRDefault="00222C95" w:rsidP="00EA3D31">
            <w:pPr>
              <w:ind w:firstLine="108"/>
            </w:pPr>
            <w:r w:rsidRPr="00404CF4">
              <w:t>Projekts šo jomu neskar</w:t>
            </w:r>
            <w:r w:rsidR="00EA3D31" w:rsidRPr="00404CF4">
              <w:t>.</w:t>
            </w:r>
          </w:p>
        </w:tc>
      </w:tr>
      <w:tr w:rsidR="001B1B15" w:rsidRPr="00404CF4" w14:paraId="5915C459" w14:textId="77777777" w:rsidTr="0031289C">
        <w:tc>
          <w:tcPr>
            <w:tcW w:w="516" w:type="dxa"/>
            <w:hideMark/>
          </w:tcPr>
          <w:p w14:paraId="5915C455" w14:textId="77777777" w:rsidR="00BD5588" w:rsidRPr="00404CF4" w:rsidRDefault="00222C95" w:rsidP="00E273A1">
            <w:pPr>
              <w:jc w:val="center"/>
            </w:pPr>
            <w:r w:rsidRPr="00404CF4">
              <w:t>5.</w:t>
            </w:r>
          </w:p>
        </w:tc>
        <w:tc>
          <w:tcPr>
            <w:tcW w:w="2454" w:type="dxa"/>
            <w:hideMark/>
          </w:tcPr>
          <w:p w14:paraId="5915C456" w14:textId="77777777" w:rsidR="00BD5588" w:rsidRPr="00404CF4" w:rsidRDefault="00222C95" w:rsidP="00E273A1">
            <w:r w:rsidRPr="00404CF4">
              <w:t>Cita informācija</w:t>
            </w:r>
          </w:p>
        </w:tc>
        <w:tc>
          <w:tcPr>
            <w:tcW w:w="6097" w:type="dxa"/>
            <w:hideMark/>
          </w:tcPr>
          <w:p w14:paraId="5915C457" w14:textId="77777777" w:rsidR="00BD5588" w:rsidRPr="00404CF4" w:rsidRDefault="00222C95" w:rsidP="00EA3D31">
            <w:pPr>
              <w:ind w:firstLine="108"/>
            </w:pPr>
            <w:r w:rsidRPr="00404CF4">
              <w:t>Nav</w:t>
            </w:r>
            <w:r w:rsidR="00EA3D31" w:rsidRPr="00404CF4">
              <w:t>.</w:t>
            </w:r>
          </w:p>
          <w:p w14:paraId="5915C458" w14:textId="77777777" w:rsidR="00161647" w:rsidRPr="00404CF4" w:rsidRDefault="00161647" w:rsidP="00EA3D31">
            <w:pPr>
              <w:ind w:firstLine="108"/>
            </w:pPr>
          </w:p>
        </w:tc>
      </w:tr>
    </w:tbl>
    <w:p w14:paraId="5915C45A" w14:textId="77777777" w:rsidR="004E4DD9" w:rsidRPr="00404CF4" w:rsidRDefault="004E4DD9" w:rsidP="00E273A1"/>
    <w:tbl>
      <w:tblPr>
        <w:tblStyle w:val="TableGridLight"/>
        <w:tblW w:w="5006" w:type="pct"/>
        <w:tblInd w:w="-5" w:type="dxa"/>
        <w:shd w:val="clear" w:color="auto" w:fill="FFFFFF" w:themeFill="background1"/>
        <w:tblLook w:val="04A0" w:firstRow="1" w:lastRow="0" w:firstColumn="1" w:lastColumn="0" w:noHBand="0" w:noVBand="1"/>
      </w:tblPr>
      <w:tblGrid>
        <w:gridCol w:w="9072"/>
      </w:tblGrid>
      <w:tr w:rsidR="001B1B15" w:rsidRPr="00404CF4" w14:paraId="5915C45C" w14:textId="77777777" w:rsidTr="0031289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5C45B"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5915C45E" w14:textId="77777777" w:rsidTr="0031289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915C45D" w14:textId="77777777" w:rsidR="00BD7871" w:rsidRPr="00404CF4" w:rsidRDefault="00222C95" w:rsidP="00113C64">
            <w:pPr>
              <w:ind w:right="-34"/>
              <w:jc w:val="center"/>
            </w:pPr>
            <w:r w:rsidRPr="00404CF4">
              <w:t>Projekts šo jomu neskar</w:t>
            </w:r>
          </w:p>
        </w:tc>
      </w:tr>
    </w:tbl>
    <w:p w14:paraId="5915C45F" w14:textId="77777777" w:rsidR="004E4DD9" w:rsidRPr="00404CF4" w:rsidRDefault="004E4DD9" w:rsidP="00113C64">
      <w:pPr>
        <w:pStyle w:val="Title"/>
        <w:spacing w:before="130" w:line="260" w:lineRule="exact"/>
        <w:jc w:val="both"/>
        <w:rPr>
          <w:sz w:val="24"/>
          <w:szCs w:val="24"/>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1B1B15" w:rsidRPr="00404CF4" w14:paraId="5915C461" w14:textId="77777777" w:rsidTr="0031289C">
        <w:trPr>
          <w:cantSplit/>
        </w:trPr>
        <w:tc>
          <w:tcPr>
            <w:tcW w:w="9069" w:type="dxa"/>
            <w:vAlign w:val="center"/>
            <w:hideMark/>
          </w:tcPr>
          <w:p w14:paraId="5915C460"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5915C463" w14:textId="77777777" w:rsidTr="0031289C">
        <w:trPr>
          <w:cantSplit/>
        </w:trPr>
        <w:tc>
          <w:tcPr>
            <w:tcW w:w="9069" w:type="dxa"/>
          </w:tcPr>
          <w:p w14:paraId="5915C462" w14:textId="77777777" w:rsidR="005D4A1E" w:rsidRPr="00404CF4" w:rsidRDefault="005D4A1E" w:rsidP="00E92DFB">
            <w:pPr>
              <w:jc w:val="center"/>
              <w:rPr>
                <w:bCs/>
              </w:rPr>
            </w:pPr>
            <w:r>
              <w:rPr>
                <w:bCs/>
              </w:rPr>
              <w:t>Projekts šo jomu neskar</w:t>
            </w:r>
          </w:p>
        </w:tc>
      </w:tr>
    </w:tbl>
    <w:p w14:paraId="5915C464" w14:textId="77777777" w:rsidR="00161647" w:rsidRPr="00404CF4" w:rsidRDefault="00161647" w:rsidP="00B96E3C">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66" w14:textId="77777777" w:rsidTr="0031289C">
        <w:tc>
          <w:tcPr>
            <w:tcW w:w="5000" w:type="pct"/>
            <w:gridSpan w:val="3"/>
            <w:vAlign w:val="center"/>
            <w:hideMark/>
          </w:tcPr>
          <w:p w14:paraId="5915C465"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5915C46A" w14:textId="77777777" w:rsidTr="0031289C">
        <w:tc>
          <w:tcPr>
            <w:tcW w:w="311" w:type="pct"/>
            <w:hideMark/>
          </w:tcPr>
          <w:p w14:paraId="5915C467" w14:textId="77777777" w:rsidR="009878D6" w:rsidRPr="00404CF4" w:rsidRDefault="00222C95" w:rsidP="00293120">
            <w:pPr>
              <w:jc w:val="center"/>
            </w:pPr>
            <w:r w:rsidRPr="00404CF4">
              <w:t>1.</w:t>
            </w:r>
          </w:p>
        </w:tc>
        <w:tc>
          <w:tcPr>
            <w:tcW w:w="1479" w:type="pct"/>
            <w:hideMark/>
          </w:tcPr>
          <w:p w14:paraId="5915C468" w14:textId="77777777" w:rsidR="009878D6" w:rsidRPr="00404CF4" w:rsidRDefault="00222C95" w:rsidP="00293120">
            <w:r w:rsidRPr="00404CF4">
              <w:t>Saistības pret Eiropas Savienību</w:t>
            </w:r>
          </w:p>
        </w:tc>
        <w:tc>
          <w:tcPr>
            <w:tcW w:w="3210" w:type="pct"/>
            <w:hideMark/>
          </w:tcPr>
          <w:p w14:paraId="5915C469" w14:textId="58362B33" w:rsidR="00161647" w:rsidRPr="00404CF4" w:rsidRDefault="00222C95" w:rsidP="00A6225E">
            <w:pPr>
              <w:ind w:left="57" w:firstLine="108"/>
              <w:jc w:val="both"/>
            </w:pPr>
            <w:r w:rsidRPr="00404CF4">
              <w:t>Ar not</w:t>
            </w:r>
            <w:r w:rsidR="001F0223" w:rsidRPr="00404CF4">
              <w:t xml:space="preserve">eikumu </w:t>
            </w:r>
            <w:r w:rsidR="00A6225E" w:rsidRPr="00404CF4">
              <w:t>projekt</w:t>
            </w:r>
            <w:r w:rsidR="00A6225E">
              <w:t xml:space="preserve">u </w:t>
            </w:r>
            <w:r w:rsidR="00466A8F">
              <w:t>tiek pārņemta</w:t>
            </w:r>
            <w:r w:rsidR="0041017B">
              <w:t xml:space="preserve"> direktīva 2005/36</w:t>
            </w:r>
            <w:r w:rsidR="001F0223" w:rsidRPr="00404CF4">
              <w:t>/EK</w:t>
            </w:r>
          </w:p>
        </w:tc>
      </w:tr>
      <w:tr w:rsidR="001B1B15" w:rsidRPr="00404CF4" w14:paraId="5915C46E" w14:textId="77777777" w:rsidTr="0031289C">
        <w:tc>
          <w:tcPr>
            <w:tcW w:w="311" w:type="pct"/>
            <w:hideMark/>
          </w:tcPr>
          <w:p w14:paraId="5915C46B" w14:textId="77777777" w:rsidR="009878D6" w:rsidRPr="00404CF4" w:rsidRDefault="00222C95" w:rsidP="00293120">
            <w:pPr>
              <w:jc w:val="center"/>
            </w:pPr>
            <w:r w:rsidRPr="00404CF4">
              <w:t>2.</w:t>
            </w:r>
          </w:p>
        </w:tc>
        <w:tc>
          <w:tcPr>
            <w:tcW w:w="1479" w:type="pct"/>
            <w:hideMark/>
          </w:tcPr>
          <w:p w14:paraId="5915C46C" w14:textId="77777777" w:rsidR="009878D6" w:rsidRPr="00404CF4" w:rsidRDefault="00222C95" w:rsidP="00293120">
            <w:r w:rsidRPr="00404CF4">
              <w:t>Citas starptautiskās saistības</w:t>
            </w:r>
          </w:p>
        </w:tc>
        <w:tc>
          <w:tcPr>
            <w:tcW w:w="3210" w:type="pct"/>
            <w:hideMark/>
          </w:tcPr>
          <w:p w14:paraId="5915C46D" w14:textId="77777777" w:rsidR="009878D6" w:rsidRPr="00404CF4" w:rsidRDefault="00222C95" w:rsidP="00E96134">
            <w:pPr>
              <w:ind w:firstLine="108"/>
            </w:pPr>
            <w:r w:rsidRPr="00404CF4">
              <w:t>Projekts šo jomu neskar.</w:t>
            </w:r>
          </w:p>
        </w:tc>
      </w:tr>
      <w:tr w:rsidR="001B1B15" w:rsidRPr="00404CF4" w14:paraId="5915C472" w14:textId="77777777" w:rsidTr="0031289C">
        <w:tc>
          <w:tcPr>
            <w:tcW w:w="311" w:type="pct"/>
            <w:hideMark/>
          </w:tcPr>
          <w:p w14:paraId="5915C46F" w14:textId="77777777" w:rsidR="009878D6" w:rsidRPr="00404CF4" w:rsidRDefault="00222C95" w:rsidP="00293120">
            <w:pPr>
              <w:jc w:val="center"/>
            </w:pPr>
            <w:r w:rsidRPr="00404CF4">
              <w:t>3.</w:t>
            </w:r>
          </w:p>
        </w:tc>
        <w:tc>
          <w:tcPr>
            <w:tcW w:w="1479" w:type="pct"/>
            <w:hideMark/>
          </w:tcPr>
          <w:p w14:paraId="5915C470" w14:textId="77777777" w:rsidR="009878D6" w:rsidRPr="00404CF4" w:rsidRDefault="00222C95" w:rsidP="00293120">
            <w:r w:rsidRPr="00404CF4">
              <w:t>Cita informācija</w:t>
            </w:r>
          </w:p>
        </w:tc>
        <w:tc>
          <w:tcPr>
            <w:tcW w:w="3210" w:type="pct"/>
            <w:hideMark/>
          </w:tcPr>
          <w:p w14:paraId="5915C471" w14:textId="77777777" w:rsidR="009878D6" w:rsidRPr="00404CF4" w:rsidRDefault="00222C95" w:rsidP="00EA3D31">
            <w:pPr>
              <w:ind w:firstLine="108"/>
            </w:pPr>
            <w:r w:rsidRPr="00404CF4">
              <w:t>Nav.</w:t>
            </w:r>
          </w:p>
        </w:tc>
      </w:tr>
    </w:tbl>
    <w:p w14:paraId="5915C473" w14:textId="77777777" w:rsidR="004E4DD9" w:rsidRPr="00404CF4" w:rsidRDefault="004E4DD9" w:rsidP="004E4DD9">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89"/>
        <w:gridCol w:w="1888"/>
        <w:gridCol w:w="379"/>
        <w:gridCol w:w="1985"/>
      </w:tblGrid>
      <w:tr w:rsidR="00D04073" w:rsidRPr="00404CF4" w14:paraId="5915C475" w14:textId="77777777" w:rsidTr="0031289C">
        <w:trPr>
          <w:cantSplit/>
        </w:trPr>
        <w:tc>
          <w:tcPr>
            <w:tcW w:w="5000" w:type="pct"/>
            <w:gridSpan w:val="5"/>
            <w:vAlign w:val="center"/>
            <w:hideMark/>
          </w:tcPr>
          <w:p w14:paraId="5915C474" w14:textId="77777777" w:rsidR="00BD5588" w:rsidRPr="00404CF4" w:rsidRDefault="00222C95" w:rsidP="00E273A1">
            <w:pPr>
              <w:jc w:val="center"/>
              <w:rPr>
                <w:b/>
                <w:bCs/>
              </w:rPr>
            </w:pPr>
            <w:r w:rsidRPr="00404CF4">
              <w:rPr>
                <w:b/>
                <w:bCs/>
              </w:rPr>
              <w:lastRenderedPageBreak/>
              <w:t>1. tabula</w:t>
            </w:r>
            <w:r w:rsidRPr="00404CF4">
              <w:rPr>
                <w:b/>
                <w:bCs/>
              </w:rPr>
              <w:br/>
              <w:t>Tiesību akta projekta atbilstība ES tiesību aktiem</w:t>
            </w:r>
          </w:p>
        </w:tc>
      </w:tr>
      <w:tr w:rsidR="00D04073" w:rsidRPr="00404CF4" w14:paraId="5915C479" w14:textId="77777777" w:rsidTr="0031289C">
        <w:trPr>
          <w:cantSplit/>
        </w:trPr>
        <w:tc>
          <w:tcPr>
            <w:tcW w:w="1613" w:type="pct"/>
            <w:hideMark/>
          </w:tcPr>
          <w:p w14:paraId="5915C476" w14:textId="77777777" w:rsidR="00BD5588" w:rsidRPr="00404CF4" w:rsidRDefault="00222C95" w:rsidP="00E273A1">
            <w:r w:rsidRPr="00404CF4">
              <w:t>Attiecīgā ES tiesību akta datums, numurs un nosaukums</w:t>
            </w:r>
          </w:p>
        </w:tc>
        <w:tc>
          <w:tcPr>
            <w:tcW w:w="3387" w:type="pct"/>
            <w:gridSpan w:val="4"/>
            <w:hideMark/>
          </w:tcPr>
          <w:p w14:paraId="5915C477" w14:textId="53507C42" w:rsidR="004E4DD9" w:rsidRPr="00404CF4" w:rsidRDefault="00D74393" w:rsidP="00E273A1">
            <w:r w:rsidRPr="00404CF4">
              <w:t>Direktīva 2005/36/EK</w:t>
            </w:r>
          </w:p>
          <w:p w14:paraId="5915C478" w14:textId="77777777" w:rsidR="004E4DD9" w:rsidRPr="00404CF4" w:rsidRDefault="004E4DD9" w:rsidP="00E273A1"/>
        </w:tc>
      </w:tr>
      <w:tr w:rsidR="00D04073" w:rsidRPr="00404CF4" w14:paraId="5915C47E" w14:textId="77777777" w:rsidTr="0031289C">
        <w:trPr>
          <w:cantSplit/>
        </w:trPr>
        <w:tc>
          <w:tcPr>
            <w:tcW w:w="1613" w:type="pct"/>
            <w:vAlign w:val="center"/>
            <w:hideMark/>
          </w:tcPr>
          <w:p w14:paraId="5915C47A" w14:textId="77777777" w:rsidR="00BD5588" w:rsidRPr="00404CF4" w:rsidRDefault="00222C95" w:rsidP="00E273A1">
            <w:pPr>
              <w:jc w:val="center"/>
            </w:pPr>
            <w:r w:rsidRPr="00404CF4">
              <w:t>A</w:t>
            </w:r>
          </w:p>
        </w:tc>
        <w:tc>
          <w:tcPr>
            <w:tcW w:w="1042" w:type="pct"/>
            <w:vAlign w:val="center"/>
            <w:hideMark/>
          </w:tcPr>
          <w:p w14:paraId="5915C47B" w14:textId="77777777" w:rsidR="00BD5588" w:rsidRPr="00404CF4" w:rsidRDefault="00222C95" w:rsidP="00E273A1">
            <w:pPr>
              <w:jc w:val="center"/>
            </w:pPr>
            <w:r w:rsidRPr="00404CF4">
              <w:t>B</w:t>
            </w:r>
          </w:p>
        </w:tc>
        <w:tc>
          <w:tcPr>
            <w:tcW w:w="1250" w:type="pct"/>
            <w:gridSpan w:val="2"/>
            <w:vAlign w:val="center"/>
            <w:hideMark/>
          </w:tcPr>
          <w:p w14:paraId="5915C47C" w14:textId="77777777" w:rsidR="00BD5588" w:rsidRPr="00404CF4" w:rsidRDefault="00222C95" w:rsidP="00E273A1">
            <w:pPr>
              <w:jc w:val="center"/>
            </w:pPr>
            <w:r w:rsidRPr="00404CF4">
              <w:t>C</w:t>
            </w:r>
          </w:p>
        </w:tc>
        <w:tc>
          <w:tcPr>
            <w:tcW w:w="1095" w:type="pct"/>
            <w:vAlign w:val="center"/>
            <w:hideMark/>
          </w:tcPr>
          <w:p w14:paraId="5915C47D" w14:textId="77777777" w:rsidR="00BD5588" w:rsidRPr="00404CF4" w:rsidRDefault="00222C95" w:rsidP="00E273A1">
            <w:pPr>
              <w:jc w:val="center"/>
            </w:pPr>
            <w:r w:rsidRPr="00404CF4">
              <w:t>D</w:t>
            </w:r>
          </w:p>
        </w:tc>
      </w:tr>
      <w:tr w:rsidR="00D04073" w:rsidRPr="00404CF4" w14:paraId="5915C483" w14:textId="77777777" w:rsidTr="0031289C">
        <w:tc>
          <w:tcPr>
            <w:tcW w:w="1613" w:type="pct"/>
            <w:hideMark/>
          </w:tcPr>
          <w:p w14:paraId="5915C47F" w14:textId="77777777" w:rsidR="00BD5588" w:rsidRPr="00404CF4" w:rsidRDefault="00222C95" w:rsidP="00E273A1">
            <w:r w:rsidRPr="00404CF4">
              <w:t>Attiecīgā ES tiesību akta panta numurs (uzskaitot katru tiesību akta vienību – pantu, daļu, punktu, apakšpunktu)</w:t>
            </w:r>
          </w:p>
        </w:tc>
        <w:tc>
          <w:tcPr>
            <w:tcW w:w="1042" w:type="pct"/>
            <w:hideMark/>
          </w:tcPr>
          <w:p w14:paraId="5915C480"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50" w:type="pct"/>
            <w:gridSpan w:val="2"/>
            <w:hideMark/>
          </w:tcPr>
          <w:p w14:paraId="5915C481"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095" w:type="pct"/>
            <w:hideMark/>
          </w:tcPr>
          <w:p w14:paraId="5915C482"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0120C1" w:rsidRPr="00404CF4" w14:paraId="5915C488" w14:textId="77777777" w:rsidTr="0031289C">
        <w:trPr>
          <w:cantSplit/>
        </w:trPr>
        <w:tc>
          <w:tcPr>
            <w:tcW w:w="1613" w:type="pct"/>
          </w:tcPr>
          <w:p w14:paraId="5915C484" w14:textId="77777777" w:rsidR="000120C1" w:rsidRPr="00FE1DFC" w:rsidRDefault="000120C1" w:rsidP="00B16B8F">
            <w:r w:rsidRPr="00FE1DFC">
              <w:t>Direktīvas 2005/36/E</w:t>
            </w:r>
            <w:r w:rsidR="00FB4D5D" w:rsidRPr="00FE1DFC">
              <w:t xml:space="preserve">K </w:t>
            </w:r>
            <w:r w:rsidR="00B16B8F">
              <w:t>38</w:t>
            </w:r>
            <w:r w:rsidR="00FB4D5D" w:rsidRPr="00FE1DFC">
              <w:t>. panta 3.punkt</w:t>
            </w:r>
            <w:r w:rsidR="00B16B8F">
              <w:t>s</w:t>
            </w:r>
          </w:p>
        </w:tc>
        <w:tc>
          <w:tcPr>
            <w:tcW w:w="1042" w:type="pct"/>
          </w:tcPr>
          <w:p w14:paraId="5915C485" w14:textId="77777777" w:rsidR="000120C1" w:rsidRPr="00FE1DFC" w:rsidRDefault="000120C1" w:rsidP="00B16B8F">
            <w:pPr>
              <w:ind w:left="57"/>
            </w:pPr>
            <w:r w:rsidRPr="00FE1DFC">
              <w:t xml:space="preserve">Noteikumu projekta </w:t>
            </w:r>
            <w:r w:rsidR="00FE1DFC" w:rsidRPr="00FE1DFC">
              <w:t>1</w:t>
            </w:r>
            <w:r w:rsidRPr="00FE1DFC">
              <w:t>. p</w:t>
            </w:r>
            <w:r w:rsidR="00FB4D5D" w:rsidRPr="00FE1DFC">
              <w:t xml:space="preserve">unkts </w:t>
            </w:r>
          </w:p>
        </w:tc>
        <w:tc>
          <w:tcPr>
            <w:tcW w:w="1250" w:type="pct"/>
            <w:gridSpan w:val="2"/>
          </w:tcPr>
          <w:p w14:paraId="5915C486" w14:textId="77777777" w:rsidR="000120C1" w:rsidRPr="00FE1DFC" w:rsidRDefault="000120C1" w:rsidP="000120C1">
            <w:pPr>
              <w:ind w:left="57"/>
            </w:pPr>
            <w:r w:rsidRPr="00FE1DFC">
              <w:t>Tiks ieviesta pilnībā</w:t>
            </w:r>
          </w:p>
        </w:tc>
        <w:tc>
          <w:tcPr>
            <w:tcW w:w="1095" w:type="pct"/>
          </w:tcPr>
          <w:p w14:paraId="5915C487" w14:textId="77777777" w:rsidR="000120C1" w:rsidRPr="00C07EB2" w:rsidRDefault="00712F12" w:rsidP="000120C1">
            <w:pPr>
              <w:ind w:left="57"/>
            </w:pPr>
            <w:r w:rsidRPr="00FE1DFC">
              <w:t>Neparedzēs stingrākas prasības</w:t>
            </w:r>
          </w:p>
        </w:tc>
      </w:tr>
      <w:tr w:rsidR="00FE1DFC" w:rsidRPr="00404CF4" w14:paraId="5915C48D" w14:textId="77777777" w:rsidTr="0031289C">
        <w:trPr>
          <w:cantSplit/>
        </w:trPr>
        <w:tc>
          <w:tcPr>
            <w:tcW w:w="1613" w:type="pct"/>
          </w:tcPr>
          <w:p w14:paraId="5915C489" w14:textId="51BBC64B" w:rsidR="00FE1DFC" w:rsidRPr="00C07EB2" w:rsidRDefault="00FE1DFC" w:rsidP="00A6225E">
            <w:r w:rsidRPr="00FE1DFC">
              <w:t xml:space="preserve">Direktīvas 2005/36/EK </w:t>
            </w:r>
            <w:r w:rsidR="00A6225E">
              <w:t xml:space="preserve">V pielikuma </w:t>
            </w:r>
            <w:r w:rsidR="00B16B8F">
              <w:t xml:space="preserve">5.4.1. </w:t>
            </w:r>
            <w:r w:rsidR="00A6225E">
              <w:t>punkts</w:t>
            </w:r>
          </w:p>
        </w:tc>
        <w:tc>
          <w:tcPr>
            <w:tcW w:w="1042" w:type="pct"/>
          </w:tcPr>
          <w:p w14:paraId="5915C48A" w14:textId="7A94D8F6" w:rsidR="00FE1DFC" w:rsidRPr="00C07EB2" w:rsidRDefault="00FE1DFC" w:rsidP="00FE1DFC">
            <w:pPr>
              <w:ind w:left="57"/>
            </w:pPr>
            <w:r w:rsidRPr="00FE1DFC">
              <w:t xml:space="preserve">Noteikumu projekta </w:t>
            </w:r>
            <w:r>
              <w:t>2</w:t>
            </w:r>
            <w:r w:rsidRPr="00FE1DFC">
              <w:t>.</w:t>
            </w:r>
            <w:r w:rsidR="00B16B8F">
              <w:t>, 3.</w:t>
            </w:r>
            <w:r w:rsidR="0090062B">
              <w:t>, 4.</w:t>
            </w:r>
            <w:r w:rsidRPr="00FE1DFC">
              <w:t> p</w:t>
            </w:r>
            <w:r>
              <w:t xml:space="preserve">unkts </w:t>
            </w:r>
            <w:r w:rsidRPr="00FE1DFC">
              <w:t xml:space="preserve"> </w:t>
            </w:r>
          </w:p>
        </w:tc>
        <w:tc>
          <w:tcPr>
            <w:tcW w:w="1250" w:type="pct"/>
            <w:gridSpan w:val="2"/>
          </w:tcPr>
          <w:p w14:paraId="5915C48B" w14:textId="77777777" w:rsidR="00FE1DFC" w:rsidRPr="00C07EB2" w:rsidRDefault="00FE1DFC" w:rsidP="00FE1DFC">
            <w:pPr>
              <w:ind w:left="57"/>
            </w:pPr>
            <w:r w:rsidRPr="00FE1DFC">
              <w:t>Tiks ieviesta pilnībā</w:t>
            </w:r>
          </w:p>
        </w:tc>
        <w:tc>
          <w:tcPr>
            <w:tcW w:w="1095" w:type="pct"/>
          </w:tcPr>
          <w:p w14:paraId="5915C48C" w14:textId="77777777" w:rsidR="00FE1DFC" w:rsidRDefault="00FE1DFC" w:rsidP="00FE1DFC">
            <w:pPr>
              <w:ind w:left="57"/>
            </w:pPr>
            <w:r w:rsidRPr="00FE1DFC">
              <w:t>Neparedzēs stingrākas prasības</w:t>
            </w:r>
          </w:p>
        </w:tc>
      </w:tr>
      <w:tr w:rsidR="00B16B8F" w:rsidRPr="00404CF4" w14:paraId="5915C492" w14:textId="77777777" w:rsidTr="0031289C">
        <w:trPr>
          <w:cantSplit/>
        </w:trPr>
        <w:tc>
          <w:tcPr>
            <w:tcW w:w="1613" w:type="pct"/>
          </w:tcPr>
          <w:p w14:paraId="5915C48E" w14:textId="77777777" w:rsidR="00B16B8F" w:rsidRPr="00FE1DFC" w:rsidRDefault="00B16B8F" w:rsidP="00B16B8F"/>
        </w:tc>
        <w:tc>
          <w:tcPr>
            <w:tcW w:w="1042" w:type="pct"/>
          </w:tcPr>
          <w:p w14:paraId="5915C48F" w14:textId="77777777" w:rsidR="00B16B8F" w:rsidRPr="00FE1DFC" w:rsidRDefault="00B16B8F" w:rsidP="00FE1DFC">
            <w:pPr>
              <w:ind w:left="57"/>
            </w:pPr>
          </w:p>
        </w:tc>
        <w:tc>
          <w:tcPr>
            <w:tcW w:w="1250" w:type="pct"/>
            <w:gridSpan w:val="2"/>
          </w:tcPr>
          <w:p w14:paraId="5915C490" w14:textId="77777777" w:rsidR="00B16B8F" w:rsidRPr="00FE1DFC" w:rsidRDefault="00B16B8F" w:rsidP="00FE1DFC">
            <w:pPr>
              <w:ind w:left="57"/>
            </w:pPr>
          </w:p>
        </w:tc>
        <w:tc>
          <w:tcPr>
            <w:tcW w:w="1095" w:type="pct"/>
          </w:tcPr>
          <w:p w14:paraId="5915C491" w14:textId="77777777" w:rsidR="00B16B8F" w:rsidRPr="00FE1DFC" w:rsidRDefault="00B16B8F" w:rsidP="00FE1DFC">
            <w:pPr>
              <w:ind w:left="57"/>
            </w:pPr>
          </w:p>
        </w:tc>
      </w:tr>
      <w:tr w:rsidR="00FE1DFC" w:rsidRPr="00404CF4" w14:paraId="5915C495" w14:textId="77777777" w:rsidTr="0031289C">
        <w:tc>
          <w:tcPr>
            <w:tcW w:w="1613" w:type="pct"/>
            <w:hideMark/>
          </w:tcPr>
          <w:p w14:paraId="5915C493" w14:textId="77777777" w:rsidR="00FE1DFC" w:rsidRPr="00404CF4" w:rsidRDefault="00FE1DFC" w:rsidP="00FE1DFC">
            <w:r w:rsidRPr="00404CF4">
              <w:t>Kā ir izmantota ES tiesību aktā paredzētā rīcības brīvība dalībvalstij pārņemt vai ieviest noteiktas ES tiesību akta normas? Kādēļ?</w:t>
            </w:r>
          </w:p>
        </w:tc>
        <w:tc>
          <w:tcPr>
            <w:tcW w:w="3387" w:type="pct"/>
            <w:gridSpan w:val="4"/>
            <w:hideMark/>
          </w:tcPr>
          <w:p w14:paraId="5915C494" w14:textId="77777777" w:rsidR="00FE1DFC" w:rsidRPr="00404CF4" w:rsidRDefault="00B759E6" w:rsidP="00FE1DFC">
            <w:pPr>
              <w:ind w:firstLine="108"/>
              <w:jc w:val="both"/>
            </w:pPr>
            <w:r w:rsidRPr="00B759E6">
              <w:t>Projekts šo jomu neskar.</w:t>
            </w:r>
          </w:p>
        </w:tc>
      </w:tr>
      <w:tr w:rsidR="00FE1DFC" w:rsidRPr="00404CF4" w14:paraId="5915C49A" w14:textId="77777777" w:rsidTr="0031289C">
        <w:tc>
          <w:tcPr>
            <w:tcW w:w="1613" w:type="pct"/>
            <w:hideMark/>
          </w:tcPr>
          <w:p w14:paraId="5915C496" w14:textId="77777777" w:rsidR="00FE1DFC" w:rsidRPr="00404CF4" w:rsidRDefault="00FE1DFC" w:rsidP="00FE1DFC">
            <w:r w:rsidRPr="00404CF4">
              <w:t xml:space="preserve">Saistības sniegt paziņojumu ES institūcijām un ES dalībvalstīm atbilstoši </w:t>
            </w:r>
            <w:r w:rsidRPr="00404CF4">
              <w:lastRenderedPageBreak/>
              <w:t>normatīvajiem aktiem, kas regulē informācijas sniegšanu par tehnisko noteikumu, valsts atbalsta piešķiršanas un finanšu noteikumu (attiecībā uz monetāro politiku) projektiem</w:t>
            </w:r>
          </w:p>
        </w:tc>
        <w:tc>
          <w:tcPr>
            <w:tcW w:w="3387" w:type="pct"/>
            <w:gridSpan w:val="4"/>
            <w:hideMark/>
          </w:tcPr>
          <w:p w14:paraId="5915C497" w14:textId="77777777" w:rsidR="00FE1DFC" w:rsidRPr="00404CF4" w:rsidRDefault="00FE1DFC" w:rsidP="00FE1DFC">
            <w:pPr>
              <w:ind w:firstLine="108"/>
            </w:pPr>
            <w:r w:rsidRPr="00404CF4">
              <w:lastRenderedPageBreak/>
              <w:t>Projekts šo jomu neskar.</w:t>
            </w:r>
          </w:p>
          <w:p w14:paraId="5915C498" w14:textId="77777777" w:rsidR="00FE1DFC" w:rsidRPr="00404CF4" w:rsidRDefault="00FE1DFC" w:rsidP="00FE1DFC">
            <w:pPr>
              <w:ind w:firstLine="108"/>
            </w:pPr>
          </w:p>
          <w:p w14:paraId="5915C499" w14:textId="77777777" w:rsidR="00FE1DFC" w:rsidRPr="00404CF4" w:rsidRDefault="00FE1DFC" w:rsidP="00FE1DFC">
            <w:pPr>
              <w:ind w:firstLine="108"/>
            </w:pPr>
          </w:p>
        </w:tc>
      </w:tr>
      <w:tr w:rsidR="00FE1DFC" w:rsidRPr="00404CF4" w14:paraId="5915C49D" w14:textId="77777777" w:rsidTr="0031289C">
        <w:trPr>
          <w:cantSplit/>
        </w:trPr>
        <w:tc>
          <w:tcPr>
            <w:tcW w:w="1613" w:type="pct"/>
            <w:hideMark/>
          </w:tcPr>
          <w:p w14:paraId="5915C49B" w14:textId="77777777" w:rsidR="00FE1DFC" w:rsidRPr="00404CF4" w:rsidRDefault="00FE1DFC" w:rsidP="00FE1DFC">
            <w:r w:rsidRPr="00404CF4">
              <w:t>Cita informācija</w:t>
            </w:r>
          </w:p>
        </w:tc>
        <w:tc>
          <w:tcPr>
            <w:tcW w:w="3387" w:type="pct"/>
            <w:gridSpan w:val="4"/>
            <w:hideMark/>
          </w:tcPr>
          <w:p w14:paraId="5915C49C" w14:textId="77777777" w:rsidR="00FE1DFC" w:rsidRPr="00404CF4" w:rsidRDefault="00FE1DFC" w:rsidP="00FE1DFC">
            <w:pPr>
              <w:ind w:firstLine="108"/>
            </w:pPr>
            <w:r w:rsidRPr="00404CF4">
              <w:t>Nav.</w:t>
            </w:r>
          </w:p>
        </w:tc>
      </w:tr>
      <w:tr w:rsidR="00FE1DFC" w:rsidRPr="00404CF4" w14:paraId="5915C49F" w14:textId="77777777" w:rsidTr="0031289C">
        <w:trPr>
          <w:cantSplit/>
        </w:trPr>
        <w:tc>
          <w:tcPr>
            <w:tcW w:w="5000" w:type="pct"/>
            <w:gridSpan w:val="5"/>
            <w:vAlign w:val="center"/>
            <w:hideMark/>
          </w:tcPr>
          <w:p w14:paraId="5915C49E" w14:textId="77777777" w:rsidR="00FE1DFC" w:rsidRPr="00404CF4" w:rsidRDefault="00FE1DFC" w:rsidP="00FE1DFC">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FE1DFC" w:rsidRPr="00404CF4" w14:paraId="5915C4A2" w14:textId="77777777" w:rsidTr="0031289C">
        <w:trPr>
          <w:cantSplit/>
        </w:trPr>
        <w:tc>
          <w:tcPr>
            <w:tcW w:w="1613" w:type="pct"/>
            <w:vAlign w:val="center"/>
          </w:tcPr>
          <w:p w14:paraId="5915C4A0" w14:textId="77777777" w:rsidR="00FE1DFC" w:rsidRPr="00404CF4" w:rsidRDefault="00FE1DFC" w:rsidP="00FE1DFC">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387" w:type="pct"/>
            <w:gridSpan w:val="4"/>
          </w:tcPr>
          <w:p w14:paraId="5915C4A1" w14:textId="77777777" w:rsidR="00FE1DFC" w:rsidRPr="00404CF4" w:rsidRDefault="00FE1DFC" w:rsidP="00FE1DFC">
            <w:pPr>
              <w:rPr>
                <w:bCs/>
              </w:rPr>
            </w:pPr>
            <w:r w:rsidRPr="00404CF4">
              <w:rPr>
                <w:bCs/>
              </w:rPr>
              <w:t>Projekts šo jomu neskar.</w:t>
            </w:r>
          </w:p>
        </w:tc>
      </w:tr>
      <w:tr w:rsidR="00FE1DFC" w:rsidRPr="00404CF4" w14:paraId="5915C4A6" w14:textId="77777777" w:rsidTr="0031289C">
        <w:trPr>
          <w:cantSplit/>
        </w:trPr>
        <w:tc>
          <w:tcPr>
            <w:tcW w:w="1613" w:type="pct"/>
            <w:vAlign w:val="center"/>
          </w:tcPr>
          <w:p w14:paraId="5915C4A3" w14:textId="77777777" w:rsidR="00FE1DFC" w:rsidRPr="00404CF4" w:rsidRDefault="00FE1DFC" w:rsidP="00FE1DFC">
            <w:pPr>
              <w:jc w:val="center"/>
              <w:rPr>
                <w:bCs/>
              </w:rPr>
            </w:pPr>
            <w:r w:rsidRPr="00404CF4">
              <w:rPr>
                <w:bCs/>
              </w:rPr>
              <w:t>A</w:t>
            </w:r>
          </w:p>
        </w:tc>
        <w:tc>
          <w:tcPr>
            <w:tcW w:w="2083" w:type="pct"/>
            <w:gridSpan w:val="2"/>
            <w:vAlign w:val="center"/>
          </w:tcPr>
          <w:p w14:paraId="5915C4A4" w14:textId="77777777" w:rsidR="00FE1DFC" w:rsidRPr="00404CF4" w:rsidRDefault="00FE1DFC" w:rsidP="00FE1DFC">
            <w:pPr>
              <w:jc w:val="center"/>
              <w:rPr>
                <w:bCs/>
              </w:rPr>
            </w:pPr>
            <w:r w:rsidRPr="00404CF4">
              <w:rPr>
                <w:bCs/>
              </w:rPr>
              <w:t>B</w:t>
            </w:r>
          </w:p>
        </w:tc>
        <w:tc>
          <w:tcPr>
            <w:tcW w:w="1304" w:type="pct"/>
            <w:gridSpan w:val="2"/>
            <w:vAlign w:val="center"/>
          </w:tcPr>
          <w:p w14:paraId="5915C4A5" w14:textId="77777777" w:rsidR="00FE1DFC" w:rsidRPr="00404CF4" w:rsidRDefault="00FE1DFC" w:rsidP="00FE1DFC">
            <w:pPr>
              <w:jc w:val="center"/>
              <w:rPr>
                <w:bCs/>
              </w:rPr>
            </w:pPr>
            <w:r w:rsidRPr="00404CF4">
              <w:rPr>
                <w:bCs/>
              </w:rPr>
              <w:t>C</w:t>
            </w:r>
          </w:p>
        </w:tc>
      </w:tr>
      <w:tr w:rsidR="00FE1DFC" w:rsidRPr="00404CF4" w14:paraId="5915C4AA" w14:textId="77777777" w:rsidTr="0031289C">
        <w:trPr>
          <w:cantSplit/>
        </w:trPr>
        <w:tc>
          <w:tcPr>
            <w:tcW w:w="1613" w:type="pct"/>
          </w:tcPr>
          <w:p w14:paraId="5915C4A7" w14:textId="77777777" w:rsidR="00FE1DFC" w:rsidRPr="00404CF4" w:rsidRDefault="00FE1DFC" w:rsidP="00FE1DFC">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83" w:type="pct"/>
            <w:gridSpan w:val="2"/>
          </w:tcPr>
          <w:p w14:paraId="5915C4A8" w14:textId="77777777" w:rsidR="00FE1DFC" w:rsidRPr="00404CF4" w:rsidRDefault="00FE1DFC" w:rsidP="00FE1DFC">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04" w:type="pct"/>
            <w:gridSpan w:val="2"/>
          </w:tcPr>
          <w:p w14:paraId="5915C4A9" w14:textId="77777777" w:rsidR="00FE1DFC" w:rsidRPr="00404CF4" w:rsidRDefault="00FE1DFC" w:rsidP="00FE1DFC">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FE1DFC" w:rsidRPr="00404CF4" w14:paraId="5915C4AE" w14:textId="77777777" w:rsidTr="0031289C">
        <w:trPr>
          <w:cantSplit/>
        </w:trPr>
        <w:tc>
          <w:tcPr>
            <w:tcW w:w="1613" w:type="pct"/>
            <w:vAlign w:val="center"/>
          </w:tcPr>
          <w:p w14:paraId="5915C4AB" w14:textId="77777777" w:rsidR="00FE1DFC" w:rsidRPr="00404CF4" w:rsidRDefault="00FE1DFC" w:rsidP="00FE1DFC">
            <w:pPr>
              <w:rPr>
                <w:shd w:val="clear" w:color="auto" w:fill="FFFFFF"/>
              </w:rPr>
            </w:pPr>
            <w:r w:rsidRPr="00404CF4">
              <w:rPr>
                <w:shd w:val="clear" w:color="auto" w:fill="FFFFFF"/>
              </w:rPr>
              <w:t>-</w:t>
            </w:r>
          </w:p>
        </w:tc>
        <w:tc>
          <w:tcPr>
            <w:tcW w:w="2083" w:type="pct"/>
            <w:gridSpan w:val="2"/>
          </w:tcPr>
          <w:p w14:paraId="5915C4AC" w14:textId="77777777" w:rsidR="00FE1DFC" w:rsidRPr="00404CF4" w:rsidRDefault="00FE1DFC" w:rsidP="00FE1DFC">
            <w:pPr>
              <w:rPr>
                <w:shd w:val="clear" w:color="auto" w:fill="FFFFFF"/>
              </w:rPr>
            </w:pPr>
            <w:r w:rsidRPr="00404CF4">
              <w:rPr>
                <w:shd w:val="clear" w:color="auto" w:fill="FFFFFF"/>
              </w:rPr>
              <w:t>-</w:t>
            </w:r>
          </w:p>
        </w:tc>
        <w:tc>
          <w:tcPr>
            <w:tcW w:w="1304" w:type="pct"/>
            <w:gridSpan w:val="2"/>
            <w:vAlign w:val="center"/>
          </w:tcPr>
          <w:p w14:paraId="5915C4AD" w14:textId="77777777" w:rsidR="00FE1DFC" w:rsidRPr="00404CF4" w:rsidRDefault="00FE1DFC" w:rsidP="00FE1DFC">
            <w:pPr>
              <w:rPr>
                <w:shd w:val="clear" w:color="auto" w:fill="FFFFFF"/>
              </w:rPr>
            </w:pPr>
            <w:r w:rsidRPr="00404CF4">
              <w:rPr>
                <w:shd w:val="clear" w:color="auto" w:fill="FFFFFF"/>
              </w:rPr>
              <w:t>-</w:t>
            </w:r>
          </w:p>
        </w:tc>
      </w:tr>
      <w:tr w:rsidR="00FE1DFC" w:rsidRPr="00404CF4" w14:paraId="5915C4B1" w14:textId="77777777" w:rsidTr="0031289C">
        <w:trPr>
          <w:cantSplit/>
        </w:trPr>
        <w:tc>
          <w:tcPr>
            <w:tcW w:w="1613" w:type="pct"/>
            <w:vAlign w:val="center"/>
          </w:tcPr>
          <w:p w14:paraId="5915C4AF" w14:textId="77777777" w:rsidR="00FE1DFC" w:rsidRPr="00404CF4" w:rsidRDefault="00FE1DFC" w:rsidP="00FE1DFC">
            <w:pPr>
              <w:rPr>
                <w:bCs/>
              </w:rPr>
            </w:pPr>
            <w:r w:rsidRPr="00404CF4">
              <w:rPr>
                <w:shd w:val="clear" w:color="auto" w:fill="FFFFFF"/>
              </w:rPr>
              <w:t>Vai starptautiskajā dokumentā paredzētās saistības nav pretrunā ar jau esošajām Latvijas Republikas starptautiskajām saistībām</w:t>
            </w:r>
          </w:p>
        </w:tc>
        <w:tc>
          <w:tcPr>
            <w:tcW w:w="3387" w:type="pct"/>
            <w:gridSpan w:val="4"/>
          </w:tcPr>
          <w:p w14:paraId="5915C4B0" w14:textId="77777777" w:rsidR="00FE1DFC" w:rsidRPr="00404CF4" w:rsidRDefault="00FE1DFC" w:rsidP="00FE1DFC">
            <w:pPr>
              <w:rPr>
                <w:bCs/>
              </w:rPr>
            </w:pPr>
            <w:r w:rsidRPr="00404CF4">
              <w:rPr>
                <w:bCs/>
              </w:rPr>
              <w:t>Projekts šo jomu neskar.</w:t>
            </w:r>
          </w:p>
        </w:tc>
      </w:tr>
      <w:tr w:rsidR="00FE1DFC" w:rsidRPr="00404CF4" w14:paraId="5915C4B4" w14:textId="77777777" w:rsidTr="0031289C">
        <w:trPr>
          <w:cantSplit/>
        </w:trPr>
        <w:tc>
          <w:tcPr>
            <w:tcW w:w="1613" w:type="pct"/>
            <w:vAlign w:val="center"/>
          </w:tcPr>
          <w:p w14:paraId="5915C4B2" w14:textId="77777777" w:rsidR="00FE1DFC" w:rsidRPr="00404CF4" w:rsidRDefault="00FE1DFC" w:rsidP="00FE1DFC">
            <w:pPr>
              <w:rPr>
                <w:shd w:val="clear" w:color="auto" w:fill="FFFFFF"/>
              </w:rPr>
            </w:pPr>
            <w:r w:rsidRPr="00404CF4">
              <w:rPr>
                <w:shd w:val="clear" w:color="auto" w:fill="FFFFFF"/>
              </w:rPr>
              <w:t>Cita informācija</w:t>
            </w:r>
          </w:p>
        </w:tc>
        <w:tc>
          <w:tcPr>
            <w:tcW w:w="3387" w:type="pct"/>
            <w:gridSpan w:val="4"/>
            <w:vAlign w:val="center"/>
          </w:tcPr>
          <w:p w14:paraId="5915C4B3" w14:textId="77777777" w:rsidR="00FE1DFC" w:rsidRPr="00404CF4" w:rsidRDefault="00FE1DFC" w:rsidP="00FE1DFC">
            <w:pPr>
              <w:rPr>
                <w:bCs/>
              </w:rPr>
            </w:pPr>
            <w:r w:rsidRPr="00404CF4">
              <w:rPr>
                <w:bCs/>
              </w:rPr>
              <w:t>Nav</w:t>
            </w:r>
          </w:p>
        </w:tc>
      </w:tr>
    </w:tbl>
    <w:p w14:paraId="5915C4B5"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B7" w14:textId="77777777" w:rsidTr="00DD3136">
        <w:trPr>
          <w:cantSplit/>
        </w:trPr>
        <w:tc>
          <w:tcPr>
            <w:tcW w:w="5000" w:type="pct"/>
            <w:gridSpan w:val="3"/>
            <w:vAlign w:val="center"/>
            <w:hideMark/>
          </w:tcPr>
          <w:p w14:paraId="5915C4B6"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5915C4BB" w14:textId="77777777" w:rsidTr="00DD3136">
        <w:tc>
          <w:tcPr>
            <w:tcW w:w="311" w:type="pct"/>
            <w:hideMark/>
          </w:tcPr>
          <w:p w14:paraId="5915C4B8" w14:textId="77777777" w:rsidR="00BD5588" w:rsidRPr="0031289C" w:rsidRDefault="00222C95" w:rsidP="00E273A1">
            <w:pPr>
              <w:jc w:val="center"/>
            </w:pPr>
            <w:r w:rsidRPr="0031289C">
              <w:lastRenderedPageBreak/>
              <w:t>1.</w:t>
            </w:r>
          </w:p>
        </w:tc>
        <w:tc>
          <w:tcPr>
            <w:tcW w:w="1479" w:type="pct"/>
            <w:hideMark/>
          </w:tcPr>
          <w:p w14:paraId="5915C4B9" w14:textId="77777777" w:rsidR="00BD5588" w:rsidRPr="0031289C" w:rsidRDefault="00222C95" w:rsidP="00E273A1">
            <w:r w:rsidRPr="0031289C">
              <w:t>Plānotās sabiedrības līdzdalības un komunikācijas aktivitātes saistībā ar projektu</w:t>
            </w:r>
          </w:p>
        </w:tc>
        <w:tc>
          <w:tcPr>
            <w:tcW w:w="3210" w:type="pct"/>
          </w:tcPr>
          <w:p w14:paraId="2A97915B" w14:textId="7CC31599" w:rsidR="00161647" w:rsidRDefault="00222C95" w:rsidP="0031289C">
            <w:pPr>
              <w:ind w:firstLine="108"/>
              <w:jc w:val="both"/>
            </w:pPr>
            <w:r w:rsidRPr="0031289C">
              <w:t>Noteikumu projekt</w:t>
            </w:r>
            <w:r w:rsidR="00B4753B" w:rsidRPr="0031289C">
              <w:t xml:space="preserve">s </w:t>
            </w:r>
            <w:r w:rsidR="00A36DB2">
              <w:t xml:space="preserve">2019. gada 18. oktobrī </w:t>
            </w:r>
            <w:r w:rsidR="00B16B8F" w:rsidRPr="0031289C">
              <w:t>tik</w:t>
            </w:r>
            <w:r w:rsidR="00A36DB2">
              <w:t>a</w:t>
            </w:r>
            <w:r w:rsidRPr="0031289C">
              <w:t xml:space="preserve"> publicēt</w:t>
            </w:r>
            <w:r w:rsidR="00B4753B" w:rsidRPr="0031289C">
              <w:t>s</w:t>
            </w:r>
            <w:r w:rsidRPr="0031289C">
              <w:t xml:space="preserve"> ministrijas tīmekļa vietnē</w:t>
            </w:r>
            <w:r w:rsidR="00A36DB2">
              <w:t xml:space="preserve"> </w:t>
            </w:r>
            <w:r w:rsidR="00A36DB2" w:rsidRPr="00A36DB2">
              <w:t>https://www.izm.gov.lv/lv/sabiedribas-lidzdaliba/sabiedriskajai-apspriesanai-nodotie-normativo-aktu-projekti/3715-noteikumi-par-izglitibas-programmu-minimalajam-prasibam-veterinararsta-profesionalas-kvalifikacijas-iegusanai</w:t>
            </w:r>
            <w:r w:rsidR="0031289C">
              <w:t xml:space="preserve"> pirms</w:t>
            </w:r>
            <w:r w:rsidR="00B16B8F" w:rsidRPr="0031289C">
              <w:t xml:space="preserve"> tā izsludināšanas Valsts sekretāru sanāksmē.</w:t>
            </w:r>
          </w:p>
          <w:p w14:paraId="5915C4BA" w14:textId="5FA31B2A" w:rsidR="00A36DB2" w:rsidRPr="00404CF4" w:rsidRDefault="00A36DB2" w:rsidP="0031289C">
            <w:pPr>
              <w:ind w:firstLine="108"/>
              <w:jc w:val="both"/>
            </w:pPr>
            <w:r>
              <w:t xml:space="preserve">Zemkopības ministrija, Latvijas Veterinārārstu biedrība, Latvijas Lauksaimniecības universitāte ar e-pastu tika informētas par sabiedriskajai apspriešanai nodoto noteikumu projektu. </w:t>
            </w:r>
          </w:p>
        </w:tc>
      </w:tr>
      <w:tr w:rsidR="001B1B15" w:rsidRPr="00404CF4" w14:paraId="5915C4BF" w14:textId="77777777" w:rsidTr="00DD3136">
        <w:trPr>
          <w:cantSplit/>
        </w:trPr>
        <w:tc>
          <w:tcPr>
            <w:tcW w:w="311" w:type="pct"/>
            <w:hideMark/>
          </w:tcPr>
          <w:p w14:paraId="5915C4BC" w14:textId="77777777" w:rsidR="00BD5588" w:rsidRPr="00404CF4" w:rsidRDefault="00222C95" w:rsidP="00E273A1">
            <w:pPr>
              <w:jc w:val="center"/>
            </w:pPr>
            <w:r w:rsidRPr="00404CF4">
              <w:t>2.</w:t>
            </w:r>
          </w:p>
        </w:tc>
        <w:tc>
          <w:tcPr>
            <w:tcW w:w="1479" w:type="pct"/>
            <w:hideMark/>
          </w:tcPr>
          <w:p w14:paraId="5915C4BD" w14:textId="77777777" w:rsidR="00BD5588" w:rsidRPr="00404CF4" w:rsidRDefault="00222C95" w:rsidP="00E273A1">
            <w:r w:rsidRPr="00404CF4">
              <w:t>Sabiedrības līdzdalība projekta izstrādē</w:t>
            </w:r>
          </w:p>
        </w:tc>
        <w:tc>
          <w:tcPr>
            <w:tcW w:w="3210" w:type="pct"/>
          </w:tcPr>
          <w:p w14:paraId="5915C4BE" w14:textId="63207F33" w:rsidR="00B4753B" w:rsidRPr="00404CF4" w:rsidRDefault="002F4583" w:rsidP="00B759E6">
            <w:pPr>
              <w:pStyle w:val="naisnod"/>
              <w:spacing w:before="0" w:after="0"/>
              <w:ind w:right="57" w:firstLine="108"/>
              <w:jc w:val="both"/>
              <w:rPr>
                <w:b w:val="0"/>
              </w:rPr>
            </w:pPr>
            <w:r>
              <w:rPr>
                <w:b w:val="0"/>
              </w:rPr>
              <w:t>S</w:t>
            </w:r>
            <w:r w:rsidR="00B759E6">
              <w:rPr>
                <w:b w:val="0"/>
              </w:rPr>
              <w:t>abiedrības pārstāvji var</w:t>
            </w:r>
            <w:r w:rsidR="0004428F">
              <w:rPr>
                <w:b w:val="0"/>
              </w:rPr>
              <w:t>ē</w:t>
            </w:r>
            <w:r w:rsidR="001376E5">
              <w:rPr>
                <w:b w:val="0"/>
              </w:rPr>
              <w:t>ja</w:t>
            </w:r>
            <w:r w:rsidR="00B4753B" w:rsidRPr="00404CF4">
              <w:rPr>
                <w:b w:val="0"/>
              </w:rPr>
              <w:t xml:space="preserve"> līdzdarboties noteikumu projekta </w:t>
            </w:r>
            <w:r>
              <w:rPr>
                <w:b w:val="0"/>
              </w:rPr>
              <w:t>apspriešanā</w:t>
            </w:r>
            <w:r w:rsidR="00B4753B" w:rsidRPr="00404CF4">
              <w:rPr>
                <w:b w:val="0"/>
              </w:rPr>
              <w:t xml:space="preserve">, sniedzot viedokli par </w:t>
            </w:r>
            <w:r w:rsidR="00C9153D">
              <w:rPr>
                <w:b w:val="0"/>
              </w:rPr>
              <w:t xml:space="preserve">noteikumu </w:t>
            </w:r>
            <w:r w:rsidR="00B4753B" w:rsidRPr="00404CF4">
              <w:rPr>
                <w:b w:val="0"/>
              </w:rPr>
              <w:t>projektu, kas publicēts ministrijas tīmekļa vietnē</w:t>
            </w:r>
            <w:r w:rsidR="00B759E6">
              <w:rPr>
                <w:b w:val="0"/>
              </w:rPr>
              <w:t>.</w:t>
            </w:r>
          </w:p>
        </w:tc>
      </w:tr>
      <w:tr w:rsidR="001B1B15" w:rsidRPr="00404CF4" w14:paraId="5915C4C4" w14:textId="77777777" w:rsidTr="00DD3136">
        <w:trPr>
          <w:cantSplit/>
        </w:trPr>
        <w:tc>
          <w:tcPr>
            <w:tcW w:w="311" w:type="pct"/>
            <w:hideMark/>
          </w:tcPr>
          <w:p w14:paraId="5915C4C0" w14:textId="77777777" w:rsidR="00BD5588" w:rsidRPr="00404CF4" w:rsidRDefault="00222C95" w:rsidP="00E273A1">
            <w:pPr>
              <w:jc w:val="center"/>
            </w:pPr>
            <w:r w:rsidRPr="00404CF4">
              <w:t>3.</w:t>
            </w:r>
          </w:p>
        </w:tc>
        <w:tc>
          <w:tcPr>
            <w:tcW w:w="1479" w:type="pct"/>
            <w:hideMark/>
          </w:tcPr>
          <w:p w14:paraId="5915C4C1" w14:textId="77777777" w:rsidR="00BD5588" w:rsidRPr="00404CF4" w:rsidRDefault="00222C95" w:rsidP="00E273A1">
            <w:r w:rsidRPr="00404CF4">
              <w:t>Sabiedrības līdzdalības rezultāti</w:t>
            </w:r>
          </w:p>
        </w:tc>
        <w:tc>
          <w:tcPr>
            <w:tcW w:w="3210" w:type="pct"/>
          </w:tcPr>
          <w:p w14:paraId="647E1B94" w14:textId="77777777" w:rsidR="00A36DB2" w:rsidRDefault="00A36DB2" w:rsidP="00A36DB2">
            <w:pPr>
              <w:ind w:firstLine="108"/>
              <w:jc w:val="both"/>
            </w:pPr>
            <w:r>
              <w:t>Latvijas Veterinārārstu biedrība ierosināja noteikumu projektā lietot terminu “labturība” nevis “labklājība” direktīvas 2005/36/EK 38.panta 3. punkta (b) apakšpunktā noteikto prasību pārņemšanai. Šis priekšlikums ir ņemts vērā un noteikumu projekts atbilstoši tam precizēts.</w:t>
            </w:r>
          </w:p>
          <w:p w14:paraId="5915C4C3" w14:textId="77777777" w:rsidR="00812E5A" w:rsidRPr="00404CF4" w:rsidRDefault="00812E5A" w:rsidP="00376B3F">
            <w:pPr>
              <w:ind w:firstLine="108"/>
              <w:jc w:val="both"/>
            </w:pPr>
          </w:p>
        </w:tc>
      </w:tr>
      <w:tr w:rsidR="001B1B15" w:rsidRPr="00404CF4" w14:paraId="5915C4C9" w14:textId="77777777" w:rsidTr="00DD3136">
        <w:trPr>
          <w:cantSplit/>
        </w:trPr>
        <w:tc>
          <w:tcPr>
            <w:tcW w:w="311" w:type="pct"/>
            <w:hideMark/>
          </w:tcPr>
          <w:p w14:paraId="5915C4C5" w14:textId="77777777" w:rsidR="00BD5588" w:rsidRPr="00404CF4" w:rsidRDefault="00222C95" w:rsidP="00E273A1">
            <w:pPr>
              <w:jc w:val="center"/>
            </w:pPr>
            <w:r w:rsidRPr="00404CF4">
              <w:t>4.</w:t>
            </w:r>
          </w:p>
        </w:tc>
        <w:tc>
          <w:tcPr>
            <w:tcW w:w="1479" w:type="pct"/>
            <w:hideMark/>
          </w:tcPr>
          <w:p w14:paraId="5915C4C6" w14:textId="77777777" w:rsidR="00BD5588" w:rsidRPr="00404CF4" w:rsidRDefault="00222C95" w:rsidP="00E273A1">
            <w:r w:rsidRPr="00404CF4">
              <w:t>Cita informācija</w:t>
            </w:r>
          </w:p>
        </w:tc>
        <w:tc>
          <w:tcPr>
            <w:tcW w:w="3210" w:type="pct"/>
            <w:hideMark/>
          </w:tcPr>
          <w:p w14:paraId="5915C4C7" w14:textId="77777777" w:rsidR="00BD5588" w:rsidRPr="00404CF4" w:rsidRDefault="00222C95" w:rsidP="00EA3D31">
            <w:pPr>
              <w:ind w:firstLine="108"/>
            </w:pPr>
            <w:r w:rsidRPr="00404CF4">
              <w:t>Nav</w:t>
            </w:r>
            <w:r w:rsidR="00EA3D31" w:rsidRPr="00404CF4">
              <w:t>.</w:t>
            </w:r>
          </w:p>
          <w:p w14:paraId="5915C4C8" w14:textId="77777777" w:rsidR="00161647" w:rsidRPr="00404CF4" w:rsidRDefault="00161647" w:rsidP="00EA3D31">
            <w:pPr>
              <w:ind w:firstLine="108"/>
            </w:pPr>
          </w:p>
        </w:tc>
      </w:tr>
    </w:tbl>
    <w:p w14:paraId="5915C4CA" w14:textId="77777777" w:rsidR="00161647" w:rsidRPr="00404CF4" w:rsidRDefault="00161647" w:rsidP="001E1EA0">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CD" w14:textId="77777777" w:rsidTr="00DD3136">
        <w:trPr>
          <w:cantSplit/>
          <w:trHeight w:val="669"/>
        </w:trPr>
        <w:tc>
          <w:tcPr>
            <w:tcW w:w="5000" w:type="pct"/>
            <w:gridSpan w:val="3"/>
            <w:vAlign w:val="center"/>
            <w:hideMark/>
          </w:tcPr>
          <w:p w14:paraId="5915C4CB"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5915C4CC" w14:textId="77777777" w:rsidR="00CE1FA4" w:rsidRPr="00404CF4" w:rsidRDefault="00CE1FA4" w:rsidP="00D21A8A"/>
        </w:tc>
      </w:tr>
      <w:tr w:rsidR="001B1B15" w:rsidRPr="00C07EB2" w14:paraId="5915C4D2" w14:textId="77777777" w:rsidTr="00DD3136">
        <w:trPr>
          <w:cantSplit/>
        </w:trPr>
        <w:tc>
          <w:tcPr>
            <w:tcW w:w="311" w:type="pct"/>
            <w:hideMark/>
          </w:tcPr>
          <w:p w14:paraId="5915C4CE" w14:textId="77777777" w:rsidR="00BD5588" w:rsidRPr="00C07EB2" w:rsidRDefault="00222C95" w:rsidP="00E273A1">
            <w:pPr>
              <w:jc w:val="center"/>
            </w:pPr>
            <w:r w:rsidRPr="00C07EB2">
              <w:t>1.</w:t>
            </w:r>
          </w:p>
        </w:tc>
        <w:tc>
          <w:tcPr>
            <w:tcW w:w="1479" w:type="pct"/>
            <w:hideMark/>
          </w:tcPr>
          <w:p w14:paraId="5915C4CF" w14:textId="77777777" w:rsidR="00BD5588" w:rsidRPr="00C07EB2" w:rsidRDefault="00222C95" w:rsidP="00E273A1">
            <w:r w:rsidRPr="00C07EB2">
              <w:t>Projekta izpildē iesaistītās institūcijas</w:t>
            </w:r>
          </w:p>
        </w:tc>
        <w:tc>
          <w:tcPr>
            <w:tcW w:w="3210" w:type="pct"/>
            <w:hideMark/>
          </w:tcPr>
          <w:p w14:paraId="5915C4D0" w14:textId="77777777" w:rsidR="002F4583" w:rsidRPr="00C07EB2" w:rsidRDefault="00B02222" w:rsidP="00C07EB2">
            <w:pPr>
              <w:shd w:val="clear" w:color="auto" w:fill="FFFFFF"/>
              <w:jc w:val="both"/>
            </w:pPr>
            <w:r>
              <w:t xml:space="preserve">Latvijas </w:t>
            </w:r>
            <w:r w:rsidR="00B16B8F">
              <w:t>Lauksaimniecības u</w:t>
            </w:r>
            <w:r>
              <w:t>niversitāte</w:t>
            </w:r>
          </w:p>
          <w:p w14:paraId="5915C4D1" w14:textId="77777777" w:rsidR="00161647" w:rsidRPr="00C07EB2" w:rsidRDefault="00161647" w:rsidP="00C07EB2">
            <w:pPr>
              <w:jc w:val="both"/>
            </w:pPr>
          </w:p>
        </w:tc>
      </w:tr>
      <w:tr w:rsidR="001B1B15" w:rsidRPr="00404CF4" w14:paraId="5915C4D6" w14:textId="77777777" w:rsidTr="00DD3136">
        <w:tc>
          <w:tcPr>
            <w:tcW w:w="311" w:type="pct"/>
            <w:hideMark/>
          </w:tcPr>
          <w:p w14:paraId="5915C4D3" w14:textId="77777777" w:rsidR="00BD5588" w:rsidRPr="00404CF4" w:rsidRDefault="00222C95" w:rsidP="00E273A1">
            <w:pPr>
              <w:jc w:val="center"/>
            </w:pPr>
            <w:r w:rsidRPr="00404CF4">
              <w:t>2.</w:t>
            </w:r>
          </w:p>
        </w:tc>
        <w:tc>
          <w:tcPr>
            <w:tcW w:w="1479" w:type="pct"/>
            <w:hideMark/>
          </w:tcPr>
          <w:p w14:paraId="5915C4D4"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10" w:type="pct"/>
            <w:hideMark/>
          </w:tcPr>
          <w:p w14:paraId="5915C4D5" w14:textId="77777777"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5915C4DA" w14:textId="77777777" w:rsidTr="00DD3136">
        <w:trPr>
          <w:cantSplit/>
        </w:trPr>
        <w:tc>
          <w:tcPr>
            <w:tcW w:w="311" w:type="pct"/>
            <w:hideMark/>
          </w:tcPr>
          <w:p w14:paraId="5915C4D7" w14:textId="77777777" w:rsidR="00BD5588" w:rsidRPr="00404CF4" w:rsidRDefault="00222C95" w:rsidP="00E273A1">
            <w:pPr>
              <w:jc w:val="center"/>
            </w:pPr>
            <w:r w:rsidRPr="00404CF4">
              <w:t>3.</w:t>
            </w:r>
          </w:p>
        </w:tc>
        <w:tc>
          <w:tcPr>
            <w:tcW w:w="1479" w:type="pct"/>
            <w:hideMark/>
          </w:tcPr>
          <w:p w14:paraId="5915C4D8" w14:textId="77777777" w:rsidR="00BD5588" w:rsidRPr="00404CF4" w:rsidRDefault="00222C95" w:rsidP="00E273A1">
            <w:r w:rsidRPr="00404CF4">
              <w:t>Cita informācija</w:t>
            </w:r>
          </w:p>
        </w:tc>
        <w:tc>
          <w:tcPr>
            <w:tcW w:w="3210" w:type="pct"/>
            <w:hideMark/>
          </w:tcPr>
          <w:p w14:paraId="5915C4D9" w14:textId="77777777" w:rsidR="00BD5588" w:rsidRPr="00404CF4" w:rsidRDefault="002F4583" w:rsidP="00EA1889">
            <w:pPr>
              <w:ind w:firstLine="108"/>
            </w:pPr>
            <w:r>
              <w:t xml:space="preserve">Nav. </w:t>
            </w:r>
          </w:p>
        </w:tc>
      </w:tr>
    </w:tbl>
    <w:p w14:paraId="5915C4DB" w14:textId="77777777" w:rsidR="00D21A8A" w:rsidRPr="00404CF4" w:rsidRDefault="00D21A8A" w:rsidP="00D21A8A">
      <w:pPr>
        <w:tabs>
          <w:tab w:val="left" w:pos="6804"/>
        </w:tabs>
        <w:rPr>
          <w:lang w:eastAsia="ru-RU"/>
        </w:rPr>
      </w:pPr>
    </w:p>
    <w:p w14:paraId="5915C4DC" w14:textId="77777777" w:rsidR="004E4DD9" w:rsidRPr="00404CF4" w:rsidRDefault="004E4DD9" w:rsidP="00D21A8A">
      <w:pPr>
        <w:tabs>
          <w:tab w:val="left" w:pos="6804"/>
        </w:tabs>
        <w:rPr>
          <w:lang w:eastAsia="ru-RU"/>
        </w:rPr>
      </w:pPr>
    </w:p>
    <w:p w14:paraId="5915C4DD" w14:textId="7777777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5915C4DE" w14:textId="77777777" w:rsidR="00D21A8A" w:rsidRPr="00404CF4" w:rsidRDefault="00D21A8A" w:rsidP="00D21A8A">
      <w:pPr>
        <w:rPr>
          <w:lang w:eastAsia="ru-RU"/>
        </w:rPr>
      </w:pPr>
    </w:p>
    <w:p w14:paraId="5915C4DF" w14:textId="77777777" w:rsidR="00D21A8A" w:rsidRPr="00404CF4" w:rsidRDefault="00222C95" w:rsidP="00D21A8A">
      <w:pPr>
        <w:rPr>
          <w:lang w:eastAsia="ru-RU"/>
        </w:rPr>
      </w:pPr>
      <w:r w:rsidRPr="00404CF4">
        <w:rPr>
          <w:lang w:eastAsia="ru-RU"/>
        </w:rPr>
        <w:t xml:space="preserve">Vīza: </w:t>
      </w:r>
    </w:p>
    <w:p w14:paraId="5915C4E0" w14:textId="77777777"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5915C4E1" w14:textId="77777777" w:rsidR="00D21A8A" w:rsidRPr="00404CF4" w:rsidRDefault="00D21A8A" w:rsidP="00D21A8A">
      <w:pPr>
        <w:suppressAutoHyphens/>
        <w:rPr>
          <w:lang w:eastAsia="ru-RU"/>
        </w:rPr>
      </w:pPr>
    </w:p>
    <w:p w14:paraId="5915C4E2" w14:textId="77777777" w:rsidR="004E4DD9" w:rsidRPr="00404CF4" w:rsidRDefault="004E4DD9" w:rsidP="00D21A8A">
      <w:pPr>
        <w:suppressAutoHyphens/>
        <w:rPr>
          <w:lang w:eastAsia="ru-RU"/>
        </w:rPr>
      </w:pPr>
    </w:p>
    <w:p w14:paraId="5915C4E3" w14:textId="77777777"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5915C4E4" w14:textId="77777777"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24"/>
      <w:footerReference w:type="default" r:id="rId25"/>
      <w:footerReference w:type="first" r:id="rId2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8B9CD" w14:textId="77777777" w:rsidR="00E82016" w:rsidRDefault="00E82016">
      <w:r>
        <w:separator/>
      </w:r>
    </w:p>
  </w:endnote>
  <w:endnote w:type="continuationSeparator" w:id="0">
    <w:p w14:paraId="6F1C16A1" w14:textId="77777777" w:rsidR="00E82016" w:rsidRDefault="00E8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4EB" w14:textId="190B7216" w:rsidR="00A41B01" w:rsidRPr="002C2A5C" w:rsidRDefault="00A41B01" w:rsidP="002C2A5C">
    <w:pPr>
      <w:pStyle w:val="Footer"/>
    </w:pPr>
    <w:r w:rsidRPr="002C2A5C">
      <w:rPr>
        <w:sz w:val="20"/>
        <w:szCs w:val="20"/>
      </w:rPr>
      <w:t>IZMAnot_</w:t>
    </w:r>
    <w:r w:rsidR="0011385F">
      <w:rPr>
        <w:sz w:val="20"/>
        <w:szCs w:val="20"/>
      </w:rPr>
      <w:t>22</w:t>
    </w:r>
    <w:r>
      <w:rPr>
        <w:sz w:val="20"/>
        <w:szCs w:val="20"/>
      </w:rPr>
      <w:t>0120_groz489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4EC" w14:textId="7CC65D0E" w:rsidR="00A41B01" w:rsidRPr="00EB796A" w:rsidRDefault="00A41B01" w:rsidP="00EB796A">
    <w:pPr>
      <w:shd w:val="clear" w:color="auto" w:fill="FFFFFF"/>
      <w:jc w:val="both"/>
      <w:rPr>
        <w:bCs/>
        <w:sz w:val="22"/>
        <w:szCs w:val="22"/>
      </w:rPr>
    </w:pPr>
    <w:r w:rsidRPr="00EB796A">
      <w:rPr>
        <w:sz w:val="22"/>
        <w:szCs w:val="22"/>
      </w:rPr>
      <w:t>IZMAnot_</w:t>
    </w:r>
    <w:r w:rsidR="0011385F">
      <w:rPr>
        <w:sz w:val="22"/>
        <w:szCs w:val="22"/>
      </w:rPr>
      <w:t>22</w:t>
    </w:r>
    <w:r>
      <w:rPr>
        <w:sz w:val="22"/>
        <w:szCs w:val="22"/>
      </w:rPr>
      <w:t>0120_groz489</w:t>
    </w:r>
  </w:p>
  <w:p w14:paraId="5915C4ED" w14:textId="77777777" w:rsidR="00A41B01" w:rsidRDefault="00A4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3D1C" w14:textId="77777777" w:rsidR="00E82016" w:rsidRDefault="00E82016">
      <w:r>
        <w:separator/>
      </w:r>
    </w:p>
  </w:footnote>
  <w:footnote w:type="continuationSeparator" w:id="0">
    <w:p w14:paraId="49CA86C5" w14:textId="77777777" w:rsidR="00E82016" w:rsidRDefault="00E82016">
      <w:r>
        <w:continuationSeparator/>
      </w:r>
    </w:p>
  </w:footnote>
  <w:footnote w:id="1">
    <w:p w14:paraId="5915C4EE" w14:textId="77777777" w:rsidR="00A41B01" w:rsidRDefault="00A41B01">
      <w:pPr>
        <w:pStyle w:val="FootnoteText"/>
      </w:pPr>
      <w:r>
        <w:rPr>
          <w:rStyle w:val="FootnoteReference"/>
        </w:rPr>
        <w:footnoteRef/>
      </w:r>
      <w:r>
        <w:t xml:space="preserve"> Ņemot vērā, ka ar direktīvu 2013/55/ES ir veikti grozījumi direktīvā 2005/36/EK, ērtības labad šajā anotācijā turpmāk tiks lietota atsauce tikai uz direktīvu 2005/36/EK.</w:t>
      </w:r>
    </w:p>
  </w:footnote>
  <w:footnote w:id="2">
    <w:p w14:paraId="35600E94" w14:textId="1E33DF7A" w:rsidR="00A41B01" w:rsidRPr="0090062B" w:rsidRDefault="00A41B01" w:rsidP="0090062B">
      <w:pPr>
        <w:rPr>
          <w:sz w:val="22"/>
          <w:szCs w:val="22"/>
        </w:rPr>
      </w:pPr>
      <w:r>
        <w:rPr>
          <w:rStyle w:val="FootnoteReference"/>
        </w:rPr>
        <w:footnoteRef/>
      </w:r>
      <w:r>
        <w:t xml:space="preserve"> </w:t>
      </w:r>
      <w:proofErr w:type="spellStart"/>
      <w:r w:rsidRPr="0090062B">
        <w:rPr>
          <w:sz w:val="22"/>
          <w:szCs w:val="22"/>
        </w:rPr>
        <w:t>European</w:t>
      </w:r>
      <w:proofErr w:type="spellEnd"/>
      <w:r w:rsidRPr="0090062B">
        <w:rPr>
          <w:sz w:val="22"/>
          <w:szCs w:val="22"/>
        </w:rPr>
        <w:t xml:space="preserve"> </w:t>
      </w:r>
      <w:proofErr w:type="spellStart"/>
      <w:r w:rsidRPr="0090062B">
        <w:rPr>
          <w:sz w:val="22"/>
          <w:szCs w:val="22"/>
        </w:rPr>
        <w:t>System</w:t>
      </w:r>
      <w:proofErr w:type="spellEnd"/>
      <w:r w:rsidRPr="0090062B">
        <w:rPr>
          <w:sz w:val="22"/>
          <w:szCs w:val="22"/>
        </w:rPr>
        <w:t xml:space="preserve"> </w:t>
      </w:r>
      <w:proofErr w:type="spellStart"/>
      <w:r w:rsidRPr="0090062B">
        <w:rPr>
          <w:sz w:val="22"/>
          <w:szCs w:val="22"/>
        </w:rPr>
        <w:t>of</w:t>
      </w:r>
      <w:proofErr w:type="spellEnd"/>
      <w:r w:rsidRPr="0090062B">
        <w:rPr>
          <w:sz w:val="22"/>
          <w:szCs w:val="22"/>
        </w:rPr>
        <w:t xml:space="preserve"> </w:t>
      </w:r>
      <w:proofErr w:type="spellStart"/>
      <w:r w:rsidRPr="0090062B">
        <w:rPr>
          <w:sz w:val="22"/>
          <w:szCs w:val="22"/>
        </w:rPr>
        <w:t>Evaluation</w:t>
      </w:r>
      <w:proofErr w:type="spellEnd"/>
      <w:r w:rsidRPr="0090062B">
        <w:rPr>
          <w:sz w:val="22"/>
          <w:szCs w:val="22"/>
        </w:rPr>
        <w:t xml:space="preserve"> </w:t>
      </w:r>
      <w:proofErr w:type="spellStart"/>
      <w:r w:rsidRPr="0090062B">
        <w:rPr>
          <w:sz w:val="22"/>
          <w:szCs w:val="22"/>
        </w:rPr>
        <w:t>of</w:t>
      </w:r>
      <w:proofErr w:type="spellEnd"/>
      <w:r w:rsidRPr="0090062B">
        <w:rPr>
          <w:sz w:val="22"/>
          <w:szCs w:val="22"/>
        </w:rPr>
        <w:t xml:space="preserve"> </w:t>
      </w:r>
      <w:proofErr w:type="spellStart"/>
      <w:r w:rsidRPr="0090062B">
        <w:rPr>
          <w:sz w:val="22"/>
          <w:szCs w:val="22"/>
        </w:rPr>
        <w:t>Veterinary</w:t>
      </w:r>
      <w:proofErr w:type="spellEnd"/>
      <w:r w:rsidRPr="0090062B">
        <w:rPr>
          <w:sz w:val="22"/>
          <w:szCs w:val="22"/>
        </w:rPr>
        <w:t xml:space="preserve"> </w:t>
      </w:r>
      <w:proofErr w:type="spellStart"/>
      <w:r w:rsidRPr="0090062B">
        <w:rPr>
          <w:sz w:val="22"/>
          <w:szCs w:val="22"/>
        </w:rPr>
        <w:t>Training</w:t>
      </w:r>
      <w:proofErr w:type="spellEnd"/>
      <w:r w:rsidRPr="0090062B">
        <w:rPr>
          <w:sz w:val="22"/>
          <w:szCs w:val="22"/>
        </w:rPr>
        <w:t xml:space="preserve"> (ESEVT) </w:t>
      </w:r>
      <w:proofErr w:type="spellStart"/>
      <w:r w:rsidRPr="0090062B">
        <w:rPr>
          <w:sz w:val="22"/>
          <w:szCs w:val="22"/>
        </w:rPr>
        <w:t>Manual</w:t>
      </w:r>
      <w:proofErr w:type="spellEnd"/>
      <w:r w:rsidRPr="0090062B">
        <w:rPr>
          <w:sz w:val="22"/>
          <w:szCs w:val="22"/>
        </w:rPr>
        <w:t xml:space="preserve"> </w:t>
      </w:r>
      <w:proofErr w:type="spellStart"/>
      <w:r w:rsidRPr="0090062B">
        <w:rPr>
          <w:sz w:val="22"/>
          <w:szCs w:val="22"/>
        </w:rPr>
        <w:t>of</w:t>
      </w:r>
      <w:proofErr w:type="spellEnd"/>
      <w:r w:rsidRPr="0090062B">
        <w:rPr>
          <w:sz w:val="22"/>
          <w:szCs w:val="22"/>
        </w:rPr>
        <w:t xml:space="preserve"> Standard </w:t>
      </w:r>
      <w:proofErr w:type="spellStart"/>
      <w:r w:rsidRPr="0090062B">
        <w:rPr>
          <w:sz w:val="22"/>
          <w:szCs w:val="22"/>
        </w:rPr>
        <w:t>Operating</w:t>
      </w:r>
      <w:proofErr w:type="spellEnd"/>
      <w:r w:rsidRPr="0090062B">
        <w:rPr>
          <w:sz w:val="22"/>
          <w:szCs w:val="22"/>
        </w:rPr>
        <w:t xml:space="preserve"> </w:t>
      </w:r>
      <w:proofErr w:type="spellStart"/>
      <w:r w:rsidRPr="0090062B">
        <w:rPr>
          <w:sz w:val="22"/>
          <w:szCs w:val="22"/>
        </w:rPr>
        <w:t>Procedure</w:t>
      </w:r>
      <w:proofErr w:type="spellEnd"/>
      <w:r w:rsidRPr="0090062B">
        <w:rPr>
          <w:sz w:val="22"/>
          <w:szCs w:val="22"/>
        </w:rPr>
        <w:t xml:space="preserve">, 2019. </w:t>
      </w:r>
    </w:p>
    <w:p w14:paraId="5915C4EF" w14:textId="6E0DD451" w:rsidR="00A41B01" w:rsidRDefault="00A41B01">
      <w:pPr>
        <w:pStyle w:val="FootnoteText"/>
      </w:pPr>
      <w:r w:rsidRPr="0090062B">
        <w:rPr>
          <w:sz w:val="22"/>
          <w:szCs w:val="22"/>
        </w:rPr>
        <w:t xml:space="preserve">(skatīt 2.pielikuma 3. punktu ) </w:t>
      </w:r>
      <w:hyperlink r:id="rId1" w:history="1">
        <w:r w:rsidRPr="0090062B">
          <w:rPr>
            <w:rStyle w:val="Hyperlink"/>
            <w:sz w:val="22"/>
            <w:szCs w:val="22"/>
          </w:rPr>
          <w:t>https://www.eaeve.org/fileadmin/downloads/SOP/SOP_2019/ESEVT_SOP_2019_adopted_by_the_32nd_GA_in_Zagreb_on_30_May_2019.pdf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5915C4E9" w14:textId="77777777" w:rsidR="00A41B01" w:rsidRDefault="00A41B01">
        <w:pPr>
          <w:pStyle w:val="Header"/>
          <w:jc w:val="center"/>
        </w:pPr>
        <w:r>
          <w:fldChar w:fldCharType="begin"/>
        </w:r>
        <w:r>
          <w:instrText xml:space="preserve"> PAGE   \* MERGEFORMAT </w:instrText>
        </w:r>
        <w:r>
          <w:fldChar w:fldCharType="separate"/>
        </w:r>
        <w:r w:rsidR="00423B1E">
          <w:rPr>
            <w:noProof/>
          </w:rPr>
          <w:t>11</w:t>
        </w:r>
        <w:r>
          <w:rPr>
            <w:noProof/>
          </w:rPr>
          <w:fldChar w:fldCharType="end"/>
        </w:r>
      </w:p>
    </w:sdtContent>
  </w:sdt>
  <w:p w14:paraId="5915C4EA" w14:textId="77777777" w:rsidR="00A41B01" w:rsidRDefault="00A41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931EA0"/>
    <w:multiLevelType w:val="hybridMultilevel"/>
    <w:tmpl w:val="0B448444"/>
    <w:lvl w:ilvl="0" w:tplc="DDE41DF0">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8"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9"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A535246"/>
    <w:multiLevelType w:val="hybridMultilevel"/>
    <w:tmpl w:val="C9F682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3"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5"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6"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7"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8"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9"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0"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1"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2"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3"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15"/>
  </w:num>
  <w:num w:numId="4">
    <w:abstractNumId w:val="21"/>
  </w:num>
  <w:num w:numId="5">
    <w:abstractNumId w:val="7"/>
  </w:num>
  <w:num w:numId="6">
    <w:abstractNumId w:val="14"/>
  </w:num>
  <w:num w:numId="7">
    <w:abstractNumId w:val="3"/>
  </w:num>
  <w:num w:numId="8">
    <w:abstractNumId w:val="1"/>
  </w:num>
  <w:num w:numId="9">
    <w:abstractNumId w:val="19"/>
  </w:num>
  <w:num w:numId="10">
    <w:abstractNumId w:val="8"/>
  </w:num>
  <w:num w:numId="11">
    <w:abstractNumId w:val="18"/>
  </w:num>
  <w:num w:numId="12">
    <w:abstractNumId w:val="12"/>
  </w:num>
  <w:num w:numId="13">
    <w:abstractNumId w:val="16"/>
  </w:num>
  <w:num w:numId="14">
    <w:abstractNumId w:val="0"/>
  </w:num>
  <w:num w:numId="15">
    <w:abstractNumId w:val="24"/>
  </w:num>
  <w:num w:numId="16">
    <w:abstractNumId w:val="17"/>
  </w:num>
  <w:num w:numId="17">
    <w:abstractNumId w:val="20"/>
  </w:num>
  <w:num w:numId="18">
    <w:abstractNumId w:val="13"/>
  </w:num>
  <w:num w:numId="19">
    <w:abstractNumId w:val="6"/>
  </w:num>
  <w:num w:numId="20">
    <w:abstractNumId w:val="4"/>
  </w:num>
  <w:num w:numId="21">
    <w:abstractNumId w:val="11"/>
  </w:num>
  <w:num w:numId="22">
    <w:abstractNumId w:val="23"/>
  </w:num>
  <w:num w:numId="23">
    <w:abstractNumId w:val="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4CC"/>
    <w:rsid w:val="00003B47"/>
    <w:rsid w:val="00003D69"/>
    <w:rsid w:val="00006B19"/>
    <w:rsid w:val="000120C1"/>
    <w:rsid w:val="00012E91"/>
    <w:rsid w:val="00014157"/>
    <w:rsid w:val="00016567"/>
    <w:rsid w:val="00022364"/>
    <w:rsid w:val="000259BE"/>
    <w:rsid w:val="00031364"/>
    <w:rsid w:val="00031C49"/>
    <w:rsid w:val="0003391E"/>
    <w:rsid w:val="00042ABC"/>
    <w:rsid w:val="0004428F"/>
    <w:rsid w:val="00047406"/>
    <w:rsid w:val="00050D09"/>
    <w:rsid w:val="00052657"/>
    <w:rsid w:val="0005630E"/>
    <w:rsid w:val="00056FFE"/>
    <w:rsid w:val="000571CE"/>
    <w:rsid w:val="0006057C"/>
    <w:rsid w:val="00060849"/>
    <w:rsid w:val="000625AF"/>
    <w:rsid w:val="00063446"/>
    <w:rsid w:val="00064AFF"/>
    <w:rsid w:val="00067BEF"/>
    <w:rsid w:val="0007048B"/>
    <w:rsid w:val="000754B3"/>
    <w:rsid w:val="0007674D"/>
    <w:rsid w:val="0008718F"/>
    <w:rsid w:val="00087451"/>
    <w:rsid w:val="00087587"/>
    <w:rsid w:val="00087AE9"/>
    <w:rsid w:val="0009085E"/>
    <w:rsid w:val="00091F62"/>
    <w:rsid w:val="00093175"/>
    <w:rsid w:val="000954ED"/>
    <w:rsid w:val="000A024C"/>
    <w:rsid w:val="000B4EFE"/>
    <w:rsid w:val="000C00CF"/>
    <w:rsid w:val="000C0222"/>
    <w:rsid w:val="000C1ED4"/>
    <w:rsid w:val="000C3EA0"/>
    <w:rsid w:val="000C44E4"/>
    <w:rsid w:val="000C4D2D"/>
    <w:rsid w:val="000C7464"/>
    <w:rsid w:val="000C78E6"/>
    <w:rsid w:val="000D356F"/>
    <w:rsid w:val="000E056E"/>
    <w:rsid w:val="000E7589"/>
    <w:rsid w:val="000F06AC"/>
    <w:rsid w:val="000F5102"/>
    <w:rsid w:val="00101937"/>
    <w:rsid w:val="00103525"/>
    <w:rsid w:val="001042A7"/>
    <w:rsid w:val="00106210"/>
    <w:rsid w:val="00106E39"/>
    <w:rsid w:val="00106F94"/>
    <w:rsid w:val="001110E3"/>
    <w:rsid w:val="00111311"/>
    <w:rsid w:val="001114A8"/>
    <w:rsid w:val="0011385F"/>
    <w:rsid w:val="00113C64"/>
    <w:rsid w:val="00114640"/>
    <w:rsid w:val="0012004A"/>
    <w:rsid w:val="00123B02"/>
    <w:rsid w:val="001376E5"/>
    <w:rsid w:val="00141DD2"/>
    <w:rsid w:val="001420F7"/>
    <w:rsid w:val="001470F1"/>
    <w:rsid w:val="0015121A"/>
    <w:rsid w:val="00155D7A"/>
    <w:rsid w:val="0015612F"/>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3CF8"/>
    <w:rsid w:val="00185968"/>
    <w:rsid w:val="00190577"/>
    <w:rsid w:val="00191967"/>
    <w:rsid w:val="001A6B13"/>
    <w:rsid w:val="001B1B15"/>
    <w:rsid w:val="001B50DA"/>
    <w:rsid w:val="001B5C1B"/>
    <w:rsid w:val="001C05E2"/>
    <w:rsid w:val="001C45AC"/>
    <w:rsid w:val="001D5AE2"/>
    <w:rsid w:val="001E024E"/>
    <w:rsid w:val="001E15F0"/>
    <w:rsid w:val="001E1EA0"/>
    <w:rsid w:val="001E7456"/>
    <w:rsid w:val="001F0223"/>
    <w:rsid w:val="001F3847"/>
    <w:rsid w:val="001F53A3"/>
    <w:rsid w:val="001F5971"/>
    <w:rsid w:val="001F6499"/>
    <w:rsid w:val="002005D3"/>
    <w:rsid w:val="0020255C"/>
    <w:rsid w:val="002033F4"/>
    <w:rsid w:val="00206658"/>
    <w:rsid w:val="00206F43"/>
    <w:rsid w:val="002160E3"/>
    <w:rsid w:val="00217FD6"/>
    <w:rsid w:val="00222C95"/>
    <w:rsid w:val="00224FF8"/>
    <w:rsid w:val="002318A5"/>
    <w:rsid w:val="002341E4"/>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289C"/>
    <w:rsid w:val="003157E9"/>
    <w:rsid w:val="00325BFD"/>
    <w:rsid w:val="003272CB"/>
    <w:rsid w:val="00327B93"/>
    <w:rsid w:val="00330B03"/>
    <w:rsid w:val="0034599E"/>
    <w:rsid w:val="00345D02"/>
    <w:rsid w:val="00347A07"/>
    <w:rsid w:val="003560C5"/>
    <w:rsid w:val="00364D64"/>
    <w:rsid w:val="00365581"/>
    <w:rsid w:val="00367545"/>
    <w:rsid w:val="00370547"/>
    <w:rsid w:val="00370D13"/>
    <w:rsid w:val="00370F8E"/>
    <w:rsid w:val="00371A18"/>
    <w:rsid w:val="00374554"/>
    <w:rsid w:val="003747CB"/>
    <w:rsid w:val="00374CAD"/>
    <w:rsid w:val="00376B3F"/>
    <w:rsid w:val="003A35EF"/>
    <w:rsid w:val="003A3BBD"/>
    <w:rsid w:val="003A71C2"/>
    <w:rsid w:val="003B044A"/>
    <w:rsid w:val="003B1139"/>
    <w:rsid w:val="003B1642"/>
    <w:rsid w:val="003B2084"/>
    <w:rsid w:val="003B4B3E"/>
    <w:rsid w:val="003C3CD9"/>
    <w:rsid w:val="003D0D1C"/>
    <w:rsid w:val="003D1F6B"/>
    <w:rsid w:val="003D1F8A"/>
    <w:rsid w:val="003D48DD"/>
    <w:rsid w:val="003E51D8"/>
    <w:rsid w:val="003E71C5"/>
    <w:rsid w:val="003F5C6E"/>
    <w:rsid w:val="003F699B"/>
    <w:rsid w:val="00401C29"/>
    <w:rsid w:val="004029D7"/>
    <w:rsid w:val="00403C2A"/>
    <w:rsid w:val="004048E6"/>
    <w:rsid w:val="00404CF4"/>
    <w:rsid w:val="0041017B"/>
    <w:rsid w:val="00415538"/>
    <w:rsid w:val="00417087"/>
    <w:rsid w:val="00420BDC"/>
    <w:rsid w:val="0042123D"/>
    <w:rsid w:val="00422B12"/>
    <w:rsid w:val="00423B1E"/>
    <w:rsid w:val="004245BC"/>
    <w:rsid w:val="00424C4B"/>
    <w:rsid w:val="004252C4"/>
    <w:rsid w:val="00430E05"/>
    <w:rsid w:val="004327C5"/>
    <w:rsid w:val="00432CFC"/>
    <w:rsid w:val="004330F8"/>
    <w:rsid w:val="004360B2"/>
    <w:rsid w:val="00443C00"/>
    <w:rsid w:val="00444D26"/>
    <w:rsid w:val="00446DAB"/>
    <w:rsid w:val="00447527"/>
    <w:rsid w:val="0045563C"/>
    <w:rsid w:val="00462FBF"/>
    <w:rsid w:val="00466A8F"/>
    <w:rsid w:val="00466C3A"/>
    <w:rsid w:val="00471C87"/>
    <w:rsid w:val="00473ED4"/>
    <w:rsid w:val="00473F9D"/>
    <w:rsid w:val="00477888"/>
    <w:rsid w:val="00485616"/>
    <w:rsid w:val="00486066"/>
    <w:rsid w:val="00490E1B"/>
    <w:rsid w:val="00491833"/>
    <w:rsid w:val="00493A51"/>
    <w:rsid w:val="00493A83"/>
    <w:rsid w:val="00497D16"/>
    <w:rsid w:val="00497FAC"/>
    <w:rsid w:val="004A3F35"/>
    <w:rsid w:val="004A3FCA"/>
    <w:rsid w:val="004B2D3A"/>
    <w:rsid w:val="004B3F7D"/>
    <w:rsid w:val="004B4668"/>
    <w:rsid w:val="004C5DAC"/>
    <w:rsid w:val="004C6703"/>
    <w:rsid w:val="004C7C94"/>
    <w:rsid w:val="004D5914"/>
    <w:rsid w:val="004D6765"/>
    <w:rsid w:val="004E1F8F"/>
    <w:rsid w:val="004E4DD9"/>
    <w:rsid w:val="004E4FAB"/>
    <w:rsid w:val="004E638D"/>
    <w:rsid w:val="004E6CB1"/>
    <w:rsid w:val="004F429E"/>
    <w:rsid w:val="004F6E35"/>
    <w:rsid w:val="00500A3C"/>
    <w:rsid w:val="005010AB"/>
    <w:rsid w:val="00502F05"/>
    <w:rsid w:val="00506697"/>
    <w:rsid w:val="00506F9F"/>
    <w:rsid w:val="00511426"/>
    <w:rsid w:val="00511F5D"/>
    <w:rsid w:val="00515A0B"/>
    <w:rsid w:val="005171BB"/>
    <w:rsid w:val="00517562"/>
    <w:rsid w:val="005223C6"/>
    <w:rsid w:val="00524F21"/>
    <w:rsid w:val="00526871"/>
    <w:rsid w:val="00526EAD"/>
    <w:rsid w:val="00527525"/>
    <w:rsid w:val="00527A5C"/>
    <w:rsid w:val="00536DB3"/>
    <w:rsid w:val="0054077A"/>
    <w:rsid w:val="00543A68"/>
    <w:rsid w:val="00550F7C"/>
    <w:rsid w:val="00552AE6"/>
    <w:rsid w:val="00555D79"/>
    <w:rsid w:val="005615CB"/>
    <w:rsid w:val="00565D9D"/>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B3B2D"/>
    <w:rsid w:val="005B4660"/>
    <w:rsid w:val="005B49CC"/>
    <w:rsid w:val="005B6080"/>
    <w:rsid w:val="005C163B"/>
    <w:rsid w:val="005C4BF1"/>
    <w:rsid w:val="005C5AC8"/>
    <w:rsid w:val="005C6BC0"/>
    <w:rsid w:val="005C6D85"/>
    <w:rsid w:val="005C7B89"/>
    <w:rsid w:val="005D4A1E"/>
    <w:rsid w:val="005D70DF"/>
    <w:rsid w:val="005E0981"/>
    <w:rsid w:val="005E2669"/>
    <w:rsid w:val="005E6498"/>
    <w:rsid w:val="005F11BD"/>
    <w:rsid w:val="005F1B3A"/>
    <w:rsid w:val="005F1F9C"/>
    <w:rsid w:val="005F2C4A"/>
    <w:rsid w:val="00604CFB"/>
    <w:rsid w:val="0062397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374"/>
    <w:rsid w:val="00662942"/>
    <w:rsid w:val="00662B82"/>
    <w:rsid w:val="0066352D"/>
    <w:rsid w:val="00664C74"/>
    <w:rsid w:val="00664D5F"/>
    <w:rsid w:val="00675275"/>
    <w:rsid w:val="00682054"/>
    <w:rsid w:val="006858C4"/>
    <w:rsid w:val="00687679"/>
    <w:rsid w:val="00690C15"/>
    <w:rsid w:val="006910CD"/>
    <w:rsid w:val="00694072"/>
    <w:rsid w:val="006945B1"/>
    <w:rsid w:val="006A2E5A"/>
    <w:rsid w:val="006A3533"/>
    <w:rsid w:val="006A48C1"/>
    <w:rsid w:val="006A4BBA"/>
    <w:rsid w:val="006A5F9D"/>
    <w:rsid w:val="006B1C47"/>
    <w:rsid w:val="006B3E81"/>
    <w:rsid w:val="006B3F3B"/>
    <w:rsid w:val="006D285B"/>
    <w:rsid w:val="006D68C5"/>
    <w:rsid w:val="006E2C23"/>
    <w:rsid w:val="006E35D4"/>
    <w:rsid w:val="006E44C9"/>
    <w:rsid w:val="006E7A69"/>
    <w:rsid w:val="006F18AC"/>
    <w:rsid w:val="006F23A5"/>
    <w:rsid w:val="00701B04"/>
    <w:rsid w:val="00704509"/>
    <w:rsid w:val="007067FA"/>
    <w:rsid w:val="0071205F"/>
    <w:rsid w:val="00712191"/>
    <w:rsid w:val="00712F12"/>
    <w:rsid w:val="00713A22"/>
    <w:rsid w:val="00715799"/>
    <w:rsid w:val="00721B4A"/>
    <w:rsid w:val="00724006"/>
    <w:rsid w:val="00725349"/>
    <w:rsid w:val="0073012E"/>
    <w:rsid w:val="00730A4F"/>
    <w:rsid w:val="00733F65"/>
    <w:rsid w:val="00736AC1"/>
    <w:rsid w:val="00736BBC"/>
    <w:rsid w:val="0073772E"/>
    <w:rsid w:val="00740602"/>
    <w:rsid w:val="00742EB2"/>
    <w:rsid w:val="00746B81"/>
    <w:rsid w:val="0075227C"/>
    <w:rsid w:val="007620DE"/>
    <w:rsid w:val="00763F59"/>
    <w:rsid w:val="0076593C"/>
    <w:rsid w:val="00766AB4"/>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D772D"/>
    <w:rsid w:val="007E053B"/>
    <w:rsid w:val="007E1B0F"/>
    <w:rsid w:val="007F1CEC"/>
    <w:rsid w:val="007F42E4"/>
    <w:rsid w:val="007F7FCB"/>
    <w:rsid w:val="008010CA"/>
    <w:rsid w:val="00803184"/>
    <w:rsid w:val="008051D4"/>
    <w:rsid w:val="00812E43"/>
    <w:rsid w:val="00812E5A"/>
    <w:rsid w:val="00816732"/>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811F3"/>
    <w:rsid w:val="008817F9"/>
    <w:rsid w:val="00882E11"/>
    <w:rsid w:val="00885AD0"/>
    <w:rsid w:val="0089253C"/>
    <w:rsid w:val="008943E4"/>
    <w:rsid w:val="00894DCC"/>
    <w:rsid w:val="00897D7A"/>
    <w:rsid w:val="008A10D7"/>
    <w:rsid w:val="008A7B53"/>
    <w:rsid w:val="008A7E4D"/>
    <w:rsid w:val="008B2057"/>
    <w:rsid w:val="008B3B76"/>
    <w:rsid w:val="008B6236"/>
    <w:rsid w:val="008B69B2"/>
    <w:rsid w:val="008C1001"/>
    <w:rsid w:val="008C54F6"/>
    <w:rsid w:val="008C5F43"/>
    <w:rsid w:val="008D0205"/>
    <w:rsid w:val="008D1627"/>
    <w:rsid w:val="008D1DD3"/>
    <w:rsid w:val="008D27ED"/>
    <w:rsid w:val="008D729A"/>
    <w:rsid w:val="008D75CD"/>
    <w:rsid w:val="008E3197"/>
    <w:rsid w:val="008E7B23"/>
    <w:rsid w:val="008F3A17"/>
    <w:rsid w:val="0090062B"/>
    <w:rsid w:val="00905240"/>
    <w:rsid w:val="00910329"/>
    <w:rsid w:val="00910521"/>
    <w:rsid w:val="00914CB7"/>
    <w:rsid w:val="00917E28"/>
    <w:rsid w:val="00922B83"/>
    <w:rsid w:val="00923B4B"/>
    <w:rsid w:val="009260F3"/>
    <w:rsid w:val="009277E1"/>
    <w:rsid w:val="00930B91"/>
    <w:rsid w:val="00933EC4"/>
    <w:rsid w:val="00935024"/>
    <w:rsid w:val="009367B8"/>
    <w:rsid w:val="00940357"/>
    <w:rsid w:val="00941C3C"/>
    <w:rsid w:val="00943ACC"/>
    <w:rsid w:val="00945599"/>
    <w:rsid w:val="009479F9"/>
    <w:rsid w:val="00947EFB"/>
    <w:rsid w:val="009530F9"/>
    <w:rsid w:val="00955D10"/>
    <w:rsid w:val="00961783"/>
    <w:rsid w:val="00963AD9"/>
    <w:rsid w:val="00967A53"/>
    <w:rsid w:val="009701F9"/>
    <w:rsid w:val="009714BB"/>
    <w:rsid w:val="009724A0"/>
    <w:rsid w:val="00973CEC"/>
    <w:rsid w:val="00981319"/>
    <w:rsid w:val="00983A3D"/>
    <w:rsid w:val="009878D6"/>
    <w:rsid w:val="00987919"/>
    <w:rsid w:val="009926C6"/>
    <w:rsid w:val="0099293D"/>
    <w:rsid w:val="0099392B"/>
    <w:rsid w:val="00994BC9"/>
    <w:rsid w:val="00994F14"/>
    <w:rsid w:val="009A2CF5"/>
    <w:rsid w:val="009B09E6"/>
    <w:rsid w:val="009B381F"/>
    <w:rsid w:val="009B3EC3"/>
    <w:rsid w:val="009B4623"/>
    <w:rsid w:val="009B6C25"/>
    <w:rsid w:val="009C3424"/>
    <w:rsid w:val="009C44D8"/>
    <w:rsid w:val="009C678B"/>
    <w:rsid w:val="009C750C"/>
    <w:rsid w:val="009D0E2D"/>
    <w:rsid w:val="009D0FBC"/>
    <w:rsid w:val="009D21F6"/>
    <w:rsid w:val="009D5BBB"/>
    <w:rsid w:val="009D66C8"/>
    <w:rsid w:val="009D6904"/>
    <w:rsid w:val="009E5678"/>
    <w:rsid w:val="009E791D"/>
    <w:rsid w:val="009F0B72"/>
    <w:rsid w:val="009F1979"/>
    <w:rsid w:val="009F3BFD"/>
    <w:rsid w:val="009F734F"/>
    <w:rsid w:val="00A00CBC"/>
    <w:rsid w:val="00A104DE"/>
    <w:rsid w:val="00A11EAE"/>
    <w:rsid w:val="00A1342E"/>
    <w:rsid w:val="00A16C6D"/>
    <w:rsid w:val="00A171FA"/>
    <w:rsid w:val="00A20153"/>
    <w:rsid w:val="00A22648"/>
    <w:rsid w:val="00A2398B"/>
    <w:rsid w:val="00A23EB8"/>
    <w:rsid w:val="00A2480F"/>
    <w:rsid w:val="00A24BE9"/>
    <w:rsid w:val="00A25225"/>
    <w:rsid w:val="00A257AC"/>
    <w:rsid w:val="00A27CA1"/>
    <w:rsid w:val="00A30A10"/>
    <w:rsid w:val="00A30EE6"/>
    <w:rsid w:val="00A313A1"/>
    <w:rsid w:val="00A32C5A"/>
    <w:rsid w:val="00A3410C"/>
    <w:rsid w:val="00A350DD"/>
    <w:rsid w:val="00A364A4"/>
    <w:rsid w:val="00A36DB2"/>
    <w:rsid w:val="00A36F4F"/>
    <w:rsid w:val="00A40F38"/>
    <w:rsid w:val="00A41B01"/>
    <w:rsid w:val="00A53CB3"/>
    <w:rsid w:val="00A5594D"/>
    <w:rsid w:val="00A57548"/>
    <w:rsid w:val="00A6225E"/>
    <w:rsid w:val="00A638AA"/>
    <w:rsid w:val="00A64511"/>
    <w:rsid w:val="00A65D77"/>
    <w:rsid w:val="00A66D2A"/>
    <w:rsid w:val="00A673FC"/>
    <w:rsid w:val="00A70AB3"/>
    <w:rsid w:val="00A71364"/>
    <w:rsid w:val="00A73FF1"/>
    <w:rsid w:val="00A74E49"/>
    <w:rsid w:val="00A75671"/>
    <w:rsid w:val="00A7594E"/>
    <w:rsid w:val="00A8049D"/>
    <w:rsid w:val="00A86CA4"/>
    <w:rsid w:val="00A8798F"/>
    <w:rsid w:val="00A929A6"/>
    <w:rsid w:val="00A935AC"/>
    <w:rsid w:val="00A95BEA"/>
    <w:rsid w:val="00AA1EB2"/>
    <w:rsid w:val="00AA2B92"/>
    <w:rsid w:val="00AA693E"/>
    <w:rsid w:val="00AB7360"/>
    <w:rsid w:val="00AB7F20"/>
    <w:rsid w:val="00AC144B"/>
    <w:rsid w:val="00AC4347"/>
    <w:rsid w:val="00AC511B"/>
    <w:rsid w:val="00AC51C9"/>
    <w:rsid w:val="00AC550B"/>
    <w:rsid w:val="00AC56CC"/>
    <w:rsid w:val="00AD1087"/>
    <w:rsid w:val="00AD47D0"/>
    <w:rsid w:val="00AD49A5"/>
    <w:rsid w:val="00AD4F57"/>
    <w:rsid w:val="00AD7B2D"/>
    <w:rsid w:val="00AE11F6"/>
    <w:rsid w:val="00AE2E51"/>
    <w:rsid w:val="00AE4C68"/>
    <w:rsid w:val="00AF05A1"/>
    <w:rsid w:val="00AF17E7"/>
    <w:rsid w:val="00B02222"/>
    <w:rsid w:val="00B11B8E"/>
    <w:rsid w:val="00B16445"/>
    <w:rsid w:val="00B16B8F"/>
    <w:rsid w:val="00B20AA5"/>
    <w:rsid w:val="00B20EBA"/>
    <w:rsid w:val="00B210E4"/>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4360"/>
    <w:rsid w:val="00B759E6"/>
    <w:rsid w:val="00B76031"/>
    <w:rsid w:val="00B76386"/>
    <w:rsid w:val="00B77DC8"/>
    <w:rsid w:val="00B91CB4"/>
    <w:rsid w:val="00B91EF3"/>
    <w:rsid w:val="00B931B0"/>
    <w:rsid w:val="00B94112"/>
    <w:rsid w:val="00B9422A"/>
    <w:rsid w:val="00B96E3C"/>
    <w:rsid w:val="00BA1DDF"/>
    <w:rsid w:val="00BB0AE1"/>
    <w:rsid w:val="00BB1B72"/>
    <w:rsid w:val="00BB2D33"/>
    <w:rsid w:val="00BB7186"/>
    <w:rsid w:val="00BB73D5"/>
    <w:rsid w:val="00BC5121"/>
    <w:rsid w:val="00BC6411"/>
    <w:rsid w:val="00BC6B0E"/>
    <w:rsid w:val="00BD1F3B"/>
    <w:rsid w:val="00BD5588"/>
    <w:rsid w:val="00BD6D71"/>
    <w:rsid w:val="00BD7871"/>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42BC7"/>
    <w:rsid w:val="00C50D47"/>
    <w:rsid w:val="00C54801"/>
    <w:rsid w:val="00C56226"/>
    <w:rsid w:val="00C60815"/>
    <w:rsid w:val="00C618AC"/>
    <w:rsid w:val="00C64993"/>
    <w:rsid w:val="00C64F6E"/>
    <w:rsid w:val="00C67D28"/>
    <w:rsid w:val="00C7261C"/>
    <w:rsid w:val="00C72AD6"/>
    <w:rsid w:val="00C734B4"/>
    <w:rsid w:val="00C77EA2"/>
    <w:rsid w:val="00C81749"/>
    <w:rsid w:val="00C842D4"/>
    <w:rsid w:val="00C856E2"/>
    <w:rsid w:val="00C8600B"/>
    <w:rsid w:val="00C9153D"/>
    <w:rsid w:val="00C92C56"/>
    <w:rsid w:val="00C93083"/>
    <w:rsid w:val="00C96250"/>
    <w:rsid w:val="00C978B3"/>
    <w:rsid w:val="00CB2184"/>
    <w:rsid w:val="00CB452F"/>
    <w:rsid w:val="00CB4554"/>
    <w:rsid w:val="00CB5BD2"/>
    <w:rsid w:val="00CC0370"/>
    <w:rsid w:val="00CC2AA2"/>
    <w:rsid w:val="00CC2EC1"/>
    <w:rsid w:val="00CE176D"/>
    <w:rsid w:val="00CE1FA4"/>
    <w:rsid w:val="00CE269E"/>
    <w:rsid w:val="00CE30AF"/>
    <w:rsid w:val="00CE664B"/>
    <w:rsid w:val="00CE7184"/>
    <w:rsid w:val="00CE7E5A"/>
    <w:rsid w:val="00CF157D"/>
    <w:rsid w:val="00CF1DE3"/>
    <w:rsid w:val="00CF2F54"/>
    <w:rsid w:val="00CF3700"/>
    <w:rsid w:val="00CF4763"/>
    <w:rsid w:val="00CF4D9F"/>
    <w:rsid w:val="00D007AA"/>
    <w:rsid w:val="00D0086B"/>
    <w:rsid w:val="00D0220C"/>
    <w:rsid w:val="00D04073"/>
    <w:rsid w:val="00D05E7B"/>
    <w:rsid w:val="00D06955"/>
    <w:rsid w:val="00D07250"/>
    <w:rsid w:val="00D10449"/>
    <w:rsid w:val="00D1057D"/>
    <w:rsid w:val="00D135FC"/>
    <w:rsid w:val="00D21A6F"/>
    <w:rsid w:val="00D21A8A"/>
    <w:rsid w:val="00D2245F"/>
    <w:rsid w:val="00D259AC"/>
    <w:rsid w:val="00D26CF3"/>
    <w:rsid w:val="00D26DA2"/>
    <w:rsid w:val="00D325B9"/>
    <w:rsid w:val="00D414F6"/>
    <w:rsid w:val="00D442F7"/>
    <w:rsid w:val="00D46D09"/>
    <w:rsid w:val="00D555B0"/>
    <w:rsid w:val="00D56587"/>
    <w:rsid w:val="00D571A2"/>
    <w:rsid w:val="00D65136"/>
    <w:rsid w:val="00D70066"/>
    <w:rsid w:val="00D70DBF"/>
    <w:rsid w:val="00D73648"/>
    <w:rsid w:val="00D739E1"/>
    <w:rsid w:val="00D74393"/>
    <w:rsid w:val="00D7739F"/>
    <w:rsid w:val="00D84DBF"/>
    <w:rsid w:val="00D86996"/>
    <w:rsid w:val="00D87A45"/>
    <w:rsid w:val="00D9671C"/>
    <w:rsid w:val="00DA1545"/>
    <w:rsid w:val="00DA7741"/>
    <w:rsid w:val="00DB4587"/>
    <w:rsid w:val="00DB4D30"/>
    <w:rsid w:val="00DC2409"/>
    <w:rsid w:val="00DC3ED9"/>
    <w:rsid w:val="00DC55B5"/>
    <w:rsid w:val="00DC645E"/>
    <w:rsid w:val="00DD2929"/>
    <w:rsid w:val="00DD3136"/>
    <w:rsid w:val="00DD75C2"/>
    <w:rsid w:val="00DE1721"/>
    <w:rsid w:val="00DE3138"/>
    <w:rsid w:val="00DE3139"/>
    <w:rsid w:val="00DE32AA"/>
    <w:rsid w:val="00DE4D49"/>
    <w:rsid w:val="00DE6279"/>
    <w:rsid w:val="00DF086B"/>
    <w:rsid w:val="00DF1C39"/>
    <w:rsid w:val="00DF2DA5"/>
    <w:rsid w:val="00DF6235"/>
    <w:rsid w:val="00E00A80"/>
    <w:rsid w:val="00E017F1"/>
    <w:rsid w:val="00E072D8"/>
    <w:rsid w:val="00E13684"/>
    <w:rsid w:val="00E138A2"/>
    <w:rsid w:val="00E2088E"/>
    <w:rsid w:val="00E226C5"/>
    <w:rsid w:val="00E248F6"/>
    <w:rsid w:val="00E265D9"/>
    <w:rsid w:val="00E273A1"/>
    <w:rsid w:val="00E30236"/>
    <w:rsid w:val="00E34527"/>
    <w:rsid w:val="00E35069"/>
    <w:rsid w:val="00E35785"/>
    <w:rsid w:val="00E37CCB"/>
    <w:rsid w:val="00E40162"/>
    <w:rsid w:val="00E44034"/>
    <w:rsid w:val="00E44472"/>
    <w:rsid w:val="00E44E02"/>
    <w:rsid w:val="00E4655B"/>
    <w:rsid w:val="00E51D82"/>
    <w:rsid w:val="00E538DD"/>
    <w:rsid w:val="00E55E6C"/>
    <w:rsid w:val="00E55EBD"/>
    <w:rsid w:val="00E6030D"/>
    <w:rsid w:val="00E61EC7"/>
    <w:rsid w:val="00E647BE"/>
    <w:rsid w:val="00E65509"/>
    <w:rsid w:val="00E65BA1"/>
    <w:rsid w:val="00E67BAF"/>
    <w:rsid w:val="00E75142"/>
    <w:rsid w:val="00E76382"/>
    <w:rsid w:val="00E80197"/>
    <w:rsid w:val="00E81024"/>
    <w:rsid w:val="00E82016"/>
    <w:rsid w:val="00E82DD0"/>
    <w:rsid w:val="00E846F4"/>
    <w:rsid w:val="00E84E77"/>
    <w:rsid w:val="00E92DFB"/>
    <w:rsid w:val="00E9349B"/>
    <w:rsid w:val="00E9612F"/>
    <w:rsid w:val="00E96134"/>
    <w:rsid w:val="00E961BD"/>
    <w:rsid w:val="00EA1889"/>
    <w:rsid w:val="00EA3D31"/>
    <w:rsid w:val="00EA410A"/>
    <w:rsid w:val="00EA4F58"/>
    <w:rsid w:val="00EB0BE7"/>
    <w:rsid w:val="00EB2732"/>
    <w:rsid w:val="00EB28E1"/>
    <w:rsid w:val="00EB796A"/>
    <w:rsid w:val="00EC271D"/>
    <w:rsid w:val="00EC3CEE"/>
    <w:rsid w:val="00ED42ED"/>
    <w:rsid w:val="00EE1894"/>
    <w:rsid w:val="00EE4399"/>
    <w:rsid w:val="00EE4DA7"/>
    <w:rsid w:val="00EE4ECA"/>
    <w:rsid w:val="00EE59E4"/>
    <w:rsid w:val="00EE640D"/>
    <w:rsid w:val="00EE6C56"/>
    <w:rsid w:val="00EE7332"/>
    <w:rsid w:val="00EF1283"/>
    <w:rsid w:val="00EF1EE3"/>
    <w:rsid w:val="00EF2917"/>
    <w:rsid w:val="00EF2C74"/>
    <w:rsid w:val="00EF33F2"/>
    <w:rsid w:val="00EF5CCE"/>
    <w:rsid w:val="00EF6408"/>
    <w:rsid w:val="00F01F2F"/>
    <w:rsid w:val="00F02CE4"/>
    <w:rsid w:val="00F0527D"/>
    <w:rsid w:val="00F05CA2"/>
    <w:rsid w:val="00F14A6B"/>
    <w:rsid w:val="00F20098"/>
    <w:rsid w:val="00F213DD"/>
    <w:rsid w:val="00F27651"/>
    <w:rsid w:val="00F302F3"/>
    <w:rsid w:val="00F31D30"/>
    <w:rsid w:val="00F32B30"/>
    <w:rsid w:val="00F33928"/>
    <w:rsid w:val="00F360B5"/>
    <w:rsid w:val="00F416F5"/>
    <w:rsid w:val="00F41870"/>
    <w:rsid w:val="00F46F67"/>
    <w:rsid w:val="00F478A2"/>
    <w:rsid w:val="00F502BA"/>
    <w:rsid w:val="00F51B8C"/>
    <w:rsid w:val="00F52FEE"/>
    <w:rsid w:val="00F54498"/>
    <w:rsid w:val="00F544AD"/>
    <w:rsid w:val="00F6040A"/>
    <w:rsid w:val="00F64007"/>
    <w:rsid w:val="00F66631"/>
    <w:rsid w:val="00F67D86"/>
    <w:rsid w:val="00F72657"/>
    <w:rsid w:val="00F7569E"/>
    <w:rsid w:val="00F77EF3"/>
    <w:rsid w:val="00F81A34"/>
    <w:rsid w:val="00F81D2F"/>
    <w:rsid w:val="00F8398B"/>
    <w:rsid w:val="00F85D4A"/>
    <w:rsid w:val="00F90202"/>
    <w:rsid w:val="00F907E3"/>
    <w:rsid w:val="00F930DF"/>
    <w:rsid w:val="00F931BA"/>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21D6"/>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C416"/>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table" w:styleId="TableGrid">
    <w:name w:val="Table Grid"/>
    <w:basedOn w:val="TableNormal"/>
    <w:uiPriority w:val="59"/>
    <w:rsid w:val="0009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091F62"/>
    <w:rPr>
      <w:color w:val="auto"/>
    </w:rPr>
  </w:style>
  <w:style w:type="paragraph" w:customStyle="1" w:styleId="CM3">
    <w:name w:val="CM3"/>
    <w:basedOn w:val="Default"/>
    <w:next w:val="Default"/>
    <w:uiPriority w:val="99"/>
    <w:rsid w:val="00091F6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8320">
      <w:bodyDiv w:val="1"/>
      <w:marLeft w:val="0"/>
      <w:marRight w:val="0"/>
      <w:marTop w:val="0"/>
      <w:marBottom w:val="0"/>
      <w:divBdr>
        <w:top w:val="none" w:sz="0" w:space="0" w:color="auto"/>
        <w:left w:val="none" w:sz="0" w:space="0" w:color="auto"/>
        <w:bottom w:val="none" w:sz="0" w:space="0" w:color="auto"/>
        <w:right w:val="none" w:sz="0" w:space="0" w:color="auto"/>
      </w:divBdr>
    </w:div>
    <w:div w:id="1509952294">
      <w:bodyDiv w:val="1"/>
      <w:marLeft w:val="0"/>
      <w:marRight w:val="0"/>
      <w:marTop w:val="0"/>
      <w:marBottom w:val="0"/>
      <w:divBdr>
        <w:top w:val="none" w:sz="0" w:space="0" w:color="auto"/>
        <w:left w:val="none" w:sz="0" w:space="0" w:color="auto"/>
        <w:bottom w:val="none" w:sz="0" w:space="0" w:color="auto"/>
        <w:right w:val="none" w:sz="0" w:space="0" w:color="auto"/>
      </w:divBdr>
    </w:div>
    <w:div w:id="17527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78/1027/oj/?locale=LV" TargetMode="External"/><Relationship Id="rId13" Type="http://schemas.openxmlformats.org/officeDocument/2006/relationships/hyperlink" Target="http://eur-lex.europa.eu/eli/dir/1977/453/oj/?locale=LV" TargetMode="External"/><Relationship Id="rId18" Type="http://schemas.openxmlformats.org/officeDocument/2006/relationships/hyperlink" Target="http://eur-lex.europa.eu/eli/dir/1980/154/oj/?locale=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eli/dir/1985/432/oj/?locale=LV" TargetMode="External"/><Relationship Id="rId7" Type="http://schemas.openxmlformats.org/officeDocument/2006/relationships/endnotes" Target="endnotes.xml"/><Relationship Id="rId12" Type="http://schemas.openxmlformats.org/officeDocument/2006/relationships/hyperlink" Target="http://eur-lex.europa.eu/eli/dir/1977/452/oj/?locale=LV" TargetMode="External"/><Relationship Id="rId17" Type="http://schemas.openxmlformats.org/officeDocument/2006/relationships/hyperlink" Target="http://eur-lex.europa.eu/eli/dir/1978/1027/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dir/1978/1026/oj/?locale=LV" TargetMode="External"/><Relationship Id="rId20" Type="http://schemas.openxmlformats.org/officeDocument/2006/relationships/hyperlink" Target="http://eur-lex.europa.eu/eli/dir/1985/384/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92/51/oj/?locale=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eli/dir/1978/687/oj/?locale=LV" TargetMode="External"/><Relationship Id="rId23" Type="http://schemas.openxmlformats.org/officeDocument/2006/relationships/hyperlink" Target="http://eur-lex.europa.eu/eli/dir/1993/16/oj/?locale=LV" TargetMode="External"/><Relationship Id="rId28" Type="http://schemas.openxmlformats.org/officeDocument/2006/relationships/theme" Target="theme/theme1.xml"/><Relationship Id="rId10" Type="http://schemas.openxmlformats.org/officeDocument/2006/relationships/hyperlink" Target="http://eur-lex.europa.eu/eli/dir/1989/48/oj/?locale=LV" TargetMode="External"/><Relationship Id="rId19" Type="http://schemas.openxmlformats.org/officeDocument/2006/relationships/hyperlink" Target="http://eur-lex.europa.eu/eli/dir/1980/155/oj/?locale=LV" TargetMode="External"/><Relationship Id="rId4" Type="http://schemas.openxmlformats.org/officeDocument/2006/relationships/settings" Target="settings.xml"/><Relationship Id="rId9" Type="http://schemas.openxmlformats.org/officeDocument/2006/relationships/hyperlink" Target="http://eur-lex.europa.eu/eli/dir/2001/19/oj/?locale=LV" TargetMode="External"/><Relationship Id="rId14" Type="http://schemas.openxmlformats.org/officeDocument/2006/relationships/hyperlink" Target="http://eur-lex.europa.eu/eli/dir/1978/686/oj/?locale=LV" TargetMode="External"/><Relationship Id="rId22" Type="http://schemas.openxmlformats.org/officeDocument/2006/relationships/hyperlink" Target="http://eur-lex.europa.eu/eli/dir/1985/433/oj/?locale=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aeve.org/fileadmin/downloads/SOP/SOP_2019/ESEVT_SOP_2019_adopted_by_the_32nd_GA_in_Zagreb_on_30_May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81BD-EEAC-439D-ADE8-54CCB298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15162</Words>
  <Characters>8643</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5. jūlija noteikumos Nr. 489 “Noteikumi par izglītības programmu minimālajām prasībām veterinārārsta profesionālās kvalifikācijas iegūšanai un par institūcijām, kuru tiešā kontro</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5. jūlija noteikumos Nr. 489 “Noteikumi par izglītības programmu minimālajām prasībām veterinārārsta profesionālās kvalifikācijas iegūšanai un par institūcijām, kuru tiešā kontrolē var apgūt praktisko izglītību veterinārārsta profesijā”” sākotnējās ietekmes novērtējuma ziņojums (anotācija)</dc:title>
  <dc:subject>Anotācija</dc:subject>
  <dc:creator>Inese Stūre</dc:creator>
  <dc:description>I.Stūre
Inese.Sture@izm.gov.lv
t. 67047899</dc:description>
  <cp:lastModifiedBy>Inese Stūre</cp:lastModifiedBy>
  <cp:revision>9</cp:revision>
  <cp:lastPrinted>2019-05-27T13:25:00Z</cp:lastPrinted>
  <dcterms:created xsi:type="dcterms:W3CDTF">2020-01-14T18:00:00Z</dcterms:created>
  <dcterms:modified xsi:type="dcterms:W3CDTF">2020-01-22T12:42:00Z</dcterms:modified>
</cp:coreProperties>
</file>