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9FF" w:rsidRPr="0009332E" w:rsidRDefault="00FA19FF" w:rsidP="00FA19FF">
      <w:pPr>
        <w:spacing w:after="0" w:line="240" w:lineRule="auto"/>
        <w:jc w:val="center"/>
        <w:rPr>
          <w:rFonts w:ascii="Times New Roman" w:eastAsia="Times New Roman" w:hAnsi="Times New Roman" w:cs="Times New Roman"/>
          <w:b/>
          <w:bCs/>
          <w:lang w:val="lv-LV" w:eastAsia="lv-LV"/>
        </w:rPr>
      </w:pPr>
      <w:r w:rsidRPr="0009332E">
        <w:rPr>
          <w:rFonts w:ascii="Times New Roman" w:eastAsia="Times New Roman" w:hAnsi="Times New Roman" w:cs="Times New Roman"/>
          <w:b/>
          <w:bCs/>
          <w:lang w:val="lv-LV" w:eastAsia="lv-LV"/>
        </w:rPr>
        <w:t>Izziņa par atzinumos sniegtajiem iebildumiem un priekšlikumiem</w:t>
      </w:r>
    </w:p>
    <w:tbl>
      <w:tblPr>
        <w:tblW w:w="0" w:type="auto"/>
        <w:jc w:val="center"/>
        <w:tblLook w:val="00A0" w:firstRow="1" w:lastRow="0" w:firstColumn="1" w:lastColumn="0" w:noHBand="0" w:noVBand="0"/>
      </w:tblPr>
      <w:tblGrid>
        <w:gridCol w:w="10188"/>
      </w:tblGrid>
      <w:tr w:rsidR="00FA19FF" w:rsidRPr="0009332E" w:rsidTr="00AB3738">
        <w:trPr>
          <w:jc w:val="center"/>
        </w:trPr>
        <w:tc>
          <w:tcPr>
            <w:tcW w:w="10188" w:type="dxa"/>
          </w:tcPr>
          <w:p w:rsidR="00775379" w:rsidRDefault="00FA19FF" w:rsidP="00775379">
            <w:pPr>
              <w:spacing w:after="0" w:line="240" w:lineRule="auto"/>
              <w:jc w:val="center"/>
              <w:rPr>
                <w:rFonts w:ascii="Times New Roman" w:eastAsia="Times New Roman" w:hAnsi="Times New Roman" w:cs="Times New Roman"/>
                <w:b/>
                <w:bCs/>
                <w:lang w:val="lv-LV" w:eastAsia="lv-LV"/>
              </w:rPr>
            </w:pPr>
            <w:r w:rsidRPr="0009332E">
              <w:rPr>
                <w:rFonts w:ascii="Times New Roman" w:eastAsia="Times New Roman" w:hAnsi="Times New Roman" w:cs="Times New Roman"/>
                <w:b/>
                <w:bCs/>
                <w:lang w:val="lv-LV" w:eastAsia="lv-LV"/>
              </w:rPr>
              <w:t xml:space="preserve">par </w:t>
            </w:r>
            <w:bookmarkStart w:id="0" w:name="372832"/>
            <w:r w:rsidRPr="0009332E">
              <w:rPr>
                <w:rFonts w:ascii="Times New Roman" w:eastAsia="Times New Roman" w:hAnsi="Times New Roman" w:cs="Times New Roman"/>
                <w:b/>
                <w:bCs/>
                <w:lang w:val="lv-LV" w:eastAsia="lv-LV"/>
              </w:rPr>
              <w:t>Ministru kabineta noteikumu</w:t>
            </w:r>
            <w:bookmarkEnd w:id="0"/>
            <w:r w:rsidRPr="0009332E">
              <w:rPr>
                <w:rFonts w:ascii="Times New Roman" w:eastAsia="Times New Roman" w:hAnsi="Times New Roman" w:cs="Times New Roman"/>
                <w:b/>
                <w:bCs/>
                <w:lang w:val="lv-LV" w:eastAsia="lv-LV"/>
              </w:rPr>
              <w:t xml:space="preserve"> projekt</w:t>
            </w:r>
            <w:r w:rsidR="00775379">
              <w:rPr>
                <w:rFonts w:ascii="Times New Roman" w:eastAsia="Times New Roman" w:hAnsi="Times New Roman" w:cs="Times New Roman"/>
                <w:b/>
                <w:bCs/>
                <w:lang w:val="lv-LV" w:eastAsia="lv-LV"/>
              </w:rPr>
              <w:t>u</w:t>
            </w:r>
            <w:r w:rsidRPr="0009332E">
              <w:rPr>
                <w:rFonts w:ascii="Times New Roman" w:eastAsia="Times New Roman" w:hAnsi="Times New Roman" w:cs="Times New Roman"/>
                <w:b/>
                <w:bCs/>
                <w:lang w:val="lv-LV" w:eastAsia="lv-LV"/>
              </w:rPr>
              <w:t xml:space="preserve"> </w:t>
            </w:r>
            <w:r w:rsidR="00775379" w:rsidRPr="00775379">
              <w:rPr>
                <w:rFonts w:ascii="Times New Roman" w:eastAsia="Times New Roman" w:hAnsi="Times New Roman" w:cs="Times New Roman"/>
                <w:b/>
                <w:bCs/>
                <w:lang w:val="lv-LV" w:eastAsia="lv-LV"/>
              </w:rPr>
              <w:t>“Grozījumi Ministru kabineta 2016.gada 16.augusta noteikumos Nr.561 “Darbības programmas “Izaugsme un nodarbinātība” 8.1.1.specifiskā atbalsta mērķa “Palielināt modernizēto STEM, tajā skaitā medicīnas un radošās industrijas, studiju programmu skaitu” īstenošanas noteikumi”” un</w:t>
            </w:r>
            <w:r w:rsidR="00775379">
              <w:t xml:space="preserve"> </w:t>
            </w:r>
            <w:r w:rsidR="00775379" w:rsidRPr="00775379">
              <w:rPr>
                <w:rFonts w:ascii="Times New Roman" w:eastAsia="Times New Roman" w:hAnsi="Times New Roman" w:cs="Times New Roman"/>
                <w:b/>
                <w:bCs/>
                <w:lang w:val="lv-LV" w:eastAsia="lv-LV"/>
              </w:rPr>
              <w:t xml:space="preserve">Ministru kabineta noteikumu projektu “Grozījumi Ministru kabineta 2016.gada 9.augusta noteikumos Nr.533 “Darbības programmas “Izaugsme un nodarbinātība” 8.1.4.specifiskā atbalsta mērķa “Uzlabot pirmā līmeņa profesionālās augstākās izglītības STEM, tajā skaitā medicīnas un radošās industrijas, studiju mācību vidi koledžās” īstenošanas noteikumi”” </w:t>
            </w:r>
          </w:p>
          <w:p w:rsidR="00FA19FF" w:rsidRPr="0009332E" w:rsidRDefault="00697358" w:rsidP="00775379">
            <w:pPr>
              <w:spacing w:after="0" w:line="240" w:lineRule="auto"/>
              <w:jc w:val="center"/>
              <w:rPr>
                <w:rFonts w:ascii="Times New Roman" w:eastAsia="Times New Roman" w:hAnsi="Times New Roman" w:cs="Times New Roman"/>
                <w:b/>
                <w:bCs/>
                <w:lang w:val="lv-LV" w:eastAsia="lv-LV"/>
              </w:rPr>
            </w:pPr>
            <w:r w:rsidRPr="0009332E">
              <w:rPr>
                <w:rFonts w:ascii="Times New Roman" w:hAnsi="Times New Roman"/>
                <w:b/>
                <w:lang w:val="lv-LV"/>
              </w:rPr>
              <w:t>(VSS</w:t>
            </w:r>
            <w:r w:rsidR="00775379">
              <w:rPr>
                <w:rFonts w:ascii="Times New Roman" w:hAnsi="Times New Roman"/>
                <w:b/>
                <w:lang w:val="lv-LV"/>
              </w:rPr>
              <w:t xml:space="preserve"> </w:t>
            </w:r>
            <w:r w:rsidRPr="0009332E">
              <w:rPr>
                <w:rFonts w:ascii="Times New Roman" w:hAnsi="Times New Roman"/>
                <w:b/>
                <w:lang w:val="lv-LV"/>
              </w:rPr>
              <w:t xml:space="preserve">- </w:t>
            </w:r>
            <w:r w:rsidR="00775379">
              <w:rPr>
                <w:rFonts w:ascii="Times New Roman" w:hAnsi="Times New Roman"/>
                <w:b/>
                <w:lang w:val="lv-LV"/>
              </w:rPr>
              <w:t>1143; VSS - 1144</w:t>
            </w:r>
            <w:r w:rsidRPr="0009332E">
              <w:rPr>
                <w:rFonts w:ascii="Times New Roman" w:hAnsi="Times New Roman"/>
                <w:b/>
                <w:lang w:val="lv-LV"/>
              </w:rPr>
              <w:t>)</w:t>
            </w:r>
            <w:r w:rsidR="00FA19FF" w:rsidRPr="0009332E">
              <w:rPr>
                <w:rFonts w:ascii="Times New Roman" w:hAnsi="Times New Roman"/>
                <w:lang w:val="lv-LV"/>
              </w:rPr>
              <w:t xml:space="preserve">  </w:t>
            </w:r>
            <w:r w:rsidR="00FA19FF" w:rsidRPr="0009332E">
              <w:rPr>
                <w:rFonts w:ascii="Times New Roman" w:eastAsia="Times New Roman" w:hAnsi="Times New Roman" w:cs="Times New Roman"/>
                <w:b/>
                <w:bCs/>
                <w:lang w:val="lv-LV" w:eastAsia="lv-LV"/>
              </w:rPr>
              <w:t xml:space="preserve"> </w:t>
            </w:r>
          </w:p>
        </w:tc>
      </w:tr>
    </w:tbl>
    <w:p w:rsidR="00FA19FF" w:rsidRPr="00F20000" w:rsidRDefault="00FA19FF" w:rsidP="00FA19FF">
      <w:pPr>
        <w:spacing w:after="0" w:line="240" w:lineRule="auto"/>
        <w:ind w:firstLine="375"/>
        <w:jc w:val="both"/>
        <w:rPr>
          <w:rFonts w:ascii="Times New Roman" w:eastAsia="Times New Roman" w:hAnsi="Times New Roman" w:cs="Times New Roman"/>
          <w:b/>
          <w:lang w:val="lv-LV" w:eastAsia="lv-LV"/>
        </w:rPr>
      </w:pPr>
    </w:p>
    <w:p w:rsidR="00FA19FF" w:rsidRPr="00F20000" w:rsidRDefault="00FA19FF" w:rsidP="00FA19FF">
      <w:pPr>
        <w:spacing w:after="0" w:line="240" w:lineRule="auto"/>
        <w:ind w:firstLine="375"/>
        <w:jc w:val="center"/>
        <w:rPr>
          <w:rFonts w:ascii="Times New Roman" w:eastAsia="Times New Roman" w:hAnsi="Times New Roman" w:cs="Times New Roman"/>
          <w:b/>
          <w:lang w:val="lv-LV" w:eastAsia="lv-LV"/>
        </w:rPr>
      </w:pPr>
      <w:r w:rsidRPr="00F20000">
        <w:rPr>
          <w:rFonts w:ascii="Times New Roman" w:eastAsia="Times New Roman" w:hAnsi="Times New Roman" w:cs="Times New Roman"/>
          <w:b/>
          <w:lang w:val="lv-LV" w:eastAsia="lv-LV"/>
        </w:rPr>
        <w:t>I. Jautājumi, par kuriem saskaņošanā vienošanās nav panākta</w:t>
      </w:r>
    </w:p>
    <w:tbl>
      <w:tblPr>
        <w:tblW w:w="511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2110"/>
        <w:gridCol w:w="3382"/>
        <w:gridCol w:w="3010"/>
        <w:gridCol w:w="1608"/>
        <w:gridCol w:w="2548"/>
      </w:tblGrid>
      <w:tr w:rsidR="00FA19FF" w:rsidRPr="00F20000" w:rsidTr="00AB3738">
        <w:trPr>
          <w:trHeight w:val="1230"/>
        </w:trPr>
        <w:tc>
          <w:tcPr>
            <w:tcW w:w="340" w:type="pct"/>
            <w:vAlign w:val="center"/>
          </w:tcPr>
          <w:p w:rsidR="00FA19FF" w:rsidRPr="00F20000" w:rsidRDefault="00FA19FF" w:rsidP="00FA19FF">
            <w:pPr>
              <w:spacing w:after="0" w:line="240" w:lineRule="auto"/>
              <w:jc w:val="both"/>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Nr. p.k.</w:t>
            </w:r>
          </w:p>
        </w:tc>
        <w:tc>
          <w:tcPr>
            <w:tcW w:w="777" w:type="pct"/>
            <w:vAlign w:val="center"/>
          </w:tcPr>
          <w:p w:rsidR="00FA19FF" w:rsidRPr="00F20000" w:rsidRDefault="00FA19FF" w:rsidP="00FA19FF">
            <w:pPr>
              <w:spacing w:after="0" w:line="240" w:lineRule="auto"/>
              <w:jc w:val="both"/>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Saskaņošanai nosūtītā projekta redakcija (konkrēta vērtēšanas kritērija redakcija)</w:t>
            </w:r>
          </w:p>
        </w:tc>
        <w:tc>
          <w:tcPr>
            <w:tcW w:w="1245" w:type="pct"/>
            <w:vAlign w:val="center"/>
          </w:tcPr>
          <w:p w:rsidR="00FA19FF" w:rsidRPr="00F20000" w:rsidRDefault="00FA19FF" w:rsidP="00FA19FF">
            <w:pPr>
              <w:spacing w:after="0" w:line="240" w:lineRule="auto"/>
              <w:jc w:val="both"/>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Atzinumā norādītais ministrijas (citas institūcijas) iebildums, kā arī saskaņošanā papildus izteiktais iebildums par projekta konkrēto punktu (pantu)</w:t>
            </w:r>
          </w:p>
        </w:tc>
        <w:tc>
          <w:tcPr>
            <w:tcW w:w="1108" w:type="pct"/>
            <w:vAlign w:val="center"/>
          </w:tcPr>
          <w:p w:rsidR="00FA19FF" w:rsidRPr="00F20000" w:rsidRDefault="00FA19FF" w:rsidP="00FA19FF">
            <w:pPr>
              <w:spacing w:after="0" w:line="240" w:lineRule="auto"/>
              <w:jc w:val="both"/>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Atbildīgās ministrijas pamatojums iebilduma noraidījumam</w:t>
            </w:r>
          </w:p>
        </w:tc>
        <w:tc>
          <w:tcPr>
            <w:tcW w:w="592" w:type="pct"/>
          </w:tcPr>
          <w:p w:rsidR="00FA19FF" w:rsidRPr="00F20000" w:rsidRDefault="00FA19FF" w:rsidP="00FA19FF">
            <w:pPr>
              <w:spacing w:after="0" w:line="240" w:lineRule="auto"/>
              <w:jc w:val="both"/>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Atzinuma sniedzēja uzturētais iebildums, ja tas atšķiras no atzinumā norādītā iebilduma pamatojuma</w:t>
            </w:r>
          </w:p>
        </w:tc>
        <w:tc>
          <w:tcPr>
            <w:tcW w:w="938" w:type="pct"/>
            <w:vAlign w:val="center"/>
          </w:tcPr>
          <w:p w:rsidR="00FA19FF" w:rsidRPr="00F20000" w:rsidRDefault="00FA19FF" w:rsidP="00FA19FF">
            <w:pPr>
              <w:spacing w:after="0" w:line="240" w:lineRule="auto"/>
              <w:jc w:val="both"/>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Projekta attiecīgā punkta (panta) galīgā redakcija</w:t>
            </w:r>
          </w:p>
        </w:tc>
      </w:tr>
      <w:tr w:rsidR="00FA19FF" w:rsidRPr="00F20000" w:rsidTr="00AB3738">
        <w:trPr>
          <w:trHeight w:val="285"/>
        </w:trPr>
        <w:tc>
          <w:tcPr>
            <w:tcW w:w="340" w:type="pct"/>
            <w:shd w:val="clear" w:color="auto" w:fill="auto"/>
            <w:vAlign w:val="center"/>
          </w:tcPr>
          <w:p w:rsidR="00FA19FF" w:rsidRPr="00F20000" w:rsidRDefault="00FA19FF" w:rsidP="00FA19FF">
            <w:pPr>
              <w:spacing w:after="0" w:line="240" w:lineRule="auto"/>
              <w:jc w:val="center"/>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1.</w:t>
            </w:r>
          </w:p>
        </w:tc>
        <w:tc>
          <w:tcPr>
            <w:tcW w:w="777" w:type="pct"/>
            <w:shd w:val="clear" w:color="auto" w:fill="auto"/>
            <w:vAlign w:val="center"/>
          </w:tcPr>
          <w:p w:rsidR="00FA19FF" w:rsidRPr="00F20000" w:rsidRDefault="00FA19FF" w:rsidP="00FA19FF">
            <w:pPr>
              <w:spacing w:after="0" w:line="240" w:lineRule="auto"/>
              <w:jc w:val="center"/>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2.</w:t>
            </w:r>
          </w:p>
        </w:tc>
        <w:tc>
          <w:tcPr>
            <w:tcW w:w="1245" w:type="pct"/>
            <w:shd w:val="clear" w:color="auto" w:fill="auto"/>
            <w:vAlign w:val="center"/>
          </w:tcPr>
          <w:p w:rsidR="00FA19FF" w:rsidRPr="00F20000" w:rsidRDefault="00FA19FF" w:rsidP="00FA19FF">
            <w:pPr>
              <w:spacing w:after="0" w:line="240" w:lineRule="auto"/>
              <w:jc w:val="center"/>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3.</w:t>
            </w:r>
          </w:p>
        </w:tc>
        <w:tc>
          <w:tcPr>
            <w:tcW w:w="1108" w:type="pct"/>
            <w:shd w:val="clear" w:color="auto" w:fill="auto"/>
            <w:vAlign w:val="center"/>
          </w:tcPr>
          <w:p w:rsidR="00FA19FF" w:rsidRPr="00F20000" w:rsidRDefault="00FA19FF" w:rsidP="00FA19FF">
            <w:pPr>
              <w:spacing w:after="0" w:line="240" w:lineRule="auto"/>
              <w:jc w:val="center"/>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4.</w:t>
            </w:r>
          </w:p>
        </w:tc>
        <w:tc>
          <w:tcPr>
            <w:tcW w:w="592" w:type="pct"/>
            <w:shd w:val="clear" w:color="auto" w:fill="auto"/>
          </w:tcPr>
          <w:p w:rsidR="00FA19FF" w:rsidRPr="00F20000" w:rsidRDefault="00FA19FF" w:rsidP="00FA19FF">
            <w:pPr>
              <w:spacing w:after="0" w:line="240" w:lineRule="auto"/>
              <w:jc w:val="center"/>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5.</w:t>
            </w:r>
          </w:p>
        </w:tc>
        <w:tc>
          <w:tcPr>
            <w:tcW w:w="938" w:type="pct"/>
            <w:shd w:val="clear" w:color="auto" w:fill="auto"/>
            <w:vAlign w:val="center"/>
          </w:tcPr>
          <w:p w:rsidR="00FA19FF" w:rsidRPr="00F20000" w:rsidRDefault="00FA19FF" w:rsidP="00FA19FF">
            <w:pPr>
              <w:spacing w:after="0" w:line="240" w:lineRule="auto"/>
              <w:jc w:val="center"/>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6.</w:t>
            </w:r>
          </w:p>
        </w:tc>
      </w:tr>
      <w:tr w:rsidR="00060293" w:rsidRPr="00F20000" w:rsidTr="00AB3738">
        <w:trPr>
          <w:trHeight w:val="285"/>
        </w:trPr>
        <w:tc>
          <w:tcPr>
            <w:tcW w:w="340" w:type="pct"/>
            <w:shd w:val="clear" w:color="auto" w:fill="auto"/>
            <w:vAlign w:val="center"/>
          </w:tcPr>
          <w:p w:rsidR="00060293" w:rsidRPr="00F20000" w:rsidRDefault="00060293" w:rsidP="00FA19FF">
            <w:pPr>
              <w:spacing w:after="0" w:line="240" w:lineRule="auto"/>
              <w:jc w:val="center"/>
              <w:rPr>
                <w:rFonts w:ascii="Times New Roman" w:eastAsia="Times New Roman" w:hAnsi="Times New Roman" w:cs="Times New Roman"/>
                <w:lang w:val="lv-LV" w:eastAsia="lv-LV"/>
              </w:rPr>
            </w:pPr>
          </w:p>
        </w:tc>
        <w:tc>
          <w:tcPr>
            <w:tcW w:w="777" w:type="pct"/>
            <w:shd w:val="clear" w:color="auto" w:fill="auto"/>
            <w:vAlign w:val="center"/>
          </w:tcPr>
          <w:p w:rsidR="00060293" w:rsidRPr="00F20000" w:rsidRDefault="00060293" w:rsidP="00FA19FF">
            <w:pPr>
              <w:spacing w:after="0" w:line="240" w:lineRule="auto"/>
              <w:jc w:val="center"/>
              <w:rPr>
                <w:rFonts w:ascii="Times New Roman" w:eastAsia="Times New Roman" w:hAnsi="Times New Roman" w:cs="Times New Roman"/>
                <w:lang w:val="lv-LV" w:eastAsia="lv-LV"/>
              </w:rPr>
            </w:pPr>
          </w:p>
        </w:tc>
        <w:tc>
          <w:tcPr>
            <w:tcW w:w="1245" w:type="pct"/>
            <w:shd w:val="clear" w:color="auto" w:fill="auto"/>
            <w:vAlign w:val="center"/>
          </w:tcPr>
          <w:p w:rsidR="00060293" w:rsidRPr="00F20000" w:rsidRDefault="00060293" w:rsidP="00FA19FF">
            <w:pPr>
              <w:spacing w:after="0" w:line="240" w:lineRule="auto"/>
              <w:jc w:val="center"/>
              <w:rPr>
                <w:rFonts w:ascii="Times New Roman" w:eastAsia="Times New Roman" w:hAnsi="Times New Roman" w:cs="Times New Roman"/>
                <w:lang w:val="lv-LV" w:eastAsia="lv-LV"/>
              </w:rPr>
            </w:pPr>
          </w:p>
        </w:tc>
        <w:tc>
          <w:tcPr>
            <w:tcW w:w="1108" w:type="pct"/>
            <w:shd w:val="clear" w:color="auto" w:fill="auto"/>
            <w:vAlign w:val="center"/>
          </w:tcPr>
          <w:p w:rsidR="00060293" w:rsidRPr="00F20000" w:rsidRDefault="00060293" w:rsidP="00FA19FF">
            <w:pPr>
              <w:spacing w:after="0" w:line="240" w:lineRule="auto"/>
              <w:jc w:val="center"/>
              <w:rPr>
                <w:rFonts w:ascii="Times New Roman" w:eastAsia="Times New Roman" w:hAnsi="Times New Roman" w:cs="Times New Roman"/>
                <w:lang w:val="lv-LV" w:eastAsia="lv-LV"/>
              </w:rPr>
            </w:pPr>
          </w:p>
        </w:tc>
        <w:tc>
          <w:tcPr>
            <w:tcW w:w="592" w:type="pct"/>
            <w:shd w:val="clear" w:color="auto" w:fill="auto"/>
          </w:tcPr>
          <w:p w:rsidR="00060293" w:rsidRPr="00F20000" w:rsidRDefault="00060293" w:rsidP="00FA19FF">
            <w:pPr>
              <w:spacing w:after="0" w:line="240" w:lineRule="auto"/>
              <w:jc w:val="center"/>
              <w:rPr>
                <w:rFonts w:ascii="Times New Roman" w:eastAsia="Times New Roman" w:hAnsi="Times New Roman" w:cs="Times New Roman"/>
                <w:lang w:val="lv-LV" w:eastAsia="lv-LV"/>
              </w:rPr>
            </w:pPr>
          </w:p>
        </w:tc>
        <w:tc>
          <w:tcPr>
            <w:tcW w:w="938" w:type="pct"/>
            <w:shd w:val="clear" w:color="auto" w:fill="auto"/>
            <w:vAlign w:val="center"/>
          </w:tcPr>
          <w:p w:rsidR="00060293" w:rsidRPr="00F20000" w:rsidRDefault="00060293" w:rsidP="00FA19FF">
            <w:pPr>
              <w:spacing w:after="0" w:line="240" w:lineRule="auto"/>
              <w:jc w:val="center"/>
              <w:rPr>
                <w:rFonts w:ascii="Times New Roman" w:eastAsia="Times New Roman" w:hAnsi="Times New Roman" w:cs="Times New Roman"/>
                <w:lang w:val="lv-LV" w:eastAsia="lv-LV"/>
              </w:rPr>
            </w:pPr>
          </w:p>
        </w:tc>
      </w:tr>
    </w:tbl>
    <w:p w:rsidR="00FA19FF" w:rsidRPr="00F20000" w:rsidRDefault="00FA19FF" w:rsidP="00FA19FF">
      <w:pPr>
        <w:spacing w:after="0" w:line="240" w:lineRule="auto"/>
        <w:ind w:firstLine="375"/>
        <w:jc w:val="both"/>
        <w:rPr>
          <w:rFonts w:ascii="Times New Roman" w:eastAsia="Times New Roman" w:hAnsi="Times New Roman" w:cs="Times New Roman"/>
          <w:b/>
          <w:lang w:val="lv-LV" w:eastAsia="lv-LV"/>
        </w:rPr>
      </w:pPr>
    </w:p>
    <w:p w:rsidR="00FA19FF" w:rsidRPr="00F20000" w:rsidRDefault="00FA19FF" w:rsidP="00FA19FF">
      <w:pPr>
        <w:spacing w:after="0" w:line="240" w:lineRule="auto"/>
        <w:ind w:firstLine="375"/>
        <w:jc w:val="both"/>
        <w:rPr>
          <w:rFonts w:ascii="Times New Roman" w:eastAsia="Times New Roman" w:hAnsi="Times New Roman" w:cs="Times New Roman"/>
          <w:b/>
          <w:u w:val="single"/>
          <w:lang w:val="lv-LV" w:eastAsia="lv-LV"/>
        </w:rPr>
      </w:pPr>
      <w:r w:rsidRPr="00F20000">
        <w:rPr>
          <w:rFonts w:ascii="Times New Roman" w:eastAsia="Times New Roman" w:hAnsi="Times New Roman" w:cs="Times New Roman"/>
          <w:b/>
          <w:lang w:val="lv-LV" w:eastAsia="lv-LV"/>
        </w:rPr>
        <w:t xml:space="preserve">Informācija par </w:t>
      </w:r>
      <w:proofErr w:type="spellStart"/>
      <w:r w:rsidRPr="00F20000">
        <w:rPr>
          <w:rFonts w:ascii="Times New Roman" w:eastAsia="Times New Roman" w:hAnsi="Times New Roman" w:cs="Times New Roman"/>
          <w:b/>
          <w:lang w:val="lv-LV" w:eastAsia="lv-LV"/>
        </w:rPr>
        <w:t>starpministriju</w:t>
      </w:r>
      <w:proofErr w:type="spellEnd"/>
      <w:r w:rsidRPr="00F20000">
        <w:rPr>
          <w:rFonts w:ascii="Times New Roman" w:eastAsia="Times New Roman" w:hAnsi="Times New Roman" w:cs="Times New Roman"/>
          <w:b/>
          <w:lang w:val="lv-LV" w:eastAsia="lv-LV"/>
        </w:rPr>
        <w:t xml:space="preserve"> (starpinstitūciju) sanāksmi vai </w:t>
      </w:r>
      <w:r w:rsidRPr="00F20000">
        <w:rPr>
          <w:rFonts w:ascii="Times New Roman" w:eastAsia="Times New Roman" w:hAnsi="Times New Roman" w:cs="Times New Roman"/>
          <w:b/>
          <w:u w:val="single"/>
          <w:lang w:val="lv-LV" w:eastAsia="lv-LV"/>
        </w:rPr>
        <w:t>elektronisko saskaņošanu</w:t>
      </w:r>
    </w:p>
    <w:tbl>
      <w:tblPr>
        <w:tblW w:w="13609" w:type="dxa"/>
        <w:tblInd w:w="-284" w:type="dxa"/>
        <w:tblLook w:val="00A0" w:firstRow="1" w:lastRow="0" w:firstColumn="1" w:lastColumn="0" w:noHBand="0" w:noVBand="0"/>
      </w:tblPr>
      <w:tblGrid>
        <w:gridCol w:w="6663"/>
        <w:gridCol w:w="990"/>
        <w:gridCol w:w="5956"/>
      </w:tblGrid>
      <w:tr w:rsidR="000A1F5A" w:rsidRPr="00F20000" w:rsidTr="000A1F5A">
        <w:trPr>
          <w:trHeight w:val="201"/>
        </w:trPr>
        <w:tc>
          <w:tcPr>
            <w:tcW w:w="6663" w:type="dxa"/>
          </w:tcPr>
          <w:p w:rsidR="000A1F5A" w:rsidRPr="0077471D" w:rsidRDefault="000A1F5A" w:rsidP="000A1F5A">
            <w:pPr>
              <w:spacing w:after="0" w:line="240" w:lineRule="auto"/>
              <w:ind w:left="67" w:hanging="67"/>
              <w:jc w:val="both"/>
              <w:rPr>
                <w:rFonts w:ascii="Times New Roman" w:eastAsia="Times New Roman" w:hAnsi="Times New Roman" w:cs="Times New Roman"/>
                <w:lang w:val="lv-LV" w:eastAsia="lv-LV"/>
              </w:rPr>
            </w:pPr>
          </w:p>
          <w:p w:rsidR="000A1F5A" w:rsidRPr="0077471D" w:rsidRDefault="000A1F5A" w:rsidP="000A1F5A">
            <w:pPr>
              <w:spacing w:after="0" w:line="240" w:lineRule="auto"/>
              <w:ind w:left="67" w:hanging="67"/>
              <w:jc w:val="both"/>
              <w:rPr>
                <w:rFonts w:ascii="Times New Roman" w:eastAsia="Times New Roman" w:hAnsi="Times New Roman" w:cs="Times New Roman"/>
                <w:lang w:val="lv-LV" w:eastAsia="lv-LV"/>
              </w:rPr>
            </w:pPr>
            <w:r w:rsidRPr="0077471D">
              <w:rPr>
                <w:rFonts w:ascii="Times New Roman" w:eastAsia="Times New Roman" w:hAnsi="Times New Roman" w:cs="Times New Roman"/>
                <w:lang w:val="lv-LV" w:eastAsia="lv-LV"/>
              </w:rPr>
              <w:t>Datums</w:t>
            </w:r>
          </w:p>
        </w:tc>
        <w:tc>
          <w:tcPr>
            <w:tcW w:w="6946" w:type="dxa"/>
            <w:gridSpan w:val="2"/>
            <w:tcBorders>
              <w:bottom w:val="single" w:sz="4" w:space="0" w:color="auto"/>
            </w:tcBorders>
          </w:tcPr>
          <w:p w:rsidR="000A1F5A" w:rsidRPr="0077471D" w:rsidRDefault="000A1F5A" w:rsidP="000A1F5A">
            <w:pPr>
              <w:spacing w:after="0" w:line="240" w:lineRule="auto"/>
              <w:jc w:val="both"/>
              <w:rPr>
                <w:rFonts w:ascii="Times New Roman" w:eastAsia="Times New Roman" w:hAnsi="Times New Roman" w:cs="Times New Roman"/>
                <w:lang w:val="lv-LV" w:eastAsia="lv-LV"/>
              </w:rPr>
            </w:pPr>
          </w:p>
          <w:p w:rsidR="000A1F5A" w:rsidRPr="0077471D" w:rsidRDefault="00C41B96" w:rsidP="008B1021">
            <w:pPr>
              <w:spacing w:after="0" w:line="240" w:lineRule="auto"/>
              <w:jc w:val="both"/>
              <w:rPr>
                <w:rFonts w:ascii="Times New Roman" w:eastAsia="Times New Roman" w:hAnsi="Times New Roman" w:cs="Times New Roman"/>
                <w:lang w:val="lv-LV" w:eastAsia="lv-LV"/>
              </w:rPr>
            </w:pPr>
            <w:r w:rsidRPr="00B245BD">
              <w:rPr>
                <w:rFonts w:ascii="Times New Roman" w:eastAsia="Times New Roman" w:hAnsi="Times New Roman" w:cs="Times New Roman"/>
                <w:lang w:val="lv-LV" w:eastAsia="lv-LV"/>
              </w:rPr>
              <w:t>17</w:t>
            </w:r>
            <w:r w:rsidR="0069377C" w:rsidRPr="00B245BD">
              <w:rPr>
                <w:rFonts w:ascii="Times New Roman" w:eastAsia="Times New Roman" w:hAnsi="Times New Roman" w:cs="Times New Roman"/>
                <w:lang w:val="lv-LV" w:eastAsia="lv-LV"/>
              </w:rPr>
              <w:t>.1</w:t>
            </w:r>
            <w:r w:rsidR="00775CDA" w:rsidRPr="00B245BD">
              <w:rPr>
                <w:rFonts w:ascii="Times New Roman" w:eastAsia="Times New Roman" w:hAnsi="Times New Roman" w:cs="Times New Roman"/>
                <w:lang w:val="lv-LV" w:eastAsia="lv-LV"/>
              </w:rPr>
              <w:t>2</w:t>
            </w:r>
            <w:r w:rsidR="000A1F5A" w:rsidRPr="00B245BD">
              <w:rPr>
                <w:rFonts w:ascii="Times New Roman" w:eastAsia="Times New Roman" w:hAnsi="Times New Roman" w:cs="Times New Roman"/>
                <w:lang w:val="lv-LV" w:eastAsia="lv-LV"/>
              </w:rPr>
              <w:t>.2019.</w:t>
            </w:r>
            <w:r w:rsidR="00D31D32">
              <w:rPr>
                <w:rFonts w:ascii="Times New Roman" w:eastAsia="Times New Roman" w:hAnsi="Times New Roman" w:cs="Times New Roman"/>
                <w:lang w:val="lv-LV" w:eastAsia="lv-LV"/>
              </w:rPr>
              <w:t xml:space="preserve">, </w:t>
            </w:r>
            <w:r w:rsidR="00D31D32" w:rsidRPr="008B1021">
              <w:rPr>
                <w:rFonts w:ascii="Times New Roman" w:eastAsia="Times New Roman" w:hAnsi="Times New Roman" w:cs="Times New Roman"/>
                <w:lang w:val="lv-LV" w:eastAsia="lv-LV"/>
              </w:rPr>
              <w:t>0</w:t>
            </w:r>
            <w:r w:rsidR="008B1021" w:rsidRPr="008B1021">
              <w:rPr>
                <w:rFonts w:ascii="Times New Roman" w:eastAsia="Times New Roman" w:hAnsi="Times New Roman" w:cs="Times New Roman"/>
                <w:lang w:val="lv-LV" w:eastAsia="lv-LV"/>
              </w:rPr>
              <w:t>3</w:t>
            </w:r>
            <w:r w:rsidR="00D31D32" w:rsidRPr="008B1021">
              <w:rPr>
                <w:rFonts w:ascii="Times New Roman" w:eastAsia="Times New Roman" w:hAnsi="Times New Roman" w:cs="Times New Roman"/>
                <w:lang w:val="lv-LV" w:eastAsia="lv-LV"/>
              </w:rPr>
              <w:t>.01.2020.</w:t>
            </w:r>
          </w:p>
        </w:tc>
      </w:tr>
      <w:tr w:rsidR="000A1F5A" w:rsidRPr="00F20000" w:rsidTr="000A1F5A">
        <w:trPr>
          <w:trHeight w:val="201"/>
        </w:trPr>
        <w:tc>
          <w:tcPr>
            <w:tcW w:w="6663" w:type="dxa"/>
          </w:tcPr>
          <w:p w:rsidR="000A1F5A" w:rsidRPr="00F20000" w:rsidRDefault="000A1F5A" w:rsidP="000A1F5A">
            <w:pPr>
              <w:spacing w:after="0" w:line="240" w:lineRule="auto"/>
              <w:jc w:val="both"/>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 xml:space="preserve">Saskaņošanas dalībnieki </w:t>
            </w:r>
          </w:p>
        </w:tc>
        <w:tc>
          <w:tcPr>
            <w:tcW w:w="6946" w:type="dxa"/>
            <w:gridSpan w:val="2"/>
            <w:tcBorders>
              <w:top w:val="single" w:sz="4" w:space="0" w:color="auto"/>
            </w:tcBorders>
          </w:tcPr>
          <w:p w:rsidR="000A1F5A" w:rsidRPr="002D61AF" w:rsidRDefault="000A1F5A" w:rsidP="00195546">
            <w:pPr>
              <w:spacing w:after="0" w:line="240" w:lineRule="auto"/>
              <w:jc w:val="both"/>
              <w:rPr>
                <w:rFonts w:ascii="Times New Roman" w:eastAsia="Times New Roman" w:hAnsi="Times New Roman" w:cs="Times New Roman"/>
                <w:shd w:val="clear" w:color="auto" w:fill="FFFFFF"/>
                <w:lang w:val="lv-LV" w:eastAsia="lv-LV"/>
              </w:rPr>
            </w:pPr>
            <w:r w:rsidRPr="002D61AF">
              <w:rPr>
                <w:rFonts w:ascii="Times New Roman" w:eastAsia="Times New Roman" w:hAnsi="Times New Roman" w:cs="Times New Roman"/>
                <w:lang w:val="lv-LV" w:eastAsia="lv-LV"/>
              </w:rPr>
              <w:t xml:space="preserve">Tieslietu ministrija, Finanšu ministrija, </w:t>
            </w:r>
            <w:r w:rsidR="005679CC" w:rsidRPr="0009332E">
              <w:rPr>
                <w:rFonts w:ascii="Times New Roman" w:eastAsia="Times New Roman" w:hAnsi="Times New Roman" w:cs="Times New Roman"/>
                <w:lang w:val="lv-LV" w:eastAsia="lv-LV"/>
              </w:rPr>
              <w:t xml:space="preserve">Labklājības ministrija, </w:t>
            </w:r>
            <w:r w:rsidR="00195546">
              <w:rPr>
                <w:rFonts w:ascii="Times New Roman" w:eastAsia="Times New Roman" w:hAnsi="Times New Roman" w:cs="Times New Roman"/>
                <w:lang w:val="lv-LV" w:eastAsia="lv-LV"/>
              </w:rPr>
              <w:t xml:space="preserve">Satiksmes ministrija, </w:t>
            </w:r>
            <w:r w:rsidR="005679CC" w:rsidRPr="0009332E">
              <w:rPr>
                <w:rFonts w:ascii="Times New Roman" w:eastAsia="Times New Roman" w:hAnsi="Times New Roman" w:cs="Times New Roman"/>
                <w:lang w:val="lv-LV" w:eastAsia="lv-LV"/>
              </w:rPr>
              <w:t xml:space="preserve">Veselības ministrija, </w:t>
            </w:r>
            <w:proofErr w:type="spellStart"/>
            <w:r w:rsidRPr="0009332E">
              <w:rPr>
                <w:rFonts w:ascii="Times New Roman" w:eastAsia="Times New Roman" w:hAnsi="Times New Roman" w:cs="Times New Roman"/>
                <w:lang w:val="lv-LV" w:eastAsia="lv-LV"/>
              </w:rPr>
              <w:t>Pārresoru</w:t>
            </w:r>
            <w:proofErr w:type="spellEnd"/>
            <w:r w:rsidRPr="0009332E">
              <w:rPr>
                <w:rFonts w:ascii="Times New Roman" w:eastAsia="Times New Roman" w:hAnsi="Times New Roman" w:cs="Times New Roman"/>
                <w:lang w:val="lv-LV" w:eastAsia="lv-LV"/>
              </w:rPr>
              <w:t xml:space="preserve"> koordinācijas centrs, Latvijas Brīvo arodbiedrību savienība, Latvijas Darba devēju konfederācija</w:t>
            </w:r>
            <w:r w:rsidR="005679CC" w:rsidRPr="0009332E">
              <w:rPr>
                <w:rFonts w:ascii="Times New Roman" w:eastAsia="Times New Roman" w:hAnsi="Times New Roman" w:cs="Times New Roman"/>
                <w:lang w:val="lv-LV" w:eastAsia="lv-LV"/>
              </w:rPr>
              <w:t xml:space="preserve">, </w:t>
            </w:r>
            <w:r w:rsidR="00195546">
              <w:rPr>
                <w:rFonts w:ascii="Times New Roman" w:eastAsia="Times New Roman" w:hAnsi="Times New Roman" w:cs="Times New Roman"/>
                <w:lang w:val="lv-LV" w:eastAsia="lv-LV"/>
              </w:rPr>
              <w:t>Rektoru padome</w:t>
            </w:r>
          </w:p>
        </w:tc>
      </w:tr>
      <w:tr w:rsidR="000A1F5A" w:rsidRPr="00F20000" w:rsidTr="000A1F5A">
        <w:trPr>
          <w:trHeight w:val="210"/>
        </w:trPr>
        <w:tc>
          <w:tcPr>
            <w:tcW w:w="6663" w:type="dxa"/>
          </w:tcPr>
          <w:p w:rsidR="000A1F5A" w:rsidRPr="00F20000" w:rsidRDefault="000A1F5A" w:rsidP="000A1F5A">
            <w:pPr>
              <w:spacing w:after="0" w:line="240" w:lineRule="auto"/>
              <w:jc w:val="both"/>
              <w:rPr>
                <w:rFonts w:ascii="Times New Roman" w:eastAsia="Times New Roman" w:hAnsi="Times New Roman" w:cs="Times New Roman"/>
                <w:lang w:val="lv-LV" w:eastAsia="lv-LV"/>
              </w:rPr>
            </w:pPr>
          </w:p>
        </w:tc>
        <w:tc>
          <w:tcPr>
            <w:tcW w:w="990" w:type="dxa"/>
            <w:tcBorders>
              <w:bottom w:val="single" w:sz="4" w:space="0" w:color="auto"/>
            </w:tcBorders>
          </w:tcPr>
          <w:p w:rsidR="000A1F5A" w:rsidRPr="00F20000" w:rsidRDefault="000A1F5A" w:rsidP="000A1F5A">
            <w:pPr>
              <w:spacing w:after="0" w:line="240" w:lineRule="auto"/>
              <w:ind w:firstLine="720"/>
              <w:jc w:val="both"/>
              <w:rPr>
                <w:rFonts w:ascii="Times New Roman" w:eastAsia="Times New Roman" w:hAnsi="Times New Roman" w:cs="Times New Roman"/>
                <w:lang w:val="lv-LV" w:eastAsia="lv-LV"/>
              </w:rPr>
            </w:pPr>
          </w:p>
        </w:tc>
        <w:tc>
          <w:tcPr>
            <w:tcW w:w="5956" w:type="dxa"/>
            <w:tcBorders>
              <w:bottom w:val="single" w:sz="4" w:space="0" w:color="auto"/>
            </w:tcBorders>
          </w:tcPr>
          <w:p w:rsidR="000A1F5A" w:rsidRPr="00F20000" w:rsidRDefault="000A1F5A" w:rsidP="000A1F5A">
            <w:pPr>
              <w:spacing w:after="0" w:line="240" w:lineRule="auto"/>
              <w:ind w:firstLine="12"/>
              <w:jc w:val="both"/>
              <w:rPr>
                <w:rFonts w:ascii="Times New Roman" w:eastAsia="Times New Roman" w:hAnsi="Times New Roman" w:cs="Times New Roman"/>
                <w:lang w:val="lv-LV" w:eastAsia="lv-LV"/>
              </w:rPr>
            </w:pPr>
          </w:p>
        </w:tc>
      </w:tr>
      <w:tr w:rsidR="000A1F5A" w:rsidRPr="00F20000" w:rsidTr="000A1F5A">
        <w:trPr>
          <w:trHeight w:val="210"/>
        </w:trPr>
        <w:tc>
          <w:tcPr>
            <w:tcW w:w="6663" w:type="dxa"/>
          </w:tcPr>
          <w:p w:rsidR="000A1F5A" w:rsidRPr="00F20000" w:rsidRDefault="000A1F5A" w:rsidP="000A1F5A">
            <w:pPr>
              <w:spacing w:after="0" w:line="240" w:lineRule="auto"/>
              <w:jc w:val="both"/>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br w:type="page"/>
              <w:t xml:space="preserve">Saskaņošanas dalībnieki izskatīja šādu ministriju (citu institūciju) iebildumus </w:t>
            </w:r>
          </w:p>
        </w:tc>
        <w:tc>
          <w:tcPr>
            <w:tcW w:w="6946" w:type="dxa"/>
            <w:gridSpan w:val="2"/>
            <w:tcBorders>
              <w:top w:val="single" w:sz="4" w:space="0" w:color="auto"/>
              <w:bottom w:val="single" w:sz="4" w:space="0" w:color="auto"/>
            </w:tcBorders>
          </w:tcPr>
          <w:p w:rsidR="000A1F5A" w:rsidRPr="00F20000" w:rsidRDefault="000A1F5A" w:rsidP="00B245BD">
            <w:pPr>
              <w:spacing w:after="0" w:line="240" w:lineRule="auto"/>
              <w:jc w:val="both"/>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Finanšu ministrija</w:t>
            </w:r>
            <w:r w:rsidR="00FB003C">
              <w:rPr>
                <w:rFonts w:ascii="Times New Roman" w:eastAsia="Times New Roman" w:hAnsi="Times New Roman" w:cs="Times New Roman"/>
                <w:lang w:val="lv-LV" w:eastAsia="lv-LV"/>
              </w:rPr>
              <w:t xml:space="preserve"> un Centrālā finanšu un līgumu aģentūra</w:t>
            </w:r>
          </w:p>
        </w:tc>
      </w:tr>
    </w:tbl>
    <w:p w:rsidR="00FA19FF" w:rsidRPr="00F20000" w:rsidRDefault="00FA19FF" w:rsidP="00FA19FF">
      <w:pPr>
        <w:spacing w:after="0" w:line="240" w:lineRule="auto"/>
        <w:ind w:firstLine="375"/>
        <w:jc w:val="both"/>
        <w:rPr>
          <w:rFonts w:ascii="Times New Roman" w:eastAsia="Times New Roman" w:hAnsi="Times New Roman" w:cs="Times New Roman"/>
          <w:b/>
          <w:lang w:val="lv-LV" w:eastAsia="lv-LV"/>
        </w:rPr>
      </w:pPr>
    </w:p>
    <w:tbl>
      <w:tblPr>
        <w:tblW w:w="13467" w:type="dxa"/>
        <w:tblInd w:w="-284" w:type="dxa"/>
        <w:tblLook w:val="00A0" w:firstRow="1" w:lastRow="0" w:firstColumn="1" w:lastColumn="0" w:noHBand="0" w:noVBand="0"/>
      </w:tblPr>
      <w:tblGrid>
        <w:gridCol w:w="7230"/>
        <w:gridCol w:w="6237"/>
      </w:tblGrid>
      <w:tr w:rsidR="000A1F5A" w:rsidRPr="00F20000" w:rsidTr="00AB3738">
        <w:trPr>
          <w:trHeight w:val="612"/>
        </w:trPr>
        <w:tc>
          <w:tcPr>
            <w:tcW w:w="7230" w:type="dxa"/>
          </w:tcPr>
          <w:p w:rsidR="000A1F5A" w:rsidRPr="00F20000" w:rsidRDefault="000A1F5A" w:rsidP="000A1F5A">
            <w:pPr>
              <w:spacing w:after="0" w:line="240" w:lineRule="auto"/>
              <w:jc w:val="both"/>
              <w:rPr>
                <w:rFonts w:ascii="Times New Roman" w:eastAsia="Times New Roman" w:hAnsi="Times New Roman" w:cs="Times New Roman"/>
                <w:lang w:val="lv-LV" w:eastAsia="lv-LV"/>
              </w:rPr>
            </w:pPr>
          </w:p>
          <w:p w:rsidR="000A1F5A" w:rsidRPr="00F20000" w:rsidRDefault="000A1F5A" w:rsidP="000A1F5A">
            <w:pPr>
              <w:spacing w:after="0" w:line="240" w:lineRule="auto"/>
              <w:jc w:val="both"/>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Ministrijas (citas institūcijas), kuras nav ieradušās uz sanāksmi vai kuras nav atbildējušas uz uzaicinājumu piedalīties elektroniskajā saskaņošanā</w:t>
            </w:r>
          </w:p>
          <w:p w:rsidR="000A1F5A" w:rsidRPr="00F20000" w:rsidRDefault="000A1F5A" w:rsidP="000A1F5A">
            <w:pPr>
              <w:spacing w:after="0" w:line="240" w:lineRule="auto"/>
              <w:jc w:val="both"/>
              <w:rPr>
                <w:rFonts w:ascii="Times New Roman" w:eastAsia="Times New Roman" w:hAnsi="Times New Roman" w:cs="Times New Roman"/>
                <w:lang w:val="lv-LV" w:eastAsia="lv-LV"/>
              </w:rPr>
            </w:pPr>
          </w:p>
        </w:tc>
        <w:tc>
          <w:tcPr>
            <w:tcW w:w="6237" w:type="dxa"/>
          </w:tcPr>
          <w:p w:rsidR="000A1F5A" w:rsidRPr="00F20000" w:rsidRDefault="000A1F5A" w:rsidP="000A1F5A">
            <w:pPr>
              <w:spacing w:after="0" w:line="240" w:lineRule="auto"/>
              <w:jc w:val="both"/>
              <w:rPr>
                <w:rFonts w:ascii="Times New Roman" w:eastAsia="Times New Roman" w:hAnsi="Times New Roman" w:cs="Times New Roman"/>
                <w:lang w:val="lv-LV" w:eastAsia="lv-LV"/>
              </w:rPr>
            </w:pPr>
          </w:p>
          <w:p w:rsidR="000A1F5A" w:rsidRPr="00F20000" w:rsidRDefault="000A1F5A" w:rsidP="000A1F5A">
            <w:pPr>
              <w:spacing w:after="0" w:line="240" w:lineRule="auto"/>
              <w:jc w:val="both"/>
              <w:rPr>
                <w:rFonts w:ascii="Times New Roman" w:eastAsia="Times New Roman" w:hAnsi="Times New Roman" w:cs="Times New Roman"/>
                <w:u w:val="single"/>
                <w:lang w:val="lv-LV" w:eastAsia="lv-LV"/>
              </w:rPr>
            </w:pPr>
          </w:p>
        </w:tc>
      </w:tr>
      <w:tr w:rsidR="000A1F5A" w:rsidRPr="00F20000" w:rsidTr="000A1F5A">
        <w:trPr>
          <w:trHeight w:val="210"/>
        </w:trPr>
        <w:tc>
          <w:tcPr>
            <w:tcW w:w="7230" w:type="dxa"/>
          </w:tcPr>
          <w:p w:rsidR="000A1F5A" w:rsidRPr="00F20000" w:rsidRDefault="000A1F5A" w:rsidP="000A1F5A">
            <w:pPr>
              <w:spacing w:after="0" w:line="240" w:lineRule="auto"/>
              <w:ind w:firstLine="720"/>
              <w:jc w:val="both"/>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lastRenderedPageBreak/>
              <w:t>  </w:t>
            </w:r>
          </w:p>
        </w:tc>
        <w:tc>
          <w:tcPr>
            <w:tcW w:w="6237" w:type="dxa"/>
          </w:tcPr>
          <w:p w:rsidR="000A1F5A" w:rsidRPr="00F20000" w:rsidRDefault="000A1F5A" w:rsidP="000A1F5A">
            <w:pPr>
              <w:spacing w:after="0" w:line="240" w:lineRule="auto"/>
              <w:ind w:firstLine="720"/>
              <w:jc w:val="both"/>
              <w:rPr>
                <w:rFonts w:ascii="Times New Roman" w:eastAsia="Times New Roman" w:hAnsi="Times New Roman" w:cs="Times New Roman"/>
                <w:lang w:val="lv-LV" w:eastAsia="lv-LV"/>
              </w:rPr>
            </w:pPr>
          </w:p>
        </w:tc>
      </w:tr>
    </w:tbl>
    <w:p w:rsidR="00FA19FF" w:rsidRPr="00F20000" w:rsidRDefault="00FA19FF" w:rsidP="00FA19FF">
      <w:pPr>
        <w:spacing w:after="0" w:line="240" w:lineRule="auto"/>
        <w:jc w:val="center"/>
        <w:rPr>
          <w:rFonts w:ascii="Times New Roman" w:eastAsia="Times New Roman" w:hAnsi="Times New Roman" w:cs="Times New Roman"/>
          <w:b/>
          <w:lang w:val="lv-LV" w:eastAsia="lv-LV"/>
        </w:rPr>
      </w:pPr>
      <w:r w:rsidRPr="00F20000">
        <w:rPr>
          <w:rFonts w:ascii="Times New Roman" w:eastAsia="Times New Roman" w:hAnsi="Times New Roman" w:cs="Times New Roman"/>
          <w:b/>
          <w:lang w:val="lv-LV" w:eastAsia="lv-LV"/>
        </w:rPr>
        <w:t>II. Jautājumi, par kuriem saskaņošanā vienošanās ir panākta</w:t>
      </w:r>
    </w:p>
    <w:p w:rsidR="00FA19FF" w:rsidRDefault="00FA19FF" w:rsidP="00FA19FF">
      <w:pPr>
        <w:rPr>
          <w:lang w:val="lv-LV"/>
        </w:rPr>
      </w:pPr>
    </w:p>
    <w:tbl>
      <w:tblPr>
        <w:tblpPr w:leftFromText="180" w:rightFromText="180" w:vertAnchor="text" w:tblpX="-616"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2575"/>
        <w:gridCol w:w="3827"/>
        <w:gridCol w:w="3261"/>
        <w:gridCol w:w="3260"/>
      </w:tblGrid>
      <w:tr w:rsidR="005A26C5" w:rsidRPr="00F20000" w:rsidTr="003F4186">
        <w:trPr>
          <w:trHeight w:val="148"/>
        </w:trPr>
        <w:tc>
          <w:tcPr>
            <w:tcW w:w="964" w:type="dxa"/>
            <w:vAlign w:val="center"/>
          </w:tcPr>
          <w:p w:rsidR="005A26C5" w:rsidRPr="00F20000" w:rsidRDefault="005A26C5" w:rsidP="009B56F3">
            <w:pPr>
              <w:spacing w:after="0" w:line="240" w:lineRule="auto"/>
              <w:ind w:right="-108"/>
              <w:jc w:val="both"/>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Nr. p.k.</w:t>
            </w:r>
          </w:p>
        </w:tc>
        <w:tc>
          <w:tcPr>
            <w:tcW w:w="2575" w:type="dxa"/>
            <w:vAlign w:val="center"/>
          </w:tcPr>
          <w:p w:rsidR="005A26C5" w:rsidRPr="00F20000" w:rsidRDefault="005A26C5" w:rsidP="009B56F3">
            <w:pPr>
              <w:spacing w:after="0" w:line="240" w:lineRule="auto"/>
              <w:ind w:firstLine="12"/>
              <w:jc w:val="both"/>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Saskaņošanai nosūtītā projekta redakcija (konkrēta punkta (panta) redakcija)</w:t>
            </w:r>
          </w:p>
        </w:tc>
        <w:tc>
          <w:tcPr>
            <w:tcW w:w="3827" w:type="dxa"/>
            <w:vAlign w:val="center"/>
          </w:tcPr>
          <w:p w:rsidR="005A26C5" w:rsidRPr="00F20000" w:rsidRDefault="005A26C5" w:rsidP="009B56F3">
            <w:pPr>
              <w:spacing w:after="0" w:line="240" w:lineRule="auto"/>
              <w:ind w:right="3"/>
              <w:jc w:val="both"/>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Atzinumā norādītais ministrijas (citas institūcijas) iebildums, kā arī saskaņošanā papildus izteiktais iebildums par projekta konkrēto punktu (pantu)</w:t>
            </w:r>
          </w:p>
        </w:tc>
        <w:tc>
          <w:tcPr>
            <w:tcW w:w="3261" w:type="dxa"/>
            <w:vAlign w:val="center"/>
          </w:tcPr>
          <w:p w:rsidR="005A26C5" w:rsidRPr="00F20000" w:rsidRDefault="005A26C5" w:rsidP="009B56F3">
            <w:pPr>
              <w:spacing w:after="0" w:line="240" w:lineRule="auto"/>
              <w:ind w:firstLine="21"/>
              <w:jc w:val="both"/>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Atbildīgās ministrijas norāde par to, ka iebildums ir ņemts vērā, vai informācija par saskaņošanā panākto alternatīvo risinājumu</w:t>
            </w:r>
          </w:p>
        </w:tc>
        <w:tc>
          <w:tcPr>
            <w:tcW w:w="3260" w:type="dxa"/>
            <w:vAlign w:val="center"/>
          </w:tcPr>
          <w:p w:rsidR="005A26C5" w:rsidRPr="00F20000" w:rsidRDefault="005A26C5" w:rsidP="009B56F3">
            <w:pPr>
              <w:spacing w:after="0" w:line="240" w:lineRule="auto"/>
              <w:ind w:firstLine="21"/>
              <w:jc w:val="center"/>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Projekta attiecīgā punkta (panta) galīgā redakcija</w:t>
            </w:r>
          </w:p>
        </w:tc>
      </w:tr>
      <w:tr w:rsidR="005A26C5" w:rsidRPr="00F20000" w:rsidTr="003F4186">
        <w:trPr>
          <w:trHeight w:val="283"/>
        </w:trPr>
        <w:tc>
          <w:tcPr>
            <w:tcW w:w="964" w:type="dxa"/>
          </w:tcPr>
          <w:p w:rsidR="005A26C5" w:rsidRPr="00F20000" w:rsidRDefault="005A26C5" w:rsidP="009B56F3">
            <w:pPr>
              <w:spacing w:after="0" w:line="240" w:lineRule="auto"/>
              <w:jc w:val="center"/>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1</w:t>
            </w:r>
          </w:p>
        </w:tc>
        <w:tc>
          <w:tcPr>
            <w:tcW w:w="2575" w:type="dxa"/>
          </w:tcPr>
          <w:p w:rsidR="005A26C5" w:rsidRPr="00F20000" w:rsidRDefault="005A26C5" w:rsidP="009B56F3">
            <w:pPr>
              <w:spacing w:after="0" w:line="240" w:lineRule="auto"/>
              <w:ind w:firstLine="720"/>
              <w:jc w:val="center"/>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2</w:t>
            </w:r>
          </w:p>
        </w:tc>
        <w:tc>
          <w:tcPr>
            <w:tcW w:w="3827" w:type="dxa"/>
          </w:tcPr>
          <w:p w:rsidR="005A26C5" w:rsidRPr="00F20000" w:rsidRDefault="005A26C5" w:rsidP="009B56F3">
            <w:pPr>
              <w:spacing w:after="0" w:line="240" w:lineRule="auto"/>
              <w:ind w:firstLine="720"/>
              <w:jc w:val="center"/>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3</w:t>
            </w:r>
          </w:p>
        </w:tc>
        <w:tc>
          <w:tcPr>
            <w:tcW w:w="3261" w:type="dxa"/>
          </w:tcPr>
          <w:p w:rsidR="005A26C5" w:rsidRPr="00F20000" w:rsidRDefault="005A26C5" w:rsidP="009B56F3">
            <w:pPr>
              <w:spacing w:after="0" w:line="240" w:lineRule="auto"/>
              <w:jc w:val="center"/>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4</w:t>
            </w:r>
          </w:p>
        </w:tc>
        <w:tc>
          <w:tcPr>
            <w:tcW w:w="3260" w:type="dxa"/>
          </w:tcPr>
          <w:p w:rsidR="005A26C5" w:rsidRPr="00F20000" w:rsidRDefault="005A26C5" w:rsidP="009B56F3">
            <w:pPr>
              <w:spacing w:after="0" w:line="240" w:lineRule="auto"/>
              <w:jc w:val="center"/>
              <w:rPr>
                <w:rFonts w:ascii="Times New Roman" w:eastAsia="Times New Roman" w:hAnsi="Times New Roman" w:cs="Times New Roman"/>
                <w:lang w:val="lv-LV" w:eastAsia="lv-LV"/>
              </w:rPr>
            </w:pPr>
            <w:r w:rsidRPr="00F20000">
              <w:rPr>
                <w:rFonts w:ascii="Times New Roman" w:eastAsia="Times New Roman" w:hAnsi="Times New Roman" w:cs="Times New Roman"/>
                <w:lang w:val="lv-LV" w:eastAsia="lv-LV"/>
              </w:rPr>
              <w:t>5</w:t>
            </w:r>
          </w:p>
        </w:tc>
      </w:tr>
      <w:tr w:rsidR="00195546" w:rsidRPr="00F20000" w:rsidTr="003F4186">
        <w:trPr>
          <w:trHeight w:val="283"/>
        </w:trPr>
        <w:tc>
          <w:tcPr>
            <w:tcW w:w="964" w:type="dxa"/>
          </w:tcPr>
          <w:p w:rsidR="00195546" w:rsidRPr="00F20000" w:rsidRDefault="003E6164" w:rsidP="009B56F3">
            <w:pPr>
              <w:spacing w:after="0" w:line="240" w:lineRule="auto"/>
              <w:jc w:val="center"/>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1.</w:t>
            </w:r>
          </w:p>
        </w:tc>
        <w:tc>
          <w:tcPr>
            <w:tcW w:w="2575" w:type="dxa"/>
          </w:tcPr>
          <w:p w:rsidR="00195546" w:rsidRPr="00F20000" w:rsidRDefault="00195546" w:rsidP="009B56F3">
            <w:pPr>
              <w:spacing w:after="0" w:line="240" w:lineRule="auto"/>
              <w:ind w:firstLine="720"/>
              <w:jc w:val="center"/>
              <w:rPr>
                <w:rFonts w:ascii="Times New Roman" w:eastAsia="Times New Roman" w:hAnsi="Times New Roman" w:cs="Times New Roman"/>
                <w:lang w:val="lv-LV" w:eastAsia="lv-LV"/>
              </w:rPr>
            </w:pPr>
          </w:p>
        </w:tc>
        <w:tc>
          <w:tcPr>
            <w:tcW w:w="3827" w:type="dxa"/>
          </w:tcPr>
          <w:p w:rsidR="00F61621" w:rsidRPr="00F61621" w:rsidRDefault="00F61621" w:rsidP="00F61621">
            <w:pPr>
              <w:spacing w:after="0" w:line="240" w:lineRule="auto"/>
              <w:jc w:val="both"/>
              <w:rPr>
                <w:rFonts w:ascii="Times New Roman" w:eastAsia="Times New Roman" w:hAnsi="Times New Roman" w:cs="Times New Roman"/>
                <w:b/>
                <w:lang w:val="lv-LV" w:eastAsia="lv-LV"/>
              </w:rPr>
            </w:pPr>
            <w:r w:rsidRPr="00F61621">
              <w:rPr>
                <w:rFonts w:ascii="Times New Roman" w:eastAsia="Times New Roman" w:hAnsi="Times New Roman" w:cs="Times New Roman"/>
                <w:b/>
                <w:lang w:val="lv-LV" w:eastAsia="lv-LV"/>
              </w:rPr>
              <w:t>Finanšu ministrija</w:t>
            </w:r>
            <w:r>
              <w:rPr>
                <w:rFonts w:ascii="Times New Roman" w:eastAsia="Times New Roman" w:hAnsi="Times New Roman" w:cs="Times New Roman"/>
                <w:b/>
                <w:lang w:val="lv-LV" w:eastAsia="lv-LV"/>
              </w:rPr>
              <w:t xml:space="preserve"> </w:t>
            </w:r>
            <w:r w:rsidR="005C5CE1">
              <w:t xml:space="preserve"> </w:t>
            </w:r>
            <w:r w:rsidR="005C5CE1" w:rsidRPr="005C5CE1">
              <w:rPr>
                <w:rFonts w:ascii="Times New Roman" w:eastAsia="Times New Roman" w:hAnsi="Times New Roman" w:cs="Times New Roman"/>
                <w:b/>
                <w:lang w:val="lv-LV" w:eastAsia="lv-LV"/>
              </w:rPr>
              <w:t xml:space="preserve">un </w:t>
            </w:r>
            <w:r w:rsidR="005C5CE1">
              <w:rPr>
                <w:rFonts w:ascii="Times New Roman" w:eastAsia="Times New Roman" w:hAnsi="Times New Roman" w:cs="Times New Roman"/>
                <w:b/>
                <w:lang w:val="lv-LV" w:eastAsia="lv-LV"/>
              </w:rPr>
              <w:t xml:space="preserve">Centrālā finanšu un līgumu aģentūra (turpmāk – </w:t>
            </w:r>
            <w:r w:rsidR="005C5CE1" w:rsidRPr="005C5CE1">
              <w:rPr>
                <w:rFonts w:ascii="Times New Roman" w:eastAsia="Times New Roman" w:hAnsi="Times New Roman" w:cs="Times New Roman"/>
                <w:b/>
                <w:lang w:val="lv-LV" w:eastAsia="lv-LV"/>
              </w:rPr>
              <w:t>CFLA</w:t>
            </w:r>
            <w:r w:rsidR="005C5CE1">
              <w:rPr>
                <w:rFonts w:ascii="Times New Roman" w:eastAsia="Times New Roman" w:hAnsi="Times New Roman" w:cs="Times New Roman"/>
                <w:b/>
                <w:lang w:val="lv-LV" w:eastAsia="lv-LV"/>
              </w:rPr>
              <w:t>)</w:t>
            </w:r>
            <w:r w:rsidR="005C5CE1" w:rsidRPr="005C5CE1">
              <w:rPr>
                <w:rFonts w:ascii="Times New Roman" w:eastAsia="Times New Roman" w:hAnsi="Times New Roman" w:cs="Times New Roman"/>
                <w:b/>
                <w:lang w:val="lv-LV" w:eastAsia="lv-LV"/>
              </w:rPr>
              <w:t xml:space="preserve"> </w:t>
            </w:r>
            <w:r>
              <w:rPr>
                <w:rFonts w:ascii="Times New Roman" w:eastAsia="Times New Roman" w:hAnsi="Times New Roman" w:cs="Times New Roman"/>
                <w:b/>
                <w:lang w:val="lv-LV" w:eastAsia="lv-LV"/>
              </w:rPr>
              <w:t>(1)</w:t>
            </w:r>
          </w:p>
          <w:p w:rsidR="00195546" w:rsidRPr="00F20000" w:rsidRDefault="00F61621" w:rsidP="00F61621">
            <w:pPr>
              <w:spacing w:after="0" w:line="240" w:lineRule="auto"/>
              <w:jc w:val="both"/>
              <w:rPr>
                <w:rFonts w:ascii="Times New Roman" w:eastAsia="Times New Roman" w:hAnsi="Times New Roman" w:cs="Times New Roman"/>
                <w:lang w:val="lv-LV" w:eastAsia="lv-LV"/>
              </w:rPr>
            </w:pPr>
            <w:r w:rsidRPr="00F61621">
              <w:rPr>
                <w:rFonts w:ascii="Times New Roman" w:eastAsia="Times New Roman" w:hAnsi="Times New Roman" w:cs="Times New Roman"/>
                <w:lang w:val="lv-LV" w:eastAsia="lv-LV"/>
              </w:rPr>
              <w:t xml:space="preserve">Lūdzam precizēt MK noteikumu Nr.533 grozījumu projekta 2.punktu, paredzot izmaiņas Rīgas celtniecības koledžas projekta Nr.8.1.4.0/17/I/006 “Būvmateriālu īpašību pārbaudes laboratorijas modernizācija” (turpmāk – Rīgas celtniecības koledžas projekts) finansējumā, ņemot vērā, ka tajā norādīto projektu finansējuma izmaiņas summāri nesakrīt ar pārdalāmā finansējuma apjomu starp 8.1.1.specifisko atbalsta mērķi “Palielināt modernizēto STEM, tajā skaitā medicīnas un radošās industrijas, studiju programmu skaitu” (turpmāk – 8.1.1.SAM) un 8.1.4.specifisko atbalsta mērķi “Uzlabot pirmā līmeņa profesionālās augstākās izglītības STEM, tajā skaitā medicīnas un radošās industrijas, studiju mācību vidi koledžās” (starpība 48 </w:t>
            </w:r>
            <w:proofErr w:type="spellStart"/>
            <w:r w:rsidRPr="00B30DDE">
              <w:rPr>
                <w:rFonts w:ascii="Times New Roman" w:eastAsia="Times New Roman" w:hAnsi="Times New Roman" w:cs="Times New Roman"/>
                <w:i/>
                <w:lang w:val="lv-LV" w:eastAsia="lv-LV"/>
              </w:rPr>
              <w:t>euro</w:t>
            </w:r>
            <w:proofErr w:type="spellEnd"/>
            <w:r w:rsidRPr="00F61621">
              <w:rPr>
                <w:rFonts w:ascii="Times New Roman" w:eastAsia="Times New Roman" w:hAnsi="Times New Roman" w:cs="Times New Roman"/>
                <w:lang w:val="lv-LV" w:eastAsia="lv-LV"/>
              </w:rPr>
              <w:t>). Vēršam uzmanību, ka anotācijas I sadaļas “Tiesību akta projekta izstrādes nepieciešamība” 2.punktā “Pašreizējā situācija un problēmas, kuru risināšanai tiesību akta projekts izstrādās, tiesiskā regulējuma mērķis un būtība” ir norādīts, ka izmaiņas minētā finansējuma apjomā tiek veiktas arī Rīgas celtniecības koledžas projektam</w:t>
            </w:r>
          </w:p>
        </w:tc>
        <w:tc>
          <w:tcPr>
            <w:tcW w:w="3261" w:type="dxa"/>
          </w:tcPr>
          <w:p w:rsidR="00195546" w:rsidRPr="00195546" w:rsidRDefault="00195546" w:rsidP="00195546">
            <w:pPr>
              <w:spacing w:after="0" w:line="240" w:lineRule="auto"/>
              <w:jc w:val="both"/>
              <w:rPr>
                <w:rFonts w:ascii="Times New Roman" w:eastAsia="Times New Roman" w:hAnsi="Times New Roman" w:cs="Times New Roman"/>
                <w:b/>
                <w:lang w:val="lv-LV" w:eastAsia="lv-LV"/>
              </w:rPr>
            </w:pPr>
            <w:r w:rsidRPr="00195546">
              <w:rPr>
                <w:rFonts w:ascii="Times New Roman" w:eastAsia="Times New Roman" w:hAnsi="Times New Roman" w:cs="Times New Roman"/>
                <w:b/>
                <w:lang w:val="lv-LV" w:eastAsia="lv-LV"/>
              </w:rPr>
              <w:t xml:space="preserve">Ņemts vērā </w:t>
            </w:r>
          </w:p>
          <w:p w:rsidR="00B749E3" w:rsidRDefault="0051327A" w:rsidP="00F61621">
            <w:pPr>
              <w:spacing w:after="0" w:line="240" w:lineRule="auto"/>
              <w:jc w:val="both"/>
              <w:rPr>
                <w:rFonts w:ascii="Times New Roman" w:eastAsia="Times New Roman" w:hAnsi="Times New Roman" w:cs="Times New Roman"/>
                <w:lang w:val="lv-LV" w:eastAsia="lv-LV"/>
              </w:rPr>
            </w:pPr>
            <w:r w:rsidRPr="0051327A">
              <w:rPr>
                <w:rFonts w:ascii="Times New Roman" w:eastAsia="Times New Roman" w:hAnsi="Times New Roman" w:cs="Times New Roman"/>
                <w:lang w:val="lv-LV" w:eastAsia="lv-LV"/>
              </w:rPr>
              <w:t>MK noteikumu Nr.</w:t>
            </w:r>
            <w:r>
              <w:rPr>
                <w:rFonts w:ascii="Times New Roman" w:eastAsia="Times New Roman" w:hAnsi="Times New Roman" w:cs="Times New Roman"/>
                <w:lang w:val="lv-LV" w:eastAsia="lv-LV"/>
              </w:rPr>
              <w:t>533 grozījumu projekt</w:t>
            </w:r>
            <w:r w:rsidR="00B749E3">
              <w:rPr>
                <w:rFonts w:ascii="Times New Roman" w:eastAsia="Times New Roman" w:hAnsi="Times New Roman" w:cs="Times New Roman"/>
                <w:lang w:val="lv-LV" w:eastAsia="lv-LV"/>
              </w:rPr>
              <w:t>s</w:t>
            </w:r>
            <w:r w:rsidR="00140BEB">
              <w:rPr>
                <w:rFonts w:ascii="Times New Roman" w:eastAsia="Times New Roman" w:hAnsi="Times New Roman" w:cs="Times New Roman"/>
                <w:lang w:val="lv-LV" w:eastAsia="lv-LV"/>
              </w:rPr>
              <w:t xml:space="preserve"> </w:t>
            </w:r>
            <w:r w:rsidR="00B749E3">
              <w:rPr>
                <w:rFonts w:ascii="Times New Roman" w:eastAsia="Times New Roman" w:hAnsi="Times New Roman" w:cs="Times New Roman"/>
                <w:lang w:val="lv-LV" w:eastAsia="lv-LV"/>
              </w:rPr>
              <w:t>papildin</w:t>
            </w:r>
            <w:r w:rsidR="00140BEB">
              <w:rPr>
                <w:rFonts w:ascii="Times New Roman" w:eastAsia="Times New Roman" w:hAnsi="Times New Roman" w:cs="Times New Roman"/>
                <w:lang w:val="lv-LV" w:eastAsia="lv-LV"/>
              </w:rPr>
              <w:t>āts</w:t>
            </w:r>
            <w:r w:rsidR="00B749E3">
              <w:rPr>
                <w:rFonts w:ascii="Times New Roman" w:eastAsia="Times New Roman" w:hAnsi="Times New Roman" w:cs="Times New Roman"/>
                <w:lang w:val="lv-LV" w:eastAsia="lv-LV"/>
              </w:rPr>
              <w:t xml:space="preserve"> ar </w:t>
            </w:r>
            <w:r>
              <w:rPr>
                <w:rFonts w:ascii="Times New Roman" w:eastAsia="Times New Roman" w:hAnsi="Times New Roman" w:cs="Times New Roman"/>
                <w:lang w:val="lv-LV" w:eastAsia="lv-LV"/>
              </w:rPr>
              <w:t xml:space="preserve"> </w:t>
            </w:r>
            <w:r w:rsidR="00B749E3">
              <w:rPr>
                <w:rFonts w:ascii="Times New Roman" w:eastAsia="Times New Roman" w:hAnsi="Times New Roman" w:cs="Times New Roman"/>
                <w:lang w:val="lv-LV" w:eastAsia="lv-LV"/>
              </w:rPr>
              <w:t>8</w:t>
            </w:r>
            <w:r>
              <w:rPr>
                <w:rFonts w:ascii="Times New Roman" w:eastAsia="Times New Roman" w:hAnsi="Times New Roman" w:cs="Times New Roman"/>
                <w:lang w:val="lv-LV" w:eastAsia="lv-LV"/>
              </w:rPr>
              <w:t>.punkt</w:t>
            </w:r>
            <w:r w:rsidR="00B749E3">
              <w:rPr>
                <w:rFonts w:ascii="Times New Roman" w:eastAsia="Times New Roman" w:hAnsi="Times New Roman" w:cs="Times New Roman"/>
                <w:lang w:val="lv-LV" w:eastAsia="lv-LV"/>
              </w:rPr>
              <w:t>u</w:t>
            </w:r>
            <w:r>
              <w:rPr>
                <w:rFonts w:ascii="Times New Roman" w:eastAsia="Times New Roman" w:hAnsi="Times New Roman" w:cs="Times New Roman"/>
                <w:lang w:val="lv-LV" w:eastAsia="lv-LV"/>
              </w:rPr>
              <w:t xml:space="preserve">, </w:t>
            </w:r>
            <w:r w:rsidR="00B749E3">
              <w:rPr>
                <w:rFonts w:ascii="Times New Roman" w:eastAsia="Times New Roman" w:hAnsi="Times New Roman" w:cs="Times New Roman"/>
                <w:lang w:val="lv-LV" w:eastAsia="lv-LV"/>
              </w:rPr>
              <w:t>kas paredz precizēt Rīgas Celtniecības koledžai</w:t>
            </w:r>
            <w:r w:rsidR="00140BEB">
              <w:rPr>
                <w:rFonts w:ascii="Times New Roman" w:eastAsia="Times New Roman" w:hAnsi="Times New Roman" w:cs="Times New Roman"/>
                <w:lang w:val="lv-LV" w:eastAsia="lv-LV"/>
              </w:rPr>
              <w:t xml:space="preserve"> (turpmāk – RCK)</w:t>
            </w:r>
            <w:r w:rsidR="00B749E3">
              <w:rPr>
                <w:rFonts w:ascii="Times New Roman" w:eastAsia="Times New Roman" w:hAnsi="Times New Roman" w:cs="Times New Roman"/>
                <w:lang w:val="lv-LV" w:eastAsia="lv-LV"/>
              </w:rPr>
              <w:t xml:space="preserve">  </w:t>
            </w:r>
            <w:r w:rsidR="00B749E3">
              <w:t xml:space="preserve"> </w:t>
            </w:r>
            <w:r w:rsidR="00B749E3" w:rsidRPr="00B749E3">
              <w:rPr>
                <w:rFonts w:ascii="Times New Roman" w:eastAsia="Times New Roman" w:hAnsi="Times New Roman" w:cs="Times New Roman"/>
                <w:lang w:val="lv-LV" w:eastAsia="lv-LV"/>
              </w:rPr>
              <w:t>plānoto kopējo attiecināmo finansējumu</w:t>
            </w:r>
            <w:r w:rsidR="00140BEB">
              <w:rPr>
                <w:rFonts w:ascii="Times New Roman" w:eastAsia="Times New Roman" w:hAnsi="Times New Roman" w:cs="Times New Roman"/>
                <w:lang w:val="lv-LV" w:eastAsia="lv-LV"/>
              </w:rPr>
              <w:t>, ņemot vērā RCK</w:t>
            </w:r>
            <w:r w:rsidR="00140BEB" w:rsidRPr="00140BEB">
              <w:rPr>
                <w:rFonts w:ascii="Times New Roman" w:eastAsia="Times New Roman" w:hAnsi="Times New Roman" w:cs="Times New Roman"/>
                <w:lang w:val="lv-LV" w:eastAsia="lv-LV"/>
              </w:rPr>
              <w:t xml:space="preserve"> projekta finansējuma izmaiņas</w:t>
            </w:r>
            <w:r w:rsidR="00B749E3">
              <w:rPr>
                <w:rFonts w:ascii="Times New Roman" w:eastAsia="Times New Roman" w:hAnsi="Times New Roman" w:cs="Times New Roman"/>
                <w:lang w:val="lv-LV" w:eastAsia="lv-LV"/>
              </w:rPr>
              <w:t>.</w:t>
            </w:r>
            <w:r w:rsidR="00B749E3" w:rsidRPr="00B749E3">
              <w:rPr>
                <w:rFonts w:ascii="Times New Roman" w:eastAsia="Times New Roman" w:hAnsi="Times New Roman" w:cs="Times New Roman"/>
                <w:lang w:val="lv-LV" w:eastAsia="lv-LV"/>
              </w:rPr>
              <w:t xml:space="preserve"> </w:t>
            </w:r>
          </w:p>
          <w:p w:rsidR="00F61621" w:rsidRPr="00F20000" w:rsidRDefault="00B749E3" w:rsidP="00F61621">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Vēršam uzmanību, ka noteikumu projekta 2.punktā jau ir ņemts vērā Rīgas Celtniecības koledžas projekta finansējuma izmaiņas (samazinājums par 48 </w:t>
            </w:r>
            <w:proofErr w:type="spellStart"/>
            <w:r w:rsidRPr="00AE7399">
              <w:rPr>
                <w:rFonts w:ascii="Times New Roman" w:eastAsia="Times New Roman" w:hAnsi="Times New Roman" w:cs="Times New Roman"/>
                <w:i/>
                <w:lang w:val="lv-LV" w:eastAsia="lv-LV"/>
              </w:rPr>
              <w:t>euro</w:t>
            </w:r>
            <w:proofErr w:type="spellEnd"/>
            <w:r w:rsidR="00FB003C">
              <w:rPr>
                <w:rFonts w:ascii="Times New Roman" w:eastAsia="Times New Roman" w:hAnsi="Times New Roman" w:cs="Times New Roman"/>
                <w:lang w:val="lv-LV" w:eastAsia="lv-LV"/>
              </w:rPr>
              <w:t>), tāpēc 2.punkts netika precizēts.</w:t>
            </w:r>
            <w:r w:rsidR="0051327A">
              <w:rPr>
                <w:rFonts w:ascii="Times New Roman" w:eastAsia="Times New Roman" w:hAnsi="Times New Roman" w:cs="Times New Roman"/>
                <w:lang w:val="lv-LV" w:eastAsia="lv-LV"/>
              </w:rPr>
              <w:t xml:space="preserve"> </w:t>
            </w:r>
          </w:p>
          <w:p w:rsidR="00195546" w:rsidRPr="00F20000" w:rsidRDefault="00195546" w:rsidP="00195546">
            <w:pPr>
              <w:spacing w:after="0" w:line="240" w:lineRule="auto"/>
              <w:jc w:val="both"/>
              <w:rPr>
                <w:rFonts w:ascii="Times New Roman" w:eastAsia="Times New Roman" w:hAnsi="Times New Roman" w:cs="Times New Roman"/>
                <w:lang w:val="lv-LV" w:eastAsia="lv-LV"/>
              </w:rPr>
            </w:pPr>
          </w:p>
        </w:tc>
        <w:tc>
          <w:tcPr>
            <w:tcW w:w="3260" w:type="dxa"/>
          </w:tcPr>
          <w:p w:rsidR="00195546" w:rsidRPr="00F20000" w:rsidRDefault="00B749E3" w:rsidP="00B749E3">
            <w:pPr>
              <w:spacing w:after="0" w:line="240" w:lineRule="auto"/>
              <w:jc w:val="both"/>
              <w:rPr>
                <w:rFonts w:ascii="Times New Roman" w:eastAsia="Times New Roman" w:hAnsi="Times New Roman" w:cs="Times New Roman"/>
                <w:lang w:val="lv-LV" w:eastAsia="lv-LV"/>
              </w:rPr>
            </w:pPr>
            <w:r w:rsidRPr="00B749E3">
              <w:rPr>
                <w:rFonts w:ascii="Times New Roman" w:eastAsia="Times New Roman" w:hAnsi="Times New Roman" w:cs="Times New Roman"/>
                <w:lang w:val="lv-LV" w:eastAsia="lv-LV"/>
              </w:rPr>
              <w:t>8. Aizstāt 15.8. apakšpunktā skaitli "351 655" ar skaitli "351 607".</w:t>
            </w:r>
          </w:p>
        </w:tc>
      </w:tr>
      <w:tr w:rsidR="00F61621" w:rsidRPr="00F20000" w:rsidTr="003F4186">
        <w:trPr>
          <w:trHeight w:val="283"/>
        </w:trPr>
        <w:tc>
          <w:tcPr>
            <w:tcW w:w="964" w:type="dxa"/>
          </w:tcPr>
          <w:p w:rsidR="00F61621" w:rsidRPr="00F20000" w:rsidRDefault="003E6164" w:rsidP="009B56F3">
            <w:pPr>
              <w:spacing w:after="0" w:line="240" w:lineRule="auto"/>
              <w:jc w:val="center"/>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2.</w:t>
            </w:r>
          </w:p>
        </w:tc>
        <w:tc>
          <w:tcPr>
            <w:tcW w:w="2575" w:type="dxa"/>
          </w:tcPr>
          <w:p w:rsidR="00F61621" w:rsidRPr="00F20000" w:rsidRDefault="00F61621" w:rsidP="009B56F3">
            <w:pPr>
              <w:spacing w:after="0" w:line="240" w:lineRule="auto"/>
              <w:ind w:firstLine="720"/>
              <w:jc w:val="center"/>
              <w:rPr>
                <w:rFonts w:ascii="Times New Roman" w:eastAsia="Times New Roman" w:hAnsi="Times New Roman" w:cs="Times New Roman"/>
                <w:lang w:val="lv-LV" w:eastAsia="lv-LV"/>
              </w:rPr>
            </w:pPr>
          </w:p>
        </w:tc>
        <w:tc>
          <w:tcPr>
            <w:tcW w:w="3827" w:type="dxa"/>
          </w:tcPr>
          <w:p w:rsidR="00F61621" w:rsidRDefault="00F61621" w:rsidP="00F61621">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 xml:space="preserve">Finanšu ministrija </w:t>
            </w:r>
            <w:r w:rsidR="005C5CE1">
              <w:t xml:space="preserve"> </w:t>
            </w:r>
            <w:r w:rsidR="005C5CE1" w:rsidRPr="005C5CE1">
              <w:rPr>
                <w:rFonts w:ascii="Times New Roman" w:eastAsia="Times New Roman" w:hAnsi="Times New Roman" w:cs="Times New Roman"/>
                <w:b/>
                <w:lang w:val="lv-LV" w:eastAsia="lv-LV"/>
              </w:rPr>
              <w:t xml:space="preserve">un CFLA </w:t>
            </w:r>
            <w:r>
              <w:rPr>
                <w:rFonts w:ascii="Times New Roman" w:eastAsia="Times New Roman" w:hAnsi="Times New Roman" w:cs="Times New Roman"/>
                <w:b/>
                <w:lang w:val="lv-LV" w:eastAsia="lv-LV"/>
              </w:rPr>
              <w:t>(2)</w:t>
            </w:r>
          </w:p>
          <w:p w:rsidR="00F61621" w:rsidRPr="00F61621" w:rsidRDefault="00F61621" w:rsidP="00F61621">
            <w:pPr>
              <w:spacing w:after="0" w:line="240" w:lineRule="auto"/>
              <w:jc w:val="both"/>
              <w:rPr>
                <w:rFonts w:ascii="Times New Roman" w:eastAsia="Times New Roman" w:hAnsi="Times New Roman" w:cs="Times New Roman"/>
                <w:lang w:val="lv-LV" w:eastAsia="lv-LV"/>
              </w:rPr>
            </w:pPr>
            <w:r w:rsidRPr="00F61621">
              <w:rPr>
                <w:rFonts w:ascii="Times New Roman" w:eastAsia="Times New Roman" w:hAnsi="Times New Roman" w:cs="Times New Roman"/>
                <w:lang w:val="lv-LV" w:eastAsia="lv-LV"/>
              </w:rPr>
              <w:t>Lūdzam papildināt anotāciju ar informāciju, kā rosinātie grozījumi abos noteikumu projektos ietekmē finansējuma sadalījumu pa intervences kodiem</w:t>
            </w:r>
            <w:r>
              <w:rPr>
                <w:rFonts w:ascii="Times New Roman" w:eastAsia="Times New Roman" w:hAnsi="Times New Roman" w:cs="Times New Roman"/>
                <w:lang w:val="lv-LV" w:eastAsia="lv-LV"/>
              </w:rPr>
              <w:t>.</w:t>
            </w:r>
          </w:p>
        </w:tc>
        <w:tc>
          <w:tcPr>
            <w:tcW w:w="3261" w:type="dxa"/>
          </w:tcPr>
          <w:p w:rsidR="00F61621" w:rsidRDefault="00F61621" w:rsidP="00195546">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p w:rsidR="003279F3" w:rsidRPr="003279F3" w:rsidRDefault="003279F3" w:rsidP="003279F3">
            <w:pPr>
              <w:spacing w:after="0" w:line="240" w:lineRule="auto"/>
              <w:jc w:val="both"/>
              <w:rPr>
                <w:rFonts w:ascii="Times New Roman" w:eastAsia="Times New Roman" w:hAnsi="Times New Roman" w:cs="Times New Roman"/>
                <w:lang w:val="lv-LV" w:eastAsia="lv-LV"/>
              </w:rPr>
            </w:pPr>
            <w:r w:rsidRPr="003279F3">
              <w:rPr>
                <w:rFonts w:ascii="Times New Roman" w:eastAsia="Times New Roman" w:hAnsi="Times New Roman" w:cs="Times New Roman"/>
                <w:lang w:val="lv-LV" w:eastAsia="lv-LV"/>
              </w:rPr>
              <w:t>Anotācija papildināta</w:t>
            </w:r>
            <w:r>
              <w:rPr>
                <w:rFonts w:ascii="Times New Roman" w:eastAsia="Times New Roman" w:hAnsi="Times New Roman" w:cs="Times New Roman"/>
                <w:lang w:val="lv-LV" w:eastAsia="lv-LV"/>
              </w:rPr>
              <w:t>.</w:t>
            </w:r>
            <w:r w:rsidRPr="003279F3">
              <w:rPr>
                <w:rFonts w:ascii="Times New Roman" w:eastAsia="Times New Roman" w:hAnsi="Times New Roman" w:cs="Times New Roman"/>
                <w:lang w:val="lv-LV" w:eastAsia="lv-LV"/>
              </w:rPr>
              <w:t xml:space="preserve"> </w:t>
            </w:r>
          </w:p>
        </w:tc>
        <w:tc>
          <w:tcPr>
            <w:tcW w:w="3260" w:type="dxa"/>
          </w:tcPr>
          <w:p w:rsidR="00973993" w:rsidRPr="00973993" w:rsidRDefault="005024C9" w:rsidP="00973993">
            <w:pPr>
              <w:spacing w:after="0" w:line="240" w:lineRule="auto"/>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Papildināta a</w:t>
            </w:r>
            <w:r w:rsidR="00973993" w:rsidRPr="00973993">
              <w:rPr>
                <w:rFonts w:ascii="Times New Roman" w:eastAsia="Times New Roman" w:hAnsi="Times New Roman" w:cs="Times New Roman"/>
                <w:b/>
                <w:lang w:val="lv-LV" w:eastAsia="lv-LV"/>
              </w:rPr>
              <w:t>notācija.</w:t>
            </w:r>
          </w:p>
          <w:p w:rsidR="006712C0" w:rsidRPr="00F20000" w:rsidRDefault="00973993" w:rsidP="00973993">
            <w:pPr>
              <w:spacing w:after="0" w:line="240" w:lineRule="auto"/>
              <w:jc w:val="both"/>
              <w:rPr>
                <w:rFonts w:ascii="Times New Roman" w:eastAsia="Times New Roman" w:hAnsi="Times New Roman" w:cs="Times New Roman"/>
                <w:lang w:val="lv-LV" w:eastAsia="lv-LV"/>
              </w:rPr>
            </w:pPr>
            <w:r w:rsidRPr="00973993">
              <w:rPr>
                <w:rFonts w:ascii="Times New Roman" w:eastAsia="Times New Roman" w:hAnsi="Times New Roman" w:cs="Times New Roman"/>
                <w:lang w:val="lv-LV" w:eastAsia="lv-LV"/>
              </w:rPr>
              <w:t>Grozījumi 8.1.1. SAM MK noteikumos un 8.1.4. SAM MK noteikumos neietekmē finansējuma sadalījumu pa intervences kodiem.</w:t>
            </w:r>
          </w:p>
        </w:tc>
      </w:tr>
      <w:tr w:rsidR="00F61621" w:rsidRPr="00F20000" w:rsidTr="003F4186">
        <w:trPr>
          <w:trHeight w:val="283"/>
        </w:trPr>
        <w:tc>
          <w:tcPr>
            <w:tcW w:w="964" w:type="dxa"/>
          </w:tcPr>
          <w:p w:rsidR="00F61621" w:rsidRPr="00F20000" w:rsidRDefault="003E6164" w:rsidP="009B56F3">
            <w:pPr>
              <w:spacing w:after="0" w:line="240" w:lineRule="auto"/>
              <w:jc w:val="center"/>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3.</w:t>
            </w:r>
          </w:p>
        </w:tc>
        <w:tc>
          <w:tcPr>
            <w:tcW w:w="2575" w:type="dxa"/>
          </w:tcPr>
          <w:p w:rsidR="00F61621" w:rsidRPr="00F20000" w:rsidRDefault="00F61621" w:rsidP="009B56F3">
            <w:pPr>
              <w:spacing w:after="0" w:line="240" w:lineRule="auto"/>
              <w:ind w:firstLine="720"/>
              <w:jc w:val="center"/>
              <w:rPr>
                <w:rFonts w:ascii="Times New Roman" w:eastAsia="Times New Roman" w:hAnsi="Times New Roman" w:cs="Times New Roman"/>
                <w:lang w:val="lv-LV" w:eastAsia="lv-LV"/>
              </w:rPr>
            </w:pPr>
          </w:p>
        </w:tc>
        <w:tc>
          <w:tcPr>
            <w:tcW w:w="3827" w:type="dxa"/>
          </w:tcPr>
          <w:p w:rsidR="001A47C0" w:rsidRDefault="001A47C0" w:rsidP="00F61621">
            <w:pPr>
              <w:spacing w:after="0" w:line="240" w:lineRule="auto"/>
              <w:jc w:val="both"/>
              <w:rPr>
                <w:rFonts w:ascii="Times New Roman" w:eastAsia="Times New Roman" w:hAnsi="Times New Roman" w:cs="Times New Roman"/>
                <w:b/>
                <w:lang w:val="lv-LV" w:eastAsia="lv-LV"/>
              </w:rPr>
            </w:pPr>
            <w:r w:rsidRPr="001A47C0">
              <w:rPr>
                <w:rFonts w:ascii="Times New Roman" w:eastAsia="Times New Roman" w:hAnsi="Times New Roman" w:cs="Times New Roman"/>
                <w:b/>
                <w:lang w:val="lv-LV" w:eastAsia="lv-LV"/>
              </w:rPr>
              <w:t xml:space="preserve">Finanšu ministrija </w:t>
            </w:r>
            <w:r w:rsidR="005C5CE1">
              <w:t xml:space="preserve"> </w:t>
            </w:r>
            <w:r w:rsidR="005C5CE1" w:rsidRPr="005C5CE1">
              <w:rPr>
                <w:rFonts w:ascii="Times New Roman" w:eastAsia="Times New Roman" w:hAnsi="Times New Roman" w:cs="Times New Roman"/>
                <w:b/>
                <w:lang w:val="lv-LV" w:eastAsia="lv-LV"/>
              </w:rPr>
              <w:t xml:space="preserve">un CFLA </w:t>
            </w:r>
            <w:r w:rsidRPr="001A47C0">
              <w:rPr>
                <w:rFonts w:ascii="Times New Roman" w:eastAsia="Times New Roman" w:hAnsi="Times New Roman" w:cs="Times New Roman"/>
                <w:b/>
                <w:lang w:val="lv-LV" w:eastAsia="lv-LV"/>
              </w:rPr>
              <w:t>(</w:t>
            </w:r>
            <w:r>
              <w:rPr>
                <w:rFonts w:ascii="Times New Roman" w:eastAsia="Times New Roman" w:hAnsi="Times New Roman" w:cs="Times New Roman"/>
                <w:b/>
                <w:lang w:val="lv-LV" w:eastAsia="lv-LV"/>
              </w:rPr>
              <w:t>3</w:t>
            </w:r>
            <w:r w:rsidRPr="001A47C0">
              <w:rPr>
                <w:rFonts w:ascii="Times New Roman" w:eastAsia="Times New Roman" w:hAnsi="Times New Roman" w:cs="Times New Roman"/>
                <w:b/>
                <w:lang w:val="lv-LV" w:eastAsia="lv-LV"/>
              </w:rPr>
              <w:t>)</w:t>
            </w:r>
          </w:p>
          <w:p w:rsidR="00F61621" w:rsidRDefault="001A47C0" w:rsidP="00F61621">
            <w:pPr>
              <w:spacing w:after="0" w:line="240" w:lineRule="auto"/>
              <w:jc w:val="both"/>
              <w:rPr>
                <w:rFonts w:ascii="Times New Roman" w:eastAsia="Times New Roman" w:hAnsi="Times New Roman" w:cs="Times New Roman"/>
                <w:lang w:val="lv-LV" w:eastAsia="lv-LV"/>
              </w:rPr>
            </w:pPr>
            <w:r w:rsidRPr="001A47C0">
              <w:rPr>
                <w:rFonts w:ascii="Times New Roman" w:eastAsia="Times New Roman" w:hAnsi="Times New Roman" w:cs="Times New Roman"/>
                <w:lang w:val="lv-LV" w:eastAsia="lv-LV"/>
              </w:rPr>
              <w:t>Lūdzam papildināt anotāciju ar informāciju par grozījumu ietekmi uz īstenošanā esošajiem projektiem, nepieciešamajiem grozījumiem vienošanās par projektu īstenošanu</w:t>
            </w:r>
            <w:r>
              <w:rPr>
                <w:rFonts w:ascii="Times New Roman" w:eastAsia="Times New Roman" w:hAnsi="Times New Roman" w:cs="Times New Roman"/>
                <w:lang w:val="lv-LV" w:eastAsia="lv-LV"/>
              </w:rPr>
              <w:t>.</w:t>
            </w:r>
          </w:p>
          <w:p w:rsidR="00B033B7" w:rsidRPr="008C62D7" w:rsidRDefault="00B033B7" w:rsidP="00B033B7">
            <w:pPr>
              <w:spacing w:after="0" w:line="240" w:lineRule="auto"/>
              <w:jc w:val="both"/>
              <w:rPr>
                <w:rFonts w:ascii="Times New Roman" w:eastAsia="Times New Roman" w:hAnsi="Times New Roman" w:cs="Times New Roman"/>
                <w:lang w:val="lv-LV" w:eastAsia="lv-LV"/>
              </w:rPr>
            </w:pPr>
            <w:r w:rsidRPr="008C62D7">
              <w:rPr>
                <w:rFonts w:ascii="Times New Roman" w:eastAsia="Times New Roman" w:hAnsi="Times New Roman" w:cs="Times New Roman"/>
                <w:b/>
                <w:lang w:val="lv-LV" w:eastAsia="lv-LV"/>
              </w:rPr>
              <w:t xml:space="preserve">Atkārtotas elektroniskās saskaņošanas laikā 27.12.2019. Finanšu ministrijas </w:t>
            </w:r>
            <w:r w:rsidRPr="008C62D7">
              <w:rPr>
                <w:b/>
              </w:rPr>
              <w:t xml:space="preserve"> </w:t>
            </w:r>
            <w:r w:rsidRPr="008C62D7">
              <w:rPr>
                <w:rFonts w:ascii="Times New Roman" w:eastAsia="Times New Roman" w:hAnsi="Times New Roman" w:cs="Times New Roman"/>
                <w:b/>
                <w:lang w:val="lv-LV" w:eastAsia="lv-LV"/>
              </w:rPr>
              <w:t>sniegtais priekšlikums</w:t>
            </w:r>
            <w:r w:rsidRPr="008C62D7">
              <w:rPr>
                <w:rFonts w:ascii="Times New Roman" w:eastAsia="Times New Roman" w:hAnsi="Times New Roman" w:cs="Times New Roman"/>
                <w:lang w:val="lv-LV" w:eastAsia="lv-LV"/>
              </w:rPr>
              <w:t>.</w:t>
            </w:r>
          </w:p>
          <w:p w:rsidR="00B033B7" w:rsidRPr="001A47C0" w:rsidRDefault="00B033B7" w:rsidP="00B033B7">
            <w:pPr>
              <w:spacing w:after="0" w:line="240" w:lineRule="auto"/>
              <w:jc w:val="both"/>
              <w:rPr>
                <w:rFonts w:ascii="Times New Roman" w:eastAsia="Times New Roman" w:hAnsi="Times New Roman" w:cs="Times New Roman"/>
                <w:lang w:val="lv-LV" w:eastAsia="lv-LV"/>
              </w:rPr>
            </w:pPr>
            <w:r w:rsidRPr="008C62D7">
              <w:rPr>
                <w:rFonts w:ascii="Times New Roman" w:eastAsia="Times New Roman" w:hAnsi="Times New Roman" w:cs="Times New Roman"/>
                <w:lang w:val="lv-LV" w:eastAsia="lv-LV"/>
              </w:rPr>
              <w:t>Ņemot vērā izziņas 3.punktā</w:t>
            </w:r>
            <w:r w:rsidRPr="008B1021">
              <w:rPr>
                <w:rFonts w:ascii="Times New Roman" w:eastAsia="Times New Roman" w:hAnsi="Times New Roman" w:cs="Times New Roman"/>
                <w:lang w:val="lv-LV" w:eastAsia="lv-LV"/>
              </w:rPr>
              <w:t xml:space="preserve"> minēto iebildumu un to, ka tiek precizēts finansējums, aicinām izvērtēt un nepieciešamības gadījumā papildināt anotāciju ar skaidrojumu, vai būs nepieciešami grozījumi noslēgtajās vienošanās par Eiropas Reģionālās attīstības fonda līdzfinansēto projektu īstenošanu.</w:t>
            </w:r>
          </w:p>
        </w:tc>
        <w:tc>
          <w:tcPr>
            <w:tcW w:w="3261" w:type="dxa"/>
          </w:tcPr>
          <w:p w:rsidR="00F61621" w:rsidRDefault="001A47C0" w:rsidP="00195546">
            <w:pPr>
              <w:spacing w:after="0" w:line="240" w:lineRule="auto"/>
              <w:jc w:val="both"/>
              <w:rPr>
                <w:rFonts w:ascii="Times New Roman" w:eastAsia="Times New Roman" w:hAnsi="Times New Roman" w:cs="Times New Roman"/>
                <w:b/>
                <w:lang w:val="lv-LV" w:eastAsia="lv-LV"/>
              </w:rPr>
            </w:pPr>
            <w:r w:rsidRPr="001A47C0">
              <w:rPr>
                <w:rFonts w:ascii="Times New Roman" w:eastAsia="Times New Roman" w:hAnsi="Times New Roman" w:cs="Times New Roman"/>
                <w:b/>
                <w:lang w:val="lv-LV" w:eastAsia="lv-LV"/>
              </w:rPr>
              <w:t>Ņemts vērā</w:t>
            </w:r>
          </w:p>
          <w:p w:rsidR="003279F3" w:rsidRPr="003279F3" w:rsidRDefault="003279F3" w:rsidP="00195546">
            <w:pPr>
              <w:spacing w:after="0" w:line="240" w:lineRule="auto"/>
              <w:jc w:val="both"/>
              <w:rPr>
                <w:rFonts w:ascii="Times New Roman" w:eastAsia="Times New Roman" w:hAnsi="Times New Roman" w:cs="Times New Roman"/>
                <w:lang w:val="lv-LV" w:eastAsia="lv-LV"/>
              </w:rPr>
            </w:pPr>
            <w:r w:rsidRPr="003279F3">
              <w:rPr>
                <w:rFonts w:ascii="Times New Roman" w:eastAsia="Times New Roman" w:hAnsi="Times New Roman" w:cs="Times New Roman"/>
                <w:lang w:val="lv-LV" w:eastAsia="lv-LV"/>
              </w:rPr>
              <w:t>Anotācija papildināta.</w:t>
            </w:r>
          </w:p>
        </w:tc>
        <w:tc>
          <w:tcPr>
            <w:tcW w:w="3260" w:type="dxa"/>
          </w:tcPr>
          <w:p w:rsidR="00973993" w:rsidRPr="00973993" w:rsidRDefault="005024C9" w:rsidP="00973993">
            <w:pPr>
              <w:spacing w:after="0" w:line="240" w:lineRule="auto"/>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Papildināta anotācija</w:t>
            </w:r>
          </w:p>
          <w:p w:rsidR="00973993" w:rsidRPr="003F4186" w:rsidRDefault="00B90467" w:rsidP="00973993">
            <w:pPr>
              <w:spacing w:after="0" w:line="240" w:lineRule="auto"/>
              <w:jc w:val="both"/>
              <w:rPr>
                <w:rFonts w:ascii="Times New Roman" w:eastAsia="Times New Roman" w:hAnsi="Times New Roman" w:cs="Times New Roman"/>
                <w:lang w:val="lv-LV" w:eastAsia="lv-LV"/>
              </w:rPr>
            </w:pPr>
            <w:r w:rsidRPr="00B90467">
              <w:rPr>
                <w:rFonts w:ascii="Times New Roman" w:eastAsia="Times New Roman" w:hAnsi="Times New Roman" w:cs="Times New Roman"/>
                <w:lang w:val="lv-LV" w:eastAsia="lv-LV"/>
              </w:rPr>
              <w:t>Grozījumi 8.1.1. SAM MK noteikumos un 8.1.4. SAM MK noteikumos neietekmē īstenošanā esošos projektus</w:t>
            </w:r>
            <w:r w:rsidRPr="003F4186">
              <w:rPr>
                <w:rFonts w:ascii="Times New Roman" w:eastAsia="Times New Roman" w:hAnsi="Times New Roman" w:cs="Times New Roman"/>
                <w:lang w:val="lv-LV" w:eastAsia="lv-LV"/>
              </w:rPr>
              <w:t>, tai skaitā nav nepieciešams veikt grozījumus noslēgtajās vienošanās par Eiropas Reģionālās attīstības fonda līdzfinansēto projektu īstenošanu.</w:t>
            </w:r>
          </w:p>
          <w:p w:rsidR="00F61621" w:rsidRPr="00F20000" w:rsidRDefault="00F61621" w:rsidP="00973993">
            <w:pPr>
              <w:spacing w:after="0" w:line="240" w:lineRule="auto"/>
              <w:rPr>
                <w:rFonts w:ascii="Times New Roman" w:eastAsia="Times New Roman" w:hAnsi="Times New Roman" w:cs="Times New Roman"/>
                <w:lang w:val="lv-LV" w:eastAsia="lv-LV"/>
              </w:rPr>
            </w:pPr>
          </w:p>
        </w:tc>
      </w:tr>
      <w:tr w:rsidR="00D31D32" w:rsidRPr="00F20000" w:rsidTr="003F4186">
        <w:trPr>
          <w:trHeight w:val="283"/>
        </w:trPr>
        <w:tc>
          <w:tcPr>
            <w:tcW w:w="964" w:type="dxa"/>
          </w:tcPr>
          <w:p w:rsidR="00D31D32" w:rsidRDefault="00571368" w:rsidP="009B56F3">
            <w:pPr>
              <w:spacing w:after="0" w:line="240" w:lineRule="auto"/>
              <w:jc w:val="center"/>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4.</w:t>
            </w:r>
          </w:p>
        </w:tc>
        <w:tc>
          <w:tcPr>
            <w:tcW w:w="2575" w:type="dxa"/>
          </w:tcPr>
          <w:p w:rsidR="005B6ED6" w:rsidRDefault="005B6ED6" w:rsidP="005B6ED6">
            <w:pPr>
              <w:spacing w:after="0" w:line="240" w:lineRule="auto"/>
              <w:jc w:val="both"/>
              <w:rPr>
                <w:rFonts w:ascii="Times New Roman" w:eastAsia="Times New Roman" w:hAnsi="Times New Roman" w:cs="Times New Roman"/>
                <w:lang w:val="lv-LV" w:eastAsia="lv-LV"/>
              </w:rPr>
            </w:pPr>
            <w:r w:rsidRPr="00926DCA">
              <w:rPr>
                <w:rFonts w:ascii="Times New Roman" w:eastAsia="Times New Roman" w:hAnsi="Times New Roman" w:cs="Times New Roman"/>
                <w:lang w:val="lv-LV" w:eastAsia="lv-LV"/>
              </w:rPr>
              <w:t>1</w:t>
            </w:r>
            <w:r>
              <w:rPr>
                <w:rFonts w:ascii="Times New Roman" w:eastAsia="Times New Roman" w:hAnsi="Times New Roman" w:cs="Times New Roman"/>
                <w:lang w:val="lv-LV" w:eastAsia="lv-LV"/>
              </w:rPr>
              <w:t>1</w:t>
            </w:r>
            <w:r w:rsidRPr="00926DCA">
              <w:rPr>
                <w:rFonts w:ascii="Times New Roman" w:eastAsia="Times New Roman" w:hAnsi="Times New Roman" w:cs="Times New Roman"/>
                <w:lang w:val="lv-LV" w:eastAsia="lv-LV"/>
              </w:rPr>
              <w:t>. Papildināt noteikumus ar 44. punktu šādā redakcijā:</w:t>
            </w:r>
          </w:p>
          <w:p w:rsidR="005B6ED6" w:rsidRDefault="005B6ED6" w:rsidP="005B6ED6">
            <w:pPr>
              <w:spacing w:after="0" w:line="240" w:lineRule="auto"/>
              <w:jc w:val="both"/>
              <w:rPr>
                <w:rFonts w:ascii="Times New Roman" w:eastAsia="Times New Roman" w:hAnsi="Times New Roman" w:cs="Times New Roman"/>
                <w:lang w:val="lv-LV" w:eastAsia="lv-LV"/>
              </w:rPr>
            </w:pPr>
            <w:r w:rsidRPr="00B30DDE">
              <w:rPr>
                <w:rFonts w:ascii="Times New Roman" w:eastAsia="Times New Roman" w:hAnsi="Times New Roman" w:cs="Times New Roman"/>
                <w:lang w:val="lv-LV" w:eastAsia="lv-LV"/>
              </w:rPr>
              <w:t>"</w:t>
            </w:r>
            <w:r>
              <w:rPr>
                <w:rFonts w:ascii="Times New Roman" w:eastAsia="Times New Roman" w:hAnsi="Times New Roman" w:cs="Times New Roman"/>
                <w:lang w:val="lv-LV" w:eastAsia="lv-LV"/>
              </w:rPr>
              <w:t>Šo noteikumu 34. punkts nav attiecināms uz šo noteikumu 12.15. apakšpunktā minēto projekta iesniedzēju.</w:t>
            </w:r>
            <w:r w:rsidRPr="00B30DDE">
              <w:rPr>
                <w:rFonts w:ascii="Times New Roman" w:eastAsia="Times New Roman" w:hAnsi="Times New Roman" w:cs="Times New Roman"/>
                <w:lang w:val="lv-LV" w:eastAsia="lv-LV"/>
              </w:rPr>
              <w:t>"</w:t>
            </w:r>
          </w:p>
          <w:p w:rsidR="00D31D32" w:rsidRDefault="00D31D32" w:rsidP="009B56F3">
            <w:pPr>
              <w:spacing w:after="0" w:line="240" w:lineRule="auto"/>
              <w:ind w:firstLine="720"/>
              <w:jc w:val="center"/>
              <w:rPr>
                <w:rFonts w:ascii="Times New Roman" w:eastAsia="Times New Roman" w:hAnsi="Times New Roman" w:cs="Times New Roman"/>
                <w:lang w:val="lv-LV" w:eastAsia="lv-LV"/>
              </w:rPr>
            </w:pPr>
          </w:p>
          <w:p w:rsidR="00EF5824" w:rsidRPr="00FA3D8A" w:rsidRDefault="00EF5824" w:rsidP="00EF5824">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A</w:t>
            </w:r>
            <w:r w:rsidRPr="00FA3D8A">
              <w:rPr>
                <w:rFonts w:ascii="Times New Roman" w:eastAsia="Times New Roman" w:hAnsi="Times New Roman" w:cs="Times New Roman"/>
                <w:b/>
                <w:lang w:val="lv-LV" w:eastAsia="lv-LV"/>
              </w:rPr>
              <w:t>notācija</w:t>
            </w:r>
          </w:p>
          <w:p w:rsidR="00EF5824" w:rsidRPr="00F20000" w:rsidRDefault="00EF5824" w:rsidP="00EF5824">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5) </w:t>
            </w:r>
            <w:r w:rsidRPr="00FA3D8A">
              <w:rPr>
                <w:rFonts w:ascii="Times New Roman" w:eastAsia="Times New Roman" w:hAnsi="Times New Roman" w:cs="Times New Roman"/>
                <w:lang w:val="lv-LV" w:eastAsia="lv-LV"/>
              </w:rPr>
              <w:t xml:space="preserve">papildināt atsevišķus 8.1.1. SAM </w:t>
            </w:r>
            <w:r>
              <w:rPr>
                <w:rFonts w:ascii="Times New Roman" w:eastAsia="Times New Roman" w:hAnsi="Times New Roman" w:cs="Times New Roman"/>
                <w:lang w:val="lv-LV" w:eastAsia="lv-LV"/>
              </w:rPr>
              <w:t xml:space="preserve">MK </w:t>
            </w:r>
            <w:r w:rsidRPr="00FA3D8A">
              <w:rPr>
                <w:rFonts w:ascii="Times New Roman" w:eastAsia="Times New Roman" w:hAnsi="Times New Roman" w:cs="Times New Roman"/>
                <w:lang w:val="lv-LV" w:eastAsia="lv-LV"/>
              </w:rPr>
              <w:t>noteikumu punktus ar precizētiem nosacījumiem, kas attiecas uz Latvijas Jūras akadēmiju (</w:t>
            </w:r>
            <w:r w:rsidRPr="00FA3D8A">
              <w:rPr>
                <w:rFonts w:ascii="Times New Roman" w:eastAsia="Times New Roman" w:hAnsi="Times New Roman" w:cs="Times New Roman"/>
                <w:i/>
                <w:lang w:val="lv-LV" w:eastAsia="lv-LV"/>
              </w:rPr>
              <w:t>8.1.1. SAM noteikumu projekta 4. un 10. punkts</w:t>
            </w:r>
            <w:r w:rsidRPr="00FA3D8A">
              <w:rPr>
                <w:rFonts w:ascii="Times New Roman" w:eastAsia="Times New Roman" w:hAnsi="Times New Roman" w:cs="Times New Roman"/>
                <w:lang w:val="lv-LV" w:eastAsia="lv-LV"/>
              </w:rPr>
              <w:t xml:space="preserve">), kā arī papildināt noteikumus ar jaunu punktu, kas paredz izņēmumu attiecībā </w:t>
            </w:r>
            <w:r>
              <w:rPr>
                <w:rFonts w:ascii="Times New Roman" w:eastAsia="Times New Roman" w:hAnsi="Times New Roman" w:cs="Times New Roman"/>
                <w:lang w:val="lv-LV" w:eastAsia="lv-LV"/>
              </w:rPr>
              <w:t xml:space="preserve">uz </w:t>
            </w:r>
            <w:r w:rsidRPr="00FA3D8A">
              <w:rPr>
                <w:rFonts w:ascii="Times New Roman" w:eastAsia="Times New Roman" w:hAnsi="Times New Roman" w:cs="Times New Roman"/>
                <w:lang w:val="lv-LV" w:eastAsia="lv-LV"/>
              </w:rPr>
              <w:t>8.1.1. SAM MK noteikumu 34. punkta  piemērošanu Latvijas Jūras akadēmijas projektam izstrādāt izmaksu ieguvumu analīzi (</w:t>
            </w:r>
            <w:r w:rsidRPr="00FC11C4">
              <w:rPr>
                <w:rFonts w:ascii="Times New Roman" w:eastAsia="Times New Roman" w:hAnsi="Times New Roman" w:cs="Times New Roman"/>
                <w:i/>
                <w:lang w:val="lv-LV" w:eastAsia="lv-LV"/>
              </w:rPr>
              <w:t>8.1.1. SAM noteikumu projekta 11. punkts</w:t>
            </w:r>
            <w:r w:rsidRPr="00FA3D8A">
              <w:rPr>
                <w:rFonts w:ascii="Times New Roman" w:eastAsia="Times New Roman" w:hAnsi="Times New Roman" w:cs="Times New Roman"/>
                <w:lang w:val="lv-LV" w:eastAsia="lv-LV"/>
              </w:rPr>
              <w:t xml:space="preserve">). Šāds izņēmums nepieciešams, lai neradītu lieku administratīvo slogu. Izmaksu ieguvumu analīzes (turpmāk – IIA) izstrāde prasa gan papildu laiku projekta sagatavošanai, gan papildu finanšu līdzekļus, jo parasti IIA tiek iepirkta kā ārpakalpojums. Vienlaikus tā pagarina arī projekta vērtēšanas un nosacījumu izpildes laiku. Tā kā plānotā Latvijas Jūras akadēmijas projekta finansējuma apjoms ir būtiski mazāks nekā pārējiem projektiem 8.1.1. SAM ietvaros, turklāt projekta apjoms 273 478 </w:t>
            </w:r>
            <w:proofErr w:type="spellStart"/>
            <w:r w:rsidRPr="00C73974">
              <w:rPr>
                <w:rFonts w:ascii="Times New Roman" w:eastAsia="Times New Roman" w:hAnsi="Times New Roman" w:cs="Times New Roman"/>
                <w:i/>
                <w:lang w:val="lv-LV" w:eastAsia="lv-LV"/>
              </w:rPr>
              <w:t>euro</w:t>
            </w:r>
            <w:proofErr w:type="spellEnd"/>
            <w:r w:rsidRPr="00FA3D8A">
              <w:rPr>
                <w:rFonts w:ascii="Times New Roman" w:eastAsia="Times New Roman" w:hAnsi="Times New Roman" w:cs="Times New Roman"/>
                <w:lang w:val="lv-LV" w:eastAsia="lv-LV"/>
              </w:rPr>
              <w:t xml:space="preserve"> apmērā ir arī būtiski mazāks nekā Regulas Nr.1303/2013   61. pantā noteiktais slieksnis (1 milj. </w:t>
            </w:r>
            <w:proofErr w:type="spellStart"/>
            <w:r w:rsidRPr="00C73974">
              <w:rPr>
                <w:rFonts w:ascii="Times New Roman" w:eastAsia="Times New Roman" w:hAnsi="Times New Roman" w:cs="Times New Roman"/>
                <w:i/>
                <w:lang w:val="lv-LV" w:eastAsia="lv-LV"/>
              </w:rPr>
              <w:t>euro</w:t>
            </w:r>
            <w:proofErr w:type="spellEnd"/>
            <w:r w:rsidRPr="00FA3D8A">
              <w:rPr>
                <w:rFonts w:ascii="Times New Roman" w:eastAsia="Times New Roman" w:hAnsi="Times New Roman" w:cs="Times New Roman"/>
                <w:lang w:val="lv-LV" w:eastAsia="lv-LV"/>
              </w:rPr>
              <w:t>), no kura obligāti nepieciešama IIA, šāda izņēmuma piemērošana ir lietderīga un pamatota.</w:t>
            </w:r>
          </w:p>
        </w:tc>
        <w:tc>
          <w:tcPr>
            <w:tcW w:w="3827" w:type="dxa"/>
          </w:tcPr>
          <w:p w:rsidR="00D31D32" w:rsidRDefault="00417DD3" w:rsidP="00F61621">
            <w:pPr>
              <w:spacing w:after="0" w:line="240" w:lineRule="auto"/>
              <w:jc w:val="both"/>
              <w:rPr>
                <w:rFonts w:ascii="Times New Roman" w:eastAsia="Times New Roman" w:hAnsi="Times New Roman" w:cs="Times New Roman"/>
                <w:b/>
                <w:lang w:val="lv-LV" w:eastAsia="lv-LV"/>
              </w:rPr>
            </w:pPr>
            <w:r w:rsidRPr="008C62D7">
              <w:rPr>
                <w:rFonts w:ascii="Times New Roman" w:eastAsia="Times New Roman" w:hAnsi="Times New Roman" w:cs="Times New Roman"/>
                <w:b/>
                <w:lang w:val="lv-LV" w:eastAsia="lv-LV"/>
              </w:rPr>
              <w:t>A</w:t>
            </w:r>
            <w:r w:rsidR="00EF5824" w:rsidRPr="008C62D7">
              <w:rPr>
                <w:rFonts w:ascii="Times New Roman" w:eastAsia="Times New Roman" w:hAnsi="Times New Roman" w:cs="Times New Roman"/>
                <w:b/>
                <w:lang w:val="lv-LV" w:eastAsia="lv-LV"/>
              </w:rPr>
              <w:t xml:space="preserve">tkārtotas </w:t>
            </w:r>
            <w:r w:rsidRPr="008C62D7">
              <w:rPr>
                <w:rFonts w:ascii="Times New Roman" w:eastAsia="Times New Roman" w:hAnsi="Times New Roman" w:cs="Times New Roman"/>
                <w:b/>
                <w:lang w:val="lv-LV" w:eastAsia="lv-LV"/>
              </w:rPr>
              <w:t xml:space="preserve">elektroniskās </w:t>
            </w:r>
            <w:r w:rsidR="00EF5824" w:rsidRPr="008C62D7">
              <w:rPr>
                <w:rFonts w:ascii="Times New Roman" w:eastAsia="Times New Roman" w:hAnsi="Times New Roman" w:cs="Times New Roman"/>
                <w:b/>
                <w:lang w:val="lv-LV" w:eastAsia="lv-LV"/>
              </w:rPr>
              <w:t xml:space="preserve">saskaņošanas laikā </w:t>
            </w:r>
            <w:r w:rsidRPr="008C62D7">
              <w:rPr>
                <w:rFonts w:ascii="Times New Roman" w:eastAsia="Times New Roman" w:hAnsi="Times New Roman" w:cs="Times New Roman"/>
                <w:b/>
                <w:lang w:val="lv-LV" w:eastAsia="lv-LV"/>
              </w:rPr>
              <w:t xml:space="preserve">27.12.2019. </w:t>
            </w:r>
            <w:r w:rsidR="00D31D32" w:rsidRPr="008C62D7">
              <w:rPr>
                <w:rFonts w:ascii="Times New Roman" w:eastAsia="Times New Roman" w:hAnsi="Times New Roman" w:cs="Times New Roman"/>
                <w:b/>
                <w:lang w:val="lv-LV" w:eastAsia="lv-LV"/>
              </w:rPr>
              <w:t xml:space="preserve">Finanšu ministrijas </w:t>
            </w:r>
            <w:r w:rsidR="00B033B7" w:rsidRPr="008C62D7">
              <w:t xml:space="preserve"> </w:t>
            </w:r>
            <w:r w:rsidR="00B033B7" w:rsidRPr="008C62D7">
              <w:rPr>
                <w:rFonts w:ascii="Times New Roman" w:eastAsia="Times New Roman" w:hAnsi="Times New Roman" w:cs="Times New Roman"/>
                <w:b/>
                <w:lang w:val="lv-LV" w:eastAsia="lv-LV"/>
              </w:rPr>
              <w:t xml:space="preserve">sniegtais </w:t>
            </w:r>
            <w:r w:rsidR="00D31D32" w:rsidRPr="008C62D7">
              <w:rPr>
                <w:rFonts w:ascii="Times New Roman" w:eastAsia="Times New Roman" w:hAnsi="Times New Roman" w:cs="Times New Roman"/>
                <w:b/>
                <w:lang w:val="lv-LV" w:eastAsia="lv-LV"/>
              </w:rPr>
              <w:t>iebildums</w:t>
            </w:r>
            <w:r w:rsidR="006E3815" w:rsidRPr="008C62D7">
              <w:rPr>
                <w:rFonts w:ascii="Times New Roman" w:eastAsia="Times New Roman" w:hAnsi="Times New Roman" w:cs="Times New Roman"/>
                <w:b/>
                <w:lang w:val="lv-LV" w:eastAsia="lv-LV"/>
              </w:rPr>
              <w:t>.</w:t>
            </w:r>
          </w:p>
          <w:p w:rsidR="00D31D32" w:rsidRPr="00D31D32" w:rsidRDefault="00D31D32" w:rsidP="00F61621">
            <w:pPr>
              <w:spacing w:after="0" w:line="240" w:lineRule="auto"/>
              <w:jc w:val="both"/>
              <w:rPr>
                <w:rFonts w:ascii="Times New Roman" w:eastAsia="Times New Roman" w:hAnsi="Times New Roman" w:cs="Times New Roman"/>
                <w:lang w:val="lv-LV" w:eastAsia="lv-LV"/>
              </w:rPr>
            </w:pPr>
            <w:r w:rsidRPr="00D31D32">
              <w:rPr>
                <w:rFonts w:ascii="Times New Roman" w:eastAsia="Times New Roman" w:hAnsi="Times New Roman" w:cs="Times New Roman"/>
                <w:lang w:val="lv-LV" w:eastAsia="lv-LV"/>
              </w:rPr>
              <w:t>Lūdzam anotācijā izvērst pamatojumu ierosinātajam grozījumam MK noteikumu Nr.561 grozījumu projekta 11.punktā, skaidrojot, kā plānots pārliecināties par Latvijas Jūras akadēmijas plānotā projekta finanšu ilgtspēju un sociālekonomisko atdevi, vienlaikus nodrošinot pēc iespējas vienotu pieeju attiecībā uz visiem projektu iesniegumiem 8.1.1.specifiskā atbalsta mērķa “Palielināt modernizēto STEM, tajā skaitā medicīnas un radošās industrijas, studiju programmu skaitu” ietvaros</w:t>
            </w:r>
            <w:r>
              <w:rPr>
                <w:rFonts w:ascii="Times New Roman" w:eastAsia="Times New Roman" w:hAnsi="Times New Roman" w:cs="Times New Roman"/>
                <w:lang w:val="lv-LV" w:eastAsia="lv-LV"/>
              </w:rPr>
              <w:t>.</w:t>
            </w:r>
          </w:p>
        </w:tc>
        <w:tc>
          <w:tcPr>
            <w:tcW w:w="3261" w:type="dxa"/>
          </w:tcPr>
          <w:p w:rsidR="00D31D32" w:rsidRDefault="00D31D32" w:rsidP="00195546">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p w:rsidR="00D31D32" w:rsidRDefault="00D31D32" w:rsidP="00D31D32">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Lai nodrošinātu vienotu pieeju attiecībā uz visiem projektu iesniegumiem 8.1.1.SAM ietvaros, </w:t>
            </w:r>
            <w:r w:rsidR="005D412E">
              <w:rPr>
                <w:rFonts w:ascii="Times New Roman" w:eastAsia="Times New Roman" w:hAnsi="Times New Roman" w:cs="Times New Roman"/>
                <w:lang w:val="lv-LV" w:eastAsia="lv-LV"/>
              </w:rPr>
              <w:t xml:space="preserve">tai skaitā </w:t>
            </w:r>
            <w:r>
              <w:rPr>
                <w:rFonts w:ascii="Times New Roman" w:eastAsia="Times New Roman" w:hAnsi="Times New Roman" w:cs="Times New Roman"/>
                <w:lang w:val="lv-LV" w:eastAsia="lv-LV"/>
              </w:rPr>
              <w:t xml:space="preserve">pamatotu </w:t>
            </w:r>
            <w:r>
              <w:t xml:space="preserve"> </w:t>
            </w:r>
            <w:r w:rsidRPr="00D31D32">
              <w:rPr>
                <w:rFonts w:ascii="Times New Roman" w:eastAsia="Times New Roman" w:hAnsi="Times New Roman" w:cs="Times New Roman"/>
                <w:lang w:val="lv-LV" w:eastAsia="lv-LV"/>
              </w:rPr>
              <w:t>Latvijas Jūras akadēmijas plānotā projekta finanšu ilgtspēju un sociālekonomisko atdevi</w:t>
            </w:r>
            <w:r>
              <w:rPr>
                <w:rFonts w:ascii="Times New Roman" w:eastAsia="Times New Roman" w:hAnsi="Times New Roman" w:cs="Times New Roman"/>
                <w:lang w:val="lv-LV" w:eastAsia="lv-LV"/>
              </w:rPr>
              <w:t>, s</w:t>
            </w:r>
            <w:r w:rsidRPr="00D31D32">
              <w:rPr>
                <w:rFonts w:ascii="Times New Roman" w:eastAsia="Times New Roman" w:hAnsi="Times New Roman" w:cs="Times New Roman"/>
                <w:lang w:val="lv-LV" w:eastAsia="lv-LV"/>
              </w:rPr>
              <w:t xml:space="preserve">vītrots </w:t>
            </w:r>
            <w:r>
              <w:t xml:space="preserve"> </w:t>
            </w:r>
            <w:r w:rsidRPr="00D31D32">
              <w:rPr>
                <w:rFonts w:ascii="Times New Roman" w:eastAsia="Times New Roman" w:hAnsi="Times New Roman" w:cs="Times New Roman"/>
                <w:lang w:val="lv-LV" w:eastAsia="lv-LV"/>
              </w:rPr>
              <w:t>MK noteikumu Nr.</w:t>
            </w:r>
            <w:r>
              <w:rPr>
                <w:rFonts w:ascii="Times New Roman" w:eastAsia="Times New Roman" w:hAnsi="Times New Roman" w:cs="Times New Roman"/>
                <w:lang w:val="lv-LV" w:eastAsia="lv-LV"/>
              </w:rPr>
              <w:t>561 grozījumu projekta 11.punkts, kas paredz izņēmumu</w:t>
            </w:r>
            <w:r w:rsidRPr="00D31D32">
              <w:rPr>
                <w:rFonts w:ascii="Times New Roman" w:eastAsia="Times New Roman" w:hAnsi="Times New Roman" w:cs="Times New Roman"/>
                <w:lang w:val="lv-LV" w:eastAsia="lv-LV"/>
              </w:rPr>
              <w:t xml:space="preserve"> attiecībā </w:t>
            </w:r>
            <w:r>
              <w:rPr>
                <w:rFonts w:ascii="Times New Roman" w:eastAsia="Times New Roman" w:hAnsi="Times New Roman" w:cs="Times New Roman"/>
                <w:lang w:val="lv-LV" w:eastAsia="lv-LV"/>
              </w:rPr>
              <w:t xml:space="preserve">uz </w:t>
            </w:r>
            <w:r w:rsidRPr="00D31D32">
              <w:rPr>
                <w:rFonts w:ascii="Times New Roman" w:eastAsia="Times New Roman" w:hAnsi="Times New Roman" w:cs="Times New Roman"/>
                <w:lang w:val="lv-LV" w:eastAsia="lv-LV"/>
              </w:rPr>
              <w:t>MK noteikumu Nr.561 34.punkta piemērošanu Latvijas Jūras akadēmijas projektam izstrādāt izmaksu ieguvumu analīzi</w:t>
            </w:r>
            <w:r>
              <w:rPr>
                <w:rFonts w:ascii="Times New Roman" w:eastAsia="Times New Roman" w:hAnsi="Times New Roman" w:cs="Times New Roman"/>
                <w:lang w:val="lv-LV" w:eastAsia="lv-LV"/>
              </w:rPr>
              <w:t>.</w:t>
            </w:r>
            <w:r w:rsidR="005D412E">
              <w:rPr>
                <w:rFonts w:ascii="Times New Roman" w:eastAsia="Times New Roman" w:hAnsi="Times New Roman" w:cs="Times New Roman"/>
                <w:lang w:val="lv-LV" w:eastAsia="lv-LV"/>
              </w:rPr>
              <w:t xml:space="preserve"> </w:t>
            </w:r>
          </w:p>
          <w:p w:rsidR="00D31D32" w:rsidRPr="00D31D32" w:rsidRDefault="00D31D32" w:rsidP="007F42E5">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Attiecīgi precizēta anotācija, svītrojot skaidrojumu</w:t>
            </w:r>
            <w:r w:rsidR="007F42E5">
              <w:rPr>
                <w:rFonts w:ascii="Times New Roman" w:eastAsia="Times New Roman" w:hAnsi="Times New Roman" w:cs="Times New Roman"/>
                <w:lang w:val="lv-LV" w:eastAsia="lv-LV"/>
              </w:rPr>
              <w:t xml:space="preserve"> par  </w:t>
            </w:r>
            <w:r w:rsidR="007F42E5">
              <w:t xml:space="preserve"> </w:t>
            </w:r>
            <w:r w:rsidR="007F42E5" w:rsidRPr="007F42E5">
              <w:rPr>
                <w:rFonts w:ascii="Times New Roman" w:eastAsia="Times New Roman" w:hAnsi="Times New Roman" w:cs="Times New Roman"/>
                <w:lang w:val="lv-LV" w:eastAsia="lv-LV"/>
              </w:rPr>
              <w:t xml:space="preserve">MK noteikumu Nr.561 34.punkta </w:t>
            </w:r>
            <w:r w:rsidR="007F42E5">
              <w:rPr>
                <w:rFonts w:ascii="Times New Roman" w:eastAsia="Times New Roman" w:hAnsi="Times New Roman" w:cs="Times New Roman"/>
                <w:lang w:val="lv-LV" w:eastAsia="lv-LV"/>
              </w:rPr>
              <w:t>ne</w:t>
            </w:r>
            <w:r w:rsidR="007F42E5" w:rsidRPr="007F42E5">
              <w:rPr>
                <w:rFonts w:ascii="Times New Roman" w:eastAsia="Times New Roman" w:hAnsi="Times New Roman" w:cs="Times New Roman"/>
                <w:lang w:val="lv-LV" w:eastAsia="lv-LV"/>
              </w:rPr>
              <w:t>piemērošanu Latvijas Jūras akadēmijas projektam</w:t>
            </w:r>
            <w:r w:rsidR="007F42E5">
              <w:rPr>
                <w:rFonts w:ascii="Times New Roman" w:eastAsia="Times New Roman" w:hAnsi="Times New Roman" w:cs="Times New Roman"/>
                <w:lang w:val="lv-LV" w:eastAsia="lv-LV"/>
              </w:rPr>
              <w:t>.</w:t>
            </w:r>
          </w:p>
        </w:tc>
        <w:tc>
          <w:tcPr>
            <w:tcW w:w="3260" w:type="dxa"/>
          </w:tcPr>
          <w:p w:rsidR="00D31D32" w:rsidRDefault="00D31D32" w:rsidP="00973993">
            <w:pPr>
              <w:spacing w:after="0" w:line="240" w:lineRule="auto"/>
              <w:rPr>
                <w:rFonts w:ascii="Times New Roman" w:eastAsia="Times New Roman" w:hAnsi="Times New Roman" w:cs="Times New Roman"/>
                <w:b/>
                <w:lang w:val="lv-LV" w:eastAsia="lv-LV"/>
              </w:rPr>
            </w:pPr>
          </w:p>
        </w:tc>
      </w:tr>
      <w:tr w:rsidR="00B245BD" w:rsidRPr="00F20000" w:rsidTr="0082035A">
        <w:trPr>
          <w:trHeight w:val="283"/>
        </w:trPr>
        <w:tc>
          <w:tcPr>
            <w:tcW w:w="13887" w:type="dxa"/>
            <w:gridSpan w:val="5"/>
          </w:tcPr>
          <w:p w:rsidR="00D31D32" w:rsidRPr="00F20000" w:rsidRDefault="00B245BD" w:rsidP="003F4186">
            <w:pPr>
              <w:spacing w:after="0" w:line="240" w:lineRule="auto"/>
              <w:jc w:val="center"/>
              <w:rPr>
                <w:rFonts w:ascii="Times New Roman" w:eastAsia="Times New Roman" w:hAnsi="Times New Roman" w:cs="Times New Roman"/>
                <w:lang w:val="lv-LV" w:eastAsia="lv-LV"/>
              </w:rPr>
            </w:pPr>
            <w:r>
              <w:rPr>
                <w:rFonts w:ascii="Times New Roman" w:eastAsia="Times New Roman" w:hAnsi="Times New Roman" w:cs="Times New Roman"/>
                <w:b/>
                <w:lang w:val="lv-LV" w:eastAsia="lv-LV"/>
              </w:rPr>
              <w:t>Priekšlikumi</w:t>
            </w:r>
          </w:p>
        </w:tc>
      </w:tr>
      <w:tr w:rsidR="001A47C0" w:rsidRPr="00F20000" w:rsidTr="003F4186">
        <w:trPr>
          <w:trHeight w:val="283"/>
        </w:trPr>
        <w:tc>
          <w:tcPr>
            <w:tcW w:w="964" w:type="dxa"/>
          </w:tcPr>
          <w:p w:rsidR="001A47C0" w:rsidRPr="00F20000" w:rsidRDefault="00571368" w:rsidP="009B56F3">
            <w:pPr>
              <w:spacing w:after="0" w:line="240" w:lineRule="auto"/>
              <w:jc w:val="center"/>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5</w:t>
            </w:r>
            <w:r w:rsidR="003E6164">
              <w:rPr>
                <w:rFonts w:ascii="Times New Roman" w:eastAsia="Times New Roman" w:hAnsi="Times New Roman" w:cs="Times New Roman"/>
                <w:lang w:val="lv-LV" w:eastAsia="lv-LV"/>
              </w:rPr>
              <w:t>.</w:t>
            </w:r>
          </w:p>
        </w:tc>
        <w:tc>
          <w:tcPr>
            <w:tcW w:w="2575" w:type="dxa"/>
          </w:tcPr>
          <w:p w:rsidR="005024C9" w:rsidRPr="005024C9" w:rsidRDefault="005024C9" w:rsidP="005024C9">
            <w:pPr>
              <w:spacing w:after="0" w:line="240" w:lineRule="auto"/>
              <w:jc w:val="both"/>
              <w:rPr>
                <w:rFonts w:ascii="Times New Roman" w:eastAsia="Times New Roman" w:hAnsi="Times New Roman" w:cs="Times New Roman"/>
                <w:lang w:val="lv-LV" w:eastAsia="lv-LV"/>
              </w:rPr>
            </w:pPr>
            <w:r w:rsidRPr="005024C9">
              <w:rPr>
                <w:rFonts w:ascii="Times New Roman" w:eastAsia="Times New Roman" w:hAnsi="Times New Roman" w:cs="Times New Roman"/>
                <w:lang w:val="lv-LV" w:eastAsia="lv-LV"/>
              </w:rPr>
              <w:t xml:space="preserve">9. Papildināt noteikumus ar 18.15 apakšpunktu šādā redakcijā: </w:t>
            </w:r>
          </w:p>
          <w:p w:rsidR="005024C9" w:rsidRPr="00F20000" w:rsidRDefault="005024C9" w:rsidP="005024C9">
            <w:pPr>
              <w:spacing w:after="0" w:line="240" w:lineRule="auto"/>
              <w:jc w:val="both"/>
              <w:rPr>
                <w:rFonts w:ascii="Times New Roman" w:eastAsia="Times New Roman" w:hAnsi="Times New Roman" w:cs="Times New Roman"/>
                <w:lang w:val="lv-LV" w:eastAsia="lv-LV"/>
              </w:rPr>
            </w:pPr>
            <w:r w:rsidRPr="005024C9">
              <w:rPr>
                <w:rFonts w:ascii="Times New Roman" w:eastAsia="Times New Roman" w:hAnsi="Times New Roman" w:cs="Times New Roman"/>
                <w:lang w:val="lv-LV" w:eastAsia="lv-LV"/>
              </w:rPr>
              <w:t xml:space="preserve">"18.15. Latvijas Jūras akadēmija – 273 478 </w:t>
            </w:r>
            <w:proofErr w:type="spellStart"/>
            <w:r w:rsidRPr="003E6164">
              <w:rPr>
                <w:rFonts w:ascii="Times New Roman" w:eastAsia="Times New Roman" w:hAnsi="Times New Roman" w:cs="Times New Roman"/>
                <w:i/>
                <w:lang w:val="lv-LV" w:eastAsia="lv-LV"/>
              </w:rPr>
              <w:t>euro</w:t>
            </w:r>
            <w:proofErr w:type="spellEnd"/>
            <w:r w:rsidR="003E6164">
              <w:rPr>
                <w:rFonts w:ascii="Times New Roman" w:eastAsia="Times New Roman" w:hAnsi="Times New Roman" w:cs="Times New Roman"/>
                <w:i/>
                <w:lang w:val="lv-LV" w:eastAsia="lv-LV"/>
              </w:rPr>
              <w:t>.</w:t>
            </w:r>
            <w:r w:rsidR="003E6164" w:rsidRPr="003E6164">
              <w:rPr>
                <w:rFonts w:ascii="Times New Roman" w:eastAsia="Times New Roman" w:hAnsi="Times New Roman" w:cs="Times New Roman"/>
                <w:lang w:val="lv-LV" w:eastAsia="lv-LV"/>
              </w:rPr>
              <w:t>"</w:t>
            </w:r>
          </w:p>
        </w:tc>
        <w:tc>
          <w:tcPr>
            <w:tcW w:w="3827" w:type="dxa"/>
          </w:tcPr>
          <w:p w:rsidR="001A47C0" w:rsidRDefault="00A968C5" w:rsidP="00F61621">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 xml:space="preserve">Finanšu ministrija </w:t>
            </w:r>
            <w:r w:rsidR="005C5CE1">
              <w:rPr>
                <w:rFonts w:ascii="Times New Roman" w:eastAsia="Times New Roman" w:hAnsi="Times New Roman" w:cs="Times New Roman"/>
                <w:b/>
                <w:lang w:val="lv-LV" w:eastAsia="lv-LV"/>
              </w:rPr>
              <w:t xml:space="preserve">un CFLA </w:t>
            </w:r>
            <w:r>
              <w:rPr>
                <w:rFonts w:ascii="Times New Roman" w:eastAsia="Times New Roman" w:hAnsi="Times New Roman" w:cs="Times New Roman"/>
                <w:b/>
                <w:lang w:val="lv-LV" w:eastAsia="lv-LV"/>
              </w:rPr>
              <w:t>(1.priekšlikums)</w:t>
            </w:r>
          </w:p>
          <w:p w:rsidR="00A968C5" w:rsidRPr="00A968C5" w:rsidRDefault="00A968C5" w:rsidP="00F61621">
            <w:pPr>
              <w:spacing w:after="0" w:line="240" w:lineRule="auto"/>
              <w:jc w:val="both"/>
              <w:rPr>
                <w:rFonts w:ascii="Times New Roman" w:eastAsia="Times New Roman" w:hAnsi="Times New Roman" w:cs="Times New Roman"/>
                <w:lang w:val="lv-LV" w:eastAsia="lv-LV"/>
              </w:rPr>
            </w:pPr>
            <w:r w:rsidRPr="00A968C5">
              <w:rPr>
                <w:rFonts w:ascii="Times New Roman" w:eastAsia="Times New Roman" w:hAnsi="Times New Roman" w:cs="Times New Roman"/>
                <w:lang w:val="lv-LV" w:eastAsia="lv-LV"/>
              </w:rPr>
              <w:t>Lūdzam precizēt MK noteikumu Nr.561 grozījumu projekta 9.punktu, norādot finansējuma saņēmēja nosaukumu korektā locījumā</w:t>
            </w:r>
            <w:r>
              <w:rPr>
                <w:rFonts w:ascii="Times New Roman" w:eastAsia="Times New Roman" w:hAnsi="Times New Roman" w:cs="Times New Roman"/>
                <w:lang w:val="lv-LV" w:eastAsia="lv-LV"/>
              </w:rPr>
              <w:t>.</w:t>
            </w:r>
          </w:p>
        </w:tc>
        <w:tc>
          <w:tcPr>
            <w:tcW w:w="3261" w:type="dxa"/>
          </w:tcPr>
          <w:p w:rsidR="001A47C0" w:rsidRPr="001A47C0" w:rsidRDefault="00AE7399" w:rsidP="00195546">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Ņemts vērā</w:t>
            </w:r>
          </w:p>
        </w:tc>
        <w:tc>
          <w:tcPr>
            <w:tcW w:w="3260" w:type="dxa"/>
          </w:tcPr>
          <w:p w:rsidR="005024C9" w:rsidRPr="005024C9" w:rsidRDefault="00D6658A" w:rsidP="005024C9">
            <w:pPr>
              <w:spacing w:after="0" w:line="240" w:lineRule="auto"/>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10</w:t>
            </w:r>
            <w:r w:rsidR="005024C9" w:rsidRPr="005024C9">
              <w:rPr>
                <w:rFonts w:ascii="Times New Roman" w:eastAsia="Times New Roman" w:hAnsi="Times New Roman" w:cs="Times New Roman"/>
                <w:lang w:val="lv-LV" w:eastAsia="lv-LV"/>
              </w:rPr>
              <w:t xml:space="preserve">. Papildināt noteikumus ar 18.15 apakšpunktu šādā redakcijā: </w:t>
            </w:r>
          </w:p>
          <w:p w:rsidR="001A47C0" w:rsidRPr="00F20000" w:rsidRDefault="005024C9" w:rsidP="005024C9">
            <w:pPr>
              <w:spacing w:after="0" w:line="240" w:lineRule="auto"/>
              <w:rPr>
                <w:rFonts w:ascii="Times New Roman" w:eastAsia="Times New Roman" w:hAnsi="Times New Roman" w:cs="Times New Roman"/>
                <w:lang w:val="lv-LV" w:eastAsia="lv-LV"/>
              </w:rPr>
            </w:pPr>
            <w:r w:rsidRPr="005024C9">
              <w:rPr>
                <w:rFonts w:ascii="Times New Roman" w:eastAsia="Times New Roman" w:hAnsi="Times New Roman" w:cs="Times New Roman"/>
                <w:lang w:val="lv-LV" w:eastAsia="lv-LV"/>
              </w:rPr>
              <w:t>"18.15. Latvijas Jūras akadēmija</w:t>
            </w:r>
            <w:r>
              <w:rPr>
                <w:rFonts w:ascii="Times New Roman" w:eastAsia="Times New Roman" w:hAnsi="Times New Roman" w:cs="Times New Roman"/>
                <w:lang w:val="lv-LV" w:eastAsia="lv-LV"/>
              </w:rPr>
              <w:t>i</w:t>
            </w:r>
            <w:r w:rsidRPr="005024C9">
              <w:rPr>
                <w:rFonts w:ascii="Times New Roman" w:eastAsia="Times New Roman" w:hAnsi="Times New Roman" w:cs="Times New Roman"/>
                <w:lang w:val="lv-LV" w:eastAsia="lv-LV"/>
              </w:rPr>
              <w:t xml:space="preserve"> – 273 478 </w:t>
            </w:r>
            <w:proofErr w:type="spellStart"/>
            <w:r w:rsidRPr="003E6164">
              <w:rPr>
                <w:rFonts w:ascii="Times New Roman" w:eastAsia="Times New Roman" w:hAnsi="Times New Roman" w:cs="Times New Roman"/>
                <w:i/>
                <w:lang w:val="lv-LV" w:eastAsia="lv-LV"/>
              </w:rPr>
              <w:t>euro</w:t>
            </w:r>
            <w:proofErr w:type="spellEnd"/>
            <w:r w:rsidR="003E6164">
              <w:rPr>
                <w:rFonts w:ascii="Times New Roman" w:eastAsia="Times New Roman" w:hAnsi="Times New Roman" w:cs="Times New Roman"/>
                <w:lang w:val="lv-LV" w:eastAsia="lv-LV"/>
              </w:rPr>
              <w:t>."</w:t>
            </w:r>
          </w:p>
        </w:tc>
      </w:tr>
      <w:tr w:rsidR="001A47C0" w:rsidRPr="00F20000" w:rsidTr="003F4186">
        <w:trPr>
          <w:trHeight w:val="283"/>
        </w:trPr>
        <w:tc>
          <w:tcPr>
            <w:tcW w:w="964" w:type="dxa"/>
          </w:tcPr>
          <w:p w:rsidR="001A47C0" w:rsidRPr="00F20000" w:rsidRDefault="00571368" w:rsidP="009B56F3">
            <w:pPr>
              <w:spacing w:after="0" w:line="240" w:lineRule="auto"/>
              <w:jc w:val="center"/>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6</w:t>
            </w:r>
            <w:r w:rsidR="00292C6C">
              <w:rPr>
                <w:rFonts w:ascii="Times New Roman" w:eastAsia="Times New Roman" w:hAnsi="Times New Roman" w:cs="Times New Roman"/>
                <w:lang w:val="lv-LV" w:eastAsia="lv-LV"/>
              </w:rPr>
              <w:t>.</w:t>
            </w:r>
          </w:p>
        </w:tc>
        <w:tc>
          <w:tcPr>
            <w:tcW w:w="2575" w:type="dxa"/>
          </w:tcPr>
          <w:p w:rsidR="001A47C0" w:rsidRPr="00F20000" w:rsidRDefault="001A47C0" w:rsidP="009B56F3">
            <w:pPr>
              <w:spacing w:after="0" w:line="240" w:lineRule="auto"/>
              <w:ind w:firstLine="720"/>
              <w:jc w:val="center"/>
              <w:rPr>
                <w:rFonts w:ascii="Times New Roman" w:eastAsia="Times New Roman" w:hAnsi="Times New Roman" w:cs="Times New Roman"/>
                <w:lang w:val="lv-LV" w:eastAsia="lv-LV"/>
              </w:rPr>
            </w:pPr>
          </w:p>
        </w:tc>
        <w:tc>
          <w:tcPr>
            <w:tcW w:w="3827" w:type="dxa"/>
          </w:tcPr>
          <w:p w:rsidR="00A968C5" w:rsidRPr="00A968C5" w:rsidRDefault="00A968C5" w:rsidP="00F61621">
            <w:pPr>
              <w:spacing w:after="0" w:line="240" w:lineRule="auto"/>
              <w:jc w:val="both"/>
              <w:rPr>
                <w:rFonts w:ascii="Times New Roman" w:eastAsia="Times New Roman" w:hAnsi="Times New Roman" w:cs="Times New Roman"/>
                <w:b/>
                <w:lang w:val="lv-LV" w:eastAsia="lv-LV"/>
              </w:rPr>
            </w:pPr>
            <w:r w:rsidRPr="00A968C5">
              <w:rPr>
                <w:rFonts w:ascii="Times New Roman" w:eastAsia="Times New Roman" w:hAnsi="Times New Roman" w:cs="Times New Roman"/>
                <w:b/>
                <w:lang w:val="lv-LV" w:eastAsia="lv-LV"/>
              </w:rPr>
              <w:t xml:space="preserve">Finanšu ministrija </w:t>
            </w:r>
            <w:r w:rsidR="005C5CE1">
              <w:rPr>
                <w:rFonts w:ascii="Times New Roman" w:eastAsia="Times New Roman" w:hAnsi="Times New Roman" w:cs="Times New Roman"/>
                <w:b/>
                <w:lang w:val="lv-LV" w:eastAsia="lv-LV"/>
              </w:rPr>
              <w:t xml:space="preserve">un CFLA </w:t>
            </w:r>
            <w:r w:rsidRPr="00A968C5">
              <w:rPr>
                <w:rFonts w:ascii="Times New Roman" w:eastAsia="Times New Roman" w:hAnsi="Times New Roman" w:cs="Times New Roman"/>
                <w:b/>
                <w:lang w:val="lv-LV" w:eastAsia="lv-LV"/>
              </w:rPr>
              <w:t>(2.priekšlikums)</w:t>
            </w:r>
          </w:p>
          <w:p w:rsidR="001A47C0" w:rsidRPr="00A968C5" w:rsidRDefault="00A968C5" w:rsidP="00F61621">
            <w:pPr>
              <w:spacing w:after="0" w:line="240" w:lineRule="auto"/>
              <w:jc w:val="both"/>
              <w:rPr>
                <w:rFonts w:ascii="Times New Roman" w:eastAsia="Times New Roman" w:hAnsi="Times New Roman" w:cs="Times New Roman"/>
                <w:lang w:val="lv-LV" w:eastAsia="lv-LV"/>
              </w:rPr>
            </w:pPr>
            <w:r w:rsidRPr="00A968C5">
              <w:rPr>
                <w:rFonts w:ascii="Times New Roman" w:eastAsia="Times New Roman" w:hAnsi="Times New Roman" w:cs="Times New Roman"/>
                <w:lang w:val="lv-LV" w:eastAsia="lv-LV"/>
              </w:rPr>
              <w:t>Lūdzam izvērtēt iespēju papildināt MK noteikumu Nr.561 grozījumu projektu ar jaunu punktu, paredzot svītrot MK noteikumu Nr.561  19.punktu, ņemot vērā to, ka šobrīd projektiem aktuāls ir plānotais finansējums, kas norādīts MK noteikumu Nr.561 18.punktā. Vēršam uzmanību, ka MK noteikumu Nr.561 19.punkts varētu būt mulsinošs finansējuma saņēmējiem arī tāpēc, ka vairākos tā apakšpunktos projektu finansējums pārsniedz 18.punktā norādīto finansējumu</w:t>
            </w:r>
            <w:r>
              <w:rPr>
                <w:rFonts w:ascii="Times New Roman" w:eastAsia="Times New Roman" w:hAnsi="Times New Roman" w:cs="Times New Roman"/>
                <w:lang w:val="lv-LV" w:eastAsia="lv-LV"/>
              </w:rPr>
              <w:t>.</w:t>
            </w:r>
          </w:p>
        </w:tc>
        <w:tc>
          <w:tcPr>
            <w:tcW w:w="3261" w:type="dxa"/>
          </w:tcPr>
          <w:p w:rsidR="001A47C0" w:rsidRDefault="005024C9" w:rsidP="00195546">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Nav ņemts vērā</w:t>
            </w:r>
          </w:p>
          <w:p w:rsidR="00946F90" w:rsidRDefault="00946F90" w:rsidP="00195546">
            <w:pPr>
              <w:spacing w:after="0" w:line="240" w:lineRule="auto"/>
              <w:jc w:val="both"/>
              <w:rPr>
                <w:rFonts w:ascii="Times New Roman" w:eastAsia="Times New Roman" w:hAnsi="Times New Roman" w:cs="Times New Roman"/>
                <w:lang w:val="lv-LV" w:eastAsia="lv-LV"/>
              </w:rPr>
            </w:pPr>
            <w:r w:rsidRPr="00946F90">
              <w:rPr>
                <w:rFonts w:ascii="Times New Roman" w:eastAsia="Times New Roman" w:hAnsi="Times New Roman" w:cs="Times New Roman"/>
                <w:lang w:val="lv-LV" w:eastAsia="lv-LV"/>
              </w:rPr>
              <w:t>S</w:t>
            </w:r>
            <w:r w:rsidR="00F87858">
              <w:rPr>
                <w:rFonts w:ascii="Times New Roman" w:eastAsia="Times New Roman" w:hAnsi="Times New Roman" w:cs="Times New Roman"/>
                <w:lang w:val="lv-LV" w:eastAsia="lv-LV"/>
              </w:rPr>
              <w:t xml:space="preserve">kaidrojam, ka </w:t>
            </w:r>
            <w:r w:rsidR="00FB003C">
              <w:rPr>
                <w:rFonts w:ascii="Times New Roman" w:eastAsia="Times New Roman" w:hAnsi="Times New Roman" w:cs="Times New Roman"/>
                <w:lang w:val="lv-LV" w:eastAsia="lv-LV"/>
              </w:rPr>
              <w:t>19.punkts ir saistīts ar vairākiem citiem MK noteikumu punktiem (10., 14., 37), līdz ar to tā svītrošana radī</w:t>
            </w:r>
            <w:r w:rsidR="006135D3">
              <w:rPr>
                <w:rFonts w:ascii="Times New Roman" w:eastAsia="Times New Roman" w:hAnsi="Times New Roman" w:cs="Times New Roman"/>
                <w:lang w:val="lv-LV" w:eastAsia="lv-LV"/>
              </w:rPr>
              <w:t xml:space="preserve">tu </w:t>
            </w:r>
            <w:r w:rsidR="00FB003C">
              <w:rPr>
                <w:rFonts w:ascii="Times New Roman" w:eastAsia="Times New Roman" w:hAnsi="Times New Roman" w:cs="Times New Roman"/>
                <w:lang w:val="lv-LV" w:eastAsia="lv-LV"/>
              </w:rPr>
              <w:t>nepieciešamību veikt izmaiņas arī citos punktos, kas apgrūtinā</w:t>
            </w:r>
            <w:r w:rsidR="006135D3">
              <w:rPr>
                <w:rFonts w:ascii="Times New Roman" w:eastAsia="Times New Roman" w:hAnsi="Times New Roman" w:cs="Times New Roman"/>
                <w:lang w:val="lv-LV" w:eastAsia="lv-LV"/>
              </w:rPr>
              <w:t>tu</w:t>
            </w:r>
            <w:r w:rsidR="00FB003C">
              <w:rPr>
                <w:rFonts w:ascii="Times New Roman" w:eastAsia="Times New Roman" w:hAnsi="Times New Roman" w:cs="Times New Roman"/>
                <w:lang w:val="lv-LV" w:eastAsia="lv-LV"/>
              </w:rPr>
              <w:t xml:space="preserve"> šo noteikumu uztveri. 19.punkta svītrošana radītu </w:t>
            </w:r>
            <w:r>
              <w:rPr>
                <w:rFonts w:ascii="Times New Roman" w:eastAsia="Times New Roman" w:hAnsi="Times New Roman" w:cs="Times New Roman"/>
                <w:lang w:val="lv-LV" w:eastAsia="lv-LV"/>
              </w:rPr>
              <w:t xml:space="preserve">nepieciešamību </w:t>
            </w:r>
            <w:r w:rsidR="00FB003C">
              <w:rPr>
                <w:rFonts w:ascii="Times New Roman" w:eastAsia="Times New Roman" w:hAnsi="Times New Roman" w:cs="Times New Roman"/>
                <w:lang w:val="lv-LV" w:eastAsia="lv-LV"/>
              </w:rPr>
              <w:t>svītrot arī</w:t>
            </w:r>
            <w:r w:rsidR="00B312A1">
              <w:rPr>
                <w:rFonts w:ascii="Times New Roman" w:eastAsia="Times New Roman" w:hAnsi="Times New Roman" w:cs="Times New Roman"/>
                <w:lang w:val="lv-LV" w:eastAsia="lv-LV"/>
              </w:rPr>
              <w:t xml:space="preserve"> 14.punktu, kurā ir ietverts būtisks nosacījums.</w:t>
            </w:r>
            <w:r w:rsidR="000D3656">
              <w:rPr>
                <w:rFonts w:ascii="Times New Roman" w:eastAsia="Times New Roman" w:hAnsi="Times New Roman" w:cs="Times New Roman"/>
                <w:lang w:val="lv-LV" w:eastAsia="lv-LV"/>
              </w:rPr>
              <w:t xml:space="preserve"> Kaut arī 19.punkts šobrīd vairs nav aktuāls, tā </w:t>
            </w:r>
            <w:r w:rsidR="00F87858">
              <w:rPr>
                <w:rFonts w:ascii="Times New Roman" w:eastAsia="Times New Roman" w:hAnsi="Times New Roman" w:cs="Times New Roman"/>
                <w:lang w:val="lv-LV" w:eastAsia="lv-LV"/>
              </w:rPr>
              <w:t xml:space="preserve">svītrošana </w:t>
            </w:r>
            <w:r w:rsidR="000D3656">
              <w:rPr>
                <w:rFonts w:ascii="Times New Roman" w:eastAsia="Times New Roman" w:hAnsi="Times New Roman" w:cs="Times New Roman"/>
                <w:lang w:val="lv-LV" w:eastAsia="lv-LV"/>
              </w:rPr>
              <w:t>vairs nedotu iespēju novērtēt katra finansējuma saņēmēja rezerves finansējuma apjomu</w:t>
            </w:r>
            <w:r w:rsidR="00FB003C">
              <w:rPr>
                <w:rFonts w:ascii="Times New Roman" w:eastAsia="Times New Roman" w:hAnsi="Times New Roman" w:cs="Times New Roman"/>
                <w:lang w:val="lv-LV" w:eastAsia="lv-LV"/>
              </w:rPr>
              <w:t xml:space="preserve"> un radīt</w:t>
            </w:r>
            <w:r w:rsidR="006135D3">
              <w:rPr>
                <w:rFonts w:ascii="Times New Roman" w:eastAsia="Times New Roman" w:hAnsi="Times New Roman" w:cs="Times New Roman"/>
                <w:lang w:val="lv-LV" w:eastAsia="lv-LV"/>
              </w:rPr>
              <w:t>u</w:t>
            </w:r>
            <w:r w:rsidR="00FB003C">
              <w:rPr>
                <w:rFonts w:ascii="Times New Roman" w:eastAsia="Times New Roman" w:hAnsi="Times New Roman" w:cs="Times New Roman"/>
                <w:lang w:val="lv-LV" w:eastAsia="lv-LV"/>
              </w:rPr>
              <w:t xml:space="preserve"> </w:t>
            </w:r>
            <w:r w:rsidR="000D3656">
              <w:rPr>
                <w:rFonts w:ascii="Times New Roman" w:eastAsia="Times New Roman" w:hAnsi="Times New Roman" w:cs="Times New Roman"/>
                <w:lang w:val="lv-LV" w:eastAsia="lv-LV"/>
              </w:rPr>
              <w:t xml:space="preserve"> </w:t>
            </w:r>
            <w:r w:rsidR="00FB003C">
              <w:rPr>
                <w:rFonts w:ascii="Times New Roman" w:eastAsia="Times New Roman" w:hAnsi="Times New Roman" w:cs="Times New Roman"/>
                <w:lang w:val="lv-LV" w:eastAsia="lv-LV"/>
              </w:rPr>
              <w:t>neizpratni par to, kā tiek sadalīts pieejamais kopējais attiecināmais finansējums</w:t>
            </w:r>
            <w:r w:rsidR="000D3656">
              <w:rPr>
                <w:rFonts w:ascii="Times New Roman" w:eastAsia="Times New Roman" w:hAnsi="Times New Roman" w:cs="Times New Roman"/>
                <w:lang w:val="lv-LV" w:eastAsia="lv-LV"/>
              </w:rPr>
              <w:t>.</w:t>
            </w:r>
          </w:p>
          <w:p w:rsidR="00946F90" w:rsidRPr="00946F90" w:rsidRDefault="00946F90" w:rsidP="00B312A1">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Papildus skaidrojam, ka 19.punkts mulsinošs varētu būt tikai Latvijas Kultūras </w:t>
            </w:r>
            <w:r w:rsidR="00B312A1">
              <w:rPr>
                <w:rFonts w:ascii="Times New Roman" w:eastAsia="Times New Roman" w:hAnsi="Times New Roman" w:cs="Times New Roman"/>
                <w:lang w:val="lv-LV" w:eastAsia="lv-LV"/>
              </w:rPr>
              <w:t>a</w:t>
            </w:r>
            <w:r>
              <w:rPr>
                <w:rFonts w:ascii="Times New Roman" w:eastAsia="Times New Roman" w:hAnsi="Times New Roman" w:cs="Times New Roman"/>
                <w:lang w:val="lv-LV" w:eastAsia="lv-LV"/>
              </w:rPr>
              <w:t>kadēmijai, kuras projekts jau ir pabeigts.</w:t>
            </w:r>
          </w:p>
        </w:tc>
        <w:tc>
          <w:tcPr>
            <w:tcW w:w="3260" w:type="dxa"/>
          </w:tcPr>
          <w:p w:rsidR="001A47C0" w:rsidRPr="00F20000" w:rsidRDefault="001A47C0" w:rsidP="00946F90">
            <w:pPr>
              <w:spacing w:after="0" w:line="240" w:lineRule="auto"/>
              <w:jc w:val="both"/>
              <w:rPr>
                <w:rFonts w:ascii="Times New Roman" w:eastAsia="Times New Roman" w:hAnsi="Times New Roman" w:cs="Times New Roman"/>
                <w:lang w:val="lv-LV" w:eastAsia="lv-LV"/>
              </w:rPr>
            </w:pPr>
          </w:p>
        </w:tc>
      </w:tr>
      <w:tr w:rsidR="001A47C0" w:rsidRPr="00F20000" w:rsidTr="003F4186">
        <w:trPr>
          <w:trHeight w:val="283"/>
        </w:trPr>
        <w:tc>
          <w:tcPr>
            <w:tcW w:w="964" w:type="dxa"/>
          </w:tcPr>
          <w:p w:rsidR="001A47C0" w:rsidRPr="00F20000" w:rsidRDefault="00571368" w:rsidP="009B56F3">
            <w:pPr>
              <w:spacing w:after="0" w:line="240" w:lineRule="auto"/>
              <w:jc w:val="center"/>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7</w:t>
            </w:r>
            <w:r w:rsidR="00292C6C">
              <w:rPr>
                <w:rFonts w:ascii="Times New Roman" w:eastAsia="Times New Roman" w:hAnsi="Times New Roman" w:cs="Times New Roman"/>
                <w:lang w:val="lv-LV" w:eastAsia="lv-LV"/>
              </w:rPr>
              <w:t>.</w:t>
            </w:r>
          </w:p>
        </w:tc>
        <w:tc>
          <w:tcPr>
            <w:tcW w:w="2575" w:type="dxa"/>
          </w:tcPr>
          <w:p w:rsidR="001A47C0" w:rsidRPr="00F20000" w:rsidRDefault="001A47C0" w:rsidP="009B56F3">
            <w:pPr>
              <w:spacing w:after="0" w:line="240" w:lineRule="auto"/>
              <w:ind w:firstLine="720"/>
              <w:jc w:val="center"/>
              <w:rPr>
                <w:rFonts w:ascii="Times New Roman" w:eastAsia="Times New Roman" w:hAnsi="Times New Roman" w:cs="Times New Roman"/>
                <w:lang w:val="lv-LV" w:eastAsia="lv-LV"/>
              </w:rPr>
            </w:pPr>
          </w:p>
        </w:tc>
        <w:tc>
          <w:tcPr>
            <w:tcW w:w="3827" w:type="dxa"/>
          </w:tcPr>
          <w:p w:rsidR="00A968C5" w:rsidRPr="00A968C5" w:rsidRDefault="00A968C5" w:rsidP="00F61621">
            <w:pPr>
              <w:spacing w:after="0" w:line="240" w:lineRule="auto"/>
              <w:jc w:val="both"/>
              <w:rPr>
                <w:rFonts w:ascii="Times New Roman" w:eastAsia="Times New Roman" w:hAnsi="Times New Roman" w:cs="Times New Roman"/>
                <w:b/>
                <w:lang w:val="lv-LV" w:eastAsia="lv-LV"/>
              </w:rPr>
            </w:pPr>
            <w:r w:rsidRPr="00A968C5">
              <w:rPr>
                <w:rFonts w:ascii="Times New Roman" w:eastAsia="Times New Roman" w:hAnsi="Times New Roman" w:cs="Times New Roman"/>
                <w:b/>
                <w:lang w:val="lv-LV" w:eastAsia="lv-LV"/>
              </w:rPr>
              <w:t>Finanšu ministrija (3.priekšlikums)</w:t>
            </w:r>
          </w:p>
          <w:p w:rsidR="001A47C0" w:rsidRPr="00A968C5" w:rsidRDefault="00A968C5" w:rsidP="00F61621">
            <w:pPr>
              <w:spacing w:after="0" w:line="240" w:lineRule="auto"/>
              <w:jc w:val="both"/>
              <w:rPr>
                <w:rFonts w:ascii="Times New Roman" w:eastAsia="Times New Roman" w:hAnsi="Times New Roman" w:cs="Times New Roman"/>
                <w:lang w:val="lv-LV" w:eastAsia="lv-LV"/>
              </w:rPr>
            </w:pPr>
            <w:r w:rsidRPr="00A968C5">
              <w:rPr>
                <w:rFonts w:ascii="Times New Roman" w:eastAsia="Times New Roman" w:hAnsi="Times New Roman" w:cs="Times New Roman"/>
                <w:lang w:val="lv-LV" w:eastAsia="lv-LV"/>
              </w:rPr>
              <w:t xml:space="preserve">Lūdzam izvērtēt iespēju papildināt MK noteikumu Nr.533 grozījumu projektu ar jaunu punktu, paredzot svītrot MK noteikumu Nr.533  16.punktu, ņemot vērā, ka šobrīd projektiem ir aktuāls plānotais finansējums, kas ir norādīts MK noteikumu Nr.533 15.punktā. Vēršam uzmanību, ka MK noteikumu Nr.533 16.punkts varētu būt mulsinošs finansējuma saņēmējiem arī tāpēc, ka vairākos tā apakšpunktos projektu finansējums pārsniedz 15.punktā norādīto finansējumu.  </w:t>
            </w:r>
          </w:p>
        </w:tc>
        <w:tc>
          <w:tcPr>
            <w:tcW w:w="3261" w:type="dxa"/>
          </w:tcPr>
          <w:p w:rsidR="001A47C0" w:rsidRDefault="005024C9" w:rsidP="00195546">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Nav ņemts vērā</w:t>
            </w:r>
          </w:p>
          <w:p w:rsidR="000D3656" w:rsidRDefault="000D3656" w:rsidP="002D7296">
            <w:pPr>
              <w:spacing w:after="0" w:line="240" w:lineRule="auto"/>
              <w:jc w:val="both"/>
              <w:rPr>
                <w:rFonts w:ascii="Times New Roman" w:eastAsia="Times New Roman" w:hAnsi="Times New Roman" w:cs="Times New Roman"/>
                <w:b/>
                <w:lang w:val="lv-LV" w:eastAsia="lv-LV"/>
              </w:rPr>
            </w:pPr>
            <w:r w:rsidRPr="000D3656">
              <w:rPr>
                <w:rFonts w:ascii="Times New Roman" w:eastAsia="Times New Roman" w:hAnsi="Times New Roman" w:cs="Times New Roman"/>
                <w:lang w:val="lv-LV" w:eastAsia="lv-LV"/>
              </w:rPr>
              <w:t xml:space="preserve">Skaidrojam, ka </w:t>
            </w:r>
            <w:r w:rsidR="006135D3">
              <w:rPr>
                <w:rFonts w:ascii="Times New Roman" w:eastAsia="Times New Roman" w:hAnsi="Times New Roman" w:cs="Times New Roman"/>
                <w:lang w:val="lv-LV" w:eastAsia="lv-LV"/>
              </w:rPr>
              <w:t xml:space="preserve">16.punkts ir saistīts ar vairākiem citiem MK noteikumu punktiem (10., 14.), līdz ar to tā svītrošana </w:t>
            </w:r>
            <w:r w:rsidR="006135D3">
              <w:t xml:space="preserve"> </w:t>
            </w:r>
            <w:r w:rsidR="006135D3" w:rsidRPr="006135D3">
              <w:rPr>
                <w:rFonts w:ascii="Times New Roman" w:eastAsia="Times New Roman" w:hAnsi="Times New Roman" w:cs="Times New Roman"/>
                <w:lang w:val="lv-LV" w:eastAsia="lv-LV"/>
              </w:rPr>
              <w:t>radītu nepieciešamību veikt izmaiņas arī citos punktos, kas apgrūtinātu šo noteikumu uztveri</w:t>
            </w:r>
            <w:r w:rsidR="006135D3">
              <w:rPr>
                <w:rFonts w:ascii="Times New Roman" w:eastAsia="Times New Roman" w:hAnsi="Times New Roman" w:cs="Times New Roman"/>
                <w:lang w:val="lv-LV" w:eastAsia="lv-LV"/>
              </w:rPr>
              <w:t xml:space="preserve">. 16.punkta svītrošana radītu </w:t>
            </w:r>
            <w:r w:rsidR="006135D3" w:rsidRPr="006135D3">
              <w:rPr>
                <w:rFonts w:ascii="Times New Roman" w:eastAsia="Times New Roman" w:hAnsi="Times New Roman" w:cs="Times New Roman"/>
                <w:lang w:val="lv-LV" w:eastAsia="lv-LV"/>
              </w:rPr>
              <w:t xml:space="preserve"> </w:t>
            </w:r>
            <w:r w:rsidRPr="000D3656">
              <w:rPr>
                <w:rFonts w:ascii="Times New Roman" w:eastAsia="Times New Roman" w:hAnsi="Times New Roman" w:cs="Times New Roman"/>
                <w:lang w:val="lv-LV" w:eastAsia="lv-LV"/>
              </w:rPr>
              <w:t xml:space="preserve">nepieciešamību </w:t>
            </w:r>
            <w:r w:rsidR="002D7296">
              <w:rPr>
                <w:rFonts w:ascii="Times New Roman" w:eastAsia="Times New Roman" w:hAnsi="Times New Roman" w:cs="Times New Roman"/>
                <w:lang w:val="lv-LV" w:eastAsia="lv-LV"/>
              </w:rPr>
              <w:t>svītrot arī</w:t>
            </w:r>
            <w:r w:rsidRPr="000D3656">
              <w:rPr>
                <w:rFonts w:ascii="Times New Roman" w:eastAsia="Times New Roman" w:hAnsi="Times New Roman" w:cs="Times New Roman"/>
                <w:lang w:val="lv-LV" w:eastAsia="lv-LV"/>
              </w:rPr>
              <w:t xml:space="preserve"> </w:t>
            </w:r>
            <w:r w:rsidR="002D7296">
              <w:rPr>
                <w:rFonts w:ascii="Times New Roman" w:eastAsia="Times New Roman" w:hAnsi="Times New Roman" w:cs="Times New Roman"/>
                <w:lang w:val="lv-LV" w:eastAsia="lv-LV"/>
              </w:rPr>
              <w:t>14.</w:t>
            </w:r>
            <w:r w:rsidRPr="000D3656">
              <w:rPr>
                <w:rFonts w:ascii="Times New Roman" w:eastAsia="Times New Roman" w:hAnsi="Times New Roman" w:cs="Times New Roman"/>
                <w:lang w:val="lv-LV" w:eastAsia="lv-LV"/>
              </w:rPr>
              <w:t xml:space="preserve"> punktu</w:t>
            </w:r>
            <w:r w:rsidR="002D7296">
              <w:rPr>
                <w:rFonts w:ascii="Times New Roman" w:eastAsia="Times New Roman" w:hAnsi="Times New Roman" w:cs="Times New Roman"/>
                <w:lang w:val="lv-LV" w:eastAsia="lv-LV"/>
              </w:rPr>
              <w:t>, kurā ir ietverts būtisks nosacījums</w:t>
            </w:r>
            <w:r w:rsidRPr="000D3656">
              <w:rPr>
                <w:rFonts w:ascii="Times New Roman" w:eastAsia="Times New Roman" w:hAnsi="Times New Roman" w:cs="Times New Roman"/>
                <w:lang w:val="lv-LV" w:eastAsia="lv-LV"/>
              </w:rPr>
              <w:t>. Kaut arī 1</w:t>
            </w:r>
            <w:r w:rsidR="002D7296">
              <w:rPr>
                <w:rFonts w:ascii="Times New Roman" w:eastAsia="Times New Roman" w:hAnsi="Times New Roman" w:cs="Times New Roman"/>
                <w:lang w:val="lv-LV" w:eastAsia="lv-LV"/>
              </w:rPr>
              <w:t>6</w:t>
            </w:r>
            <w:r w:rsidRPr="000D3656">
              <w:rPr>
                <w:rFonts w:ascii="Times New Roman" w:eastAsia="Times New Roman" w:hAnsi="Times New Roman" w:cs="Times New Roman"/>
                <w:lang w:val="lv-LV" w:eastAsia="lv-LV"/>
              </w:rPr>
              <w:t>.punkts šobrīd vairs nav aktuāls,</w:t>
            </w:r>
            <w:r w:rsidR="006135D3">
              <w:rPr>
                <w:rFonts w:ascii="Times New Roman" w:eastAsia="Times New Roman" w:hAnsi="Times New Roman" w:cs="Times New Roman"/>
                <w:lang w:val="lv-LV" w:eastAsia="lv-LV"/>
              </w:rPr>
              <w:t xml:space="preserve"> </w:t>
            </w:r>
            <w:r w:rsidR="006135D3" w:rsidRPr="006135D3">
              <w:rPr>
                <w:rFonts w:ascii="Times New Roman" w:eastAsia="Times New Roman" w:hAnsi="Times New Roman" w:cs="Times New Roman"/>
                <w:lang w:val="lv-LV" w:eastAsia="lv-LV"/>
              </w:rPr>
              <w:t>tā svītrošana vairs nedotu iespēju novērtēt katra finansējuma saņēm</w:t>
            </w:r>
            <w:r w:rsidR="00B245BD">
              <w:rPr>
                <w:rFonts w:ascii="Times New Roman" w:eastAsia="Times New Roman" w:hAnsi="Times New Roman" w:cs="Times New Roman"/>
                <w:lang w:val="lv-LV" w:eastAsia="lv-LV"/>
              </w:rPr>
              <w:t>ēja rezerves finansējuma apjomu</w:t>
            </w:r>
            <w:r w:rsidR="006135D3" w:rsidRPr="006135D3">
              <w:rPr>
                <w:rFonts w:ascii="Times New Roman" w:eastAsia="Times New Roman" w:hAnsi="Times New Roman" w:cs="Times New Roman"/>
                <w:lang w:val="lv-LV" w:eastAsia="lv-LV"/>
              </w:rPr>
              <w:t xml:space="preserve"> un radīt</w:t>
            </w:r>
            <w:r w:rsidR="006135D3">
              <w:rPr>
                <w:rFonts w:ascii="Times New Roman" w:eastAsia="Times New Roman" w:hAnsi="Times New Roman" w:cs="Times New Roman"/>
                <w:lang w:val="lv-LV" w:eastAsia="lv-LV"/>
              </w:rPr>
              <w:t>u</w:t>
            </w:r>
            <w:r w:rsidR="006135D3" w:rsidRPr="006135D3">
              <w:rPr>
                <w:rFonts w:ascii="Times New Roman" w:eastAsia="Times New Roman" w:hAnsi="Times New Roman" w:cs="Times New Roman"/>
                <w:lang w:val="lv-LV" w:eastAsia="lv-LV"/>
              </w:rPr>
              <w:t xml:space="preserve">  neizpratni par to, kā tiek sadalīts pieejamais kopējais attiecināmais finansējums</w:t>
            </w:r>
            <w:r w:rsidRPr="000D3656">
              <w:rPr>
                <w:rFonts w:ascii="Times New Roman" w:eastAsia="Times New Roman" w:hAnsi="Times New Roman" w:cs="Times New Roman"/>
                <w:b/>
                <w:lang w:val="lv-LV" w:eastAsia="lv-LV"/>
              </w:rPr>
              <w:t>.</w:t>
            </w:r>
            <w:r w:rsidR="002D7296">
              <w:rPr>
                <w:rFonts w:ascii="Times New Roman" w:eastAsia="Times New Roman" w:hAnsi="Times New Roman" w:cs="Times New Roman"/>
                <w:b/>
                <w:lang w:val="lv-LV" w:eastAsia="lv-LV"/>
              </w:rPr>
              <w:t xml:space="preserve"> </w:t>
            </w:r>
          </w:p>
          <w:p w:rsidR="002D7296" w:rsidRPr="002D7296" w:rsidRDefault="002D7296" w:rsidP="002D7296">
            <w:pPr>
              <w:spacing w:after="0" w:line="240" w:lineRule="auto"/>
              <w:jc w:val="both"/>
              <w:rPr>
                <w:rFonts w:ascii="Times New Roman" w:eastAsia="Times New Roman" w:hAnsi="Times New Roman" w:cs="Times New Roman"/>
                <w:lang w:val="lv-LV" w:eastAsia="lv-LV"/>
              </w:rPr>
            </w:pPr>
            <w:r w:rsidRPr="002D7296">
              <w:rPr>
                <w:rFonts w:ascii="Times New Roman" w:eastAsia="Times New Roman" w:hAnsi="Times New Roman" w:cs="Times New Roman"/>
                <w:lang w:val="lv-LV" w:eastAsia="lv-LV"/>
              </w:rPr>
              <w:t xml:space="preserve">Papildus skaidrojam, ka </w:t>
            </w:r>
            <w:r>
              <w:rPr>
                <w:rFonts w:ascii="Times New Roman" w:eastAsia="Times New Roman" w:hAnsi="Times New Roman" w:cs="Times New Roman"/>
                <w:lang w:val="lv-LV" w:eastAsia="lv-LV"/>
              </w:rPr>
              <w:t>16</w:t>
            </w:r>
            <w:r w:rsidRPr="002D7296">
              <w:rPr>
                <w:rFonts w:ascii="Times New Roman" w:eastAsia="Times New Roman" w:hAnsi="Times New Roman" w:cs="Times New Roman"/>
                <w:lang w:val="lv-LV" w:eastAsia="lv-LV"/>
              </w:rPr>
              <w:t xml:space="preserve">.punkts mulsinošs varētu būt tikai </w:t>
            </w:r>
            <w:r>
              <w:rPr>
                <w:rFonts w:ascii="Times New Roman" w:eastAsia="Times New Roman" w:hAnsi="Times New Roman" w:cs="Times New Roman"/>
                <w:lang w:val="lv-LV" w:eastAsia="lv-LV"/>
              </w:rPr>
              <w:t xml:space="preserve">tiem finansējuma saņēmējiem, </w:t>
            </w:r>
            <w:r w:rsidRPr="002D7296">
              <w:rPr>
                <w:rFonts w:ascii="Times New Roman" w:eastAsia="Times New Roman" w:hAnsi="Times New Roman" w:cs="Times New Roman"/>
                <w:lang w:val="lv-LV" w:eastAsia="lv-LV"/>
              </w:rPr>
              <w:t>kur</w:t>
            </w:r>
            <w:r>
              <w:rPr>
                <w:rFonts w:ascii="Times New Roman" w:eastAsia="Times New Roman" w:hAnsi="Times New Roman" w:cs="Times New Roman"/>
                <w:lang w:val="lv-LV" w:eastAsia="lv-LV"/>
              </w:rPr>
              <w:t>u</w:t>
            </w:r>
            <w:r w:rsidRPr="002D7296">
              <w:rPr>
                <w:rFonts w:ascii="Times New Roman" w:eastAsia="Times New Roman" w:hAnsi="Times New Roman" w:cs="Times New Roman"/>
                <w:lang w:val="lv-LV" w:eastAsia="lv-LV"/>
              </w:rPr>
              <w:t xml:space="preserve"> projekt</w:t>
            </w:r>
            <w:r>
              <w:rPr>
                <w:rFonts w:ascii="Times New Roman" w:eastAsia="Times New Roman" w:hAnsi="Times New Roman" w:cs="Times New Roman"/>
                <w:lang w:val="lv-LV" w:eastAsia="lv-LV"/>
              </w:rPr>
              <w:t>i</w:t>
            </w:r>
            <w:r w:rsidRPr="002D7296">
              <w:rPr>
                <w:rFonts w:ascii="Times New Roman" w:eastAsia="Times New Roman" w:hAnsi="Times New Roman" w:cs="Times New Roman"/>
                <w:lang w:val="lv-LV" w:eastAsia="lv-LV"/>
              </w:rPr>
              <w:t xml:space="preserve"> jau ir pabeigt</w:t>
            </w:r>
            <w:r>
              <w:rPr>
                <w:rFonts w:ascii="Times New Roman" w:eastAsia="Times New Roman" w:hAnsi="Times New Roman" w:cs="Times New Roman"/>
                <w:lang w:val="lv-LV" w:eastAsia="lv-LV"/>
              </w:rPr>
              <w:t>i</w:t>
            </w:r>
            <w:r w:rsidRPr="002D7296">
              <w:rPr>
                <w:rFonts w:ascii="Times New Roman" w:eastAsia="Times New Roman" w:hAnsi="Times New Roman" w:cs="Times New Roman"/>
                <w:lang w:val="lv-LV" w:eastAsia="lv-LV"/>
              </w:rPr>
              <w:t>.</w:t>
            </w:r>
          </w:p>
        </w:tc>
        <w:tc>
          <w:tcPr>
            <w:tcW w:w="3260" w:type="dxa"/>
          </w:tcPr>
          <w:p w:rsidR="001A47C0" w:rsidRPr="00F20000" w:rsidRDefault="001A47C0" w:rsidP="009B56F3">
            <w:pPr>
              <w:spacing w:after="0" w:line="240" w:lineRule="auto"/>
              <w:jc w:val="center"/>
              <w:rPr>
                <w:rFonts w:ascii="Times New Roman" w:eastAsia="Times New Roman" w:hAnsi="Times New Roman" w:cs="Times New Roman"/>
                <w:lang w:val="lv-LV" w:eastAsia="lv-LV"/>
              </w:rPr>
            </w:pPr>
          </w:p>
        </w:tc>
      </w:tr>
      <w:tr w:rsidR="001A47C0" w:rsidRPr="00F20000" w:rsidTr="003F4186">
        <w:trPr>
          <w:trHeight w:val="283"/>
        </w:trPr>
        <w:tc>
          <w:tcPr>
            <w:tcW w:w="964" w:type="dxa"/>
          </w:tcPr>
          <w:p w:rsidR="001A47C0" w:rsidRPr="00F20000" w:rsidRDefault="00571368" w:rsidP="009B56F3">
            <w:pPr>
              <w:spacing w:after="0" w:line="240" w:lineRule="auto"/>
              <w:jc w:val="center"/>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8</w:t>
            </w:r>
            <w:r w:rsidR="00292C6C">
              <w:rPr>
                <w:rFonts w:ascii="Times New Roman" w:eastAsia="Times New Roman" w:hAnsi="Times New Roman" w:cs="Times New Roman"/>
                <w:lang w:val="lv-LV" w:eastAsia="lv-LV"/>
              </w:rPr>
              <w:t>.</w:t>
            </w:r>
          </w:p>
        </w:tc>
        <w:tc>
          <w:tcPr>
            <w:tcW w:w="2575" w:type="dxa"/>
          </w:tcPr>
          <w:p w:rsidR="001A47C0" w:rsidRPr="00F20000" w:rsidRDefault="001A47C0" w:rsidP="009B56F3">
            <w:pPr>
              <w:spacing w:after="0" w:line="240" w:lineRule="auto"/>
              <w:ind w:firstLine="720"/>
              <w:jc w:val="center"/>
              <w:rPr>
                <w:rFonts w:ascii="Times New Roman" w:eastAsia="Times New Roman" w:hAnsi="Times New Roman" w:cs="Times New Roman"/>
                <w:lang w:val="lv-LV" w:eastAsia="lv-LV"/>
              </w:rPr>
            </w:pPr>
          </w:p>
        </w:tc>
        <w:tc>
          <w:tcPr>
            <w:tcW w:w="3827" w:type="dxa"/>
          </w:tcPr>
          <w:p w:rsidR="00A968C5" w:rsidRPr="00A968C5" w:rsidRDefault="00A968C5" w:rsidP="00F61621">
            <w:pPr>
              <w:spacing w:after="0" w:line="240" w:lineRule="auto"/>
              <w:jc w:val="both"/>
              <w:rPr>
                <w:rFonts w:ascii="Times New Roman" w:eastAsia="Times New Roman" w:hAnsi="Times New Roman" w:cs="Times New Roman"/>
                <w:b/>
                <w:lang w:val="lv-LV" w:eastAsia="lv-LV"/>
              </w:rPr>
            </w:pPr>
            <w:r w:rsidRPr="00A968C5">
              <w:rPr>
                <w:rFonts w:ascii="Times New Roman" w:eastAsia="Times New Roman" w:hAnsi="Times New Roman" w:cs="Times New Roman"/>
                <w:b/>
                <w:lang w:val="lv-LV" w:eastAsia="lv-LV"/>
              </w:rPr>
              <w:t xml:space="preserve">Finanšu ministrija </w:t>
            </w:r>
            <w:r w:rsidR="005C5CE1">
              <w:rPr>
                <w:rFonts w:ascii="Times New Roman" w:eastAsia="Times New Roman" w:hAnsi="Times New Roman" w:cs="Times New Roman"/>
                <w:b/>
                <w:lang w:val="lv-LV" w:eastAsia="lv-LV"/>
              </w:rPr>
              <w:t xml:space="preserve">un CFLA </w:t>
            </w:r>
            <w:r w:rsidRPr="00A968C5">
              <w:rPr>
                <w:rFonts w:ascii="Times New Roman" w:eastAsia="Times New Roman" w:hAnsi="Times New Roman" w:cs="Times New Roman"/>
                <w:b/>
                <w:lang w:val="lv-LV" w:eastAsia="lv-LV"/>
              </w:rPr>
              <w:t>(4.priekšlikums)</w:t>
            </w:r>
          </w:p>
          <w:p w:rsidR="001A47C0" w:rsidRPr="00A968C5" w:rsidRDefault="00A968C5" w:rsidP="00F61621">
            <w:pPr>
              <w:spacing w:after="0" w:line="240" w:lineRule="auto"/>
              <w:jc w:val="both"/>
              <w:rPr>
                <w:rFonts w:ascii="Times New Roman" w:eastAsia="Times New Roman" w:hAnsi="Times New Roman" w:cs="Times New Roman"/>
                <w:lang w:val="lv-LV" w:eastAsia="lv-LV"/>
              </w:rPr>
            </w:pPr>
            <w:r w:rsidRPr="00A968C5">
              <w:rPr>
                <w:rFonts w:ascii="Times New Roman" w:eastAsia="Times New Roman" w:hAnsi="Times New Roman" w:cs="Times New Roman"/>
                <w:lang w:val="lv-LV" w:eastAsia="lv-LV"/>
              </w:rPr>
              <w:t>Aicinām izvērtēt nepieciešamību papildināt MK noteikumu Nr.561 grozījumu projektu ar jaunu punktu, nosakot, ka Latvijas Jūras akadēmijas projekts tiek īstenots 8.1.1.SAM otrās projektu iesniegumu atlases kārtas ietvaros, ņemot vērā, ka 8.1.1.SAM projektu iesniegumu atlase ir noslēgusies 2018.gada sākumā, bet spēkā esošie MK noteikumi Nr.561 neparedz atlases īstenošanu kārtās.</w:t>
            </w:r>
          </w:p>
        </w:tc>
        <w:tc>
          <w:tcPr>
            <w:tcW w:w="3261" w:type="dxa"/>
          </w:tcPr>
          <w:p w:rsidR="001A47C0" w:rsidRDefault="005024C9" w:rsidP="00195546">
            <w:pPr>
              <w:spacing w:after="0" w:line="240" w:lineRule="auto"/>
              <w:jc w:val="both"/>
              <w:rPr>
                <w:rFonts w:ascii="Times New Roman" w:eastAsia="Times New Roman" w:hAnsi="Times New Roman" w:cs="Times New Roman"/>
                <w:b/>
                <w:lang w:val="lv-LV" w:eastAsia="lv-LV"/>
              </w:rPr>
            </w:pPr>
            <w:r w:rsidRPr="004960BE">
              <w:rPr>
                <w:rFonts w:ascii="Times New Roman" w:eastAsia="Times New Roman" w:hAnsi="Times New Roman" w:cs="Times New Roman"/>
                <w:b/>
                <w:lang w:val="lv-LV" w:eastAsia="lv-LV"/>
              </w:rPr>
              <w:t>Nav ņemts vērā</w:t>
            </w:r>
          </w:p>
          <w:p w:rsidR="00DF5347" w:rsidRPr="00DF5347" w:rsidRDefault="00DF5347" w:rsidP="00C64EC1">
            <w:pPr>
              <w:spacing w:after="0" w:line="240" w:lineRule="auto"/>
              <w:jc w:val="both"/>
              <w:rPr>
                <w:rFonts w:ascii="Times New Roman" w:eastAsia="Times New Roman" w:hAnsi="Times New Roman" w:cs="Times New Roman"/>
                <w:lang w:val="lv-LV" w:eastAsia="lv-LV"/>
              </w:rPr>
            </w:pPr>
            <w:r w:rsidRPr="00DF5347">
              <w:rPr>
                <w:rFonts w:ascii="Times New Roman" w:eastAsia="Times New Roman" w:hAnsi="Times New Roman" w:cs="Times New Roman"/>
                <w:lang w:val="lv-LV" w:eastAsia="lv-LV"/>
              </w:rPr>
              <w:t xml:space="preserve">Skaidrojam, ka </w:t>
            </w:r>
            <w:r>
              <w:rPr>
                <w:rFonts w:ascii="Times New Roman" w:eastAsia="Times New Roman" w:hAnsi="Times New Roman" w:cs="Times New Roman"/>
                <w:lang w:val="lv-LV" w:eastAsia="lv-LV"/>
              </w:rPr>
              <w:t>atsevišķas kārtas izsludināšana radītu nesamērīgu administratīvo slogu salīdzinājumā ar projekta finansējumu</w:t>
            </w:r>
            <w:r w:rsidR="000B0671">
              <w:rPr>
                <w:rFonts w:ascii="Times New Roman" w:eastAsia="Times New Roman" w:hAnsi="Times New Roman" w:cs="Times New Roman"/>
                <w:lang w:val="lv-LV" w:eastAsia="lv-LV"/>
              </w:rPr>
              <w:t xml:space="preserve"> (273 478 </w:t>
            </w:r>
            <w:proofErr w:type="spellStart"/>
            <w:r w:rsidR="000B0671" w:rsidRPr="000B0671">
              <w:rPr>
                <w:rFonts w:ascii="Times New Roman" w:eastAsia="Times New Roman" w:hAnsi="Times New Roman" w:cs="Times New Roman"/>
                <w:i/>
                <w:lang w:val="lv-LV" w:eastAsia="lv-LV"/>
              </w:rPr>
              <w:t>euro</w:t>
            </w:r>
            <w:proofErr w:type="spellEnd"/>
            <w:r w:rsidR="000B0671">
              <w:rPr>
                <w:rFonts w:ascii="Times New Roman" w:eastAsia="Times New Roman" w:hAnsi="Times New Roman" w:cs="Times New Roman"/>
                <w:lang w:val="lv-LV" w:eastAsia="lv-LV"/>
              </w:rPr>
              <w:t>)</w:t>
            </w:r>
            <w:r>
              <w:rPr>
                <w:rFonts w:ascii="Times New Roman" w:eastAsia="Times New Roman" w:hAnsi="Times New Roman" w:cs="Times New Roman"/>
                <w:lang w:val="lv-LV" w:eastAsia="lv-LV"/>
              </w:rPr>
              <w:t>. Tā kā Latvijas Jūras akadēmijas projekts tiks īstenots pēc jau esošajiem nosacījumiem, nebūtu lietderīgi izstrādāt jaunus, bet pēc būtības identiskus dokumentus</w:t>
            </w:r>
            <w:r w:rsidR="00CC787B">
              <w:rPr>
                <w:rFonts w:ascii="Times New Roman" w:eastAsia="Times New Roman" w:hAnsi="Times New Roman" w:cs="Times New Roman"/>
                <w:lang w:val="lv-LV" w:eastAsia="lv-LV"/>
              </w:rPr>
              <w:t xml:space="preserve"> (atlases nolikums, projekta iesnieguma vērtēšanas kritēriji</w:t>
            </w:r>
            <w:r w:rsidR="000B0671">
              <w:rPr>
                <w:rFonts w:ascii="Times New Roman" w:eastAsia="Times New Roman" w:hAnsi="Times New Roman" w:cs="Times New Roman"/>
                <w:lang w:val="lv-LV" w:eastAsia="lv-LV"/>
              </w:rPr>
              <w:t>, u.c.</w:t>
            </w:r>
            <w:r w:rsidR="00CC787B">
              <w:rPr>
                <w:rFonts w:ascii="Times New Roman" w:eastAsia="Times New Roman" w:hAnsi="Times New Roman" w:cs="Times New Roman"/>
                <w:lang w:val="lv-LV" w:eastAsia="lv-LV"/>
              </w:rPr>
              <w:t xml:space="preserve">) </w:t>
            </w:r>
            <w:r>
              <w:rPr>
                <w:rFonts w:ascii="Times New Roman" w:eastAsia="Times New Roman" w:hAnsi="Times New Roman" w:cs="Times New Roman"/>
                <w:lang w:val="lv-LV" w:eastAsia="lv-LV"/>
              </w:rPr>
              <w:t xml:space="preserve"> jau esošajiem</w:t>
            </w:r>
            <w:r w:rsidR="00CC787B">
              <w:rPr>
                <w:rFonts w:ascii="Times New Roman" w:eastAsia="Times New Roman" w:hAnsi="Times New Roman" w:cs="Times New Roman"/>
                <w:lang w:val="lv-LV" w:eastAsia="lv-LV"/>
              </w:rPr>
              <w:t xml:space="preserve">. Rosinām veikt grozījumus esošajā Projektu iesniegumu atlases nolikumā, paredzot jaunu uzsaukumu, līdzīgi, kā tas jau veikts, piemēram, 5.6.2. SAM </w:t>
            </w:r>
            <w:r w:rsidR="00ED6573">
              <w:rPr>
                <w:rFonts w:ascii="Times New Roman" w:eastAsia="Times New Roman" w:hAnsi="Times New Roman" w:cs="Times New Roman"/>
                <w:lang w:val="lv-LV" w:eastAsia="lv-LV"/>
              </w:rPr>
              <w:t xml:space="preserve">„Teritoriju </w:t>
            </w:r>
            <w:proofErr w:type="spellStart"/>
            <w:r w:rsidR="00ED6573">
              <w:rPr>
                <w:rFonts w:ascii="Times New Roman" w:eastAsia="Times New Roman" w:hAnsi="Times New Roman" w:cs="Times New Roman"/>
                <w:lang w:val="lv-LV" w:eastAsia="lv-LV"/>
              </w:rPr>
              <w:t>revitalizācija</w:t>
            </w:r>
            <w:proofErr w:type="spellEnd"/>
            <w:r w:rsidR="00ED6573">
              <w:rPr>
                <w:rFonts w:ascii="Times New Roman" w:eastAsia="Times New Roman" w:hAnsi="Times New Roman" w:cs="Times New Roman"/>
                <w:lang w:val="lv-LV" w:eastAsia="lv-LV"/>
              </w:rPr>
              <w:t xml:space="preserve">, reģenerējot degradētās teritorijas atbilstoši pašvaldību integrētajām attīstības programmām” 2. un 3. kārtas </w:t>
            </w:r>
            <w:r w:rsidR="00CC787B">
              <w:rPr>
                <w:rFonts w:ascii="Times New Roman" w:eastAsia="Times New Roman" w:hAnsi="Times New Roman" w:cs="Times New Roman"/>
                <w:lang w:val="lv-LV" w:eastAsia="lv-LV"/>
              </w:rPr>
              <w:t>ietvaros.</w:t>
            </w:r>
          </w:p>
        </w:tc>
        <w:tc>
          <w:tcPr>
            <w:tcW w:w="3260" w:type="dxa"/>
          </w:tcPr>
          <w:p w:rsidR="001A47C0" w:rsidRPr="00F20000" w:rsidRDefault="001A47C0" w:rsidP="009B56F3">
            <w:pPr>
              <w:spacing w:after="0" w:line="240" w:lineRule="auto"/>
              <w:jc w:val="center"/>
              <w:rPr>
                <w:rFonts w:ascii="Times New Roman" w:eastAsia="Times New Roman" w:hAnsi="Times New Roman" w:cs="Times New Roman"/>
                <w:lang w:val="lv-LV" w:eastAsia="lv-LV"/>
              </w:rPr>
            </w:pPr>
          </w:p>
        </w:tc>
      </w:tr>
      <w:tr w:rsidR="001A47C0" w:rsidRPr="00F20000" w:rsidTr="003F4186">
        <w:trPr>
          <w:trHeight w:val="283"/>
        </w:trPr>
        <w:tc>
          <w:tcPr>
            <w:tcW w:w="964" w:type="dxa"/>
          </w:tcPr>
          <w:p w:rsidR="001A47C0" w:rsidRPr="00F20000" w:rsidRDefault="00571368" w:rsidP="009B56F3">
            <w:pPr>
              <w:spacing w:after="0" w:line="240" w:lineRule="auto"/>
              <w:jc w:val="center"/>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9</w:t>
            </w:r>
            <w:r w:rsidR="00292C6C">
              <w:rPr>
                <w:rFonts w:ascii="Times New Roman" w:eastAsia="Times New Roman" w:hAnsi="Times New Roman" w:cs="Times New Roman"/>
                <w:lang w:val="lv-LV" w:eastAsia="lv-LV"/>
              </w:rPr>
              <w:t>.</w:t>
            </w:r>
          </w:p>
        </w:tc>
        <w:tc>
          <w:tcPr>
            <w:tcW w:w="2575" w:type="dxa"/>
          </w:tcPr>
          <w:p w:rsidR="001A47C0" w:rsidRPr="00F20000" w:rsidRDefault="001A47C0" w:rsidP="009B56F3">
            <w:pPr>
              <w:spacing w:after="0" w:line="240" w:lineRule="auto"/>
              <w:ind w:firstLine="720"/>
              <w:jc w:val="center"/>
              <w:rPr>
                <w:rFonts w:ascii="Times New Roman" w:eastAsia="Times New Roman" w:hAnsi="Times New Roman" w:cs="Times New Roman"/>
                <w:lang w:val="lv-LV" w:eastAsia="lv-LV"/>
              </w:rPr>
            </w:pPr>
          </w:p>
        </w:tc>
        <w:tc>
          <w:tcPr>
            <w:tcW w:w="3827" w:type="dxa"/>
          </w:tcPr>
          <w:p w:rsidR="00A968C5" w:rsidRPr="00A968C5" w:rsidRDefault="00A968C5" w:rsidP="00F61621">
            <w:pPr>
              <w:spacing w:after="0" w:line="240" w:lineRule="auto"/>
              <w:jc w:val="both"/>
              <w:rPr>
                <w:rFonts w:ascii="Times New Roman" w:eastAsia="Times New Roman" w:hAnsi="Times New Roman" w:cs="Times New Roman"/>
                <w:b/>
                <w:lang w:val="lv-LV" w:eastAsia="lv-LV"/>
              </w:rPr>
            </w:pPr>
            <w:r w:rsidRPr="00A968C5">
              <w:rPr>
                <w:rFonts w:ascii="Times New Roman" w:eastAsia="Times New Roman" w:hAnsi="Times New Roman" w:cs="Times New Roman"/>
                <w:b/>
                <w:lang w:val="lv-LV" w:eastAsia="lv-LV"/>
              </w:rPr>
              <w:t xml:space="preserve">Finanšu ministrija </w:t>
            </w:r>
            <w:r w:rsidR="005C5CE1">
              <w:rPr>
                <w:rFonts w:ascii="Times New Roman" w:eastAsia="Times New Roman" w:hAnsi="Times New Roman" w:cs="Times New Roman"/>
                <w:b/>
                <w:lang w:val="lv-LV" w:eastAsia="lv-LV"/>
              </w:rPr>
              <w:t xml:space="preserve">un CFLA </w:t>
            </w:r>
            <w:r w:rsidRPr="00A968C5">
              <w:rPr>
                <w:rFonts w:ascii="Times New Roman" w:eastAsia="Times New Roman" w:hAnsi="Times New Roman" w:cs="Times New Roman"/>
                <w:b/>
                <w:lang w:val="lv-LV" w:eastAsia="lv-LV"/>
              </w:rPr>
              <w:t>(5.priekšlikums)</w:t>
            </w:r>
          </w:p>
          <w:p w:rsidR="00BC2519" w:rsidRPr="00A968C5" w:rsidRDefault="00A968C5" w:rsidP="00F61621">
            <w:pPr>
              <w:spacing w:after="0" w:line="240" w:lineRule="auto"/>
              <w:jc w:val="both"/>
              <w:rPr>
                <w:rFonts w:ascii="Times New Roman" w:eastAsia="Times New Roman" w:hAnsi="Times New Roman" w:cs="Times New Roman"/>
                <w:lang w:val="lv-LV" w:eastAsia="lv-LV"/>
              </w:rPr>
            </w:pPr>
            <w:r w:rsidRPr="00A968C5">
              <w:rPr>
                <w:rFonts w:ascii="Times New Roman" w:eastAsia="Times New Roman" w:hAnsi="Times New Roman" w:cs="Times New Roman"/>
                <w:lang w:val="lv-LV" w:eastAsia="lv-LV"/>
              </w:rPr>
              <w:t>Aicinām izvērtēt nepieciešamību papildināt MK noteikumu Nr.561 grozījumu projektu ar jaunu punktu, paredzot izņēmumu attiecībā</w:t>
            </w:r>
            <w:r w:rsidR="007F42E5">
              <w:rPr>
                <w:rFonts w:ascii="Times New Roman" w:eastAsia="Times New Roman" w:hAnsi="Times New Roman" w:cs="Times New Roman"/>
                <w:lang w:val="lv-LV" w:eastAsia="lv-LV"/>
              </w:rPr>
              <w:t xml:space="preserve"> uz</w:t>
            </w:r>
            <w:r w:rsidRPr="00A968C5">
              <w:rPr>
                <w:rFonts w:ascii="Times New Roman" w:eastAsia="Times New Roman" w:hAnsi="Times New Roman" w:cs="Times New Roman"/>
                <w:lang w:val="lv-LV" w:eastAsia="lv-LV"/>
              </w:rPr>
              <w:t xml:space="preserve"> MK noteikumu Nr.561 34.punkta piemērošanu Latvijas Jūras akadēmijas projektam izstrādāt izmaksu ieguvumu analīzi (turpmāk – IIA). Vēršam uzmanību, ka plānotais projekta apjoms ir būtiski mazāks nekā pārējie projekti 8.1.1.SAM ietvaros, turklāt projekta apjoms 273 478 </w:t>
            </w:r>
            <w:proofErr w:type="spellStart"/>
            <w:r w:rsidRPr="00B30DDE">
              <w:rPr>
                <w:rFonts w:ascii="Times New Roman" w:eastAsia="Times New Roman" w:hAnsi="Times New Roman" w:cs="Times New Roman"/>
                <w:i/>
                <w:lang w:val="lv-LV" w:eastAsia="lv-LV"/>
              </w:rPr>
              <w:t>euro</w:t>
            </w:r>
            <w:proofErr w:type="spellEnd"/>
            <w:r w:rsidRPr="00A968C5">
              <w:rPr>
                <w:rFonts w:ascii="Times New Roman" w:eastAsia="Times New Roman" w:hAnsi="Times New Roman" w:cs="Times New Roman"/>
                <w:lang w:val="lv-LV" w:eastAsia="lv-LV"/>
              </w:rPr>
              <w:t xml:space="preserve"> ir arī būtiski mazāks nekā Regulas Nr.1303/2013  61.pantā noteiktais slieksnis (1 milj. </w:t>
            </w:r>
            <w:proofErr w:type="spellStart"/>
            <w:r w:rsidRPr="00B30DDE">
              <w:rPr>
                <w:rFonts w:ascii="Times New Roman" w:eastAsia="Times New Roman" w:hAnsi="Times New Roman" w:cs="Times New Roman"/>
                <w:i/>
                <w:lang w:val="lv-LV" w:eastAsia="lv-LV"/>
              </w:rPr>
              <w:t>euro</w:t>
            </w:r>
            <w:proofErr w:type="spellEnd"/>
            <w:r w:rsidRPr="00A968C5">
              <w:rPr>
                <w:rFonts w:ascii="Times New Roman" w:eastAsia="Times New Roman" w:hAnsi="Times New Roman" w:cs="Times New Roman"/>
                <w:lang w:val="lv-LV" w:eastAsia="lv-LV"/>
              </w:rPr>
              <w:t>), no kura obligāti nepieciešama IIA. Vienlaikus vēršam uzmanību, ka IIA izstrāde prasa gan papildu laiku projekta sagatavošanai, gan finanšu līdzekļus, jo parasti IIA tiek iepirkta kā ārpakalpojums, pagarinās arī atlase – vērtēšana, nosacījumu izpildes laiks</w:t>
            </w:r>
            <w:r w:rsidR="00BC2519">
              <w:rPr>
                <w:rFonts w:ascii="Times New Roman" w:eastAsia="Times New Roman" w:hAnsi="Times New Roman" w:cs="Times New Roman"/>
                <w:lang w:val="lv-LV" w:eastAsia="lv-LV"/>
              </w:rPr>
              <w:t>.</w:t>
            </w:r>
          </w:p>
        </w:tc>
        <w:tc>
          <w:tcPr>
            <w:tcW w:w="3261" w:type="dxa"/>
          </w:tcPr>
          <w:p w:rsidR="001A47C0" w:rsidRPr="008C62D7" w:rsidRDefault="00571368" w:rsidP="008B1021">
            <w:pPr>
              <w:spacing w:after="0" w:line="240" w:lineRule="auto"/>
              <w:jc w:val="both"/>
              <w:rPr>
                <w:rFonts w:ascii="Times New Roman" w:eastAsia="Times New Roman" w:hAnsi="Times New Roman" w:cs="Times New Roman"/>
                <w:b/>
                <w:lang w:val="lv-LV" w:eastAsia="lv-LV"/>
              </w:rPr>
            </w:pPr>
            <w:r w:rsidRPr="008C62D7">
              <w:rPr>
                <w:rFonts w:ascii="Times New Roman" w:eastAsia="Times New Roman" w:hAnsi="Times New Roman" w:cs="Times New Roman"/>
                <w:b/>
                <w:lang w:val="lv-LV" w:eastAsia="lv-LV"/>
              </w:rPr>
              <w:t>Skatīt izziņas 4.punkt</w:t>
            </w:r>
            <w:r w:rsidR="008B1021" w:rsidRPr="008C62D7">
              <w:rPr>
                <w:rFonts w:ascii="Times New Roman" w:eastAsia="Times New Roman" w:hAnsi="Times New Roman" w:cs="Times New Roman"/>
                <w:b/>
                <w:lang w:val="lv-LV" w:eastAsia="lv-LV"/>
              </w:rPr>
              <w:t>u</w:t>
            </w:r>
            <w:r w:rsidRPr="008C62D7">
              <w:rPr>
                <w:rFonts w:ascii="Times New Roman" w:eastAsia="Times New Roman" w:hAnsi="Times New Roman" w:cs="Times New Roman"/>
                <w:b/>
                <w:lang w:val="lv-LV" w:eastAsia="lv-LV"/>
              </w:rPr>
              <w:t xml:space="preserve">. </w:t>
            </w:r>
          </w:p>
        </w:tc>
        <w:tc>
          <w:tcPr>
            <w:tcW w:w="3260" w:type="dxa"/>
          </w:tcPr>
          <w:p w:rsidR="00BC2519" w:rsidRPr="00F20000" w:rsidRDefault="00BC2519" w:rsidP="00BC2519">
            <w:pPr>
              <w:spacing w:after="0" w:line="240" w:lineRule="auto"/>
              <w:jc w:val="both"/>
              <w:rPr>
                <w:rFonts w:ascii="Times New Roman" w:eastAsia="Times New Roman" w:hAnsi="Times New Roman" w:cs="Times New Roman"/>
                <w:lang w:val="lv-LV" w:eastAsia="lv-LV"/>
              </w:rPr>
            </w:pPr>
          </w:p>
        </w:tc>
      </w:tr>
      <w:tr w:rsidR="00A968C5" w:rsidRPr="00F20000" w:rsidTr="003F4186">
        <w:trPr>
          <w:trHeight w:val="283"/>
        </w:trPr>
        <w:tc>
          <w:tcPr>
            <w:tcW w:w="964" w:type="dxa"/>
          </w:tcPr>
          <w:p w:rsidR="00A968C5" w:rsidRPr="00F20000" w:rsidRDefault="00571368" w:rsidP="009B56F3">
            <w:pPr>
              <w:spacing w:after="0" w:line="240" w:lineRule="auto"/>
              <w:jc w:val="center"/>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10</w:t>
            </w:r>
            <w:r w:rsidR="00292C6C">
              <w:rPr>
                <w:rFonts w:ascii="Times New Roman" w:eastAsia="Times New Roman" w:hAnsi="Times New Roman" w:cs="Times New Roman"/>
                <w:lang w:val="lv-LV" w:eastAsia="lv-LV"/>
              </w:rPr>
              <w:t>.</w:t>
            </w:r>
          </w:p>
        </w:tc>
        <w:tc>
          <w:tcPr>
            <w:tcW w:w="2575" w:type="dxa"/>
          </w:tcPr>
          <w:p w:rsidR="00A968C5" w:rsidRPr="00F20000" w:rsidRDefault="00A968C5" w:rsidP="009F73D1">
            <w:pPr>
              <w:spacing w:after="0" w:line="240" w:lineRule="auto"/>
              <w:jc w:val="both"/>
              <w:rPr>
                <w:rFonts w:ascii="Times New Roman" w:eastAsia="Times New Roman" w:hAnsi="Times New Roman" w:cs="Times New Roman"/>
                <w:lang w:val="lv-LV" w:eastAsia="lv-LV"/>
              </w:rPr>
            </w:pPr>
          </w:p>
        </w:tc>
        <w:tc>
          <w:tcPr>
            <w:tcW w:w="3827" w:type="dxa"/>
          </w:tcPr>
          <w:p w:rsidR="00BD5DCA" w:rsidRDefault="00BD5DCA" w:rsidP="00BD5DCA">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IZM papildu priekšlikums</w:t>
            </w:r>
          </w:p>
          <w:p w:rsidR="0037408C" w:rsidRDefault="0037408C" w:rsidP="009F73D1">
            <w:pPr>
              <w:spacing w:after="0" w:line="240" w:lineRule="auto"/>
              <w:jc w:val="both"/>
              <w:rPr>
                <w:rFonts w:ascii="Times New Roman" w:eastAsia="Times New Roman" w:hAnsi="Times New Roman" w:cs="Times New Roman"/>
                <w:lang w:val="lv-LV" w:eastAsia="lv-LV"/>
              </w:rPr>
            </w:pPr>
            <w:r w:rsidRPr="0037408C">
              <w:rPr>
                <w:rFonts w:ascii="Times New Roman" w:eastAsia="Times New Roman" w:hAnsi="Times New Roman" w:cs="Times New Roman"/>
                <w:lang w:val="lv-LV" w:eastAsia="lv-LV"/>
              </w:rPr>
              <w:t>MK noteikumu Nr.561 grozījumu projektu papildināt ar jaunu punktu</w:t>
            </w:r>
            <w:r>
              <w:rPr>
                <w:rFonts w:ascii="Times New Roman" w:eastAsia="Times New Roman" w:hAnsi="Times New Roman" w:cs="Times New Roman"/>
                <w:lang w:val="lv-LV" w:eastAsia="lv-LV"/>
              </w:rPr>
              <w:t xml:space="preserve">, kas paredz </w:t>
            </w:r>
            <w:r w:rsidRPr="0037408C">
              <w:rPr>
                <w:rFonts w:ascii="Times New Roman" w:eastAsia="Times New Roman" w:hAnsi="Times New Roman" w:cs="Times New Roman"/>
                <w:lang w:val="lv-LV" w:eastAsia="lv-LV"/>
              </w:rPr>
              <w:t>14. punktu papildināt ar atsevišķu nosacījumu, kas attiecas uz Latvijas Jūras akadēmiju.</w:t>
            </w:r>
          </w:p>
          <w:p w:rsidR="00BC2519" w:rsidRPr="00BD5DCA" w:rsidRDefault="008339DB" w:rsidP="00BC2519">
            <w:pPr>
              <w:spacing w:after="0" w:line="240" w:lineRule="auto"/>
              <w:jc w:val="both"/>
              <w:rPr>
                <w:rFonts w:ascii="Times New Roman" w:eastAsia="Times New Roman" w:hAnsi="Times New Roman" w:cs="Times New Roman"/>
                <w:b/>
                <w:lang w:val="lv-LV" w:eastAsia="lv-LV"/>
              </w:rPr>
            </w:pPr>
            <w:r w:rsidRPr="008339DB">
              <w:rPr>
                <w:rFonts w:ascii="Times New Roman" w:eastAsia="Times New Roman" w:hAnsi="Times New Roman" w:cs="Times New Roman"/>
                <w:lang w:val="lv-LV" w:eastAsia="lv-LV"/>
              </w:rPr>
              <w:t>MK noteikumu Nr.561</w:t>
            </w:r>
            <w:r>
              <w:rPr>
                <w:rFonts w:ascii="Times New Roman" w:eastAsia="Times New Roman" w:hAnsi="Times New Roman" w:cs="Times New Roman"/>
                <w:lang w:val="lv-LV" w:eastAsia="lv-LV"/>
              </w:rPr>
              <w:t xml:space="preserve"> </w:t>
            </w:r>
            <w:r w:rsidRPr="008339DB">
              <w:rPr>
                <w:rFonts w:ascii="Times New Roman" w:eastAsia="Times New Roman" w:hAnsi="Times New Roman" w:cs="Times New Roman"/>
                <w:lang w:val="lv-LV" w:eastAsia="lv-LV"/>
              </w:rPr>
              <w:t xml:space="preserve">14.punkts </w:t>
            </w:r>
            <w:r w:rsidR="00A94500">
              <w:rPr>
                <w:rFonts w:ascii="Times New Roman" w:eastAsia="Times New Roman" w:hAnsi="Times New Roman" w:cs="Times New Roman"/>
                <w:lang w:val="lv-LV" w:eastAsia="lv-LV"/>
              </w:rPr>
              <w:t xml:space="preserve">esošajā redakcijā </w:t>
            </w:r>
            <w:r w:rsidRPr="008339DB">
              <w:rPr>
                <w:rFonts w:ascii="Times New Roman" w:eastAsia="Times New Roman" w:hAnsi="Times New Roman" w:cs="Times New Roman"/>
                <w:lang w:val="lv-LV" w:eastAsia="lv-LV"/>
              </w:rPr>
              <w:t xml:space="preserve">skaidro nosacījumu, kas attiecas uz visiem projekta iesniedzējiem, vienlaikus tas nevar būt attiecināms uz Latvijas Jūras akadēmiju, </w:t>
            </w:r>
            <w:r>
              <w:rPr>
                <w:rFonts w:ascii="Times New Roman" w:eastAsia="Times New Roman" w:hAnsi="Times New Roman" w:cs="Times New Roman"/>
                <w:lang w:val="lv-LV" w:eastAsia="lv-LV"/>
              </w:rPr>
              <w:t>jo</w:t>
            </w:r>
            <w:r w:rsidR="00A94500">
              <w:rPr>
                <w:rFonts w:ascii="Times New Roman" w:eastAsia="Times New Roman" w:hAnsi="Times New Roman" w:cs="Times New Roman"/>
                <w:lang w:val="lv-LV" w:eastAsia="lv-LV"/>
              </w:rPr>
              <w:t xml:space="preserve"> saskaņā ar </w:t>
            </w:r>
            <w:r w:rsidR="009F73D1" w:rsidRPr="00BD5DCA">
              <w:rPr>
                <w:rFonts w:ascii="Times New Roman" w:eastAsia="Times New Roman" w:hAnsi="Times New Roman" w:cs="Times New Roman"/>
                <w:lang w:val="lv-LV" w:eastAsia="lv-LV"/>
              </w:rPr>
              <w:t xml:space="preserve"> MK noteikumu Nr.561</w:t>
            </w:r>
            <w:r w:rsidR="009F73D1">
              <w:rPr>
                <w:rFonts w:ascii="Times New Roman" w:eastAsia="Times New Roman" w:hAnsi="Times New Roman" w:cs="Times New Roman"/>
                <w:lang w:val="lv-LV" w:eastAsia="lv-LV"/>
              </w:rPr>
              <w:t xml:space="preserve"> grozījumu projektu </w:t>
            </w:r>
            <w:r>
              <w:rPr>
                <w:rFonts w:ascii="Times New Roman" w:eastAsia="Times New Roman" w:hAnsi="Times New Roman" w:cs="Times New Roman"/>
                <w:lang w:val="lv-LV" w:eastAsia="lv-LV"/>
              </w:rPr>
              <w:t>tai</w:t>
            </w:r>
            <w:r w:rsidR="002E7215">
              <w:t xml:space="preserve"> </w:t>
            </w:r>
            <w:r w:rsidR="002E7215" w:rsidRPr="002E7215">
              <w:rPr>
                <w:rFonts w:ascii="Times New Roman" w:eastAsia="Times New Roman" w:hAnsi="Times New Roman" w:cs="Times New Roman"/>
                <w:lang w:val="lv-LV" w:eastAsia="lv-LV"/>
              </w:rPr>
              <w:t xml:space="preserve">ir norādīts tikai </w:t>
            </w:r>
            <w:r w:rsidR="002E7215">
              <w:rPr>
                <w:rFonts w:ascii="Times New Roman" w:eastAsia="Times New Roman" w:hAnsi="Times New Roman" w:cs="Times New Roman"/>
                <w:lang w:val="lv-LV" w:eastAsia="lv-LV"/>
              </w:rPr>
              <w:t>plānotais kopējā attiecināmā finansējuma apjoms</w:t>
            </w:r>
            <w:r w:rsidR="00A94500">
              <w:rPr>
                <w:rFonts w:ascii="Times New Roman" w:eastAsia="Times New Roman" w:hAnsi="Times New Roman" w:cs="Times New Roman"/>
                <w:lang w:val="lv-LV" w:eastAsia="lv-LV"/>
              </w:rPr>
              <w:t xml:space="preserve"> (</w:t>
            </w:r>
            <w:r>
              <w:rPr>
                <w:rFonts w:ascii="Times New Roman" w:eastAsia="Times New Roman" w:hAnsi="Times New Roman" w:cs="Times New Roman"/>
                <w:lang w:val="lv-LV" w:eastAsia="lv-LV"/>
              </w:rPr>
              <w:t xml:space="preserve">atšķirībā no pārējiem projekta iesniedzējiem, </w:t>
            </w:r>
            <w:r w:rsidR="002E7215">
              <w:rPr>
                <w:rFonts w:ascii="Times New Roman" w:eastAsia="Times New Roman" w:hAnsi="Times New Roman" w:cs="Times New Roman"/>
                <w:lang w:val="lv-LV" w:eastAsia="lv-LV"/>
              </w:rPr>
              <w:t xml:space="preserve">kuriem ir norādīts gan plānotais, gan pieejamais </w:t>
            </w:r>
            <w:r w:rsidR="002E7215" w:rsidRPr="002E7215">
              <w:rPr>
                <w:rFonts w:ascii="Times New Roman" w:eastAsia="Times New Roman" w:hAnsi="Times New Roman" w:cs="Times New Roman"/>
                <w:lang w:val="lv-LV" w:eastAsia="lv-LV"/>
              </w:rPr>
              <w:t xml:space="preserve">kopējā attiecināmā finansējuma </w:t>
            </w:r>
            <w:r w:rsidR="002E7215">
              <w:rPr>
                <w:rFonts w:ascii="Times New Roman" w:eastAsia="Times New Roman" w:hAnsi="Times New Roman" w:cs="Times New Roman"/>
                <w:lang w:val="lv-LV" w:eastAsia="lv-LV"/>
              </w:rPr>
              <w:t xml:space="preserve"> </w:t>
            </w:r>
            <w:r>
              <w:rPr>
                <w:rFonts w:ascii="Times New Roman" w:eastAsia="Times New Roman" w:hAnsi="Times New Roman" w:cs="Times New Roman"/>
                <w:lang w:val="lv-LV" w:eastAsia="lv-LV"/>
              </w:rPr>
              <w:t>apjom</w:t>
            </w:r>
            <w:r w:rsidR="002E7215">
              <w:rPr>
                <w:rFonts w:ascii="Times New Roman" w:eastAsia="Times New Roman" w:hAnsi="Times New Roman" w:cs="Times New Roman"/>
                <w:lang w:val="lv-LV" w:eastAsia="lv-LV"/>
              </w:rPr>
              <w:t>s</w:t>
            </w:r>
            <w:r w:rsidR="00A94500">
              <w:rPr>
                <w:rFonts w:ascii="Times New Roman" w:eastAsia="Times New Roman" w:hAnsi="Times New Roman" w:cs="Times New Roman"/>
                <w:lang w:val="lv-LV" w:eastAsia="lv-LV"/>
              </w:rPr>
              <w:t>)</w:t>
            </w:r>
            <w:r w:rsidR="002E7215">
              <w:rPr>
                <w:rFonts w:ascii="Times New Roman" w:eastAsia="Times New Roman" w:hAnsi="Times New Roman" w:cs="Times New Roman"/>
                <w:lang w:val="lv-LV" w:eastAsia="lv-LV"/>
              </w:rPr>
              <w:t xml:space="preserve">. </w:t>
            </w:r>
            <w:r w:rsidR="009F73D1">
              <w:rPr>
                <w:rFonts w:ascii="Times New Roman" w:eastAsia="Times New Roman" w:hAnsi="Times New Roman" w:cs="Times New Roman"/>
                <w:lang w:val="lv-LV" w:eastAsia="lv-LV"/>
              </w:rPr>
              <w:t xml:space="preserve">Līdz ar to ir nepieciešams 14. punktu papildināt </w:t>
            </w:r>
            <w:r w:rsidR="009F73D1" w:rsidRPr="009F73D1">
              <w:rPr>
                <w:rFonts w:ascii="Times New Roman" w:eastAsia="Times New Roman" w:hAnsi="Times New Roman" w:cs="Times New Roman"/>
                <w:lang w:val="lv-LV" w:eastAsia="lv-LV"/>
              </w:rPr>
              <w:t xml:space="preserve">ar atsevišķu nosacījumu, kas attiecas </w:t>
            </w:r>
            <w:r w:rsidR="0037408C">
              <w:rPr>
                <w:rFonts w:ascii="Times New Roman" w:eastAsia="Times New Roman" w:hAnsi="Times New Roman" w:cs="Times New Roman"/>
                <w:lang w:val="lv-LV" w:eastAsia="lv-LV"/>
              </w:rPr>
              <w:t xml:space="preserve">tieši </w:t>
            </w:r>
            <w:r w:rsidR="009F73D1" w:rsidRPr="009F73D1">
              <w:rPr>
                <w:rFonts w:ascii="Times New Roman" w:eastAsia="Times New Roman" w:hAnsi="Times New Roman" w:cs="Times New Roman"/>
                <w:lang w:val="lv-LV" w:eastAsia="lv-LV"/>
              </w:rPr>
              <w:t>uz Latvijas Jūras akadēmiju.</w:t>
            </w:r>
          </w:p>
        </w:tc>
        <w:tc>
          <w:tcPr>
            <w:tcW w:w="3261" w:type="dxa"/>
          </w:tcPr>
          <w:p w:rsidR="00A968C5" w:rsidRDefault="0037408C" w:rsidP="008339DB">
            <w:pPr>
              <w:spacing w:after="0" w:line="240" w:lineRule="auto"/>
              <w:jc w:val="both"/>
              <w:rPr>
                <w:rFonts w:ascii="Times New Roman" w:eastAsia="Times New Roman" w:hAnsi="Times New Roman" w:cs="Times New Roman"/>
                <w:b/>
                <w:lang w:val="lv-LV" w:eastAsia="lv-LV"/>
              </w:rPr>
            </w:pPr>
            <w:r w:rsidRPr="0037408C">
              <w:rPr>
                <w:rFonts w:ascii="Times New Roman" w:eastAsia="Times New Roman" w:hAnsi="Times New Roman" w:cs="Times New Roman"/>
                <w:b/>
                <w:lang w:val="lv-LV" w:eastAsia="lv-LV"/>
              </w:rPr>
              <w:t>Ņemts vērā</w:t>
            </w:r>
          </w:p>
          <w:p w:rsidR="0037408C" w:rsidRPr="0037408C" w:rsidRDefault="0037408C" w:rsidP="008339DB">
            <w:pPr>
              <w:spacing w:after="0" w:line="240" w:lineRule="auto"/>
              <w:jc w:val="both"/>
              <w:rPr>
                <w:rFonts w:ascii="Times New Roman" w:eastAsia="Times New Roman" w:hAnsi="Times New Roman" w:cs="Times New Roman"/>
                <w:lang w:val="lv-LV" w:eastAsia="lv-LV"/>
              </w:rPr>
            </w:pPr>
            <w:r w:rsidRPr="0037408C">
              <w:rPr>
                <w:rFonts w:ascii="Times New Roman" w:eastAsia="Times New Roman" w:hAnsi="Times New Roman" w:cs="Times New Roman"/>
                <w:lang w:val="lv-LV" w:eastAsia="lv-LV"/>
              </w:rPr>
              <w:t>MK noteikumu Nr.561 grozījumu projekts papildināts ar jaunu punktu.</w:t>
            </w:r>
          </w:p>
        </w:tc>
        <w:tc>
          <w:tcPr>
            <w:tcW w:w="3260" w:type="dxa"/>
          </w:tcPr>
          <w:p w:rsidR="005C631F" w:rsidRDefault="005C631F" w:rsidP="009F73D1">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4. Papildināt 14. punktu ar otro teikumu šādā redakcijā:</w:t>
            </w:r>
          </w:p>
          <w:p w:rsidR="00A968C5" w:rsidRDefault="005C631F" w:rsidP="009F73D1">
            <w:pPr>
              <w:spacing w:after="0" w:line="240" w:lineRule="auto"/>
              <w:jc w:val="both"/>
              <w:rPr>
                <w:rFonts w:ascii="Times New Roman" w:eastAsia="Times New Roman" w:hAnsi="Times New Roman" w:cs="Times New Roman"/>
                <w:lang w:val="lv-LV" w:eastAsia="lv-LV"/>
              </w:rPr>
            </w:pPr>
            <w:r w:rsidRPr="009E28D5">
              <w:rPr>
                <w:rFonts w:ascii="Times New Roman" w:eastAsia="Times New Roman" w:hAnsi="Times New Roman" w:cs="Times New Roman"/>
                <w:lang w:val="lv-LV" w:eastAsia="lv-LV"/>
              </w:rPr>
              <w:t>"</w:t>
            </w:r>
            <w:r w:rsidR="004532DF" w:rsidRPr="004532DF">
              <w:rPr>
                <w:rFonts w:ascii="Times New Roman" w:eastAsia="Times New Roman" w:hAnsi="Times New Roman" w:cs="Times New Roman"/>
                <w:lang w:val="lv-LV" w:eastAsia="lv-LV"/>
              </w:rPr>
              <w:t>Šo noteikumu 12.15. apakšpunktā minētais projekta iesniedzējs specifiskā atbalsta ietvaros iesniedz vienu projekta iesniegumu atbilstoši šo noteikumu 18.15. apakšpunktā m</w:t>
            </w:r>
            <w:r w:rsidR="009F73D1">
              <w:rPr>
                <w:rFonts w:ascii="Times New Roman" w:eastAsia="Times New Roman" w:hAnsi="Times New Roman" w:cs="Times New Roman"/>
                <w:lang w:val="lv-LV" w:eastAsia="lv-LV"/>
              </w:rPr>
              <w:t>inētajam finansējumam.</w:t>
            </w:r>
            <w:r w:rsidRPr="009E28D5">
              <w:rPr>
                <w:rFonts w:ascii="Times New Roman" w:eastAsia="Times New Roman" w:hAnsi="Times New Roman" w:cs="Times New Roman"/>
                <w:lang w:val="lv-LV" w:eastAsia="lv-LV"/>
              </w:rPr>
              <w:t>"</w:t>
            </w:r>
          </w:p>
          <w:p w:rsidR="00FA3D8A" w:rsidRDefault="00FA3D8A" w:rsidP="009F73D1">
            <w:pPr>
              <w:spacing w:after="0" w:line="240" w:lineRule="auto"/>
              <w:jc w:val="both"/>
              <w:rPr>
                <w:rFonts w:ascii="Times New Roman" w:eastAsia="Times New Roman" w:hAnsi="Times New Roman" w:cs="Times New Roman"/>
                <w:lang w:val="lv-LV" w:eastAsia="lv-LV"/>
              </w:rPr>
            </w:pPr>
          </w:p>
          <w:p w:rsidR="00FA3D8A" w:rsidRPr="00FA3D8A" w:rsidRDefault="00FA3D8A" w:rsidP="00FA3D8A">
            <w:pPr>
              <w:spacing w:after="0" w:line="240" w:lineRule="auto"/>
              <w:jc w:val="both"/>
              <w:rPr>
                <w:rFonts w:ascii="Times New Roman" w:eastAsia="Times New Roman" w:hAnsi="Times New Roman" w:cs="Times New Roman"/>
                <w:b/>
                <w:lang w:val="lv-LV" w:eastAsia="lv-LV"/>
              </w:rPr>
            </w:pPr>
            <w:r w:rsidRPr="00FA3D8A">
              <w:rPr>
                <w:rFonts w:ascii="Times New Roman" w:eastAsia="Times New Roman" w:hAnsi="Times New Roman" w:cs="Times New Roman"/>
                <w:b/>
                <w:lang w:val="lv-LV" w:eastAsia="lv-LV"/>
              </w:rPr>
              <w:t>Papildināta anotācija</w:t>
            </w:r>
          </w:p>
          <w:p w:rsidR="00FA3D8A" w:rsidRPr="00F20000" w:rsidRDefault="00FA3D8A" w:rsidP="00FC11C4">
            <w:pPr>
              <w:spacing w:after="0" w:line="240" w:lineRule="auto"/>
              <w:jc w:val="both"/>
              <w:rPr>
                <w:rFonts w:ascii="Times New Roman" w:eastAsia="Times New Roman" w:hAnsi="Times New Roman" w:cs="Times New Roman"/>
                <w:lang w:val="lv-LV" w:eastAsia="lv-LV"/>
              </w:rPr>
            </w:pPr>
            <w:r w:rsidRPr="00FA3D8A">
              <w:rPr>
                <w:rFonts w:ascii="Times New Roman" w:eastAsia="Times New Roman" w:hAnsi="Times New Roman" w:cs="Times New Roman"/>
                <w:lang w:val="lv-LV" w:eastAsia="lv-LV"/>
              </w:rPr>
              <w:t xml:space="preserve">5) papildināt atsevišķus 8.1.1. SAM </w:t>
            </w:r>
            <w:r w:rsidR="00FC11C4">
              <w:rPr>
                <w:rFonts w:ascii="Times New Roman" w:eastAsia="Times New Roman" w:hAnsi="Times New Roman" w:cs="Times New Roman"/>
                <w:lang w:val="lv-LV" w:eastAsia="lv-LV"/>
              </w:rPr>
              <w:t xml:space="preserve">MK </w:t>
            </w:r>
            <w:r w:rsidRPr="00FA3D8A">
              <w:rPr>
                <w:rFonts w:ascii="Times New Roman" w:eastAsia="Times New Roman" w:hAnsi="Times New Roman" w:cs="Times New Roman"/>
                <w:lang w:val="lv-LV" w:eastAsia="lv-LV"/>
              </w:rPr>
              <w:t xml:space="preserve">noteikumu punktus ar </w:t>
            </w:r>
            <w:r>
              <w:rPr>
                <w:rFonts w:ascii="Times New Roman" w:eastAsia="Times New Roman" w:hAnsi="Times New Roman" w:cs="Times New Roman"/>
                <w:lang w:val="lv-LV" w:eastAsia="lv-LV"/>
              </w:rPr>
              <w:t xml:space="preserve">precizētiem </w:t>
            </w:r>
            <w:r w:rsidRPr="00FA3D8A">
              <w:rPr>
                <w:rFonts w:ascii="Times New Roman" w:eastAsia="Times New Roman" w:hAnsi="Times New Roman" w:cs="Times New Roman"/>
                <w:lang w:val="lv-LV" w:eastAsia="lv-LV"/>
              </w:rPr>
              <w:t xml:space="preserve">nosacījumiem, kas attiecas uz Latvijas Jūras akadēmiju </w:t>
            </w:r>
            <w:r w:rsidRPr="00FA3D8A">
              <w:rPr>
                <w:rFonts w:ascii="Times New Roman" w:eastAsia="Times New Roman" w:hAnsi="Times New Roman" w:cs="Times New Roman"/>
                <w:i/>
                <w:lang w:val="lv-LV" w:eastAsia="lv-LV"/>
              </w:rPr>
              <w:t>(8.1.1. SAM noteikumu projekta 4. un 1</w:t>
            </w:r>
            <w:r w:rsidR="00FC11C4">
              <w:rPr>
                <w:rFonts w:ascii="Times New Roman" w:eastAsia="Times New Roman" w:hAnsi="Times New Roman" w:cs="Times New Roman"/>
                <w:i/>
                <w:lang w:val="lv-LV" w:eastAsia="lv-LV"/>
              </w:rPr>
              <w:t>0</w:t>
            </w:r>
            <w:r w:rsidRPr="00FA3D8A">
              <w:rPr>
                <w:rFonts w:ascii="Times New Roman" w:eastAsia="Times New Roman" w:hAnsi="Times New Roman" w:cs="Times New Roman"/>
                <w:i/>
                <w:lang w:val="lv-LV" w:eastAsia="lv-LV"/>
              </w:rPr>
              <w:t>. punkts)</w:t>
            </w:r>
            <w:r w:rsidRPr="00FA3D8A">
              <w:rPr>
                <w:rFonts w:ascii="Times New Roman" w:eastAsia="Times New Roman" w:hAnsi="Times New Roman" w:cs="Times New Roman"/>
                <w:lang w:val="lv-LV" w:eastAsia="lv-LV"/>
              </w:rPr>
              <w:t>.</w:t>
            </w:r>
          </w:p>
        </w:tc>
      </w:tr>
      <w:tr w:rsidR="009E28D5" w:rsidRPr="00F20000" w:rsidTr="003F4186">
        <w:trPr>
          <w:trHeight w:val="283"/>
        </w:trPr>
        <w:tc>
          <w:tcPr>
            <w:tcW w:w="964" w:type="dxa"/>
          </w:tcPr>
          <w:p w:rsidR="009E28D5" w:rsidRPr="00F20000" w:rsidRDefault="00292C6C" w:rsidP="00571368">
            <w:pPr>
              <w:spacing w:after="0" w:line="240" w:lineRule="auto"/>
              <w:jc w:val="center"/>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1</w:t>
            </w:r>
            <w:r w:rsidR="00571368">
              <w:rPr>
                <w:rFonts w:ascii="Times New Roman" w:eastAsia="Times New Roman" w:hAnsi="Times New Roman" w:cs="Times New Roman"/>
                <w:lang w:val="lv-LV" w:eastAsia="lv-LV"/>
              </w:rPr>
              <w:t>1</w:t>
            </w:r>
            <w:r>
              <w:rPr>
                <w:rFonts w:ascii="Times New Roman" w:eastAsia="Times New Roman" w:hAnsi="Times New Roman" w:cs="Times New Roman"/>
                <w:lang w:val="lv-LV" w:eastAsia="lv-LV"/>
              </w:rPr>
              <w:t>.</w:t>
            </w:r>
          </w:p>
        </w:tc>
        <w:tc>
          <w:tcPr>
            <w:tcW w:w="2575" w:type="dxa"/>
          </w:tcPr>
          <w:p w:rsidR="009E28D5" w:rsidRPr="00F20000" w:rsidRDefault="009E28D5" w:rsidP="009F73D1">
            <w:pPr>
              <w:spacing w:after="0" w:line="240" w:lineRule="auto"/>
              <w:rPr>
                <w:rFonts w:ascii="Times New Roman" w:eastAsia="Times New Roman" w:hAnsi="Times New Roman" w:cs="Times New Roman"/>
                <w:lang w:val="lv-LV" w:eastAsia="lv-LV"/>
              </w:rPr>
            </w:pPr>
          </w:p>
        </w:tc>
        <w:tc>
          <w:tcPr>
            <w:tcW w:w="3827" w:type="dxa"/>
          </w:tcPr>
          <w:p w:rsidR="009E28D5" w:rsidRDefault="00BD5DCA" w:rsidP="009E28D5">
            <w:pPr>
              <w:spacing w:after="0" w:line="240" w:lineRule="auto"/>
              <w:jc w:val="both"/>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IZM papildu priekšlikums</w:t>
            </w:r>
          </w:p>
          <w:p w:rsidR="009E28D5" w:rsidRDefault="009E28D5" w:rsidP="009F73D1">
            <w:pPr>
              <w:spacing w:after="0" w:line="240" w:lineRule="auto"/>
              <w:jc w:val="both"/>
              <w:rPr>
                <w:rFonts w:ascii="Times New Roman" w:eastAsia="Times New Roman" w:hAnsi="Times New Roman" w:cs="Times New Roman"/>
                <w:b/>
                <w:lang w:val="lv-LV" w:eastAsia="lv-LV"/>
              </w:rPr>
            </w:pPr>
            <w:r w:rsidRPr="00F05F97">
              <w:rPr>
                <w:rFonts w:ascii="Times New Roman" w:eastAsia="Times New Roman" w:hAnsi="Times New Roman" w:cs="Times New Roman"/>
                <w:lang w:val="lv-LV" w:eastAsia="lv-LV"/>
              </w:rPr>
              <w:t xml:space="preserve">MK noteikumu Nr.561 grozījumu projektu </w:t>
            </w:r>
            <w:r>
              <w:rPr>
                <w:rFonts w:ascii="Times New Roman" w:eastAsia="Times New Roman" w:hAnsi="Times New Roman" w:cs="Times New Roman"/>
                <w:lang w:val="lv-LV" w:eastAsia="lv-LV"/>
              </w:rPr>
              <w:t xml:space="preserve">papildināt ar jaunu punktu, </w:t>
            </w:r>
            <w:r w:rsidR="009F73D1">
              <w:rPr>
                <w:rFonts w:ascii="Times New Roman" w:eastAsia="Times New Roman" w:hAnsi="Times New Roman" w:cs="Times New Roman"/>
                <w:lang w:val="lv-LV" w:eastAsia="lv-LV"/>
              </w:rPr>
              <w:t xml:space="preserve">kas </w:t>
            </w:r>
            <w:r>
              <w:rPr>
                <w:rFonts w:ascii="Times New Roman" w:eastAsia="Times New Roman" w:hAnsi="Times New Roman" w:cs="Times New Roman"/>
                <w:lang w:val="lv-LV" w:eastAsia="lv-LV"/>
              </w:rPr>
              <w:t xml:space="preserve">paredz precizēt </w:t>
            </w:r>
            <w:r w:rsidRPr="005024C9">
              <w:rPr>
                <w:rFonts w:ascii="Times New Roman" w:eastAsia="Times New Roman" w:hAnsi="Times New Roman" w:cs="Times New Roman"/>
                <w:lang w:val="lv-LV" w:eastAsia="lv-LV"/>
              </w:rPr>
              <w:t xml:space="preserve"> </w:t>
            </w:r>
            <w:r>
              <w:rPr>
                <w:rFonts w:ascii="Times New Roman" w:eastAsia="Times New Roman" w:hAnsi="Times New Roman" w:cs="Times New Roman"/>
                <w:lang w:val="lv-LV" w:eastAsia="lv-LV"/>
              </w:rPr>
              <w:t>37.punktu, lai arī uz Latvijas</w:t>
            </w:r>
            <w:r>
              <w:t xml:space="preserve"> </w:t>
            </w:r>
            <w:r w:rsidRPr="00F05F97">
              <w:rPr>
                <w:rFonts w:ascii="Times New Roman" w:eastAsia="Times New Roman" w:hAnsi="Times New Roman" w:cs="Times New Roman"/>
                <w:lang w:val="lv-LV" w:eastAsia="lv-LV"/>
              </w:rPr>
              <w:t>Jūras akadēmiju</w:t>
            </w:r>
            <w:r>
              <w:rPr>
                <w:rFonts w:ascii="Times New Roman" w:eastAsia="Times New Roman" w:hAnsi="Times New Roman" w:cs="Times New Roman"/>
                <w:lang w:val="lv-LV" w:eastAsia="lv-LV"/>
              </w:rPr>
              <w:t xml:space="preserve"> </w:t>
            </w:r>
            <w:r>
              <w:t xml:space="preserve"> </w:t>
            </w:r>
            <w:r w:rsidRPr="00F05F97">
              <w:rPr>
                <w:rFonts w:ascii="Times New Roman" w:eastAsia="Times New Roman" w:hAnsi="Times New Roman" w:cs="Times New Roman"/>
                <w:lang w:val="lv-LV" w:eastAsia="lv-LV"/>
              </w:rPr>
              <w:t xml:space="preserve">varētu attiecināt  </w:t>
            </w:r>
            <w:r>
              <w:rPr>
                <w:rFonts w:ascii="Times New Roman" w:eastAsia="Times New Roman" w:hAnsi="Times New Roman" w:cs="Times New Roman"/>
                <w:lang w:val="lv-LV" w:eastAsia="lv-LV"/>
              </w:rPr>
              <w:t xml:space="preserve"> nosacījumu, ka avansa un starpposma maksājumu kopsumma var būt 100 procenti no projektam piešķirtā finansējuma.</w:t>
            </w:r>
          </w:p>
        </w:tc>
        <w:tc>
          <w:tcPr>
            <w:tcW w:w="3261" w:type="dxa"/>
          </w:tcPr>
          <w:p w:rsidR="009E28D5" w:rsidRDefault="0037408C" w:rsidP="008339DB">
            <w:pPr>
              <w:spacing w:after="0" w:line="240" w:lineRule="auto"/>
              <w:jc w:val="both"/>
              <w:rPr>
                <w:rFonts w:ascii="Times New Roman" w:eastAsia="Times New Roman" w:hAnsi="Times New Roman" w:cs="Times New Roman"/>
                <w:b/>
                <w:lang w:val="lv-LV" w:eastAsia="lv-LV"/>
              </w:rPr>
            </w:pPr>
            <w:r w:rsidRPr="0037408C">
              <w:rPr>
                <w:rFonts w:ascii="Times New Roman" w:eastAsia="Times New Roman" w:hAnsi="Times New Roman" w:cs="Times New Roman"/>
                <w:b/>
                <w:lang w:val="lv-LV" w:eastAsia="lv-LV"/>
              </w:rPr>
              <w:t>Ņemts vērā</w:t>
            </w:r>
          </w:p>
          <w:p w:rsidR="0037408C" w:rsidRPr="0037408C" w:rsidRDefault="0037408C" w:rsidP="008339DB">
            <w:pPr>
              <w:spacing w:after="0" w:line="240" w:lineRule="auto"/>
              <w:jc w:val="both"/>
              <w:rPr>
                <w:rFonts w:ascii="Times New Roman" w:eastAsia="Times New Roman" w:hAnsi="Times New Roman" w:cs="Times New Roman"/>
                <w:lang w:val="lv-LV" w:eastAsia="lv-LV"/>
              </w:rPr>
            </w:pPr>
            <w:r w:rsidRPr="0037408C">
              <w:rPr>
                <w:rFonts w:ascii="Times New Roman" w:eastAsia="Times New Roman" w:hAnsi="Times New Roman" w:cs="Times New Roman"/>
                <w:lang w:val="lv-LV" w:eastAsia="lv-LV"/>
              </w:rPr>
              <w:t>MK noteikumu Nr.561 grozījumu projekts papildināts ar jaunu punktu.</w:t>
            </w:r>
          </w:p>
        </w:tc>
        <w:tc>
          <w:tcPr>
            <w:tcW w:w="3260" w:type="dxa"/>
          </w:tcPr>
          <w:p w:rsidR="009E28D5" w:rsidRDefault="009E28D5" w:rsidP="004532DF">
            <w:pPr>
              <w:spacing w:after="0" w:line="240" w:lineRule="auto"/>
              <w:jc w:val="both"/>
              <w:rPr>
                <w:rFonts w:ascii="Times New Roman" w:eastAsia="Times New Roman" w:hAnsi="Times New Roman" w:cs="Times New Roman"/>
                <w:lang w:val="lv-LV" w:eastAsia="lv-LV"/>
              </w:rPr>
            </w:pPr>
            <w:r w:rsidRPr="009E28D5">
              <w:rPr>
                <w:rFonts w:ascii="Times New Roman" w:eastAsia="Times New Roman" w:hAnsi="Times New Roman" w:cs="Times New Roman"/>
                <w:lang w:val="lv-LV" w:eastAsia="lv-LV"/>
              </w:rPr>
              <w:t>10. Papildināt 37. punkta trešo teikumu aiz vārdiem "Šo noteikumu" ar vārdiem "18.15. apakšpunktā un</w:t>
            </w:r>
            <w:r w:rsidR="005C631F" w:rsidRPr="005C631F">
              <w:rPr>
                <w:rFonts w:ascii="Times New Roman" w:eastAsia="Times New Roman" w:hAnsi="Times New Roman" w:cs="Times New Roman"/>
                <w:lang w:val="lv-LV" w:eastAsia="lv-LV"/>
              </w:rPr>
              <w:t>"</w:t>
            </w:r>
            <w:r w:rsidRPr="009E28D5">
              <w:rPr>
                <w:rFonts w:ascii="Times New Roman" w:eastAsia="Times New Roman" w:hAnsi="Times New Roman" w:cs="Times New Roman"/>
                <w:lang w:val="lv-LV" w:eastAsia="lv-LV"/>
              </w:rPr>
              <w:t>.</w:t>
            </w:r>
          </w:p>
          <w:p w:rsidR="00FA3D8A" w:rsidRPr="00FA3D8A" w:rsidRDefault="00FA3D8A" w:rsidP="00FA3D8A">
            <w:pPr>
              <w:spacing w:after="0" w:line="240" w:lineRule="auto"/>
              <w:jc w:val="both"/>
              <w:rPr>
                <w:rFonts w:ascii="Times New Roman" w:eastAsia="Times New Roman" w:hAnsi="Times New Roman" w:cs="Times New Roman"/>
                <w:b/>
                <w:lang w:val="lv-LV" w:eastAsia="lv-LV"/>
              </w:rPr>
            </w:pPr>
            <w:r w:rsidRPr="00FA3D8A">
              <w:rPr>
                <w:rFonts w:ascii="Times New Roman" w:eastAsia="Times New Roman" w:hAnsi="Times New Roman" w:cs="Times New Roman"/>
                <w:b/>
                <w:lang w:val="lv-LV" w:eastAsia="lv-LV"/>
              </w:rPr>
              <w:t>Papildināta anotācija</w:t>
            </w:r>
          </w:p>
          <w:p w:rsidR="00FA3D8A" w:rsidRPr="004532DF" w:rsidRDefault="00FA3D8A" w:rsidP="00FA3D8A">
            <w:pPr>
              <w:spacing w:after="0" w:line="240" w:lineRule="auto"/>
              <w:jc w:val="both"/>
              <w:rPr>
                <w:rFonts w:ascii="Times New Roman" w:eastAsia="Times New Roman" w:hAnsi="Times New Roman" w:cs="Times New Roman"/>
                <w:lang w:val="lv-LV" w:eastAsia="lv-LV"/>
              </w:rPr>
            </w:pPr>
            <w:r w:rsidRPr="00FA3D8A">
              <w:rPr>
                <w:rFonts w:ascii="Times New Roman" w:eastAsia="Times New Roman" w:hAnsi="Times New Roman" w:cs="Times New Roman"/>
                <w:lang w:val="lv-LV" w:eastAsia="lv-LV"/>
              </w:rPr>
              <w:t xml:space="preserve">5) </w:t>
            </w:r>
            <w:r>
              <w:rPr>
                <w:rFonts w:ascii="Times New Roman" w:eastAsia="Times New Roman" w:hAnsi="Times New Roman" w:cs="Times New Roman"/>
                <w:lang w:val="lv-LV" w:eastAsia="lv-LV"/>
              </w:rPr>
              <w:t>papildināt</w:t>
            </w:r>
            <w:r w:rsidRPr="00FA3D8A">
              <w:rPr>
                <w:rFonts w:ascii="Times New Roman" w:eastAsia="Times New Roman" w:hAnsi="Times New Roman" w:cs="Times New Roman"/>
                <w:lang w:val="lv-LV" w:eastAsia="lv-LV"/>
              </w:rPr>
              <w:t xml:space="preserve"> atsevišķus 8.1.1. SAM </w:t>
            </w:r>
            <w:r w:rsidR="00FC11C4">
              <w:rPr>
                <w:rFonts w:ascii="Times New Roman" w:eastAsia="Times New Roman" w:hAnsi="Times New Roman" w:cs="Times New Roman"/>
                <w:lang w:val="lv-LV" w:eastAsia="lv-LV"/>
              </w:rPr>
              <w:t xml:space="preserve">MK </w:t>
            </w:r>
            <w:r w:rsidRPr="00FA3D8A">
              <w:rPr>
                <w:rFonts w:ascii="Times New Roman" w:eastAsia="Times New Roman" w:hAnsi="Times New Roman" w:cs="Times New Roman"/>
                <w:lang w:val="lv-LV" w:eastAsia="lv-LV"/>
              </w:rPr>
              <w:t xml:space="preserve">noteikumu punktus ar </w:t>
            </w:r>
            <w:r>
              <w:rPr>
                <w:rFonts w:ascii="Times New Roman" w:eastAsia="Times New Roman" w:hAnsi="Times New Roman" w:cs="Times New Roman"/>
                <w:lang w:val="lv-LV" w:eastAsia="lv-LV"/>
              </w:rPr>
              <w:t xml:space="preserve">precizētiem </w:t>
            </w:r>
            <w:r w:rsidRPr="00FA3D8A">
              <w:rPr>
                <w:rFonts w:ascii="Times New Roman" w:eastAsia="Times New Roman" w:hAnsi="Times New Roman" w:cs="Times New Roman"/>
                <w:lang w:val="lv-LV" w:eastAsia="lv-LV"/>
              </w:rPr>
              <w:t xml:space="preserve">nosacījumiem, kas attiecas uz Latvijas Jūras akadēmiju </w:t>
            </w:r>
            <w:r w:rsidRPr="00FA3D8A">
              <w:rPr>
                <w:rFonts w:ascii="Times New Roman" w:eastAsia="Times New Roman" w:hAnsi="Times New Roman" w:cs="Times New Roman"/>
                <w:i/>
                <w:lang w:val="lv-LV" w:eastAsia="lv-LV"/>
              </w:rPr>
              <w:t>(8.1.1. SAM noteikumu projekta 4. un 10. punkts).</w:t>
            </w:r>
          </w:p>
        </w:tc>
      </w:tr>
    </w:tbl>
    <w:tbl>
      <w:tblPr>
        <w:tblW w:w="5184" w:type="pct"/>
        <w:tblLayout w:type="fixed"/>
        <w:tblLook w:val="00A0" w:firstRow="1" w:lastRow="0" w:firstColumn="1" w:lastColumn="0" w:noHBand="0" w:noVBand="0"/>
      </w:tblPr>
      <w:tblGrid>
        <w:gridCol w:w="3006"/>
        <w:gridCol w:w="10771"/>
      </w:tblGrid>
      <w:tr w:rsidR="00673BFE" w:rsidRPr="00673BFE" w:rsidTr="003F4186">
        <w:trPr>
          <w:trHeight w:val="912"/>
        </w:trPr>
        <w:tc>
          <w:tcPr>
            <w:tcW w:w="3006" w:type="dxa"/>
          </w:tcPr>
          <w:p w:rsidR="003F4186" w:rsidRDefault="003F4186" w:rsidP="00673BFE">
            <w:pPr>
              <w:spacing w:after="0" w:line="252" w:lineRule="auto"/>
              <w:ind w:left="209" w:right="102"/>
              <w:jc w:val="both"/>
              <w:rPr>
                <w:rFonts w:ascii="Times New Roman" w:eastAsia="Times New Roman" w:hAnsi="Times New Roman" w:cs="Times New Roman"/>
                <w:lang w:val="lv-LV" w:eastAsia="lv-LV"/>
              </w:rPr>
            </w:pPr>
          </w:p>
          <w:p w:rsidR="00673BFE" w:rsidRPr="00673BFE" w:rsidRDefault="00673BFE" w:rsidP="00673BFE">
            <w:pPr>
              <w:spacing w:after="0" w:line="252" w:lineRule="auto"/>
              <w:ind w:left="209" w:right="102"/>
              <w:jc w:val="both"/>
              <w:rPr>
                <w:rFonts w:ascii="Times New Roman" w:eastAsia="Times New Roman" w:hAnsi="Times New Roman" w:cs="Times New Roman"/>
                <w:lang w:val="lv-LV" w:eastAsia="lv-LV"/>
              </w:rPr>
            </w:pPr>
            <w:r w:rsidRPr="00673BFE">
              <w:rPr>
                <w:rFonts w:ascii="Times New Roman" w:eastAsia="Times New Roman" w:hAnsi="Times New Roman" w:cs="Times New Roman"/>
                <w:lang w:val="lv-LV" w:eastAsia="lv-LV"/>
              </w:rPr>
              <w:t>Atbildīgā amatpersona</w:t>
            </w:r>
          </w:p>
        </w:tc>
        <w:tc>
          <w:tcPr>
            <w:tcW w:w="10771" w:type="dxa"/>
            <w:tcBorders>
              <w:bottom w:val="single" w:sz="6" w:space="0" w:color="000000"/>
            </w:tcBorders>
          </w:tcPr>
          <w:p w:rsidR="00673BFE" w:rsidRPr="00673BFE" w:rsidRDefault="00673BFE" w:rsidP="00673BFE">
            <w:pPr>
              <w:spacing w:after="0" w:line="252" w:lineRule="auto"/>
              <w:ind w:right="102"/>
              <w:jc w:val="both"/>
              <w:rPr>
                <w:rFonts w:ascii="Times New Roman" w:eastAsia="Times New Roman" w:hAnsi="Times New Roman" w:cs="Times New Roman"/>
                <w:lang w:val="lv-LV" w:eastAsia="lv-LV"/>
              </w:rPr>
            </w:pPr>
          </w:p>
          <w:p w:rsidR="00673BFE" w:rsidRPr="00673BFE" w:rsidRDefault="00673BFE" w:rsidP="00673BFE">
            <w:pPr>
              <w:spacing w:after="0" w:line="252" w:lineRule="auto"/>
              <w:ind w:right="102"/>
              <w:jc w:val="both"/>
              <w:rPr>
                <w:rFonts w:ascii="Times New Roman" w:eastAsia="Times New Roman" w:hAnsi="Times New Roman" w:cs="Times New Roman"/>
                <w:lang w:val="lv-LV" w:eastAsia="lv-LV"/>
              </w:rPr>
            </w:pPr>
            <w:r w:rsidRPr="00673BFE">
              <w:rPr>
                <w:rFonts w:ascii="Times New Roman" w:eastAsia="Times New Roman" w:hAnsi="Times New Roman" w:cs="Times New Roman"/>
                <w:lang w:val="lv-LV" w:eastAsia="lv-LV"/>
              </w:rPr>
              <w:t>(paraksts)*</w:t>
            </w:r>
          </w:p>
        </w:tc>
      </w:tr>
    </w:tbl>
    <w:p w:rsidR="00B06433" w:rsidRDefault="00B06433" w:rsidP="00673BFE">
      <w:pPr>
        <w:spacing w:after="0" w:line="240" w:lineRule="auto"/>
        <w:jc w:val="both"/>
        <w:rPr>
          <w:rFonts w:ascii="Times New Roman" w:eastAsia="Times New Roman" w:hAnsi="Times New Roman" w:cs="Times New Roman"/>
          <w:lang w:val="lv-LV" w:eastAsia="lv-LV"/>
        </w:rPr>
      </w:pPr>
    </w:p>
    <w:p w:rsidR="00673BFE" w:rsidRPr="00673BFE" w:rsidRDefault="00673BFE" w:rsidP="00673BFE">
      <w:pPr>
        <w:spacing w:after="0" w:line="240" w:lineRule="auto"/>
        <w:jc w:val="both"/>
        <w:rPr>
          <w:rFonts w:ascii="Times New Roman" w:eastAsia="Times New Roman" w:hAnsi="Times New Roman" w:cs="Times New Roman"/>
          <w:lang w:val="lv-LV" w:eastAsia="lv-LV"/>
        </w:rPr>
      </w:pPr>
      <w:r w:rsidRPr="00673BFE">
        <w:rPr>
          <w:rFonts w:ascii="Times New Roman" w:eastAsia="Times New Roman" w:hAnsi="Times New Roman" w:cs="Times New Roman"/>
          <w:lang w:val="lv-LV" w:eastAsia="lv-LV"/>
        </w:rPr>
        <w:t>Piezīme. * Dokumenta rekvizītu „paraksts” neaizpilda, ja elektroniskais dokuments ir sagatavots atbilstoši normatīvajiem aktiem par elektronisko dokumentu noformēšanu.</w:t>
      </w:r>
    </w:p>
    <w:p w:rsidR="003F4186" w:rsidRDefault="003F4186" w:rsidP="00673BFE">
      <w:pPr>
        <w:spacing w:after="0" w:line="240" w:lineRule="auto"/>
        <w:jc w:val="both"/>
        <w:rPr>
          <w:rFonts w:ascii="Times New Roman" w:hAnsi="Times New Roman"/>
          <w:sz w:val="18"/>
          <w:szCs w:val="18"/>
        </w:rPr>
      </w:pPr>
    </w:p>
    <w:p w:rsidR="003F4186" w:rsidRDefault="003F4186" w:rsidP="00673BFE">
      <w:pPr>
        <w:spacing w:after="0" w:line="240" w:lineRule="auto"/>
        <w:jc w:val="both"/>
        <w:rPr>
          <w:rFonts w:ascii="Times New Roman" w:hAnsi="Times New Roman"/>
          <w:sz w:val="18"/>
          <w:szCs w:val="18"/>
        </w:rPr>
      </w:pPr>
      <w:bookmarkStart w:id="1" w:name="_GoBack"/>
      <w:bookmarkEnd w:id="1"/>
    </w:p>
    <w:p w:rsidR="003F4186" w:rsidRDefault="003F4186" w:rsidP="00673BFE">
      <w:pPr>
        <w:spacing w:after="0" w:line="240" w:lineRule="auto"/>
        <w:jc w:val="both"/>
        <w:rPr>
          <w:rFonts w:ascii="Times New Roman" w:hAnsi="Times New Roman"/>
          <w:sz w:val="18"/>
          <w:szCs w:val="18"/>
        </w:rPr>
      </w:pPr>
    </w:p>
    <w:p w:rsidR="00673BFE" w:rsidRPr="00B06433" w:rsidRDefault="003F4186" w:rsidP="00673BFE">
      <w:pPr>
        <w:spacing w:after="0" w:line="240" w:lineRule="auto"/>
        <w:jc w:val="both"/>
        <w:rPr>
          <w:rFonts w:ascii="Times New Roman" w:hAnsi="Times New Roman"/>
          <w:sz w:val="20"/>
          <w:szCs w:val="20"/>
        </w:rPr>
      </w:pPr>
      <w:r w:rsidRPr="00B06433">
        <w:rPr>
          <w:rFonts w:ascii="Times New Roman" w:hAnsi="Times New Roman"/>
          <w:sz w:val="20"/>
          <w:szCs w:val="20"/>
        </w:rPr>
        <w:t>V</w:t>
      </w:r>
      <w:r w:rsidR="00195546" w:rsidRPr="00B06433">
        <w:rPr>
          <w:rFonts w:ascii="Times New Roman" w:hAnsi="Times New Roman"/>
          <w:sz w:val="20"/>
          <w:szCs w:val="20"/>
        </w:rPr>
        <w:t xml:space="preserve">ēsma </w:t>
      </w:r>
      <w:proofErr w:type="spellStart"/>
      <w:r w:rsidR="00195546" w:rsidRPr="00B06433">
        <w:rPr>
          <w:rFonts w:ascii="Times New Roman" w:hAnsi="Times New Roman"/>
          <w:sz w:val="20"/>
          <w:szCs w:val="20"/>
        </w:rPr>
        <w:t>Abizāre</w:t>
      </w:r>
      <w:proofErr w:type="spellEnd"/>
      <w:r w:rsidR="00195546" w:rsidRPr="00B06433">
        <w:rPr>
          <w:rFonts w:ascii="Times New Roman" w:hAnsi="Times New Roman"/>
          <w:sz w:val="20"/>
          <w:szCs w:val="20"/>
        </w:rPr>
        <w:t xml:space="preserve"> - </w:t>
      </w:r>
      <w:proofErr w:type="spellStart"/>
      <w:r w:rsidR="00195546" w:rsidRPr="00B06433">
        <w:rPr>
          <w:rFonts w:ascii="Times New Roman" w:hAnsi="Times New Roman"/>
          <w:sz w:val="20"/>
          <w:szCs w:val="20"/>
        </w:rPr>
        <w:t>Vagre</w:t>
      </w:r>
      <w:proofErr w:type="spellEnd"/>
    </w:p>
    <w:p w:rsidR="00673BFE" w:rsidRPr="00B06433" w:rsidRDefault="00673BFE" w:rsidP="00673BFE">
      <w:pPr>
        <w:spacing w:after="0" w:line="240" w:lineRule="auto"/>
        <w:jc w:val="both"/>
        <w:rPr>
          <w:rFonts w:ascii="Times New Roman" w:hAnsi="Times New Roman"/>
          <w:sz w:val="20"/>
          <w:szCs w:val="20"/>
        </w:rPr>
      </w:pPr>
      <w:proofErr w:type="spellStart"/>
      <w:r w:rsidRPr="00B06433">
        <w:rPr>
          <w:rFonts w:ascii="Times New Roman" w:hAnsi="Times New Roman"/>
          <w:sz w:val="20"/>
          <w:szCs w:val="20"/>
        </w:rPr>
        <w:t>Izglītības</w:t>
      </w:r>
      <w:proofErr w:type="spellEnd"/>
      <w:r w:rsidRPr="00B06433">
        <w:rPr>
          <w:rFonts w:ascii="Times New Roman" w:hAnsi="Times New Roman"/>
          <w:sz w:val="20"/>
          <w:szCs w:val="20"/>
        </w:rPr>
        <w:t xml:space="preserve"> </w:t>
      </w:r>
      <w:proofErr w:type="gramStart"/>
      <w:r w:rsidRPr="00B06433">
        <w:rPr>
          <w:rFonts w:ascii="Times New Roman" w:hAnsi="Times New Roman"/>
          <w:sz w:val="20"/>
          <w:szCs w:val="20"/>
        </w:rPr>
        <w:t>un</w:t>
      </w:r>
      <w:proofErr w:type="gramEnd"/>
      <w:r w:rsidRPr="00B06433">
        <w:rPr>
          <w:rFonts w:ascii="Times New Roman" w:hAnsi="Times New Roman"/>
          <w:sz w:val="20"/>
          <w:szCs w:val="20"/>
        </w:rPr>
        <w:t xml:space="preserve"> </w:t>
      </w:r>
      <w:proofErr w:type="spellStart"/>
      <w:r w:rsidRPr="00B06433">
        <w:rPr>
          <w:rFonts w:ascii="Times New Roman" w:hAnsi="Times New Roman"/>
          <w:sz w:val="20"/>
          <w:szCs w:val="20"/>
        </w:rPr>
        <w:t>zinātnes</w:t>
      </w:r>
      <w:proofErr w:type="spellEnd"/>
      <w:r w:rsidRPr="00B06433">
        <w:rPr>
          <w:rFonts w:ascii="Times New Roman" w:hAnsi="Times New Roman"/>
          <w:sz w:val="20"/>
          <w:szCs w:val="20"/>
        </w:rPr>
        <w:t xml:space="preserve"> </w:t>
      </w:r>
      <w:proofErr w:type="spellStart"/>
      <w:r w:rsidRPr="00B06433">
        <w:rPr>
          <w:rFonts w:ascii="Times New Roman" w:hAnsi="Times New Roman"/>
          <w:sz w:val="20"/>
          <w:szCs w:val="20"/>
        </w:rPr>
        <w:t>ministrijas</w:t>
      </w:r>
      <w:proofErr w:type="spellEnd"/>
    </w:p>
    <w:p w:rsidR="00673BFE" w:rsidRPr="00B06433" w:rsidRDefault="00673BFE" w:rsidP="00673BFE">
      <w:pPr>
        <w:spacing w:after="0" w:line="240" w:lineRule="auto"/>
        <w:jc w:val="both"/>
        <w:rPr>
          <w:rFonts w:ascii="Times New Roman" w:hAnsi="Times New Roman"/>
          <w:sz w:val="20"/>
          <w:szCs w:val="20"/>
        </w:rPr>
      </w:pPr>
      <w:proofErr w:type="spellStart"/>
      <w:r w:rsidRPr="00B06433">
        <w:rPr>
          <w:rFonts w:ascii="Times New Roman" w:hAnsi="Times New Roman"/>
          <w:sz w:val="20"/>
          <w:szCs w:val="20"/>
        </w:rPr>
        <w:t>Struktūrfondu</w:t>
      </w:r>
      <w:proofErr w:type="spellEnd"/>
      <w:r w:rsidRPr="00B06433">
        <w:rPr>
          <w:rFonts w:ascii="Times New Roman" w:hAnsi="Times New Roman"/>
          <w:sz w:val="20"/>
          <w:szCs w:val="20"/>
        </w:rPr>
        <w:t xml:space="preserve"> </w:t>
      </w:r>
      <w:proofErr w:type="spellStart"/>
      <w:r w:rsidRPr="00B06433">
        <w:rPr>
          <w:rFonts w:ascii="Times New Roman" w:hAnsi="Times New Roman"/>
          <w:sz w:val="20"/>
          <w:szCs w:val="20"/>
        </w:rPr>
        <w:t>departamenta</w:t>
      </w:r>
      <w:proofErr w:type="spellEnd"/>
      <w:r w:rsidRPr="00B06433">
        <w:rPr>
          <w:rFonts w:ascii="Times New Roman" w:hAnsi="Times New Roman"/>
          <w:sz w:val="20"/>
          <w:szCs w:val="20"/>
        </w:rPr>
        <w:t xml:space="preserve"> </w:t>
      </w:r>
      <w:proofErr w:type="spellStart"/>
      <w:r w:rsidRPr="00B06433">
        <w:rPr>
          <w:rFonts w:ascii="Times New Roman" w:hAnsi="Times New Roman"/>
          <w:sz w:val="20"/>
          <w:szCs w:val="20"/>
        </w:rPr>
        <w:t>eksperte</w:t>
      </w:r>
      <w:proofErr w:type="spellEnd"/>
    </w:p>
    <w:p w:rsidR="00673BFE" w:rsidRPr="00B06433" w:rsidRDefault="00673BFE" w:rsidP="00673BFE">
      <w:pPr>
        <w:rPr>
          <w:sz w:val="20"/>
          <w:szCs w:val="20"/>
          <w:lang w:val="lv-LV"/>
        </w:rPr>
      </w:pPr>
      <w:r w:rsidRPr="00B06433">
        <w:rPr>
          <w:rFonts w:ascii="Times New Roman" w:hAnsi="Times New Roman"/>
          <w:sz w:val="20"/>
          <w:szCs w:val="20"/>
        </w:rPr>
        <w:t>67047</w:t>
      </w:r>
      <w:r w:rsidR="00195546" w:rsidRPr="00B06433">
        <w:rPr>
          <w:rFonts w:ascii="Times New Roman" w:hAnsi="Times New Roman"/>
          <w:sz w:val="20"/>
          <w:szCs w:val="20"/>
        </w:rPr>
        <w:t>864</w:t>
      </w:r>
      <w:r w:rsidRPr="00B06433">
        <w:rPr>
          <w:rFonts w:ascii="Times New Roman" w:hAnsi="Times New Roman"/>
          <w:sz w:val="20"/>
          <w:szCs w:val="20"/>
        </w:rPr>
        <w:t xml:space="preserve">, </w:t>
      </w:r>
      <w:hyperlink r:id="rId8" w:history="1">
        <w:r w:rsidR="00195546" w:rsidRPr="00B06433">
          <w:rPr>
            <w:rStyle w:val="Hyperlink"/>
            <w:rFonts w:ascii="Times New Roman" w:hAnsi="Times New Roman"/>
            <w:sz w:val="20"/>
            <w:szCs w:val="20"/>
          </w:rPr>
          <w:t>vesma.abizare-vagre@izm.gov.lv</w:t>
        </w:r>
      </w:hyperlink>
    </w:p>
    <w:sectPr w:rsidR="00673BFE" w:rsidRPr="00B06433" w:rsidSect="0009332E">
      <w:headerReference w:type="default" r:id="rId9"/>
      <w:footerReference w:type="default" r:id="rId10"/>
      <w:footerReference w:type="first" r:id="rId11"/>
      <w:pgSz w:w="15840" w:h="12240" w:orient="landscape"/>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6F3" w:rsidRDefault="009B56F3" w:rsidP="00FA19FF">
      <w:pPr>
        <w:spacing w:after="0" w:line="240" w:lineRule="auto"/>
      </w:pPr>
      <w:r>
        <w:separator/>
      </w:r>
    </w:p>
  </w:endnote>
  <w:endnote w:type="continuationSeparator" w:id="0">
    <w:p w:rsidR="009B56F3" w:rsidRDefault="009B56F3" w:rsidP="00FA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F3" w:rsidRPr="00FA19FF" w:rsidRDefault="009B56F3" w:rsidP="00FA19FF">
    <w:pPr>
      <w:spacing w:after="0" w:line="240" w:lineRule="auto"/>
      <w:contextualSpacing/>
      <w:jc w:val="both"/>
      <w:rPr>
        <w:rFonts w:ascii="Times New Roman" w:eastAsia="Times New Roman" w:hAnsi="Times New Roman" w:cs="Times New Roman"/>
        <w:b/>
        <w:bCs/>
        <w:noProof/>
        <w:vanish/>
        <w:color w:val="000000"/>
        <w:sz w:val="20"/>
        <w:szCs w:val="20"/>
        <w:lang w:val="lv-LV" w:eastAsia="lv-LV"/>
      </w:rPr>
    </w:pPr>
    <w:r w:rsidRPr="00FA19FF">
      <w:rPr>
        <w:rFonts w:ascii="Times New Roman" w:eastAsia="Times New Roman" w:hAnsi="Times New Roman" w:cs="Times New Roman"/>
        <w:sz w:val="20"/>
        <w:szCs w:val="20"/>
        <w:lang w:val="lv-LV" w:eastAsia="lv-LV"/>
      </w:rPr>
      <w:t>IZMIzz_</w:t>
    </w:r>
    <w:r w:rsidR="007E24F6">
      <w:rPr>
        <w:rFonts w:ascii="Times New Roman" w:eastAsia="Times New Roman" w:hAnsi="Times New Roman" w:cs="Times New Roman"/>
        <w:sz w:val="20"/>
        <w:szCs w:val="20"/>
        <w:lang w:val="lv-LV" w:eastAsia="lv-LV"/>
      </w:rPr>
      <w:t>10</w:t>
    </w:r>
    <w:r w:rsidR="00C0101C">
      <w:rPr>
        <w:rFonts w:ascii="Times New Roman" w:eastAsia="Times New Roman" w:hAnsi="Times New Roman" w:cs="Times New Roman"/>
        <w:sz w:val="20"/>
        <w:szCs w:val="20"/>
        <w:lang w:val="lv-LV" w:eastAsia="lv-LV"/>
      </w:rPr>
      <w:t>0120</w:t>
    </w:r>
    <w:r w:rsidRPr="00FA19FF">
      <w:rPr>
        <w:rFonts w:ascii="Times New Roman" w:eastAsia="Times New Roman" w:hAnsi="Times New Roman" w:cs="Times New Roman"/>
        <w:sz w:val="20"/>
        <w:szCs w:val="20"/>
        <w:lang w:val="lv-LV" w:eastAsia="lv-LV"/>
      </w:rPr>
      <w:t>_gr</w:t>
    </w:r>
    <w:r w:rsidR="00195546">
      <w:rPr>
        <w:rFonts w:ascii="Times New Roman" w:eastAsia="Times New Roman" w:hAnsi="Times New Roman" w:cs="Times New Roman"/>
        <w:sz w:val="20"/>
        <w:szCs w:val="20"/>
        <w:lang w:val="lv-LV" w:eastAsia="lv-LV"/>
      </w:rPr>
      <w:t>811_814</w:t>
    </w:r>
  </w:p>
  <w:p w:rsidR="009B56F3" w:rsidRDefault="009B56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F3" w:rsidRPr="00FA19FF" w:rsidRDefault="009B56F3" w:rsidP="004514E5">
    <w:pPr>
      <w:spacing w:after="0" w:line="240" w:lineRule="auto"/>
      <w:contextualSpacing/>
      <w:jc w:val="both"/>
      <w:rPr>
        <w:rFonts w:ascii="Times New Roman" w:eastAsia="Times New Roman" w:hAnsi="Times New Roman" w:cs="Times New Roman"/>
        <w:b/>
        <w:bCs/>
        <w:noProof/>
        <w:vanish/>
        <w:color w:val="000000"/>
        <w:sz w:val="20"/>
        <w:szCs w:val="20"/>
        <w:lang w:val="lv-LV" w:eastAsia="lv-LV"/>
      </w:rPr>
    </w:pPr>
    <w:r w:rsidRPr="00FA19FF">
      <w:rPr>
        <w:rFonts w:ascii="Times New Roman" w:eastAsia="Times New Roman" w:hAnsi="Times New Roman" w:cs="Times New Roman"/>
        <w:sz w:val="20"/>
        <w:szCs w:val="20"/>
        <w:lang w:val="lv-LV" w:eastAsia="lv-LV"/>
      </w:rPr>
      <w:t>IZMIzz_</w:t>
    </w:r>
    <w:r w:rsidR="007E24F6">
      <w:rPr>
        <w:rFonts w:ascii="Times New Roman" w:eastAsia="Times New Roman" w:hAnsi="Times New Roman" w:cs="Times New Roman"/>
        <w:sz w:val="20"/>
        <w:szCs w:val="20"/>
        <w:lang w:val="lv-LV" w:eastAsia="lv-LV"/>
      </w:rPr>
      <w:t>10</w:t>
    </w:r>
    <w:r w:rsidR="00C0101C">
      <w:rPr>
        <w:rFonts w:ascii="Times New Roman" w:eastAsia="Times New Roman" w:hAnsi="Times New Roman" w:cs="Times New Roman"/>
        <w:sz w:val="20"/>
        <w:szCs w:val="20"/>
        <w:lang w:val="lv-LV" w:eastAsia="lv-LV"/>
      </w:rPr>
      <w:t>0120_</w:t>
    </w:r>
    <w:r w:rsidRPr="00FA19FF">
      <w:rPr>
        <w:rFonts w:ascii="Times New Roman" w:eastAsia="Times New Roman" w:hAnsi="Times New Roman" w:cs="Times New Roman"/>
        <w:sz w:val="20"/>
        <w:szCs w:val="20"/>
        <w:lang w:val="lv-LV" w:eastAsia="lv-LV"/>
      </w:rPr>
      <w:t>gr</w:t>
    </w:r>
    <w:r w:rsidR="00195546">
      <w:rPr>
        <w:rFonts w:ascii="Times New Roman" w:eastAsia="Times New Roman" w:hAnsi="Times New Roman" w:cs="Times New Roman"/>
        <w:sz w:val="20"/>
        <w:szCs w:val="20"/>
        <w:lang w:val="lv-LV" w:eastAsia="lv-LV"/>
      </w:rPr>
      <w:t>811_814</w:t>
    </w:r>
  </w:p>
  <w:p w:rsidR="009B56F3" w:rsidRDefault="009B5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6F3" w:rsidRDefault="009B56F3" w:rsidP="00FA19FF">
      <w:pPr>
        <w:spacing w:after="0" w:line="240" w:lineRule="auto"/>
      </w:pPr>
      <w:r>
        <w:separator/>
      </w:r>
    </w:p>
  </w:footnote>
  <w:footnote w:type="continuationSeparator" w:id="0">
    <w:p w:rsidR="009B56F3" w:rsidRDefault="009B56F3" w:rsidP="00FA1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926732"/>
      <w:docPartObj>
        <w:docPartGallery w:val="Page Numbers (Top of Page)"/>
        <w:docPartUnique/>
      </w:docPartObj>
    </w:sdtPr>
    <w:sdtEndPr>
      <w:rPr>
        <w:rFonts w:ascii="Times New Roman" w:hAnsi="Times New Roman" w:cs="Times New Roman"/>
        <w:noProof/>
      </w:rPr>
    </w:sdtEndPr>
    <w:sdtContent>
      <w:p w:rsidR="009B56F3" w:rsidRPr="00147C1D" w:rsidRDefault="009B56F3">
        <w:pPr>
          <w:pStyle w:val="Header"/>
          <w:jc w:val="center"/>
          <w:rPr>
            <w:rFonts w:ascii="Times New Roman" w:hAnsi="Times New Roman" w:cs="Times New Roman"/>
          </w:rPr>
        </w:pPr>
        <w:r w:rsidRPr="00147C1D">
          <w:rPr>
            <w:rFonts w:ascii="Times New Roman" w:hAnsi="Times New Roman" w:cs="Times New Roman"/>
          </w:rPr>
          <w:fldChar w:fldCharType="begin"/>
        </w:r>
        <w:r w:rsidRPr="00147C1D">
          <w:rPr>
            <w:rFonts w:ascii="Times New Roman" w:hAnsi="Times New Roman" w:cs="Times New Roman"/>
          </w:rPr>
          <w:instrText xml:space="preserve"> PAGE   \* MERGEFORMAT </w:instrText>
        </w:r>
        <w:r w:rsidRPr="00147C1D">
          <w:rPr>
            <w:rFonts w:ascii="Times New Roman" w:hAnsi="Times New Roman" w:cs="Times New Roman"/>
          </w:rPr>
          <w:fldChar w:fldCharType="separate"/>
        </w:r>
        <w:r w:rsidR="00B06433">
          <w:rPr>
            <w:rFonts w:ascii="Times New Roman" w:hAnsi="Times New Roman" w:cs="Times New Roman"/>
            <w:noProof/>
          </w:rPr>
          <w:t>6</w:t>
        </w:r>
        <w:r w:rsidRPr="00147C1D">
          <w:rPr>
            <w:rFonts w:ascii="Times New Roman" w:hAnsi="Times New Roman" w:cs="Times New Roman"/>
            <w:noProof/>
          </w:rPr>
          <w:fldChar w:fldCharType="end"/>
        </w:r>
      </w:p>
    </w:sdtContent>
  </w:sdt>
  <w:p w:rsidR="009B56F3" w:rsidRDefault="009B5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2AD4"/>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FD8723B"/>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CEC4278"/>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A1E3181"/>
    <w:multiLevelType w:val="hybridMultilevel"/>
    <w:tmpl w:val="27A6678E"/>
    <w:lvl w:ilvl="0" w:tplc="EFC88978">
      <w:start w:val="1"/>
      <w:numFmt w:val="decimal"/>
      <w:lvlText w:val="%1."/>
      <w:lvlJc w:val="left"/>
      <w:pPr>
        <w:ind w:left="1068"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61AE18E1"/>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46A773B"/>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A1E481A"/>
    <w:multiLevelType w:val="hybridMultilevel"/>
    <w:tmpl w:val="C486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F64C82"/>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19"/>
    <w:rsid w:val="00010016"/>
    <w:rsid w:val="000154F7"/>
    <w:rsid w:val="00020513"/>
    <w:rsid w:val="000450FE"/>
    <w:rsid w:val="0004719B"/>
    <w:rsid w:val="00056045"/>
    <w:rsid w:val="00060293"/>
    <w:rsid w:val="00081CED"/>
    <w:rsid w:val="0009332E"/>
    <w:rsid w:val="000A1F5A"/>
    <w:rsid w:val="000A531B"/>
    <w:rsid w:val="000B0671"/>
    <w:rsid w:val="000B40C3"/>
    <w:rsid w:val="000B7635"/>
    <w:rsid w:val="000C6919"/>
    <w:rsid w:val="000C7DF6"/>
    <w:rsid w:val="000D3656"/>
    <w:rsid w:val="000D75B1"/>
    <w:rsid w:val="00105887"/>
    <w:rsid w:val="00140BEB"/>
    <w:rsid w:val="00147C1D"/>
    <w:rsid w:val="00171033"/>
    <w:rsid w:val="00195546"/>
    <w:rsid w:val="001A47C0"/>
    <w:rsid w:val="001E392A"/>
    <w:rsid w:val="00204551"/>
    <w:rsid w:val="0021599F"/>
    <w:rsid w:val="00226166"/>
    <w:rsid w:val="00230324"/>
    <w:rsid w:val="00245571"/>
    <w:rsid w:val="00265E9B"/>
    <w:rsid w:val="0028007B"/>
    <w:rsid w:val="002823E8"/>
    <w:rsid w:val="00285761"/>
    <w:rsid w:val="00292C6C"/>
    <w:rsid w:val="00295DCE"/>
    <w:rsid w:val="002A6B19"/>
    <w:rsid w:val="002A6FC2"/>
    <w:rsid w:val="002A7128"/>
    <w:rsid w:val="002B3AB9"/>
    <w:rsid w:val="002B4FCC"/>
    <w:rsid w:val="002B684F"/>
    <w:rsid w:val="002C1FB2"/>
    <w:rsid w:val="002D61AF"/>
    <w:rsid w:val="002D7296"/>
    <w:rsid w:val="002E7215"/>
    <w:rsid w:val="002F441C"/>
    <w:rsid w:val="002F6C3B"/>
    <w:rsid w:val="00315EA6"/>
    <w:rsid w:val="00325521"/>
    <w:rsid w:val="003279F3"/>
    <w:rsid w:val="003311AD"/>
    <w:rsid w:val="003734FF"/>
    <w:rsid w:val="0037408C"/>
    <w:rsid w:val="003768C2"/>
    <w:rsid w:val="0038012F"/>
    <w:rsid w:val="003A67B3"/>
    <w:rsid w:val="003B20E6"/>
    <w:rsid w:val="003B4A12"/>
    <w:rsid w:val="003E6164"/>
    <w:rsid w:val="003E65AB"/>
    <w:rsid w:val="003F26DA"/>
    <w:rsid w:val="003F4186"/>
    <w:rsid w:val="00403DAF"/>
    <w:rsid w:val="00417DD3"/>
    <w:rsid w:val="00424973"/>
    <w:rsid w:val="00425712"/>
    <w:rsid w:val="004514E5"/>
    <w:rsid w:val="004532DF"/>
    <w:rsid w:val="00460522"/>
    <w:rsid w:val="004658E7"/>
    <w:rsid w:val="00466AD9"/>
    <w:rsid w:val="00480AFB"/>
    <w:rsid w:val="00483FF2"/>
    <w:rsid w:val="00492934"/>
    <w:rsid w:val="0049530E"/>
    <w:rsid w:val="00495E31"/>
    <w:rsid w:val="004960BE"/>
    <w:rsid w:val="004B1F2D"/>
    <w:rsid w:val="004B4B29"/>
    <w:rsid w:val="004C3906"/>
    <w:rsid w:val="004E03BA"/>
    <w:rsid w:val="004F63E3"/>
    <w:rsid w:val="005024C9"/>
    <w:rsid w:val="00511D3B"/>
    <w:rsid w:val="0051327A"/>
    <w:rsid w:val="005275E8"/>
    <w:rsid w:val="00553F70"/>
    <w:rsid w:val="005679CC"/>
    <w:rsid w:val="00571368"/>
    <w:rsid w:val="0059179A"/>
    <w:rsid w:val="005A26C5"/>
    <w:rsid w:val="005A29DF"/>
    <w:rsid w:val="005A78F3"/>
    <w:rsid w:val="005B6ED6"/>
    <w:rsid w:val="005C4942"/>
    <w:rsid w:val="005C5CE1"/>
    <w:rsid w:val="005C631F"/>
    <w:rsid w:val="005D412E"/>
    <w:rsid w:val="005E0DDD"/>
    <w:rsid w:val="005F2BAB"/>
    <w:rsid w:val="00607C03"/>
    <w:rsid w:val="0061122E"/>
    <w:rsid w:val="006135D3"/>
    <w:rsid w:val="0065424B"/>
    <w:rsid w:val="0066401B"/>
    <w:rsid w:val="006712C0"/>
    <w:rsid w:val="00673BFE"/>
    <w:rsid w:val="00680526"/>
    <w:rsid w:val="00685987"/>
    <w:rsid w:val="0069377C"/>
    <w:rsid w:val="0069386B"/>
    <w:rsid w:val="00697358"/>
    <w:rsid w:val="006A554C"/>
    <w:rsid w:val="006A7284"/>
    <w:rsid w:val="006A76FF"/>
    <w:rsid w:val="006B1929"/>
    <w:rsid w:val="006C798A"/>
    <w:rsid w:val="006D4DB5"/>
    <w:rsid w:val="006E0E70"/>
    <w:rsid w:val="006E3815"/>
    <w:rsid w:val="006F3B2B"/>
    <w:rsid w:val="006F3F1F"/>
    <w:rsid w:val="00704187"/>
    <w:rsid w:val="00713532"/>
    <w:rsid w:val="00723A9C"/>
    <w:rsid w:val="0073046F"/>
    <w:rsid w:val="00732913"/>
    <w:rsid w:val="00734F7D"/>
    <w:rsid w:val="007429C5"/>
    <w:rsid w:val="00767A8F"/>
    <w:rsid w:val="0077471D"/>
    <w:rsid w:val="00775379"/>
    <w:rsid w:val="00775CDA"/>
    <w:rsid w:val="007877C6"/>
    <w:rsid w:val="007B27F0"/>
    <w:rsid w:val="007B3074"/>
    <w:rsid w:val="007B34CC"/>
    <w:rsid w:val="007C2420"/>
    <w:rsid w:val="007D4273"/>
    <w:rsid w:val="007E17A6"/>
    <w:rsid w:val="007E24F6"/>
    <w:rsid w:val="007E4C3B"/>
    <w:rsid w:val="007F383C"/>
    <w:rsid w:val="007F42E5"/>
    <w:rsid w:val="007F67A4"/>
    <w:rsid w:val="00813389"/>
    <w:rsid w:val="0081742F"/>
    <w:rsid w:val="008258BC"/>
    <w:rsid w:val="008339DB"/>
    <w:rsid w:val="008470B3"/>
    <w:rsid w:val="00856296"/>
    <w:rsid w:val="0089185A"/>
    <w:rsid w:val="008964C4"/>
    <w:rsid w:val="008A00A8"/>
    <w:rsid w:val="008B1021"/>
    <w:rsid w:val="008B7C58"/>
    <w:rsid w:val="008C62D7"/>
    <w:rsid w:val="008D2FFA"/>
    <w:rsid w:val="008E2710"/>
    <w:rsid w:val="00900294"/>
    <w:rsid w:val="00926DCA"/>
    <w:rsid w:val="0093548A"/>
    <w:rsid w:val="0094145E"/>
    <w:rsid w:val="00946F90"/>
    <w:rsid w:val="00973993"/>
    <w:rsid w:val="009801FA"/>
    <w:rsid w:val="0099293F"/>
    <w:rsid w:val="00997489"/>
    <w:rsid w:val="009B56F3"/>
    <w:rsid w:val="009E15E0"/>
    <w:rsid w:val="009E28D5"/>
    <w:rsid w:val="009E5961"/>
    <w:rsid w:val="009F305F"/>
    <w:rsid w:val="009F73D1"/>
    <w:rsid w:val="00A605F4"/>
    <w:rsid w:val="00A858DD"/>
    <w:rsid w:val="00A87ADE"/>
    <w:rsid w:val="00A94500"/>
    <w:rsid w:val="00A959BD"/>
    <w:rsid w:val="00A968C5"/>
    <w:rsid w:val="00AA6912"/>
    <w:rsid w:val="00AB3738"/>
    <w:rsid w:val="00AB6279"/>
    <w:rsid w:val="00AD3630"/>
    <w:rsid w:val="00AD7167"/>
    <w:rsid w:val="00AE7399"/>
    <w:rsid w:val="00AF1CEF"/>
    <w:rsid w:val="00AF57A3"/>
    <w:rsid w:val="00B033B7"/>
    <w:rsid w:val="00B06433"/>
    <w:rsid w:val="00B245BD"/>
    <w:rsid w:val="00B248CC"/>
    <w:rsid w:val="00B30DDE"/>
    <w:rsid w:val="00B312A1"/>
    <w:rsid w:val="00B46992"/>
    <w:rsid w:val="00B510DD"/>
    <w:rsid w:val="00B74842"/>
    <w:rsid w:val="00B749E3"/>
    <w:rsid w:val="00B855C9"/>
    <w:rsid w:val="00B90467"/>
    <w:rsid w:val="00BB72CC"/>
    <w:rsid w:val="00BC2519"/>
    <w:rsid w:val="00BD5DCA"/>
    <w:rsid w:val="00C0101C"/>
    <w:rsid w:val="00C03DA9"/>
    <w:rsid w:val="00C06B97"/>
    <w:rsid w:val="00C41B96"/>
    <w:rsid w:val="00C64EC1"/>
    <w:rsid w:val="00C67B8F"/>
    <w:rsid w:val="00C73974"/>
    <w:rsid w:val="00C96EF9"/>
    <w:rsid w:val="00CC787B"/>
    <w:rsid w:val="00CF6B84"/>
    <w:rsid w:val="00CF78F1"/>
    <w:rsid w:val="00D13985"/>
    <w:rsid w:val="00D23AFE"/>
    <w:rsid w:val="00D30DA0"/>
    <w:rsid w:val="00D31D32"/>
    <w:rsid w:val="00D409AB"/>
    <w:rsid w:val="00D42265"/>
    <w:rsid w:val="00D6658A"/>
    <w:rsid w:val="00D842B5"/>
    <w:rsid w:val="00D85220"/>
    <w:rsid w:val="00DA3A8A"/>
    <w:rsid w:val="00DC4344"/>
    <w:rsid w:val="00DE7119"/>
    <w:rsid w:val="00DF5347"/>
    <w:rsid w:val="00E04164"/>
    <w:rsid w:val="00E1006C"/>
    <w:rsid w:val="00E27E22"/>
    <w:rsid w:val="00E42D9A"/>
    <w:rsid w:val="00E65BFB"/>
    <w:rsid w:val="00E774E3"/>
    <w:rsid w:val="00E860B0"/>
    <w:rsid w:val="00EC047F"/>
    <w:rsid w:val="00EC60A2"/>
    <w:rsid w:val="00ED0AB1"/>
    <w:rsid w:val="00ED6573"/>
    <w:rsid w:val="00EE59FD"/>
    <w:rsid w:val="00EE6776"/>
    <w:rsid w:val="00EF0176"/>
    <w:rsid w:val="00EF5656"/>
    <w:rsid w:val="00EF5824"/>
    <w:rsid w:val="00F00B5C"/>
    <w:rsid w:val="00F05F97"/>
    <w:rsid w:val="00F15BAC"/>
    <w:rsid w:val="00F15C45"/>
    <w:rsid w:val="00F20000"/>
    <w:rsid w:val="00F36266"/>
    <w:rsid w:val="00F50D11"/>
    <w:rsid w:val="00F52A22"/>
    <w:rsid w:val="00F53243"/>
    <w:rsid w:val="00F61621"/>
    <w:rsid w:val="00F764CA"/>
    <w:rsid w:val="00F87858"/>
    <w:rsid w:val="00F920CD"/>
    <w:rsid w:val="00FA19FF"/>
    <w:rsid w:val="00FA3D8A"/>
    <w:rsid w:val="00FB003C"/>
    <w:rsid w:val="00FB6274"/>
    <w:rsid w:val="00FC11C4"/>
    <w:rsid w:val="00FD7223"/>
    <w:rsid w:val="00FF44C0"/>
    <w:rsid w:val="00FF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7D781-DA82-4A56-A2BB-16CF96A0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9FF"/>
  </w:style>
  <w:style w:type="paragraph" w:styleId="Footer">
    <w:name w:val="footer"/>
    <w:basedOn w:val="Normal"/>
    <w:link w:val="FooterChar"/>
    <w:uiPriority w:val="99"/>
    <w:unhideWhenUsed/>
    <w:rsid w:val="00FA1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9FF"/>
  </w:style>
  <w:style w:type="paragraph" w:styleId="BalloonText">
    <w:name w:val="Balloon Text"/>
    <w:basedOn w:val="Normal"/>
    <w:link w:val="BalloonTextChar"/>
    <w:uiPriority w:val="99"/>
    <w:semiHidden/>
    <w:unhideWhenUsed/>
    <w:rsid w:val="00AA6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12"/>
    <w:rPr>
      <w:rFonts w:ascii="Segoe UI" w:hAnsi="Segoe UI" w:cs="Segoe UI"/>
      <w:sz w:val="18"/>
      <w:szCs w:val="18"/>
    </w:rPr>
  </w:style>
  <w:style w:type="paragraph" w:styleId="ListParagraph">
    <w:name w:val="List Paragraph"/>
    <w:basedOn w:val="Normal"/>
    <w:uiPriority w:val="34"/>
    <w:qFormat/>
    <w:rsid w:val="00CF6B84"/>
    <w:pPr>
      <w:ind w:left="720"/>
      <w:contextualSpacing/>
    </w:pPr>
  </w:style>
  <w:style w:type="paragraph" w:customStyle="1" w:styleId="tv2132">
    <w:name w:val="tv2132"/>
    <w:basedOn w:val="Normal"/>
    <w:rsid w:val="00697358"/>
    <w:pPr>
      <w:spacing w:after="0" w:line="360" w:lineRule="auto"/>
      <w:ind w:firstLine="300"/>
    </w:pPr>
    <w:rPr>
      <w:rFonts w:ascii="Times New Roman" w:eastAsia="Times New Roman" w:hAnsi="Times New Roman" w:cs="Times New Roman"/>
      <w:color w:val="414142"/>
      <w:sz w:val="20"/>
      <w:szCs w:val="20"/>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Vēres atsauce"/>
    <w:basedOn w:val="DefaultParagraphFont"/>
    <w:unhideWhenUsed/>
    <w:rsid w:val="004B4B29"/>
    <w:rPr>
      <w:vertAlign w:val="superscript"/>
    </w:rPr>
  </w:style>
  <w:style w:type="paragraph" w:styleId="FootnoteText">
    <w:name w:val="footnote text"/>
    <w:basedOn w:val="Normal"/>
    <w:link w:val="FootnoteTextChar"/>
    <w:uiPriority w:val="99"/>
    <w:semiHidden/>
    <w:unhideWhenUsed/>
    <w:rsid w:val="004B4B29"/>
    <w:pPr>
      <w:spacing w:after="0" w:line="240" w:lineRule="auto"/>
    </w:pPr>
    <w:rPr>
      <w:rFonts w:ascii="Times New Roman" w:eastAsia="Calibri" w:hAnsi="Times New Roman" w:cs="Times New Roman"/>
      <w:sz w:val="20"/>
      <w:szCs w:val="20"/>
      <w:lang w:val="lv-LV" w:eastAsia="lv-LV"/>
    </w:rPr>
  </w:style>
  <w:style w:type="character" w:customStyle="1" w:styleId="FootnoteTextChar">
    <w:name w:val="Footnote Text Char"/>
    <w:basedOn w:val="DefaultParagraphFont"/>
    <w:link w:val="FootnoteText"/>
    <w:uiPriority w:val="99"/>
    <w:semiHidden/>
    <w:rsid w:val="004B4B29"/>
    <w:rPr>
      <w:rFonts w:ascii="Times New Roman" w:eastAsia="Calibri" w:hAnsi="Times New Roman" w:cs="Times New Roman"/>
      <w:sz w:val="20"/>
      <w:szCs w:val="20"/>
      <w:lang w:val="lv-LV" w:eastAsia="lv-LV"/>
    </w:rPr>
  </w:style>
  <w:style w:type="paragraph" w:styleId="CommentText">
    <w:name w:val="annotation text"/>
    <w:basedOn w:val="Normal"/>
    <w:link w:val="CommentTextChar"/>
    <w:uiPriority w:val="99"/>
    <w:unhideWhenUsed/>
    <w:rsid w:val="00EC047F"/>
    <w:pPr>
      <w:widowControl w:val="0"/>
      <w:spacing w:after="0" w:line="240" w:lineRule="auto"/>
    </w:pPr>
    <w:rPr>
      <w:rFonts w:ascii="Times New Roman" w:eastAsia="Times New Roman" w:hAnsi="Times New Roman" w:cs="Times New Roman"/>
      <w:color w:val="000000"/>
      <w:sz w:val="20"/>
      <w:szCs w:val="20"/>
      <w:lang w:val="lv-LV" w:eastAsia="lv-LV"/>
    </w:rPr>
  </w:style>
  <w:style w:type="character" w:customStyle="1" w:styleId="CommentTextChar">
    <w:name w:val="Comment Text Char"/>
    <w:basedOn w:val="DefaultParagraphFont"/>
    <w:link w:val="CommentText"/>
    <w:uiPriority w:val="99"/>
    <w:rsid w:val="00EC047F"/>
    <w:rPr>
      <w:rFonts w:ascii="Times New Roman" w:eastAsia="Times New Roman" w:hAnsi="Times New Roman" w:cs="Times New Roman"/>
      <w:color w:val="000000"/>
      <w:sz w:val="20"/>
      <w:szCs w:val="20"/>
      <w:lang w:val="lv-LV" w:eastAsia="lv-LV"/>
    </w:rPr>
  </w:style>
  <w:style w:type="character" w:styleId="CommentReference">
    <w:name w:val="annotation reference"/>
    <w:basedOn w:val="DefaultParagraphFont"/>
    <w:uiPriority w:val="99"/>
    <w:unhideWhenUsed/>
    <w:rsid w:val="00285761"/>
    <w:rPr>
      <w:sz w:val="16"/>
      <w:szCs w:val="16"/>
    </w:rPr>
  </w:style>
  <w:style w:type="character" w:styleId="Hyperlink">
    <w:name w:val="Hyperlink"/>
    <w:basedOn w:val="DefaultParagraphFont"/>
    <w:uiPriority w:val="99"/>
    <w:unhideWhenUsed/>
    <w:rsid w:val="002A7128"/>
    <w:rPr>
      <w:color w:val="0000FF"/>
      <w:u w:val="single"/>
    </w:rPr>
  </w:style>
  <w:style w:type="paragraph" w:customStyle="1" w:styleId="tv213">
    <w:name w:val="tv213"/>
    <w:basedOn w:val="Normal"/>
    <w:rsid w:val="009B56F3"/>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ma.abizare-vagr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2C1C8-8D1F-44C8-A366-01E6D59C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8.1.1.SAM un 8.1.4.SAM MK noteikumu grozījumi</vt:lpstr>
    </vt:vector>
  </TitlesOfParts>
  <Company/>
  <LinksUpToDate>false</LinksUpToDate>
  <CharactersWithSpaces>14875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8.1.1.SAM un 8.1.4.SAM MK noteikumu grozījumi</dc:title>
  <dc:subject>Izziņa</dc:subject>
  <dc:creator>Vēsma Abizāre-Vagre, IZM</dc:creator>
  <cp:keywords/>
  <dc:description>tālr. 67047864
vesma.abizare-vagre@izm.gov.lv</dc:description>
  <cp:lastModifiedBy>Vēsma Abizāre-Vagre</cp:lastModifiedBy>
  <cp:revision>22</cp:revision>
  <cp:lastPrinted>2020-01-03T08:05:00Z</cp:lastPrinted>
  <dcterms:created xsi:type="dcterms:W3CDTF">2020-01-02T09:49:00Z</dcterms:created>
  <dcterms:modified xsi:type="dcterms:W3CDTF">2020-01-09T09:19:00Z</dcterms:modified>
</cp:coreProperties>
</file>