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C55" w:rsidRPr="00AF2D84" w:rsidRDefault="0032163A" w:rsidP="002F3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  <w:sdt>
        <w:sdtPr>
          <w:rPr>
            <w:rFonts w:ascii="Times New Roman" w:eastAsia="Times New Roman" w:hAnsi="Times New Roman" w:cs="Times New Roman"/>
            <w:b/>
            <w:bCs/>
            <w:sz w:val="28"/>
            <w:szCs w:val="24"/>
            <w:lang w:eastAsia="lv-LV"/>
          </w:rPr>
          <w:id w:val="882755678"/>
          <w:placeholder>
            <w:docPart w:val="B2513C7936974E769D1103048039203D"/>
          </w:placeholder>
        </w:sdtPr>
        <w:sdtEndPr/>
        <w:sdtContent>
          <w:bookmarkStart w:id="0" w:name="OLE_LINK10"/>
          <w:bookmarkStart w:id="1" w:name="OLE_LINK11"/>
          <w:r w:rsidR="00B74474" w:rsidRPr="00AF2D84">
            <w:rPr>
              <w:rFonts w:ascii="Times New Roman" w:hAnsi="Times New Roman" w:cs="Times New Roman"/>
              <w:b/>
              <w:sz w:val="28"/>
              <w:szCs w:val="28"/>
            </w:rPr>
            <w:t>Ministru kabineta noteikumu projekta</w:t>
          </w:r>
          <w:bookmarkEnd w:id="0"/>
          <w:bookmarkEnd w:id="1"/>
          <w:r w:rsidR="00B74474" w:rsidRPr="00AF2D84">
            <w:rPr>
              <w:rFonts w:ascii="Times New Roman" w:hAnsi="Times New Roman" w:cs="Times New Roman"/>
              <w:b/>
              <w:sz w:val="28"/>
              <w:szCs w:val="28"/>
            </w:rPr>
            <w:t xml:space="preserve"> “</w:t>
          </w:r>
          <w:r w:rsidR="00B74474" w:rsidRPr="00AF2D84">
            <w:rPr>
              <w:rFonts w:ascii="Times New Roman" w:hAnsi="Times New Roman" w:cs="Times New Roman"/>
              <w:b/>
              <w:iCs/>
              <w:sz w:val="28"/>
            </w:rPr>
            <w:t>Grozījumi Ministru kabineta 2018. gada 13. novembra noteikumos Nr. 690 “</w:t>
          </w:r>
          <w:r w:rsidR="00B74474" w:rsidRPr="00AF2D84">
            <w:rPr>
              <w:rFonts w:ascii="Times New Roman" w:hAnsi="Times New Roman" w:cs="Times New Roman"/>
              <w:b/>
              <w:sz w:val="28"/>
            </w:rPr>
            <w:t xml:space="preserve">Noteikumi par personas darba vai dienesta gaitu un izglītību apliecinošiem dokumentiem, kuriem ir </w:t>
          </w:r>
          <w:proofErr w:type="spellStart"/>
          <w:r w:rsidR="00B74474" w:rsidRPr="00AF2D84">
            <w:rPr>
              <w:rFonts w:ascii="Times New Roman" w:hAnsi="Times New Roman" w:cs="Times New Roman"/>
              <w:b/>
              <w:sz w:val="28"/>
            </w:rPr>
            <w:t>arhīviska</w:t>
          </w:r>
          <w:proofErr w:type="spellEnd"/>
          <w:r w:rsidR="00B74474" w:rsidRPr="00AF2D84">
            <w:rPr>
              <w:rFonts w:ascii="Times New Roman" w:hAnsi="Times New Roman" w:cs="Times New Roman"/>
              <w:b/>
              <w:sz w:val="28"/>
            </w:rPr>
            <w:t xml:space="preserve"> vērtība, un to glabāšanas termiņiem</w:t>
          </w:r>
          <w:r w:rsidR="00B74474" w:rsidRPr="00AF2D84">
            <w:rPr>
              <w:rFonts w:ascii="Times New Roman" w:hAnsi="Times New Roman" w:cs="Times New Roman"/>
              <w:b/>
              <w:iCs/>
              <w:sz w:val="28"/>
            </w:rPr>
            <w:t>”</w:t>
          </w:r>
          <w:r w:rsidR="00B74474" w:rsidRPr="00AF2D84">
            <w:rPr>
              <w:rFonts w:ascii="Times New Roman" w:hAnsi="Times New Roman" w:cs="Times New Roman"/>
              <w:b/>
              <w:sz w:val="28"/>
              <w:szCs w:val="28"/>
            </w:rPr>
            <w:t xml:space="preserve">” </w:t>
          </w:r>
        </w:sdtContent>
      </w:sdt>
      <w:r w:rsidR="00894C55" w:rsidRPr="00AF2D84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 projekta</w:t>
      </w:r>
      <w:r w:rsidR="003B0BF9" w:rsidRPr="00AF2D84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br/>
      </w:r>
      <w:r w:rsidR="00894C55" w:rsidRPr="00AF2D84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sākotnējās ietekmes novērtējuma ziņojums (anotācija)</w:t>
      </w:r>
    </w:p>
    <w:p w:rsidR="00E5323B" w:rsidRPr="00AF2D84" w:rsidRDefault="00E5323B" w:rsidP="002F3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97"/>
        <w:gridCol w:w="5524"/>
      </w:tblGrid>
      <w:tr w:rsidR="002F3394" w:rsidRPr="00AF2D84" w:rsidTr="00E5323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9C0F8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9C0F8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Tiesību akta projekta anotācijas kopsavilkums</w:t>
            </w:r>
          </w:p>
        </w:tc>
      </w:tr>
      <w:tr w:rsidR="002F3394" w:rsidRPr="00AF2D84" w:rsidTr="00E5323B">
        <w:trPr>
          <w:tblCellSpacing w:w="15" w:type="dxa"/>
        </w:trPr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C0F8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9C0F8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1A3B" w:rsidRPr="00AF2D84" w:rsidRDefault="00FD1A3B" w:rsidP="002F33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AF2D84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Nav attiecināms.</w:t>
            </w:r>
          </w:p>
          <w:p w:rsidR="00C06293" w:rsidRPr="00AF2D84" w:rsidRDefault="00C06293" w:rsidP="002F33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</w:tbl>
    <w:p w:rsidR="00E5323B" w:rsidRPr="009C0F86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9C0F86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Ind w:w="-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6"/>
        <w:gridCol w:w="2859"/>
        <w:gridCol w:w="5886"/>
      </w:tblGrid>
      <w:tr w:rsidR="002F3394" w:rsidRPr="00AF2D84" w:rsidTr="002F3394">
        <w:trPr>
          <w:tblCellSpacing w:w="15" w:type="dxa"/>
        </w:trPr>
        <w:tc>
          <w:tcPr>
            <w:tcW w:w="49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9C0F8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9C0F8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I. Tiesību akta projekta izstrādes nepieciešamība</w:t>
            </w:r>
          </w:p>
        </w:tc>
      </w:tr>
      <w:tr w:rsidR="002F3394" w:rsidRPr="00AF2D84" w:rsidTr="009C0F86">
        <w:trPr>
          <w:trHeight w:val="916"/>
          <w:tblCellSpacing w:w="15" w:type="dxa"/>
        </w:trPr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9C0F8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9C0F8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C0F8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9C0F8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Pamatojums</w:t>
            </w:r>
          </w:p>
        </w:tc>
        <w:tc>
          <w:tcPr>
            <w:tcW w:w="3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AF2D84" w:rsidRDefault="00807A1D" w:rsidP="00894FB6">
            <w:pPr>
              <w:pStyle w:val="tv21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F2D84">
              <w:rPr>
                <w:sz w:val="28"/>
                <w:szCs w:val="28"/>
              </w:rPr>
              <w:t xml:space="preserve">Arhīva likuma </w:t>
            </w:r>
            <w:r w:rsidR="001621D8" w:rsidRPr="00AF2D84">
              <w:rPr>
                <w:sz w:val="28"/>
                <w:szCs w:val="28"/>
              </w:rPr>
              <w:t xml:space="preserve">4.panta ceturtā daļa un </w:t>
            </w:r>
            <w:r w:rsidRPr="00AF2D84">
              <w:rPr>
                <w:sz w:val="28"/>
                <w:szCs w:val="28"/>
              </w:rPr>
              <w:t>8.panta o</w:t>
            </w:r>
            <w:r w:rsidRPr="006C4444">
              <w:rPr>
                <w:sz w:val="28"/>
                <w:szCs w:val="28"/>
              </w:rPr>
              <w:t>trā da</w:t>
            </w:r>
            <w:r w:rsidRPr="00894FB6">
              <w:rPr>
                <w:sz w:val="28"/>
                <w:szCs w:val="28"/>
              </w:rPr>
              <w:t xml:space="preserve">ļa, </w:t>
            </w:r>
            <w:r w:rsidR="00FD1A3B" w:rsidRPr="00894FB6">
              <w:rPr>
                <w:sz w:val="28"/>
                <w:szCs w:val="28"/>
              </w:rPr>
              <w:t>Korupcijas novēršanas un apkarošanas biroja</w:t>
            </w:r>
            <w:r w:rsidR="00FD1A3B" w:rsidRPr="00FE7BBB">
              <w:rPr>
                <w:sz w:val="28"/>
                <w:szCs w:val="28"/>
              </w:rPr>
              <w:t xml:space="preserve"> (turpmāk – </w:t>
            </w:r>
            <w:r w:rsidR="00FD1A3B" w:rsidRPr="00AF2D84">
              <w:rPr>
                <w:bCs/>
                <w:sz w:val="28"/>
                <w:szCs w:val="28"/>
              </w:rPr>
              <w:t>Birojs) iniciatīva.</w:t>
            </w:r>
          </w:p>
        </w:tc>
      </w:tr>
      <w:tr w:rsidR="002F3394" w:rsidRPr="00AF2D84" w:rsidTr="002F3394">
        <w:trPr>
          <w:tblCellSpacing w:w="15" w:type="dxa"/>
        </w:trPr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894FB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894FB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136DD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894FB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Pašreizējā situācija un problēmas, kuru risināšanai tiesību akta projekts izstrādāts, tiesiskā regulējuma </w:t>
            </w:r>
            <w:r w:rsidRPr="00136DD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mērķis un būtība</w:t>
            </w:r>
          </w:p>
        </w:tc>
        <w:tc>
          <w:tcPr>
            <w:tcW w:w="3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4096" w:rsidRDefault="00524096" w:rsidP="000C5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Arhīva likuma 1.</w:t>
            </w:r>
            <w:r w:rsidR="003B16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panta 3.</w:t>
            </w:r>
            <w:r w:rsidR="003B16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punktā noteikts, ka </w:t>
            </w:r>
            <w:proofErr w:type="spellStart"/>
            <w:r w:rsidRPr="0052409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arhīviskā</w:t>
            </w:r>
            <w:proofErr w:type="spellEnd"/>
            <w:r w:rsidRPr="0052409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vērtība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ir</w:t>
            </w:r>
            <w:r w:rsidRPr="0052409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dokumenta informatīvais nozīmīgums vai šā dokumenta pierādījuma vērtība, ko izvērtē šajā likumā noteiktajā kārtībā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 Secīgi atbilstoši minētā likuma 8.</w:t>
            </w:r>
            <w:r w:rsidR="003B16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</w:t>
            </w:r>
            <w:r w:rsidR="009370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panta 2.</w:t>
            </w:r>
            <w:r w:rsidR="003B16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</w:t>
            </w:r>
            <w:r w:rsidR="009370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punktam viens no kritērijiem</w:t>
            </w:r>
            <w:r w:rsidR="00136DD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, lai noteiktu dokumenta </w:t>
            </w:r>
            <w:proofErr w:type="spellStart"/>
            <w:r w:rsidR="00136DD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arhīvisko</w:t>
            </w:r>
            <w:proofErr w:type="spellEnd"/>
            <w:r w:rsidR="00136DD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vērtību, </w:t>
            </w:r>
            <w:r w:rsidR="009370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ir, ka dokuments</w:t>
            </w:r>
            <w:r w:rsidR="00136DD9" w:rsidRPr="00136DD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ilgstoši izmantojams institūcijas vai privātpersonas pienākumu un tiesī</w:t>
            </w:r>
            <w:r w:rsidR="009370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bu īstenošanai un aizsardzībai</w:t>
            </w:r>
            <w:r w:rsidR="00136DD9" w:rsidRPr="00136DD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</w:t>
            </w:r>
            <w:r w:rsidR="00136DD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Personas dienesta gaitu apliecino</w:t>
            </w:r>
            <w:r w:rsidR="00FC48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šos dokumentus, kuriem ir </w:t>
            </w:r>
            <w:proofErr w:type="spellStart"/>
            <w:r w:rsidR="00FC48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arhīviskā</w:t>
            </w:r>
            <w:proofErr w:type="spellEnd"/>
            <w:r w:rsidR="00FC48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vērt</w:t>
            </w:r>
            <w:r w:rsidR="006C444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ība,</w:t>
            </w:r>
            <w:r w:rsidR="00FC48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deleģēts noteikt Ministru kabinetam.</w:t>
            </w:r>
            <w:r w:rsidR="00FC48AF">
              <w:t xml:space="preserve"> </w:t>
            </w:r>
            <w:r w:rsidR="00FC48AF" w:rsidRPr="00FC48AF">
              <w:rPr>
                <w:rFonts w:ascii="Times New Roman" w:hAnsi="Times New Roman" w:cs="Times New Roman"/>
                <w:sz w:val="28"/>
                <w:szCs w:val="28"/>
              </w:rPr>
              <w:t xml:space="preserve">Attiecīgi </w:t>
            </w:r>
            <w:r w:rsidR="006C444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Ministru kabineta</w:t>
            </w:r>
            <w:r w:rsidR="00FC48AF" w:rsidRPr="00FC48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2018.</w:t>
            </w:r>
            <w:r w:rsidR="003B16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</w:t>
            </w:r>
            <w:r w:rsidR="00FC48AF" w:rsidRPr="00FC48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gada 13.</w:t>
            </w:r>
            <w:r w:rsidR="003B16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</w:t>
            </w:r>
            <w:r w:rsidR="00FC48AF" w:rsidRPr="00FC48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novembra noteikumos Nr.</w:t>
            </w:r>
            <w:r w:rsidR="003B16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</w:t>
            </w:r>
            <w:r w:rsidR="00FC48AF" w:rsidRPr="00FC48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690 “Noteikumi par personas darba vai dienesta gaitu un izglītību apliecinošiem dokumentiem, kuriem ir </w:t>
            </w:r>
            <w:proofErr w:type="spellStart"/>
            <w:r w:rsidR="00FC48AF" w:rsidRPr="00FC48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arhīviska</w:t>
            </w:r>
            <w:proofErr w:type="spellEnd"/>
            <w:r w:rsidR="00FC48AF" w:rsidRPr="00FC48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vērtība, un to glabāšanas termiņiem” (turpmāk – Noteikumi Nr.690), cita starpā, noteikti personas dienesta gaitu apliecinošie dokumenti, kuriem ir </w:t>
            </w:r>
            <w:proofErr w:type="spellStart"/>
            <w:r w:rsidR="00FC48AF" w:rsidRPr="00FC48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arhīviska</w:t>
            </w:r>
            <w:proofErr w:type="spellEnd"/>
            <w:r w:rsidR="00FC48AF" w:rsidRPr="00FC48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vērtība, un to glabāšanas te</w:t>
            </w:r>
            <w:r w:rsidR="005A36F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rmiņi. Atbilstoši Noteikumu Nr.</w:t>
            </w:r>
            <w:r w:rsidR="00FE7BB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690 4.</w:t>
            </w:r>
            <w:r w:rsidR="00FC48AF" w:rsidRPr="00FC48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punktā minētajam dienesta gaitu apliecinoši dokumenti ar </w:t>
            </w:r>
            <w:proofErr w:type="spellStart"/>
            <w:r w:rsidR="00FC48AF" w:rsidRPr="00FC48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arhīvisku</w:t>
            </w:r>
            <w:proofErr w:type="spellEnd"/>
            <w:r w:rsidR="00FC48AF" w:rsidRPr="00FC48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vērtību ir par militārā dienesta gaitu, dienestu Iekšlietu ministrijas iestādēs, dienestu Ieslodzījuma vietu pārvaldē, dienestu drošības iestādēs, diplomātiskā un konsulārā dienesta gaitu un dienestu Valsts ieņēmumu dienestā.</w:t>
            </w:r>
          </w:p>
          <w:p w:rsidR="001621D8" w:rsidRPr="00FC48AF" w:rsidRDefault="001621D8" w:rsidP="00894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52409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Korupcijas novēršanas un apkarošanas biroja </w:t>
            </w:r>
            <w:r w:rsidRPr="0052409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lastRenderedPageBreak/>
              <w:t>likuma 5.panta trešā daļa nosaka, ka Biroja amatpersona ir nodarbināta valsts diene</w:t>
            </w:r>
            <w:r w:rsidRPr="00894FB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sta </w:t>
            </w:r>
            <w:r w:rsidRPr="00FC48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attiecībās.</w:t>
            </w:r>
            <w:r w:rsidR="006C444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Līdz ar to arī dokumenti par dienestu Birojā ir ar </w:t>
            </w:r>
            <w:proofErr w:type="spellStart"/>
            <w:r w:rsidR="006C444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arhīvisku</w:t>
            </w:r>
            <w:proofErr w:type="spellEnd"/>
            <w:r w:rsidR="006C444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vērtību, jo</w:t>
            </w:r>
            <w:r w:rsidR="005A36F5">
              <w:t xml:space="preserve"> </w:t>
            </w:r>
            <w:r w:rsidR="005A36F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tie ir</w:t>
            </w:r>
            <w:r w:rsidR="005A36F5" w:rsidRPr="00E56F9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ilgstoši izmantojam</w:t>
            </w:r>
            <w:r w:rsidR="005A36F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i</w:t>
            </w:r>
            <w:r w:rsidR="005A36F5" w:rsidRPr="00E56F9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</w:t>
            </w:r>
            <w:r w:rsidR="005A36F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Biroja amatperson</w:t>
            </w:r>
            <w:r w:rsidR="0075638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u </w:t>
            </w:r>
            <w:r w:rsidR="005A36F5" w:rsidRPr="005A36F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interešu aizsardzībai visas dz</w:t>
            </w:r>
            <w:r w:rsidR="0075638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īves laikā un atsevišķos gadījumos</w:t>
            </w:r>
            <w:r w:rsidR="005A36F5" w:rsidRPr="005A36F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arī pēc nāves</w:t>
            </w:r>
            <w:r w:rsidR="00E56F9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, un būtu glabājami 75 gadus.</w:t>
            </w:r>
          </w:p>
          <w:p w:rsidR="00E5323B" w:rsidRPr="00894FB6" w:rsidRDefault="001621D8" w:rsidP="009C0F86">
            <w:pPr>
              <w:jc w:val="both"/>
              <w:rPr>
                <w:sz w:val="28"/>
                <w:szCs w:val="28"/>
              </w:rPr>
            </w:pPr>
            <w:r w:rsidRPr="00AF2D8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Ņemot vērā</w:t>
            </w:r>
            <w:r w:rsidR="005A36F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minēto,</w:t>
            </w:r>
            <w:r w:rsidR="00AF2D8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Noteikumi Nr.690 papildināmi ar 4.7.</w:t>
            </w:r>
            <w:r w:rsidR="0035705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</w:t>
            </w:r>
            <w:r w:rsidR="00AF2D8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apakšpunktu</w:t>
            </w:r>
            <w:r w:rsidR="00AF2D84">
              <w:t xml:space="preserve"> </w:t>
            </w:r>
            <w:r w:rsidR="00AF2D8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šādā redakcijā: </w:t>
            </w:r>
            <w:r w:rsidR="00AF2D84" w:rsidRPr="00AF2D8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“4.7. dokumenti par dienestu Korupcijas nov</w:t>
            </w:r>
            <w:r w:rsidR="00AF2D8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ēršanas un apkarošanas birojā.”.</w:t>
            </w:r>
            <w:r w:rsidR="00FE7BB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</w:t>
            </w:r>
            <w:r w:rsidR="00AF2D8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Vienlaikus papildināms arī Noteikumu Nr.</w:t>
            </w:r>
            <w:r w:rsidR="0035705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</w:t>
            </w:r>
            <w:r w:rsidR="00AF2D8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690 6.1.apakšpunkts, nosakot, ka </w:t>
            </w:r>
            <w:r w:rsidR="00AF2D84" w:rsidRPr="00AF2D8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dokumenti par dienestu </w:t>
            </w:r>
            <w:r w:rsidR="00AF2D8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B</w:t>
            </w:r>
            <w:r w:rsidR="00AF2D84" w:rsidRPr="00AF2D8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irojā</w:t>
            </w:r>
            <w:r w:rsidR="00AF2D84">
              <w:t xml:space="preserve"> </w:t>
            </w:r>
            <w:r w:rsidR="00AF2D84" w:rsidRPr="00AF2D8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glabā</w:t>
            </w:r>
            <w:r w:rsidR="00AF2D8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jami 75 gadus, un, j</w:t>
            </w:r>
            <w:r w:rsidR="00AF2D84" w:rsidRPr="00AF2D8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a dokumentos ir informācija ar vēsturisku, sabiedrisku, kultūras vai zinātnisku nozīmi, tos glabā pastāvīgi</w:t>
            </w:r>
            <w:r w:rsidR="00AF2D8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</w:tc>
      </w:tr>
      <w:tr w:rsidR="002F3394" w:rsidRPr="00AF2D84" w:rsidTr="002F3394">
        <w:trPr>
          <w:tblCellSpacing w:w="15" w:type="dxa"/>
        </w:trPr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9C0F8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lv-LV"/>
              </w:rPr>
            </w:pPr>
            <w:r w:rsidRPr="00357057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C0F8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lv-LV"/>
              </w:rPr>
            </w:pPr>
            <w:r w:rsidRPr="009C0F86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C0F86" w:rsidRDefault="002F3394" w:rsidP="002F339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lv-LV"/>
              </w:rPr>
            </w:pPr>
            <w:r w:rsidRPr="009C0F86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lv-LV"/>
              </w:rPr>
              <w:t>Birojs</w:t>
            </w:r>
          </w:p>
        </w:tc>
      </w:tr>
      <w:tr w:rsidR="002F3394" w:rsidRPr="00AF2D84" w:rsidTr="002F3394">
        <w:trPr>
          <w:tblCellSpacing w:w="15" w:type="dxa"/>
        </w:trPr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9C0F8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35705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C0F8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9C0F8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C0F86" w:rsidRDefault="004D6066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9C0F8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Nav</w:t>
            </w:r>
          </w:p>
        </w:tc>
      </w:tr>
    </w:tbl>
    <w:p w:rsidR="00E5323B" w:rsidRPr="009C0F86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9C0F86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91"/>
        <w:gridCol w:w="3124"/>
        <w:gridCol w:w="5506"/>
      </w:tblGrid>
      <w:tr w:rsidR="002F3394" w:rsidRPr="00AF2D84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9C0F8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9C0F8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2F3394" w:rsidRPr="00AF2D84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9C0F8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35705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C0F8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9C0F8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Sabiedrības </w:t>
            </w:r>
            <w:proofErr w:type="spellStart"/>
            <w:r w:rsidRPr="009C0F8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mērķgrupas</w:t>
            </w:r>
            <w:proofErr w:type="spellEnd"/>
            <w:r w:rsidRPr="009C0F8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, kuras tiesiskais regulējums ietekmē vai varētu ietekmēt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357057" w:rsidRDefault="00823CFE" w:rsidP="00AD2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9C0F8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Noteikumu projekts ietekmē Biroja</w:t>
            </w:r>
            <w:r w:rsidR="00AF2D8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</w:t>
            </w:r>
            <w:r w:rsidR="00AF2D84" w:rsidRPr="0035705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amatpersona</w:t>
            </w:r>
            <w:r w:rsidR="0075638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s, kuru</w:t>
            </w:r>
            <w:r w:rsidR="00756385">
              <w:t xml:space="preserve"> </w:t>
            </w:r>
            <w:r w:rsidR="00756385" w:rsidRPr="0075638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pienākumu un tiesību īstenošanai un aizsardzībai</w:t>
            </w:r>
            <w:r w:rsidR="00756385" w:rsidRPr="00894FB6" w:rsidDel="00AF2D8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</w:t>
            </w:r>
            <w:r w:rsidR="0075638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var tikt izmantoti dokumenti par dienestu Birojā</w:t>
            </w:r>
            <w:r w:rsidRPr="00AF2D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F3394" w:rsidRPr="00AF2D84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9C0F8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35705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C0F8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9C0F8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C0F86" w:rsidRDefault="00E65D7F" w:rsidP="00AD2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AF2D8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Ietekme uz tautsaimniecību netiek prognozēta.</w:t>
            </w:r>
          </w:p>
        </w:tc>
      </w:tr>
      <w:tr w:rsidR="002F3394" w:rsidRPr="00AF2D84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35705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35705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35705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35705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Administratīvo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357057" w:rsidRDefault="00E65D7F" w:rsidP="00AD2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F2D8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Noteikumu projektā ietvertajam tiesiskajam regulējumam nav ietekmes uz administratīvajām izmaksām.</w:t>
            </w:r>
          </w:p>
        </w:tc>
      </w:tr>
      <w:tr w:rsidR="002F3394" w:rsidRPr="00AF2D84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35705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35705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35705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35705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Atbilstības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357057" w:rsidRDefault="00E65D7F" w:rsidP="00AD2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F2D8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Noteikumu projektā ietvertajam tiesiskajam regulējumam nav ietekmes uz atbilstības </w:t>
            </w:r>
            <w:r w:rsidRPr="00AF2D8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lastRenderedPageBreak/>
              <w:t>izmaksām.</w:t>
            </w:r>
          </w:p>
        </w:tc>
      </w:tr>
      <w:tr w:rsidR="002F3394" w:rsidRPr="00AF2D84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35705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lv-LV"/>
              </w:rPr>
            </w:pPr>
            <w:r w:rsidRPr="00357057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lv-LV"/>
              </w:rPr>
              <w:lastRenderedPageBreak/>
              <w:t>5.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35705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lv-LV"/>
              </w:rPr>
            </w:pPr>
            <w:r w:rsidRPr="00357057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357057" w:rsidRDefault="00386C47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F2D8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Nav</w:t>
            </w:r>
          </w:p>
        </w:tc>
      </w:tr>
    </w:tbl>
    <w:p w:rsidR="00E5323B" w:rsidRPr="00357057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357057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21"/>
      </w:tblGrid>
      <w:tr w:rsidR="002F3394" w:rsidRPr="00AF2D84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357057" w:rsidRDefault="00E5323B" w:rsidP="008D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35705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2F3394" w:rsidRPr="00AF2D84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25B7" w:rsidRPr="00357057" w:rsidRDefault="009125B7" w:rsidP="008D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AF2D8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Projekts šo jomu neskar.</w:t>
            </w:r>
          </w:p>
        </w:tc>
      </w:tr>
    </w:tbl>
    <w:p w:rsidR="00E5323B" w:rsidRPr="00357057" w:rsidRDefault="00E5323B" w:rsidP="008D7B8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21"/>
      </w:tblGrid>
      <w:tr w:rsidR="002F3394" w:rsidRPr="00AF2D84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357057" w:rsidRDefault="00E5323B" w:rsidP="008D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35705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2F3394" w:rsidRPr="00AF2D84" w:rsidTr="0050306C">
        <w:trPr>
          <w:trHeight w:val="360"/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0306C" w:rsidRPr="00357057" w:rsidRDefault="009125B7" w:rsidP="008D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F2D8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Projekts šo jomu neskar.</w:t>
            </w:r>
          </w:p>
        </w:tc>
      </w:tr>
    </w:tbl>
    <w:p w:rsidR="00E5323B" w:rsidRPr="00357057" w:rsidRDefault="00E5323B" w:rsidP="008D7B8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21"/>
      </w:tblGrid>
      <w:tr w:rsidR="002F3394" w:rsidRPr="00AF2D84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357057" w:rsidRDefault="00E5323B" w:rsidP="008D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35705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</w:t>
            </w:r>
            <w:r w:rsidRPr="0035705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  <w:lang w:eastAsia="lv-LV"/>
              </w:rPr>
              <w:t>. Tiesību akta projekta atbilstība Latvijas Republikas starptautiskajām saistībām</w:t>
            </w:r>
          </w:p>
        </w:tc>
      </w:tr>
      <w:tr w:rsidR="002F3394" w:rsidRPr="00AF2D84" w:rsidTr="009125B7">
        <w:trPr>
          <w:trHeight w:val="183"/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125B7" w:rsidRPr="00357057" w:rsidRDefault="009125B7" w:rsidP="0091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F2D8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Projekts šo jomu neskar.</w:t>
            </w:r>
          </w:p>
        </w:tc>
      </w:tr>
    </w:tbl>
    <w:p w:rsidR="00E5323B" w:rsidRPr="00357057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357057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2"/>
        <w:gridCol w:w="3076"/>
        <w:gridCol w:w="5603"/>
      </w:tblGrid>
      <w:tr w:rsidR="002F3394" w:rsidRPr="00AF2D84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357057" w:rsidRDefault="00E5323B" w:rsidP="00001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35705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VI. Sabiedrības līdzdalība un komunikācijas aktivitātes</w:t>
            </w:r>
          </w:p>
        </w:tc>
      </w:tr>
      <w:tr w:rsidR="002F3394" w:rsidRPr="00AF2D84" w:rsidTr="004A10FE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35705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35705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35705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35705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866" w:rsidRPr="00AF2D84" w:rsidRDefault="005B0866" w:rsidP="00AA0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AF2D8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Pirms </w:t>
            </w:r>
            <w:r w:rsidR="005F764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noteikumu projekta</w:t>
            </w:r>
            <w:r w:rsidRPr="00AF2D8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izsludināšanas Valsts sekretāru sanāksmē Biroja un Valsts kancelejas tīmekļvietnē</w:t>
            </w:r>
            <w:r w:rsidR="006A07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tika </w:t>
            </w:r>
            <w:r w:rsidRPr="00AF2D8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publicēts paziņojums par līdzdalības iespējām.</w:t>
            </w:r>
          </w:p>
          <w:p w:rsidR="00E5323B" w:rsidRPr="00AF2D84" w:rsidRDefault="00F01ADC" w:rsidP="00DE1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Izsludinot noteikumu projektu Valsts sekretāru sanāksmē, tiks lūgts </w:t>
            </w:r>
            <w:r w:rsidR="00DE1F9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sniegt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atzinumu Korupcijas novēršanas un apkarošanas biroja Sabiedriski konsultatīvajai padomei.</w:t>
            </w:r>
            <w:r w:rsidR="00DE1F9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</w:t>
            </w:r>
          </w:p>
        </w:tc>
      </w:tr>
      <w:tr w:rsidR="002F3394" w:rsidRPr="00AF2D84" w:rsidTr="004A10FE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35705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35705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35705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35705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Sabiedrības līdzdalība projekta izstrādē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AA0F22" w:rsidRDefault="006D5548" w:rsidP="00D9560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A0F22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Noteikumu projekts 2020. gada 29. janvārī tika publicēts Biroja </w:t>
            </w:r>
            <w:r w:rsidR="00D95604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tīmekļvietnes</w:t>
            </w:r>
            <w:r w:rsidRPr="00AA0F22">
              <w:rPr>
                <w:rFonts w:ascii="Times New Roman" w:hAnsi="Times New Roman"/>
                <w:sz w:val="28"/>
                <w:szCs w:val="28"/>
                <w:lang w:eastAsia="lv-LV"/>
              </w:rPr>
              <w:t xml:space="preserve"> sadaļā “</w:t>
            </w:r>
            <w:r w:rsidR="00AA0F22">
              <w:rPr>
                <w:rFonts w:ascii="Times New Roman" w:hAnsi="Times New Roman"/>
                <w:sz w:val="28"/>
                <w:szCs w:val="28"/>
                <w:lang w:eastAsia="lv-LV"/>
              </w:rPr>
              <w:t>Tiesību aktu </w:t>
            </w:r>
            <w:r w:rsidRPr="00AA0F22">
              <w:rPr>
                <w:rFonts w:ascii="Times New Roman" w:hAnsi="Times New Roman"/>
                <w:sz w:val="28"/>
                <w:szCs w:val="28"/>
                <w:lang w:eastAsia="lv-LV"/>
              </w:rPr>
              <w:t>projekti”</w:t>
            </w:r>
            <w:r w:rsidRPr="00AA0F22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 </w:t>
            </w:r>
            <w:hyperlink r:id="rId7" w:history="1">
              <w:r w:rsidRPr="00AA0F22">
                <w:rPr>
                  <w:rStyle w:val="Hyperlink"/>
                  <w:rFonts w:ascii="Times New Roman" w:eastAsia="Times New Roman" w:hAnsi="Times New Roman"/>
                  <w:color w:val="auto"/>
                  <w:sz w:val="28"/>
                  <w:szCs w:val="28"/>
                  <w:lang w:eastAsia="lv-LV"/>
                </w:rPr>
                <w:t>https://www.knab.gov.lv/lv/legislations/projects/</w:t>
              </w:r>
            </w:hyperlink>
            <w:r w:rsidRPr="00AA0F22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 un Valsts kancelejas mājas l</w:t>
            </w:r>
            <w:r w:rsidR="00AA0F22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a</w:t>
            </w:r>
            <w:r w:rsidRPr="00AA0F22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pā pirms tā iesniegšanas izsludināšanai Valsts sekretāru sanāksmē, </w:t>
            </w:r>
            <w:r w:rsidRPr="00AA0F22">
              <w:rPr>
                <w:rStyle w:val="Hyperlink"/>
                <w:rFonts w:ascii="Times New Roman" w:hAnsi="Times New Roman"/>
                <w:color w:val="auto"/>
                <w:sz w:val="28"/>
                <w:szCs w:val="28"/>
                <w:u w:val="none"/>
                <w:lang w:eastAsia="lv-LV"/>
              </w:rPr>
              <w:t>nodrošinot iespēju sabiedrības pārstāvjiem</w:t>
            </w:r>
            <w:r w:rsidRPr="00AA0F22">
              <w:rPr>
                <w:rFonts w:ascii="Times New Roman" w:hAnsi="Times New Roman"/>
                <w:sz w:val="28"/>
                <w:szCs w:val="28"/>
              </w:rPr>
              <w:t xml:space="preserve"> izteikt viedokli rakstiski atbilstoši Ministru kabineta 2009. gada</w:t>
            </w:r>
            <w:r w:rsidR="00AA0F22">
              <w:rPr>
                <w:rFonts w:ascii="Times New Roman" w:hAnsi="Times New Roman"/>
                <w:sz w:val="28"/>
                <w:szCs w:val="28"/>
              </w:rPr>
              <w:t xml:space="preserve"> 25. augusta noteikumu Nr. 970 ”</w:t>
            </w:r>
            <w:r w:rsidRPr="00AA0F22">
              <w:rPr>
                <w:rFonts w:ascii="Times New Roman" w:hAnsi="Times New Roman"/>
                <w:sz w:val="28"/>
                <w:szCs w:val="28"/>
              </w:rPr>
              <w:t>Sabiedrības līdzdalības kārtība attīstības plānošanas procesā</w:t>
            </w:r>
            <w:r w:rsidR="00AA0F22">
              <w:rPr>
                <w:rFonts w:ascii="Times New Roman" w:hAnsi="Times New Roman"/>
                <w:sz w:val="28"/>
                <w:szCs w:val="28"/>
              </w:rPr>
              <w:t>”</w:t>
            </w:r>
            <w:r w:rsidRPr="00AA0F22">
              <w:rPr>
                <w:rFonts w:ascii="Times New Roman" w:hAnsi="Times New Roman"/>
                <w:sz w:val="28"/>
                <w:szCs w:val="28"/>
              </w:rPr>
              <w:t xml:space="preserve"> 7.4.</w:t>
            </w:r>
            <w:r w:rsidRPr="00AA0F22">
              <w:rPr>
                <w:rFonts w:ascii="Times New Roman" w:hAnsi="Times New Roman"/>
                <w:sz w:val="28"/>
                <w:szCs w:val="28"/>
                <w:vertAlign w:val="superscript"/>
              </w:rPr>
              <w:t>1 </w:t>
            </w:r>
            <w:r w:rsidRPr="00AA0F22">
              <w:rPr>
                <w:rFonts w:ascii="Times New Roman" w:hAnsi="Times New Roman"/>
                <w:sz w:val="28"/>
                <w:szCs w:val="28"/>
              </w:rPr>
              <w:t>apakšpunktā minētajam</w:t>
            </w:r>
            <w:r w:rsidR="00AA0F22" w:rsidRPr="00AA0F22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</w:tc>
      </w:tr>
      <w:tr w:rsidR="002F3394" w:rsidRPr="00AF2D84" w:rsidTr="004A10FE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35705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35705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35705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35705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Sabiedrības līdzdalības rezultāti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5F4F21" w:rsidRDefault="005F4F21" w:rsidP="005F4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5F4F21">
              <w:rPr>
                <w:rFonts w:ascii="Times New Roman" w:hAnsi="Times New Roman"/>
                <w:sz w:val="28"/>
                <w:szCs w:val="24"/>
                <w:lang w:eastAsia="lv-LV"/>
              </w:rPr>
              <w:t>Sabiedrības līdzdalības ietvaros iebildumi vai priekšlikumi netika saņemti.</w:t>
            </w:r>
          </w:p>
        </w:tc>
      </w:tr>
      <w:tr w:rsidR="002F3394" w:rsidRPr="00AF2D84" w:rsidTr="004A10FE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35705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35705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35705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35705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357057" w:rsidRDefault="00001877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35705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Nav</w:t>
            </w:r>
          </w:p>
        </w:tc>
      </w:tr>
    </w:tbl>
    <w:p w:rsidR="00E5323B" w:rsidRPr="00357057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357057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91"/>
        <w:gridCol w:w="3124"/>
        <w:gridCol w:w="5506"/>
      </w:tblGrid>
      <w:tr w:rsidR="002F3394" w:rsidRPr="00AF2D84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35705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35705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  <w:lang w:eastAsia="lv-LV"/>
              </w:rPr>
              <w:lastRenderedPageBreak/>
              <w:t>VII. Tiesību akta projekta izpildes nodrošināšana un tās ietekme uz institūcijām</w:t>
            </w:r>
          </w:p>
        </w:tc>
      </w:tr>
      <w:tr w:rsidR="002F3394" w:rsidRPr="00AF2D84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35705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35705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35705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35705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Projekta izpildē iesaistītās institūcijas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357057" w:rsidRDefault="009C2D7D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35705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B</w:t>
            </w:r>
            <w:r w:rsidR="004400E4" w:rsidRPr="0035705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irojs</w:t>
            </w:r>
          </w:p>
        </w:tc>
      </w:tr>
      <w:tr w:rsidR="002F3394" w:rsidRPr="00AF2D84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35705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lv-LV"/>
              </w:rPr>
            </w:pPr>
            <w:r w:rsidRPr="00357057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35705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lv-LV"/>
              </w:rPr>
            </w:pPr>
            <w:r w:rsidRPr="00357057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lv-LV"/>
              </w:rPr>
              <w:t>Projekta izpildes ietekme uz pārvaldes funkcijām un institucionālo struktūru.</w:t>
            </w:r>
            <w:r w:rsidRPr="00357057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0E4" w:rsidRPr="00AF2D84" w:rsidRDefault="004400E4" w:rsidP="00440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AF2D8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Noteikumu projekta izpilde neietekmēs pārvaldes funkcijas vai institucionālo struktūru.</w:t>
            </w:r>
          </w:p>
          <w:p w:rsidR="004400E4" w:rsidRPr="00894FB6" w:rsidRDefault="004400E4" w:rsidP="004400E4">
            <w:pPr>
              <w:rPr>
                <w:sz w:val="28"/>
              </w:rPr>
            </w:pPr>
            <w:r w:rsidRPr="00AF2D8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Noteikumu projekta izpilde neietekmēs institūcijas pieejamos cilvēkresursus.</w:t>
            </w:r>
          </w:p>
          <w:p w:rsidR="00E5323B" w:rsidRPr="00AF2D84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lv-LV"/>
              </w:rPr>
            </w:pPr>
          </w:p>
        </w:tc>
      </w:tr>
      <w:tr w:rsidR="002F3394" w:rsidRPr="00AF2D84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35705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lv-LV"/>
              </w:rPr>
            </w:pPr>
            <w:r w:rsidRPr="00357057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35705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lv-LV"/>
              </w:rPr>
            </w:pPr>
            <w:r w:rsidRPr="00357057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357057" w:rsidRDefault="004400E4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lv-LV"/>
              </w:rPr>
            </w:pPr>
            <w:r w:rsidRPr="00357057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lv-LV"/>
              </w:rPr>
              <w:t>Nav</w:t>
            </w:r>
          </w:p>
        </w:tc>
      </w:tr>
    </w:tbl>
    <w:p w:rsidR="00C25B49" w:rsidRPr="00AF2D84" w:rsidRDefault="00C25B49" w:rsidP="00894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23B" w:rsidRPr="00AF2D84" w:rsidRDefault="00E5323B" w:rsidP="00894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E14" w:rsidRPr="00AF2D84" w:rsidRDefault="00D32E14" w:rsidP="00D32E14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F2D84">
        <w:rPr>
          <w:rFonts w:ascii="Times New Roman" w:hAnsi="Times New Roman" w:cs="Times New Roman"/>
          <w:sz w:val="28"/>
          <w:szCs w:val="28"/>
        </w:rPr>
        <w:t>Iesniedzējs: Ministru prezidents</w:t>
      </w:r>
      <w:r w:rsidRPr="00AF2D84">
        <w:rPr>
          <w:rFonts w:ascii="Times New Roman" w:hAnsi="Times New Roman" w:cs="Times New Roman"/>
          <w:sz w:val="28"/>
          <w:szCs w:val="28"/>
        </w:rPr>
        <w:tab/>
        <w:t>Arturs Krišjānis Kariņš</w:t>
      </w:r>
    </w:p>
    <w:p w:rsidR="00D32E14" w:rsidRPr="00AF2D84" w:rsidRDefault="00D32E14" w:rsidP="00D32E14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5F2EAC" w:rsidRDefault="005F2EAC" w:rsidP="005F2E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32163A" w:rsidRDefault="005F2EAC" w:rsidP="005F2E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13893">
        <w:rPr>
          <w:rFonts w:ascii="Times New Roman" w:eastAsia="Times New Roman" w:hAnsi="Times New Roman" w:cs="Times New Roman"/>
          <w:sz w:val="28"/>
          <w:szCs w:val="28"/>
          <w:lang w:eastAsia="lv-LV"/>
        </w:rPr>
        <w:t>Korupcijas novēršanas un apkarošanas</w:t>
      </w:r>
    </w:p>
    <w:p w:rsidR="0032163A" w:rsidRDefault="005F2EAC" w:rsidP="003216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389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biroja </w:t>
      </w:r>
      <w:r w:rsidRPr="00E13893">
        <w:rPr>
          <w:rFonts w:ascii="Times New Roman" w:hAnsi="Times New Roman" w:cs="Times New Roman"/>
          <w:sz w:val="28"/>
          <w:szCs w:val="28"/>
        </w:rPr>
        <w:t>priekšnieka vietnieks</w:t>
      </w:r>
      <w:r w:rsidRPr="00E13893">
        <w:rPr>
          <w:sz w:val="28"/>
          <w:szCs w:val="28"/>
        </w:rPr>
        <w:t xml:space="preserve"> </w:t>
      </w:r>
      <w:r w:rsidRPr="00E13893">
        <w:rPr>
          <w:rFonts w:ascii="Times New Roman" w:hAnsi="Times New Roman" w:cs="Times New Roman"/>
          <w:sz w:val="28"/>
          <w:szCs w:val="28"/>
        </w:rPr>
        <w:t>izmeklēšanas</w:t>
      </w:r>
    </w:p>
    <w:p w:rsidR="00D32E14" w:rsidRPr="00AF2D84" w:rsidRDefault="005F2EAC" w:rsidP="003216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3893">
        <w:rPr>
          <w:rFonts w:ascii="Times New Roman" w:hAnsi="Times New Roman" w:cs="Times New Roman"/>
          <w:sz w:val="28"/>
          <w:szCs w:val="28"/>
        </w:rPr>
        <w:t>darbību jautājumos</w:t>
      </w:r>
      <w:r w:rsidRPr="00E13893">
        <w:rPr>
          <w:sz w:val="28"/>
          <w:szCs w:val="28"/>
          <w:lang w:eastAsia="zh-TW"/>
        </w:rPr>
        <w:tab/>
      </w:r>
      <w:r w:rsidR="00D32E14" w:rsidRPr="005F2EAC">
        <w:rPr>
          <w:rFonts w:ascii="Times New Roman" w:hAnsi="Times New Roman" w:cs="Times New Roman"/>
          <w:sz w:val="28"/>
          <w:szCs w:val="28"/>
        </w:rPr>
        <w:tab/>
      </w:r>
      <w:r w:rsidR="00D32E14" w:rsidRPr="005F2EAC">
        <w:rPr>
          <w:rFonts w:ascii="Times New Roman" w:hAnsi="Times New Roman" w:cs="Times New Roman"/>
          <w:sz w:val="28"/>
          <w:szCs w:val="28"/>
        </w:rPr>
        <w:tab/>
      </w:r>
      <w:r w:rsidR="0032163A">
        <w:rPr>
          <w:rFonts w:ascii="Times New Roman" w:hAnsi="Times New Roman" w:cs="Times New Roman"/>
          <w:sz w:val="28"/>
          <w:szCs w:val="28"/>
        </w:rPr>
        <w:tab/>
      </w:r>
      <w:r w:rsidR="0032163A">
        <w:rPr>
          <w:rFonts w:ascii="Times New Roman" w:hAnsi="Times New Roman" w:cs="Times New Roman"/>
          <w:sz w:val="28"/>
          <w:szCs w:val="28"/>
        </w:rPr>
        <w:tab/>
      </w:r>
      <w:r w:rsidR="0032163A">
        <w:rPr>
          <w:rFonts w:ascii="Times New Roman" w:hAnsi="Times New Roman" w:cs="Times New Roman"/>
          <w:sz w:val="28"/>
          <w:szCs w:val="28"/>
        </w:rPr>
        <w:tab/>
      </w:r>
      <w:r w:rsidR="0032163A">
        <w:rPr>
          <w:rFonts w:ascii="Times New Roman" w:hAnsi="Times New Roman" w:cs="Times New Roman"/>
          <w:sz w:val="28"/>
          <w:szCs w:val="28"/>
        </w:rPr>
        <w:tab/>
      </w:r>
      <w:r w:rsidR="0032163A">
        <w:rPr>
          <w:rFonts w:ascii="Times New Roman" w:hAnsi="Times New Roman" w:cs="Times New Roman"/>
          <w:sz w:val="28"/>
          <w:szCs w:val="28"/>
        </w:rPr>
        <w:tab/>
        <w:t xml:space="preserve">     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 xml:space="preserve">Ineta </w:t>
      </w:r>
      <w:proofErr w:type="spellStart"/>
      <w:r>
        <w:rPr>
          <w:rFonts w:ascii="Times New Roman" w:hAnsi="Times New Roman" w:cs="Times New Roman"/>
          <w:sz w:val="28"/>
          <w:szCs w:val="28"/>
        </w:rPr>
        <w:t>Cīrule</w:t>
      </w:r>
      <w:proofErr w:type="spellEnd"/>
    </w:p>
    <w:p w:rsidR="00D32E14" w:rsidRPr="00AF2D84" w:rsidRDefault="00D32E14" w:rsidP="00D32E1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D32E14" w:rsidRPr="00AF2D84" w:rsidRDefault="00D32E14" w:rsidP="00D32E1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D32E14" w:rsidRPr="00AF2D84" w:rsidRDefault="00D32E14" w:rsidP="00D32E14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D32E14" w:rsidRPr="00AF2D84" w:rsidRDefault="00D32E14" w:rsidP="00D32E14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F2D84">
        <w:rPr>
          <w:rFonts w:ascii="Times New Roman" w:hAnsi="Times New Roman" w:cs="Times New Roman"/>
          <w:sz w:val="24"/>
          <w:szCs w:val="24"/>
        </w:rPr>
        <w:t>Bernharde</w:t>
      </w:r>
      <w:proofErr w:type="spellEnd"/>
      <w:r w:rsidRPr="00AF2D84">
        <w:rPr>
          <w:rFonts w:ascii="Times New Roman" w:hAnsi="Times New Roman" w:cs="Times New Roman"/>
          <w:sz w:val="24"/>
          <w:szCs w:val="24"/>
        </w:rPr>
        <w:t xml:space="preserve"> 67797259</w:t>
      </w:r>
    </w:p>
    <w:p w:rsidR="00D32E14" w:rsidRPr="00AF2D84" w:rsidRDefault="00D32E14" w:rsidP="00D32E14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D84">
        <w:rPr>
          <w:rFonts w:ascii="Times New Roman" w:hAnsi="Times New Roman" w:cs="Times New Roman"/>
          <w:sz w:val="24"/>
          <w:szCs w:val="24"/>
        </w:rPr>
        <w:t>liga.bernharde@knab.gov.lv</w:t>
      </w:r>
    </w:p>
    <w:p w:rsidR="00894C55" w:rsidRPr="00AF2D84" w:rsidRDefault="00894C55" w:rsidP="00894C5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894C55" w:rsidRPr="00AF2D84" w:rsidRDefault="00894C55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894C55" w:rsidRPr="00AF2D84" w:rsidRDefault="00894C55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894C55" w:rsidRPr="00AF2D84" w:rsidRDefault="00894C55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sectPr w:rsidR="00894C55" w:rsidRPr="00AF2D84" w:rsidSect="009A2654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050" w:rsidRDefault="00EE0050" w:rsidP="00894C55">
      <w:pPr>
        <w:spacing w:after="0" w:line="240" w:lineRule="auto"/>
      </w:pPr>
      <w:r>
        <w:separator/>
      </w:r>
    </w:p>
  </w:endnote>
  <w:endnote w:type="continuationSeparator" w:id="0">
    <w:p w:rsidR="00EE0050" w:rsidRDefault="00EE0050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C55" w:rsidRPr="003957A2" w:rsidRDefault="003957A2" w:rsidP="003957A2">
    <w:pPr>
      <w:pStyle w:val="Footer"/>
    </w:pPr>
    <w:r w:rsidRPr="003957A2">
      <w:rPr>
        <w:rFonts w:ascii="Times New Roman" w:hAnsi="Times New Roman" w:cs="Times New Roman"/>
        <w:sz w:val="20"/>
        <w:szCs w:val="20"/>
      </w:rPr>
      <w:t>KNABAnot_100120_GrozMK_690.docx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654" w:rsidRPr="00FD4365" w:rsidRDefault="00FD4365" w:rsidP="00FD4365">
    <w:pPr>
      <w:pStyle w:val="Footer"/>
    </w:pPr>
    <w:r w:rsidRPr="00FD4365">
      <w:rPr>
        <w:rFonts w:ascii="Times New Roman" w:hAnsi="Times New Roman" w:cs="Times New Roman"/>
        <w:sz w:val="20"/>
        <w:szCs w:val="20"/>
      </w:rPr>
      <w:t>KNABAnot_100120_GrozMK_690.docx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050" w:rsidRDefault="00EE0050" w:rsidP="00894C55">
      <w:pPr>
        <w:spacing w:after="0" w:line="240" w:lineRule="auto"/>
      </w:pPr>
      <w:r>
        <w:separator/>
      </w:r>
    </w:p>
  </w:footnote>
  <w:footnote w:type="continuationSeparator" w:id="0">
    <w:p w:rsidR="00EE0050" w:rsidRDefault="00EE0050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:rsidR="00894C55" w:rsidRPr="00C25B49" w:rsidRDefault="00456E40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="00894C55"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32163A">
          <w:rPr>
            <w:rFonts w:ascii="Times New Roman" w:hAnsi="Times New Roman" w:cs="Times New Roman"/>
            <w:noProof/>
            <w:sz w:val="24"/>
            <w:szCs w:val="20"/>
          </w:rPr>
          <w:t>4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C55"/>
    <w:rsid w:val="00001877"/>
    <w:rsid w:val="00082B1A"/>
    <w:rsid w:val="000C5C31"/>
    <w:rsid w:val="00133175"/>
    <w:rsid w:val="00136DD9"/>
    <w:rsid w:val="00146CA5"/>
    <w:rsid w:val="001621D8"/>
    <w:rsid w:val="002316AC"/>
    <w:rsid w:val="00243426"/>
    <w:rsid w:val="002E1C05"/>
    <w:rsid w:val="002F3394"/>
    <w:rsid w:val="003072F0"/>
    <w:rsid w:val="0032163A"/>
    <w:rsid w:val="00350071"/>
    <w:rsid w:val="00357057"/>
    <w:rsid w:val="00386C47"/>
    <w:rsid w:val="003957A2"/>
    <w:rsid w:val="003A3DAF"/>
    <w:rsid w:val="003B0BF9"/>
    <w:rsid w:val="003B16C6"/>
    <w:rsid w:val="003E0791"/>
    <w:rsid w:val="003F28AC"/>
    <w:rsid w:val="004400E4"/>
    <w:rsid w:val="004454FE"/>
    <w:rsid w:val="00456E40"/>
    <w:rsid w:val="00471F27"/>
    <w:rsid w:val="004A10FE"/>
    <w:rsid w:val="004D6066"/>
    <w:rsid w:val="0050178F"/>
    <w:rsid w:val="0050306C"/>
    <w:rsid w:val="00524096"/>
    <w:rsid w:val="005A36F5"/>
    <w:rsid w:val="005B0866"/>
    <w:rsid w:val="005F01B6"/>
    <w:rsid w:val="005F2EAC"/>
    <w:rsid w:val="005F4F21"/>
    <w:rsid w:val="005F764E"/>
    <w:rsid w:val="00600214"/>
    <w:rsid w:val="00607E7B"/>
    <w:rsid w:val="0061158A"/>
    <w:rsid w:val="006373CC"/>
    <w:rsid w:val="00655F2C"/>
    <w:rsid w:val="006A0745"/>
    <w:rsid w:val="006C4444"/>
    <w:rsid w:val="006D5548"/>
    <w:rsid w:val="006E0FBC"/>
    <w:rsid w:val="006E1081"/>
    <w:rsid w:val="00720585"/>
    <w:rsid w:val="00756385"/>
    <w:rsid w:val="00773AF6"/>
    <w:rsid w:val="00795F71"/>
    <w:rsid w:val="007D2715"/>
    <w:rsid w:val="007E5F7A"/>
    <w:rsid w:val="007E73AB"/>
    <w:rsid w:val="00807A1D"/>
    <w:rsid w:val="00816C11"/>
    <w:rsid w:val="00823CFE"/>
    <w:rsid w:val="0086110D"/>
    <w:rsid w:val="008708F2"/>
    <w:rsid w:val="00894C55"/>
    <w:rsid w:val="00894FB6"/>
    <w:rsid w:val="008B311B"/>
    <w:rsid w:val="008C1DB7"/>
    <w:rsid w:val="008D495A"/>
    <w:rsid w:val="008D7B81"/>
    <w:rsid w:val="009125B7"/>
    <w:rsid w:val="00937030"/>
    <w:rsid w:val="00976524"/>
    <w:rsid w:val="009A2654"/>
    <w:rsid w:val="009C0F86"/>
    <w:rsid w:val="009C2D7D"/>
    <w:rsid w:val="00A05A8C"/>
    <w:rsid w:val="00A10FC3"/>
    <w:rsid w:val="00A148DE"/>
    <w:rsid w:val="00A6073E"/>
    <w:rsid w:val="00AA0F22"/>
    <w:rsid w:val="00AD2253"/>
    <w:rsid w:val="00AE5567"/>
    <w:rsid w:val="00AF1239"/>
    <w:rsid w:val="00AF2D84"/>
    <w:rsid w:val="00B16480"/>
    <w:rsid w:val="00B2165C"/>
    <w:rsid w:val="00B21905"/>
    <w:rsid w:val="00B52778"/>
    <w:rsid w:val="00B74474"/>
    <w:rsid w:val="00BA20AA"/>
    <w:rsid w:val="00BD4425"/>
    <w:rsid w:val="00C06293"/>
    <w:rsid w:val="00C25B49"/>
    <w:rsid w:val="00C54BAD"/>
    <w:rsid w:val="00C6162E"/>
    <w:rsid w:val="00C91CA0"/>
    <w:rsid w:val="00C968F0"/>
    <w:rsid w:val="00CC0D2D"/>
    <w:rsid w:val="00CE5657"/>
    <w:rsid w:val="00D133F8"/>
    <w:rsid w:val="00D14A3E"/>
    <w:rsid w:val="00D32E14"/>
    <w:rsid w:val="00D501DA"/>
    <w:rsid w:val="00D95604"/>
    <w:rsid w:val="00DE1F97"/>
    <w:rsid w:val="00E3716B"/>
    <w:rsid w:val="00E5323B"/>
    <w:rsid w:val="00E56F9A"/>
    <w:rsid w:val="00E644AF"/>
    <w:rsid w:val="00E65D7F"/>
    <w:rsid w:val="00E8749E"/>
    <w:rsid w:val="00E90A20"/>
    <w:rsid w:val="00E90C01"/>
    <w:rsid w:val="00EA486E"/>
    <w:rsid w:val="00EE0050"/>
    <w:rsid w:val="00F01ADC"/>
    <w:rsid w:val="00F57B0C"/>
    <w:rsid w:val="00FC48AF"/>
    <w:rsid w:val="00FD14E0"/>
    <w:rsid w:val="00FD1A3B"/>
    <w:rsid w:val="00FD4365"/>
    <w:rsid w:val="00FE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E0F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6E0FBC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customStyle="1" w:styleId="tv213">
    <w:name w:val="tv213"/>
    <w:basedOn w:val="Normal"/>
    <w:rsid w:val="003A3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">
    <w:name w:val="Body Text"/>
    <w:basedOn w:val="Normal"/>
    <w:link w:val="BodyTextChar"/>
    <w:semiHidden/>
    <w:unhideWhenUsed/>
    <w:rsid w:val="0035007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350071"/>
    <w:rPr>
      <w:rFonts w:ascii="Times New Roman" w:eastAsia="Times New Roman" w:hAnsi="Times New Roman" w:cs="Times New Roman"/>
      <w:sz w:val="2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90A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0A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0A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0A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0A20"/>
    <w:rPr>
      <w:b/>
      <w:bCs/>
      <w:sz w:val="20"/>
      <w:szCs w:val="20"/>
    </w:rPr>
  </w:style>
  <w:style w:type="character" w:styleId="Strong">
    <w:name w:val="Strong"/>
    <w:uiPriority w:val="22"/>
    <w:qFormat/>
    <w:rsid w:val="006D55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E0F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6E0FBC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customStyle="1" w:styleId="tv213">
    <w:name w:val="tv213"/>
    <w:basedOn w:val="Normal"/>
    <w:rsid w:val="003A3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">
    <w:name w:val="Body Text"/>
    <w:basedOn w:val="Normal"/>
    <w:link w:val="BodyTextChar"/>
    <w:semiHidden/>
    <w:unhideWhenUsed/>
    <w:rsid w:val="0035007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350071"/>
    <w:rPr>
      <w:rFonts w:ascii="Times New Roman" w:eastAsia="Times New Roman" w:hAnsi="Times New Roman" w:cs="Times New Roman"/>
      <w:sz w:val="2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90A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0A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0A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0A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0A20"/>
    <w:rPr>
      <w:b/>
      <w:bCs/>
      <w:sz w:val="20"/>
      <w:szCs w:val="20"/>
    </w:rPr>
  </w:style>
  <w:style w:type="character" w:styleId="Strong">
    <w:name w:val="Strong"/>
    <w:uiPriority w:val="22"/>
    <w:qFormat/>
    <w:rsid w:val="006D55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8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knab.gov.lv/lv/legislations/projects/" TargetMode="External"/><Relationship Id="rId12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513C7936974E769D11030480392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7784D-338A-42CC-8DEB-1C5216D9B5B8}"/>
      </w:docPartPr>
      <w:docPartBody>
        <w:p w:rsidR="00FF5D4F" w:rsidRDefault="00FF5D4F" w:rsidP="00FF5D4F">
          <w:pPr>
            <w:pStyle w:val="B2513C7936974E769D1103048039203D8"/>
          </w:pPr>
          <w:r w:rsidRPr="00E90C01">
            <w:rPr>
              <w:rStyle w:val="PlaceholderText"/>
              <w:rFonts w:ascii="Times New Roman" w:hAnsi="Times New Roman" w:cs="Times New Roman"/>
              <w:sz w:val="28"/>
              <w:szCs w:val="28"/>
            </w:rPr>
            <w:t>Tiesību akta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00671"/>
    <w:rsid w:val="00057C8B"/>
    <w:rsid w:val="00084514"/>
    <w:rsid w:val="00344186"/>
    <w:rsid w:val="00472F39"/>
    <w:rsid w:val="00523A63"/>
    <w:rsid w:val="008B623B"/>
    <w:rsid w:val="008D39C9"/>
    <w:rsid w:val="0096772B"/>
    <w:rsid w:val="009C1B4C"/>
    <w:rsid w:val="00AD4A2F"/>
    <w:rsid w:val="00B3767C"/>
    <w:rsid w:val="00C00671"/>
    <w:rsid w:val="00CB74E4"/>
    <w:rsid w:val="00F95F73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5D4F"/>
    <w:rPr>
      <w:color w:val="808080"/>
    </w:rPr>
  </w:style>
  <w:style w:type="paragraph" w:customStyle="1" w:styleId="B2513C7936974E769D1103048039203D">
    <w:name w:val="B2513C7936974E769D1103048039203D"/>
    <w:rsid w:val="00C00671"/>
    <w:rPr>
      <w:rFonts w:eastAsiaTheme="minorHAnsi"/>
      <w:lang w:eastAsia="en-US"/>
    </w:rPr>
  </w:style>
  <w:style w:type="paragraph" w:customStyle="1" w:styleId="B2513C7936974E769D1103048039203D1">
    <w:name w:val="B2513C7936974E769D1103048039203D1"/>
    <w:rsid w:val="00C00671"/>
    <w:rPr>
      <w:rFonts w:eastAsiaTheme="minorHAnsi"/>
      <w:lang w:eastAsia="en-US"/>
    </w:rPr>
  </w:style>
  <w:style w:type="paragraph" w:customStyle="1" w:styleId="B2513C7936974E769D1103048039203D2">
    <w:name w:val="B2513C7936974E769D1103048039203D2"/>
    <w:rsid w:val="00C00671"/>
    <w:rPr>
      <w:rFonts w:eastAsiaTheme="minorHAnsi"/>
      <w:lang w:eastAsia="en-US"/>
    </w:rPr>
  </w:style>
  <w:style w:type="paragraph" w:customStyle="1" w:styleId="B2513C7936974E769D1103048039203D3">
    <w:name w:val="B2513C7936974E769D1103048039203D3"/>
    <w:rsid w:val="00C00671"/>
    <w:rPr>
      <w:rFonts w:eastAsiaTheme="minorHAnsi"/>
      <w:lang w:eastAsia="en-US"/>
    </w:rPr>
  </w:style>
  <w:style w:type="paragraph" w:customStyle="1" w:styleId="883803275B904BACB6B45144980015BE">
    <w:name w:val="883803275B904BACB6B45144980015BE"/>
    <w:rsid w:val="00C00671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B2513C7936974E769D1103048039203D4">
    <w:name w:val="B2513C7936974E769D1103048039203D4"/>
    <w:rsid w:val="00FF5D4F"/>
    <w:rPr>
      <w:rFonts w:eastAsiaTheme="minorHAnsi"/>
      <w:lang w:eastAsia="en-US"/>
    </w:rPr>
  </w:style>
  <w:style w:type="paragraph" w:customStyle="1" w:styleId="883803275B904BACB6B45144980015BE1">
    <w:name w:val="883803275B904BACB6B45144980015BE1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56650D99FA7E429C9736A0828FCC0A9F">
    <w:name w:val="56650D99FA7E429C9736A0828FCC0A9F"/>
    <w:rsid w:val="00FF5D4F"/>
    <w:pPr>
      <w:spacing w:after="200" w:line="276" w:lineRule="auto"/>
    </w:pPr>
  </w:style>
  <w:style w:type="paragraph" w:customStyle="1" w:styleId="B2513C7936974E769D1103048039203D5">
    <w:name w:val="B2513C7936974E769D1103048039203D5"/>
    <w:rsid w:val="00FF5D4F"/>
    <w:rPr>
      <w:rFonts w:eastAsiaTheme="minorHAnsi"/>
      <w:lang w:eastAsia="en-US"/>
    </w:rPr>
  </w:style>
  <w:style w:type="paragraph" w:customStyle="1" w:styleId="B2513C7936974E769D1103048039203D6">
    <w:name w:val="B2513C7936974E769D1103048039203D6"/>
    <w:rsid w:val="00FF5D4F"/>
    <w:rPr>
      <w:rFonts w:eastAsiaTheme="minorHAnsi"/>
      <w:lang w:eastAsia="en-US"/>
    </w:rPr>
  </w:style>
  <w:style w:type="paragraph" w:customStyle="1" w:styleId="62FCE0315F9A49B88D7551D29C9154E7">
    <w:name w:val="62FCE0315F9A49B88D7551D29C9154E7"/>
    <w:rsid w:val="00FF5D4F"/>
    <w:rPr>
      <w:rFonts w:eastAsiaTheme="minorHAnsi"/>
      <w:lang w:eastAsia="en-US"/>
    </w:rPr>
  </w:style>
  <w:style w:type="paragraph" w:customStyle="1" w:styleId="883803275B904BACB6B45144980015BE2">
    <w:name w:val="883803275B904BACB6B45144980015BE2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B2513C7936974E769D1103048039203D7">
    <w:name w:val="B2513C7936974E769D1103048039203D7"/>
    <w:rsid w:val="00FF5D4F"/>
    <w:rPr>
      <w:rFonts w:eastAsiaTheme="minorHAnsi"/>
      <w:lang w:eastAsia="en-US"/>
    </w:rPr>
  </w:style>
  <w:style w:type="paragraph" w:customStyle="1" w:styleId="62FCE0315F9A49B88D7551D29C9154E71">
    <w:name w:val="62FCE0315F9A49B88D7551D29C9154E71"/>
    <w:rsid w:val="00FF5D4F"/>
    <w:rPr>
      <w:rFonts w:eastAsiaTheme="minorHAnsi"/>
      <w:lang w:eastAsia="en-US"/>
    </w:rPr>
  </w:style>
  <w:style w:type="paragraph" w:customStyle="1" w:styleId="C2EC51BD30FC49B48874927AFE5E926E">
    <w:name w:val="C2EC51BD30FC49B48874927AFE5E926E"/>
    <w:rsid w:val="00FF5D4F"/>
    <w:rPr>
      <w:rFonts w:eastAsiaTheme="minorHAnsi"/>
      <w:lang w:eastAsia="en-US"/>
    </w:rPr>
  </w:style>
  <w:style w:type="paragraph" w:customStyle="1" w:styleId="883803275B904BACB6B45144980015BE3">
    <w:name w:val="883803275B904BACB6B45144980015BE3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B2513C7936974E769D1103048039203D8">
    <w:name w:val="B2513C7936974E769D1103048039203D8"/>
    <w:rsid w:val="00FF5D4F"/>
    <w:rPr>
      <w:rFonts w:eastAsiaTheme="minorHAnsi"/>
      <w:lang w:eastAsia="en-US"/>
    </w:rPr>
  </w:style>
  <w:style w:type="paragraph" w:customStyle="1" w:styleId="62FCE0315F9A49B88D7551D29C9154E72">
    <w:name w:val="62FCE0315F9A49B88D7551D29C9154E72"/>
    <w:rsid w:val="00FF5D4F"/>
    <w:rPr>
      <w:rFonts w:eastAsiaTheme="minorHAnsi"/>
      <w:lang w:eastAsia="en-US"/>
    </w:rPr>
  </w:style>
  <w:style w:type="paragraph" w:customStyle="1" w:styleId="C2EC51BD30FC49B48874927AFE5E926E1">
    <w:name w:val="C2EC51BD30FC49B48874927AFE5E926E1"/>
    <w:rsid w:val="00FF5D4F"/>
    <w:rPr>
      <w:rFonts w:eastAsiaTheme="minorHAnsi"/>
      <w:lang w:eastAsia="en-US"/>
    </w:rPr>
  </w:style>
  <w:style w:type="paragraph" w:customStyle="1" w:styleId="37ADDDF53DEB4F699DF97E9C2EC547DB">
    <w:name w:val="37ADDDF53DEB4F699DF97E9C2EC547DB"/>
    <w:rsid w:val="00FF5D4F"/>
    <w:rPr>
      <w:rFonts w:eastAsiaTheme="minorHAnsi"/>
      <w:lang w:eastAsia="en-US"/>
    </w:rPr>
  </w:style>
  <w:style w:type="paragraph" w:customStyle="1" w:styleId="B882A66A9A7E49BE846FCEA215C187D9">
    <w:name w:val="B882A66A9A7E49BE846FCEA215C187D9"/>
    <w:rsid w:val="00FF5D4F"/>
    <w:rPr>
      <w:rFonts w:eastAsiaTheme="minorHAnsi"/>
      <w:lang w:eastAsia="en-US"/>
    </w:rPr>
  </w:style>
  <w:style w:type="paragraph" w:customStyle="1" w:styleId="C77BE940338849AB90331A56F15E01FD">
    <w:name w:val="C77BE940338849AB90331A56F15E01FD"/>
    <w:rsid w:val="00FF5D4F"/>
    <w:rPr>
      <w:rFonts w:eastAsiaTheme="minorHAnsi"/>
      <w:lang w:eastAsia="en-US"/>
    </w:rPr>
  </w:style>
  <w:style w:type="paragraph" w:customStyle="1" w:styleId="F50B7E6C5AD6489E8C714D8EC783E3AC">
    <w:name w:val="F50B7E6C5AD6489E8C714D8EC783E3AC"/>
    <w:rsid w:val="00FF5D4F"/>
    <w:rPr>
      <w:rFonts w:eastAsiaTheme="minorHAnsi"/>
      <w:lang w:eastAsia="en-US"/>
    </w:rPr>
  </w:style>
  <w:style w:type="paragraph" w:customStyle="1" w:styleId="A56C3CC8D3A94A1B88E371E00A30BEC8">
    <w:name w:val="A56C3CC8D3A94A1B88E371E00A30BEC8"/>
    <w:rsid w:val="00FF5D4F"/>
    <w:rPr>
      <w:rFonts w:eastAsiaTheme="minorHAnsi"/>
      <w:lang w:eastAsia="en-US"/>
    </w:rPr>
  </w:style>
  <w:style w:type="paragraph" w:customStyle="1" w:styleId="DCD890FA1480480A84CCD1734B4CE6A2">
    <w:name w:val="DCD890FA1480480A84CCD1734B4CE6A2"/>
    <w:rsid w:val="00FF5D4F"/>
    <w:rPr>
      <w:rFonts w:eastAsiaTheme="minorHAnsi"/>
      <w:lang w:eastAsia="en-US"/>
    </w:rPr>
  </w:style>
  <w:style w:type="paragraph" w:customStyle="1" w:styleId="FD93EA44F1D0485D82ACD8E2B4A9B9D8">
    <w:name w:val="FD93EA44F1D0485D82ACD8E2B4A9B9D8"/>
    <w:rsid w:val="00FF5D4F"/>
    <w:rPr>
      <w:rFonts w:eastAsiaTheme="minorHAnsi"/>
      <w:lang w:eastAsia="en-US"/>
    </w:rPr>
  </w:style>
  <w:style w:type="paragraph" w:customStyle="1" w:styleId="0C4D5345DEEB475885E517E1AFA92084">
    <w:name w:val="0C4D5345DEEB475885E517E1AFA92084"/>
    <w:rsid w:val="00FF5D4F"/>
    <w:rPr>
      <w:rFonts w:eastAsiaTheme="minorHAnsi"/>
      <w:lang w:eastAsia="en-US"/>
    </w:rPr>
  </w:style>
  <w:style w:type="paragraph" w:customStyle="1" w:styleId="AE7F8690D7F544BEAD1F6F2489583A57">
    <w:name w:val="AE7F8690D7F544BEAD1F6F2489583A57"/>
    <w:rsid w:val="00FF5D4F"/>
    <w:rPr>
      <w:rFonts w:eastAsiaTheme="minorHAnsi"/>
      <w:lang w:eastAsia="en-US"/>
    </w:rPr>
  </w:style>
  <w:style w:type="paragraph" w:customStyle="1" w:styleId="7D994A3434154A1C8CFE169FE8FE6B1A">
    <w:name w:val="7D994A3434154A1C8CFE169FE8FE6B1A"/>
    <w:rsid w:val="00FF5D4F"/>
    <w:rPr>
      <w:rFonts w:eastAsiaTheme="minorHAnsi"/>
      <w:lang w:eastAsia="en-US"/>
    </w:rPr>
  </w:style>
  <w:style w:type="paragraph" w:customStyle="1" w:styleId="E9F03AB0F83F4AFC92313E2A195DF3C8">
    <w:name w:val="E9F03AB0F83F4AFC92313E2A195DF3C8"/>
    <w:rsid w:val="00FF5D4F"/>
    <w:rPr>
      <w:rFonts w:eastAsiaTheme="minorHAnsi"/>
      <w:lang w:eastAsia="en-US"/>
    </w:rPr>
  </w:style>
  <w:style w:type="paragraph" w:customStyle="1" w:styleId="A8843F41EB2548D7B8A34FB3D43A4CEC">
    <w:name w:val="A8843F41EB2548D7B8A34FB3D43A4CEC"/>
    <w:rsid w:val="00FF5D4F"/>
    <w:rPr>
      <w:rFonts w:eastAsiaTheme="minorHAnsi"/>
      <w:lang w:eastAsia="en-US"/>
    </w:rPr>
  </w:style>
  <w:style w:type="paragraph" w:customStyle="1" w:styleId="E50E0D89D7D740E39A72FD51262F3F52">
    <w:name w:val="E50E0D89D7D740E39A72FD51262F3F52"/>
    <w:rsid w:val="00FF5D4F"/>
    <w:rPr>
      <w:rFonts w:eastAsiaTheme="minorHAnsi"/>
      <w:lang w:eastAsia="en-US"/>
    </w:rPr>
  </w:style>
  <w:style w:type="paragraph" w:customStyle="1" w:styleId="8BAAB5749A0B4C46979E3CF195A3E134">
    <w:name w:val="8BAAB5749A0B4C46979E3CF195A3E134"/>
    <w:rsid w:val="00FF5D4F"/>
    <w:rPr>
      <w:rFonts w:eastAsiaTheme="minorHAnsi"/>
      <w:lang w:eastAsia="en-US"/>
    </w:rPr>
  </w:style>
  <w:style w:type="paragraph" w:customStyle="1" w:styleId="2671BD77F5FD414D82E008C54ECA0496">
    <w:name w:val="2671BD77F5FD414D82E008C54ECA0496"/>
    <w:rsid w:val="00FF5D4F"/>
    <w:rPr>
      <w:rFonts w:eastAsiaTheme="minorHAnsi"/>
      <w:lang w:eastAsia="en-US"/>
    </w:rPr>
  </w:style>
  <w:style w:type="paragraph" w:customStyle="1" w:styleId="6B37051406224FEBB83B2F6F9BB208E1">
    <w:name w:val="6B37051406224FEBB83B2F6F9BB208E1"/>
    <w:rsid w:val="00FF5D4F"/>
    <w:rPr>
      <w:rFonts w:eastAsiaTheme="minorHAnsi"/>
      <w:lang w:eastAsia="en-US"/>
    </w:rPr>
  </w:style>
  <w:style w:type="paragraph" w:customStyle="1" w:styleId="764BFDC0193B4E8B946F90FA96F17F3F">
    <w:name w:val="764BFDC0193B4E8B946F90FA96F17F3F"/>
    <w:rsid w:val="00FF5D4F"/>
    <w:rPr>
      <w:rFonts w:eastAsiaTheme="minorHAnsi"/>
      <w:lang w:eastAsia="en-US"/>
    </w:rPr>
  </w:style>
  <w:style w:type="paragraph" w:customStyle="1" w:styleId="2841105969B14DE49F05D9296F7C652E">
    <w:name w:val="2841105969B14DE49F05D9296F7C652E"/>
    <w:rsid w:val="00FF5D4F"/>
    <w:rPr>
      <w:rFonts w:eastAsiaTheme="minorHAnsi"/>
      <w:lang w:eastAsia="en-US"/>
    </w:rPr>
  </w:style>
  <w:style w:type="paragraph" w:customStyle="1" w:styleId="E5EB6D4A958A4331A96091AD983955EE">
    <w:name w:val="E5EB6D4A958A4331A96091AD983955EE"/>
    <w:rsid w:val="00FF5D4F"/>
    <w:rPr>
      <w:rFonts w:eastAsiaTheme="minorHAnsi"/>
      <w:lang w:eastAsia="en-US"/>
    </w:rPr>
  </w:style>
  <w:style w:type="paragraph" w:customStyle="1" w:styleId="FD5C206170F8425BA6EE971CD4237B78">
    <w:name w:val="FD5C206170F8425BA6EE971CD4237B78"/>
    <w:rsid w:val="00FF5D4F"/>
    <w:rPr>
      <w:rFonts w:eastAsiaTheme="minorHAnsi"/>
      <w:lang w:eastAsia="en-US"/>
    </w:rPr>
  </w:style>
  <w:style w:type="paragraph" w:customStyle="1" w:styleId="910B44650FB04E46BA92AE92B1A964F6">
    <w:name w:val="910B44650FB04E46BA92AE92B1A964F6"/>
    <w:rsid w:val="00FF5D4F"/>
    <w:rPr>
      <w:rFonts w:eastAsiaTheme="minorHAnsi"/>
      <w:lang w:eastAsia="en-US"/>
    </w:rPr>
  </w:style>
  <w:style w:type="paragraph" w:customStyle="1" w:styleId="13D82EA56B4A45D28413144B2F7F5968">
    <w:name w:val="13D82EA56B4A45D28413144B2F7F5968"/>
    <w:rsid w:val="00FF5D4F"/>
    <w:rPr>
      <w:rFonts w:eastAsiaTheme="minorHAnsi"/>
      <w:lang w:eastAsia="en-US"/>
    </w:rPr>
  </w:style>
  <w:style w:type="paragraph" w:customStyle="1" w:styleId="FE95B9A01F8340438A8C23164C47A7EB">
    <w:name w:val="FE95B9A01F8340438A8C23164C47A7EB"/>
    <w:rsid w:val="00FF5D4F"/>
    <w:rPr>
      <w:rFonts w:eastAsiaTheme="minorHAnsi"/>
      <w:lang w:eastAsia="en-US"/>
    </w:rPr>
  </w:style>
  <w:style w:type="paragraph" w:customStyle="1" w:styleId="DB232B1C7DC94AA0937BF44A74D7501B">
    <w:name w:val="DB232B1C7DC94AA0937BF44A74D7501B"/>
    <w:rsid w:val="00FF5D4F"/>
    <w:rPr>
      <w:rFonts w:eastAsiaTheme="minorHAnsi"/>
      <w:lang w:eastAsia="en-US"/>
    </w:rPr>
  </w:style>
  <w:style w:type="paragraph" w:customStyle="1" w:styleId="E7E4A7E527044C2690FE643CD510DBB5">
    <w:name w:val="E7E4A7E527044C2690FE643CD510DBB5"/>
    <w:rsid w:val="00FF5D4F"/>
    <w:rPr>
      <w:rFonts w:eastAsiaTheme="minorHAnsi"/>
      <w:lang w:eastAsia="en-US"/>
    </w:rPr>
  </w:style>
  <w:style w:type="paragraph" w:customStyle="1" w:styleId="4AE388897F6C4CAA85289D11247F4B60">
    <w:name w:val="4AE388897F6C4CAA85289D11247F4B60"/>
    <w:rsid w:val="00FF5D4F"/>
    <w:rPr>
      <w:rFonts w:eastAsiaTheme="minorHAnsi"/>
      <w:lang w:eastAsia="en-US"/>
    </w:rPr>
  </w:style>
  <w:style w:type="paragraph" w:customStyle="1" w:styleId="035449F15B804DFCBB464B8F8CF23968">
    <w:name w:val="035449F15B804DFCBB464B8F8CF23968"/>
    <w:rsid w:val="00FF5D4F"/>
    <w:rPr>
      <w:rFonts w:eastAsiaTheme="minorHAnsi"/>
      <w:lang w:eastAsia="en-US"/>
    </w:rPr>
  </w:style>
  <w:style w:type="paragraph" w:customStyle="1" w:styleId="51BFF4D6FA5E427E8B2BB4394305981E">
    <w:name w:val="51BFF4D6FA5E427E8B2BB4394305981E"/>
    <w:rsid w:val="00FF5D4F"/>
    <w:rPr>
      <w:rFonts w:eastAsiaTheme="minorHAnsi"/>
      <w:lang w:eastAsia="en-US"/>
    </w:rPr>
  </w:style>
  <w:style w:type="paragraph" w:customStyle="1" w:styleId="5610D5460FE7443BBFE4C402F8F872EC">
    <w:name w:val="5610D5460FE7443BBFE4C402F8F872EC"/>
    <w:rsid w:val="00FF5D4F"/>
    <w:rPr>
      <w:rFonts w:eastAsiaTheme="minorHAnsi"/>
      <w:lang w:eastAsia="en-US"/>
    </w:rPr>
  </w:style>
  <w:style w:type="paragraph" w:customStyle="1" w:styleId="FDD970DF03814E08AAAE176B3A069D53">
    <w:name w:val="FDD970DF03814E08AAAE176B3A069D53"/>
    <w:rsid w:val="00FF5D4F"/>
    <w:rPr>
      <w:rFonts w:eastAsiaTheme="minorHAnsi"/>
      <w:lang w:eastAsia="en-US"/>
    </w:rPr>
  </w:style>
  <w:style w:type="paragraph" w:customStyle="1" w:styleId="1ACA54E693CD4D0BAD637E54C82C88FF">
    <w:name w:val="1ACA54E693CD4D0BAD637E54C82C88FF"/>
    <w:rsid w:val="00FF5D4F"/>
    <w:rPr>
      <w:rFonts w:eastAsiaTheme="minorHAnsi"/>
      <w:lang w:eastAsia="en-US"/>
    </w:rPr>
  </w:style>
  <w:style w:type="paragraph" w:customStyle="1" w:styleId="16E4DF0885D242E391774F1A0758BD2D">
    <w:name w:val="16E4DF0885D242E391774F1A0758BD2D"/>
    <w:rsid w:val="00FF5D4F"/>
    <w:rPr>
      <w:rFonts w:eastAsiaTheme="minorHAnsi"/>
      <w:lang w:eastAsia="en-US"/>
    </w:rPr>
  </w:style>
  <w:style w:type="paragraph" w:customStyle="1" w:styleId="883803275B904BACB6B45144980015BE4">
    <w:name w:val="883803275B904BACB6B45144980015BE4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3807</Words>
  <Characters>2171</Characters>
  <Application>Microsoft Office Word</Application>
  <DocSecurity>0</DocSecurity>
  <Lines>18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2018. gada 13. novembra noteikumos Nr. 690 “Noteikumi par personas darba vai dienesta gaitu un izglītību apliecinošiem dokumentiem, kuriem ir arhīviska vērtība, un to glabāšanas termiņiem”</vt:lpstr>
    </vt:vector>
  </TitlesOfParts>
  <Company>Korupcijas novēršanas un apkarošanas birojs</Company>
  <LinksUpToDate>false</LinksUpToDate>
  <CharactersWithSpaces>5967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2018. gada 13. novembra noteikumos Nr. 690 “Noteikumi par personas darba vai dienesta gaitu un izglītību apliecinošiem dokumentiem, kuriem ir arhīviska vērtība, un to glabāšanas termiņiem”</dc:title>
  <dc:subject>Anotācija</dc:subject>
  <dc:creator>Līga Bernharde</dc:creator>
  <dc:description>67797259, liga.bernharde@knab.gov.lv</dc:description>
  <cp:lastModifiedBy>Līga Bernharde</cp:lastModifiedBy>
  <cp:revision>9</cp:revision>
  <cp:lastPrinted>2020-02-17T10:59:00Z</cp:lastPrinted>
  <dcterms:created xsi:type="dcterms:W3CDTF">2020-01-16T12:31:00Z</dcterms:created>
  <dcterms:modified xsi:type="dcterms:W3CDTF">2020-02-17T11:06:00Z</dcterms:modified>
</cp:coreProperties>
</file>