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262AC9" w14:textId="1D15B7D9" w:rsidR="00A82394" w:rsidRPr="00A82394" w:rsidRDefault="00DC4077" w:rsidP="00DC4077">
      <w:pPr>
        <w:spacing w:after="0" w:line="240" w:lineRule="auto"/>
        <w:jc w:val="right"/>
        <w:rPr>
          <w:rFonts w:ascii="Times New Roman" w:hAnsi="Times New Roman" w:cs="Times New Roman"/>
          <w:i/>
          <w:sz w:val="24"/>
          <w:szCs w:val="24"/>
        </w:rPr>
      </w:pPr>
      <w:bookmarkStart w:id="0" w:name="_GoBack"/>
      <w:bookmarkEnd w:id="0"/>
      <w:r>
        <w:rPr>
          <w:rFonts w:ascii="Times New Roman" w:hAnsi="Times New Roman" w:cs="Times New Roman"/>
          <w:i/>
          <w:sz w:val="24"/>
          <w:szCs w:val="24"/>
        </w:rPr>
        <w:t>2.p</w:t>
      </w:r>
      <w:r w:rsidR="00A82394" w:rsidRPr="00A82394">
        <w:rPr>
          <w:rFonts w:ascii="Times New Roman" w:hAnsi="Times New Roman" w:cs="Times New Roman"/>
          <w:i/>
          <w:sz w:val="24"/>
          <w:szCs w:val="24"/>
        </w:rPr>
        <w:t xml:space="preserve">ielikums </w:t>
      </w:r>
    </w:p>
    <w:p w14:paraId="7337115D" w14:textId="4A3977D1" w:rsidR="00A82394" w:rsidRPr="00A82394" w:rsidRDefault="00DC4077" w:rsidP="00DC4077">
      <w:pPr>
        <w:spacing w:after="0" w:line="240" w:lineRule="auto"/>
        <w:jc w:val="right"/>
        <w:rPr>
          <w:rFonts w:ascii="Times New Roman" w:hAnsi="Times New Roman" w:cs="Times New Roman"/>
          <w:i/>
          <w:sz w:val="24"/>
          <w:szCs w:val="24"/>
        </w:rPr>
      </w:pPr>
      <w:r>
        <w:rPr>
          <w:rFonts w:ascii="Times New Roman" w:hAnsi="Times New Roman" w:cs="Times New Roman"/>
          <w:i/>
          <w:sz w:val="24"/>
          <w:szCs w:val="24"/>
        </w:rPr>
        <w:t>i</w:t>
      </w:r>
      <w:r w:rsidR="00A82394" w:rsidRPr="00A82394">
        <w:rPr>
          <w:rFonts w:ascii="Times New Roman" w:hAnsi="Times New Roman" w:cs="Times New Roman"/>
          <w:i/>
          <w:sz w:val="24"/>
          <w:szCs w:val="24"/>
        </w:rPr>
        <w:t>nformatīva</w:t>
      </w:r>
      <w:r>
        <w:rPr>
          <w:rFonts w:ascii="Times New Roman" w:hAnsi="Times New Roman" w:cs="Times New Roman"/>
          <w:i/>
          <w:sz w:val="24"/>
          <w:szCs w:val="24"/>
        </w:rPr>
        <w:t>jam</w:t>
      </w:r>
      <w:r w:rsidR="00A82394" w:rsidRPr="00A82394">
        <w:rPr>
          <w:rFonts w:ascii="Times New Roman" w:hAnsi="Times New Roman" w:cs="Times New Roman"/>
          <w:i/>
          <w:sz w:val="24"/>
          <w:szCs w:val="24"/>
        </w:rPr>
        <w:t xml:space="preserve"> ziņojum</w:t>
      </w:r>
      <w:r>
        <w:rPr>
          <w:rFonts w:ascii="Times New Roman" w:hAnsi="Times New Roman" w:cs="Times New Roman"/>
          <w:i/>
          <w:sz w:val="24"/>
          <w:szCs w:val="24"/>
        </w:rPr>
        <w:t>am</w:t>
      </w:r>
      <w:r w:rsidR="00A82394" w:rsidRPr="00A82394">
        <w:rPr>
          <w:rFonts w:ascii="Times New Roman" w:hAnsi="Times New Roman" w:cs="Times New Roman"/>
          <w:i/>
          <w:sz w:val="24"/>
          <w:szCs w:val="24"/>
        </w:rPr>
        <w:t xml:space="preserve"> par </w:t>
      </w:r>
    </w:p>
    <w:p w14:paraId="3E4D9E1B" w14:textId="77777777" w:rsidR="00A82394" w:rsidRPr="00A82394" w:rsidRDefault="00A82394" w:rsidP="00DC4077">
      <w:pPr>
        <w:spacing w:after="0" w:line="240" w:lineRule="auto"/>
        <w:jc w:val="right"/>
        <w:rPr>
          <w:rFonts w:ascii="Times New Roman" w:hAnsi="Times New Roman" w:cs="Times New Roman"/>
          <w:i/>
          <w:sz w:val="24"/>
          <w:szCs w:val="24"/>
        </w:rPr>
      </w:pPr>
      <w:r w:rsidRPr="00A82394">
        <w:rPr>
          <w:rFonts w:ascii="Times New Roman" w:hAnsi="Times New Roman" w:cs="Times New Roman"/>
          <w:i/>
          <w:sz w:val="24"/>
          <w:szCs w:val="24"/>
        </w:rPr>
        <w:t xml:space="preserve">2021.-2027.gada plānošanas perioda </w:t>
      </w:r>
    </w:p>
    <w:p w14:paraId="0F9D620B" w14:textId="22A21007" w:rsidR="00A82394" w:rsidRPr="00A82394" w:rsidRDefault="00A82394" w:rsidP="00DC4077">
      <w:pPr>
        <w:spacing w:after="0" w:line="240" w:lineRule="auto"/>
        <w:jc w:val="right"/>
        <w:rPr>
          <w:rFonts w:ascii="Times New Roman" w:hAnsi="Times New Roman" w:cs="Times New Roman"/>
          <w:i/>
          <w:sz w:val="24"/>
          <w:szCs w:val="24"/>
        </w:rPr>
      </w:pPr>
      <w:r w:rsidRPr="00A82394">
        <w:rPr>
          <w:rFonts w:ascii="Times New Roman" w:hAnsi="Times New Roman" w:cs="Times New Roman"/>
          <w:i/>
          <w:sz w:val="24"/>
          <w:szCs w:val="24"/>
        </w:rPr>
        <w:t>nozaru politiku pamatnostādnēm</w:t>
      </w:r>
    </w:p>
    <w:p w14:paraId="2ECB3B96" w14:textId="77777777" w:rsidR="00A82394" w:rsidRPr="00A82394" w:rsidRDefault="00A82394" w:rsidP="00A82394">
      <w:pPr>
        <w:rPr>
          <w:rFonts w:ascii="Times New Roman" w:hAnsi="Times New Roman" w:cs="Times New Roman"/>
          <w:b/>
          <w:sz w:val="24"/>
          <w:szCs w:val="24"/>
        </w:rPr>
      </w:pPr>
    </w:p>
    <w:p w14:paraId="29D9F218" w14:textId="233A01D7" w:rsidR="002F2E05" w:rsidRDefault="00A82394" w:rsidP="00A82394">
      <w:pPr>
        <w:jc w:val="center"/>
        <w:rPr>
          <w:rFonts w:ascii="Times New Roman" w:hAnsi="Times New Roman" w:cs="Times New Roman"/>
          <w:b/>
          <w:sz w:val="24"/>
          <w:szCs w:val="24"/>
        </w:rPr>
      </w:pPr>
      <w:r w:rsidRPr="00A82394">
        <w:rPr>
          <w:rFonts w:ascii="Times New Roman" w:hAnsi="Times New Roman" w:cs="Times New Roman"/>
          <w:b/>
          <w:sz w:val="24"/>
          <w:szCs w:val="24"/>
        </w:rPr>
        <w:t>Ministriju iesniegtās 2021.-2027.gada pamatnostādņu iniciatīvas</w:t>
      </w:r>
    </w:p>
    <w:p w14:paraId="03656907" w14:textId="77777777" w:rsidR="00F515A9" w:rsidRPr="00A82394" w:rsidRDefault="00F515A9" w:rsidP="00A82394">
      <w:pPr>
        <w:jc w:val="cente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1336"/>
        <w:gridCol w:w="1321"/>
        <w:gridCol w:w="6404"/>
      </w:tblGrid>
      <w:tr w:rsidR="00DB67B5" w:rsidRPr="00A82394" w14:paraId="29EBDA05" w14:textId="77777777" w:rsidTr="00EC10EB">
        <w:tc>
          <w:tcPr>
            <w:tcW w:w="1129" w:type="dxa"/>
            <w:shd w:val="clear" w:color="auto" w:fill="F2F2F2" w:themeFill="background1" w:themeFillShade="F2"/>
          </w:tcPr>
          <w:p w14:paraId="668E167C" w14:textId="77777777" w:rsidR="00A82394" w:rsidRPr="00A82394" w:rsidRDefault="00A82394" w:rsidP="000957A9">
            <w:pPr>
              <w:jc w:val="center"/>
              <w:rPr>
                <w:rFonts w:ascii="Times New Roman" w:hAnsi="Times New Roman" w:cs="Times New Roman"/>
                <w:b/>
                <w:sz w:val="24"/>
                <w:szCs w:val="24"/>
              </w:rPr>
            </w:pPr>
            <w:r w:rsidRPr="00A82394">
              <w:rPr>
                <w:rFonts w:ascii="Times New Roman" w:hAnsi="Times New Roman" w:cs="Times New Roman"/>
                <w:b/>
                <w:sz w:val="24"/>
                <w:szCs w:val="24"/>
              </w:rPr>
              <w:t>Iesniedzējs</w:t>
            </w:r>
          </w:p>
        </w:tc>
        <w:tc>
          <w:tcPr>
            <w:tcW w:w="1338" w:type="dxa"/>
            <w:shd w:val="clear" w:color="auto" w:fill="F2F2F2" w:themeFill="background1" w:themeFillShade="F2"/>
          </w:tcPr>
          <w:p w14:paraId="74018875" w14:textId="77777777" w:rsidR="00A82394" w:rsidRPr="00A82394" w:rsidRDefault="00A82394" w:rsidP="000957A9">
            <w:pPr>
              <w:jc w:val="center"/>
              <w:rPr>
                <w:rFonts w:ascii="Times New Roman" w:hAnsi="Times New Roman" w:cs="Times New Roman"/>
                <w:b/>
                <w:sz w:val="24"/>
                <w:szCs w:val="24"/>
              </w:rPr>
            </w:pPr>
            <w:r w:rsidRPr="00A82394">
              <w:rPr>
                <w:rFonts w:ascii="Times New Roman" w:hAnsi="Times New Roman" w:cs="Times New Roman"/>
                <w:b/>
                <w:sz w:val="24"/>
                <w:szCs w:val="24"/>
              </w:rPr>
              <w:t>Nr.p.k.</w:t>
            </w:r>
          </w:p>
        </w:tc>
        <w:tc>
          <w:tcPr>
            <w:tcW w:w="6594" w:type="dxa"/>
            <w:shd w:val="clear" w:color="auto" w:fill="F2F2F2" w:themeFill="background1" w:themeFillShade="F2"/>
          </w:tcPr>
          <w:p w14:paraId="41EF10C5" w14:textId="77777777" w:rsidR="00A82394" w:rsidRDefault="00A82394" w:rsidP="000957A9">
            <w:pPr>
              <w:jc w:val="center"/>
              <w:rPr>
                <w:rFonts w:ascii="Times New Roman" w:hAnsi="Times New Roman" w:cs="Times New Roman"/>
                <w:b/>
                <w:sz w:val="24"/>
                <w:szCs w:val="24"/>
              </w:rPr>
            </w:pPr>
            <w:r w:rsidRPr="00A82394">
              <w:rPr>
                <w:rFonts w:ascii="Times New Roman" w:hAnsi="Times New Roman" w:cs="Times New Roman"/>
                <w:b/>
                <w:sz w:val="24"/>
                <w:szCs w:val="24"/>
              </w:rPr>
              <w:t>Pamatnostādņu nosaukums un saturiskais tvērums</w:t>
            </w:r>
          </w:p>
          <w:p w14:paraId="79DCE28B" w14:textId="32FD7E9D" w:rsidR="00A82394" w:rsidRPr="00A82394" w:rsidRDefault="00A82394" w:rsidP="000957A9">
            <w:pPr>
              <w:jc w:val="center"/>
              <w:rPr>
                <w:rFonts w:ascii="Times New Roman" w:hAnsi="Times New Roman" w:cs="Times New Roman"/>
                <w:b/>
                <w:sz w:val="24"/>
                <w:szCs w:val="24"/>
              </w:rPr>
            </w:pPr>
          </w:p>
        </w:tc>
      </w:tr>
      <w:tr w:rsidR="00DB67B5" w:rsidRPr="00A82394" w14:paraId="1CC05232" w14:textId="77777777" w:rsidTr="00EC10EB">
        <w:tc>
          <w:tcPr>
            <w:tcW w:w="1129" w:type="dxa"/>
          </w:tcPr>
          <w:p w14:paraId="5817BE78" w14:textId="7E89D295" w:rsidR="00A82394" w:rsidRPr="00A82394" w:rsidRDefault="00A82394" w:rsidP="000957A9">
            <w:pPr>
              <w:rPr>
                <w:rFonts w:ascii="Times New Roman" w:hAnsi="Times New Roman" w:cs="Times New Roman"/>
                <w:sz w:val="24"/>
                <w:szCs w:val="24"/>
              </w:rPr>
            </w:pPr>
            <w:r w:rsidRPr="00A82394">
              <w:rPr>
                <w:rFonts w:ascii="Times New Roman" w:hAnsi="Times New Roman" w:cs="Times New Roman"/>
                <w:sz w:val="24"/>
                <w:szCs w:val="24"/>
              </w:rPr>
              <w:t>Ai</w:t>
            </w:r>
            <w:r w:rsidR="00EC10EB">
              <w:rPr>
                <w:rFonts w:ascii="Times New Roman" w:hAnsi="Times New Roman" w:cs="Times New Roman"/>
                <w:sz w:val="24"/>
                <w:szCs w:val="24"/>
              </w:rPr>
              <w:t>M</w:t>
            </w:r>
          </w:p>
        </w:tc>
        <w:tc>
          <w:tcPr>
            <w:tcW w:w="1338" w:type="dxa"/>
          </w:tcPr>
          <w:p w14:paraId="21F2D477" w14:textId="1F1991DD" w:rsidR="00A82394" w:rsidRPr="00A82394" w:rsidRDefault="00A82394" w:rsidP="00A82394">
            <w:pPr>
              <w:jc w:val="both"/>
              <w:rPr>
                <w:rFonts w:ascii="Times New Roman" w:hAnsi="Times New Roman" w:cs="Times New Roman"/>
                <w:color w:val="C00000"/>
                <w:sz w:val="24"/>
                <w:szCs w:val="24"/>
              </w:rPr>
            </w:pPr>
            <w:r>
              <w:rPr>
                <w:rFonts w:ascii="Times New Roman" w:hAnsi="Times New Roman" w:cs="Times New Roman"/>
                <w:sz w:val="24"/>
                <w:szCs w:val="24"/>
              </w:rPr>
              <w:t xml:space="preserve">      </w:t>
            </w:r>
            <w:r w:rsidRPr="00A82394">
              <w:rPr>
                <w:rFonts w:ascii="Times New Roman" w:hAnsi="Times New Roman" w:cs="Times New Roman"/>
                <w:sz w:val="24"/>
                <w:szCs w:val="24"/>
              </w:rPr>
              <w:t>-</w:t>
            </w:r>
          </w:p>
        </w:tc>
        <w:tc>
          <w:tcPr>
            <w:tcW w:w="6594" w:type="dxa"/>
          </w:tcPr>
          <w:p w14:paraId="78D1563B" w14:textId="77777777" w:rsidR="00A82394" w:rsidRDefault="00A82394" w:rsidP="00A82394">
            <w:pPr>
              <w:rPr>
                <w:rFonts w:ascii="Times New Roman" w:hAnsi="Times New Roman" w:cs="Times New Roman"/>
                <w:i/>
                <w:sz w:val="24"/>
                <w:szCs w:val="24"/>
              </w:rPr>
            </w:pPr>
            <w:r w:rsidRPr="00A82394">
              <w:rPr>
                <w:rFonts w:ascii="Times New Roman" w:hAnsi="Times New Roman" w:cs="Times New Roman"/>
                <w:i/>
                <w:sz w:val="24"/>
                <w:szCs w:val="24"/>
              </w:rPr>
              <w:t>Nav plānotas.</w:t>
            </w:r>
          </w:p>
          <w:p w14:paraId="7BCDAF05" w14:textId="71D44E6B" w:rsidR="00EC10EB" w:rsidRPr="00A82394" w:rsidRDefault="00EC10EB" w:rsidP="00A82394">
            <w:pPr>
              <w:rPr>
                <w:rFonts w:ascii="Times New Roman" w:hAnsi="Times New Roman" w:cs="Times New Roman"/>
                <w:i/>
                <w:sz w:val="24"/>
                <w:szCs w:val="24"/>
              </w:rPr>
            </w:pPr>
          </w:p>
        </w:tc>
      </w:tr>
      <w:tr w:rsidR="00DB67B5" w:rsidRPr="00A82394" w14:paraId="11C3F20A" w14:textId="77777777" w:rsidTr="00EC10EB">
        <w:tc>
          <w:tcPr>
            <w:tcW w:w="1129" w:type="dxa"/>
            <w:shd w:val="clear" w:color="auto" w:fill="auto"/>
          </w:tcPr>
          <w:p w14:paraId="191E19EA" w14:textId="09C3CA59" w:rsidR="00A82394" w:rsidRPr="00A82394" w:rsidRDefault="00A82394" w:rsidP="000957A9">
            <w:pPr>
              <w:rPr>
                <w:rFonts w:ascii="Times New Roman" w:hAnsi="Times New Roman" w:cs="Times New Roman"/>
                <w:sz w:val="24"/>
                <w:szCs w:val="24"/>
              </w:rPr>
            </w:pPr>
            <w:r w:rsidRPr="00A82394">
              <w:rPr>
                <w:rFonts w:ascii="Times New Roman" w:hAnsi="Times New Roman" w:cs="Times New Roman"/>
                <w:sz w:val="24"/>
                <w:szCs w:val="24"/>
              </w:rPr>
              <w:t>Ā</w:t>
            </w:r>
            <w:r w:rsidR="00EC10EB">
              <w:rPr>
                <w:rFonts w:ascii="Times New Roman" w:hAnsi="Times New Roman" w:cs="Times New Roman"/>
                <w:sz w:val="24"/>
                <w:szCs w:val="24"/>
              </w:rPr>
              <w:t xml:space="preserve">M </w:t>
            </w:r>
          </w:p>
        </w:tc>
        <w:tc>
          <w:tcPr>
            <w:tcW w:w="1338" w:type="dxa"/>
            <w:shd w:val="clear" w:color="auto" w:fill="auto"/>
          </w:tcPr>
          <w:p w14:paraId="32D4E001" w14:textId="77777777" w:rsidR="00A82394" w:rsidRPr="00A82394" w:rsidRDefault="00A82394" w:rsidP="000957A9">
            <w:pPr>
              <w:pStyle w:val="ListParagraph"/>
              <w:numPr>
                <w:ilvl w:val="0"/>
                <w:numId w:val="1"/>
              </w:numPr>
              <w:rPr>
                <w:rFonts w:ascii="Times New Roman" w:hAnsi="Times New Roman" w:cs="Times New Roman"/>
                <w:sz w:val="24"/>
                <w:szCs w:val="24"/>
              </w:rPr>
            </w:pPr>
          </w:p>
        </w:tc>
        <w:tc>
          <w:tcPr>
            <w:tcW w:w="6594" w:type="dxa"/>
            <w:shd w:val="clear" w:color="auto" w:fill="auto"/>
          </w:tcPr>
          <w:p w14:paraId="2BA25078" w14:textId="77777777" w:rsidR="00A82394" w:rsidRPr="00A82394" w:rsidRDefault="00A82394" w:rsidP="000957A9">
            <w:pPr>
              <w:jc w:val="both"/>
              <w:rPr>
                <w:rFonts w:ascii="Times New Roman" w:hAnsi="Times New Roman" w:cs="Times New Roman"/>
                <w:b/>
                <w:sz w:val="24"/>
                <w:szCs w:val="24"/>
              </w:rPr>
            </w:pPr>
            <w:r w:rsidRPr="00A82394">
              <w:rPr>
                <w:rFonts w:ascii="Times New Roman" w:hAnsi="Times New Roman" w:cs="Times New Roman"/>
                <w:b/>
                <w:sz w:val="24"/>
                <w:szCs w:val="24"/>
              </w:rPr>
              <w:t>Attīstības sadarbības politikas pamatnostādnes 2021.-2025./27. gadam</w:t>
            </w:r>
          </w:p>
          <w:p w14:paraId="4E619CAA" w14:textId="77777777" w:rsidR="00A82394" w:rsidRPr="00A82394" w:rsidRDefault="00A82394" w:rsidP="000957A9">
            <w:pPr>
              <w:jc w:val="both"/>
              <w:rPr>
                <w:rFonts w:ascii="Times New Roman" w:hAnsi="Times New Roman" w:cs="Times New Roman"/>
                <w:sz w:val="24"/>
                <w:szCs w:val="24"/>
              </w:rPr>
            </w:pPr>
            <w:r w:rsidRPr="00A82394">
              <w:rPr>
                <w:rFonts w:ascii="Times New Roman" w:hAnsi="Times New Roman" w:cs="Times New Roman"/>
                <w:b/>
                <w:sz w:val="24"/>
                <w:szCs w:val="24"/>
              </w:rPr>
              <w:t xml:space="preserve">Mērķis: </w:t>
            </w:r>
            <w:r w:rsidRPr="00A82394">
              <w:rPr>
                <w:rFonts w:ascii="Times New Roman" w:hAnsi="Times New Roman" w:cs="Times New Roman"/>
                <w:sz w:val="24"/>
                <w:szCs w:val="24"/>
              </w:rPr>
              <w:t>veicināt ekonomisko un sociālo labklājību mazāk attīstītās valstīs, tajā skaitā ES Austrumu partnerības un Centrālāzijas valstīs. Tiek noteiks konkrēts sektoru skaits un iesaistes metodes Latvijas attīstības sadarbībai izvēlētajos prioritārajos reģionos. Ar šīs politikas palīdzību tiek veicināta efektīva un caurspīdīga partnervalstu publiskā pārvalde, t.sk. cīņai ar korupciju un uzņēmējdarbības vides uzlabošanu; veicināta demokrātiskā līdzdalība. Latvijas kā ANO un ES dalībvalsts apņemšanās par oficiālajai attīstības palīdzībai novirzītā finansējuma apjomu – līdz 2030.gadam tiekties sasniegt 0.33% no NKI.</w:t>
            </w:r>
          </w:p>
        </w:tc>
      </w:tr>
      <w:tr w:rsidR="003E09A4" w:rsidRPr="00A82394" w14:paraId="5874723B" w14:textId="77777777" w:rsidTr="00EC10EB">
        <w:tc>
          <w:tcPr>
            <w:tcW w:w="1129" w:type="dxa"/>
            <w:vMerge w:val="restart"/>
          </w:tcPr>
          <w:p w14:paraId="252919AA" w14:textId="4602BB32" w:rsidR="00A82394" w:rsidRPr="00A82394" w:rsidRDefault="00EC10EB" w:rsidP="000957A9">
            <w:pPr>
              <w:rPr>
                <w:rFonts w:ascii="Times New Roman" w:hAnsi="Times New Roman" w:cs="Times New Roman"/>
                <w:sz w:val="24"/>
                <w:szCs w:val="24"/>
              </w:rPr>
            </w:pPr>
            <w:r>
              <w:rPr>
                <w:rFonts w:ascii="Times New Roman" w:hAnsi="Times New Roman" w:cs="Times New Roman"/>
                <w:sz w:val="24"/>
                <w:szCs w:val="24"/>
              </w:rPr>
              <w:t>EM</w:t>
            </w:r>
          </w:p>
        </w:tc>
        <w:tc>
          <w:tcPr>
            <w:tcW w:w="1338" w:type="dxa"/>
            <w:shd w:val="clear" w:color="auto" w:fill="auto"/>
          </w:tcPr>
          <w:p w14:paraId="34CA52CB" w14:textId="77777777" w:rsidR="00A82394" w:rsidRPr="00A82394" w:rsidRDefault="00A82394" w:rsidP="000957A9">
            <w:pPr>
              <w:pStyle w:val="ListParagraph"/>
              <w:numPr>
                <w:ilvl w:val="0"/>
                <w:numId w:val="1"/>
              </w:numPr>
              <w:jc w:val="both"/>
              <w:rPr>
                <w:rFonts w:ascii="Times New Roman" w:hAnsi="Times New Roman" w:cs="Times New Roman"/>
                <w:sz w:val="24"/>
                <w:szCs w:val="24"/>
              </w:rPr>
            </w:pPr>
          </w:p>
        </w:tc>
        <w:tc>
          <w:tcPr>
            <w:tcW w:w="6594" w:type="dxa"/>
            <w:shd w:val="clear" w:color="auto" w:fill="auto"/>
          </w:tcPr>
          <w:p w14:paraId="50D70CE3" w14:textId="77777777" w:rsidR="00A82394" w:rsidRPr="00A82394" w:rsidRDefault="00A82394" w:rsidP="000957A9">
            <w:pPr>
              <w:jc w:val="both"/>
              <w:rPr>
                <w:rFonts w:ascii="Times New Roman" w:hAnsi="Times New Roman" w:cs="Times New Roman"/>
                <w:b/>
                <w:sz w:val="24"/>
                <w:szCs w:val="24"/>
              </w:rPr>
            </w:pPr>
            <w:r w:rsidRPr="00A82394">
              <w:rPr>
                <w:rFonts w:ascii="Times New Roman" w:hAnsi="Times New Roman" w:cs="Times New Roman"/>
                <w:b/>
                <w:sz w:val="24"/>
                <w:szCs w:val="24"/>
              </w:rPr>
              <w:t>Nacionālās industriālās politikas pamatnostādnes 2021- 2027.gadam</w:t>
            </w:r>
          </w:p>
          <w:p w14:paraId="2234A396" w14:textId="667F6361" w:rsidR="00A82394" w:rsidRPr="00A82394" w:rsidRDefault="00A82394" w:rsidP="000957A9">
            <w:pPr>
              <w:jc w:val="both"/>
              <w:rPr>
                <w:rFonts w:ascii="Times New Roman" w:hAnsi="Times New Roman" w:cs="Times New Roman"/>
                <w:sz w:val="24"/>
                <w:szCs w:val="24"/>
              </w:rPr>
            </w:pPr>
            <w:bookmarkStart w:id="1" w:name="_Hlk271755"/>
            <w:r w:rsidRPr="00A82394">
              <w:rPr>
                <w:rFonts w:ascii="Times New Roman" w:hAnsi="Times New Roman" w:cs="Times New Roman"/>
                <w:b/>
                <w:sz w:val="24"/>
                <w:szCs w:val="24"/>
              </w:rPr>
              <w:t>Mērķis:</w:t>
            </w:r>
            <w:r w:rsidRPr="00A82394">
              <w:rPr>
                <w:rFonts w:ascii="Times New Roman" w:hAnsi="Times New Roman" w:cs="Times New Roman"/>
                <w:sz w:val="24"/>
                <w:szCs w:val="24"/>
              </w:rPr>
              <w:t xml:space="preserve"> produktivitātes pieaugums</w:t>
            </w:r>
            <w:bookmarkEnd w:id="1"/>
            <w:r w:rsidRPr="00A82394">
              <w:rPr>
                <w:rFonts w:ascii="Times New Roman" w:hAnsi="Times New Roman" w:cs="Times New Roman"/>
                <w:sz w:val="24"/>
                <w:szCs w:val="24"/>
              </w:rPr>
              <w:t>, eksporta pieaugums. Noteiks politikas virzienus tādās jomās kā eksporta politika, investīciju piesaistes politika, tūrisma politika un rūpniecības politika. Pamatnostādnes izpildīs ES struktūrfondu jaunā perioda ex-ante nosacījumus, piemēram Viedās specializācijas stratēģija.</w:t>
            </w:r>
          </w:p>
        </w:tc>
      </w:tr>
      <w:tr w:rsidR="00DB67B5" w:rsidRPr="00A82394" w14:paraId="207B8D24" w14:textId="77777777" w:rsidTr="00EC10EB">
        <w:tc>
          <w:tcPr>
            <w:tcW w:w="1129" w:type="dxa"/>
            <w:vMerge/>
          </w:tcPr>
          <w:p w14:paraId="064F18E1" w14:textId="77777777" w:rsidR="00A82394" w:rsidRPr="00A82394" w:rsidRDefault="00A82394" w:rsidP="000957A9">
            <w:pPr>
              <w:rPr>
                <w:rFonts w:ascii="Times New Roman" w:hAnsi="Times New Roman" w:cs="Times New Roman"/>
                <w:sz w:val="24"/>
                <w:szCs w:val="24"/>
              </w:rPr>
            </w:pPr>
          </w:p>
        </w:tc>
        <w:tc>
          <w:tcPr>
            <w:tcW w:w="1338" w:type="dxa"/>
            <w:shd w:val="clear" w:color="auto" w:fill="auto"/>
          </w:tcPr>
          <w:p w14:paraId="237A223E" w14:textId="77777777" w:rsidR="00A82394" w:rsidRPr="00A82394" w:rsidRDefault="00A82394" w:rsidP="000957A9">
            <w:pPr>
              <w:pStyle w:val="ListParagraph"/>
              <w:numPr>
                <w:ilvl w:val="0"/>
                <w:numId w:val="1"/>
              </w:numPr>
              <w:rPr>
                <w:rFonts w:ascii="Times New Roman" w:hAnsi="Times New Roman" w:cs="Times New Roman"/>
                <w:sz w:val="24"/>
                <w:szCs w:val="24"/>
              </w:rPr>
            </w:pPr>
          </w:p>
        </w:tc>
        <w:tc>
          <w:tcPr>
            <w:tcW w:w="6594" w:type="dxa"/>
            <w:shd w:val="clear" w:color="auto" w:fill="auto"/>
          </w:tcPr>
          <w:p w14:paraId="1F806856" w14:textId="77777777" w:rsidR="00A82394" w:rsidRPr="00A82394" w:rsidRDefault="00A82394" w:rsidP="000957A9">
            <w:pPr>
              <w:jc w:val="both"/>
              <w:rPr>
                <w:rFonts w:ascii="Times New Roman" w:hAnsi="Times New Roman" w:cs="Times New Roman"/>
                <w:b/>
                <w:sz w:val="24"/>
                <w:szCs w:val="24"/>
              </w:rPr>
            </w:pPr>
            <w:r w:rsidRPr="00A82394">
              <w:rPr>
                <w:rFonts w:ascii="Times New Roman" w:hAnsi="Times New Roman" w:cs="Times New Roman"/>
                <w:b/>
                <w:sz w:val="24"/>
                <w:szCs w:val="24"/>
              </w:rPr>
              <w:t>Mājokļu pieejamības pamatnostādnes 2021.-2027.gadam</w:t>
            </w:r>
          </w:p>
          <w:p w14:paraId="0F6B3FCE" w14:textId="78834750" w:rsidR="00A82394" w:rsidRPr="00A82394" w:rsidRDefault="00A82394" w:rsidP="007F57BC">
            <w:pPr>
              <w:jc w:val="both"/>
              <w:rPr>
                <w:rFonts w:ascii="Times New Roman" w:hAnsi="Times New Roman" w:cs="Times New Roman"/>
                <w:sz w:val="24"/>
                <w:szCs w:val="24"/>
              </w:rPr>
            </w:pPr>
            <w:r w:rsidRPr="00A82394">
              <w:rPr>
                <w:rFonts w:ascii="Times New Roman" w:hAnsi="Times New Roman" w:cs="Times New Roman"/>
                <w:b/>
                <w:sz w:val="24"/>
                <w:szCs w:val="24"/>
              </w:rPr>
              <w:t>Mērķis:</w:t>
            </w:r>
            <w:r w:rsidRPr="00A82394">
              <w:rPr>
                <w:rFonts w:ascii="Times New Roman" w:hAnsi="Times New Roman" w:cs="Times New Roman"/>
                <w:sz w:val="24"/>
                <w:szCs w:val="24"/>
              </w:rPr>
              <w:t xml:space="preserve"> noteikt risinājumus ilgtermiņā pieejama mājokļa nodrošināšanā Latvijas iedzīvotājiem, paredzot, ka tiek sniegts atbalsts personu grupām mājokļu pieejamības nodrošināšanai; esošais dzīvojamais fonds līdz 2050.gadam atbilst mūsdienu energoefektivitātes, būvniecības un labiekārtotības standartiem; pastāv stabila jauna dzīvojamā fonda attīstība, lai nodrošinātu mājokļu pieejamību gan mājokļiem uz tirgus nosacījumiem, gan sociāli mazaizsargātām iedzīvotāju grupām.</w:t>
            </w:r>
          </w:p>
        </w:tc>
      </w:tr>
      <w:tr w:rsidR="003E09A4" w:rsidRPr="00A82394" w14:paraId="3D8C0E0C" w14:textId="77777777" w:rsidTr="00EC10EB">
        <w:tc>
          <w:tcPr>
            <w:tcW w:w="1129" w:type="dxa"/>
            <w:vMerge/>
          </w:tcPr>
          <w:p w14:paraId="3EE2669C" w14:textId="77777777" w:rsidR="00A82394" w:rsidRPr="00A82394" w:rsidRDefault="00A82394" w:rsidP="000957A9">
            <w:pPr>
              <w:rPr>
                <w:rFonts w:ascii="Times New Roman" w:hAnsi="Times New Roman" w:cs="Times New Roman"/>
                <w:sz w:val="24"/>
                <w:szCs w:val="24"/>
              </w:rPr>
            </w:pPr>
          </w:p>
        </w:tc>
        <w:tc>
          <w:tcPr>
            <w:tcW w:w="1338" w:type="dxa"/>
            <w:shd w:val="clear" w:color="auto" w:fill="auto"/>
          </w:tcPr>
          <w:p w14:paraId="0E8741EC" w14:textId="77777777" w:rsidR="00A82394" w:rsidRPr="00A82394" w:rsidRDefault="00A82394" w:rsidP="00A82394">
            <w:pPr>
              <w:pStyle w:val="ListParagraph"/>
              <w:numPr>
                <w:ilvl w:val="0"/>
                <w:numId w:val="1"/>
              </w:numPr>
              <w:rPr>
                <w:rFonts w:ascii="Times New Roman" w:hAnsi="Times New Roman" w:cs="Times New Roman"/>
                <w:sz w:val="24"/>
                <w:szCs w:val="24"/>
              </w:rPr>
            </w:pPr>
          </w:p>
        </w:tc>
        <w:tc>
          <w:tcPr>
            <w:tcW w:w="6594" w:type="dxa"/>
            <w:shd w:val="clear" w:color="auto" w:fill="auto"/>
          </w:tcPr>
          <w:p w14:paraId="75F8A6A4" w14:textId="77777777" w:rsidR="00A82394" w:rsidRPr="00A82394" w:rsidRDefault="00A82394" w:rsidP="00A82394">
            <w:pPr>
              <w:jc w:val="both"/>
              <w:rPr>
                <w:rFonts w:ascii="Times New Roman" w:hAnsi="Times New Roman" w:cs="Times New Roman"/>
                <w:b/>
                <w:sz w:val="24"/>
                <w:szCs w:val="24"/>
              </w:rPr>
            </w:pPr>
            <w:r w:rsidRPr="00A82394">
              <w:rPr>
                <w:rFonts w:ascii="Times New Roman" w:hAnsi="Times New Roman" w:cs="Times New Roman"/>
                <w:b/>
                <w:sz w:val="24"/>
                <w:szCs w:val="24"/>
              </w:rPr>
              <w:t>Latvijas tūrisma attīstības pamatnostādnes 2021. – 2027. gadam</w:t>
            </w:r>
          </w:p>
          <w:p w14:paraId="5F1DCC59" w14:textId="7234C43B" w:rsidR="00A82394" w:rsidRPr="00A82394" w:rsidRDefault="00A82394" w:rsidP="00A82394">
            <w:pPr>
              <w:jc w:val="both"/>
              <w:rPr>
                <w:rFonts w:ascii="Times New Roman" w:hAnsi="Times New Roman" w:cs="Times New Roman"/>
                <w:sz w:val="24"/>
                <w:szCs w:val="24"/>
              </w:rPr>
            </w:pPr>
            <w:r w:rsidRPr="00A82394">
              <w:rPr>
                <w:rFonts w:ascii="Times New Roman" w:hAnsi="Times New Roman" w:cs="Times New Roman"/>
                <w:b/>
                <w:sz w:val="24"/>
                <w:szCs w:val="24"/>
              </w:rPr>
              <w:t>Mērķis:</w:t>
            </w:r>
            <w:r>
              <w:rPr>
                <w:rFonts w:ascii="Times New Roman" w:hAnsi="Times New Roman" w:cs="Times New Roman"/>
                <w:sz w:val="24"/>
                <w:szCs w:val="24"/>
              </w:rPr>
              <w:t xml:space="preserve"> </w:t>
            </w:r>
            <w:r w:rsidRPr="00A82394">
              <w:rPr>
                <w:rFonts w:ascii="Times New Roman" w:hAnsi="Times New Roman" w:cs="Times New Roman"/>
                <w:sz w:val="24"/>
                <w:szCs w:val="24"/>
              </w:rPr>
              <w:t>ilgtspējīga Latvijas tūrisma attīstība, veicinot tūrisma produktu konkurētspējas palielināšanos ārvalstu tirgos. Politikas attīstības virzieni: tūrisma piedāvājuma pilnveidošana; vietējā tūrisma veicināšana; tūrisma galamērķu attīstība; tūrisma nozares digitalizācija.</w:t>
            </w:r>
          </w:p>
          <w:p w14:paraId="15356C65" w14:textId="77777777" w:rsidR="00A82394" w:rsidRPr="00A82394" w:rsidRDefault="00A82394" w:rsidP="000957A9">
            <w:pPr>
              <w:ind w:left="360"/>
              <w:rPr>
                <w:rFonts w:ascii="Times New Roman" w:hAnsi="Times New Roman" w:cs="Times New Roman"/>
                <w:i/>
                <w:sz w:val="24"/>
                <w:szCs w:val="24"/>
              </w:rPr>
            </w:pPr>
          </w:p>
        </w:tc>
      </w:tr>
      <w:tr w:rsidR="00DB67B5" w:rsidRPr="00E92DAC" w14:paraId="782AC94F" w14:textId="77777777" w:rsidTr="00EC10EB">
        <w:tc>
          <w:tcPr>
            <w:tcW w:w="1129" w:type="dxa"/>
            <w:vMerge w:val="restart"/>
          </w:tcPr>
          <w:p w14:paraId="4103B468" w14:textId="6E5040CE" w:rsidR="00A82394" w:rsidRPr="00A82394" w:rsidRDefault="00EC10EB" w:rsidP="000957A9">
            <w:pPr>
              <w:rPr>
                <w:rFonts w:ascii="Times New Roman" w:hAnsi="Times New Roman" w:cs="Times New Roman"/>
                <w:sz w:val="24"/>
                <w:szCs w:val="24"/>
              </w:rPr>
            </w:pPr>
            <w:r>
              <w:rPr>
                <w:rFonts w:ascii="Times New Roman" w:hAnsi="Times New Roman" w:cs="Times New Roman"/>
                <w:sz w:val="24"/>
                <w:szCs w:val="24"/>
              </w:rPr>
              <w:t>FM</w:t>
            </w:r>
          </w:p>
        </w:tc>
        <w:tc>
          <w:tcPr>
            <w:tcW w:w="1338" w:type="dxa"/>
            <w:shd w:val="clear" w:color="auto" w:fill="auto"/>
          </w:tcPr>
          <w:p w14:paraId="462CCFA6" w14:textId="77777777" w:rsidR="00A82394" w:rsidRPr="00A82394" w:rsidRDefault="00A82394" w:rsidP="00A82394">
            <w:pPr>
              <w:pStyle w:val="ListParagraph"/>
              <w:numPr>
                <w:ilvl w:val="0"/>
                <w:numId w:val="1"/>
              </w:numPr>
              <w:rPr>
                <w:rFonts w:ascii="Times New Roman" w:hAnsi="Times New Roman" w:cs="Times New Roman"/>
                <w:sz w:val="24"/>
                <w:szCs w:val="24"/>
              </w:rPr>
            </w:pPr>
          </w:p>
        </w:tc>
        <w:tc>
          <w:tcPr>
            <w:tcW w:w="6594" w:type="dxa"/>
            <w:shd w:val="clear" w:color="auto" w:fill="auto"/>
          </w:tcPr>
          <w:p w14:paraId="4026F34A" w14:textId="77777777" w:rsidR="00A82394" w:rsidRPr="00E92DAC" w:rsidRDefault="00A82394" w:rsidP="000957A9">
            <w:pPr>
              <w:rPr>
                <w:rFonts w:ascii="Times New Roman" w:hAnsi="Times New Roman" w:cs="Times New Roman"/>
                <w:b/>
                <w:sz w:val="24"/>
                <w:szCs w:val="24"/>
              </w:rPr>
            </w:pPr>
            <w:r w:rsidRPr="00E92DAC">
              <w:rPr>
                <w:rFonts w:ascii="Times New Roman" w:hAnsi="Times New Roman" w:cs="Times New Roman"/>
                <w:b/>
                <w:sz w:val="24"/>
                <w:szCs w:val="24"/>
              </w:rPr>
              <w:t>Valsts nodokļu politikas pamatnostādnes 2021.-2025.gadam</w:t>
            </w:r>
          </w:p>
          <w:p w14:paraId="1834DDAA" w14:textId="77777777" w:rsidR="00B405C4" w:rsidRPr="00B405C4" w:rsidRDefault="00B405C4" w:rsidP="00B405C4">
            <w:pPr>
              <w:pStyle w:val="NormalWeb"/>
              <w:jc w:val="both"/>
              <w:rPr>
                <w:rFonts w:ascii="Times New Roman" w:hAnsi="Times New Roman" w:cs="Times New Roman"/>
                <w:sz w:val="24"/>
                <w:szCs w:val="24"/>
                <w:lang w:eastAsia="en-US"/>
              </w:rPr>
            </w:pPr>
            <w:r w:rsidRPr="00B405C4">
              <w:rPr>
                <w:rFonts w:ascii="Times New Roman" w:hAnsi="Times New Roman" w:cs="Times New Roman"/>
                <w:b/>
                <w:sz w:val="24"/>
                <w:szCs w:val="24"/>
                <w:lang w:eastAsia="en-US"/>
              </w:rPr>
              <w:lastRenderedPageBreak/>
              <w:t>Mērķis:</w:t>
            </w:r>
            <w:r w:rsidRPr="00B405C4">
              <w:rPr>
                <w:rFonts w:ascii="Times New Roman" w:hAnsi="Times New Roman" w:cs="Times New Roman"/>
                <w:sz w:val="24"/>
                <w:szCs w:val="24"/>
                <w:lang w:eastAsia="en-US"/>
              </w:rPr>
              <w:t xml:space="preserve"> mērķtiecīgs atbalsts (pasākumi) cilvēku dzīves kvalitātes celšanai, tautsaimniecības izaugsmei un starptautiskajai konkurētspējai.</w:t>
            </w:r>
          </w:p>
          <w:p w14:paraId="402575F3" w14:textId="3E492C4A" w:rsidR="00A82394" w:rsidRPr="00E92DAC" w:rsidRDefault="00A82394" w:rsidP="00FF122C">
            <w:pPr>
              <w:jc w:val="both"/>
              <w:rPr>
                <w:rFonts w:ascii="Times New Roman" w:hAnsi="Times New Roman" w:cs="Times New Roman"/>
                <w:i/>
                <w:sz w:val="24"/>
                <w:szCs w:val="24"/>
              </w:rPr>
            </w:pPr>
          </w:p>
        </w:tc>
      </w:tr>
      <w:tr w:rsidR="003E09A4" w:rsidRPr="00A82394" w14:paraId="7B11BCF1" w14:textId="77777777" w:rsidTr="00EC10EB">
        <w:tc>
          <w:tcPr>
            <w:tcW w:w="1129" w:type="dxa"/>
            <w:vMerge/>
          </w:tcPr>
          <w:p w14:paraId="1C79DA55" w14:textId="77777777" w:rsidR="00A82394" w:rsidRPr="00A82394" w:rsidRDefault="00A82394" w:rsidP="000957A9">
            <w:pPr>
              <w:rPr>
                <w:rFonts w:ascii="Times New Roman" w:hAnsi="Times New Roman" w:cs="Times New Roman"/>
                <w:sz w:val="24"/>
                <w:szCs w:val="24"/>
              </w:rPr>
            </w:pPr>
          </w:p>
        </w:tc>
        <w:tc>
          <w:tcPr>
            <w:tcW w:w="1338" w:type="dxa"/>
            <w:shd w:val="clear" w:color="auto" w:fill="auto"/>
          </w:tcPr>
          <w:p w14:paraId="09B9A176" w14:textId="77777777" w:rsidR="00A82394" w:rsidRPr="00A82394" w:rsidRDefault="00A82394" w:rsidP="00A82394">
            <w:pPr>
              <w:pStyle w:val="ListParagraph"/>
              <w:numPr>
                <w:ilvl w:val="0"/>
                <w:numId w:val="1"/>
              </w:numPr>
              <w:rPr>
                <w:rFonts w:ascii="Times New Roman" w:hAnsi="Times New Roman" w:cs="Times New Roman"/>
                <w:sz w:val="24"/>
                <w:szCs w:val="24"/>
              </w:rPr>
            </w:pPr>
          </w:p>
        </w:tc>
        <w:tc>
          <w:tcPr>
            <w:tcW w:w="6594" w:type="dxa"/>
            <w:shd w:val="clear" w:color="auto" w:fill="auto"/>
          </w:tcPr>
          <w:p w14:paraId="3173D049" w14:textId="77777777" w:rsidR="00A82394" w:rsidRPr="00A82394" w:rsidRDefault="00A82394" w:rsidP="000957A9">
            <w:pPr>
              <w:rPr>
                <w:rFonts w:ascii="Times New Roman" w:hAnsi="Times New Roman" w:cs="Times New Roman"/>
                <w:b/>
                <w:sz w:val="24"/>
                <w:szCs w:val="24"/>
              </w:rPr>
            </w:pPr>
            <w:r w:rsidRPr="00A82394">
              <w:rPr>
                <w:rFonts w:ascii="Times New Roman" w:hAnsi="Times New Roman" w:cs="Times New Roman"/>
                <w:b/>
                <w:sz w:val="24"/>
                <w:szCs w:val="24"/>
              </w:rPr>
              <w:t>Azartspēļu un izložu politikas pamatnostādnes  2019.-2026.gadam</w:t>
            </w:r>
          </w:p>
          <w:p w14:paraId="3164CA1E" w14:textId="77777777" w:rsidR="00A82394" w:rsidRDefault="00A82394" w:rsidP="000957A9">
            <w:pPr>
              <w:jc w:val="both"/>
              <w:rPr>
                <w:rFonts w:ascii="Times New Roman" w:hAnsi="Times New Roman" w:cs="Times New Roman"/>
                <w:sz w:val="24"/>
                <w:szCs w:val="24"/>
              </w:rPr>
            </w:pPr>
            <w:r w:rsidRPr="00A82394">
              <w:rPr>
                <w:rFonts w:ascii="Times New Roman" w:hAnsi="Times New Roman" w:cs="Times New Roman"/>
                <w:b/>
                <w:sz w:val="24"/>
                <w:szCs w:val="24"/>
              </w:rPr>
              <w:t>Mērķis</w:t>
            </w:r>
            <w:r>
              <w:rPr>
                <w:rFonts w:ascii="Times New Roman" w:hAnsi="Times New Roman" w:cs="Times New Roman"/>
                <w:b/>
                <w:sz w:val="24"/>
                <w:szCs w:val="24"/>
              </w:rPr>
              <w:t>:</w:t>
            </w:r>
            <w:r w:rsidRPr="00A82394">
              <w:rPr>
                <w:rFonts w:ascii="Times New Roman" w:hAnsi="Times New Roman" w:cs="Times New Roman"/>
                <w:b/>
                <w:sz w:val="24"/>
                <w:szCs w:val="24"/>
              </w:rPr>
              <w:t xml:space="preserve"> </w:t>
            </w:r>
            <w:r w:rsidRPr="00A82394">
              <w:rPr>
                <w:rFonts w:ascii="Times New Roman" w:hAnsi="Times New Roman" w:cs="Times New Roman"/>
                <w:sz w:val="24"/>
                <w:szCs w:val="24"/>
              </w:rPr>
              <w:t>veicināt uz ilgtermiņa attīstību orientētu, caurskatāmu, godīgu, legālu azartspēļu un izložu organizēšanu Latvijā, vienlaikus nodrošinot sabiedrības interešu, sabiedrības veselības un personas/spēlētāja tiesību aizsardzību un labklājību. Pamatnostādnēs ietverti rīcības virzieni</w:t>
            </w:r>
            <w:r>
              <w:rPr>
                <w:rFonts w:ascii="Times New Roman" w:hAnsi="Times New Roman" w:cs="Times New Roman"/>
                <w:sz w:val="24"/>
                <w:szCs w:val="24"/>
              </w:rPr>
              <w:t>:</w:t>
            </w:r>
            <w:r w:rsidRPr="00A82394">
              <w:rPr>
                <w:rFonts w:ascii="Times New Roman" w:hAnsi="Times New Roman" w:cs="Times New Roman"/>
                <w:sz w:val="24"/>
                <w:szCs w:val="24"/>
              </w:rPr>
              <w:t xml:space="preserve"> sabiedrības aizsardzības (ieskaitot atkarības no azartspēlēm un izlozēm novēršanas un profilakses pasākumus), reklāmas ierobežojumu, nelegālo un nelicencēto azartspēļu un izložu mazināšanas, azartspēļu pieejamības ierobežošanas (ieskaitot to fizisko izvietojumu pašvaldībās), nozares uzraudzības, kā arī jaunāko nozares attīstības tendenču jautājumos.</w:t>
            </w:r>
          </w:p>
          <w:p w14:paraId="430A3EA3" w14:textId="6ABEB64E" w:rsidR="00F515A9" w:rsidRPr="00A82394" w:rsidRDefault="00F515A9" w:rsidP="000957A9">
            <w:pPr>
              <w:jc w:val="both"/>
              <w:rPr>
                <w:rFonts w:ascii="Times New Roman" w:hAnsi="Times New Roman" w:cs="Times New Roman"/>
                <w:i/>
                <w:sz w:val="24"/>
                <w:szCs w:val="24"/>
              </w:rPr>
            </w:pPr>
          </w:p>
        </w:tc>
      </w:tr>
      <w:tr w:rsidR="00DB67B5" w:rsidRPr="00A82394" w14:paraId="1951C28F" w14:textId="77777777" w:rsidTr="00EC10EB">
        <w:tc>
          <w:tcPr>
            <w:tcW w:w="1129" w:type="dxa"/>
          </w:tcPr>
          <w:p w14:paraId="728A5F8F" w14:textId="741AAB97" w:rsidR="00A82394" w:rsidRPr="00A82394" w:rsidRDefault="00A82394" w:rsidP="000957A9">
            <w:pPr>
              <w:rPr>
                <w:rFonts w:ascii="Times New Roman" w:hAnsi="Times New Roman" w:cs="Times New Roman"/>
                <w:sz w:val="24"/>
                <w:szCs w:val="24"/>
              </w:rPr>
            </w:pPr>
            <w:r w:rsidRPr="00A82394">
              <w:rPr>
                <w:rFonts w:ascii="Times New Roman" w:hAnsi="Times New Roman" w:cs="Times New Roman"/>
                <w:sz w:val="24"/>
                <w:szCs w:val="24"/>
              </w:rPr>
              <w:t>Ie</w:t>
            </w:r>
            <w:r w:rsidR="00EC10EB">
              <w:rPr>
                <w:rFonts w:ascii="Times New Roman" w:hAnsi="Times New Roman" w:cs="Times New Roman"/>
                <w:sz w:val="24"/>
                <w:szCs w:val="24"/>
              </w:rPr>
              <w:t>M</w:t>
            </w:r>
          </w:p>
        </w:tc>
        <w:tc>
          <w:tcPr>
            <w:tcW w:w="1338" w:type="dxa"/>
          </w:tcPr>
          <w:p w14:paraId="4180F473" w14:textId="796A02E5" w:rsidR="00A82394" w:rsidRPr="00A82394" w:rsidRDefault="00A82394" w:rsidP="000957A9">
            <w:pPr>
              <w:ind w:left="360"/>
              <w:rPr>
                <w:rFonts w:ascii="Times New Roman" w:hAnsi="Times New Roman" w:cs="Times New Roman"/>
                <w:color w:val="ED7D31" w:themeColor="accent2"/>
                <w:sz w:val="24"/>
                <w:szCs w:val="24"/>
              </w:rPr>
            </w:pPr>
            <w:r w:rsidRPr="00A82394">
              <w:rPr>
                <w:rFonts w:ascii="Times New Roman" w:hAnsi="Times New Roman" w:cs="Times New Roman"/>
                <w:sz w:val="24"/>
                <w:szCs w:val="24"/>
              </w:rPr>
              <w:t>-</w:t>
            </w:r>
          </w:p>
        </w:tc>
        <w:tc>
          <w:tcPr>
            <w:tcW w:w="6594" w:type="dxa"/>
          </w:tcPr>
          <w:p w14:paraId="2EC8349D" w14:textId="77777777" w:rsidR="00A82394" w:rsidRDefault="00A82394" w:rsidP="00A82394">
            <w:pPr>
              <w:rPr>
                <w:rFonts w:ascii="Times New Roman" w:hAnsi="Times New Roman" w:cs="Times New Roman"/>
                <w:i/>
                <w:sz w:val="24"/>
                <w:szCs w:val="24"/>
              </w:rPr>
            </w:pPr>
            <w:r w:rsidRPr="00A82394">
              <w:rPr>
                <w:rFonts w:ascii="Times New Roman" w:hAnsi="Times New Roman" w:cs="Times New Roman"/>
                <w:i/>
                <w:sz w:val="24"/>
                <w:szCs w:val="24"/>
              </w:rPr>
              <w:t>Nav plānotas.</w:t>
            </w:r>
          </w:p>
          <w:p w14:paraId="0B2EB13A" w14:textId="3E35BE09" w:rsidR="00EC10EB" w:rsidRPr="00A82394" w:rsidRDefault="00EC10EB" w:rsidP="00A82394">
            <w:pPr>
              <w:rPr>
                <w:rFonts w:ascii="Times New Roman" w:hAnsi="Times New Roman" w:cs="Times New Roman"/>
                <w:i/>
                <w:sz w:val="24"/>
                <w:szCs w:val="24"/>
              </w:rPr>
            </w:pPr>
          </w:p>
        </w:tc>
      </w:tr>
      <w:tr w:rsidR="00DB67B5" w:rsidRPr="00A82394" w14:paraId="110BADC3" w14:textId="77777777" w:rsidTr="00EC10EB">
        <w:tc>
          <w:tcPr>
            <w:tcW w:w="1129" w:type="dxa"/>
            <w:vMerge w:val="restart"/>
          </w:tcPr>
          <w:p w14:paraId="70A19C2C" w14:textId="2492B86B" w:rsidR="00A82394" w:rsidRPr="00A82394" w:rsidRDefault="00EC10EB" w:rsidP="000957A9">
            <w:pPr>
              <w:rPr>
                <w:rFonts w:ascii="Times New Roman" w:hAnsi="Times New Roman" w:cs="Times New Roman"/>
                <w:sz w:val="24"/>
                <w:szCs w:val="24"/>
              </w:rPr>
            </w:pPr>
            <w:r>
              <w:rPr>
                <w:rFonts w:ascii="Times New Roman" w:hAnsi="Times New Roman" w:cs="Times New Roman"/>
                <w:sz w:val="24"/>
                <w:szCs w:val="24"/>
              </w:rPr>
              <w:t>IZM</w:t>
            </w:r>
          </w:p>
        </w:tc>
        <w:tc>
          <w:tcPr>
            <w:tcW w:w="1338" w:type="dxa"/>
            <w:shd w:val="clear" w:color="auto" w:fill="auto"/>
          </w:tcPr>
          <w:p w14:paraId="02F134FB" w14:textId="77777777" w:rsidR="00A82394" w:rsidRPr="00A82394" w:rsidRDefault="00A82394" w:rsidP="000957A9">
            <w:pPr>
              <w:pStyle w:val="ListParagraph"/>
              <w:numPr>
                <w:ilvl w:val="0"/>
                <w:numId w:val="1"/>
              </w:numPr>
              <w:rPr>
                <w:rFonts w:ascii="Times New Roman" w:hAnsi="Times New Roman" w:cs="Times New Roman"/>
                <w:sz w:val="24"/>
                <w:szCs w:val="24"/>
              </w:rPr>
            </w:pPr>
          </w:p>
        </w:tc>
        <w:tc>
          <w:tcPr>
            <w:tcW w:w="6594" w:type="dxa"/>
            <w:shd w:val="clear" w:color="auto" w:fill="auto"/>
          </w:tcPr>
          <w:p w14:paraId="7A8A315C" w14:textId="77777777" w:rsidR="00A82394" w:rsidRPr="00A82394" w:rsidRDefault="00A82394" w:rsidP="000957A9">
            <w:pPr>
              <w:rPr>
                <w:rFonts w:ascii="Times New Roman" w:hAnsi="Times New Roman" w:cs="Times New Roman"/>
                <w:b/>
                <w:sz w:val="24"/>
                <w:szCs w:val="24"/>
              </w:rPr>
            </w:pPr>
            <w:r w:rsidRPr="00A82394">
              <w:rPr>
                <w:rFonts w:ascii="Times New Roman" w:hAnsi="Times New Roman" w:cs="Times New Roman"/>
                <w:b/>
                <w:sz w:val="24"/>
                <w:szCs w:val="24"/>
              </w:rPr>
              <w:t>Izglītības un prasmju attīstības pamatnostādnes 2021.–2027.gadam</w:t>
            </w:r>
          </w:p>
          <w:p w14:paraId="38358E74" w14:textId="77777777" w:rsidR="00A82394" w:rsidRPr="00A82394" w:rsidRDefault="00A82394" w:rsidP="000957A9">
            <w:pPr>
              <w:jc w:val="both"/>
              <w:rPr>
                <w:rFonts w:ascii="Times New Roman" w:hAnsi="Times New Roman" w:cs="Times New Roman"/>
                <w:sz w:val="24"/>
                <w:szCs w:val="24"/>
              </w:rPr>
            </w:pPr>
            <w:r w:rsidRPr="00A82394">
              <w:rPr>
                <w:rFonts w:ascii="Times New Roman" w:hAnsi="Times New Roman" w:cs="Times New Roman"/>
                <w:b/>
                <w:sz w:val="24"/>
                <w:szCs w:val="24"/>
              </w:rPr>
              <w:t>Mērķis:</w:t>
            </w:r>
            <w:r w:rsidRPr="00A82394">
              <w:rPr>
                <w:rFonts w:ascii="Times New Roman" w:hAnsi="Times New Roman" w:cs="Times New Roman"/>
                <w:sz w:val="24"/>
                <w:szCs w:val="24"/>
              </w:rPr>
              <w:t xml:space="preserve">  noteikt vienotu valsts politiku un stratēģiju izglītībā, aptverot visus izglītības veidus un pakāpes.</w:t>
            </w:r>
          </w:p>
          <w:p w14:paraId="79A6DA25" w14:textId="77777777" w:rsidR="00A82394" w:rsidRPr="00A82394" w:rsidRDefault="00A82394" w:rsidP="000957A9">
            <w:pPr>
              <w:jc w:val="both"/>
              <w:rPr>
                <w:rFonts w:ascii="Times New Roman" w:hAnsi="Times New Roman" w:cs="Times New Roman"/>
                <w:sz w:val="24"/>
                <w:szCs w:val="24"/>
              </w:rPr>
            </w:pPr>
          </w:p>
        </w:tc>
      </w:tr>
      <w:tr w:rsidR="003E09A4" w:rsidRPr="00A82394" w14:paraId="219721F7" w14:textId="77777777" w:rsidTr="00EC10EB">
        <w:tc>
          <w:tcPr>
            <w:tcW w:w="1129" w:type="dxa"/>
            <w:vMerge/>
          </w:tcPr>
          <w:p w14:paraId="0815D01C" w14:textId="77777777" w:rsidR="00A82394" w:rsidRPr="00A82394" w:rsidRDefault="00A82394" w:rsidP="000957A9">
            <w:pPr>
              <w:rPr>
                <w:rFonts w:ascii="Times New Roman" w:hAnsi="Times New Roman" w:cs="Times New Roman"/>
                <w:sz w:val="24"/>
                <w:szCs w:val="24"/>
              </w:rPr>
            </w:pPr>
          </w:p>
        </w:tc>
        <w:tc>
          <w:tcPr>
            <w:tcW w:w="1338" w:type="dxa"/>
            <w:shd w:val="clear" w:color="auto" w:fill="auto"/>
          </w:tcPr>
          <w:p w14:paraId="47DD7379" w14:textId="77777777" w:rsidR="00A82394" w:rsidRPr="00A82394" w:rsidRDefault="00A82394" w:rsidP="000957A9">
            <w:pPr>
              <w:pStyle w:val="ListParagraph"/>
              <w:numPr>
                <w:ilvl w:val="0"/>
                <w:numId w:val="1"/>
              </w:numPr>
              <w:rPr>
                <w:rFonts w:ascii="Times New Roman" w:hAnsi="Times New Roman" w:cs="Times New Roman"/>
                <w:sz w:val="24"/>
                <w:szCs w:val="24"/>
              </w:rPr>
            </w:pPr>
          </w:p>
        </w:tc>
        <w:tc>
          <w:tcPr>
            <w:tcW w:w="6594" w:type="dxa"/>
            <w:shd w:val="clear" w:color="auto" w:fill="auto"/>
          </w:tcPr>
          <w:p w14:paraId="15A3D6BB" w14:textId="77777777" w:rsidR="00A82394" w:rsidRPr="00A82394" w:rsidRDefault="00A82394" w:rsidP="000957A9">
            <w:pPr>
              <w:rPr>
                <w:rFonts w:ascii="Times New Roman" w:hAnsi="Times New Roman" w:cs="Times New Roman"/>
                <w:b/>
                <w:sz w:val="24"/>
                <w:szCs w:val="24"/>
              </w:rPr>
            </w:pPr>
            <w:r w:rsidRPr="00A82394">
              <w:rPr>
                <w:rFonts w:ascii="Times New Roman" w:hAnsi="Times New Roman" w:cs="Times New Roman"/>
                <w:b/>
                <w:sz w:val="24"/>
                <w:szCs w:val="24"/>
              </w:rPr>
              <w:t>Jaunatnes politikas pamatnostādnes 2021.-2027.gadam</w:t>
            </w:r>
          </w:p>
          <w:p w14:paraId="49717B61" w14:textId="77777777" w:rsidR="00A82394" w:rsidRPr="00A82394" w:rsidRDefault="00A82394" w:rsidP="000957A9">
            <w:pPr>
              <w:jc w:val="both"/>
              <w:rPr>
                <w:rFonts w:ascii="Times New Roman" w:hAnsi="Times New Roman" w:cs="Times New Roman"/>
                <w:sz w:val="24"/>
                <w:szCs w:val="24"/>
              </w:rPr>
            </w:pPr>
            <w:r w:rsidRPr="00A82394">
              <w:rPr>
                <w:rFonts w:ascii="Times New Roman" w:hAnsi="Times New Roman" w:cs="Times New Roman"/>
                <w:b/>
                <w:sz w:val="24"/>
                <w:szCs w:val="24"/>
              </w:rPr>
              <w:t>Mērķis:</w:t>
            </w:r>
            <w:r w:rsidRPr="00A82394">
              <w:rPr>
                <w:rFonts w:ascii="Times New Roman" w:hAnsi="Times New Roman" w:cs="Times New Roman"/>
                <w:sz w:val="24"/>
                <w:szCs w:val="24"/>
              </w:rPr>
              <w:t xml:space="preserve"> nodrošināt  strukturētu regulējumu attiecībā uz mērķiem, principiem, prioritātēm, galvenajām jomām un pasākumiem, kas ir saistīti ar sadarbību jaunatnes politikas jomā. Pamatnostādnes tiks izstrādātas saskaņā ar Eiropas Savienības jaunatnes stratēģiju 2019.-2027.gadam un tajā iekļautajiem mērķiem attiecīgi pielāgojot šos mērķus nacionālajam līmenim un aktualitātēm un nosakot rīcības virzienus attiecīgajās jomās: ES savienošana ar jaunatni; Visu dzimumu līdztiesība; Iekļaujošas sabiedrības; Informācija un konstruktīvs dialogs; Garīgā veselība un labklājība; Atbalsts lauku jaunatnei; Kvalitatīva nodarbinātība visiem; Kvalitatīva mācīšanās; Telpa un līdzdalība visiem; Ilgtspējīga un zaļa Eiropa; Jaunatnes organizācijas un Eiropas programmas.</w:t>
            </w:r>
          </w:p>
        </w:tc>
      </w:tr>
      <w:tr w:rsidR="00DB67B5" w:rsidRPr="00A82394" w14:paraId="20E9C87D" w14:textId="77777777" w:rsidTr="00EC10EB">
        <w:tc>
          <w:tcPr>
            <w:tcW w:w="1129" w:type="dxa"/>
            <w:vMerge/>
          </w:tcPr>
          <w:p w14:paraId="3DFEBF85" w14:textId="77777777" w:rsidR="00A82394" w:rsidRPr="00A82394" w:rsidRDefault="00A82394" w:rsidP="000957A9">
            <w:pPr>
              <w:rPr>
                <w:rFonts w:ascii="Times New Roman" w:hAnsi="Times New Roman" w:cs="Times New Roman"/>
                <w:sz w:val="24"/>
                <w:szCs w:val="24"/>
              </w:rPr>
            </w:pPr>
          </w:p>
        </w:tc>
        <w:tc>
          <w:tcPr>
            <w:tcW w:w="1338" w:type="dxa"/>
            <w:shd w:val="clear" w:color="auto" w:fill="auto"/>
          </w:tcPr>
          <w:p w14:paraId="71063365" w14:textId="77777777" w:rsidR="00A82394" w:rsidRPr="00A82394" w:rsidRDefault="00A82394" w:rsidP="000957A9">
            <w:pPr>
              <w:pStyle w:val="ListParagraph"/>
              <w:numPr>
                <w:ilvl w:val="0"/>
                <w:numId w:val="1"/>
              </w:numPr>
              <w:rPr>
                <w:rFonts w:ascii="Times New Roman" w:hAnsi="Times New Roman" w:cs="Times New Roman"/>
                <w:sz w:val="24"/>
                <w:szCs w:val="24"/>
              </w:rPr>
            </w:pPr>
          </w:p>
        </w:tc>
        <w:tc>
          <w:tcPr>
            <w:tcW w:w="6594" w:type="dxa"/>
            <w:shd w:val="clear" w:color="auto" w:fill="auto"/>
          </w:tcPr>
          <w:p w14:paraId="15EEA0FB" w14:textId="77777777" w:rsidR="00A82394" w:rsidRPr="00A82394" w:rsidRDefault="00A82394" w:rsidP="000957A9">
            <w:pPr>
              <w:rPr>
                <w:rFonts w:ascii="Times New Roman" w:hAnsi="Times New Roman" w:cs="Times New Roman"/>
                <w:b/>
                <w:sz w:val="24"/>
                <w:szCs w:val="24"/>
              </w:rPr>
            </w:pPr>
            <w:r w:rsidRPr="00A82394">
              <w:rPr>
                <w:rFonts w:ascii="Times New Roman" w:hAnsi="Times New Roman" w:cs="Times New Roman"/>
                <w:b/>
                <w:sz w:val="24"/>
                <w:szCs w:val="24"/>
              </w:rPr>
              <w:t>Sporta politikas pamatnostādnes 2021. – 2027.gadam</w:t>
            </w:r>
          </w:p>
          <w:p w14:paraId="73D72D17" w14:textId="5F53AF3D" w:rsidR="00F515A9" w:rsidRPr="00A82394" w:rsidRDefault="00A82394" w:rsidP="000957A9">
            <w:pPr>
              <w:jc w:val="both"/>
              <w:rPr>
                <w:rFonts w:ascii="Times New Roman" w:hAnsi="Times New Roman" w:cs="Times New Roman"/>
                <w:sz w:val="24"/>
                <w:szCs w:val="24"/>
              </w:rPr>
            </w:pPr>
            <w:r w:rsidRPr="00A82394">
              <w:rPr>
                <w:rFonts w:ascii="Times New Roman" w:hAnsi="Times New Roman" w:cs="Times New Roman"/>
                <w:b/>
                <w:sz w:val="24"/>
                <w:szCs w:val="24"/>
              </w:rPr>
              <w:t>Mērķis:</w:t>
            </w:r>
            <w:r w:rsidRPr="00A82394">
              <w:rPr>
                <w:rFonts w:ascii="Times New Roman" w:hAnsi="Times New Roman" w:cs="Times New Roman"/>
                <w:sz w:val="24"/>
                <w:szCs w:val="24"/>
              </w:rPr>
              <w:t xml:space="preserve"> palielināt Latvijas iedzīvotāju īpatsvaru, kas nodarbojas ar fiziskām vai sportiskām aktivitātēm. Kā potenciāli iespējamajos rīcības virzienus var minēt sporta nozares finansēšanas sistēmas pilnveidi, sporta infrastruktūras attīstības stratēģiskos virzienus, sabiedrības iesaisti fiziskajās vai sportiskajās aktivitātēs, jaunatnes sporta attīstību un ar to saistīto  sporta speciālistu kvalifikāciju, fizisko aktivitāšu lomu un kvalitāti dažādās izglītības pakāpēs, sporta ekonomiskos aspektus u.c.</w:t>
            </w:r>
          </w:p>
        </w:tc>
      </w:tr>
      <w:tr w:rsidR="00DB67B5" w:rsidRPr="00A82394" w14:paraId="5215CF99" w14:textId="77777777" w:rsidTr="00EC10EB">
        <w:tc>
          <w:tcPr>
            <w:tcW w:w="1129" w:type="dxa"/>
            <w:vMerge/>
          </w:tcPr>
          <w:p w14:paraId="43BD2413" w14:textId="77777777" w:rsidR="00A82394" w:rsidRPr="00A82394" w:rsidRDefault="00A82394" w:rsidP="000957A9">
            <w:pPr>
              <w:rPr>
                <w:rFonts w:ascii="Times New Roman" w:hAnsi="Times New Roman" w:cs="Times New Roman"/>
                <w:sz w:val="24"/>
                <w:szCs w:val="24"/>
              </w:rPr>
            </w:pPr>
          </w:p>
        </w:tc>
        <w:tc>
          <w:tcPr>
            <w:tcW w:w="1338" w:type="dxa"/>
            <w:shd w:val="clear" w:color="auto" w:fill="auto"/>
          </w:tcPr>
          <w:p w14:paraId="4A1DBD60" w14:textId="77777777" w:rsidR="00A82394" w:rsidRPr="00A82394" w:rsidRDefault="00A82394" w:rsidP="000957A9">
            <w:pPr>
              <w:pStyle w:val="ListParagraph"/>
              <w:numPr>
                <w:ilvl w:val="0"/>
                <w:numId w:val="1"/>
              </w:numPr>
              <w:rPr>
                <w:rFonts w:ascii="Times New Roman" w:hAnsi="Times New Roman" w:cs="Times New Roman"/>
                <w:sz w:val="24"/>
                <w:szCs w:val="24"/>
              </w:rPr>
            </w:pPr>
          </w:p>
        </w:tc>
        <w:tc>
          <w:tcPr>
            <w:tcW w:w="6594" w:type="dxa"/>
            <w:shd w:val="clear" w:color="auto" w:fill="auto"/>
          </w:tcPr>
          <w:p w14:paraId="71F6E8DC" w14:textId="77777777" w:rsidR="00A82394" w:rsidRPr="00A82394" w:rsidRDefault="00A82394" w:rsidP="000957A9">
            <w:pPr>
              <w:rPr>
                <w:rFonts w:ascii="Times New Roman" w:hAnsi="Times New Roman" w:cs="Times New Roman"/>
                <w:b/>
                <w:sz w:val="24"/>
                <w:szCs w:val="24"/>
              </w:rPr>
            </w:pPr>
            <w:r w:rsidRPr="00A82394">
              <w:rPr>
                <w:rFonts w:ascii="Times New Roman" w:hAnsi="Times New Roman" w:cs="Times New Roman"/>
                <w:b/>
                <w:sz w:val="24"/>
                <w:szCs w:val="24"/>
              </w:rPr>
              <w:t>Valsts valodas politikas pamatnostādnes 2021.-2027.gadam</w:t>
            </w:r>
          </w:p>
          <w:p w14:paraId="265D63F8" w14:textId="77777777" w:rsidR="00A82394" w:rsidRPr="00A82394" w:rsidRDefault="00A82394" w:rsidP="00977035">
            <w:pPr>
              <w:jc w:val="both"/>
              <w:rPr>
                <w:rFonts w:ascii="Times New Roman" w:hAnsi="Times New Roman" w:cs="Times New Roman"/>
                <w:sz w:val="24"/>
                <w:szCs w:val="24"/>
              </w:rPr>
            </w:pPr>
            <w:r w:rsidRPr="00A82394">
              <w:rPr>
                <w:rFonts w:ascii="Times New Roman" w:hAnsi="Times New Roman" w:cs="Times New Roman"/>
                <w:b/>
                <w:sz w:val="24"/>
                <w:szCs w:val="24"/>
              </w:rPr>
              <w:lastRenderedPageBreak/>
              <w:t>Mērķis:</w:t>
            </w:r>
            <w:r w:rsidRPr="00A82394">
              <w:rPr>
                <w:rFonts w:ascii="Times New Roman" w:hAnsi="Times New Roman" w:cs="Times New Roman"/>
                <w:sz w:val="24"/>
                <w:szCs w:val="24"/>
              </w:rPr>
              <w:t xml:space="preserve"> risināt jautājumus, kas saistīti ar  valsts valodas juridiskā statusa nodrošināšanu; sekmīgu kontroles funkciju nodrošināšanu izglītības jomā un atbilstošu mācību metodikas un pedagogu kompetenču pilnveidi saistībā ar pāreju uz vispārējo vidējo izglītību valsts valodā; komunikācijas pasākumiem, kas vērsti gan uz izglītojamajiem un pedagogiem, gan plašāku sabiedrību; pētniecības virzieniem, kas saistīti ar latviešu valodas kultūrvēsturisko aspektu pētniecību, gramatikas un valodas apguves pētniecību, lingvistisko tehnoloģiju pētniecību un attīstību; izaicinājumiem sabiedrības līdzdalības nodrošināšanā valsts valodas politikas īstenošanā un latviešu valodas attīstībā – sabiedrības lingvistiskā attieksme, latviešu valodas globālā konkurētspēja, dalītā mediju telpa un ar migrāciju saistītie valodas ilgtspējas riski u.c.</w:t>
            </w:r>
          </w:p>
          <w:p w14:paraId="67D0D8B0" w14:textId="77777777" w:rsidR="00A82394" w:rsidRPr="00A82394" w:rsidRDefault="00A82394" w:rsidP="000957A9">
            <w:pPr>
              <w:ind w:left="40"/>
              <w:jc w:val="both"/>
              <w:rPr>
                <w:rFonts w:ascii="Times New Roman" w:hAnsi="Times New Roman" w:cs="Times New Roman"/>
                <w:sz w:val="24"/>
                <w:szCs w:val="24"/>
              </w:rPr>
            </w:pPr>
          </w:p>
        </w:tc>
      </w:tr>
      <w:tr w:rsidR="003E09A4" w:rsidRPr="00A82394" w14:paraId="3C730320" w14:textId="77777777" w:rsidTr="00EC10EB">
        <w:tc>
          <w:tcPr>
            <w:tcW w:w="1129" w:type="dxa"/>
            <w:vMerge/>
          </w:tcPr>
          <w:p w14:paraId="29C9FD7F" w14:textId="77777777" w:rsidR="00A82394" w:rsidRPr="00A82394" w:rsidRDefault="00A82394" w:rsidP="000957A9">
            <w:pPr>
              <w:rPr>
                <w:rFonts w:ascii="Times New Roman" w:hAnsi="Times New Roman" w:cs="Times New Roman"/>
                <w:sz w:val="24"/>
                <w:szCs w:val="24"/>
              </w:rPr>
            </w:pPr>
          </w:p>
        </w:tc>
        <w:tc>
          <w:tcPr>
            <w:tcW w:w="1338" w:type="dxa"/>
            <w:shd w:val="clear" w:color="auto" w:fill="auto"/>
          </w:tcPr>
          <w:p w14:paraId="450EAD9B" w14:textId="77777777" w:rsidR="00A82394" w:rsidRPr="00A82394" w:rsidRDefault="00A82394" w:rsidP="000957A9">
            <w:pPr>
              <w:pStyle w:val="ListParagraph"/>
              <w:numPr>
                <w:ilvl w:val="0"/>
                <w:numId w:val="1"/>
              </w:numPr>
              <w:rPr>
                <w:rFonts w:ascii="Times New Roman" w:hAnsi="Times New Roman" w:cs="Times New Roman"/>
                <w:sz w:val="24"/>
                <w:szCs w:val="24"/>
              </w:rPr>
            </w:pPr>
          </w:p>
        </w:tc>
        <w:tc>
          <w:tcPr>
            <w:tcW w:w="6594" w:type="dxa"/>
            <w:shd w:val="clear" w:color="auto" w:fill="auto"/>
          </w:tcPr>
          <w:p w14:paraId="5F26DD30" w14:textId="77777777" w:rsidR="00A82394" w:rsidRPr="00A82394" w:rsidRDefault="00A82394" w:rsidP="000957A9">
            <w:pPr>
              <w:rPr>
                <w:rFonts w:ascii="Times New Roman" w:hAnsi="Times New Roman" w:cs="Times New Roman"/>
                <w:b/>
                <w:sz w:val="24"/>
                <w:szCs w:val="24"/>
              </w:rPr>
            </w:pPr>
            <w:r w:rsidRPr="00A82394">
              <w:rPr>
                <w:rFonts w:ascii="Times New Roman" w:hAnsi="Times New Roman" w:cs="Times New Roman"/>
                <w:b/>
                <w:sz w:val="24"/>
                <w:szCs w:val="24"/>
              </w:rPr>
              <w:t>Zinātnes, tehnoloģijas attīstības un inovācijas pamatnostādnes 2021. – 2027.gadam</w:t>
            </w:r>
          </w:p>
          <w:p w14:paraId="353DB300" w14:textId="77777777" w:rsidR="00A82394" w:rsidRPr="00A82394" w:rsidRDefault="00A82394" w:rsidP="000957A9">
            <w:pPr>
              <w:jc w:val="both"/>
              <w:rPr>
                <w:rFonts w:ascii="Times New Roman" w:hAnsi="Times New Roman" w:cs="Times New Roman"/>
                <w:sz w:val="24"/>
                <w:szCs w:val="24"/>
              </w:rPr>
            </w:pPr>
            <w:r w:rsidRPr="00A82394">
              <w:rPr>
                <w:rFonts w:ascii="Times New Roman" w:hAnsi="Times New Roman" w:cs="Times New Roman"/>
                <w:b/>
                <w:sz w:val="24"/>
                <w:szCs w:val="24"/>
              </w:rPr>
              <w:t>Mērķis</w:t>
            </w:r>
            <w:r w:rsidRPr="00A82394">
              <w:rPr>
                <w:rFonts w:ascii="Times New Roman" w:hAnsi="Times New Roman" w:cs="Times New Roman"/>
                <w:sz w:val="24"/>
                <w:szCs w:val="24"/>
              </w:rPr>
              <w:t xml:space="preserve">: Nodrošināt pilnvērtīgu valsts pasūtījumu pētniecībā un attīstībā (fundamentālo un lietišķo pētījumu projektu programmas, aptverot visas zinātnes nozares, valsts pasūtījumu Valsts pētījumu programmu formā IZM un citās nozaru ministrijās valstī noteiktajās 18 politikas jomās, valstij prioritārajās nozarēs (piemēram, kiberdrošība) u.c.); uzlabot tehnoloģiju pārneses sistēmu, kura nodrošina sekmīgu augstskolu un zinātnisko institūciju radītā zinātniskā darba intelektuālā īpašuma transformāciju par inovācijām un augstākas pievienotas vērtības produktiem uzņēmējdarbības sektorā; nodrošināt ciešāku Viedās specializācijas stratēģijas (RIS3) sasaisti ar zinātnes un inovāciju programmu attīstību, nodrošinot ciešāku specializāciju RIS3 specializācijas jomās ietilpstošajās specializācijas nišās, kuras būs pamatā stratēģisko projektu attīstīšanai šajās jomās. </w:t>
            </w:r>
          </w:p>
          <w:p w14:paraId="1B08D228" w14:textId="77777777" w:rsidR="00A82394" w:rsidRPr="00A82394" w:rsidRDefault="00A82394" w:rsidP="000957A9">
            <w:pPr>
              <w:jc w:val="both"/>
              <w:rPr>
                <w:rFonts w:ascii="Times New Roman" w:hAnsi="Times New Roman" w:cs="Times New Roman"/>
                <w:sz w:val="24"/>
                <w:szCs w:val="24"/>
              </w:rPr>
            </w:pPr>
          </w:p>
        </w:tc>
      </w:tr>
      <w:tr w:rsidR="00DB67B5" w:rsidRPr="00A82394" w14:paraId="78F4A343" w14:textId="77777777" w:rsidTr="00EC10EB">
        <w:trPr>
          <w:trHeight w:val="683"/>
        </w:trPr>
        <w:tc>
          <w:tcPr>
            <w:tcW w:w="1129" w:type="dxa"/>
            <w:vMerge w:val="restart"/>
          </w:tcPr>
          <w:p w14:paraId="234BBE1D" w14:textId="3B27FF28" w:rsidR="00A82394" w:rsidRPr="00A82394" w:rsidRDefault="00EC10EB" w:rsidP="000957A9">
            <w:pPr>
              <w:rPr>
                <w:rFonts w:ascii="Times New Roman" w:hAnsi="Times New Roman" w:cs="Times New Roman"/>
                <w:sz w:val="24"/>
                <w:szCs w:val="24"/>
              </w:rPr>
            </w:pPr>
            <w:r>
              <w:rPr>
                <w:rFonts w:ascii="Times New Roman" w:hAnsi="Times New Roman" w:cs="Times New Roman"/>
                <w:sz w:val="24"/>
                <w:szCs w:val="24"/>
              </w:rPr>
              <w:t>KM</w:t>
            </w:r>
          </w:p>
        </w:tc>
        <w:tc>
          <w:tcPr>
            <w:tcW w:w="1338" w:type="dxa"/>
            <w:shd w:val="clear" w:color="auto" w:fill="auto"/>
          </w:tcPr>
          <w:p w14:paraId="2BC9300F" w14:textId="77777777" w:rsidR="00A82394" w:rsidRPr="00A82394" w:rsidRDefault="00A82394" w:rsidP="000957A9">
            <w:pPr>
              <w:pStyle w:val="ListParagraph"/>
              <w:numPr>
                <w:ilvl w:val="0"/>
                <w:numId w:val="1"/>
              </w:numPr>
              <w:rPr>
                <w:rFonts w:ascii="Times New Roman" w:hAnsi="Times New Roman" w:cs="Times New Roman"/>
                <w:sz w:val="24"/>
                <w:szCs w:val="24"/>
              </w:rPr>
            </w:pPr>
          </w:p>
        </w:tc>
        <w:tc>
          <w:tcPr>
            <w:tcW w:w="6594" w:type="dxa"/>
            <w:shd w:val="clear" w:color="auto" w:fill="auto"/>
          </w:tcPr>
          <w:p w14:paraId="60457AE6" w14:textId="77777777" w:rsidR="00A82394" w:rsidRPr="00A82394" w:rsidRDefault="00A82394" w:rsidP="000957A9">
            <w:pPr>
              <w:rPr>
                <w:rFonts w:ascii="Times New Roman" w:hAnsi="Times New Roman" w:cs="Times New Roman"/>
                <w:b/>
                <w:sz w:val="24"/>
                <w:szCs w:val="24"/>
              </w:rPr>
            </w:pPr>
            <w:r w:rsidRPr="00A82394">
              <w:rPr>
                <w:rFonts w:ascii="Times New Roman" w:hAnsi="Times New Roman" w:cs="Times New Roman"/>
                <w:b/>
                <w:sz w:val="24"/>
                <w:szCs w:val="24"/>
              </w:rPr>
              <w:t>Valsts kultūrpolitikas pamatnostādnes 2021.–2027.gadam</w:t>
            </w:r>
          </w:p>
          <w:p w14:paraId="6F3945A0" w14:textId="0330EFE8" w:rsidR="00FC6202" w:rsidRPr="00766212" w:rsidRDefault="00A82394" w:rsidP="00FC6202">
            <w:pPr>
              <w:jc w:val="both"/>
              <w:rPr>
                <w:rFonts w:ascii="Times New Roman" w:hAnsi="Times New Roman" w:cs="Times New Roman"/>
                <w:sz w:val="24"/>
                <w:szCs w:val="26"/>
              </w:rPr>
            </w:pPr>
            <w:r w:rsidRPr="00087EA5">
              <w:rPr>
                <w:rFonts w:ascii="Times New Roman" w:hAnsi="Times New Roman" w:cs="Times New Roman"/>
                <w:sz w:val="24"/>
                <w:szCs w:val="24"/>
              </w:rPr>
              <w:t>Mērķis</w:t>
            </w:r>
            <w:r w:rsidRPr="00A82394">
              <w:rPr>
                <w:rFonts w:ascii="Times New Roman" w:hAnsi="Times New Roman" w:cs="Times New Roman"/>
                <w:sz w:val="24"/>
                <w:szCs w:val="24"/>
              </w:rPr>
              <w:t xml:space="preserve"> </w:t>
            </w:r>
            <w:r w:rsidR="00087EA5">
              <w:rPr>
                <w:rFonts w:ascii="Times New Roman" w:hAnsi="Times New Roman" w:cs="Times New Roman"/>
                <w:sz w:val="24"/>
                <w:szCs w:val="24"/>
              </w:rPr>
              <w:t xml:space="preserve">attīstīt </w:t>
            </w:r>
            <w:r w:rsidR="00087EA5" w:rsidRPr="00087EA5">
              <w:rPr>
                <w:rFonts w:ascii="Times New Roman" w:hAnsi="Times New Roman" w:cs="Times New Roman"/>
                <w:sz w:val="24"/>
                <w:szCs w:val="24"/>
              </w:rPr>
              <w:t>Latvijas kultūras kapitālu un stimulēt kultūras ieguldījumu nacionālās identitātes stiprināšanā, sabiedrības dzīves kvalitātes uzlabošanā un tautsaimniecības izaugsmē</w:t>
            </w:r>
            <w:r w:rsidR="00087EA5">
              <w:rPr>
                <w:rFonts w:ascii="Times New Roman" w:hAnsi="Times New Roman" w:cs="Times New Roman"/>
                <w:sz w:val="24"/>
                <w:szCs w:val="24"/>
              </w:rPr>
              <w:t>.</w:t>
            </w:r>
            <w:r w:rsidR="00FC6202" w:rsidRPr="0046755D">
              <w:rPr>
                <w:rFonts w:ascii="Times New Roman" w:hAnsi="Times New Roman" w:cs="Times New Roman"/>
                <w:sz w:val="24"/>
                <w:szCs w:val="26"/>
              </w:rPr>
              <w:t xml:space="preserve"> Galvenie kultūrpolitikas attīstības virzieni: (1) Kultūras produktu un pakalpojumu pieejamības nodrošināšana dažādām sabiedrības grupām, atbilstoši kultūras pakalpojumu groza konceptam, kas aptver kultūras mantojuma pakalpojumu un profesionālās mākslas (pieejamību, t.sk. digitālajā vidē; (2) vienlīdzīgu līdzdalības iespēju nodrošināšana dažādām sabiedrības grupām, tai skaitā daudzpakāpju kultūrizglītības sistēmas stiprināšana, amatiermākslas un Dziesmu un deju svētku kustības atbalsts, sabiedrības iesaiste cieņpilnā kultūras mantojuma saglabāšanā un izmantošanā; (3) kultūras daudzveidības attīstīšana, tai skaitā kultūras nozares kapacitātes stiprināšana, atbalsts kultūras darbiniekiem mūsdienīga un mērķgrupām piemērota kultūras piedāvājuma veicināšanai, radošo industriju attīstības veicināšana; (4) kultūrizglītība – kultūrizglītības sistēmas </w:t>
            </w:r>
            <w:r w:rsidR="00FC6202" w:rsidRPr="0046755D">
              <w:rPr>
                <w:rFonts w:ascii="Times New Roman" w:hAnsi="Times New Roman" w:cs="Times New Roman"/>
                <w:sz w:val="24"/>
                <w:szCs w:val="26"/>
              </w:rPr>
              <w:lastRenderedPageBreak/>
              <w:t>stiprināšana (profesionālās ievirzes, profesionālās, augstākās izglītības sistēmas), nozaru speciālistu profesionālā izglītība un pilnveide, pedagogu sagatavošana.</w:t>
            </w:r>
          </w:p>
          <w:p w14:paraId="318C931E" w14:textId="54FFAA68" w:rsidR="00A82394" w:rsidRPr="00F515A9" w:rsidRDefault="008B62FE" w:rsidP="00087EA5">
            <w:pPr>
              <w:pStyle w:val="NormalWeb"/>
              <w:spacing w:after="160" w:line="252" w:lineRule="auto"/>
              <w:jc w:val="both"/>
              <w:rPr>
                <w:rFonts w:ascii="Times New Roman" w:hAnsi="Times New Roman" w:cs="Times New Roman"/>
                <w:sz w:val="24"/>
                <w:szCs w:val="24"/>
                <w:lang w:eastAsia="en-US"/>
              </w:rPr>
            </w:pPr>
            <w:r>
              <w:rPr>
                <w:rFonts w:ascii="Times New Roman" w:hAnsi="Times New Roman" w:cs="Times New Roman"/>
                <w:sz w:val="24"/>
                <w:szCs w:val="24"/>
              </w:rPr>
              <w:t xml:space="preserve"> </w:t>
            </w:r>
          </w:p>
        </w:tc>
      </w:tr>
      <w:tr w:rsidR="00DB67B5" w:rsidRPr="00A82394" w14:paraId="16371205" w14:textId="77777777" w:rsidTr="00EC10EB">
        <w:tc>
          <w:tcPr>
            <w:tcW w:w="1129" w:type="dxa"/>
            <w:vMerge/>
          </w:tcPr>
          <w:p w14:paraId="5C283879" w14:textId="77777777" w:rsidR="00A82394" w:rsidRPr="00A82394" w:rsidRDefault="00A82394" w:rsidP="000957A9">
            <w:pPr>
              <w:rPr>
                <w:rFonts w:ascii="Times New Roman" w:hAnsi="Times New Roman" w:cs="Times New Roman"/>
                <w:sz w:val="24"/>
                <w:szCs w:val="24"/>
              </w:rPr>
            </w:pPr>
          </w:p>
        </w:tc>
        <w:tc>
          <w:tcPr>
            <w:tcW w:w="1338" w:type="dxa"/>
            <w:shd w:val="clear" w:color="auto" w:fill="auto"/>
          </w:tcPr>
          <w:p w14:paraId="0E0B72F8" w14:textId="77777777" w:rsidR="00A82394" w:rsidRPr="00A82394" w:rsidRDefault="00A82394" w:rsidP="000957A9">
            <w:pPr>
              <w:pStyle w:val="ListParagraph"/>
              <w:numPr>
                <w:ilvl w:val="0"/>
                <w:numId w:val="1"/>
              </w:numPr>
              <w:rPr>
                <w:rFonts w:ascii="Times New Roman" w:hAnsi="Times New Roman" w:cs="Times New Roman"/>
                <w:sz w:val="24"/>
                <w:szCs w:val="24"/>
              </w:rPr>
            </w:pPr>
          </w:p>
        </w:tc>
        <w:tc>
          <w:tcPr>
            <w:tcW w:w="6594" w:type="dxa"/>
            <w:shd w:val="clear" w:color="auto" w:fill="auto"/>
          </w:tcPr>
          <w:p w14:paraId="684654FB" w14:textId="77777777" w:rsidR="00A82394" w:rsidRPr="00A82394" w:rsidRDefault="00A82394" w:rsidP="000957A9">
            <w:pPr>
              <w:rPr>
                <w:rFonts w:ascii="Times New Roman" w:hAnsi="Times New Roman" w:cs="Times New Roman"/>
                <w:b/>
                <w:sz w:val="24"/>
                <w:szCs w:val="24"/>
              </w:rPr>
            </w:pPr>
            <w:r w:rsidRPr="00A82394">
              <w:rPr>
                <w:rFonts w:ascii="Times New Roman" w:hAnsi="Times New Roman" w:cs="Times New Roman"/>
                <w:b/>
                <w:sz w:val="24"/>
                <w:szCs w:val="24"/>
              </w:rPr>
              <w:t>Saliedētas sabiedrības politikas pamatnostādnes 2021.-2027.gadam „Saliedēta un pilsoniski aktīva sabiedrība”</w:t>
            </w:r>
          </w:p>
          <w:p w14:paraId="62687D3E" w14:textId="77777777" w:rsidR="00A82394" w:rsidRDefault="00A82394" w:rsidP="00F515A9">
            <w:pPr>
              <w:jc w:val="both"/>
              <w:rPr>
                <w:rFonts w:ascii="Times New Roman" w:hAnsi="Times New Roman" w:cs="Times New Roman"/>
                <w:sz w:val="24"/>
                <w:szCs w:val="24"/>
              </w:rPr>
            </w:pPr>
            <w:r w:rsidRPr="00A82394">
              <w:rPr>
                <w:rFonts w:ascii="Times New Roman" w:hAnsi="Times New Roman" w:cs="Times New Roman"/>
                <w:b/>
                <w:sz w:val="24"/>
                <w:szCs w:val="24"/>
              </w:rPr>
              <w:t>Mērķis:</w:t>
            </w:r>
            <w:r w:rsidRPr="00A82394">
              <w:rPr>
                <w:rFonts w:ascii="Times New Roman" w:hAnsi="Times New Roman" w:cs="Times New Roman"/>
                <w:sz w:val="24"/>
                <w:szCs w:val="24"/>
              </w:rPr>
              <w:t xml:space="preserve"> veicināt saliedētas un pilsoniskas sabiedrības veidošanos uz vienojošu demokrātijas vērtību, Latvijas valodas un kultūrtelpas pamata, ņemot vērā jaunos lokālos un globālos izaicinājumus.  3 galvenie darbības virzieni: pilsoniska kultūra un iekļaujošs pilsoniskums; nacionālā identitāte un piederība; integrācija.</w:t>
            </w:r>
          </w:p>
          <w:p w14:paraId="6B28C5BF" w14:textId="64F33C98" w:rsidR="00F515A9" w:rsidRPr="00F515A9" w:rsidRDefault="00F515A9" w:rsidP="00F515A9">
            <w:pPr>
              <w:jc w:val="both"/>
              <w:rPr>
                <w:rFonts w:ascii="Times New Roman" w:hAnsi="Times New Roman" w:cs="Times New Roman"/>
                <w:sz w:val="24"/>
                <w:szCs w:val="24"/>
              </w:rPr>
            </w:pPr>
          </w:p>
        </w:tc>
      </w:tr>
      <w:tr w:rsidR="003E09A4" w:rsidRPr="00A82394" w14:paraId="22E3E20A" w14:textId="77777777" w:rsidTr="00EC10EB">
        <w:tc>
          <w:tcPr>
            <w:tcW w:w="1129" w:type="dxa"/>
          </w:tcPr>
          <w:p w14:paraId="59BB175E" w14:textId="2A8F3F91" w:rsidR="00A82394" w:rsidRPr="00A82394" w:rsidRDefault="00EC10EB" w:rsidP="000957A9">
            <w:pPr>
              <w:rPr>
                <w:rFonts w:ascii="Times New Roman" w:hAnsi="Times New Roman" w:cs="Times New Roman"/>
                <w:sz w:val="24"/>
                <w:szCs w:val="24"/>
              </w:rPr>
            </w:pPr>
            <w:r>
              <w:rPr>
                <w:rFonts w:ascii="Times New Roman" w:hAnsi="Times New Roman" w:cs="Times New Roman"/>
                <w:sz w:val="24"/>
                <w:szCs w:val="24"/>
              </w:rPr>
              <w:t>LM</w:t>
            </w:r>
          </w:p>
        </w:tc>
        <w:tc>
          <w:tcPr>
            <w:tcW w:w="1338" w:type="dxa"/>
            <w:shd w:val="clear" w:color="auto" w:fill="auto"/>
          </w:tcPr>
          <w:p w14:paraId="797C4AE9" w14:textId="69035D41" w:rsidR="00A82394" w:rsidRPr="003C776B" w:rsidRDefault="00A82394" w:rsidP="003C776B">
            <w:pPr>
              <w:pStyle w:val="ListParagraph"/>
              <w:numPr>
                <w:ilvl w:val="0"/>
                <w:numId w:val="1"/>
              </w:numPr>
              <w:jc w:val="both"/>
              <w:rPr>
                <w:rFonts w:ascii="Times New Roman" w:hAnsi="Times New Roman" w:cs="Times New Roman"/>
                <w:sz w:val="24"/>
                <w:szCs w:val="24"/>
              </w:rPr>
            </w:pPr>
          </w:p>
          <w:p w14:paraId="20E8152F" w14:textId="77777777" w:rsidR="003C776B" w:rsidRPr="003E09A4" w:rsidRDefault="003C776B" w:rsidP="003E09A4">
            <w:pPr>
              <w:jc w:val="both"/>
              <w:rPr>
                <w:rFonts w:ascii="Times New Roman" w:hAnsi="Times New Roman" w:cs="Times New Roman"/>
                <w:sz w:val="24"/>
                <w:szCs w:val="24"/>
              </w:rPr>
            </w:pPr>
          </w:p>
          <w:p w14:paraId="3052BDB6" w14:textId="77777777" w:rsidR="00A82394" w:rsidRPr="00A82394" w:rsidRDefault="00A82394" w:rsidP="000957A9">
            <w:pPr>
              <w:jc w:val="both"/>
              <w:rPr>
                <w:rFonts w:ascii="Times New Roman" w:hAnsi="Times New Roman" w:cs="Times New Roman"/>
                <w:sz w:val="24"/>
                <w:szCs w:val="24"/>
              </w:rPr>
            </w:pPr>
          </w:p>
        </w:tc>
        <w:tc>
          <w:tcPr>
            <w:tcW w:w="6594" w:type="dxa"/>
            <w:shd w:val="clear" w:color="auto" w:fill="auto"/>
          </w:tcPr>
          <w:p w14:paraId="379F417A" w14:textId="77777777" w:rsidR="003C776B" w:rsidRDefault="003E09A4" w:rsidP="007F57BC">
            <w:pPr>
              <w:jc w:val="both"/>
              <w:rPr>
                <w:rFonts w:ascii="Times New Roman" w:hAnsi="Times New Roman"/>
                <w:color w:val="FF0000"/>
                <w:sz w:val="24"/>
                <w:szCs w:val="24"/>
              </w:rPr>
            </w:pPr>
            <w:r w:rsidRPr="008128A3">
              <w:rPr>
                <w:rFonts w:ascii="Times New Roman" w:hAnsi="Times New Roman" w:cs="Times New Roman"/>
                <w:i/>
                <w:sz w:val="24"/>
                <w:szCs w:val="24"/>
                <w:u w:val="single"/>
              </w:rPr>
              <w:t>Ja  NAP2027 paredzēs pasākumus</w:t>
            </w:r>
            <w:r w:rsidRPr="008128A3">
              <w:rPr>
                <w:rFonts w:ascii="Times New Roman" w:hAnsi="Times New Roman" w:cs="Times New Roman"/>
                <w:i/>
                <w:sz w:val="24"/>
                <w:szCs w:val="24"/>
              </w:rPr>
              <w:t xml:space="preserve"> adekvāta valsts un pašvaldību materiālā atbalsta un pakalpojumu nodrošināšanai, īpaši, nabadzības un sociālās atstumtības riskam pakļautajām iedzīvotāju grupām, ienākumu nevienlīdzības mazināšanās, iekļaujošas sabiedrības, darba tirgus, izglītības, vides u.tml. veidošana, sabiedrības novecošanās ietekme uz pakalpojumu un resursu (finanšu, cilvēku) plānošanu, </w:t>
            </w:r>
            <w:r w:rsidRPr="008128A3">
              <w:rPr>
                <w:rFonts w:ascii="Times New Roman" w:hAnsi="Times New Roman" w:cs="Times New Roman"/>
                <w:i/>
                <w:sz w:val="24"/>
                <w:szCs w:val="24"/>
                <w:u w:val="single"/>
              </w:rPr>
              <w:t>tad ministrija savu politikas plānošanu balstīs uz  NAP2027, izstrādājot tikai plāna projektus</w:t>
            </w:r>
            <w:r w:rsidRPr="008128A3">
              <w:rPr>
                <w:rFonts w:ascii="Times New Roman" w:hAnsi="Times New Roman" w:cs="Times New Roman"/>
                <w:i/>
                <w:sz w:val="24"/>
                <w:szCs w:val="24"/>
              </w:rPr>
              <w:t xml:space="preserve"> noteiktās nozarēs. Ja tiek pārskatīta pamatnostādņu struktūra un samazināta dokumenta detalizācijas pakāpe, tad  LM izvērtētu iespēju izstrādāt vienotu nozares vidēja termiņa plānošanas dokumentu par sociālās drošības sistēmas attīstību.</w:t>
            </w:r>
            <w:r w:rsidR="00F01D73" w:rsidRPr="008128A3">
              <w:rPr>
                <w:rFonts w:ascii="Times New Roman" w:hAnsi="Times New Roman"/>
                <w:color w:val="FF0000"/>
                <w:sz w:val="24"/>
                <w:szCs w:val="24"/>
              </w:rPr>
              <w:t xml:space="preserve"> </w:t>
            </w:r>
          </w:p>
          <w:p w14:paraId="4FE3172E" w14:textId="77777777" w:rsidR="003C776B" w:rsidRDefault="003C776B" w:rsidP="00F01D73">
            <w:pPr>
              <w:ind w:firstLine="720"/>
              <w:jc w:val="both"/>
              <w:rPr>
                <w:rFonts w:ascii="Times New Roman" w:hAnsi="Times New Roman" w:cs="Times New Roman"/>
                <w:i/>
                <w:sz w:val="24"/>
                <w:szCs w:val="24"/>
              </w:rPr>
            </w:pPr>
          </w:p>
          <w:p w14:paraId="784B0ECF" w14:textId="5710DCC8" w:rsidR="00B405C4" w:rsidRPr="00B405C4" w:rsidRDefault="00F01D73" w:rsidP="00B405C4">
            <w:pPr>
              <w:jc w:val="both"/>
              <w:rPr>
                <w:rFonts w:ascii="Times New Roman" w:hAnsi="Times New Roman" w:cs="Times New Roman"/>
                <w:sz w:val="24"/>
                <w:szCs w:val="24"/>
              </w:rPr>
            </w:pPr>
            <w:r w:rsidRPr="003C776B">
              <w:rPr>
                <w:rFonts w:ascii="Times New Roman" w:hAnsi="Times New Roman" w:cs="Times New Roman"/>
                <w:sz w:val="24"/>
                <w:szCs w:val="24"/>
              </w:rPr>
              <w:t xml:space="preserve">Pēcāk Labklājības ministrija ir informējusi PKC, ka plāno izstrādāt </w:t>
            </w:r>
            <w:r w:rsidR="00B405C4" w:rsidRPr="00B405C4">
              <w:rPr>
                <w:rFonts w:ascii="Times New Roman" w:hAnsi="Times New Roman" w:cs="Times New Roman"/>
                <w:b/>
                <w:sz w:val="24"/>
                <w:szCs w:val="24"/>
              </w:rPr>
              <w:t>Labklājības nozares attīstības pamatnostādnes 2021.-2027.gadam</w:t>
            </w:r>
            <w:r w:rsidR="00B405C4" w:rsidRPr="00B405C4">
              <w:rPr>
                <w:rFonts w:ascii="Times New Roman" w:hAnsi="Times New Roman" w:cs="Times New Roman"/>
                <w:sz w:val="24"/>
                <w:szCs w:val="24"/>
              </w:rPr>
              <w:t xml:space="preserve"> (Alternatīvais nosaukums - Sociālās aizsardzības un darba tirgus politikas pamatnostādnes 2021.-2027.gadam. )</w:t>
            </w:r>
          </w:p>
          <w:p w14:paraId="19CA8123" w14:textId="27ECB7A9" w:rsidR="00B405C4" w:rsidRPr="00B405C4" w:rsidRDefault="00B405C4" w:rsidP="00B405C4">
            <w:pPr>
              <w:jc w:val="both"/>
              <w:rPr>
                <w:rFonts w:ascii="Times New Roman" w:hAnsi="Times New Roman" w:cs="Times New Roman"/>
                <w:sz w:val="24"/>
                <w:szCs w:val="24"/>
              </w:rPr>
            </w:pPr>
            <w:r w:rsidRPr="00B405C4">
              <w:rPr>
                <w:rFonts w:ascii="Times New Roman" w:hAnsi="Times New Roman" w:cs="Times New Roman"/>
                <w:b/>
                <w:sz w:val="24"/>
                <w:szCs w:val="24"/>
              </w:rPr>
              <w:t>Mērķis:</w:t>
            </w:r>
            <w:r w:rsidRPr="00B405C4">
              <w:rPr>
                <w:rFonts w:ascii="Times New Roman" w:hAnsi="Times New Roman" w:cs="Times New Roman"/>
                <w:sz w:val="24"/>
                <w:szCs w:val="24"/>
              </w:rPr>
              <w:t xml:space="preserve"> sekmēt iedzīvotāju sociālo iekļaušanu, mazinot ienākumu nevienlīdzību un nabadzību, attīstot pieejamu un individuālajām vajadzībām atbilstošu sociālo pakalpojumu un juridiskā atbalsta sistēmu, kā arī veicinot augstu un iekļaujošu nodarbinātību un kvalitatīvu darba vidi. Galvenie rīcības virzieni: (1) Ilgtspējīga, stabila un adekvāta sociālā aizsardzība, kas nodrošina pietiekamu ekonomisko neatkarību; (2) Moderna un pieejama sociālo pakalpojumu sistēma, kas cita starpā uzlabo iedzīvotāju iespējas dzīvot neatkarīgi un dzīvot sabiedrībā, iekļauties izglītībā un darba tirgū; (3) Iekļaujošs darba tirgus ikvienam un kvalitatīvas darba vietas, atbalstot ilgtermiņa līdzdalību darba tirgū; (4) Attīstīta valsts nodrošinātā juridiskā atbalsta sistēma, paplašinot mazāk aizsargāto personu piekļuvi tiesu sistēmai. </w:t>
            </w:r>
          </w:p>
          <w:p w14:paraId="0C5B3A9A" w14:textId="4AD7D4D8" w:rsidR="00A82394" w:rsidRPr="00A82394" w:rsidRDefault="00A82394" w:rsidP="00B405C4">
            <w:pPr>
              <w:jc w:val="both"/>
              <w:rPr>
                <w:rFonts w:ascii="Times New Roman" w:hAnsi="Times New Roman" w:cs="Times New Roman"/>
                <w:sz w:val="24"/>
                <w:szCs w:val="24"/>
              </w:rPr>
            </w:pPr>
          </w:p>
        </w:tc>
      </w:tr>
      <w:tr w:rsidR="00DB67B5" w:rsidRPr="00A82394" w14:paraId="3B10DC19" w14:textId="77777777" w:rsidTr="00EC10EB">
        <w:tc>
          <w:tcPr>
            <w:tcW w:w="1129" w:type="dxa"/>
          </w:tcPr>
          <w:p w14:paraId="1B636709" w14:textId="06B4C501" w:rsidR="00A82394" w:rsidRPr="00A82394" w:rsidRDefault="00EC10EB" w:rsidP="000957A9">
            <w:pPr>
              <w:rPr>
                <w:rFonts w:ascii="Times New Roman" w:hAnsi="Times New Roman" w:cs="Times New Roman"/>
                <w:sz w:val="24"/>
                <w:szCs w:val="24"/>
              </w:rPr>
            </w:pPr>
            <w:r>
              <w:rPr>
                <w:rFonts w:ascii="Times New Roman" w:hAnsi="Times New Roman" w:cs="Times New Roman"/>
                <w:sz w:val="24"/>
                <w:szCs w:val="24"/>
              </w:rPr>
              <w:t>SM</w:t>
            </w:r>
          </w:p>
        </w:tc>
        <w:tc>
          <w:tcPr>
            <w:tcW w:w="1338" w:type="dxa"/>
          </w:tcPr>
          <w:p w14:paraId="4F749019" w14:textId="77777777" w:rsidR="00A82394" w:rsidRPr="00A82394" w:rsidRDefault="00A82394" w:rsidP="000957A9">
            <w:pPr>
              <w:pStyle w:val="ListParagraph"/>
              <w:numPr>
                <w:ilvl w:val="0"/>
                <w:numId w:val="1"/>
              </w:numPr>
              <w:jc w:val="right"/>
              <w:rPr>
                <w:rFonts w:ascii="Times New Roman" w:hAnsi="Times New Roman" w:cs="Times New Roman"/>
                <w:sz w:val="24"/>
                <w:szCs w:val="24"/>
              </w:rPr>
            </w:pPr>
          </w:p>
          <w:p w14:paraId="45C8E207" w14:textId="77777777" w:rsidR="00A82394" w:rsidRPr="00A82394" w:rsidRDefault="00A82394" w:rsidP="000957A9">
            <w:pPr>
              <w:ind w:left="360"/>
              <w:rPr>
                <w:rFonts w:ascii="Times New Roman" w:hAnsi="Times New Roman" w:cs="Times New Roman"/>
                <w:sz w:val="24"/>
                <w:szCs w:val="24"/>
              </w:rPr>
            </w:pPr>
          </w:p>
        </w:tc>
        <w:tc>
          <w:tcPr>
            <w:tcW w:w="6594" w:type="dxa"/>
            <w:shd w:val="clear" w:color="auto" w:fill="auto"/>
          </w:tcPr>
          <w:p w14:paraId="4694034E" w14:textId="77777777" w:rsidR="00A82394" w:rsidRPr="00A82394" w:rsidRDefault="00A82394" w:rsidP="000957A9">
            <w:pPr>
              <w:jc w:val="both"/>
              <w:rPr>
                <w:rFonts w:ascii="Times New Roman" w:hAnsi="Times New Roman" w:cs="Times New Roman"/>
                <w:b/>
                <w:sz w:val="24"/>
                <w:szCs w:val="24"/>
              </w:rPr>
            </w:pPr>
            <w:r w:rsidRPr="00A82394">
              <w:rPr>
                <w:rFonts w:ascii="Times New Roman" w:hAnsi="Times New Roman" w:cs="Times New Roman"/>
                <w:b/>
                <w:sz w:val="24"/>
                <w:szCs w:val="24"/>
              </w:rPr>
              <w:t>Transporta attīstības pamatnostādnes 2021-2027.gadam</w:t>
            </w:r>
          </w:p>
          <w:p w14:paraId="0429558F" w14:textId="77777777" w:rsidR="00A82394" w:rsidRPr="00A82394" w:rsidRDefault="00A82394" w:rsidP="000957A9">
            <w:pPr>
              <w:jc w:val="both"/>
              <w:rPr>
                <w:rFonts w:ascii="Times New Roman" w:hAnsi="Times New Roman" w:cs="Times New Roman"/>
                <w:sz w:val="24"/>
                <w:szCs w:val="24"/>
              </w:rPr>
            </w:pPr>
            <w:r w:rsidRPr="00A82394">
              <w:rPr>
                <w:rFonts w:ascii="Times New Roman" w:hAnsi="Times New Roman" w:cs="Times New Roman"/>
                <w:b/>
                <w:sz w:val="24"/>
                <w:szCs w:val="24"/>
              </w:rPr>
              <w:t>Mērķis:</w:t>
            </w:r>
            <w:r w:rsidRPr="00A82394">
              <w:rPr>
                <w:rFonts w:ascii="Times New Roman" w:hAnsi="Times New Roman" w:cs="Times New Roman"/>
                <w:sz w:val="24"/>
                <w:szCs w:val="24"/>
              </w:rPr>
              <w:t xml:space="preserve"> Integrēta transporta sistēma, kas nodrošina efektīvu, ilgtspējīgu, drošu un gudru cilvēku un kravu mobilitāti, tādējādi veicinot valsts ekonomisko izaugsmi, nodrošinot </w:t>
            </w:r>
            <w:r w:rsidRPr="00A82394">
              <w:rPr>
                <w:rFonts w:ascii="Times New Roman" w:hAnsi="Times New Roman" w:cs="Times New Roman"/>
                <w:sz w:val="24"/>
                <w:szCs w:val="24"/>
              </w:rPr>
              <w:lastRenderedPageBreak/>
              <w:t xml:space="preserve">uzņēmējdarbības vides pieejamību un dodot ieguldījumu pārejā uz zema emisiju līmeņa sabiedrību. Paredzēts noteikt  2 galvenos rīcības virzienus – (1) </w:t>
            </w:r>
            <w:r w:rsidRPr="003E09A4">
              <w:rPr>
                <w:rFonts w:ascii="Times New Roman" w:hAnsi="Times New Roman" w:cs="Times New Roman"/>
                <w:sz w:val="24"/>
                <w:szCs w:val="24"/>
              </w:rPr>
              <w:t>mobilitātes uzlabošana</w:t>
            </w:r>
            <w:r w:rsidRPr="00A82394">
              <w:rPr>
                <w:rFonts w:ascii="Times New Roman" w:hAnsi="Times New Roman" w:cs="Times New Roman"/>
                <w:b/>
                <w:sz w:val="24"/>
                <w:szCs w:val="24"/>
              </w:rPr>
              <w:t xml:space="preserve"> </w:t>
            </w:r>
            <w:r w:rsidRPr="00A82394">
              <w:rPr>
                <w:rFonts w:ascii="Times New Roman" w:hAnsi="Times New Roman" w:cs="Times New Roman"/>
                <w:sz w:val="24"/>
                <w:szCs w:val="24"/>
              </w:rPr>
              <w:t>(</w:t>
            </w:r>
            <w:r w:rsidRPr="00A82394">
              <w:rPr>
                <w:rFonts w:ascii="Times New Roman" w:hAnsi="Times New Roman" w:cs="Times New Roman"/>
                <w:i/>
                <w:sz w:val="24"/>
                <w:szCs w:val="24"/>
              </w:rPr>
              <w:t xml:space="preserve">droša, ērta, pieejama, uzticama mobilitāte cilvēkiem un kravām; </w:t>
            </w:r>
            <w:r w:rsidRPr="00A82394">
              <w:rPr>
                <w:rFonts w:ascii="Times New Roman" w:hAnsi="Times New Roman" w:cs="Times New Roman"/>
                <w:sz w:val="24"/>
                <w:szCs w:val="24"/>
              </w:rPr>
              <w:t>(2)</w:t>
            </w:r>
            <w:r w:rsidRPr="00A82394">
              <w:rPr>
                <w:rFonts w:ascii="Times New Roman" w:hAnsi="Times New Roman" w:cs="Times New Roman"/>
                <w:b/>
                <w:sz w:val="24"/>
                <w:szCs w:val="24"/>
              </w:rPr>
              <w:t xml:space="preserve"> </w:t>
            </w:r>
            <w:r w:rsidRPr="003E09A4">
              <w:rPr>
                <w:rFonts w:ascii="Times New Roman" w:hAnsi="Times New Roman" w:cs="Times New Roman"/>
                <w:sz w:val="24"/>
                <w:szCs w:val="24"/>
              </w:rPr>
              <w:t>transporta un loģistikas pakalpojumu attīstība</w:t>
            </w:r>
            <w:r w:rsidRPr="00A82394">
              <w:rPr>
                <w:rFonts w:ascii="Times New Roman" w:hAnsi="Times New Roman" w:cs="Times New Roman"/>
                <w:b/>
                <w:sz w:val="24"/>
                <w:szCs w:val="24"/>
              </w:rPr>
              <w:t xml:space="preserve"> </w:t>
            </w:r>
            <w:r w:rsidRPr="00A82394">
              <w:rPr>
                <w:rFonts w:ascii="Times New Roman" w:hAnsi="Times New Roman" w:cs="Times New Roman"/>
                <w:sz w:val="24"/>
                <w:szCs w:val="24"/>
              </w:rPr>
              <w:t>(</w:t>
            </w:r>
            <w:r w:rsidRPr="00A82394">
              <w:rPr>
                <w:rFonts w:ascii="Times New Roman" w:hAnsi="Times New Roman" w:cs="Times New Roman"/>
                <w:i/>
                <w:sz w:val="24"/>
                <w:szCs w:val="24"/>
              </w:rPr>
              <w:t>energoefektīvi, komodāli pārvadājumi un efektīvi, gudri un ilgtspējīgi risinājumi</w:t>
            </w:r>
            <w:r w:rsidRPr="00A82394">
              <w:rPr>
                <w:rFonts w:ascii="Times New Roman" w:hAnsi="Times New Roman" w:cs="Times New Roman"/>
                <w:sz w:val="24"/>
                <w:szCs w:val="24"/>
              </w:rPr>
              <w:t>),</w:t>
            </w:r>
            <w:r w:rsidRPr="00A82394">
              <w:rPr>
                <w:rFonts w:ascii="Times New Roman" w:hAnsi="Times New Roman" w:cs="Times New Roman"/>
                <w:b/>
                <w:sz w:val="24"/>
                <w:szCs w:val="24"/>
              </w:rPr>
              <w:t xml:space="preserve"> </w:t>
            </w:r>
            <w:r w:rsidRPr="00A82394">
              <w:rPr>
                <w:rFonts w:ascii="Times New Roman" w:hAnsi="Times New Roman" w:cs="Times New Roman"/>
                <w:sz w:val="24"/>
                <w:szCs w:val="24"/>
              </w:rPr>
              <w:t>ietverot attiecīgas infrastruktūras attīstību.</w:t>
            </w:r>
          </w:p>
          <w:p w14:paraId="40C4056C" w14:textId="77777777" w:rsidR="00A82394" w:rsidRPr="00A82394" w:rsidRDefault="00A82394" w:rsidP="000957A9">
            <w:pPr>
              <w:jc w:val="both"/>
              <w:rPr>
                <w:rFonts w:ascii="Times New Roman" w:hAnsi="Times New Roman" w:cs="Times New Roman"/>
                <w:sz w:val="24"/>
                <w:szCs w:val="24"/>
              </w:rPr>
            </w:pPr>
          </w:p>
        </w:tc>
      </w:tr>
      <w:tr w:rsidR="003E09A4" w:rsidRPr="00A82394" w14:paraId="7B0B2EE9" w14:textId="77777777" w:rsidTr="00EC10EB">
        <w:tc>
          <w:tcPr>
            <w:tcW w:w="1129" w:type="dxa"/>
            <w:vMerge w:val="restart"/>
          </w:tcPr>
          <w:p w14:paraId="10D87916" w14:textId="7728D120" w:rsidR="00A82394" w:rsidRPr="00A82394" w:rsidRDefault="00EC10EB" w:rsidP="000957A9">
            <w:pPr>
              <w:rPr>
                <w:rFonts w:ascii="Times New Roman" w:hAnsi="Times New Roman" w:cs="Times New Roman"/>
                <w:sz w:val="24"/>
                <w:szCs w:val="24"/>
              </w:rPr>
            </w:pPr>
            <w:r>
              <w:rPr>
                <w:rFonts w:ascii="Times New Roman" w:hAnsi="Times New Roman" w:cs="Times New Roman"/>
                <w:sz w:val="24"/>
                <w:szCs w:val="24"/>
              </w:rPr>
              <w:lastRenderedPageBreak/>
              <w:t>TM</w:t>
            </w:r>
          </w:p>
        </w:tc>
        <w:tc>
          <w:tcPr>
            <w:tcW w:w="1338" w:type="dxa"/>
            <w:shd w:val="clear" w:color="auto" w:fill="auto"/>
          </w:tcPr>
          <w:p w14:paraId="5BA9F7D7" w14:textId="77777777" w:rsidR="00A82394" w:rsidRPr="00A82394" w:rsidRDefault="00A82394" w:rsidP="000957A9">
            <w:pPr>
              <w:pStyle w:val="ListParagraph"/>
              <w:numPr>
                <w:ilvl w:val="0"/>
                <w:numId w:val="1"/>
              </w:numPr>
              <w:jc w:val="right"/>
              <w:rPr>
                <w:rFonts w:ascii="Times New Roman" w:hAnsi="Times New Roman" w:cs="Times New Roman"/>
                <w:sz w:val="24"/>
                <w:szCs w:val="24"/>
              </w:rPr>
            </w:pPr>
            <w:r w:rsidRPr="00A82394">
              <w:rPr>
                <w:rFonts w:ascii="Times New Roman" w:hAnsi="Times New Roman" w:cs="Times New Roman"/>
                <w:sz w:val="24"/>
                <w:szCs w:val="24"/>
              </w:rPr>
              <w:t xml:space="preserve"> </w:t>
            </w:r>
          </w:p>
        </w:tc>
        <w:tc>
          <w:tcPr>
            <w:tcW w:w="6594" w:type="dxa"/>
            <w:shd w:val="clear" w:color="auto" w:fill="auto"/>
          </w:tcPr>
          <w:p w14:paraId="2295CB73" w14:textId="77777777" w:rsidR="00A82394" w:rsidRPr="00A82394" w:rsidRDefault="00A82394" w:rsidP="000957A9">
            <w:pPr>
              <w:jc w:val="both"/>
              <w:rPr>
                <w:rFonts w:ascii="Times New Roman" w:hAnsi="Times New Roman" w:cs="Times New Roman"/>
                <w:b/>
                <w:sz w:val="24"/>
                <w:szCs w:val="24"/>
              </w:rPr>
            </w:pPr>
            <w:r w:rsidRPr="00A82394">
              <w:rPr>
                <w:rFonts w:ascii="Times New Roman" w:hAnsi="Times New Roman" w:cs="Times New Roman"/>
                <w:b/>
                <w:sz w:val="24"/>
                <w:szCs w:val="24"/>
              </w:rPr>
              <w:t>Tieslietu nozares digitalizācijas risinājumu attīstība klientorientētā dimensijā</w:t>
            </w:r>
          </w:p>
          <w:p w14:paraId="64C52AE3" w14:textId="287695A6" w:rsidR="00A82394" w:rsidRPr="00A82394" w:rsidRDefault="00A82394" w:rsidP="000957A9">
            <w:pPr>
              <w:jc w:val="both"/>
              <w:rPr>
                <w:rFonts w:ascii="Times New Roman" w:hAnsi="Times New Roman" w:cs="Times New Roman"/>
                <w:sz w:val="24"/>
                <w:szCs w:val="24"/>
              </w:rPr>
            </w:pPr>
            <w:bookmarkStart w:id="2" w:name="_Hlk17727376"/>
            <w:r w:rsidRPr="00A82394">
              <w:rPr>
                <w:rFonts w:ascii="Times New Roman" w:hAnsi="Times New Roman" w:cs="Times New Roman"/>
                <w:b/>
                <w:sz w:val="24"/>
                <w:szCs w:val="24"/>
              </w:rPr>
              <w:t>Mērķis:</w:t>
            </w:r>
            <w:r w:rsidRPr="00A82394">
              <w:rPr>
                <w:rFonts w:ascii="Times New Roman" w:hAnsi="Times New Roman" w:cs="Times New Roman"/>
                <w:sz w:val="24"/>
                <w:szCs w:val="24"/>
              </w:rPr>
              <w:t xml:space="preserve"> sabiedrības un uzņēmēju interesēm un tiesiskuma standartiem atbilstoši tieslietu pakalpojumi. Indikatīvie rīcības virzieni:</w:t>
            </w:r>
            <w:r w:rsidR="003E09A4">
              <w:rPr>
                <w:rFonts w:ascii="Times New Roman" w:hAnsi="Times New Roman" w:cs="Times New Roman"/>
                <w:sz w:val="24"/>
                <w:szCs w:val="24"/>
              </w:rPr>
              <w:t xml:space="preserve"> </w:t>
            </w:r>
            <w:r w:rsidRPr="00A82394">
              <w:rPr>
                <w:rFonts w:ascii="Times New Roman" w:hAnsi="Times New Roman" w:cs="Times New Roman"/>
                <w:sz w:val="24"/>
                <w:szCs w:val="24"/>
              </w:rPr>
              <w:t xml:space="preserve">(1) Racionālas un efektīvas (savienojama, kiberdroša, ar augstu veiktspēju) digitālās infrastruktūras izveide tieslietu jomā; (2) Sabiedrības interesēm atbilstoša un valsts ekonomisko izaugsmi veicinoša tiesiskuma pieejamība (valsts nozīmes reģistru un to sniegto pakalpojumu attīstība, ieviešot mākslīgā intelekta, mašīntulkošanas rīkus utt., datu drošības un datu pielietojuma risinājumi); (3) vienota informatīva platforma valsts, pilsonisko un tiesisko interešu aizsardzībai. </w:t>
            </w:r>
            <w:bookmarkEnd w:id="2"/>
          </w:p>
        </w:tc>
      </w:tr>
      <w:tr w:rsidR="00DB67B5" w:rsidRPr="00A82394" w14:paraId="01C9B817" w14:textId="77777777" w:rsidTr="00EC10EB">
        <w:tc>
          <w:tcPr>
            <w:tcW w:w="1129" w:type="dxa"/>
            <w:vMerge/>
          </w:tcPr>
          <w:p w14:paraId="7713A8C9" w14:textId="77777777" w:rsidR="00A82394" w:rsidRPr="00A82394" w:rsidRDefault="00A82394" w:rsidP="000957A9">
            <w:pPr>
              <w:rPr>
                <w:rFonts w:ascii="Times New Roman" w:hAnsi="Times New Roman" w:cs="Times New Roman"/>
                <w:sz w:val="24"/>
                <w:szCs w:val="24"/>
              </w:rPr>
            </w:pPr>
          </w:p>
        </w:tc>
        <w:tc>
          <w:tcPr>
            <w:tcW w:w="1338" w:type="dxa"/>
            <w:shd w:val="clear" w:color="auto" w:fill="auto"/>
          </w:tcPr>
          <w:p w14:paraId="483F28DF" w14:textId="77777777" w:rsidR="00A82394" w:rsidRPr="00A82394" w:rsidRDefault="00A82394" w:rsidP="000957A9">
            <w:pPr>
              <w:pStyle w:val="ListParagraph"/>
              <w:numPr>
                <w:ilvl w:val="0"/>
                <w:numId w:val="1"/>
              </w:numPr>
              <w:jc w:val="right"/>
              <w:rPr>
                <w:rFonts w:ascii="Times New Roman" w:hAnsi="Times New Roman" w:cs="Times New Roman"/>
                <w:sz w:val="24"/>
                <w:szCs w:val="24"/>
              </w:rPr>
            </w:pPr>
          </w:p>
        </w:tc>
        <w:tc>
          <w:tcPr>
            <w:tcW w:w="6594" w:type="dxa"/>
            <w:shd w:val="clear" w:color="auto" w:fill="auto"/>
          </w:tcPr>
          <w:p w14:paraId="3A0FC49C" w14:textId="71367B21" w:rsidR="00A82394" w:rsidRPr="00A82394" w:rsidRDefault="00A82394" w:rsidP="000957A9">
            <w:pPr>
              <w:rPr>
                <w:rFonts w:ascii="Times New Roman" w:hAnsi="Times New Roman" w:cs="Times New Roman"/>
                <w:b/>
                <w:sz w:val="24"/>
                <w:szCs w:val="24"/>
              </w:rPr>
            </w:pPr>
            <w:r w:rsidRPr="00A82394">
              <w:rPr>
                <w:rFonts w:ascii="Times New Roman" w:hAnsi="Times New Roman" w:cs="Times New Roman"/>
                <w:b/>
                <w:sz w:val="24"/>
                <w:szCs w:val="24"/>
              </w:rPr>
              <w:t xml:space="preserve"> </w:t>
            </w:r>
            <w:r w:rsidR="008B4771">
              <w:rPr>
                <w:rFonts w:ascii="Times New Roman" w:hAnsi="Times New Roman" w:cs="Times New Roman"/>
                <w:b/>
                <w:sz w:val="24"/>
                <w:szCs w:val="24"/>
              </w:rPr>
              <w:t>R</w:t>
            </w:r>
            <w:r w:rsidRPr="00A82394">
              <w:rPr>
                <w:rFonts w:ascii="Times New Roman" w:hAnsi="Times New Roman" w:cs="Times New Roman"/>
                <w:b/>
                <w:sz w:val="24"/>
                <w:szCs w:val="24"/>
              </w:rPr>
              <w:t>esocializācijas politikas pamatnostādnes 2022.-2027.gadam</w:t>
            </w:r>
          </w:p>
          <w:p w14:paraId="64DFAF5E" w14:textId="77777777" w:rsidR="001B194F" w:rsidRDefault="001B194F" w:rsidP="001B194F">
            <w:pPr>
              <w:jc w:val="both"/>
              <w:rPr>
                <w:rFonts w:ascii="Times New Roman" w:hAnsi="Times New Roman" w:cs="Times New Roman"/>
                <w:sz w:val="24"/>
                <w:szCs w:val="24"/>
              </w:rPr>
            </w:pPr>
            <w:r>
              <w:rPr>
                <w:rFonts w:ascii="Times New Roman" w:hAnsi="Times New Roman" w:cs="Times New Roman"/>
                <w:b/>
                <w:sz w:val="24"/>
                <w:szCs w:val="24"/>
              </w:rPr>
              <w:t>Mērķis:</w:t>
            </w:r>
            <w:r>
              <w:rPr>
                <w:rFonts w:ascii="Times New Roman" w:hAnsi="Times New Roman" w:cs="Times New Roman"/>
                <w:sz w:val="24"/>
                <w:szCs w:val="24"/>
              </w:rPr>
              <w:t xml:space="preserve"> mazināt noziedzīgas uzvedības riskus ieslodzītajiem un probācijas klientiem, lai veicinātu drošāku sabiedrību, un radītu priekšnoteikumus personas veiksmīgai iekļaušanās sabiedrībā, t. sk. darba tirgū, pēc soda izciešanas. Indikatīvie rīcības virzieni: </w:t>
            </w:r>
          </w:p>
          <w:p w14:paraId="11417D2D" w14:textId="77777777" w:rsidR="00F515A9" w:rsidRDefault="001B194F" w:rsidP="001B194F">
            <w:pPr>
              <w:jc w:val="both"/>
              <w:rPr>
                <w:rFonts w:ascii="Times New Roman" w:hAnsi="Times New Roman" w:cs="Times New Roman"/>
                <w:sz w:val="24"/>
                <w:szCs w:val="24"/>
              </w:rPr>
            </w:pPr>
            <w:r>
              <w:rPr>
                <w:rFonts w:ascii="Times New Roman" w:hAnsi="Times New Roman" w:cs="Times New Roman"/>
                <w:sz w:val="24"/>
                <w:szCs w:val="24"/>
              </w:rPr>
              <w:t>(1)samazināt notiesātā (ieslodzīto un probācijas klientu) noziedzīgās uzvedības riskus, t.sk. antisociālas personības iezīmes un kriminālās attieksmes (resocializācijas darba kvalitātes nodrošināšana); (2) ieslodzīto un probācijas klientu atgriešanās sabiedrībā un darba tirgū iespēju veicināšana; (3) ieslodzīto un probācijas klientu veselības aprūpes nodrošināšana un veselīga dzīvesveida veicināšana; (4) resocializācijas vajadzībām atbilstošas infrastruktūras nodrošināšana; (5) korekcijas dienestu personāla jautājumu risināšana.</w:t>
            </w:r>
          </w:p>
          <w:p w14:paraId="756A158D" w14:textId="08070B19" w:rsidR="007F57BC" w:rsidRPr="00A82394" w:rsidRDefault="007F57BC" w:rsidP="001B194F">
            <w:pPr>
              <w:jc w:val="both"/>
              <w:rPr>
                <w:rFonts w:ascii="Times New Roman" w:hAnsi="Times New Roman" w:cs="Times New Roman"/>
                <w:sz w:val="24"/>
                <w:szCs w:val="24"/>
              </w:rPr>
            </w:pPr>
          </w:p>
        </w:tc>
      </w:tr>
      <w:tr w:rsidR="003E09A4" w:rsidRPr="00A82394" w14:paraId="65685B97" w14:textId="77777777" w:rsidTr="00EC10EB">
        <w:tc>
          <w:tcPr>
            <w:tcW w:w="1129" w:type="dxa"/>
            <w:vMerge/>
          </w:tcPr>
          <w:p w14:paraId="32A7F331" w14:textId="77777777" w:rsidR="00A82394" w:rsidRPr="00A82394" w:rsidRDefault="00A82394" w:rsidP="000957A9">
            <w:pPr>
              <w:rPr>
                <w:rFonts w:ascii="Times New Roman" w:hAnsi="Times New Roman" w:cs="Times New Roman"/>
                <w:sz w:val="24"/>
                <w:szCs w:val="24"/>
              </w:rPr>
            </w:pPr>
          </w:p>
        </w:tc>
        <w:tc>
          <w:tcPr>
            <w:tcW w:w="1338" w:type="dxa"/>
            <w:shd w:val="clear" w:color="auto" w:fill="auto"/>
          </w:tcPr>
          <w:p w14:paraId="7029786A" w14:textId="77777777" w:rsidR="00A82394" w:rsidRPr="00A82394" w:rsidRDefault="00A82394" w:rsidP="000957A9">
            <w:pPr>
              <w:pStyle w:val="ListParagraph"/>
              <w:numPr>
                <w:ilvl w:val="0"/>
                <w:numId w:val="1"/>
              </w:numPr>
              <w:jc w:val="right"/>
              <w:rPr>
                <w:rFonts w:ascii="Times New Roman" w:hAnsi="Times New Roman" w:cs="Times New Roman"/>
                <w:sz w:val="24"/>
                <w:szCs w:val="24"/>
              </w:rPr>
            </w:pPr>
          </w:p>
        </w:tc>
        <w:tc>
          <w:tcPr>
            <w:tcW w:w="6594" w:type="dxa"/>
            <w:shd w:val="clear" w:color="auto" w:fill="auto"/>
          </w:tcPr>
          <w:p w14:paraId="01FD74A5" w14:textId="77777777" w:rsidR="00A82394" w:rsidRPr="00A82394" w:rsidRDefault="00A82394" w:rsidP="000957A9">
            <w:pPr>
              <w:rPr>
                <w:rFonts w:ascii="Times New Roman" w:hAnsi="Times New Roman" w:cs="Times New Roman"/>
                <w:b/>
                <w:sz w:val="24"/>
                <w:szCs w:val="24"/>
              </w:rPr>
            </w:pPr>
            <w:bookmarkStart w:id="3" w:name="OLE_LINK1"/>
            <w:r w:rsidRPr="00A82394">
              <w:rPr>
                <w:rFonts w:ascii="Times New Roman" w:hAnsi="Times New Roman" w:cs="Times New Roman"/>
                <w:b/>
                <w:sz w:val="24"/>
                <w:szCs w:val="24"/>
              </w:rPr>
              <w:t>Mazāk aizsargāto un cietušo personu atbalsts un aizsardz</w:t>
            </w:r>
            <w:bookmarkEnd w:id="3"/>
            <w:r w:rsidRPr="00A82394">
              <w:rPr>
                <w:rFonts w:ascii="Times New Roman" w:hAnsi="Times New Roman" w:cs="Times New Roman"/>
                <w:b/>
                <w:sz w:val="24"/>
                <w:szCs w:val="24"/>
              </w:rPr>
              <w:t>ība</w:t>
            </w:r>
          </w:p>
          <w:p w14:paraId="7C606633" w14:textId="1FA5F587" w:rsidR="00F515A9" w:rsidRDefault="00A82394" w:rsidP="000957A9">
            <w:pPr>
              <w:jc w:val="both"/>
              <w:rPr>
                <w:rFonts w:ascii="Times New Roman" w:hAnsi="Times New Roman" w:cs="Times New Roman"/>
                <w:sz w:val="24"/>
                <w:szCs w:val="24"/>
              </w:rPr>
            </w:pPr>
            <w:r w:rsidRPr="00A82394">
              <w:rPr>
                <w:rFonts w:ascii="Times New Roman" w:hAnsi="Times New Roman" w:cs="Times New Roman"/>
                <w:b/>
                <w:sz w:val="24"/>
                <w:szCs w:val="24"/>
              </w:rPr>
              <w:t xml:space="preserve">Mērķis: </w:t>
            </w:r>
            <w:r w:rsidRPr="00A82394">
              <w:rPr>
                <w:rFonts w:ascii="Times New Roman" w:hAnsi="Times New Roman" w:cs="Times New Roman"/>
                <w:sz w:val="24"/>
                <w:szCs w:val="24"/>
              </w:rPr>
              <w:t xml:space="preserve">paplašināt mazāk aizsargāto personu atbalsta sniegšanas iespējas un piekļuvi tiesu sistēmai. Indikatīvie rīcības virzieni: (1) Valsts nodrošinātās juridiskās atbalsta sistēmas attīstība mazākaizsargāto personu grupu interešu un tiesību aizskāruma mazināšanai un novēršanai (daļējās valsts nodrošinātās juridiskās palīdzības sistēmas ieviešana visās lietu kategorijās); (2) valsts </w:t>
            </w:r>
            <w:r w:rsidR="008B4771">
              <w:rPr>
                <w:rFonts w:ascii="Times New Roman" w:hAnsi="Times New Roman" w:cs="Times New Roman"/>
                <w:sz w:val="24"/>
                <w:szCs w:val="24"/>
              </w:rPr>
              <w:t xml:space="preserve">atbalsta mehānismi </w:t>
            </w:r>
            <w:r w:rsidRPr="00A82394">
              <w:rPr>
                <w:rFonts w:ascii="Times New Roman" w:hAnsi="Times New Roman" w:cs="Times New Roman"/>
                <w:sz w:val="24"/>
                <w:szCs w:val="24"/>
              </w:rPr>
              <w:t xml:space="preserve">mediācijas </w:t>
            </w:r>
            <w:r w:rsidR="008B4771">
              <w:rPr>
                <w:rFonts w:ascii="Times New Roman" w:hAnsi="Times New Roman" w:cs="Times New Roman"/>
                <w:sz w:val="24"/>
                <w:szCs w:val="24"/>
              </w:rPr>
              <w:t xml:space="preserve"> izmantošanas iespējām un </w:t>
            </w:r>
            <w:r w:rsidRPr="00A82394">
              <w:rPr>
                <w:rFonts w:ascii="Times New Roman" w:hAnsi="Times New Roman" w:cs="Times New Roman"/>
                <w:sz w:val="24"/>
                <w:szCs w:val="24"/>
              </w:rPr>
              <w:t>juridiskās palīdzības pieejamības veicināšanai; (3) cietušo atbalsta politikas attīstība (uzlabojumi valsts kompensācijas jomā).</w:t>
            </w:r>
          </w:p>
          <w:p w14:paraId="40FA825F" w14:textId="186BD894" w:rsidR="007F57BC" w:rsidRPr="00A82394" w:rsidRDefault="007F57BC" w:rsidP="000957A9">
            <w:pPr>
              <w:jc w:val="both"/>
              <w:rPr>
                <w:rFonts w:ascii="Times New Roman" w:hAnsi="Times New Roman" w:cs="Times New Roman"/>
                <w:sz w:val="24"/>
                <w:szCs w:val="24"/>
              </w:rPr>
            </w:pPr>
          </w:p>
        </w:tc>
      </w:tr>
      <w:tr w:rsidR="003E09A4" w:rsidRPr="00A82394" w14:paraId="6C82E87A" w14:textId="77777777" w:rsidTr="00EC10EB">
        <w:tc>
          <w:tcPr>
            <w:tcW w:w="1129" w:type="dxa"/>
            <w:vMerge w:val="restart"/>
          </w:tcPr>
          <w:p w14:paraId="6F8E8AF7" w14:textId="1DF9A905" w:rsidR="003E09A4" w:rsidRPr="00A82394" w:rsidRDefault="00EC10EB" w:rsidP="000957A9">
            <w:pPr>
              <w:rPr>
                <w:rFonts w:ascii="Times New Roman" w:hAnsi="Times New Roman" w:cs="Times New Roman"/>
                <w:sz w:val="24"/>
                <w:szCs w:val="24"/>
              </w:rPr>
            </w:pPr>
            <w:r>
              <w:rPr>
                <w:rFonts w:ascii="Times New Roman" w:hAnsi="Times New Roman" w:cs="Times New Roman"/>
                <w:sz w:val="24"/>
                <w:szCs w:val="24"/>
              </w:rPr>
              <w:t>VARAM</w:t>
            </w:r>
          </w:p>
        </w:tc>
        <w:tc>
          <w:tcPr>
            <w:tcW w:w="1338" w:type="dxa"/>
            <w:shd w:val="clear" w:color="auto" w:fill="auto"/>
          </w:tcPr>
          <w:p w14:paraId="4A762123" w14:textId="77777777" w:rsidR="003E09A4" w:rsidRPr="00A82394" w:rsidRDefault="003E09A4" w:rsidP="000957A9">
            <w:pPr>
              <w:pStyle w:val="ListParagraph"/>
              <w:numPr>
                <w:ilvl w:val="0"/>
                <w:numId w:val="1"/>
              </w:numPr>
              <w:jc w:val="right"/>
              <w:rPr>
                <w:rFonts w:ascii="Times New Roman" w:hAnsi="Times New Roman" w:cs="Times New Roman"/>
                <w:sz w:val="24"/>
                <w:szCs w:val="24"/>
              </w:rPr>
            </w:pPr>
          </w:p>
        </w:tc>
        <w:tc>
          <w:tcPr>
            <w:tcW w:w="6594" w:type="dxa"/>
            <w:shd w:val="clear" w:color="auto" w:fill="auto"/>
          </w:tcPr>
          <w:p w14:paraId="30E21BD9" w14:textId="77777777" w:rsidR="003E09A4" w:rsidRPr="00A82394" w:rsidRDefault="003E09A4" w:rsidP="000957A9">
            <w:pPr>
              <w:jc w:val="both"/>
              <w:rPr>
                <w:rFonts w:ascii="Times New Roman" w:hAnsi="Times New Roman" w:cs="Times New Roman"/>
                <w:b/>
                <w:sz w:val="24"/>
                <w:szCs w:val="24"/>
              </w:rPr>
            </w:pPr>
            <w:r w:rsidRPr="00A82394">
              <w:rPr>
                <w:rFonts w:ascii="Times New Roman" w:hAnsi="Times New Roman" w:cs="Times New Roman"/>
                <w:b/>
                <w:sz w:val="24"/>
                <w:szCs w:val="24"/>
              </w:rPr>
              <w:t>Digitālās transformācijas pamatnostādnes 2021.-2027.gadam</w:t>
            </w:r>
          </w:p>
          <w:p w14:paraId="16EF0013" w14:textId="77777777" w:rsidR="003E09A4" w:rsidRDefault="003E09A4" w:rsidP="000957A9">
            <w:pPr>
              <w:jc w:val="both"/>
              <w:rPr>
                <w:rFonts w:ascii="Times New Roman" w:hAnsi="Times New Roman" w:cs="Times New Roman"/>
                <w:sz w:val="24"/>
                <w:szCs w:val="24"/>
              </w:rPr>
            </w:pPr>
            <w:r w:rsidRPr="00A82394">
              <w:rPr>
                <w:rFonts w:ascii="Times New Roman" w:hAnsi="Times New Roman" w:cs="Times New Roman"/>
                <w:b/>
                <w:sz w:val="24"/>
                <w:szCs w:val="24"/>
              </w:rPr>
              <w:lastRenderedPageBreak/>
              <w:t>Mērķis:</w:t>
            </w:r>
            <w:r w:rsidRPr="00A82394">
              <w:rPr>
                <w:rFonts w:ascii="Times New Roman" w:hAnsi="Times New Roman" w:cs="Times New Roman"/>
                <w:sz w:val="24"/>
                <w:szCs w:val="24"/>
              </w:rPr>
              <w:t xml:space="preserve"> noteikt digitālās transformācijas rīcības politiku atbilstoši pasaules informācijas sabiedrības mērķiem un ES digitālā vienotā tirgus attīstības tendencēm. Saturiskajā ietvarā tiks iekļauti potenciāli tādi attīstības virzieni kā digitālā pārvaldība, digitālie pakalpojumi, IKT arhitektūra, digitālā drošība, digitālās prasmes.</w:t>
            </w:r>
          </w:p>
          <w:p w14:paraId="2B4E0E2F" w14:textId="2D9A63AF" w:rsidR="00F515A9" w:rsidRPr="00A82394" w:rsidRDefault="00F515A9" w:rsidP="000957A9">
            <w:pPr>
              <w:jc w:val="both"/>
              <w:rPr>
                <w:rFonts w:ascii="Times New Roman" w:hAnsi="Times New Roman" w:cs="Times New Roman"/>
                <w:sz w:val="24"/>
                <w:szCs w:val="24"/>
              </w:rPr>
            </w:pPr>
          </w:p>
        </w:tc>
      </w:tr>
      <w:tr w:rsidR="003E09A4" w:rsidRPr="00A82394" w14:paraId="00ADA4E4" w14:textId="77777777" w:rsidTr="00EC10EB">
        <w:tc>
          <w:tcPr>
            <w:tcW w:w="1129" w:type="dxa"/>
            <w:vMerge/>
          </w:tcPr>
          <w:p w14:paraId="751D947E" w14:textId="77777777" w:rsidR="003E09A4" w:rsidRPr="00A82394" w:rsidRDefault="003E09A4" w:rsidP="000957A9">
            <w:pPr>
              <w:rPr>
                <w:rFonts w:ascii="Times New Roman" w:hAnsi="Times New Roman" w:cs="Times New Roman"/>
                <w:sz w:val="24"/>
                <w:szCs w:val="24"/>
              </w:rPr>
            </w:pPr>
          </w:p>
        </w:tc>
        <w:tc>
          <w:tcPr>
            <w:tcW w:w="1338" w:type="dxa"/>
          </w:tcPr>
          <w:p w14:paraId="0AD68F80" w14:textId="77777777" w:rsidR="003E09A4" w:rsidRPr="00A82394" w:rsidRDefault="003E09A4" w:rsidP="000957A9">
            <w:pPr>
              <w:pStyle w:val="ListParagraph"/>
              <w:numPr>
                <w:ilvl w:val="0"/>
                <w:numId w:val="1"/>
              </w:numPr>
              <w:jc w:val="right"/>
              <w:rPr>
                <w:rFonts w:ascii="Times New Roman" w:hAnsi="Times New Roman" w:cs="Times New Roman"/>
                <w:sz w:val="24"/>
                <w:szCs w:val="24"/>
              </w:rPr>
            </w:pPr>
          </w:p>
        </w:tc>
        <w:tc>
          <w:tcPr>
            <w:tcW w:w="6594" w:type="dxa"/>
          </w:tcPr>
          <w:p w14:paraId="644BE05D" w14:textId="77777777" w:rsidR="003E09A4" w:rsidRPr="00A82394" w:rsidRDefault="003E09A4" w:rsidP="000957A9">
            <w:pPr>
              <w:jc w:val="both"/>
              <w:rPr>
                <w:rFonts w:ascii="Times New Roman" w:hAnsi="Times New Roman" w:cs="Times New Roman"/>
                <w:b/>
                <w:sz w:val="24"/>
                <w:szCs w:val="24"/>
              </w:rPr>
            </w:pPr>
            <w:r w:rsidRPr="00A82394">
              <w:rPr>
                <w:rFonts w:ascii="Times New Roman" w:hAnsi="Times New Roman" w:cs="Times New Roman"/>
                <w:b/>
                <w:sz w:val="24"/>
                <w:szCs w:val="24"/>
              </w:rPr>
              <w:t>Reģionālās politikas pamatnostādnes 2021.-2027.gadam.</w:t>
            </w:r>
          </w:p>
          <w:p w14:paraId="53F0368B" w14:textId="77777777" w:rsidR="003E09A4" w:rsidRPr="003E09A4" w:rsidRDefault="003E09A4" w:rsidP="003E09A4">
            <w:pPr>
              <w:jc w:val="both"/>
              <w:rPr>
                <w:rFonts w:ascii="Times New Roman" w:hAnsi="Times New Roman" w:cs="Times New Roman"/>
                <w:b/>
                <w:sz w:val="24"/>
                <w:szCs w:val="24"/>
              </w:rPr>
            </w:pPr>
            <w:r w:rsidRPr="003E09A4">
              <w:rPr>
                <w:rFonts w:ascii="Times New Roman" w:hAnsi="Times New Roman" w:cs="Times New Roman"/>
                <w:b/>
                <w:sz w:val="24"/>
                <w:szCs w:val="24"/>
              </w:rPr>
              <w:t>Mērķis:</w:t>
            </w:r>
            <w:r w:rsidRPr="003E09A4">
              <w:rPr>
                <w:rFonts w:ascii="Times New Roman" w:hAnsi="Times New Roman" w:cs="Times New Roman"/>
                <w:sz w:val="24"/>
                <w:szCs w:val="24"/>
              </w:rPr>
              <w:t xml:space="preserve"> Sekmēt teritorijās uzņēmējdarbības attīstību un darbavietu radīšanu, veicināt darbavietu un pakalpojumu sasniedzamību, kā arī uzlabot pakalpojumu kvalitāti un pieejamību atbilstoši demogrāfijas tendencēm. Stiprināt reģionu un pašvaldību rīcībspēju un lomu savas teritorijas attīstības veicināšanā.  Galvenie rīcības virzieni: (1) Atbalsts infrastruktūrai uzņēmējdarbības attīstībai un produktivitātes celšanai; (2) Cilvēkkapitāla piesaiste reģionos; (3) Publisko pakalpojumu pieejamība un sasniedzamība; (4) Pašvaldību administrācijas kapacitātes celšana,  sabiedrības sociālās aktivitātes stiprināšana.</w:t>
            </w:r>
            <w:r w:rsidRPr="003E09A4">
              <w:rPr>
                <w:rFonts w:ascii="Times New Roman" w:hAnsi="Times New Roman" w:cs="Times New Roman"/>
                <w:b/>
                <w:sz w:val="24"/>
                <w:szCs w:val="24"/>
              </w:rPr>
              <w:t xml:space="preserve"> </w:t>
            </w:r>
          </w:p>
          <w:p w14:paraId="7034F3B6" w14:textId="77777777" w:rsidR="003E09A4" w:rsidRDefault="003E09A4" w:rsidP="000957A9">
            <w:pPr>
              <w:pStyle w:val="ListParagraph"/>
              <w:ind w:left="1"/>
              <w:jc w:val="both"/>
              <w:rPr>
                <w:rFonts w:ascii="Times New Roman" w:hAnsi="Times New Roman" w:cs="Times New Roman"/>
                <w:sz w:val="24"/>
                <w:szCs w:val="24"/>
              </w:rPr>
            </w:pPr>
          </w:p>
          <w:p w14:paraId="4169534E" w14:textId="193DBAD3" w:rsidR="007F57BC" w:rsidRPr="00A82394" w:rsidRDefault="007F57BC" w:rsidP="000957A9">
            <w:pPr>
              <w:pStyle w:val="ListParagraph"/>
              <w:ind w:left="1"/>
              <w:jc w:val="both"/>
              <w:rPr>
                <w:rFonts w:ascii="Times New Roman" w:hAnsi="Times New Roman" w:cs="Times New Roman"/>
                <w:sz w:val="24"/>
                <w:szCs w:val="24"/>
              </w:rPr>
            </w:pPr>
          </w:p>
        </w:tc>
      </w:tr>
      <w:tr w:rsidR="003E09A4" w:rsidRPr="00A82394" w14:paraId="2615E366" w14:textId="77777777" w:rsidTr="00EC10EB">
        <w:tc>
          <w:tcPr>
            <w:tcW w:w="1129" w:type="dxa"/>
            <w:vMerge/>
            <w:shd w:val="clear" w:color="auto" w:fill="auto"/>
          </w:tcPr>
          <w:p w14:paraId="209B723B" w14:textId="77777777" w:rsidR="003E09A4" w:rsidRPr="00A82394" w:rsidRDefault="003E09A4" w:rsidP="000957A9">
            <w:pPr>
              <w:rPr>
                <w:rFonts w:ascii="Times New Roman" w:hAnsi="Times New Roman" w:cs="Times New Roman"/>
                <w:sz w:val="24"/>
                <w:szCs w:val="24"/>
              </w:rPr>
            </w:pPr>
          </w:p>
        </w:tc>
        <w:tc>
          <w:tcPr>
            <w:tcW w:w="1338" w:type="dxa"/>
          </w:tcPr>
          <w:p w14:paraId="067A0C24" w14:textId="77777777" w:rsidR="003E09A4" w:rsidRPr="00A82394" w:rsidRDefault="003E09A4" w:rsidP="000957A9">
            <w:pPr>
              <w:pStyle w:val="ListParagraph"/>
              <w:numPr>
                <w:ilvl w:val="0"/>
                <w:numId w:val="1"/>
              </w:numPr>
              <w:jc w:val="right"/>
              <w:rPr>
                <w:rFonts w:ascii="Times New Roman" w:hAnsi="Times New Roman" w:cs="Times New Roman"/>
                <w:sz w:val="24"/>
                <w:szCs w:val="24"/>
              </w:rPr>
            </w:pPr>
          </w:p>
        </w:tc>
        <w:tc>
          <w:tcPr>
            <w:tcW w:w="6594" w:type="dxa"/>
            <w:shd w:val="clear" w:color="auto" w:fill="auto"/>
          </w:tcPr>
          <w:p w14:paraId="133083BB" w14:textId="77777777" w:rsidR="003E09A4" w:rsidRPr="00A82394" w:rsidRDefault="003E09A4" w:rsidP="000957A9">
            <w:pPr>
              <w:rPr>
                <w:rFonts w:ascii="Times New Roman" w:hAnsi="Times New Roman" w:cs="Times New Roman"/>
                <w:b/>
                <w:sz w:val="24"/>
                <w:szCs w:val="24"/>
              </w:rPr>
            </w:pPr>
            <w:r w:rsidRPr="00A82394">
              <w:rPr>
                <w:rFonts w:ascii="Times New Roman" w:hAnsi="Times New Roman" w:cs="Times New Roman"/>
                <w:b/>
                <w:sz w:val="24"/>
                <w:szCs w:val="24"/>
              </w:rPr>
              <w:t>Vides politikas pamatnostādnes 2021.-2027.gadam</w:t>
            </w:r>
          </w:p>
          <w:p w14:paraId="6E9D1130" w14:textId="77777777" w:rsidR="003E09A4" w:rsidRDefault="003E09A4" w:rsidP="003E09A4">
            <w:pPr>
              <w:jc w:val="both"/>
              <w:rPr>
                <w:rFonts w:ascii="Times New Roman" w:hAnsi="Times New Roman" w:cs="Times New Roman"/>
                <w:sz w:val="24"/>
                <w:szCs w:val="24"/>
              </w:rPr>
            </w:pPr>
            <w:r w:rsidRPr="00A82394">
              <w:rPr>
                <w:rFonts w:ascii="Times New Roman" w:hAnsi="Times New Roman" w:cs="Times New Roman"/>
                <w:b/>
                <w:sz w:val="24"/>
                <w:szCs w:val="24"/>
              </w:rPr>
              <w:t>Mērķis:</w:t>
            </w:r>
            <w:r w:rsidRPr="00A82394">
              <w:rPr>
                <w:rFonts w:ascii="Times New Roman" w:hAnsi="Times New Roman" w:cs="Times New Roman"/>
                <w:sz w:val="24"/>
                <w:szCs w:val="24"/>
              </w:rPr>
              <w:t xml:space="preserve"> Samazināt riskus (klimata pārmaiņu, piesārņojuma, katastrofu) cilvēku dzīves videi, veselībai un labklājībai; samazināt piesārņojumu vidē (ūdenī, gaisā, augsnē, dabā), nodrošinot labu vides stāvokli un dabas kapitāla saglabāšanu; Nodrošināt ilgtspējīgu resursu patēriņu; Nodrošināt ar citiem sektoriem saskaņotu vides rīcībpolitiku un vides pamatprincipu iekļaušanu sektoru politikās.</w:t>
            </w:r>
          </w:p>
          <w:p w14:paraId="2391A93A" w14:textId="3A767CC3" w:rsidR="007F57BC" w:rsidRPr="00A82394" w:rsidRDefault="007F57BC" w:rsidP="003E09A4">
            <w:pPr>
              <w:jc w:val="both"/>
              <w:rPr>
                <w:rFonts w:ascii="Times New Roman" w:hAnsi="Times New Roman" w:cs="Times New Roman"/>
                <w:sz w:val="24"/>
                <w:szCs w:val="24"/>
              </w:rPr>
            </w:pPr>
          </w:p>
        </w:tc>
      </w:tr>
      <w:tr w:rsidR="00DB67B5" w:rsidRPr="00A82394" w14:paraId="3C686C35" w14:textId="77777777" w:rsidTr="00EC10EB">
        <w:tc>
          <w:tcPr>
            <w:tcW w:w="1129" w:type="dxa"/>
          </w:tcPr>
          <w:p w14:paraId="30C184EA" w14:textId="2522102D" w:rsidR="00A82394" w:rsidRPr="00A82394" w:rsidRDefault="00EC10EB" w:rsidP="000957A9">
            <w:pPr>
              <w:rPr>
                <w:rFonts w:ascii="Times New Roman" w:hAnsi="Times New Roman" w:cs="Times New Roman"/>
                <w:sz w:val="24"/>
                <w:szCs w:val="24"/>
              </w:rPr>
            </w:pPr>
            <w:r>
              <w:rPr>
                <w:rFonts w:ascii="Times New Roman" w:hAnsi="Times New Roman" w:cs="Times New Roman"/>
                <w:sz w:val="24"/>
                <w:szCs w:val="24"/>
              </w:rPr>
              <w:t>VM</w:t>
            </w:r>
          </w:p>
        </w:tc>
        <w:tc>
          <w:tcPr>
            <w:tcW w:w="1338" w:type="dxa"/>
          </w:tcPr>
          <w:p w14:paraId="0B14DC14" w14:textId="77777777" w:rsidR="00A82394" w:rsidRPr="00A82394" w:rsidRDefault="00A82394" w:rsidP="000957A9">
            <w:pPr>
              <w:pStyle w:val="ListParagraph"/>
              <w:numPr>
                <w:ilvl w:val="0"/>
                <w:numId w:val="1"/>
              </w:numPr>
              <w:jc w:val="right"/>
              <w:rPr>
                <w:rFonts w:ascii="Times New Roman" w:hAnsi="Times New Roman" w:cs="Times New Roman"/>
                <w:sz w:val="24"/>
                <w:szCs w:val="24"/>
              </w:rPr>
            </w:pPr>
          </w:p>
        </w:tc>
        <w:tc>
          <w:tcPr>
            <w:tcW w:w="6594" w:type="dxa"/>
          </w:tcPr>
          <w:p w14:paraId="3A4BA14A" w14:textId="77777777" w:rsidR="00A82394" w:rsidRPr="00A82394" w:rsidRDefault="00A82394" w:rsidP="000957A9">
            <w:pPr>
              <w:jc w:val="both"/>
              <w:rPr>
                <w:rFonts w:ascii="Times New Roman" w:hAnsi="Times New Roman" w:cs="Times New Roman"/>
                <w:b/>
                <w:sz w:val="24"/>
                <w:szCs w:val="24"/>
              </w:rPr>
            </w:pPr>
            <w:r w:rsidRPr="00A82394">
              <w:rPr>
                <w:rFonts w:ascii="Times New Roman" w:hAnsi="Times New Roman" w:cs="Times New Roman"/>
                <w:b/>
                <w:sz w:val="24"/>
                <w:szCs w:val="24"/>
              </w:rPr>
              <w:t>Sabiedrības veselības pamatnostādnes 2021.-2027.gadam</w:t>
            </w:r>
          </w:p>
          <w:p w14:paraId="6F27A552" w14:textId="77777777" w:rsidR="00A82394" w:rsidRDefault="00A82394" w:rsidP="000957A9">
            <w:pPr>
              <w:jc w:val="both"/>
              <w:rPr>
                <w:rFonts w:ascii="Times New Roman" w:hAnsi="Times New Roman" w:cs="Times New Roman"/>
                <w:sz w:val="24"/>
                <w:szCs w:val="24"/>
              </w:rPr>
            </w:pPr>
            <w:r w:rsidRPr="00A82394">
              <w:rPr>
                <w:rFonts w:ascii="Times New Roman" w:hAnsi="Times New Roman" w:cs="Times New Roman"/>
                <w:b/>
                <w:sz w:val="24"/>
                <w:szCs w:val="24"/>
              </w:rPr>
              <w:t xml:space="preserve"> Mērķis: </w:t>
            </w:r>
            <w:r w:rsidRPr="00A82394">
              <w:rPr>
                <w:rFonts w:ascii="Times New Roman" w:hAnsi="Times New Roman" w:cs="Times New Roman"/>
                <w:sz w:val="24"/>
                <w:szCs w:val="24"/>
              </w:rPr>
              <w:t>Samazināt potenciāli zaudēto mūža gadu skaitu; Samazināt profilaktiski novēršamo un medicīniski novēršamo mirstību; Mazināt nevienlīdzību veselības aprūpē-piemēram, samazināt iedzīvotāju skaitu, kas nevar apmeklēt ārstu finansiālu ierobežojumu dēļ. Indikatīvie rīcības virzieni: (1)</w:t>
            </w:r>
            <w:r w:rsidRPr="00A82394">
              <w:rPr>
                <w:rFonts w:ascii="Times New Roman" w:hAnsi="Times New Roman" w:cs="Times New Roman"/>
                <w:b/>
                <w:sz w:val="24"/>
                <w:szCs w:val="24"/>
              </w:rPr>
              <w:t xml:space="preserve"> </w:t>
            </w:r>
            <w:r w:rsidRPr="00A82394">
              <w:rPr>
                <w:rFonts w:ascii="Times New Roman" w:hAnsi="Times New Roman" w:cs="Times New Roman"/>
                <w:sz w:val="24"/>
                <w:szCs w:val="24"/>
              </w:rPr>
              <w:t>Veselīga un aktīva dzīvesveida paradumu nostiprināšana sabiedrībā, tai skaitā  iesaistot sociāli atstumtās sabiedrības grupas; (2) Uz personu vērstas veselības aprūpes attīstīšana; (3) Veselības aprūpes pakalpojumu kvalitātes un efektivitātes uzlabošana; (4) Veselības un sociālās aprūpes integrācija, lai mazinātu pacientam sniegto veselības aprūpes pakalpojumu fragmentāciju un nodrošinātu nepārtrauktu, koordinētu pakalpojumu sniegšanu.</w:t>
            </w:r>
          </w:p>
          <w:p w14:paraId="3A828656" w14:textId="1AA9622A" w:rsidR="007F57BC" w:rsidRPr="003E09A4" w:rsidRDefault="007F57BC" w:rsidP="000957A9">
            <w:pPr>
              <w:jc w:val="both"/>
              <w:rPr>
                <w:rFonts w:ascii="Times New Roman" w:hAnsi="Times New Roman" w:cs="Times New Roman"/>
                <w:b/>
                <w:sz w:val="24"/>
                <w:szCs w:val="24"/>
              </w:rPr>
            </w:pPr>
          </w:p>
        </w:tc>
      </w:tr>
      <w:tr w:rsidR="00DB67B5" w:rsidRPr="00A82394" w14:paraId="4FC90BE4" w14:textId="77777777" w:rsidTr="00EC10EB">
        <w:tc>
          <w:tcPr>
            <w:tcW w:w="1129" w:type="dxa"/>
            <w:shd w:val="clear" w:color="auto" w:fill="auto"/>
          </w:tcPr>
          <w:p w14:paraId="0D0C0B5E" w14:textId="590EB488" w:rsidR="00A82394" w:rsidRPr="00A82394" w:rsidRDefault="00EC10EB" w:rsidP="000957A9">
            <w:pPr>
              <w:rPr>
                <w:rFonts w:ascii="Times New Roman" w:hAnsi="Times New Roman" w:cs="Times New Roman"/>
                <w:sz w:val="24"/>
                <w:szCs w:val="24"/>
              </w:rPr>
            </w:pPr>
            <w:r>
              <w:rPr>
                <w:rFonts w:ascii="Times New Roman" w:hAnsi="Times New Roman" w:cs="Times New Roman"/>
                <w:sz w:val="24"/>
                <w:szCs w:val="24"/>
              </w:rPr>
              <w:t>ZM</w:t>
            </w:r>
          </w:p>
        </w:tc>
        <w:tc>
          <w:tcPr>
            <w:tcW w:w="1338" w:type="dxa"/>
          </w:tcPr>
          <w:p w14:paraId="221CCE05" w14:textId="503D23A6" w:rsidR="00A82394" w:rsidRPr="0061573A" w:rsidRDefault="00A82394" w:rsidP="0061573A">
            <w:pPr>
              <w:pStyle w:val="ListParagraph"/>
              <w:numPr>
                <w:ilvl w:val="0"/>
                <w:numId w:val="1"/>
              </w:numPr>
              <w:jc w:val="right"/>
              <w:rPr>
                <w:rFonts w:ascii="Times New Roman" w:hAnsi="Times New Roman" w:cs="Times New Roman"/>
                <w:sz w:val="24"/>
                <w:szCs w:val="24"/>
              </w:rPr>
            </w:pPr>
          </w:p>
        </w:tc>
        <w:tc>
          <w:tcPr>
            <w:tcW w:w="6594" w:type="dxa"/>
            <w:shd w:val="clear" w:color="auto" w:fill="auto"/>
          </w:tcPr>
          <w:p w14:paraId="4038E3C7" w14:textId="2A84F85F" w:rsidR="00A82394" w:rsidRPr="00334EBF" w:rsidRDefault="0061573A" w:rsidP="000957A9">
            <w:pPr>
              <w:jc w:val="both"/>
              <w:rPr>
                <w:rFonts w:ascii="Times New Roman" w:hAnsi="Times New Roman" w:cs="Times New Roman"/>
                <w:b/>
              </w:rPr>
            </w:pPr>
            <w:r w:rsidRPr="00334EBF">
              <w:rPr>
                <w:rFonts w:ascii="Times New Roman" w:hAnsi="Times New Roman" w:cs="Times New Roman"/>
                <w:b/>
              </w:rPr>
              <w:t>Meža un saistīto nozaru pamatnostādnes 2021-2027. gadam</w:t>
            </w:r>
          </w:p>
          <w:p w14:paraId="4A390E82" w14:textId="750D6A77" w:rsidR="0061573A" w:rsidRPr="0061573A" w:rsidRDefault="0061573A" w:rsidP="0061573A">
            <w:pPr>
              <w:spacing w:line="256" w:lineRule="auto"/>
              <w:jc w:val="both"/>
            </w:pPr>
            <w:r w:rsidRPr="00334EBF">
              <w:rPr>
                <w:rFonts w:ascii="Times New Roman" w:hAnsi="Times New Roman" w:cs="Times New Roman"/>
                <w:b/>
                <w:sz w:val="24"/>
                <w:szCs w:val="24"/>
              </w:rPr>
              <w:t xml:space="preserve">Mērķis: </w:t>
            </w:r>
            <w:r w:rsidRPr="00334EBF">
              <w:rPr>
                <w:rFonts w:ascii="Times New Roman" w:hAnsi="Times New Roman" w:cs="Times New Roman"/>
              </w:rPr>
              <w:t>Ilgtspējīga meža apsaimniekošana, īpašu uzmanību pievēršot meža ražības paaugstināšanai; Pievienotās vērtības palielināšana; Zināšanu un prasmju attīstība</w:t>
            </w:r>
            <w:r w:rsidRPr="0061573A">
              <w:t>.</w:t>
            </w:r>
          </w:p>
          <w:p w14:paraId="46D0B553" w14:textId="54BF0BEA" w:rsidR="0061573A" w:rsidRPr="00DB67B5" w:rsidRDefault="0061573A" w:rsidP="000957A9">
            <w:pPr>
              <w:jc w:val="both"/>
              <w:rPr>
                <w:rFonts w:ascii="Times New Roman" w:hAnsi="Times New Roman" w:cs="Times New Roman"/>
                <w:i/>
                <w:sz w:val="24"/>
                <w:szCs w:val="24"/>
              </w:rPr>
            </w:pPr>
          </w:p>
        </w:tc>
      </w:tr>
    </w:tbl>
    <w:p w14:paraId="6EDA0264" w14:textId="77777777" w:rsidR="00A82394" w:rsidRPr="00A82394" w:rsidRDefault="00A82394" w:rsidP="00A82394">
      <w:pPr>
        <w:rPr>
          <w:rFonts w:ascii="Times New Roman" w:hAnsi="Times New Roman" w:cs="Times New Roman"/>
          <w:sz w:val="24"/>
          <w:szCs w:val="24"/>
        </w:rPr>
      </w:pPr>
    </w:p>
    <w:p w14:paraId="6AC10A94" w14:textId="6CC0D503" w:rsidR="00525339" w:rsidRPr="008C4E92" w:rsidRDefault="00525339" w:rsidP="00525339">
      <w:pPr>
        <w:pStyle w:val="naisf"/>
        <w:tabs>
          <w:tab w:val="left" w:pos="6237"/>
        </w:tabs>
        <w:spacing w:before="0" w:beforeAutospacing="0" w:after="0" w:afterAutospacing="0"/>
      </w:pPr>
      <w:r w:rsidRPr="008C4E92">
        <w:lastRenderedPageBreak/>
        <w:t xml:space="preserve">Ministru prezidents </w:t>
      </w:r>
      <w:r w:rsidRPr="008C4E92">
        <w:tab/>
      </w:r>
      <w:r>
        <w:tab/>
        <w:t xml:space="preserve">                      </w:t>
      </w:r>
      <w:r w:rsidRPr="008C4E92">
        <w:t>A</w:t>
      </w:r>
      <w:r>
        <w:t>.</w:t>
      </w:r>
      <w:r w:rsidRPr="008C4E92">
        <w:t xml:space="preserve"> K</w:t>
      </w:r>
      <w:r>
        <w:t>.</w:t>
      </w:r>
      <w:r w:rsidRPr="008C4E92">
        <w:t xml:space="preserve"> Kariņš</w:t>
      </w:r>
    </w:p>
    <w:p w14:paraId="0ABFB9DE" w14:textId="77777777" w:rsidR="00525339" w:rsidRPr="00212864" w:rsidRDefault="00525339" w:rsidP="00525339">
      <w:pPr>
        <w:tabs>
          <w:tab w:val="left" w:pos="527"/>
        </w:tabs>
        <w:spacing w:after="0" w:line="240" w:lineRule="auto"/>
        <w:jc w:val="both"/>
        <w:rPr>
          <w:rFonts w:ascii="Times New Roman" w:hAnsi="Times New Roman"/>
          <w:sz w:val="24"/>
          <w:szCs w:val="24"/>
        </w:rPr>
      </w:pPr>
    </w:p>
    <w:p w14:paraId="784A34EA" w14:textId="77777777" w:rsidR="00525339" w:rsidRDefault="00525339" w:rsidP="00525339">
      <w:pPr>
        <w:suppressAutoHyphens/>
        <w:spacing w:after="0" w:line="240" w:lineRule="auto"/>
        <w:rPr>
          <w:rFonts w:ascii="Times New Roman" w:eastAsia="Times New Roman" w:hAnsi="Times New Roman"/>
          <w:sz w:val="18"/>
          <w:szCs w:val="18"/>
        </w:rPr>
      </w:pPr>
    </w:p>
    <w:p w14:paraId="64B24E8D" w14:textId="77777777" w:rsidR="00A82394" w:rsidRPr="00A82394" w:rsidRDefault="00A82394" w:rsidP="00A82394">
      <w:pPr>
        <w:rPr>
          <w:rFonts w:ascii="Times New Roman" w:hAnsi="Times New Roman" w:cs="Times New Roman"/>
          <w:b/>
          <w:sz w:val="24"/>
          <w:szCs w:val="24"/>
        </w:rPr>
      </w:pPr>
    </w:p>
    <w:sectPr w:rsidR="00A82394" w:rsidRPr="00A82394" w:rsidSect="00707AB5">
      <w:headerReference w:type="default" r:id="rId7"/>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1680CB" w14:textId="77777777" w:rsidR="00DA1B8D" w:rsidRDefault="00DA1B8D" w:rsidP="00707AB5">
      <w:pPr>
        <w:spacing w:after="0" w:line="240" w:lineRule="auto"/>
      </w:pPr>
      <w:r>
        <w:separator/>
      </w:r>
    </w:p>
  </w:endnote>
  <w:endnote w:type="continuationSeparator" w:id="0">
    <w:p w14:paraId="431F3B46" w14:textId="77777777" w:rsidR="00DA1B8D" w:rsidRDefault="00DA1B8D" w:rsidP="00707A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01DC88" w14:textId="77777777" w:rsidR="00DA1B8D" w:rsidRDefault="00DA1B8D" w:rsidP="00707AB5">
      <w:pPr>
        <w:spacing w:after="0" w:line="240" w:lineRule="auto"/>
      </w:pPr>
      <w:r>
        <w:separator/>
      </w:r>
    </w:p>
  </w:footnote>
  <w:footnote w:type="continuationSeparator" w:id="0">
    <w:p w14:paraId="7584BC4C" w14:textId="77777777" w:rsidR="00DA1B8D" w:rsidRDefault="00DA1B8D" w:rsidP="00707A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7354801"/>
      <w:docPartObj>
        <w:docPartGallery w:val="Page Numbers (Top of Page)"/>
        <w:docPartUnique/>
      </w:docPartObj>
    </w:sdtPr>
    <w:sdtEndPr>
      <w:rPr>
        <w:rFonts w:ascii="Times New Roman" w:hAnsi="Times New Roman" w:cs="Times New Roman"/>
        <w:noProof/>
      </w:rPr>
    </w:sdtEndPr>
    <w:sdtContent>
      <w:p w14:paraId="007010DB" w14:textId="40196C55" w:rsidR="00707AB5" w:rsidRPr="00707AB5" w:rsidRDefault="00707AB5">
        <w:pPr>
          <w:pStyle w:val="Header"/>
          <w:jc w:val="right"/>
          <w:rPr>
            <w:rFonts w:ascii="Times New Roman" w:hAnsi="Times New Roman" w:cs="Times New Roman"/>
          </w:rPr>
        </w:pPr>
        <w:r w:rsidRPr="00707AB5">
          <w:rPr>
            <w:rFonts w:ascii="Times New Roman" w:hAnsi="Times New Roman" w:cs="Times New Roman"/>
          </w:rPr>
          <w:fldChar w:fldCharType="begin"/>
        </w:r>
        <w:r w:rsidRPr="00707AB5">
          <w:rPr>
            <w:rFonts w:ascii="Times New Roman" w:hAnsi="Times New Roman" w:cs="Times New Roman"/>
          </w:rPr>
          <w:instrText xml:space="preserve"> PAGE   \* MERGEFORMAT </w:instrText>
        </w:r>
        <w:r w:rsidRPr="00707AB5">
          <w:rPr>
            <w:rFonts w:ascii="Times New Roman" w:hAnsi="Times New Roman" w:cs="Times New Roman"/>
          </w:rPr>
          <w:fldChar w:fldCharType="separate"/>
        </w:r>
        <w:r w:rsidR="00204295">
          <w:rPr>
            <w:rFonts w:ascii="Times New Roman" w:hAnsi="Times New Roman" w:cs="Times New Roman"/>
            <w:noProof/>
          </w:rPr>
          <w:t>6</w:t>
        </w:r>
        <w:r w:rsidRPr="00707AB5">
          <w:rPr>
            <w:rFonts w:ascii="Times New Roman" w:hAnsi="Times New Roman" w:cs="Times New Roman"/>
            <w:noProof/>
          </w:rPr>
          <w:fldChar w:fldCharType="end"/>
        </w:r>
      </w:p>
    </w:sdtContent>
  </w:sdt>
  <w:p w14:paraId="653271E5" w14:textId="77777777" w:rsidR="00707AB5" w:rsidRDefault="00707A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4516A"/>
    <w:multiLevelType w:val="hybridMultilevel"/>
    <w:tmpl w:val="11ECF9E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4C16274F"/>
    <w:multiLevelType w:val="hybridMultilevel"/>
    <w:tmpl w:val="E200B086"/>
    <w:lvl w:ilvl="0" w:tplc="415238C8">
      <w:numFmt w:val="bullet"/>
      <w:lvlText w:val="-"/>
      <w:lvlJc w:val="left"/>
      <w:pPr>
        <w:ind w:left="720" w:hanging="360"/>
      </w:pPr>
      <w:rPr>
        <w:rFonts w:ascii="Calibri" w:eastAsiaTheme="minorHAnsi" w:hAnsi="Calibri" w:cs="Calibri"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394"/>
    <w:rsid w:val="00087EA5"/>
    <w:rsid w:val="00164398"/>
    <w:rsid w:val="001A1CF9"/>
    <w:rsid w:val="001B194F"/>
    <w:rsid w:val="00204295"/>
    <w:rsid w:val="002A5C24"/>
    <w:rsid w:val="002F2E05"/>
    <w:rsid w:val="00322817"/>
    <w:rsid w:val="00334EBF"/>
    <w:rsid w:val="003A2983"/>
    <w:rsid w:val="003C776B"/>
    <w:rsid w:val="003E09A4"/>
    <w:rsid w:val="003F0F98"/>
    <w:rsid w:val="00525339"/>
    <w:rsid w:val="0061573A"/>
    <w:rsid w:val="00674E5D"/>
    <w:rsid w:val="00707AB5"/>
    <w:rsid w:val="007F57BC"/>
    <w:rsid w:val="008128A3"/>
    <w:rsid w:val="00844E09"/>
    <w:rsid w:val="008B4771"/>
    <w:rsid w:val="008B62FE"/>
    <w:rsid w:val="00907E3A"/>
    <w:rsid w:val="00977035"/>
    <w:rsid w:val="00A35AB4"/>
    <w:rsid w:val="00A82394"/>
    <w:rsid w:val="00B104FB"/>
    <w:rsid w:val="00B405C4"/>
    <w:rsid w:val="00C625F3"/>
    <w:rsid w:val="00CC1166"/>
    <w:rsid w:val="00DA1B8D"/>
    <w:rsid w:val="00DB67B5"/>
    <w:rsid w:val="00DC4077"/>
    <w:rsid w:val="00DC7000"/>
    <w:rsid w:val="00E92DAC"/>
    <w:rsid w:val="00EC10EB"/>
    <w:rsid w:val="00F01D73"/>
    <w:rsid w:val="00F515A9"/>
    <w:rsid w:val="00FC6202"/>
    <w:rsid w:val="00FF122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87396"/>
  <w15:docId w15:val="{84FA1C9A-583B-412C-A27E-E8ABF143F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823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pointi,2,Strip,H&amp;P List Paragraph,Satura rādītājs,Saraksta rindkopa,Saraksta rindkopa1,Numbered Para 1,Dot pt,No Spacing1,List Paragraph Char Char Char,Indicator Text,List Paragraph1,Bullet 1,Bullet Points,MAIN CONTENT,Bull"/>
    <w:basedOn w:val="Normal"/>
    <w:link w:val="ListParagraphChar"/>
    <w:uiPriority w:val="34"/>
    <w:qFormat/>
    <w:rsid w:val="00A82394"/>
    <w:pPr>
      <w:ind w:left="720"/>
      <w:contextualSpacing/>
    </w:pPr>
  </w:style>
  <w:style w:type="character" w:customStyle="1" w:styleId="ListParagraphChar">
    <w:name w:val="List Paragraph Char"/>
    <w:aliases w:val="Bulletpointi Char,2 Char,Strip Char,H&amp;P List Paragraph Char,Satura rādītājs Char,Saraksta rindkopa Char,Saraksta rindkopa1 Char,Numbered Para 1 Char,Dot pt Char,No Spacing1 Char,List Paragraph Char Char Char Char,Indicator Text Char"/>
    <w:link w:val="ListParagraph"/>
    <w:uiPriority w:val="34"/>
    <w:qFormat/>
    <w:rsid w:val="00A82394"/>
  </w:style>
  <w:style w:type="character" w:styleId="Hyperlink">
    <w:name w:val="Hyperlink"/>
    <w:basedOn w:val="DefaultParagraphFont"/>
    <w:uiPriority w:val="99"/>
    <w:semiHidden/>
    <w:unhideWhenUsed/>
    <w:rsid w:val="00DB67B5"/>
    <w:rPr>
      <w:color w:val="0563C1"/>
      <w:u w:val="single"/>
    </w:rPr>
  </w:style>
  <w:style w:type="paragraph" w:styleId="Header">
    <w:name w:val="header"/>
    <w:basedOn w:val="Normal"/>
    <w:link w:val="HeaderChar"/>
    <w:uiPriority w:val="99"/>
    <w:unhideWhenUsed/>
    <w:rsid w:val="00707AB5"/>
    <w:pPr>
      <w:tabs>
        <w:tab w:val="center" w:pos="4153"/>
        <w:tab w:val="right" w:pos="8306"/>
      </w:tabs>
      <w:spacing w:after="0" w:line="240" w:lineRule="auto"/>
    </w:pPr>
  </w:style>
  <w:style w:type="character" w:customStyle="1" w:styleId="HeaderChar">
    <w:name w:val="Header Char"/>
    <w:basedOn w:val="DefaultParagraphFont"/>
    <w:link w:val="Header"/>
    <w:uiPriority w:val="99"/>
    <w:rsid w:val="00707AB5"/>
  </w:style>
  <w:style w:type="paragraph" w:styleId="Footer">
    <w:name w:val="footer"/>
    <w:basedOn w:val="Normal"/>
    <w:link w:val="FooterChar"/>
    <w:uiPriority w:val="99"/>
    <w:unhideWhenUsed/>
    <w:rsid w:val="00707AB5"/>
    <w:pPr>
      <w:tabs>
        <w:tab w:val="center" w:pos="4153"/>
        <w:tab w:val="right" w:pos="8306"/>
      </w:tabs>
      <w:spacing w:after="0" w:line="240" w:lineRule="auto"/>
    </w:pPr>
  </w:style>
  <w:style w:type="character" w:customStyle="1" w:styleId="FooterChar">
    <w:name w:val="Footer Char"/>
    <w:basedOn w:val="DefaultParagraphFont"/>
    <w:link w:val="Footer"/>
    <w:uiPriority w:val="99"/>
    <w:rsid w:val="00707AB5"/>
  </w:style>
  <w:style w:type="paragraph" w:styleId="NormalWeb">
    <w:name w:val="Normal (Web)"/>
    <w:basedOn w:val="Normal"/>
    <w:uiPriority w:val="99"/>
    <w:unhideWhenUsed/>
    <w:rsid w:val="00B405C4"/>
    <w:pPr>
      <w:spacing w:after="0" w:line="240" w:lineRule="auto"/>
    </w:pPr>
    <w:rPr>
      <w:rFonts w:ascii="Calibri" w:hAnsi="Calibri" w:cs="Calibri"/>
      <w:lang w:eastAsia="lv-LV"/>
    </w:rPr>
  </w:style>
  <w:style w:type="paragraph" w:customStyle="1" w:styleId="naisf">
    <w:name w:val="naisf"/>
    <w:basedOn w:val="Normal"/>
    <w:rsid w:val="00525339"/>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0699221">
      <w:bodyDiv w:val="1"/>
      <w:marLeft w:val="0"/>
      <w:marRight w:val="0"/>
      <w:marTop w:val="0"/>
      <w:marBottom w:val="0"/>
      <w:divBdr>
        <w:top w:val="none" w:sz="0" w:space="0" w:color="auto"/>
        <w:left w:val="none" w:sz="0" w:space="0" w:color="auto"/>
        <w:bottom w:val="none" w:sz="0" w:space="0" w:color="auto"/>
        <w:right w:val="none" w:sz="0" w:space="0" w:color="auto"/>
      </w:divBdr>
    </w:div>
    <w:div w:id="1349982389">
      <w:bodyDiv w:val="1"/>
      <w:marLeft w:val="0"/>
      <w:marRight w:val="0"/>
      <w:marTop w:val="0"/>
      <w:marBottom w:val="0"/>
      <w:divBdr>
        <w:top w:val="none" w:sz="0" w:space="0" w:color="auto"/>
        <w:left w:val="none" w:sz="0" w:space="0" w:color="auto"/>
        <w:bottom w:val="none" w:sz="0" w:space="0" w:color="auto"/>
        <w:right w:val="none" w:sz="0" w:space="0" w:color="auto"/>
      </w:divBdr>
    </w:div>
    <w:div w:id="1442727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9878</Words>
  <Characters>5632</Characters>
  <Application>Microsoft Office Word</Application>
  <DocSecurity>0</DocSecurity>
  <Lines>46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Iveta Ozolina</dc:creator>
  <cp:lastModifiedBy>Gunta Mekone</cp:lastModifiedBy>
  <cp:revision>2</cp:revision>
  <dcterms:created xsi:type="dcterms:W3CDTF">2020-02-18T14:17:00Z</dcterms:created>
  <dcterms:modified xsi:type="dcterms:W3CDTF">2020-02-18T14:17:00Z</dcterms:modified>
</cp:coreProperties>
</file>