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8EED" w14:textId="77777777" w:rsidR="00E433AF" w:rsidRPr="00E433AF" w:rsidRDefault="00E433AF" w:rsidP="00E433AF">
      <w:pPr>
        <w:contextualSpacing/>
        <w:jc w:val="center"/>
        <w:rPr>
          <w:b/>
        </w:rPr>
      </w:pPr>
      <w:r w:rsidRPr="00E433AF">
        <w:rPr>
          <w:b/>
        </w:rPr>
        <w:t>Ministru kabineta noteikumu projekta</w:t>
      </w:r>
    </w:p>
    <w:p w14:paraId="561303F8" w14:textId="7776405A" w:rsidR="00E433AF" w:rsidRPr="00E433AF" w:rsidRDefault="00E433AF" w:rsidP="002C4463">
      <w:pPr>
        <w:jc w:val="center"/>
        <w:rPr>
          <w:b/>
        </w:rPr>
      </w:pPr>
      <w:r w:rsidRPr="00E433AF">
        <w:rPr>
          <w:b/>
        </w:rPr>
        <w:t>“Grozījumi Ministru kabineta 201</w:t>
      </w:r>
      <w:r w:rsidR="002C4463">
        <w:rPr>
          <w:b/>
        </w:rPr>
        <w:t>1</w:t>
      </w:r>
      <w:r w:rsidRPr="00E433AF">
        <w:rPr>
          <w:b/>
        </w:rPr>
        <w:t xml:space="preserve">. gada 31. maija noteikumos </w:t>
      </w:r>
      <w:r w:rsidR="002C4463" w:rsidRPr="002F6861">
        <w:rPr>
          <w:b/>
        </w:rPr>
        <w:t xml:space="preserve">Nr.423 </w:t>
      </w:r>
      <w:bookmarkStart w:id="0" w:name="OLE_LINK1"/>
      <w:bookmarkStart w:id="1" w:name="OLE_LINK2"/>
      <w:bookmarkStart w:id="2" w:name="OLE_LINK3"/>
      <w:r w:rsidR="002C4463" w:rsidRPr="002F6861">
        <w:rPr>
          <w:b/>
        </w:rPr>
        <w:t>“Civilās aviācijas nelaimes gadījumu un incidentu izmeklēšan</w:t>
      </w:r>
      <w:bookmarkEnd w:id="0"/>
      <w:bookmarkEnd w:id="1"/>
      <w:bookmarkEnd w:id="2"/>
      <w:r w:rsidR="002C4463" w:rsidRPr="002F6861">
        <w:rPr>
          <w:b/>
        </w:rPr>
        <w:t>as kārtība”</w:t>
      </w:r>
      <w:r w:rsidR="002C4463">
        <w:rPr>
          <w:b/>
        </w:rPr>
        <w:t>”</w:t>
      </w:r>
    </w:p>
    <w:p w14:paraId="328C342F" w14:textId="6B5D5706" w:rsidR="00E433AF" w:rsidRDefault="00E433AF" w:rsidP="00857553">
      <w:pPr>
        <w:pStyle w:val="naisc"/>
        <w:spacing w:before="0" w:beforeAutospacing="0" w:after="0" w:afterAutospacing="0"/>
        <w:contextualSpacing/>
        <w:rPr>
          <w:b/>
          <w:sz w:val="24"/>
          <w:szCs w:val="24"/>
        </w:rPr>
      </w:pPr>
      <w:r w:rsidRPr="00E433AF">
        <w:rPr>
          <w:b/>
          <w:sz w:val="24"/>
          <w:szCs w:val="24"/>
        </w:rPr>
        <w:t>sākotnējās ietekmes novērtējuma ziņojums (anotācija)</w:t>
      </w:r>
    </w:p>
    <w:p w14:paraId="76E06BBA" w14:textId="77777777" w:rsidR="004F3C21" w:rsidRDefault="004F3C21" w:rsidP="00857553">
      <w:pPr>
        <w:pStyle w:val="naisc"/>
        <w:spacing w:before="0" w:beforeAutospacing="0" w:after="0" w:afterAutospacing="0"/>
        <w:contextualSpacing/>
        <w:rPr>
          <w:b/>
          <w:sz w:val="24"/>
          <w:szCs w:val="24"/>
        </w:rPr>
      </w:pP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61"/>
      </w:tblGrid>
      <w:tr w:rsidR="00E433AF" w14:paraId="06670E9B" w14:textId="77777777" w:rsidTr="00F432AC">
        <w:trPr>
          <w:trHeight w:val="420"/>
        </w:trPr>
        <w:tc>
          <w:tcPr>
            <w:tcW w:w="5000" w:type="pct"/>
            <w:gridSpan w:val="2"/>
            <w:shd w:val="clear" w:color="auto" w:fill="auto"/>
            <w:hideMark/>
          </w:tcPr>
          <w:p w14:paraId="63BA8AAE" w14:textId="77777777" w:rsidR="00E433AF" w:rsidRPr="00885EE2" w:rsidRDefault="00E433AF" w:rsidP="00F432AC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Tiesību akta projekta anotācijas kopsavilkums</w:t>
            </w:r>
          </w:p>
        </w:tc>
      </w:tr>
      <w:tr w:rsidR="00E433AF" w14:paraId="69DFCDA3" w14:textId="77777777" w:rsidTr="00F432AC">
        <w:trPr>
          <w:trHeight w:val="540"/>
        </w:trPr>
        <w:tc>
          <w:tcPr>
            <w:tcW w:w="1440" w:type="pct"/>
            <w:shd w:val="clear" w:color="auto" w:fill="auto"/>
            <w:hideMark/>
          </w:tcPr>
          <w:p w14:paraId="3AA7F82C" w14:textId="77777777" w:rsidR="00E433AF" w:rsidRPr="00885EE2" w:rsidRDefault="00E433AF" w:rsidP="00F432AC">
            <w:pPr>
              <w:contextualSpacing/>
            </w:pPr>
            <w:r w:rsidRPr="00885EE2">
              <w:t xml:space="preserve">Mērķis, risinājums un projekta spēkā stāšanās laiks </w:t>
            </w:r>
          </w:p>
        </w:tc>
        <w:tc>
          <w:tcPr>
            <w:tcW w:w="3560" w:type="pct"/>
            <w:shd w:val="clear" w:color="auto" w:fill="auto"/>
            <w:hideMark/>
          </w:tcPr>
          <w:p w14:paraId="58E87BBC" w14:textId="0349851A" w:rsidR="00E433AF" w:rsidRPr="00885EE2" w:rsidRDefault="005D524F" w:rsidP="005D524F">
            <w:pPr>
              <w:contextualSpacing/>
              <w:jc w:val="both"/>
              <w:rPr>
                <w:rFonts w:eastAsiaTheme="minorHAnsi"/>
                <w:lang w:bidi="lo-LA"/>
              </w:rPr>
            </w:pPr>
            <w:r>
              <w:rPr>
                <w:bCs/>
                <w:color w:val="000000"/>
              </w:rPr>
              <w:t xml:space="preserve">Nav attiecināms atbilstoši </w:t>
            </w:r>
            <w:r w:rsidRPr="005D524F">
              <w:rPr>
                <w:bCs/>
                <w:color w:val="000000"/>
              </w:rPr>
              <w:t xml:space="preserve">Ministru kabineta </w:t>
            </w:r>
            <w:r>
              <w:rPr>
                <w:bCs/>
                <w:color w:val="000000"/>
              </w:rPr>
              <w:t>2009.gada 15.decembra</w:t>
            </w:r>
            <w:r w:rsidRPr="005D524F">
              <w:rPr>
                <w:bCs/>
                <w:color w:val="000000"/>
              </w:rPr>
              <w:t xml:space="preserve"> instrukcija</w:t>
            </w:r>
            <w:r>
              <w:rPr>
                <w:bCs/>
                <w:color w:val="000000"/>
              </w:rPr>
              <w:t>s</w:t>
            </w:r>
            <w:r w:rsidRPr="005D524F">
              <w:rPr>
                <w:bCs/>
                <w:color w:val="000000"/>
              </w:rPr>
              <w:t xml:space="preserve"> Nr.19</w:t>
            </w:r>
            <w:r>
              <w:rPr>
                <w:bCs/>
                <w:color w:val="000000"/>
              </w:rPr>
              <w:t xml:space="preserve"> “</w:t>
            </w:r>
            <w:r w:rsidRPr="005D524F">
              <w:rPr>
                <w:bCs/>
                <w:color w:val="000000"/>
              </w:rPr>
              <w:t>Tiesību akta projekta sākotnējās ietekmes izvērtēšanas kārtība</w:t>
            </w:r>
            <w:r>
              <w:rPr>
                <w:bCs/>
                <w:color w:val="000000"/>
              </w:rPr>
              <w:t>”</w:t>
            </w:r>
            <w:r w:rsidRPr="005D524F">
              <w:rPr>
                <w:bCs/>
                <w:color w:val="000000"/>
              </w:rPr>
              <w:t xml:space="preserve"> 5.</w:t>
            </w:r>
            <w:r w:rsidRPr="005D524F">
              <w:rPr>
                <w:bCs/>
                <w:color w:val="000000"/>
                <w:vertAlign w:val="superscript"/>
              </w:rPr>
              <w:t>1</w:t>
            </w:r>
            <w:r w:rsidRPr="005D524F">
              <w:rPr>
                <w:bCs/>
                <w:color w:val="000000"/>
              </w:rPr>
              <w:t xml:space="preserve"> punktam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49E0C719" w14:textId="77777777" w:rsidR="00E433AF" w:rsidRPr="00885EE2" w:rsidRDefault="00E433AF" w:rsidP="00E433AF">
      <w:pPr>
        <w:contextualSpacing/>
        <w:jc w:val="both"/>
        <w:rPr>
          <w:rFonts w:eastAsiaTheme="minorHAnsi"/>
          <w:b/>
          <w:bCs/>
          <w:szCs w:val="22"/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2218"/>
        <w:gridCol w:w="6702"/>
      </w:tblGrid>
      <w:tr w:rsidR="00E433AF" w14:paraId="53628F96" w14:textId="77777777" w:rsidTr="00F432AC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42DE9A" w14:textId="77777777" w:rsidR="00E433AF" w:rsidRPr="00885EE2" w:rsidRDefault="00E433AF" w:rsidP="00F432AC">
            <w:pPr>
              <w:contextualSpacing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885EE2">
              <w:rPr>
                <w:rFonts w:eastAsiaTheme="minorHAnsi"/>
                <w:b/>
                <w:bCs/>
                <w:szCs w:val="22"/>
                <w:lang w:eastAsia="en-US"/>
              </w:rPr>
              <w:t>I. Tiesību akta projekta izstrādes nepieciešamība</w:t>
            </w:r>
          </w:p>
        </w:tc>
      </w:tr>
      <w:tr w:rsidR="00E433AF" w14:paraId="1FB5B822" w14:textId="77777777" w:rsidTr="00F432AC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B5EF0" w14:textId="77777777"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5D0D1" w14:textId="77777777" w:rsidR="00E433AF" w:rsidRPr="00B931E6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B931E6">
              <w:rPr>
                <w:rFonts w:eastAsiaTheme="minorHAnsi"/>
                <w:szCs w:val="22"/>
                <w:lang w:eastAsia="en-US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89B2B" w14:textId="748B9E9C" w:rsidR="00694263" w:rsidRPr="00B931E6" w:rsidRDefault="00B63AF7" w:rsidP="00B63AF7">
            <w:pPr>
              <w:contextualSpacing/>
              <w:jc w:val="both"/>
            </w:pPr>
            <w:r>
              <w:rPr>
                <w:iCs/>
              </w:rPr>
              <w:t>L</w:t>
            </w:r>
            <w:r w:rsidR="00E620A6">
              <w:rPr>
                <w:iCs/>
              </w:rPr>
              <w:t>ikum</w:t>
            </w:r>
            <w:r>
              <w:rPr>
                <w:iCs/>
              </w:rPr>
              <w:t>s</w:t>
            </w:r>
            <w:r w:rsidR="00E620A6">
              <w:rPr>
                <w:iCs/>
              </w:rPr>
              <w:t xml:space="preserve"> “Par aviāciju” </w:t>
            </w:r>
            <w:r w:rsidR="006A7C6F">
              <w:rPr>
                <w:iCs/>
              </w:rPr>
              <w:t>70</w:t>
            </w:r>
            <w:r w:rsidR="00E620A6">
              <w:rPr>
                <w:iCs/>
              </w:rPr>
              <w:t>.panta pirm</w:t>
            </w:r>
            <w:r>
              <w:rPr>
                <w:iCs/>
              </w:rPr>
              <w:t>ā</w:t>
            </w:r>
            <w:r w:rsidR="00E620A6">
              <w:rPr>
                <w:iCs/>
              </w:rPr>
              <w:t xml:space="preserve"> daļ</w:t>
            </w:r>
            <w:r>
              <w:rPr>
                <w:iCs/>
              </w:rPr>
              <w:t>a</w:t>
            </w:r>
            <w:r w:rsidR="00E620A6">
              <w:rPr>
                <w:iCs/>
              </w:rPr>
              <w:t>.</w:t>
            </w:r>
          </w:p>
        </w:tc>
      </w:tr>
      <w:tr w:rsidR="00E433AF" w14:paraId="17FE74DF" w14:textId="77777777" w:rsidTr="00F432AC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5BF67" w14:textId="77777777"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C9E18" w14:textId="1A9380B6" w:rsidR="00DC0ED5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Pašreizējā situācija un problēmas, kuru risināšanai tiesību akta projekts izstrādāts, tiesiskā regulējuma mērķis un būtība</w:t>
            </w:r>
          </w:p>
          <w:p w14:paraId="4DC7E019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2855B013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7DD17A9F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643314B4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2FA9E503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1C449656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7FE4F647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72758FEE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0F3DF117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59AF692D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1D00809A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6D004F95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72E19D1D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67DEA0A6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5CB01F34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74A0EF43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0E051AB3" w14:textId="77777777" w:rsidR="00DC0ED5" w:rsidRP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27BD8296" w14:textId="74DE029E" w:rsid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04174D15" w14:textId="0CF4BE7A" w:rsid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243C095E" w14:textId="2E4013B9" w:rsidR="00DC0ED5" w:rsidRDefault="00DC0ED5" w:rsidP="00DC0ED5">
            <w:pPr>
              <w:rPr>
                <w:rFonts w:eastAsiaTheme="minorHAnsi"/>
                <w:szCs w:val="22"/>
                <w:lang w:eastAsia="en-US"/>
              </w:rPr>
            </w:pPr>
          </w:p>
          <w:p w14:paraId="6B415900" w14:textId="77777777" w:rsidR="00E433AF" w:rsidRPr="00DC0ED5" w:rsidRDefault="00E433AF" w:rsidP="00DC0ED5">
            <w:pPr>
              <w:ind w:firstLine="72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30B84" w14:textId="7EAF6AC2" w:rsidR="0030233B" w:rsidRDefault="00BA4654" w:rsidP="00F432AC">
            <w:pPr>
              <w:contextualSpacing/>
              <w:jc w:val="both"/>
            </w:pPr>
            <w:r>
              <w:t>Civilās aviācijas nelaimes gadījums vai nopietns incidents, kur</w:t>
            </w:r>
            <w:r w:rsidR="0030233B">
              <w:t>ā</w:t>
            </w:r>
            <w:r>
              <w:t xml:space="preserve"> iesaistīts gaisa kuģis bez reģistrācijas numura vai iesaistīto gaisa kuģi vadījusi persona bez pilota apliecības, ir </w:t>
            </w:r>
            <w:r w:rsidR="00983F9A">
              <w:t xml:space="preserve">likuma “Par aviāciju” noteikto prasību </w:t>
            </w:r>
            <w:r>
              <w:t>pārkāpums</w:t>
            </w:r>
            <w:r w:rsidR="0030233B">
              <w:t xml:space="preserve">. </w:t>
            </w:r>
          </w:p>
          <w:p w14:paraId="5F8FEF79" w14:textId="2C6D7E54" w:rsidR="002C4463" w:rsidRDefault="0030233B" w:rsidP="00F432AC">
            <w:pPr>
              <w:contextualSpacing/>
              <w:jc w:val="both"/>
            </w:pPr>
            <w:r>
              <w:t>T</w:t>
            </w:r>
            <w:r w:rsidR="00BA4654">
              <w:t>ā kā Transporta nelaimes gadījumu un incidentu izmeklēšanas birojs (turpmāk</w:t>
            </w:r>
            <w:r w:rsidR="00133A30">
              <w:t xml:space="preserve"> –</w:t>
            </w:r>
            <w:r w:rsidR="00BA4654">
              <w:t xml:space="preserve"> Izmeklēšanas</w:t>
            </w:r>
            <w:r w:rsidR="00133A30">
              <w:t xml:space="preserve"> </w:t>
            </w:r>
            <w:r w:rsidR="00BA4654">
              <w:t xml:space="preserve">birojs) nenosaka vainas pakāpi un </w:t>
            </w:r>
            <w:r w:rsidR="00BA4654" w:rsidRPr="0079749F">
              <w:t>atbildību, tad š</w:t>
            </w:r>
            <w:r w:rsidR="00983F9A" w:rsidRPr="0079749F">
              <w:t>ādu aviācijas nelaimes gadījumu</w:t>
            </w:r>
            <w:r w:rsidR="00BA74A6" w:rsidRPr="0079749F">
              <w:t xml:space="preserve"> izmeklēšana nav</w:t>
            </w:r>
            <w:r w:rsidR="00983F9A" w:rsidRPr="0079749F">
              <w:t xml:space="preserve"> Izmeklēšanas biroja </w:t>
            </w:r>
            <w:r w:rsidR="00BA74A6" w:rsidRPr="0079749F">
              <w:t>kompetencē</w:t>
            </w:r>
            <w:r w:rsidR="00983F9A" w:rsidRPr="0079749F">
              <w:t>. Turklāt</w:t>
            </w:r>
            <w:r w:rsidR="00BA4654" w:rsidRPr="0079749F">
              <w:t xml:space="preserve"> Izmeklēšanas birojs</w:t>
            </w:r>
            <w:r w:rsidR="00F01B43" w:rsidRPr="0079749F">
              <w:t xml:space="preserve">, izmeklējot vairākus civilās aviācijas </w:t>
            </w:r>
            <w:r w:rsidR="00F01B43">
              <w:t>nelaimes gadījumus vai nopietnus incidentus, kuros iesaistīts gaisa kuģis</w:t>
            </w:r>
            <w:r w:rsidR="008D3663">
              <w:t>, kas nav reģistrēts normatīvajos aktos noteiktā kārtībā,</w:t>
            </w:r>
            <w:r w:rsidR="00DC0ED5">
              <w:t xml:space="preserve"> </w:t>
            </w:r>
            <w:r w:rsidR="00F01B43">
              <w:t xml:space="preserve">vai iesaistīto gaisa kuģi vadījusi persona bez pilota apliecības, ir secinājis, ka šādu aviācijas nelaimes gadījumu vai nopietnu incidentu izmeklēšana </w:t>
            </w:r>
            <w:r w:rsidR="002E1517">
              <w:t xml:space="preserve">neuzlabo civilās aviācijas drošumu. </w:t>
            </w:r>
            <w:r w:rsidR="008C4B9F">
              <w:t>Šādos gadījumos i</w:t>
            </w:r>
            <w:r w:rsidR="002E1517">
              <w:t xml:space="preserve">zmeklēšana beidzas bez drošības rekomendāciju </w:t>
            </w:r>
            <w:r w:rsidR="008C4B9F">
              <w:t>iz</w:t>
            </w:r>
            <w:r w:rsidR="0079749F">
              <w:t>strādes, jo nav kam tās adresēt.</w:t>
            </w:r>
            <w:r w:rsidR="00133A30">
              <w:t xml:space="preserve"> V</w:t>
            </w:r>
            <w:r w:rsidR="00BA74A6" w:rsidRPr="0079749F">
              <w:t>eicot gaisa kuģa iekārtu ekspertīz</w:t>
            </w:r>
            <w:r w:rsidR="00983F9A" w:rsidRPr="0079749F">
              <w:t>i</w:t>
            </w:r>
            <w:r w:rsidR="00133A30">
              <w:t xml:space="preserve"> šādos gadījumos</w:t>
            </w:r>
            <w:r w:rsidR="00983F9A" w:rsidRPr="0079749F">
              <w:t xml:space="preserve">, tiek </w:t>
            </w:r>
            <w:r w:rsidR="00BA74A6" w:rsidRPr="0079749F">
              <w:t>nevajadzīgi</w:t>
            </w:r>
            <w:r w:rsidR="00983F9A" w:rsidRPr="0079749F">
              <w:t xml:space="preserve"> tērēti Izmeklēšanas</w:t>
            </w:r>
            <w:r w:rsidR="00BA74A6" w:rsidRPr="0079749F">
              <w:t xml:space="preserve"> biroja</w:t>
            </w:r>
            <w:r w:rsidR="00983F9A" w:rsidRPr="0079749F">
              <w:t xml:space="preserve"> </w:t>
            </w:r>
            <w:r w:rsidR="00BA74A6" w:rsidRPr="0079749F">
              <w:t>resursi</w:t>
            </w:r>
            <w:r w:rsidR="00BA74A6">
              <w:t>.</w:t>
            </w:r>
            <w:r w:rsidR="00983F9A">
              <w:t xml:space="preserve"> Līdz ar to</w:t>
            </w:r>
            <w:r w:rsidR="002E1517">
              <w:t xml:space="preserve"> </w:t>
            </w:r>
            <w:r w:rsidR="009C6159">
              <w:t xml:space="preserve">noteikumu </w:t>
            </w:r>
            <w:r w:rsidR="00600700">
              <w:t xml:space="preserve">projektā </w:t>
            </w:r>
            <w:r w:rsidR="002E1517">
              <w:t xml:space="preserve">ir </w:t>
            </w:r>
            <w:r w:rsidR="00D374E1">
              <w:t>paredzēts noteikt, Izmeklēšanas birojs turpmāk ne</w:t>
            </w:r>
            <w:r w:rsidR="002E1517">
              <w:t>izmeklē</w:t>
            </w:r>
            <w:r w:rsidR="00D374E1">
              <w:t>s</w:t>
            </w:r>
            <w:r w:rsidR="002E1517">
              <w:t xml:space="preserve"> civilās aviācijas nelaimes gadījumus</w:t>
            </w:r>
            <w:r w:rsidR="00D374E1">
              <w:t>,</w:t>
            </w:r>
            <w:r w:rsidR="002E1517">
              <w:t xml:space="preserve"> nopietnus incidentus</w:t>
            </w:r>
            <w:r w:rsidR="00D374E1">
              <w:t xml:space="preserve"> un incidentus</w:t>
            </w:r>
            <w:r w:rsidR="002E1517">
              <w:t>, kuros iesaistīts gaisa kuģis bez reģistrācijas numura vai iesaistīto gaisa kuģi vadījusi persona bez pilota apliecības.</w:t>
            </w:r>
          </w:p>
          <w:p w14:paraId="0E603B2B" w14:textId="59E4ADF5" w:rsidR="0057730D" w:rsidRDefault="009C6159" w:rsidP="00422585">
            <w:pPr>
              <w:contextualSpacing/>
              <w:jc w:val="both"/>
            </w:pPr>
            <w:r>
              <w:t xml:space="preserve">Ar </w:t>
            </w:r>
            <w:r w:rsidR="00422585">
              <w:t xml:space="preserve">Ministru kabineta noteikumu projektu “Grozījumi Ministru kabineta 2011. gada 31. maija noteikumos Nr.423 “Civilās aviācijas nelaimes gadījumu un incidentu izmeklēšanas kārtība”” (turpmāk - </w:t>
            </w:r>
            <w:r>
              <w:t>noteikumu projekt</w:t>
            </w:r>
            <w:r w:rsidR="00422585">
              <w:t>s)</w:t>
            </w:r>
            <w:r w:rsidR="00600700">
              <w:t xml:space="preserve"> </w:t>
            </w:r>
            <w:r w:rsidR="007D3F5B">
              <w:t xml:space="preserve">tiek precizēts, kam Izmeklēšanas birojs </w:t>
            </w:r>
            <w:proofErr w:type="spellStart"/>
            <w:r w:rsidR="007D3F5B">
              <w:t>nosūta</w:t>
            </w:r>
            <w:proofErr w:type="spellEnd"/>
            <w:r w:rsidR="007D3F5B">
              <w:t xml:space="preserve"> </w:t>
            </w:r>
            <w:r w:rsidR="007D3F5B" w:rsidRPr="007554B9">
              <w:t>informatīvu ziņojumu</w:t>
            </w:r>
            <w:r w:rsidR="007D3F5B">
              <w:t>, ja drošības izmeklēšanas gaitā atklājas fakti, ka pastāv lidojumu drošumu apdraudoši riski.</w:t>
            </w:r>
          </w:p>
          <w:p w14:paraId="25AE784A" w14:textId="7FB3D87E" w:rsidR="00566CF2" w:rsidRDefault="00566CF2" w:rsidP="007D3F5B">
            <w:pPr>
              <w:contextualSpacing/>
              <w:jc w:val="both"/>
            </w:pPr>
            <w:r>
              <w:t xml:space="preserve">Ar </w:t>
            </w:r>
            <w:r w:rsidR="009C6159">
              <w:t xml:space="preserve">noteikumu </w:t>
            </w:r>
            <w:r>
              <w:t>projektu nosaka rīcību ar lidojuma parametru reģistrējošo aparatūru vai balss ierakstu aparatūru pēc to saturošu ierakstu atšifrēšanas.</w:t>
            </w:r>
          </w:p>
          <w:p w14:paraId="44CEAF26" w14:textId="61A636EA" w:rsidR="007D3F5B" w:rsidRDefault="001C1A39" w:rsidP="007D3F5B">
            <w:pPr>
              <w:contextualSpacing/>
              <w:jc w:val="both"/>
            </w:pPr>
            <w:r>
              <w:t xml:space="preserve">Ar </w:t>
            </w:r>
            <w:r w:rsidR="009C6159">
              <w:t xml:space="preserve">noteikumu </w:t>
            </w:r>
            <w:r>
              <w:t>projektu tiek noteikts, kas izmeklēšanas gaitā sniedz informāciju plašsaziņas līdzekļiem vai citām ieinteresētajām personām par civilās aviācijas nelaimes gadījumu vai nopietnu incidentu.</w:t>
            </w:r>
          </w:p>
          <w:p w14:paraId="61F83F51" w14:textId="7F94233F" w:rsidR="00566CF2" w:rsidRDefault="00973C20" w:rsidP="00973C20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Lai </w:t>
            </w:r>
            <w:r w:rsidRPr="0070067C">
              <w:t>informētu par izmeklēšanas sākuma posma norisi</w:t>
            </w:r>
            <w:r>
              <w:t>, a</w:t>
            </w:r>
            <w:r w:rsidR="009C6159">
              <w:rPr>
                <w:bCs/>
              </w:rPr>
              <w:t xml:space="preserve">r noteikumu projektu Izmeklēšanas birojam tiek </w:t>
            </w:r>
            <w:r w:rsidR="00D374E1">
              <w:rPr>
                <w:bCs/>
              </w:rPr>
              <w:t xml:space="preserve">noteikts </w:t>
            </w:r>
            <w:r w:rsidR="009C6159">
              <w:rPr>
                <w:bCs/>
              </w:rPr>
              <w:t xml:space="preserve">pienākums sagatavot </w:t>
            </w:r>
            <w:proofErr w:type="spellStart"/>
            <w:r w:rsidR="009C6159">
              <w:rPr>
                <w:bCs/>
              </w:rPr>
              <w:t>priekšziņojumu</w:t>
            </w:r>
            <w:proofErr w:type="spellEnd"/>
            <w:r>
              <w:rPr>
                <w:bCs/>
              </w:rPr>
              <w:t xml:space="preserve">, kā arī tiek noteikti adresāti, kam šis </w:t>
            </w:r>
            <w:proofErr w:type="spellStart"/>
            <w:r>
              <w:rPr>
                <w:bCs/>
              </w:rPr>
              <w:t>priekšziņojums</w:t>
            </w:r>
            <w:proofErr w:type="spellEnd"/>
            <w:r>
              <w:rPr>
                <w:bCs/>
              </w:rPr>
              <w:t xml:space="preserve"> ir </w:t>
            </w:r>
            <w:proofErr w:type="spellStart"/>
            <w:r>
              <w:rPr>
                <w:bCs/>
              </w:rPr>
              <w:t>jānosūta</w:t>
            </w:r>
            <w:proofErr w:type="spellEnd"/>
            <w:r>
              <w:rPr>
                <w:bCs/>
              </w:rPr>
              <w:t>.</w:t>
            </w:r>
          </w:p>
          <w:p w14:paraId="3A20D0FE" w14:textId="3EEF879A" w:rsidR="00973C20" w:rsidRPr="00885EE2" w:rsidRDefault="00EF70A0" w:rsidP="00022343">
            <w:pPr>
              <w:contextualSpacing/>
              <w:jc w:val="both"/>
              <w:rPr>
                <w:bCs/>
              </w:rPr>
            </w:pPr>
            <w:r>
              <w:t xml:space="preserve">Tā kā nobeiguma ziņojums pēc izmeklēšanas pabeigšanas ir pieejams Izmeklēšanas biroja mājaslapā, tāpēc nav nepieciešams noteikt par pienākumu to sūtīt kādām citām institūcijām. Tāpēc tiek grozīts esošais noteikumu 38.punkts, </w:t>
            </w:r>
            <w:r w:rsidR="00022343">
              <w:t xml:space="preserve">un, ievērojot Starptautiskās civilās aviācijas organizācijas dokumentā Nr.10053 “Drošības informācijas aizsardzības rokasgrāmata” noteikto, </w:t>
            </w:r>
            <w:r>
              <w:t>papildu</w:t>
            </w:r>
            <w:r w:rsidR="00022343">
              <w:t xml:space="preserve"> tiek noteikts</w:t>
            </w:r>
            <w:r>
              <w:t>, ka nobeiguma ziņojumā iekļauto informāciju neizmanto kā pierādījumu procesos, kuros tiek noteikta vainas pakāpe vai atbildība</w:t>
            </w:r>
            <w:r w:rsidR="00973C20">
              <w:t>.</w:t>
            </w:r>
          </w:p>
        </w:tc>
      </w:tr>
      <w:tr w:rsidR="00E433AF" w14:paraId="545CC78B" w14:textId="77777777" w:rsidTr="00F432AC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64543" w14:textId="1CCA9BBE"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BE24D" w14:textId="77777777"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557F9" w14:textId="34F26ABE" w:rsidR="00E433AF" w:rsidRPr="00885EE2" w:rsidRDefault="00535E7C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Transporta nelaimes gadījumu un incidentu izmeklēšanas birojs</w:t>
            </w:r>
            <w:r w:rsidR="00422585"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  <w:tr w:rsidR="00E433AF" w14:paraId="09CC32D1" w14:textId="77777777" w:rsidTr="00F432A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00268" w14:textId="77777777" w:rsidR="00E433AF" w:rsidRPr="00885EE2" w:rsidRDefault="00E433AF" w:rsidP="00F432AC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4.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8FA44" w14:textId="77777777" w:rsidR="00E433AF" w:rsidRPr="00885EE2" w:rsidRDefault="00E433AF" w:rsidP="00F432AC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5DC2C" w14:textId="52F5D396" w:rsidR="00E433AF" w:rsidRPr="00885EE2" w:rsidRDefault="00E433AF" w:rsidP="00F432AC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Nav</w:t>
            </w:r>
            <w:r w:rsidR="00422585"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</w:tbl>
    <w:p w14:paraId="79C6438E" w14:textId="77777777" w:rsidR="00E433AF" w:rsidRDefault="00E433AF" w:rsidP="00DD7377">
      <w:pPr>
        <w:tabs>
          <w:tab w:val="left" w:pos="1020"/>
        </w:tabs>
        <w:contextualSpacing/>
        <w:jc w:val="both"/>
      </w:pP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133A30" w:rsidRPr="00885EE2" w14:paraId="43385529" w14:textId="77777777" w:rsidTr="006D77C5">
        <w:trPr>
          <w:trHeight w:val="195"/>
        </w:trPr>
        <w:tc>
          <w:tcPr>
            <w:tcW w:w="9351" w:type="dxa"/>
            <w:vAlign w:val="center"/>
          </w:tcPr>
          <w:p w14:paraId="2336BFC2" w14:textId="77777777" w:rsidR="00133A30" w:rsidRPr="00885EE2" w:rsidRDefault="00133A30" w:rsidP="006D77C5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 xml:space="preserve">II. Tiesību akta projekta ietekme uz sabiedrību, tautsaimniecības attīstību </w:t>
            </w:r>
          </w:p>
          <w:p w14:paraId="066747C0" w14:textId="77777777" w:rsidR="00133A30" w:rsidRPr="00885EE2" w:rsidRDefault="00133A30" w:rsidP="006D77C5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un administratīvo slogu</w:t>
            </w:r>
          </w:p>
        </w:tc>
      </w:tr>
      <w:tr w:rsidR="00133A30" w:rsidRPr="00885EE2" w14:paraId="0AD06BB5" w14:textId="77777777" w:rsidTr="006D77C5">
        <w:trPr>
          <w:trHeight w:val="331"/>
        </w:trPr>
        <w:tc>
          <w:tcPr>
            <w:tcW w:w="9351" w:type="dxa"/>
          </w:tcPr>
          <w:p w14:paraId="6327D983" w14:textId="77777777" w:rsidR="00133A30" w:rsidRPr="00885EE2" w:rsidRDefault="00133A30" w:rsidP="006D77C5">
            <w:pPr>
              <w:contextualSpacing/>
              <w:jc w:val="center"/>
            </w:pPr>
            <w:r w:rsidRPr="00C7342F">
              <w:t>Projekts šo jomu neskar</w:t>
            </w:r>
            <w:r w:rsidRPr="00C7342F" w:rsidDel="00C7342F">
              <w:t xml:space="preserve"> </w:t>
            </w:r>
          </w:p>
        </w:tc>
      </w:tr>
    </w:tbl>
    <w:p w14:paraId="0A477062" w14:textId="77777777" w:rsidR="00133A30" w:rsidRPr="00885EE2" w:rsidRDefault="00133A30" w:rsidP="00DD7377">
      <w:pPr>
        <w:contextualSpacing/>
        <w:jc w:val="both"/>
      </w:pP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E433AF" w14:paraId="442EB3F9" w14:textId="77777777" w:rsidTr="00DD7377">
        <w:trPr>
          <w:trHeight w:val="195"/>
        </w:trPr>
        <w:tc>
          <w:tcPr>
            <w:tcW w:w="9351" w:type="dxa"/>
            <w:vAlign w:val="center"/>
          </w:tcPr>
          <w:p w14:paraId="5A31D113" w14:textId="77777777" w:rsidR="00E433AF" w:rsidRPr="00885EE2" w:rsidRDefault="00E433AF" w:rsidP="00DD7377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E433AF" w14:paraId="7D64ED87" w14:textId="77777777" w:rsidTr="00DD7377">
        <w:trPr>
          <w:trHeight w:val="331"/>
        </w:trPr>
        <w:tc>
          <w:tcPr>
            <w:tcW w:w="9351" w:type="dxa"/>
          </w:tcPr>
          <w:p w14:paraId="4EBB2AC7" w14:textId="77777777" w:rsidR="00E433AF" w:rsidRPr="00885EE2" w:rsidRDefault="00E433AF" w:rsidP="00DD7377">
            <w:pPr>
              <w:contextualSpacing/>
              <w:jc w:val="center"/>
              <w:rPr>
                <w:iCs/>
              </w:rPr>
            </w:pPr>
            <w:r w:rsidRPr="00885EE2">
              <w:rPr>
                <w:iCs/>
              </w:rPr>
              <w:t>Projekts šo jomu neskar</w:t>
            </w:r>
          </w:p>
        </w:tc>
      </w:tr>
    </w:tbl>
    <w:p w14:paraId="23F9610F" w14:textId="77777777" w:rsidR="00E433AF" w:rsidRPr="00857553" w:rsidRDefault="00E433AF" w:rsidP="00DD7377">
      <w:pPr>
        <w:contextualSpacing/>
        <w:jc w:val="both"/>
      </w:pP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E433AF" w:rsidRPr="00857553" w14:paraId="66D9B062" w14:textId="77777777" w:rsidTr="00DD7377">
        <w:trPr>
          <w:trHeight w:val="195"/>
        </w:trPr>
        <w:tc>
          <w:tcPr>
            <w:tcW w:w="9351" w:type="dxa"/>
            <w:vAlign w:val="center"/>
          </w:tcPr>
          <w:p w14:paraId="310D5098" w14:textId="77777777" w:rsidR="00E433AF" w:rsidRPr="00857553" w:rsidRDefault="00E433AF" w:rsidP="00DD7377">
            <w:pPr>
              <w:contextualSpacing/>
              <w:jc w:val="center"/>
              <w:rPr>
                <w:b/>
                <w:bCs/>
              </w:rPr>
            </w:pPr>
            <w:r w:rsidRPr="00857553">
              <w:rPr>
                <w:b/>
                <w:bCs/>
              </w:rPr>
              <w:t xml:space="preserve">IV. Tiesību akta projekta ietekme uz </w:t>
            </w:r>
            <w:r w:rsidRPr="00857553">
              <w:rPr>
                <w:b/>
                <w:bCs/>
                <w:lang w:bidi="lo-LA"/>
              </w:rPr>
              <w:t>spēkā esošo tiesību normu sistēmu</w:t>
            </w:r>
          </w:p>
        </w:tc>
      </w:tr>
      <w:tr w:rsidR="00EA13F3" w14:paraId="532FEBA2" w14:textId="77777777" w:rsidTr="00DD7377">
        <w:trPr>
          <w:trHeight w:val="195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48507F49" w14:textId="77777777" w:rsidR="00EA13F3" w:rsidRPr="00885EE2" w:rsidRDefault="00EA13F3" w:rsidP="00DD7377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iCs/>
              </w:rPr>
              <w:t>Projekts šo jomu neskar</w:t>
            </w:r>
          </w:p>
        </w:tc>
      </w:tr>
    </w:tbl>
    <w:p w14:paraId="706F9711" w14:textId="77777777" w:rsidR="00E433AF" w:rsidRDefault="00E433AF" w:rsidP="00DD7377">
      <w:pPr>
        <w:contextualSpacing/>
        <w:rPr>
          <w:rFonts w:eastAsiaTheme="minorHAnsi"/>
          <w:szCs w:val="22"/>
          <w:lang w:eastAsia="en-US"/>
        </w:rPr>
      </w:pPr>
    </w:p>
    <w:tbl>
      <w:tblPr>
        <w:tblpPr w:leftFromText="180" w:rightFromText="180" w:vertAnchor="text" w:horzAnchor="margin" w:tblpY="3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E433AF" w14:paraId="0E8589E3" w14:textId="77777777" w:rsidTr="00DD7377">
        <w:trPr>
          <w:trHeight w:val="195"/>
        </w:trPr>
        <w:tc>
          <w:tcPr>
            <w:tcW w:w="9351" w:type="dxa"/>
            <w:vAlign w:val="center"/>
          </w:tcPr>
          <w:p w14:paraId="040352A0" w14:textId="77777777" w:rsidR="00E433AF" w:rsidRPr="00885EE2" w:rsidRDefault="00E433AF" w:rsidP="00DD7377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E433AF" w14:paraId="1EEF141D" w14:textId="77777777" w:rsidTr="00DD7377">
        <w:trPr>
          <w:trHeight w:val="331"/>
        </w:trPr>
        <w:tc>
          <w:tcPr>
            <w:tcW w:w="9351" w:type="dxa"/>
          </w:tcPr>
          <w:p w14:paraId="34078110" w14:textId="77777777" w:rsidR="00E433AF" w:rsidRPr="00885EE2" w:rsidRDefault="00E433AF" w:rsidP="00DD7377">
            <w:pPr>
              <w:contextualSpacing/>
              <w:jc w:val="center"/>
              <w:rPr>
                <w:iCs/>
              </w:rPr>
            </w:pPr>
            <w:r w:rsidRPr="00885EE2">
              <w:rPr>
                <w:iCs/>
              </w:rPr>
              <w:t>Projekts šo jomu neskar</w:t>
            </w:r>
          </w:p>
        </w:tc>
      </w:tr>
    </w:tbl>
    <w:p w14:paraId="54E35315" w14:textId="77777777" w:rsidR="00EA13F3" w:rsidRPr="00F82EFE" w:rsidRDefault="00EA13F3" w:rsidP="00DD7377">
      <w:pPr>
        <w:contextualSpacing/>
        <w:rPr>
          <w:rFonts w:eastAsiaTheme="minorHAnsi"/>
          <w:szCs w:val="22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16"/>
        <w:gridCol w:w="2948"/>
        <w:gridCol w:w="171"/>
        <w:gridCol w:w="5708"/>
      </w:tblGrid>
      <w:tr w:rsidR="00E433AF" w:rsidRPr="00885EE2" w14:paraId="38E48BBF" w14:textId="77777777" w:rsidTr="00DC0ED5">
        <w:trPr>
          <w:trHeight w:val="420"/>
        </w:trPr>
        <w:tc>
          <w:tcPr>
            <w:tcW w:w="5000" w:type="pct"/>
            <w:gridSpan w:val="5"/>
            <w:shd w:val="clear" w:color="auto" w:fill="auto"/>
            <w:hideMark/>
          </w:tcPr>
          <w:p w14:paraId="2FF72F76" w14:textId="77777777" w:rsidR="00E433AF" w:rsidRPr="00885EE2" w:rsidRDefault="00EA13F3" w:rsidP="00DD7377">
            <w:pPr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VI. Sabiedrības līdzdalība un komunikācijas aktivitātes</w:t>
            </w:r>
            <w:r w:rsidR="00E433AF" w:rsidRPr="00885EE2">
              <w:t> </w:t>
            </w:r>
          </w:p>
        </w:tc>
      </w:tr>
      <w:tr w:rsidR="00F679D9" w:rsidRPr="00885EE2" w14:paraId="7DCC1626" w14:textId="77777777" w:rsidTr="00DC0ED5">
        <w:trPr>
          <w:trHeight w:val="420"/>
        </w:trPr>
        <w:tc>
          <w:tcPr>
            <w:tcW w:w="302" w:type="pct"/>
            <w:gridSpan w:val="2"/>
            <w:shd w:val="clear" w:color="auto" w:fill="auto"/>
          </w:tcPr>
          <w:p w14:paraId="77F0CB70" w14:textId="1CD06027" w:rsidR="00F679D9" w:rsidRPr="00F679D9" w:rsidDel="00F679D9" w:rsidRDefault="00F679D9" w:rsidP="00DD7377">
            <w:r w:rsidRPr="002B38E9">
              <w:rPr>
                <w:color w:val="000000" w:themeColor="text1"/>
              </w:rPr>
              <w:t>1.</w:t>
            </w:r>
          </w:p>
        </w:tc>
        <w:tc>
          <w:tcPr>
            <w:tcW w:w="1660" w:type="pct"/>
            <w:gridSpan w:val="2"/>
            <w:shd w:val="clear" w:color="auto" w:fill="auto"/>
          </w:tcPr>
          <w:p w14:paraId="6BB96FFC" w14:textId="01056C9F" w:rsidR="00F679D9" w:rsidRPr="00F679D9" w:rsidDel="00F679D9" w:rsidRDefault="00F679D9" w:rsidP="00DD7377">
            <w:r w:rsidRPr="002B38E9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038" w:type="pct"/>
            <w:shd w:val="clear" w:color="auto" w:fill="auto"/>
          </w:tcPr>
          <w:p w14:paraId="1428D6FB" w14:textId="5A281FAE" w:rsidR="00F679D9" w:rsidRPr="00F679D9" w:rsidDel="00F679D9" w:rsidRDefault="00620564" w:rsidP="00DD7377">
            <w:pPr>
              <w:shd w:val="clear" w:color="auto" w:fill="FFFFFF"/>
              <w:jc w:val="both"/>
            </w:pPr>
            <w:r w:rsidRPr="00E413C3">
              <w:t>Atbilstoši Ministru kabineta 2009.gada 25.augusta noteikumiem Nr.970 „Sabiedrības līdzdalības kārtība attīstības plānošanas procesā” 7.4.</w:t>
            </w:r>
            <w:r w:rsidRPr="00E413C3">
              <w:rPr>
                <w:vertAlign w:val="superscript"/>
              </w:rPr>
              <w:t>1</w:t>
            </w:r>
            <w:r w:rsidRPr="00E413C3">
              <w:t xml:space="preserve"> apakšpunktu sabiedrībai tik</w:t>
            </w:r>
            <w:r>
              <w:t>s</w:t>
            </w:r>
            <w:r w:rsidRPr="00E413C3">
              <w:t xml:space="preserve"> dota iespēja rakstiski sniegt viedokli par </w:t>
            </w:r>
            <w:r w:rsidR="009C6159">
              <w:t xml:space="preserve">noteikuma </w:t>
            </w:r>
            <w:r w:rsidRPr="00E413C3">
              <w:t>projektu tā izstrādes stadijā.</w:t>
            </w:r>
          </w:p>
        </w:tc>
      </w:tr>
      <w:tr w:rsidR="00F679D9" w:rsidRPr="00885EE2" w14:paraId="153BE170" w14:textId="77777777" w:rsidTr="00DC0ED5">
        <w:trPr>
          <w:trHeight w:val="420"/>
        </w:trPr>
        <w:tc>
          <w:tcPr>
            <w:tcW w:w="302" w:type="pct"/>
            <w:gridSpan w:val="2"/>
            <w:shd w:val="clear" w:color="auto" w:fill="auto"/>
          </w:tcPr>
          <w:p w14:paraId="32D30705" w14:textId="463D4301" w:rsidR="00F679D9" w:rsidRPr="00F679D9" w:rsidDel="00F679D9" w:rsidRDefault="00F679D9" w:rsidP="00DD7377">
            <w:r w:rsidRPr="002B38E9">
              <w:rPr>
                <w:color w:val="000000" w:themeColor="text1"/>
              </w:rPr>
              <w:t>2.</w:t>
            </w:r>
          </w:p>
        </w:tc>
        <w:tc>
          <w:tcPr>
            <w:tcW w:w="1660" w:type="pct"/>
            <w:gridSpan w:val="2"/>
            <w:shd w:val="clear" w:color="auto" w:fill="auto"/>
          </w:tcPr>
          <w:p w14:paraId="64C12434" w14:textId="37405BEC" w:rsidR="00F679D9" w:rsidRPr="00F679D9" w:rsidDel="00F679D9" w:rsidRDefault="00F679D9" w:rsidP="00DD7377">
            <w:r w:rsidRPr="002B38E9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038" w:type="pct"/>
            <w:shd w:val="clear" w:color="auto" w:fill="auto"/>
          </w:tcPr>
          <w:p w14:paraId="6096D37A" w14:textId="73F797F5" w:rsidR="00422585" w:rsidRPr="00F679D9" w:rsidDel="00F679D9" w:rsidRDefault="00620564" w:rsidP="00422585">
            <w:pPr>
              <w:jc w:val="both"/>
            </w:pPr>
            <w:r w:rsidRPr="00D30EEA">
              <w:t xml:space="preserve">Paziņojums par līdzdalības iespējām tiesību akta izstrādes procesā </w:t>
            </w:r>
            <w:r w:rsidR="00422585" w:rsidRPr="00A770FA">
              <w:t xml:space="preserve">2019.gada </w:t>
            </w:r>
            <w:r w:rsidR="00422585">
              <w:t>9</w:t>
            </w:r>
            <w:r w:rsidR="00422585" w:rsidRPr="00A770FA">
              <w:t>.</w:t>
            </w:r>
            <w:r w:rsidR="002C71A3">
              <w:t>decemb</w:t>
            </w:r>
            <w:r w:rsidR="00422585" w:rsidRPr="00A770FA">
              <w:t>rī</w:t>
            </w:r>
            <w:r w:rsidR="00422585">
              <w:t xml:space="preserve"> </w:t>
            </w:r>
            <w:r>
              <w:t xml:space="preserve">ir </w:t>
            </w:r>
            <w:r w:rsidRPr="00D30EEA">
              <w:t xml:space="preserve">ievietots Satiksmes ministrijas tīmekļa vietnē </w:t>
            </w:r>
            <w:hyperlink r:id="rId8" w:history="1">
              <w:r w:rsidR="00422585" w:rsidRPr="00CF0CAA">
                <w:rPr>
                  <w:rStyle w:val="Hyperlink"/>
                </w:rPr>
                <w:t>http://www.sam.gov.lv/sm/content/?cat=553</w:t>
              </w:r>
            </w:hyperlink>
          </w:p>
        </w:tc>
      </w:tr>
      <w:tr w:rsidR="00F679D9" w:rsidRPr="00885EE2" w14:paraId="3047EF99" w14:textId="77777777" w:rsidTr="00DC0ED5">
        <w:trPr>
          <w:trHeight w:val="420"/>
        </w:trPr>
        <w:tc>
          <w:tcPr>
            <w:tcW w:w="302" w:type="pct"/>
            <w:gridSpan w:val="2"/>
            <w:shd w:val="clear" w:color="auto" w:fill="auto"/>
          </w:tcPr>
          <w:p w14:paraId="79439BB9" w14:textId="6EDA77D0" w:rsidR="00F679D9" w:rsidRPr="00F679D9" w:rsidDel="00F679D9" w:rsidRDefault="00F679D9" w:rsidP="00DD7377">
            <w:r w:rsidRPr="002B38E9">
              <w:rPr>
                <w:color w:val="000000" w:themeColor="text1"/>
              </w:rPr>
              <w:t>3.</w:t>
            </w:r>
          </w:p>
        </w:tc>
        <w:tc>
          <w:tcPr>
            <w:tcW w:w="1660" w:type="pct"/>
            <w:gridSpan w:val="2"/>
            <w:shd w:val="clear" w:color="auto" w:fill="auto"/>
          </w:tcPr>
          <w:p w14:paraId="31B9F9A6" w14:textId="4E334C64" w:rsidR="00F679D9" w:rsidRPr="00F679D9" w:rsidDel="00F679D9" w:rsidRDefault="00F679D9" w:rsidP="00DD7377">
            <w:r w:rsidRPr="002B38E9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038" w:type="pct"/>
            <w:shd w:val="clear" w:color="auto" w:fill="auto"/>
          </w:tcPr>
          <w:p w14:paraId="46AB2F71" w14:textId="7126EA4B" w:rsidR="00F679D9" w:rsidRPr="00F679D9" w:rsidDel="00F679D9" w:rsidRDefault="00422585" w:rsidP="00DD7377">
            <w:r>
              <w:rPr>
                <w:color w:val="000000" w:themeColor="text1"/>
              </w:rPr>
              <w:t>Iebildumi vai p</w:t>
            </w:r>
            <w:r w:rsidR="00131534">
              <w:rPr>
                <w:color w:val="000000" w:themeColor="text1"/>
              </w:rPr>
              <w:t>riekšlikumi n</w:t>
            </w:r>
            <w:r>
              <w:rPr>
                <w:color w:val="000000" w:themeColor="text1"/>
              </w:rPr>
              <w:t>etika</w:t>
            </w:r>
            <w:r w:rsidR="00F679D9">
              <w:rPr>
                <w:color w:val="000000" w:themeColor="text1"/>
              </w:rPr>
              <w:t xml:space="preserve"> saņemti</w:t>
            </w:r>
            <w:r w:rsidR="00540FFA">
              <w:rPr>
                <w:color w:val="000000" w:themeColor="text1"/>
              </w:rPr>
              <w:t>.</w:t>
            </w:r>
          </w:p>
        </w:tc>
      </w:tr>
      <w:tr w:rsidR="00F679D9" w:rsidRPr="00885EE2" w14:paraId="0FCB39E3" w14:textId="77777777" w:rsidTr="00DC0ED5">
        <w:trPr>
          <w:trHeight w:val="420"/>
        </w:trPr>
        <w:tc>
          <w:tcPr>
            <w:tcW w:w="302" w:type="pct"/>
            <w:gridSpan w:val="2"/>
            <w:shd w:val="clear" w:color="auto" w:fill="auto"/>
          </w:tcPr>
          <w:p w14:paraId="1234D1E3" w14:textId="0E7C3720" w:rsidR="00F679D9" w:rsidRPr="00F679D9" w:rsidDel="00F679D9" w:rsidRDefault="00F679D9" w:rsidP="00DD7377">
            <w:r w:rsidRPr="002B38E9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1660" w:type="pct"/>
            <w:gridSpan w:val="2"/>
            <w:shd w:val="clear" w:color="auto" w:fill="auto"/>
          </w:tcPr>
          <w:p w14:paraId="0F64B37B" w14:textId="4E5B7FF2" w:rsidR="00F679D9" w:rsidRPr="00F679D9" w:rsidDel="00F679D9" w:rsidRDefault="00F679D9" w:rsidP="00DD7377">
            <w:r w:rsidRPr="002B38E9">
              <w:rPr>
                <w:color w:val="000000" w:themeColor="text1"/>
              </w:rPr>
              <w:t>Cita informācija</w:t>
            </w:r>
          </w:p>
        </w:tc>
        <w:tc>
          <w:tcPr>
            <w:tcW w:w="3038" w:type="pct"/>
            <w:shd w:val="clear" w:color="auto" w:fill="auto"/>
          </w:tcPr>
          <w:p w14:paraId="25462A23" w14:textId="27483F08" w:rsidR="00F679D9" w:rsidRPr="00F679D9" w:rsidDel="00F679D9" w:rsidRDefault="00F679D9" w:rsidP="00DD7377">
            <w:r w:rsidRPr="002B38E9">
              <w:rPr>
                <w:color w:val="000000" w:themeColor="text1"/>
              </w:rPr>
              <w:t>Nav.</w:t>
            </w:r>
          </w:p>
        </w:tc>
      </w:tr>
      <w:tr w:rsidR="00F679D9" w:rsidRPr="00885EE2" w14:paraId="316E6C06" w14:textId="77777777" w:rsidTr="00DC0ED5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78495C7F" w14:textId="77777777" w:rsidR="00F679D9" w:rsidRPr="00885EE2" w:rsidRDefault="00F679D9" w:rsidP="00DD7377">
            <w:pPr>
              <w:pStyle w:val="naisnod"/>
              <w:spacing w:before="0" w:beforeAutospacing="0" w:after="0" w:afterAutospacing="0"/>
              <w:jc w:val="center"/>
            </w:pPr>
            <w:r w:rsidRPr="00885EE2">
              <w:rPr>
                <w:b/>
              </w:rPr>
              <w:t>VII. Tiesību akta projekta izpildes nodrošināšana un tās ietekme uz institūcijām</w:t>
            </w:r>
          </w:p>
        </w:tc>
      </w:tr>
      <w:tr w:rsidR="00F679D9" w:rsidRPr="00885EE2" w14:paraId="6AF8A881" w14:textId="77777777" w:rsidTr="00DC0ED5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187" w:type="pct"/>
          </w:tcPr>
          <w:p w14:paraId="7432EDA1" w14:textId="77777777" w:rsidR="00F679D9" w:rsidRPr="00885EE2" w:rsidRDefault="00F679D9" w:rsidP="00DD7377">
            <w:pPr>
              <w:pStyle w:val="naisnod"/>
              <w:spacing w:before="0" w:beforeAutospacing="0" w:after="0" w:afterAutospacing="0"/>
              <w:jc w:val="both"/>
            </w:pPr>
            <w:r w:rsidRPr="00885EE2">
              <w:t>1.</w:t>
            </w:r>
          </w:p>
        </w:tc>
        <w:tc>
          <w:tcPr>
            <w:tcW w:w="1684" w:type="pct"/>
            <w:gridSpan w:val="2"/>
          </w:tcPr>
          <w:p w14:paraId="60D33651" w14:textId="77777777" w:rsidR="00F679D9" w:rsidRPr="00885EE2" w:rsidRDefault="00F679D9" w:rsidP="00DD7377">
            <w:pPr>
              <w:pStyle w:val="naisf"/>
              <w:spacing w:before="0" w:beforeAutospacing="0" w:after="0" w:afterAutospacing="0"/>
            </w:pPr>
            <w:r w:rsidRPr="00885EE2">
              <w:t>Projekta izpildē iesaistītās institūcijas</w:t>
            </w:r>
          </w:p>
        </w:tc>
        <w:tc>
          <w:tcPr>
            <w:tcW w:w="3129" w:type="pct"/>
            <w:gridSpan w:val="2"/>
          </w:tcPr>
          <w:p w14:paraId="21D7B2F2" w14:textId="752D19D7" w:rsidR="00F679D9" w:rsidRPr="00885EE2" w:rsidRDefault="00F679D9" w:rsidP="00DD7377">
            <w:pPr>
              <w:jc w:val="both"/>
              <w:rPr>
                <w:bCs/>
              </w:rPr>
            </w:pPr>
            <w:r>
              <w:rPr>
                <w:bCs/>
              </w:rPr>
              <w:t>Transporta nelaimes gadījumu un incidentu izmeklēšanas birojs</w:t>
            </w:r>
            <w:r w:rsidRPr="00885EE2">
              <w:t>.</w:t>
            </w:r>
          </w:p>
        </w:tc>
      </w:tr>
      <w:tr w:rsidR="00F679D9" w:rsidRPr="00885EE2" w14:paraId="5D84310D" w14:textId="77777777" w:rsidTr="00DC0ED5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87" w:type="pct"/>
          </w:tcPr>
          <w:p w14:paraId="60655EB6" w14:textId="77777777" w:rsidR="00F679D9" w:rsidRPr="00885EE2" w:rsidRDefault="00F679D9" w:rsidP="00DD7377">
            <w:pPr>
              <w:pStyle w:val="naisnod"/>
              <w:spacing w:before="0" w:beforeAutospacing="0" w:after="0" w:afterAutospacing="0"/>
              <w:jc w:val="both"/>
            </w:pPr>
            <w:r w:rsidRPr="00885EE2">
              <w:t>2.</w:t>
            </w:r>
          </w:p>
        </w:tc>
        <w:tc>
          <w:tcPr>
            <w:tcW w:w="1684" w:type="pct"/>
            <w:gridSpan w:val="2"/>
          </w:tcPr>
          <w:p w14:paraId="2BEF6414" w14:textId="77777777" w:rsidR="00F679D9" w:rsidRPr="00885EE2" w:rsidRDefault="00F679D9" w:rsidP="00DD7377">
            <w:pPr>
              <w:pStyle w:val="naisf"/>
              <w:spacing w:before="0" w:beforeAutospacing="0" w:after="0" w:afterAutospacing="0"/>
              <w:jc w:val="left"/>
            </w:pPr>
            <w:r w:rsidRPr="00885EE2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129" w:type="pct"/>
            <w:gridSpan w:val="2"/>
          </w:tcPr>
          <w:p w14:paraId="19DF25B0" w14:textId="6734F1CC" w:rsidR="00F679D9" w:rsidRPr="00885EE2" w:rsidRDefault="00F679D9" w:rsidP="00DD7377">
            <w:pPr>
              <w:jc w:val="both"/>
            </w:pPr>
            <w:r w:rsidRPr="00885EE2">
              <w:t xml:space="preserve">Ar projektu netiek paplašinātas </w:t>
            </w:r>
            <w:r>
              <w:t>iestādei</w:t>
            </w:r>
            <w:r w:rsidRPr="00885EE2">
              <w:t xml:space="preserve"> normatīvajos aktos noteiktās funkcijas.</w:t>
            </w:r>
          </w:p>
          <w:p w14:paraId="20B5A349" w14:textId="08804316" w:rsidR="00F679D9" w:rsidRPr="00885EE2" w:rsidRDefault="00F679D9" w:rsidP="00DD7377">
            <w:pPr>
              <w:jc w:val="both"/>
            </w:pPr>
            <w:r w:rsidRPr="00885EE2">
              <w:t>Projekts neparedz jaunu institūciju izveidi vai esošo institūciju likvidāciju vai reorganizāciju, kā arī projektam nav ietekmes uz esošo institūciju cilvēkresursiem.</w:t>
            </w:r>
          </w:p>
          <w:p w14:paraId="7345F2E5" w14:textId="77777777" w:rsidR="00F679D9" w:rsidRPr="00885EE2" w:rsidRDefault="00F679D9" w:rsidP="00DD7377">
            <w:pPr>
              <w:jc w:val="both"/>
            </w:pPr>
          </w:p>
        </w:tc>
      </w:tr>
      <w:tr w:rsidR="00F679D9" w:rsidRPr="00885EE2" w14:paraId="34E6A670" w14:textId="77777777" w:rsidTr="00DC0ED5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549" w14:textId="77777777" w:rsidR="00F679D9" w:rsidRPr="00885EE2" w:rsidRDefault="00F679D9" w:rsidP="00F679D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85EE2">
              <w:t>3.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B22" w14:textId="77777777" w:rsidR="00F679D9" w:rsidRPr="00885EE2" w:rsidRDefault="00F679D9" w:rsidP="00F679D9">
            <w:pPr>
              <w:pStyle w:val="naisf"/>
              <w:spacing w:before="0" w:beforeAutospacing="0" w:after="0" w:afterAutospacing="0"/>
              <w:ind w:right="57" w:firstLine="74"/>
            </w:pPr>
            <w:r w:rsidRPr="00885EE2">
              <w:t>Cita informācija</w:t>
            </w:r>
          </w:p>
        </w:tc>
        <w:tc>
          <w:tcPr>
            <w:tcW w:w="3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A7B" w14:textId="422A2E09" w:rsidR="00F679D9" w:rsidRPr="00885EE2" w:rsidRDefault="00F679D9" w:rsidP="00F679D9">
            <w:pPr>
              <w:ind w:right="57"/>
              <w:jc w:val="both"/>
            </w:pPr>
            <w:r w:rsidRPr="00885EE2">
              <w:t>Nav.</w:t>
            </w:r>
          </w:p>
        </w:tc>
      </w:tr>
    </w:tbl>
    <w:p w14:paraId="0F8BE3CB" w14:textId="77777777" w:rsidR="00E433AF" w:rsidRDefault="00E433AF" w:rsidP="00E433AF">
      <w:pPr>
        <w:contextualSpacing/>
        <w:jc w:val="both"/>
        <w:rPr>
          <w:sz w:val="27"/>
          <w:szCs w:val="27"/>
        </w:rPr>
      </w:pPr>
    </w:p>
    <w:p w14:paraId="04AE92B4" w14:textId="77777777" w:rsidR="00E433AF" w:rsidRDefault="00E433AF" w:rsidP="00E433AF">
      <w:pPr>
        <w:contextualSpacing/>
        <w:jc w:val="both"/>
        <w:rPr>
          <w:sz w:val="27"/>
          <w:szCs w:val="27"/>
        </w:rPr>
      </w:pPr>
    </w:p>
    <w:p w14:paraId="383EC075" w14:textId="10969E20" w:rsidR="00857553" w:rsidRPr="00857553" w:rsidRDefault="00857553" w:rsidP="0089530D">
      <w:pPr>
        <w:tabs>
          <w:tab w:val="left" w:pos="7854"/>
        </w:tabs>
      </w:pPr>
      <w:r w:rsidRPr="00857553">
        <w:t xml:space="preserve">Satiksmes ministrs                                                               </w:t>
      </w:r>
      <w:r w:rsidR="00540FFA">
        <w:tab/>
      </w:r>
      <w:proofErr w:type="spellStart"/>
      <w:r w:rsidRPr="00857553">
        <w:t>T.Linkaits</w:t>
      </w:r>
      <w:proofErr w:type="spellEnd"/>
    </w:p>
    <w:p w14:paraId="5A6A23C4" w14:textId="77777777" w:rsidR="00857553" w:rsidRDefault="00857553" w:rsidP="00857553">
      <w:pPr>
        <w:jc w:val="center"/>
      </w:pPr>
    </w:p>
    <w:p w14:paraId="0C878D53" w14:textId="77777777" w:rsidR="00F679D9" w:rsidRPr="00857553" w:rsidRDefault="00F679D9" w:rsidP="00857553">
      <w:pPr>
        <w:jc w:val="center"/>
      </w:pPr>
    </w:p>
    <w:p w14:paraId="34EAF92F" w14:textId="35DE35AA" w:rsidR="00E433AF" w:rsidRPr="00841489" w:rsidRDefault="00857553" w:rsidP="0089530D">
      <w:pPr>
        <w:rPr>
          <w:sz w:val="28"/>
          <w:szCs w:val="28"/>
        </w:rPr>
      </w:pPr>
      <w:r w:rsidRPr="00857553">
        <w:t xml:space="preserve">Vīza: </w:t>
      </w:r>
      <w:r w:rsidR="00E76BBF" w:rsidRPr="00E76BBF">
        <w:t xml:space="preserve">valsts sekretāra </w:t>
      </w:r>
      <w:proofErr w:type="spellStart"/>
      <w:r w:rsidR="00E76BBF" w:rsidRPr="00E76BBF">
        <w:t>p.i</w:t>
      </w:r>
      <w:proofErr w:type="spellEnd"/>
      <w:r w:rsidR="00E76BBF" w:rsidRPr="00E76BBF">
        <w:t xml:space="preserve">.                 </w:t>
      </w:r>
      <w:r w:rsidR="00E76BBF" w:rsidRPr="00E76BBF">
        <w:tab/>
        <w:t xml:space="preserve">                                                    </w:t>
      </w:r>
      <w:r w:rsidR="00E76BBF">
        <w:tab/>
      </w:r>
      <w:r w:rsidR="00E76BBF">
        <w:tab/>
      </w:r>
      <w:proofErr w:type="spellStart"/>
      <w:r w:rsidR="00196DE7">
        <w:t>L.Austrupe</w:t>
      </w:r>
      <w:proofErr w:type="spellEnd"/>
    </w:p>
    <w:p w14:paraId="356657E4" w14:textId="77777777" w:rsidR="00E433AF" w:rsidRPr="00923940" w:rsidRDefault="00E433AF" w:rsidP="00E433AF">
      <w:pPr>
        <w:contextualSpacing/>
        <w:rPr>
          <w:sz w:val="16"/>
          <w:szCs w:val="16"/>
        </w:rPr>
      </w:pPr>
      <w:bookmarkStart w:id="3" w:name="_GoBack"/>
      <w:bookmarkEnd w:id="3"/>
    </w:p>
    <w:sectPr w:rsidR="00E433AF" w:rsidRPr="00923940" w:rsidSect="00A173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3D24" w14:textId="77777777" w:rsidR="008D186B" w:rsidRDefault="008D186B" w:rsidP="00EA13F3">
      <w:r>
        <w:separator/>
      </w:r>
    </w:p>
  </w:endnote>
  <w:endnote w:type="continuationSeparator" w:id="0">
    <w:p w14:paraId="1A2C964D" w14:textId="77777777" w:rsidR="008D186B" w:rsidRDefault="008D186B" w:rsidP="00EA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0F2D" w14:textId="77777777" w:rsidR="00022FAA" w:rsidRDefault="00D36E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21B5FAA1" w14:textId="77777777" w:rsidR="00022FAA" w:rsidRDefault="008D1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BB9" w14:textId="642C74D6" w:rsidR="00022FAA" w:rsidRPr="00EA13F3" w:rsidRDefault="00913FB9" w:rsidP="00EA13F3">
    <w:pPr>
      <w:pStyle w:val="Footer"/>
    </w:pPr>
    <w:r>
      <w:rPr>
        <w:sz w:val="20"/>
        <w:lang w:eastAsia="lv-LV"/>
      </w:rPr>
      <w:t>SManot_</w:t>
    </w:r>
    <w:r w:rsidR="00F000D4">
      <w:rPr>
        <w:sz w:val="20"/>
        <w:lang w:eastAsia="lv-LV"/>
      </w:rPr>
      <w:t>2</w:t>
    </w:r>
    <w:r w:rsidR="00DC0ED5">
      <w:rPr>
        <w:sz w:val="20"/>
        <w:lang w:eastAsia="lv-LV"/>
      </w:rPr>
      <w:t>70</w:t>
    </w:r>
    <w:r w:rsidR="00B21F0D">
      <w:rPr>
        <w:sz w:val="20"/>
        <w:lang w:eastAsia="lv-LV"/>
      </w:rPr>
      <w:t>1</w:t>
    </w:r>
    <w:r w:rsidR="00DC0ED5">
      <w:rPr>
        <w:sz w:val="20"/>
        <w:lang w:eastAsia="lv-LV"/>
      </w:rPr>
      <w:t>20</w:t>
    </w:r>
    <w:r w:rsidR="00EA13F3" w:rsidRPr="00EA13F3">
      <w:rPr>
        <w:sz w:val="20"/>
        <w:lang w:eastAsia="lv-LV"/>
      </w:rPr>
      <w:t>_Av</w:t>
    </w:r>
    <w:r w:rsidR="00DD7377">
      <w:rPr>
        <w:sz w:val="20"/>
        <w:lang w:eastAsia="lv-LV"/>
      </w:rPr>
      <w:t>Izm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986F" w14:textId="77777777" w:rsidR="00997308" w:rsidRDefault="00997308" w:rsidP="00EA13F3">
    <w:pPr>
      <w:pStyle w:val="Footer"/>
      <w:rPr>
        <w:sz w:val="20"/>
        <w:lang w:eastAsia="lv-LV"/>
      </w:rPr>
    </w:pPr>
  </w:p>
  <w:p w14:paraId="2999D457" w14:textId="7FE4045E" w:rsidR="00022FAA" w:rsidRDefault="00B21F0D" w:rsidP="00EA13F3">
    <w:pPr>
      <w:pStyle w:val="Footer"/>
      <w:rPr>
        <w:sz w:val="20"/>
        <w:lang w:eastAsia="lv-LV"/>
      </w:rPr>
    </w:pPr>
    <w:r>
      <w:rPr>
        <w:sz w:val="20"/>
        <w:lang w:eastAsia="lv-LV"/>
      </w:rPr>
      <w:t>SManot_2</w:t>
    </w:r>
    <w:r w:rsidR="00DC0ED5">
      <w:rPr>
        <w:sz w:val="20"/>
        <w:lang w:eastAsia="lv-LV"/>
      </w:rPr>
      <w:t>70</w:t>
    </w:r>
    <w:r>
      <w:rPr>
        <w:sz w:val="20"/>
        <w:lang w:eastAsia="lv-LV"/>
      </w:rPr>
      <w:t>1</w:t>
    </w:r>
    <w:r w:rsidR="00DC0ED5">
      <w:rPr>
        <w:sz w:val="20"/>
        <w:lang w:eastAsia="lv-LV"/>
      </w:rPr>
      <w:t>20</w:t>
    </w:r>
    <w:r w:rsidR="00EA13F3" w:rsidRPr="00EA13F3">
      <w:rPr>
        <w:sz w:val="20"/>
        <w:lang w:eastAsia="lv-LV"/>
      </w:rPr>
      <w:t>_Aviac</w:t>
    </w:r>
  </w:p>
  <w:p w14:paraId="06D3A16A" w14:textId="77777777" w:rsidR="00997308" w:rsidRPr="00EA13F3" w:rsidRDefault="00997308" w:rsidP="00EA1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94F1" w14:textId="77777777" w:rsidR="008D186B" w:rsidRDefault="008D186B" w:rsidP="00EA13F3">
      <w:r>
        <w:separator/>
      </w:r>
    </w:p>
  </w:footnote>
  <w:footnote w:type="continuationSeparator" w:id="0">
    <w:p w14:paraId="21FEBEF5" w14:textId="77777777" w:rsidR="008D186B" w:rsidRDefault="008D186B" w:rsidP="00EA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1D4F" w14:textId="77777777" w:rsidR="00022FAA" w:rsidRDefault="00D36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135A5" w14:textId="77777777" w:rsidR="00022FAA" w:rsidRDefault="008D1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555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1E19EA" w14:textId="3168A91D" w:rsidR="00923940" w:rsidRDefault="00D36E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3552"/>
    <w:multiLevelType w:val="hybridMultilevel"/>
    <w:tmpl w:val="796E0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AF"/>
    <w:rsid w:val="00022343"/>
    <w:rsid w:val="00057C33"/>
    <w:rsid w:val="0006023E"/>
    <w:rsid w:val="00131534"/>
    <w:rsid w:val="00131727"/>
    <w:rsid w:val="00133A30"/>
    <w:rsid w:val="00170033"/>
    <w:rsid w:val="00196DE7"/>
    <w:rsid w:val="001B67C4"/>
    <w:rsid w:val="001C1A39"/>
    <w:rsid w:val="001D2E5E"/>
    <w:rsid w:val="002228BE"/>
    <w:rsid w:val="00245802"/>
    <w:rsid w:val="002552D3"/>
    <w:rsid w:val="002C356C"/>
    <w:rsid w:val="002C4463"/>
    <w:rsid w:val="002C71A3"/>
    <w:rsid w:val="002E1517"/>
    <w:rsid w:val="0030233B"/>
    <w:rsid w:val="00371D21"/>
    <w:rsid w:val="00422585"/>
    <w:rsid w:val="0042575D"/>
    <w:rsid w:val="00461D3D"/>
    <w:rsid w:val="004914F8"/>
    <w:rsid w:val="0049638E"/>
    <w:rsid w:val="004978F7"/>
    <w:rsid w:val="004D0D6C"/>
    <w:rsid w:val="004F3C21"/>
    <w:rsid w:val="00535E7C"/>
    <w:rsid w:val="00540FFA"/>
    <w:rsid w:val="005517B3"/>
    <w:rsid w:val="00566CF2"/>
    <w:rsid w:val="0057730D"/>
    <w:rsid w:val="00580F19"/>
    <w:rsid w:val="005A5F66"/>
    <w:rsid w:val="005D524F"/>
    <w:rsid w:val="005F645B"/>
    <w:rsid w:val="005F6A6D"/>
    <w:rsid w:val="00600700"/>
    <w:rsid w:val="00620564"/>
    <w:rsid w:val="00660039"/>
    <w:rsid w:val="00694263"/>
    <w:rsid w:val="006A7C6F"/>
    <w:rsid w:val="006B0B42"/>
    <w:rsid w:val="00736304"/>
    <w:rsid w:val="00766C18"/>
    <w:rsid w:val="00787DFA"/>
    <w:rsid w:val="0079749F"/>
    <w:rsid w:val="007D3F5B"/>
    <w:rsid w:val="00857553"/>
    <w:rsid w:val="00885970"/>
    <w:rsid w:val="008928C5"/>
    <w:rsid w:val="0089530D"/>
    <w:rsid w:val="008B7B8D"/>
    <w:rsid w:val="008C4B9F"/>
    <w:rsid w:val="008D020E"/>
    <w:rsid w:val="008D186B"/>
    <w:rsid w:val="008D27C1"/>
    <w:rsid w:val="008D3663"/>
    <w:rsid w:val="008F30C6"/>
    <w:rsid w:val="00913FB9"/>
    <w:rsid w:val="00973C20"/>
    <w:rsid w:val="00983F9A"/>
    <w:rsid w:val="00993E4A"/>
    <w:rsid w:val="00997308"/>
    <w:rsid w:val="009A4BC9"/>
    <w:rsid w:val="009A7AE5"/>
    <w:rsid w:val="009C6159"/>
    <w:rsid w:val="009D4725"/>
    <w:rsid w:val="00A21DC5"/>
    <w:rsid w:val="00A349AD"/>
    <w:rsid w:val="00A539F5"/>
    <w:rsid w:val="00AB1565"/>
    <w:rsid w:val="00AD3CE4"/>
    <w:rsid w:val="00B02548"/>
    <w:rsid w:val="00B21F0D"/>
    <w:rsid w:val="00B23833"/>
    <w:rsid w:val="00B63AF7"/>
    <w:rsid w:val="00BA4654"/>
    <w:rsid w:val="00BA74A6"/>
    <w:rsid w:val="00C53739"/>
    <w:rsid w:val="00C7342F"/>
    <w:rsid w:val="00C9395A"/>
    <w:rsid w:val="00D077B7"/>
    <w:rsid w:val="00D1657D"/>
    <w:rsid w:val="00D36E6B"/>
    <w:rsid w:val="00D374E1"/>
    <w:rsid w:val="00DB1F7E"/>
    <w:rsid w:val="00DC0ED5"/>
    <w:rsid w:val="00DC4926"/>
    <w:rsid w:val="00DD7377"/>
    <w:rsid w:val="00DD77D3"/>
    <w:rsid w:val="00DE0A65"/>
    <w:rsid w:val="00E433AF"/>
    <w:rsid w:val="00E4554B"/>
    <w:rsid w:val="00E620A6"/>
    <w:rsid w:val="00E661D4"/>
    <w:rsid w:val="00E76BBF"/>
    <w:rsid w:val="00E80EFE"/>
    <w:rsid w:val="00EA13F3"/>
    <w:rsid w:val="00ED6FC9"/>
    <w:rsid w:val="00EF70A0"/>
    <w:rsid w:val="00F000D4"/>
    <w:rsid w:val="00F01B43"/>
    <w:rsid w:val="00F27B26"/>
    <w:rsid w:val="00F47739"/>
    <w:rsid w:val="00F679D9"/>
    <w:rsid w:val="00F97277"/>
    <w:rsid w:val="00FA1A77"/>
    <w:rsid w:val="00FD1DBC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60C"/>
  <w15:chartTrackingRefBased/>
  <w15:docId w15:val="{A447BF7B-074A-43B1-91A9-7D1CAAE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E433AF"/>
    <w:pPr>
      <w:spacing w:before="100" w:beforeAutospacing="1" w:after="100" w:afterAutospacing="1"/>
      <w:jc w:val="center"/>
    </w:pPr>
    <w:rPr>
      <w:sz w:val="26"/>
      <w:szCs w:val="26"/>
      <w:lang w:eastAsia="en-US"/>
    </w:rPr>
  </w:style>
  <w:style w:type="paragraph" w:customStyle="1" w:styleId="naisf">
    <w:name w:val="naisf"/>
    <w:basedOn w:val="Normal"/>
    <w:rsid w:val="00E433AF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semiHidden/>
    <w:rsid w:val="00E433AF"/>
  </w:style>
  <w:style w:type="paragraph" w:styleId="Footer">
    <w:name w:val="footer"/>
    <w:basedOn w:val="Normal"/>
    <w:link w:val="FooterChar"/>
    <w:rsid w:val="00E433AF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E433A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433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3A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E433AF"/>
    <w:rPr>
      <w:color w:val="0563C1" w:themeColor="hyperlink"/>
      <w:u w:val="single"/>
    </w:rPr>
  </w:style>
  <w:style w:type="paragraph" w:customStyle="1" w:styleId="naisnod">
    <w:name w:val="naisnod"/>
    <w:basedOn w:val="Normal"/>
    <w:rsid w:val="00E433AF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E433AF"/>
    <w:pPr>
      <w:spacing w:before="75" w:after="75"/>
    </w:pPr>
  </w:style>
  <w:style w:type="character" w:customStyle="1" w:styleId="st1">
    <w:name w:val="st1"/>
    <w:uiPriority w:val="99"/>
    <w:rsid w:val="00E433AF"/>
  </w:style>
  <w:style w:type="paragraph" w:customStyle="1" w:styleId="tv213">
    <w:name w:val="tv213"/>
    <w:basedOn w:val="Normal"/>
    <w:rsid w:val="00E433A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1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1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5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33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m/content/?cat=55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C0A7-3256-4032-B5D9-DA6D4EC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3704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/>
  <dc:creator>Ivars Bacis</dc:creator>
  <cp:keywords/>
  <dc:description>Ivars Bācis, ivars.bacis@taiib.gov.lv, 67288178</dc:description>
  <cp:lastModifiedBy>Līga Vernera</cp:lastModifiedBy>
  <cp:revision>4</cp:revision>
  <cp:lastPrinted>2019-11-27T09:52:00Z</cp:lastPrinted>
  <dcterms:created xsi:type="dcterms:W3CDTF">2020-01-31T07:37:00Z</dcterms:created>
  <dcterms:modified xsi:type="dcterms:W3CDTF">2020-02-03T08:07:00Z</dcterms:modified>
</cp:coreProperties>
</file>