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BD1E" w14:textId="77777777" w:rsidR="00BC197B" w:rsidRPr="00812A83" w:rsidRDefault="00BC197B" w:rsidP="00BC197B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i/>
          <w:spacing w:val="0"/>
          <w:sz w:val="28"/>
          <w:szCs w:val="28"/>
        </w:rPr>
      </w:pPr>
      <w:r w:rsidRPr="00812A83">
        <w:rPr>
          <w:rFonts w:ascii="Times New Roman" w:hAnsi="Times New Roman"/>
          <w:i/>
          <w:sz w:val="28"/>
          <w:szCs w:val="28"/>
        </w:rPr>
        <w:t>Projekts</w:t>
      </w:r>
    </w:p>
    <w:p w14:paraId="744D2AF2" w14:textId="77777777" w:rsidR="00BC197B" w:rsidRPr="00812A83" w:rsidRDefault="00BC197B" w:rsidP="00BC197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12A83">
        <w:rPr>
          <w:rFonts w:ascii="Times New Roman" w:hAnsi="Times New Roman"/>
          <w:sz w:val="28"/>
          <w:szCs w:val="28"/>
        </w:rPr>
        <w:t xml:space="preserve">LATVIJAS REPUBLIKAS MINISTRU KABINETS  </w:t>
      </w:r>
    </w:p>
    <w:p w14:paraId="4F757A47" w14:textId="77777777" w:rsidR="00BC197B" w:rsidRPr="00812A83" w:rsidRDefault="00BC197B" w:rsidP="00BC197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8E0D314" w14:textId="63D37D45" w:rsidR="00BC197B" w:rsidRPr="00812A83" w:rsidRDefault="00BC197B" w:rsidP="00BC197B">
      <w:pPr>
        <w:widowControl w:val="0"/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2A83">
        <w:rPr>
          <w:rFonts w:ascii="Times New Roman" w:hAnsi="Times New Roman"/>
          <w:sz w:val="28"/>
          <w:szCs w:val="28"/>
        </w:rPr>
        <w:t>20</w:t>
      </w:r>
      <w:r w:rsidR="00A675F8">
        <w:rPr>
          <w:rFonts w:ascii="Times New Roman" w:hAnsi="Times New Roman"/>
          <w:sz w:val="28"/>
          <w:szCs w:val="28"/>
        </w:rPr>
        <w:t>20</w:t>
      </w:r>
      <w:r w:rsidRPr="00812A83">
        <w:rPr>
          <w:rFonts w:ascii="Times New Roman" w:hAnsi="Times New Roman"/>
          <w:sz w:val="28"/>
          <w:szCs w:val="28"/>
        </w:rPr>
        <w:t>.gada</w:t>
      </w:r>
      <w:r>
        <w:rPr>
          <w:rFonts w:ascii="Times New Roman" w:hAnsi="Times New Roman"/>
          <w:sz w:val="28"/>
          <w:szCs w:val="28"/>
        </w:rPr>
        <w:tab/>
      </w:r>
      <w:r w:rsidRPr="00812A83">
        <w:rPr>
          <w:rFonts w:ascii="Times New Roman" w:hAnsi="Times New Roman"/>
          <w:sz w:val="28"/>
          <w:szCs w:val="28"/>
        </w:rPr>
        <w:t>Noteikumi Nr.___</w:t>
      </w:r>
    </w:p>
    <w:p w14:paraId="140E8594" w14:textId="77777777" w:rsidR="00BC197B" w:rsidRPr="00812A83" w:rsidRDefault="00BC197B" w:rsidP="00BC197B">
      <w:pPr>
        <w:widowControl w:val="0"/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2A83">
        <w:rPr>
          <w:rFonts w:ascii="Times New Roman" w:hAnsi="Times New Roman"/>
          <w:sz w:val="28"/>
          <w:szCs w:val="28"/>
        </w:rPr>
        <w:t>Rīgā</w:t>
      </w:r>
      <w:r w:rsidRPr="00812A83">
        <w:rPr>
          <w:rFonts w:ascii="Times New Roman" w:hAnsi="Times New Roman"/>
          <w:sz w:val="28"/>
          <w:szCs w:val="28"/>
        </w:rPr>
        <w:tab/>
        <w:t xml:space="preserve">(prot. Nr._____.§) </w:t>
      </w:r>
    </w:p>
    <w:p w14:paraId="0C27340B" w14:textId="77777777" w:rsidR="00BC197B" w:rsidRDefault="00BC197B" w:rsidP="00BC197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4EF72124" w14:textId="77777777" w:rsidR="00B5226D" w:rsidRDefault="00B5226D" w:rsidP="00ED3519">
      <w:pPr>
        <w:pStyle w:val="Footer"/>
        <w:tabs>
          <w:tab w:val="left" w:pos="72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57044317" w14:textId="604194D2" w:rsidR="00ED3519" w:rsidRPr="00ED3519" w:rsidRDefault="00ED3519" w:rsidP="00ED3519">
      <w:pPr>
        <w:pStyle w:val="Footer"/>
        <w:tabs>
          <w:tab w:val="left" w:pos="72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0" w:name="_Hlk31293271"/>
      <w:r w:rsidRPr="00ED3519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A675F8">
        <w:rPr>
          <w:rFonts w:ascii="Times New Roman" w:eastAsia="Times New Roman" w:hAnsi="Times New Roman"/>
          <w:b/>
          <w:sz w:val="28"/>
          <w:szCs w:val="28"/>
          <w:lang w:eastAsia="lv-LV"/>
        </w:rPr>
        <w:t>s</w:t>
      </w:r>
      <w:r w:rsidRPr="00ED351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Ministru kabineta 201</w:t>
      </w:r>
      <w:r w:rsidR="00813D5F">
        <w:rPr>
          <w:rFonts w:ascii="Times New Roman" w:eastAsia="Times New Roman" w:hAnsi="Times New Roman"/>
          <w:b/>
          <w:sz w:val="28"/>
          <w:szCs w:val="28"/>
          <w:lang w:eastAsia="lv-LV"/>
        </w:rPr>
        <w:t>1.</w:t>
      </w:r>
      <w:r w:rsidRPr="00ED351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gada </w:t>
      </w:r>
      <w:r w:rsidR="00813D5F">
        <w:rPr>
          <w:rFonts w:ascii="Times New Roman" w:eastAsia="Times New Roman" w:hAnsi="Times New Roman"/>
          <w:b/>
          <w:sz w:val="28"/>
          <w:szCs w:val="28"/>
          <w:lang w:eastAsia="lv-LV"/>
        </w:rPr>
        <w:t>6.septembr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a</w:t>
      </w:r>
      <w:r w:rsidR="00813D5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noteikumos Nr.696</w:t>
      </w:r>
      <w:r w:rsidRPr="00ED351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„</w:t>
      </w:r>
      <w:r w:rsidR="00813D5F" w:rsidRPr="00813D5F">
        <w:rPr>
          <w:rFonts w:ascii="Times New Roman" w:hAnsi="Times New Roman"/>
          <w:b/>
          <w:sz w:val="28"/>
          <w:szCs w:val="28"/>
        </w:rPr>
        <w:t>Zemes dzīļu izmantošanas licenču un bieži sastopamo derīgo izrakteņu ieguves atļauju izsniegšanas kārtība</w:t>
      </w:r>
      <w:r w:rsidRPr="00ED3519">
        <w:rPr>
          <w:rFonts w:ascii="Times New Roman" w:eastAsia="Times New Roman" w:hAnsi="Times New Roman"/>
          <w:b/>
          <w:sz w:val="28"/>
          <w:szCs w:val="28"/>
          <w:lang w:eastAsia="lv-LV"/>
        </w:rPr>
        <w:t>”</w:t>
      </w:r>
    </w:p>
    <w:bookmarkEnd w:id="0"/>
    <w:p w14:paraId="598EB2EE" w14:textId="77777777" w:rsidR="00BC197B" w:rsidRDefault="00BC197B" w:rsidP="00BC197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52732BAD" w14:textId="77777777" w:rsidR="000F5666" w:rsidRPr="000F5666" w:rsidRDefault="000F5666" w:rsidP="000F566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0F5666">
        <w:rPr>
          <w:rFonts w:ascii="Times New Roman" w:hAnsi="Times New Roman"/>
          <w:i/>
          <w:iCs/>
          <w:sz w:val="28"/>
          <w:szCs w:val="28"/>
        </w:rPr>
        <w:t>Izdoti saskaņā ar likuma „Par zemes dzīlēm”</w:t>
      </w:r>
    </w:p>
    <w:p w14:paraId="275F762C" w14:textId="77777777" w:rsidR="000F5666" w:rsidRPr="000F5666" w:rsidRDefault="000F5666" w:rsidP="000F566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0F5666">
        <w:rPr>
          <w:rFonts w:ascii="Times New Roman" w:hAnsi="Times New Roman"/>
          <w:i/>
          <w:iCs/>
          <w:sz w:val="28"/>
          <w:szCs w:val="28"/>
        </w:rPr>
        <w:t>4. panta piektās daļas 1. punktu,</w:t>
      </w:r>
    </w:p>
    <w:p w14:paraId="14454629" w14:textId="77777777" w:rsidR="000F5666" w:rsidRPr="000F5666" w:rsidRDefault="000F5666" w:rsidP="000F566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0F5666">
        <w:rPr>
          <w:rFonts w:ascii="Times New Roman" w:hAnsi="Times New Roman"/>
          <w:i/>
          <w:iCs/>
          <w:sz w:val="28"/>
          <w:szCs w:val="28"/>
        </w:rPr>
        <w:t>5. panta ceturtās daļas 1. punktu,</w:t>
      </w:r>
    </w:p>
    <w:p w14:paraId="40A15402" w14:textId="77777777" w:rsidR="000F5666" w:rsidRPr="000F5666" w:rsidRDefault="000F5666" w:rsidP="000F566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0F5666">
        <w:rPr>
          <w:rFonts w:ascii="Times New Roman" w:hAnsi="Times New Roman"/>
          <w:i/>
          <w:iCs/>
          <w:sz w:val="28"/>
          <w:szCs w:val="28"/>
        </w:rPr>
        <w:t>10. panta pirmās daļas 1. un 3. punktu,</w:t>
      </w:r>
    </w:p>
    <w:p w14:paraId="0820A4A6" w14:textId="77777777" w:rsidR="00BC197B" w:rsidRPr="000F5666" w:rsidRDefault="000F5666" w:rsidP="000F566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0F5666">
        <w:rPr>
          <w:rFonts w:ascii="Times New Roman" w:hAnsi="Times New Roman"/>
          <w:i/>
          <w:iCs/>
          <w:sz w:val="28"/>
          <w:szCs w:val="28"/>
        </w:rPr>
        <w:t>otro, 2.</w:t>
      </w:r>
      <w:r w:rsidRPr="00A675F8">
        <w:rPr>
          <w:rFonts w:ascii="Times New Roman" w:hAnsi="Times New Roman"/>
          <w:i/>
          <w:iCs/>
          <w:sz w:val="28"/>
          <w:szCs w:val="28"/>
          <w:vertAlign w:val="superscript"/>
        </w:rPr>
        <w:t>1</w:t>
      </w:r>
      <w:r w:rsidRPr="000F5666">
        <w:rPr>
          <w:rFonts w:ascii="Times New Roman" w:hAnsi="Times New Roman"/>
          <w:i/>
          <w:iCs/>
          <w:sz w:val="28"/>
          <w:szCs w:val="28"/>
        </w:rPr>
        <w:t>, septīto, desmito un vienpadsmito daļu</w:t>
      </w:r>
    </w:p>
    <w:p w14:paraId="67593890" w14:textId="77777777" w:rsidR="000F5666" w:rsidRDefault="000F5666" w:rsidP="000F566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</w:p>
    <w:p w14:paraId="0E9D6FEE" w14:textId="7070895F" w:rsidR="006C747B" w:rsidRPr="00F30263" w:rsidRDefault="001227D4" w:rsidP="00F30263">
      <w:pPr>
        <w:pStyle w:val="tv20787921"/>
        <w:spacing w:after="0" w:line="240" w:lineRule="auto"/>
        <w:ind w:firstLine="720"/>
        <w:jc w:val="both"/>
        <w:rPr>
          <w:rFonts w:ascii="Times New Roman" w:eastAsia="WenQuanYi Micro Hei" w:hAnsi="Times New Roman"/>
          <w:b w:val="0"/>
          <w:kern w:val="3"/>
          <w:lang w:eastAsia="zh-CN" w:bidi="hi-IN"/>
        </w:rPr>
      </w:pPr>
      <w:r w:rsidRPr="00430162">
        <w:rPr>
          <w:rFonts w:ascii="Times New Roman" w:hAnsi="Times New Roman"/>
          <w:b w:val="0"/>
        </w:rPr>
        <w:t xml:space="preserve">Izdarīt Ministru kabineta </w:t>
      </w:r>
      <w:r w:rsidR="00813D5F">
        <w:rPr>
          <w:rFonts w:ascii="Times New Roman" w:hAnsi="Times New Roman"/>
          <w:b w:val="0"/>
        </w:rPr>
        <w:t>2011.gada 6.septembra noteikumos Nr.696 „</w:t>
      </w:r>
      <w:r w:rsidR="00813D5F" w:rsidRPr="00813D5F">
        <w:rPr>
          <w:rFonts w:ascii="Times New Roman" w:hAnsi="Times New Roman"/>
          <w:b w:val="0"/>
        </w:rPr>
        <w:t>Zemes dzīļu izmantošanas licenču un bieži sastopamo derīgo izrakteņu ieguves atļauju izsniegšanas kārtība”</w:t>
      </w:r>
      <w:r w:rsidRPr="00430162">
        <w:rPr>
          <w:rFonts w:ascii="Times New Roman" w:hAnsi="Times New Roman"/>
          <w:b w:val="0"/>
        </w:rPr>
        <w:t xml:space="preserve"> (Latvijas Vēstnesis, </w:t>
      </w:r>
      <w:r w:rsidR="00813D5F" w:rsidRPr="00813D5F">
        <w:rPr>
          <w:rFonts w:ascii="Times New Roman" w:hAnsi="Times New Roman"/>
          <w:b w:val="0"/>
        </w:rPr>
        <w:t>2011, 153. nr.</w:t>
      </w:r>
      <w:r w:rsidR="00813D5F">
        <w:rPr>
          <w:rFonts w:ascii="Times New Roman" w:hAnsi="Times New Roman"/>
          <w:b w:val="0"/>
        </w:rPr>
        <w:t>, 2016, 159.nr.</w:t>
      </w:r>
      <w:r w:rsidR="00A675F8">
        <w:rPr>
          <w:rFonts w:ascii="Times New Roman" w:hAnsi="Times New Roman"/>
          <w:b w:val="0"/>
        </w:rPr>
        <w:t>, 2019, 79</w:t>
      </w:r>
      <w:r w:rsidR="000852F5">
        <w:rPr>
          <w:rFonts w:ascii="Times New Roman" w:hAnsi="Times New Roman"/>
          <w:b w:val="0"/>
        </w:rPr>
        <w:t>.nr.</w:t>
      </w:r>
      <w:r w:rsidR="00813D5F" w:rsidRPr="00813D5F">
        <w:rPr>
          <w:rFonts w:ascii="Times New Roman" w:hAnsi="Times New Roman"/>
          <w:b w:val="0"/>
        </w:rPr>
        <w:t xml:space="preserve">) </w:t>
      </w:r>
      <w:r w:rsidRPr="00430162">
        <w:rPr>
          <w:rFonts w:ascii="Times New Roman" w:hAnsi="Times New Roman"/>
          <w:b w:val="0"/>
        </w:rPr>
        <w:t>grozījumu</w:t>
      </w:r>
      <w:r w:rsidR="00F30263">
        <w:rPr>
          <w:rFonts w:ascii="Times New Roman" w:hAnsi="Times New Roman"/>
          <w:b w:val="0"/>
        </w:rPr>
        <w:t xml:space="preserve"> un </w:t>
      </w:r>
      <w:bookmarkStart w:id="1" w:name="p1"/>
      <w:bookmarkStart w:id="2" w:name="p-235347"/>
      <w:bookmarkStart w:id="3" w:name="_Hlk31293413"/>
      <w:bookmarkEnd w:id="1"/>
      <w:bookmarkEnd w:id="2"/>
      <w:r w:rsidR="00F30263" w:rsidRPr="00F30263">
        <w:rPr>
          <w:rFonts w:ascii="Times New Roman" w:hAnsi="Times New Roman"/>
          <w:b w:val="0"/>
        </w:rPr>
        <w:t>p</w:t>
      </w:r>
      <w:r w:rsidR="006C747B" w:rsidRPr="00F30263">
        <w:rPr>
          <w:rFonts w:ascii="Times New Roman" w:eastAsia="WenQuanYi Micro Hei" w:hAnsi="Times New Roman"/>
          <w:b w:val="0"/>
          <w:kern w:val="3"/>
          <w:lang w:eastAsia="zh-CN" w:bidi="hi-IN"/>
        </w:rPr>
        <w:t xml:space="preserve">apildināt 58.punktu ar </w:t>
      </w:r>
      <w:r w:rsidR="007649B2" w:rsidRPr="00F30263">
        <w:rPr>
          <w:rFonts w:ascii="Times New Roman" w:eastAsia="WenQuanYi Micro Hei" w:hAnsi="Times New Roman"/>
          <w:b w:val="0"/>
          <w:kern w:val="3"/>
          <w:lang w:eastAsia="zh-CN" w:bidi="hi-IN"/>
        </w:rPr>
        <w:t xml:space="preserve">trešo </w:t>
      </w:r>
      <w:r w:rsidR="006C747B" w:rsidRPr="00F30263">
        <w:rPr>
          <w:rFonts w:ascii="Times New Roman" w:eastAsia="WenQuanYi Micro Hei" w:hAnsi="Times New Roman"/>
          <w:b w:val="0"/>
          <w:kern w:val="3"/>
          <w:lang w:eastAsia="zh-CN" w:bidi="hi-IN"/>
        </w:rPr>
        <w:t>teikumu šādā redakcijā:</w:t>
      </w:r>
    </w:p>
    <w:p w14:paraId="12140B10" w14:textId="77777777" w:rsidR="00A317C8" w:rsidRDefault="00A317C8" w:rsidP="006D4A66">
      <w:pPr>
        <w:spacing w:after="0" w:line="240" w:lineRule="auto"/>
        <w:ind w:left="-142" w:firstLine="851"/>
        <w:jc w:val="both"/>
        <w:rPr>
          <w:rFonts w:ascii="Times New Roman" w:eastAsia="WenQuanYi Micro Hei" w:hAnsi="Times New Roman"/>
          <w:spacing w:val="0"/>
          <w:kern w:val="3"/>
          <w:sz w:val="28"/>
          <w:szCs w:val="28"/>
          <w:lang w:eastAsia="zh-CN" w:bidi="hi-IN"/>
        </w:rPr>
      </w:pPr>
    </w:p>
    <w:p w14:paraId="48DBB3A2" w14:textId="7C0764E1" w:rsidR="006A2935" w:rsidRPr="006C747B" w:rsidRDefault="006C747B" w:rsidP="006D4A66">
      <w:pPr>
        <w:spacing w:after="0" w:line="240" w:lineRule="auto"/>
        <w:ind w:left="-142" w:firstLine="851"/>
        <w:jc w:val="both"/>
        <w:rPr>
          <w:rFonts w:ascii="Times New Roman" w:eastAsia="WenQuanYi Micro Hei" w:hAnsi="Times New Roman"/>
          <w:spacing w:val="0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spacing w:val="0"/>
          <w:kern w:val="3"/>
          <w:sz w:val="28"/>
          <w:szCs w:val="28"/>
          <w:lang w:eastAsia="zh-CN" w:bidi="hi-IN"/>
        </w:rPr>
        <w:t>“</w:t>
      </w:r>
      <w:r w:rsidRPr="006C747B">
        <w:rPr>
          <w:rFonts w:ascii="Times New Roman" w:eastAsia="WenQuanYi Micro Hei" w:hAnsi="Times New Roman"/>
          <w:spacing w:val="0"/>
          <w:kern w:val="3"/>
          <w:sz w:val="28"/>
          <w:szCs w:val="28"/>
          <w:lang w:eastAsia="zh-CN" w:bidi="hi-IN"/>
        </w:rPr>
        <w:t xml:space="preserve">Smilts-grants un smilts atradnē “Cēre” licences laukums nedrīkst būt mazāks par 4% no </w:t>
      </w:r>
      <w:r w:rsidR="00BD5D0D">
        <w:rPr>
          <w:rFonts w:ascii="Times New Roman" w:eastAsia="WenQuanYi Micro Hei" w:hAnsi="Times New Roman"/>
          <w:spacing w:val="0"/>
          <w:kern w:val="3"/>
          <w:sz w:val="28"/>
          <w:szCs w:val="28"/>
          <w:lang w:eastAsia="zh-CN" w:bidi="hi-IN"/>
        </w:rPr>
        <w:t xml:space="preserve">atradnes </w:t>
      </w:r>
      <w:r w:rsidRPr="006C747B">
        <w:rPr>
          <w:rFonts w:ascii="Times New Roman" w:eastAsia="WenQuanYi Micro Hei" w:hAnsi="Times New Roman"/>
          <w:spacing w:val="0"/>
          <w:kern w:val="3"/>
          <w:sz w:val="28"/>
          <w:szCs w:val="28"/>
          <w:lang w:eastAsia="zh-CN" w:bidi="hi-IN"/>
        </w:rPr>
        <w:t>neapgūtās platības, ja derīgo izrakteņu ieguves vajadzībām atradni izmanto publiskas personas kapitālsabiedrība tai noteiktā valsts pārvaldes uzdevuma veikšanai.”</w:t>
      </w:r>
    </w:p>
    <w:bookmarkEnd w:id="3"/>
    <w:p w14:paraId="2F873434" w14:textId="77777777" w:rsidR="00BC197B" w:rsidRPr="001337B6" w:rsidRDefault="00BC197B" w:rsidP="00BC197B">
      <w:pPr>
        <w:pStyle w:val="tv21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14:paraId="70EA8D5F" w14:textId="77777777" w:rsidR="00D52435" w:rsidRPr="001337B6" w:rsidRDefault="00D52435" w:rsidP="00D52435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 w:rsidRPr="001337B6">
        <w:rPr>
          <w:sz w:val="28"/>
          <w:szCs w:val="28"/>
        </w:rPr>
        <w:t>Ministru prezidents</w:t>
      </w:r>
      <w:r w:rsidRPr="001337B6">
        <w:rPr>
          <w:sz w:val="28"/>
          <w:szCs w:val="28"/>
        </w:rPr>
        <w:tab/>
      </w:r>
      <w:r w:rsidR="007B724B">
        <w:rPr>
          <w:sz w:val="28"/>
          <w:szCs w:val="28"/>
        </w:rPr>
        <w:t xml:space="preserve">A. </w:t>
      </w:r>
      <w:r>
        <w:rPr>
          <w:sz w:val="28"/>
          <w:szCs w:val="28"/>
        </w:rPr>
        <w:t>K</w:t>
      </w:r>
      <w:r w:rsidR="007B724B">
        <w:rPr>
          <w:sz w:val="28"/>
          <w:szCs w:val="28"/>
        </w:rPr>
        <w:t>.</w:t>
      </w:r>
      <w:r>
        <w:rPr>
          <w:sz w:val="28"/>
          <w:szCs w:val="28"/>
        </w:rPr>
        <w:t xml:space="preserve"> Kariņš</w:t>
      </w:r>
    </w:p>
    <w:p w14:paraId="713E7796" w14:textId="77777777" w:rsidR="00D52435" w:rsidRDefault="00D52435" w:rsidP="00D52435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14:paraId="047E9BEC" w14:textId="77777777" w:rsidR="00D52435" w:rsidRPr="001337B6" w:rsidRDefault="00D52435" w:rsidP="00073285">
      <w:pPr>
        <w:pStyle w:val="tv213"/>
        <w:shd w:val="clear" w:color="auto" w:fill="FFFFFF"/>
        <w:tabs>
          <w:tab w:val="left" w:pos="7088"/>
        </w:tabs>
        <w:contextualSpacing/>
        <w:jc w:val="both"/>
        <w:rPr>
          <w:sz w:val="28"/>
          <w:szCs w:val="28"/>
        </w:rPr>
      </w:pPr>
    </w:p>
    <w:p w14:paraId="08306BE7" w14:textId="77777777" w:rsidR="00D52435" w:rsidRPr="001337B6" w:rsidRDefault="007B724B" w:rsidP="00D52435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D52435">
        <w:rPr>
          <w:sz w:val="28"/>
          <w:szCs w:val="28"/>
        </w:rPr>
        <w:t>atiksmes</w:t>
      </w:r>
      <w:r w:rsidR="00D52435" w:rsidRPr="001337B6">
        <w:rPr>
          <w:sz w:val="28"/>
          <w:szCs w:val="28"/>
        </w:rPr>
        <w:t xml:space="preserve"> ministrs</w:t>
      </w:r>
      <w:r w:rsidR="00D52435">
        <w:rPr>
          <w:sz w:val="28"/>
          <w:szCs w:val="28"/>
        </w:rPr>
        <w:tab/>
        <w:t>T</w:t>
      </w:r>
      <w:r>
        <w:rPr>
          <w:sz w:val="28"/>
          <w:szCs w:val="28"/>
        </w:rPr>
        <w:t>.</w:t>
      </w:r>
      <w:r w:rsidR="00D52435">
        <w:rPr>
          <w:sz w:val="28"/>
          <w:szCs w:val="28"/>
        </w:rPr>
        <w:t xml:space="preserve"> Linkaits</w:t>
      </w:r>
    </w:p>
    <w:p w14:paraId="44A8351D" w14:textId="77777777" w:rsidR="00BC197B" w:rsidRPr="001337B6" w:rsidRDefault="00BC197B" w:rsidP="00BC197B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14:paraId="040A7C38" w14:textId="77777777" w:rsidR="00605C09" w:rsidRDefault="00605C09" w:rsidP="00BC197B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14:paraId="214C2C4A" w14:textId="77777777" w:rsidR="00BC197B" w:rsidRPr="001337B6" w:rsidRDefault="00BC197B" w:rsidP="00BC197B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 w:rsidRPr="001337B6">
        <w:rPr>
          <w:sz w:val="28"/>
          <w:szCs w:val="28"/>
        </w:rPr>
        <w:t>Iesniedzējs:</w:t>
      </w:r>
    </w:p>
    <w:p w14:paraId="024BD25A" w14:textId="77777777" w:rsidR="00BC197B" w:rsidRPr="001337B6" w:rsidRDefault="00BC197B" w:rsidP="00BC197B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satiksme</w:t>
      </w:r>
      <w:r w:rsidRPr="001337B6">
        <w:rPr>
          <w:sz w:val="28"/>
          <w:szCs w:val="28"/>
        </w:rPr>
        <w:t>s ministrs</w:t>
      </w:r>
      <w:r>
        <w:rPr>
          <w:sz w:val="28"/>
          <w:szCs w:val="28"/>
        </w:rPr>
        <w:tab/>
      </w:r>
      <w:r w:rsidR="00D52435">
        <w:rPr>
          <w:sz w:val="28"/>
          <w:szCs w:val="28"/>
        </w:rPr>
        <w:t>T</w:t>
      </w:r>
      <w:r w:rsidR="007B724B">
        <w:rPr>
          <w:sz w:val="28"/>
          <w:szCs w:val="28"/>
        </w:rPr>
        <w:t>.</w:t>
      </w:r>
      <w:r w:rsidR="00D52435">
        <w:rPr>
          <w:sz w:val="28"/>
          <w:szCs w:val="28"/>
        </w:rPr>
        <w:t xml:space="preserve"> Linkaits</w:t>
      </w:r>
    </w:p>
    <w:p w14:paraId="31D17467" w14:textId="77777777" w:rsidR="00BC197B" w:rsidRPr="001337B6" w:rsidRDefault="00BC197B" w:rsidP="00BC197B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14:paraId="36B349EE" w14:textId="77777777" w:rsidR="00A50047" w:rsidRDefault="006D4A66" w:rsidP="00782CC8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14:paraId="4FD13CA4" w14:textId="409AB8FE" w:rsidR="0086265B" w:rsidRDefault="006D4A66" w:rsidP="00950684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782CC8" w:rsidRPr="00782CC8">
        <w:rPr>
          <w:sz w:val="28"/>
          <w:szCs w:val="28"/>
        </w:rPr>
        <w:t>alsts sekretār</w:t>
      </w:r>
      <w:r w:rsidR="00BD5D0D">
        <w:rPr>
          <w:sz w:val="28"/>
          <w:szCs w:val="28"/>
        </w:rPr>
        <w:t>e</w:t>
      </w:r>
      <w:r w:rsidR="00782CC8" w:rsidRPr="00782CC8">
        <w:rPr>
          <w:sz w:val="28"/>
          <w:szCs w:val="28"/>
        </w:rPr>
        <w:t xml:space="preserve"> </w:t>
      </w:r>
      <w:r w:rsidR="00A50047">
        <w:rPr>
          <w:sz w:val="28"/>
          <w:szCs w:val="28"/>
        </w:rPr>
        <w:tab/>
        <w:t xml:space="preserve"> </w:t>
      </w:r>
      <w:r w:rsidR="00BD5D0D">
        <w:rPr>
          <w:sz w:val="28"/>
          <w:szCs w:val="28"/>
        </w:rPr>
        <w:t>I.Stepanova</w:t>
      </w:r>
      <w:bookmarkStart w:id="4" w:name="_GoBack"/>
      <w:bookmarkEnd w:id="4"/>
    </w:p>
    <w:p w14:paraId="45BA76F4" w14:textId="1D724569" w:rsidR="00C77C7E" w:rsidRPr="00C77C7E" w:rsidRDefault="00C77C7E" w:rsidP="00C77C7E">
      <w:pPr>
        <w:rPr>
          <w:lang w:eastAsia="lv-LV"/>
        </w:rPr>
      </w:pPr>
    </w:p>
    <w:p w14:paraId="43DD8DA8" w14:textId="25904EEF" w:rsidR="00C77C7E" w:rsidRPr="00C77C7E" w:rsidRDefault="00C77C7E" w:rsidP="00C77C7E">
      <w:pPr>
        <w:rPr>
          <w:lang w:eastAsia="lv-LV"/>
        </w:rPr>
      </w:pPr>
    </w:p>
    <w:p w14:paraId="2C30E5B1" w14:textId="77777777" w:rsidR="00C77C7E" w:rsidRPr="00C77C7E" w:rsidRDefault="00C77C7E" w:rsidP="00C77C7E">
      <w:pPr>
        <w:ind w:firstLine="720"/>
        <w:rPr>
          <w:lang w:eastAsia="lv-LV"/>
        </w:rPr>
      </w:pPr>
    </w:p>
    <w:sectPr w:rsidR="00C77C7E" w:rsidRPr="00C77C7E" w:rsidSect="006D4A66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A09E" w14:textId="77777777" w:rsidR="00AE27F3" w:rsidRDefault="00AE27F3" w:rsidP="00BC197B">
      <w:pPr>
        <w:spacing w:after="0" w:line="240" w:lineRule="auto"/>
      </w:pPr>
      <w:r>
        <w:separator/>
      </w:r>
    </w:p>
  </w:endnote>
  <w:endnote w:type="continuationSeparator" w:id="0">
    <w:p w14:paraId="5A5180D5" w14:textId="77777777" w:rsidR="00AE27F3" w:rsidRDefault="00AE27F3" w:rsidP="00BC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312A" w14:textId="77777777" w:rsidR="003E1D4E" w:rsidRPr="003E1D4E" w:rsidRDefault="003E1D4E" w:rsidP="00782CC8">
    <w:pPr>
      <w:pStyle w:val="Foo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t>SAMnot_010419_Zemes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1877" w14:textId="01C1377E" w:rsidR="006D4A66" w:rsidRPr="00782CC8" w:rsidRDefault="006D4A66" w:rsidP="006D4A66">
    <w:pPr>
      <w:pStyle w:val="Footer"/>
    </w:pPr>
    <w:r>
      <w:rPr>
        <w:rFonts w:ascii="Times New Roman" w:hAnsi="Times New Roman"/>
        <w:noProof/>
        <w:sz w:val="20"/>
        <w:szCs w:val="20"/>
      </w:rPr>
      <w:t>SMnot_</w:t>
    </w:r>
    <w:r w:rsidR="0086265B">
      <w:rPr>
        <w:rFonts w:ascii="Times New Roman" w:hAnsi="Times New Roman"/>
        <w:noProof/>
        <w:sz w:val="20"/>
        <w:szCs w:val="20"/>
      </w:rPr>
      <w:t>Cere_</w:t>
    </w:r>
    <w:r w:rsidR="00C77C7E">
      <w:rPr>
        <w:rFonts w:ascii="Times New Roman" w:hAnsi="Times New Roman"/>
        <w:noProof/>
        <w:sz w:val="20"/>
        <w:szCs w:val="20"/>
      </w:rPr>
      <w:t>14</w:t>
    </w:r>
    <w:r>
      <w:rPr>
        <w:rFonts w:ascii="Times New Roman" w:hAnsi="Times New Roman"/>
        <w:noProof/>
        <w:sz w:val="20"/>
        <w:szCs w:val="20"/>
      </w:rPr>
      <w:t>0</w:t>
    </w:r>
    <w:r w:rsidR="0086265B">
      <w:rPr>
        <w:rFonts w:ascii="Times New Roman" w:hAnsi="Times New Roman"/>
        <w:noProof/>
        <w:sz w:val="20"/>
        <w:szCs w:val="20"/>
      </w:rPr>
      <w:t>120</w:t>
    </w:r>
  </w:p>
  <w:p w14:paraId="3A8B6160" w14:textId="77777777" w:rsidR="005E3196" w:rsidRDefault="00BD5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5725" w14:textId="77777777" w:rsidR="00AE27F3" w:rsidRDefault="00AE27F3" w:rsidP="00BC197B">
      <w:pPr>
        <w:spacing w:after="0" w:line="240" w:lineRule="auto"/>
      </w:pPr>
      <w:r>
        <w:separator/>
      </w:r>
    </w:p>
  </w:footnote>
  <w:footnote w:type="continuationSeparator" w:id="0">
    <w:p w14:paraId="35B22DEF" w14:textId="77777777" w:rsidR="00AE27F3" w:rsidRDefault="00AE27F3" w:rsidP="00BC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52733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0A1B3CA6" w14:textId="77777777" w:rsidR="00FF5996" w:rsidRPr="00496BBE" w:rsidRDefault="00B25306" w:rsidP="00496BBE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496BBE">
          <w:rPr>
            <w:rFonts w:ascii="Times New Roman" w:hAnsi="Times New Roman"/>
            <w:sz w:val="20"/>
            <w:szCs w:val="20"/>
          </w:rPr>
          <w:fldChar w:fldCharType="begin"/>
        </w:r>
        <w:r w:rsidRPr="00496BB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96BBE">
          <w:rPr>
            <w:rFonts w:ascii="Times New Roman" w:hAnsi="Times New Roman"/>
            <w:sz w:val="20"/>
            <w:szCs w:val="20"/>
          </w:rPr>
          <w:fldChar w:fldCharType="separate"/>
        </w:r>
        <w:r w:rsidR="007C550D">
          <w:rPr>
            <w:rFonts w:ascii="Times New Roman" w:hAnsi="Times New Roman"/>
            <w:noProof/>
            <w:sz w:val="20"/>
            <w:szCs w:val="20"/>
          </w:rPr>
          <w:t>2</w:t>
        </w:r>
        <w:r w:rsidRPr="00496BB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8BA"/>
    <w:multiLevelType w:val="hybridMultilevel"/>
    <w:tmpl w:val="0B16A188"/>
    <w:lvl w:ilvl="0" w:tplc="12DE4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7B"/>
    <w:rsid w:val="000639F4"/>
    <w:rsid w:val="00073285"/>
    <w:rsid w:val="00075BAE"/>
    <w:rsid w:val="000816AD"/>
    <w:rsid w:val="000852F5"/>
    <w:rsid w:val="000A1AF3"/>
    <w:rsid w:val="000B51E8"/>
    <w:rsid w:val="000B6B48"/>
    <w:rsid w:val="000F5666"/>
    <w:rsid w:val="001227D4"/>
    <w:rsid w:val="001643CF"/>
    <w:rsid w:val="002654EC"/>
    <w:rsid w:val="00367165"/>
    <w:rsid w:val="003E1D4E"/>
    <w:rsid w:val="004512B8"/>
    <w:rsid w:val="004978F7"/>
    <w:rsid w:val="005C77AE"/>
    <w:rsid w:val="00605C09"/>
    <w:rsid w:val="00622FEC"/>
    <w:rsid w:val="006A2935"/>
    <w:rsid w:val="006C747B"/>
    <w:rsid w:val="006D4A66"/>
    <w:rsid w:val="007649B2"/>
    <w:rsid w:val="00782CC8"/>
    <w:rsid w:val="007B724B"/>
    <w:rsid w:val="007C550D"/>
    <w:rsid w:val="007D67DE"/>
    <w:rsid w:val="00813D5F"/>
    <w:rsid w:val="00822F24"/>
    <w:rsid w:val="00847308"/>
    <w:rsid w:val="0086265B"/>
    <w:rsid w:val="008C591E"/>
    <w:rsid w:val="008F578C"/>
    <w:rsid w:val="00932A1F"/>
    <w:rsid w:val="00950684"/>
    <w:rsid w:val="00976916"/>
    <w:rsid w:val="009A1858"/>
    <w:rsid w:val="009C4B3C"/>
    <w:rsid w:val="00A317C8"/>
    <w:rsid w:val="00A50047"/>
    <w:rsid w:val="00A675F8"/>
    <w:rsid w:val="00AE27F3"/>
    <w:rsid w:val="00B25306"/>
    <w:rsid w:val="00B5226D"/>
    <w:rsid w:val="00B5320A"/>
    <w:rsid w:val="00B818B1"/>
    <w:rsid w:val="00BC197B"/>
    <w:rsid w:val="00BC285F"/>
    <w:rsid w:val="00BD5D0D"/>
    <w:rsid w:val="00C05553"/>
    <w:rsid w:val="00C147A8"/>
    <w:rsid w:val="00C77C7E"/>
    <w:rsid w:val="00D52435"/>
    <w:rsid w:val="00D73103"/>
    <w:rsid w:val="00D93695"/>
    <w:rsid w:val="00DF0510"/>
    <w:rsid w:val="00E15F17"/>
    <w:rsid w:val="00EC46B6"/>
    <w:rsid w:val="00ED3519"/>
    <w:rsid w:val="00EE6646"/>
    <w:rsid w:val="00EF38F3"/>
    <w:rsid w:val="00F30263"/>
    <w:rsid w:val="00F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1BC25A"/>
  <w15:docId w15:val="{9B6F2B66-71E6-4B9A-8CA7-0009C4FF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7B"/>
    <w:pPr>
      <w:spacing w:after="200" w:line="276" w:lineRule="auto"/>
    </w:pPr>
    <w:rPr>
      <w:rFonts w:ascii="Calibri" w:hAnsi="Calibri" w:cs="Times New Roman"/>
      <w:spacing w:val="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BC197B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BC197B"/>
  </w:style>
  <w:style w:type="character" w:styleId="Hyperlink">
    <w:name w:val="Hyperlink"/>
    <w:basedOn w:val="DefaultParagraphFont"/>
    <w:uiPriority w:val="99"/>
    <w:unhideWhenUsed/>
    <w:rsid w:val="00BC19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7B"/>
    <w:rPr>
      <w:rFonts w:ascii="Calibri" w:hAnsi="Calibri" w:cs="Times New Roman"/>
      <w:spacing w:val="7"/>
    </w:rPr>
  </w:style>
  <w:style w:type="paragraph" w:styleId="Footer">
    <w:name w:val="footer"/>
    <w:basedOn w:val="Normal"/>
    <w:link w:val="FooterChar"/>
    <w:unhideWhenUsed/>
    <w:rsid w:val="00BC1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197B"/>
    <w:rPr>
      <w:rFonts w:ascii="Calibri" w:hAnsi="Calibri" w:cs="Times New Roman"/>
      <w:spacing w:val="7"/>
    </w:rPr>
  </w:style>
  <w:style w:type="paragraph" w:customStyle="1" w:styleId="tv20787921">
    <w:name w:val="tv207_87_921"/>
    <w:basedOn w:val="Normal"/>
    <w:rsid w:val="001227D4"/>
    <w:pPr>
      <w:spacing w:after="567" w:line="360" w:lineRule="auto"/>
      <w:jc w:val="center"/>
    </w:pPr>
    <w:rPr>
      <w:rFonts w:ascii="Verdana" w:eastAsia="Times New Roman" w:hAnsi="Verdana"/>
      <w:b/>
      <w:bCs/>
      <w:spacing w:val="0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A8"/>
    <w:rPr>
      <w:rFonts w:ascii="Segoe UI" w:hAnsi="Segoe UI" w:cs="Segoe UI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57FD-18B4-4BB4-B0CF-72E95FD6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2011.gada 6.septembra noteikumos Nr.696 „Zemes dzīļu izmantošanas licenču un bieži sastopamo derīgo izrakteņu ieguves atļauju izsniegšanas kārtība”</vt:lpstr>
      <vt:lpstr/>
    </vt:vector>
  </TitlesOfParts>
  <Company>"Latvijas autoceļu uzturētājs"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6.septembra noteikumos Nr.696 „Zemes dzīļu izmantošanas licenču un bieži sastopamo derīgo izrakteņu ieguves atļauju izsniegšanas kārtība”</dc:title>
  <dc:creator>Ivars Bacis</dc:creator>
  <cp:keywords>Noteikumu projekts</cp:keywords>
  <dc:description>67028011
ineta.vula@sam.gov.lv</dc:description>
  <cp:lastModifiedBy>Baiba Jirgena</cp:lastModifiedBy>
  <cp:revision>17</cp:revision>
  <cp:lastPrinted>2019-02-06T11:23:00Z</cp:lastPrinted>
  <dcterms:created xsi:type="dcterms:W3CDTF">2020-01-06T07:50:00Z</dcterms:created>
  <dcterms:modified xsi:type="dcterms:W3CDTF">2020-02-20T14:46:00Z</dcterms:modified>
</cp:coreProperties>
</file>