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416E" w:rsidR="00316E8B" w:rsidP="00DB7395" w:rsidRDefault="00316E8B" w14:paraId="41CBEA20" w14:textId="77777777">
      <w:pPr>
        <w:pStyle w:val="naislab"/>
        <w:spacing w:before="0" w:after="0"/>
        <w:ind w:firstLine="720"/>
        <w:rPr>
          <w:sz w:val="28"/>
          <w:szCs w:val="28"/>
        </w:rPr>
      </w:pPr>
    </w:p>
    <w:p w:rsidR="00F226F6" w:rsidP="00DB7395" w:rsidRDefault="00F226F6" w14:paraId="383F15EC" w14:textId="77777777">
      <w:pPr>
        <w:pStyle w:val="naislab"/>
        <w:spacing w:before="0" w:after="0"/>
        <w:ind w:firstLine="720"/>
        <w:rPr>
          <w:sz w:val="28"/>
          <w:szCs w:val="28"/>
        </w:rPr>
      </w:pPr>
    </w:p>
    <w:p w:rsidR="00F226F6" w:rsidP="00DB7395" w:rsidRDefault="00F226F6" w14:paraId="0C82BDF0" w14:textId="77777777">
      <w:pPr>
        <w:pStyle w:val="naislab"/>
        <w:spacing w:before="0" w:after="0"/>
        <w:ind w:firstLine="720"/>
        <w:rPr>
          <w:sz w:val="28"/>
          <w:szCs w:val="28"/>
        </w:rPr>
      </w:pPr>
    </w:p>
    <w:p w:rsidRPr="0003416E" w:rsidR="00316E8B" w:rsidP="00DB7395" w:rsidRDefault="00316E8B" w14:paraId="46E1B866" w14:textId="6738E3A9">
      <w:pPr>
        <w:pStyle w:val="naislab"/>
        <w:spacing w:before="0" w:after="0"/>
        <w:ind w:firstLine="720"/>
        <w:rPr>
          <w:sz w:val="28"/>
          <w:szCs w:val="28"/>
        </w:rPr>
      </w:pPr>
      <w:r w:rsidRPr="0003416E">
        <w:rPr>
          <w:sz w:val="28"/>
          <w:szCs w:val="28"/>
        </w:rPr>
        <w:t> </w:t>
      </w:r>
    </w:p>
    <w:p w:rsidRPr="0003416E" w:rsidR="00316E8B" w:rsidP="00C11A4E" w:rsidRDefault="00316E8B" w14:paraId="5C6BF4AC" w14:textId="77777777">
      <w:pPr>
        <w:pStyle w:val="naisnod"/>
        <w:spacing w:before="0" w:after="0"/>
        <w:ind w:firstLine="720"/>
        <w:rPr>
          <w:sz w:val="28"/>
          <w:szCs w:val="28"/>
        </w:rPr>
      </w:pPr>
      <w:r w:rsidRPr="0003416E">
        <w:rPr>
          <w:sz w:val="28"/>
          <w:szCs w:val="28"/>
        </w:rPr>
        <w:t>Izziņa par atzinumos sniegtajiem iebildumiem</w:t>
      </w:r>
    </w:p>
    <w:p w:rsidRPr="0003416E" w:rsidR="00316E8B" w:rsidP="00C11A4E" w:rsidRDefault="00316E8B" w14:paraId="34965F99" w14:textId="77777777">
      <w:pPr>
        <w:pStyle w:val="naisf"/>
        <w:spacing w:before="0" w:after="0"/>
        <w:ind w:firstLine="720"/>
        <w:jc w:val="center"/>
      </w:pPr>
    </w:p>
    <w:tbl>
      <w:tblPr>
        <w:tblW w:w="0" w:type="auto"/>
        <w:jc w:val="center"/>
        <w:tblLook w:val="00A0" w:firstRow="1" w:lastRow="0" w:firstColumn="1" w:lastColumn="0" w:noHBand="0" w:noVBand="0"/>
      </w:tblPr>
      <w:tblGrid>
        <w:gridCol w:w="10632"/>
      </w:tblGrid>
      <w:tr w:rsidRPr="0003416E" w:rsidR="00316E8B" w14:paraId="27687308" w14:textId="77777777">
        <w:trPr>
          <w:jc w:val="center"/>
        </w:trPr>
        <w:tc>
          <w:tcPr>
            <w:tcW w:w="10632" w:type="dxa"/>
            <w:tcBorders>
              <w:bottom w:val="single" w:color="000000" w:sz="6" w:space="0"/>
            </w:tcBorders>
          </w:tcPr>
          <w:p w:rsidR="00316E8B" w:rsidP="00C11A4E" w:rsidRDefault="00316E8B" w14:paraId="07DE46C1" w14:textId="77777777">
            <w:pPr>
              <w:jc w:val="center"/>
              <w:rPr>
                <w:b/>
                <w:bCs/>
                <w:sz w:val="28"/>
                <w:szCs w:val="28"/>
              </w:rPr>
            </w:pPr>
            <w:r>
              <w:rPr>
                <w:b/>
                <w:bCs/>
                <w:sz w:val="28"/>
                <w:szCs w:val="28"/>
              </w:rPr>
              <w:t>Ministru kabineta noteikumu projektu</w:t>
            </w:r>
          </w:p>
          <w:p w:rsidRPr="0003416E" w:rsidR="00316E8B" w:rsidP="003C477D" w:rsidRDefault="00316E8B" w14:paraId="754D093E" w14:textId="77777777">
            <w:pPr>
              <w:jc w:val="center"/>
              <w:rPr>
                <w:b/>
                <w:bCs/>
              </w:rPr>
            </w:pPr>
            <w:r>
              <w:rPr>
                <w:b/>
                <w:bCs/>
                <w:sz w:val="28"/>
                <w:szCs w:val="28"/>
              </w:rPr>
              <w:t>“Grozījumi Ministru kabineta 1998</w:t>
            </w:r>
            <w:r w:rsidRPr="004E567F">
              <w:rPr>
                <w:b/>
                <w:bCs/>
                <w:sz w:val="28"/>
                <w:szCs w:val="28"/>
              </w:rPr>
              <w:t xml:space="preserve">. gada </w:t>
            </w:r>
            <w:r>
              <w:rPr>
                <w:b/>
                <w:bCs/>
                <w:sz w:val="28"/>
                <w:szCs w:val="28"/>
              </w:rPr>
              <w:t>29. decembra</w:t>
            </w:r>
            <w:r w:rsidRPr="004E567F">
              <w:rPr>
                <w:b/>
                <w:bCs/>
                <w:sz w:val="28"/>
                <w:szCs w:val="28"/>
              </w:rPr>
              <w:t xml:space="preserve"> noteikumos Nr.</w:t>
            </w:r>
            <w:r>
              <w:rPr>
                <w:b/>
                <w:bCs/>
                <w:sz w:val="28"/>
                <w:szCs w:val="28"/>
              </w:rPr>
              <w:t>489</w:t>
            </w:r>
            <w:r w:rsidRPr="004E567F">
              <w:rPr>
                <w:b/>
                <w:bCs/>
                <w:sz w:val="28"/>
                <w:szCs w:val="28"/>
              </w:rPr>
              <w:t xml:space="preserve"> “Dzelzceļa </w:t>
            </w:r>
            <w:r>
              <w:rPr>
                <w:b/>
                <w:bCs/>
                <w:sz w:val="28"/>
                <w:szCs w:val="28"/>
              </w:rPr>
              <w:t>infrastruktūras (sliežu ceļu) valsts reģistrācijas un uzskaites kārtība</w:t>
            </w:r>
            <w:r w:rsidRPr="004E567F">
              <w:rPr>
                <w:b/>
                <w:bCs/>
                <w:sz w:val="28"/>
                <w:szCs w:val="28"/>
              </w:rPr>
              <w:t>”’</w:t>
            </w:r>
          </w:p>
        </w:tc>
      </w:tr>
    </w:tbl>
    <w:p w:rsidRPr="0003416E" w:rsidR="00316E8B" w:rsidP="00DB7395" w:rsidRDefault="00316E8B" w14:paraId="6D11B5C6" w14:textId="77777777">
      <w:pPr>
        <w:pStyle w:val="naisf"/>
        <w:spacing w:before="0" w:after="0"/>
        <w:ind w:firstLine="720"/>
      </w:pPr>
    </w:p>
    <w:p w:rsidRPr="0003416E" w:rsidR="00316E8B" w:rsidP="00184479" w:rsidRDefault="00316E8B" w14:paraId="5B774BCA" w14:textId="77777777">
      <w:pPr>
        <w:pStyle w:val="naisf"/>
        <w:spacing w:before="0" w:after="0"/>
        <w:ind w:firstLine="0"/>
        <w:jc w:val="center"/>
        <w:rPr>
          <w:b/>
          <w:bCs/>
        </w:rPr>
      </w:pPr>
      <w:r w:rsidRPr="0003416E">
        <w:rPr>
          <w:b/>
          <w:bCs/>
        </w:rPr>
        <w:t>I. Jautājumi, par kuriem saskaņošanā vienošanās nav panākta</w:t>
      </w:r>
    </w:p>
    <w:p w:rsidRPr="0003416E" w:rsidR="00316E8B" w:rsidP="00DB7395" w:rsidRDefault="00316E8B" w14:paraId="0AA35CBA"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03416E" w:rsidR="00316E8B" w14:paraId="03B0FCA0"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03416E" w:rsidR="00316E8B" w:rsidP="008A30D5" w:rsidRDefault="00316E8B" w14:paraId="382904F7"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18B056D1"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3FFF56A9" w14:textId="77777777">
            <w:pPr>
              <w:pStyle w:val="naisc"/>
              <w:spacing w:before="0" w:after="0"/>
              <w:ind w:right="3"/>
            </w:pPr>
            <w:r w:rsidRPr="0003416E">
              <w:t>Atzinumā norādītais ministrijas (citas institūcijas) iebildums, kā arī saskaņošanā papildus izteiktais iebildums par projekta konkrēto punktu (pantu)</w:t>
            </w:r>
          </w:p>
        </w:tc>
        <w:tc>
          <w:tcPr>
            <w:tcW w:w="2469" w:type="dxa"/>
            <w:tcBorders>
              <w:top w:val="single" w:color="000000" w:sz="6" w:space="0"/>
              <w:left w:val="single" w:color="000000" w:sz="6" w:space="0"/>
              <w:bottom w:val="single" w:color="000000" w:sz="6" w:space="0"/>
              <w:right w:val="single" w:color="000000" w:sz="6" w:space="0"/>
            </w:tcBorders>
            <w:vAlign w:val="center"/>
          </w:tcPr>
          <w:p w:rsidRPr="0003416E" w:rsidR="00316E8B" w:rsidP="00D231C2" w:rsidRDefault="00316E8B" w14:paraId="41AC56DA" w14:textId="77777777">
            <w:pPr>
              <w:pStyle w:val="naisc"/>
              <w:spacing w:before="0" w:after="0"/>
              <w:ind w:firstLine="21"/>
            </w:pPr>
            <w:r w:rsidRPr="0003416E">
              <w:t>Atbildīgās ministrijas pamatojums iebilduma noraidījumam</w:t>
            </w:r>
          </w:p>
        </w:tc>
        <w:tc>
          <w:tcPr>
            <w:tcW w:w="2301" w:type="dxa"/>
            <w:tcBorders>
              <w:top w:val="single" w:color="auto" w:sz="4" w:space="0"/>
              <w:left w:val="single" w:color="auto" w:sz="4" w:space="0"/>
              <w:bottom w:val="single" w:color="auto" w:sz="4" w:space="0"/>
              <w:right w:val="single" w:color="auto" w:sz="4" w:space="0"/>
            </w:tcBorders>
            <w:vAlign w:val="center"/>
          </w:tcPr>
          <w:p w:rsidRPr="0003416E" w:rsidR="00316E8B" w:rsidP="00364BB6" w:rsidRDefault="00316E8B" w14:paraId="0B8CD1A6" w14:textId="77777777">
            <w:pPr>
              <w:jc w:val="center"/>
            </w:pPr>
            <w:r w:rsidRPr="0003416E">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vAlign w:val="center"/>
          </w:tcPr>
          <w:p w:rsidRPr="0003416E" w:rsidR="00316E8B" w:rsidP="00364BB6" w:rsidRDefault="00316E8B" w14:paraId="345388B9" w14:textId="77777777">
            <w:pPr>
              <w:jc w:val="center"/>
            </w:pPr>
            <w:r w:rsidRPr="0003416E">
              <w:t>Projekta attiecīgā punkta (panta) galīgā redakcija</w:t>
            </w:r>
          </w:p>
        </w:tc>
      </w:tr>
      <w:tr w:rsidRPr="0003416E" w:rsidR="00316E8B" w14:paraId="50CC42BD" w14:textId="77777777">
        <w:tc>
          <w:tcPr>
            <w:tcW w:w="817" w:type="dxa"/>
            <w:tcBorders>
              <w:top w:val="single" w:color="000000" w:sz="6" w:space="0"/>
              <w:left w:val="single" w:color="000000" w:sz="6" w:space="0"/>
              <w:bottom w:val="single" w:color="auto" w:sz="4" w:space="0"/>
              <w:right w:val="single" w:color="000000" w:sz="6" w:space="0"/>
            </w:tcBorders>
          </w:tcPr>
          <w:p w:rsidRPr="0003416E" w:rsidR="00316E8B" w:rsidP="008A30D5" w:rsidRDefault="00316E8B" w14:paraId="37D82A51"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7ADC34FF"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6CEA1717" w14:textId="77777777">
            <w:pPr>
              <w:pStyle w:val="naisc"/>
              <w:spacing w:before="0" w:after="0"/>
              <w:ind w:firstLine="720"/>
              <w:rPr>
                <w:sz w:val="20"/>
                <w:szCs w:val="20"/>
              </w:rPr>
            </w:pPr>
            <w:r w:rsidRPr="0003416E">
              <w:rPr>
                <w:sz w:val="20"/>
                <w:szCs w:val="20"/>
              </w:rPr>
              <w:t>3</w:t>
            </w:r>
          </w:p>
        </w:tc>
        <w:tc>
          <w:tcPr>
            <w:tcW w:w="2469" w:type="dxa"/>
            <w:tcBorders>
              <w:top w:val="single" w:color="000000" w:sz="6" w:space="0"/>
              <w:left w:val="single" w:color="000000" w:sz="6" w:space="0"/>
              <w:bottom w:val="single" w:color="auto" w:sz="4" w:space="0"/>
              <w:right w:val="single" w:color="000000" w:sz="6" w:space="0"/>
            </w:tcBorders>
          </w:tcPr>
          <w:p w:rsidRPr="0003416E" w:rsidR="00316E8B" w:rsidP="00D231C2" w:rsidRDefault="00316E8B" w14:paraId="6B84C251"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tcPr>
          <w:p w:rsidRPr="0003416E" w:rsidR="00316E8B" w:rsidP="008A36C9" w:rsidRDefault="00316E8B" w14:paraId="5F1F8C18" w14:textId="77777777">
            <w:pPr>
              <w:jc w:val="center"/>
              <w:rPr>
                <w:sz w:val="20"/>
                <w:szCs w:val="20"/>
              </w:rPr>
            </w:pPr>
            <w:r w:rsidRPr="0003416E">
              <w:rPr>
                <w:sz w:val="20"/>
                <w:szCs w:val="20"/>
              </w:rPr>
              <w:t>5</w:t>
            </w:r>
          </w:p>
        </w:tc>
        <w:tc>
          <w:tcPr>
            <w:tcW w:w="2660" w:type="dxa"/>
            <w:tcBorders>
              <w:top w:val="single" w:color="auto" w:sz="4" w:space="0"/>
              <w:left w:val="single" w:color="auto" w:sz="4" w:space="0"/>
              <w:bottom w:val="single" w:color="auto" w:sz="4" w:space="0"/>
            </w:tcBorders>
          </w:tcPr>
          <w:p w:rsidRPr="0003416E" w:rsidR="00316E8B" w:rsidP="008A36C9" w:rsidRDefault="00316E8B" w14:paraId="584E597F" w14:textId="77777777">
            <w:pPr>
              <w:jc w:val="center"/>
              <w:rPr>
                <w:sz w:val="20"/>
                <w:szCs w:val="20"/>
              </w:rPr>
            </w:pPr>
            <w:r w:rsidRPr="0003416E">
              <w:rPr>
                <w:sz w:val="20"/>
                <w:szCs w:val="20"/>
              </w:rPr>
              <w:t>6</w:t>
            </w:r>
          </w:p>
        </w:tc>
      </w:tr>
    </w:tbl>
    <w:p w:rsidRPr="0003416E" w:rsidR="00316E8B" w:rsidP="007B4C0F" w:rsidRDefault="00316E8B" w14:paraId="47293230" w14:textId="77777777">
      <w:pPr>
        <w:pStyle w:val="naisf"/>
        <w:spacing w:before="0" w:after="0"/>
        <w:ind w:firstLine="0"/>
      </w:pPr>
    </w:p>
    <w:p w:rsidRPr="0003416E" w:rsidR="00316E8B" w:rsidP="005D67F7" w:rsidRDefault="00316E8B" w14:paraId="12773A00" w14:textId="77777777">
      <w:pPr>
        <w:pStyle w:val="naisf"/>
        <w:spacing w:before="0" w:after="0"/>
        <w:ind w:firstLine="0"/>
        <w:rPr>
          <w:b/>
          <w:bCs/>
        </w:rPr>
      </w:pPr>
    </w:p>
    <w:p w:rsidRPr="0003416E" w:rsidR="00316E8B" w:rsidP="005D67F7" w:rsidRDefault="00316E8B" w14:paraId="02F8CE52" w14:textId="77777777">
      <w:pPr>
        <w:pStyle w:val="naisf"/>
        <w:spacing w:before="0" w:after="0"/>
        <w:ind w:firstLine="0"/>
        <w:rPr>
          <w:b/>
          <w:bCs/>
        </w:rPr>
      </w:pPr>
      <w:r w:rsidRPr="0003416E">
        <w:rPr>
          <w:b/>
          <w:bCs/>
        </w:rPr>
        <w:t>Informācija par elektronisko saskaņošanu</w:t>
      </w:r>
    </w:p>
    <w:p w:rsidR="00316E8B" w:rsidP="005D67F7" w:rsidRDefault="00316E8B" w14:paraId="1E0FDBBC" w14:textId="77777777">
      <w:pPr>
        <w:pStyle w:val="naisf"/>
        <w:spacing w:before="0" w:after="0"/>
        <w:ind w:firstLine="0"/>
        <w:rPr>
          <w:b/>
          <w:bCs/>
        </w:rPr>
      </w:pPr>
    </w:p>
    <w:p w:rsidRPr="0003416E" w:rsidR="00316E8B" w:rsidP="005D67F7" w:rsidRDefault="00316E8B" w14:paraId="616D7AC3" w14:textId="77777777">
      <w:pPr>
        <w:pStyle w:val="naisf"/>
        <w:spacing w:before="0" w:after="0"/>
        <w:ind w:firstLine="0"/>
        <w:rPr>
          <w:b/>
          <w:bCs/>
        </w:rPr>
      </w:pPr>
    </w:p>
    <w:tbl>
      <w:tblPr>
        <w:tblW w:w="14508" w:type="dxa"/>
        <w:tblLook w:val="00A0" w:firstRow="1" w:lastRow="0" w:firstColumn="1" w:lastColumn="0" w:noHBand="0" w:noVBand="0"/>
      </w:tblPr>
      <w:tblGrid>
        <w:gridCol w:w="6340"/>
        <w:gridCol w:w="363"/>
        <w:gridCol w:w="839"/>
        <w:gridCol w:w="6966"/>
      </w:tblGrid>
      <w:tr w:rsidRPr="00F435C8" w:rsidR="00316E8B" w:rsidTr="006752CA" w14:paraId="1F303259" w14:textId="77777777">
        <w:trPr>
          <w:trHeight w:val="272"/>
        </w:trPr>
        <w:tc>
          <w:tcPr>
            <w:tcW w:w="6340" w:type="dxa"/>
          </w:tcPr>
          <w:p w:rsidRPr="0061004F" w:rsidR="00316E8B" w:rsidP="0061004F" w:rsidRDefault="00316E8B" w14:paraId="400B75EA" w14:textId="77777777">
            <w:pPr>
              <w:pStyle w:val="naisf"/>
              <w:spacing w:before="0" w:after="0"/>
              <w:ind w:firstLine="0"/>
            </w:pPr>
            <w:r w:rsidRPr="0061004F">
              <w:t>Datums</w:t>
            </w:r>
          </w:p>
        </w:tc>
        <w:tc>
          <w:tcPr>
            <w:tcW w:w="8168" w:type="dxa"/>
            <w:gridSpan w:val="3"/>
            <w:tcBorders>
              <w:bottom w:val="single" w:color="auto" w:sz="4" w:space="0"/>
            </w:tcBorders>
          </w:tcPr>
          <w:p w:rsidRPr="00C11A4E" w:rsidR="00316E8B" w:rsidP="00F435C8" w:rsidRDefault="00316E8B" w14:paraId="12B75B24" w14:textId="72CA1628">
            <w:pPr>
              <w:pStyle w:val="NormalWeb"/>
              <w:spacing w:before="0" w:beforeAutospacing="0" w:after="0" w:afterAutospacing="0"/>
              <w:ind w:firstLine="720"/>
              <w:jc w:val="both"/>
              <w:rPr>
                <w:highlight w:val="magenta"/>
              </w:rPr>
            </w:pPr>
            <w:r w:rsidRPr="006752CA">
              <w:t>02.01.2020.</w:t>
            </w:r>
          </w:p>
        </w:tc>
      </w:tr>
      <w:tr w:rsidRPr="00F435C8" w:rsidR="00316E8B" w:rsidTr="006752CA" w14:paraId="39C7E0C3" w14:textId="77777777">
        <w:trPr>
          <w:trHeight w:val="1402"/>
        </w:trPr>
        <w:tc>
          <w:tcPr>
            <w:tcW w:w="6340" w:type="dxa"/>
          </w:tcPr>
          <w:p w:rsidRPr="00F435C8" w:rsidR="00316E8B" w:rsidP="00F435C8" w:rsidRDefault="00316E8B" w14:paraId="170831A3" w14:textId="77777777">
            <w:pPr>
              <w:pStyle w:val="naiskr"/>
              <w:spacing w:before="0" w:after="0"/>
              <w:jc w:val="both"/>
            </w:pPr>
            <w:r w:rsidRPr="00F435C8">
              <w:t>Saskaņošanas dalībnieki</w:t>
            </w:r>
          </w:p>
          <w:p w:rsidRPr="00F435C8" w:rsidR="00316E8B" w:rsidP="00F435C8" w:rsidRDefault="00316E8B" w14:paraId="3065019F" w14:textId="77777777">
            <w:pPr>
              <w:tabs>
                <w:tab w:val="left" w:pos="1440"/>
              </w:tabs>
              <w:jc w:val="both"/>
            </w:pPr>
          </w:p>
        </w:tc>
        <w:tc>
          <w:tcPr>
            <w:tcW w:w="8168" w:type="dxa"/>
            <w:gridSpan w:val="3"/>
          </w:tcPr>
          <w:p w:rsidRPr="00DD337A" w:rsidR="00316E8B" w:rsidP="007C25AF" w:rsidRDefault="00316E8B" w14:paraId="2DFC0E93" w14:textId="77777777">
            <w:pPr>
              <w:pStyle w:val="NormalWeb"/>
              <w:jc w:val="both"/>
            </w:pPr>
            <w:r w:rsidRPr="00DD337A">
              <w:t>Finanšu ministrija, Tieslietu ministrija,</w:t>
            </w:r>
            <w:r>
              <w:t xml:space="preserve"> </w:t>
            </w:r>
            <w:r w:rsidRPr="00DD337A">
              <w:t>Latvijas Brīvo arodbiedrību savienība.</w:t>
            </w:r>
          </w:p>
        </w:tc>
      </w:tr>
      <w:tr w:rsidRPr="00F435C8" w:rsidR="00316E8B" w:rsidTr="006752CA" w14:paraId="5352B79E" w14:textId="77777777">
        <w:trPr>
          <w:trHeight w:val="278"/>
        </w:trPr>
        <w:tc>
          <w:tcPr>
            <w:tcW w:w="6340" w:type="dxa"/>
          </w:tcPr>
          <w:p w:rsidRPr="00DD337A" w:rsidR="00316E8B" w:rsidP="00F435C8" w:rsidRDefault="00316E8B" w14:paraId="44067DFE" w14:textId="77777777">
            <w:pPr>
              <w:pStyle w:val="naiskr"/>
              <w:spacing w:before="0" w:after="0"/>
              <w:jc w:val="both"/>
            </w:pPr>
            <w:r w:rsidRPr="00DD337A">
              <w:t>Saskaņošanas dalībnieki izskatīja šādu ministriju (citu institūciju) iebildumus un priekšlikumus</w:t>
            </w:r>
          </w:p>
        </w:tc>
        <w:tc>
          <w:tcPr>
            <w:tcW w:w="1202" w:type="dxa"/>
            <w:gridSpan w:val="2"/>
          </w:tcPr>
          <w:p w:rsidRPr="00DD337A" w:rsidR="00316E8B" w:rsidP="00F435C8" w:rsidRDefault="00316E8B" w14:paraId="481C5B5B" w14:textId="77777777">
            <w:pPr>
              <w:pStyle w:val="naiskr"/>
              <w:spacing w:before="0" w:after="0"/>
              <w:ind w:firstLine="720"/>
              <w:jc w:val="both"/>
            </w:pPr>
          </w:p>
        </w:tc>
        <w:tc>
          <w:tcPr>
            <w:tcW w:w="6966" w:type="dxa"/>
          </w:tcPr>
          <w:p w:rsidRPr="00DD337A" w:rsidR="00316E8B" w:rsidP="00F435C8" w:rsidRDefault="00316E8B" w14:paraId="02E982FC" w14:textId="77777777">
            <w:pPr>
              <w:pStyle w:val="naiskr"/>
              <w:spacing w:before="0" w:after="0"/>
              <w:ind w:firstLine="12"/>
              <w:jc w:val="both"/>
            </w:pPr>
          </w:p>
        </w:tc>
      </w:tr>
      <w:tr w:rsidRPr="00F435C8" w:rsidR="00316E8B" w:rsidTr="006752CA" w14:paraId="66B76ADB" w14:textId="77777777">
        <w:trPr>
          <w:trHeight w:val="454"/>
        </w:trPr>
        <w:tc>
          <w:tcPr>
            <w:tcW w:w="6340" w:type="dxa"/>
          </w:tcPr>
          <w:p w:rsidRPr="00DD337A" w:rsidR="00316E8B" w:rsidP="00F435C8" w:rsidRDefault="00316E8B" w14:paraId="275AF97A" w14:textId="77777777">
            <w:pPr>
              <w:pStyle w:val="naiskr"/>
              <w:spacing w:before="0" w:after="0"/>
              <w:ind w:firstLine="720"/>
              <w:jc w:val="both"/>
            </w:pPr>
            <w:r w:rsidRPr="00DD337A">
              <w:t>  </w:t>
            </w:r>
          </w:p>
        </w:tc>
        <w:tc>
          <w:tcPr>
            <w:tcW w:w="8168" w:type="dxa"/>
            <w:gridSpan w:val="3"/>
            <w:tcBorders>
              <w:top w:val="single" w:color="000000" w:sz="6" w:space="0"/>
              <w:bottom w:val="single" w:color="000000" w:sz="6" w:space="0"/>
            </w:tcBorders>
          </w:tcPr>
          <w:p w:rsidRPr="00DD337A" w:rsidR="00316E8B" w:rsidP="0061004F" w:rsidRDefault="00316E8B" w14:paraId="682175F7" w14:textId="77777777">
            <w:pPr>
              <w:pStyle w:val="NormalWeb"/>
              <w:spacing w:before="0" w:beforeAutospacing="0" w:after="0" w:afterAutospacing="0"/>
              <w:jc w:val="both"/>
            </w:pPr>
            <w:r>
              <w:t>Tieslietu ministrija.</w:t>
            </w:r>
          </w:p>
        </w:tc>
      </w:tr>
      <w:tr w:rsidRPr="00F435C8" w:rsidR="00316E8B" w:rsidTr="006752CA" w14:paraId="6AA96D93" w14:textId="77777777">
        <w:trPr>
          <w:trHeight w:val="454"/>
        </w:trPr>
        <w:tc>
          <w:tcPr>
            <w:tcW w:w="14508" w:type="dxa"/>
            <w:gridSpan w:val="4"/>
          </w:tcPr>
          <w:p w:rsidRPr="00DD337A" w:rsidR="00316E8B" w:rsidP="00F435C8" w:rsidRDefault="00316E8B" w14:paraId="258B4381" w14:textId="77777777">
            <w:pPr>
              <w:pStyle w:val="naisc"/>
              <w:spacing w:before="0" w:after="0"/>
              <w:jc w:val="both"/>
            </w:pPr>
          </w:p>
        </w:tc>
      </w:tr>
      <w:tr w:rsidRPr="00F435C8" w:rsidR="00316E8B" w:rsidTr="006752CA" w14:paraId="595096D3" w14:textId="77777777">
        <w:trPr>
          <w:trHeight w:val="807"/>
        </w:trPr>
        <w:tc>
          <w:tcPr>
            <w:tcW w:w="6703" w:type="dxa"/>
            <w:gridSpan w:val="2"/>
          </w:tcPr>
          <w:p w:rsidRPr="00DD337A" w:rsidR="00316E8B" w:rsidP="00F435C8" w:rsidRDefault="00316E8B" w14:paraId="00DD85B6" w14:textId="77777777">
            <w:pPr>
              <w:pStyle w:val="naiskr"/>
              <w:spacing w:before="0" w:after="0"/>
              <w:jc w:val="both"/>
            </w:pPr>
            <w:r w:rsidRPr="00DD337A">
              <w:t>Ministrijas (citas institūcijas), kuras nav ieradušās uz sanāksmi vai kuras nav atbildējušas uz uzaicinājumu piedalīties elektroniskajā saskaņošanā</w:t>
            </w:r>
          </w:p>
        </w:tc>
        <w:tc>
          <w:tcPr>
            <w:tcW w:w="7805" w:type="dxa"/>
            <w:gridSpan w:val="2"/>
          </w:tcPr>
          <w:p w:rsidRPr="00DD337A" w:rsidR="00316E8B" w:rsidP="00F435C8" w:rsidRDefault="00316E8B" w14:paraId="4D5F3A68" w14:textId="77777777">
            <w:pPr>
              <w:pStyle w:val="naiskr"/>
              <w:spacing w:before="0" w:after="0"/>
              <w:jc w:val="both"/>
            </w:pPr>
          </w:p>
        </w:tc>
      </w:tr>
      <w:tr w:rsidRPr="00F435C8" w:rsidR="00316E8B" w:rsidTr="006752CA" w14:paraId="5182EE5C" w14:textId="77777777">
        <w:trPr>
          <w:trHeight w:val="262"/>
        </w:trPr>
        <w:tc>
          <w:tcPr>
            <w:tcW w:w="6703" w:type="dxa"/>
            <w:gridSpan w:val="2"/>
          </w:tcPr>
          <w:p w:rsidRPr="00DD337A" w:rsidR="00316E8B" w:rsidP="00F435C8" w:rsidRDefault="00316E8B" w14:paraId="03B7094D" w14:textId="77777777">
            <w:pPr>
              <w:pStyle w:val="naiskr"/>
              <w:spacing w:before="0" w:after="0"/>
              <w:ind w:firstLine="720"/>
              <w:jc w:val="both"/>
            </w:pPr>
            <w:r w:rsidRPr="00DD337A">
              <w:t>  </w:t>
            </w:r>
          </w:p>
        </w:tc>
        <w:tc>
          <w:tcPr>
            <w:tcW w:w="7805" w:type="dxa"/>
            <w:gridSpan w:val="2"/>
            <w:tcBorders>
              <w:top w:val="single" w:color="000000" w:sz="6" w:space="0"/>
              <w:bottom w:val="single" w:color="000000" w:sz="6" w:space="0"/>
            </w:tcBorders>
          </w:tcPr>
          <w:p w:rsidRPr="00DD337A" w:rsidR="00316E8B" w:rsidP="0061004F" w:rsidRDefault="00316E8B" w14:paraId="1FEC90FD" w14:textId="77777777">
            <w:pPr>
              <w:pStyle w:val="naiskr"/>
              <w:spacing w:before="0" w:after="0"/>
              <w:jc w:val="both"/>
            </w:pPr>
          </w:p>
        </w:tc>
      </w:tr>
      <w:tr w:rsidRPr="00DD337A" w:rsidR="00316E8B" w:rsidTr="006752CA" w14:paraId="2453672F" w14:textId="77777777">
        <w:trPr>
          <w:gridAfter w:val="2"/>
          <w:wAfter w:w="7805" w:type="dxa"/>
          <w:trHeight w:val="262"/>
        </w:trPr>
        <w:tc>
          <w:tcPr>
            <w:tcW w:w="6703" w:type="dxa"/>
            <w:gridSpan w:val="2"/>
          </w:tcPr>
          <w:p w:rsidRPr="00DD337A" w:rsidR="00316E8B" w:rsidP="00F435C8" w:rsidRDefault="00316E8B" w14:paraId="26FF1EF5" w14:textId="77777777">
            <w:pPr>
              <w:pStyle w:val="naiskr"/>
              <w:spacing w:before="0" w:after="0"/>
              <w:ind w:firstLine="720"/>
              <w:jc w:val="both"/>
            </w:pPr>
            <w:r w:rsidRPr="00DD337A">
              <w:lastRenderedPageBreak/>
              <w:t>  </w:t>
            </w:r>
          </w:p>
        </w:tc>
      </w:tr>
    </w:tbl>
    <w:p w:rsidRPr="00F435C8" w:rsidR="00316E8B" w:rsidP="0061004F" w:rsidRDefault="00316E8B" w14:paraId="2EAA492C" w14:textId="77777777">
      <w:pPr>
        <w:pStyle w:val="naisf"/>
        <w:spacing w:before="0" w:after="0"/>
        <w:ind w:firstLine="720"/>
      </w:pPr>
    </w:p>
    <w:p w:rsidRPr="00F435C8" w:rsidR="00316E8B" w:rsidP="009011C4" w:rsidRDefault="00316E8B" w14:paraId="55C5E151" w14:textId="77777777">
      <w:pPr>
        <w:pStyle w:val="naisf"/>
        <w:spacing w:before="0" w:after="0"/>
        <w:ind w:firstLine="0"/>
        <w:jc w:val="center"/>
        <w:rPr>
          <w:b/>
          <w:bCs/>
        </w:rPr>
      </w:pPr>
      <w:r w:rsidRPr="00F435C8">
        <w:rPr>
          <w:b/>
          <w:bCs/>
        </w:rPr>
        <w:t>II. Jautājumi, par kuriem saskaņošanā vienošanās ir panākta</w:t>
      </w:r>
    </w:p>
    <w:tbl>
      <w:tblPr>
        <w:tblW w:w="14658"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35"/>
        <w:gridCol w:w="2835"/>
        <w:gridCol w:w="4111"/>
        <w:gridCol w:w="2551"/>
        <w:gridCol w:w="4026"/>
      </w:tblGrid>
      <w:tr w:rsidRPr="00F435C8" w:rsidR="00316E8B" w:rsidTr="006752CA" w14:paraId="3655906A" w14:textId="77777777">
        <w:tc>
          <w:tcPr>
            <w:tcW w:w="1135"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2361D371" w14:textId="77777777">
            <w:pPr>
              <w:pStyle w:val="naisc"/>
              <w:spacing w:before="0" w:after="0"/>
              <w:jc w:val="both"/>
            </w:pPr>
            <w:r w:rsidRPr="00F435C8">
              <w:t>Nr. p.k.</w:t>
            </w:r>
          </w:p>
        </w:tc>
        <w:tc>
          <w:tcPr>
            <w:tcW w:w="2835"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7AF968EB" w14:textId="77777777">
            <w:pPr>
              <w:pStyle w:val="naisc"/>
              <w:spacing w:before="0" w:after="0"/>
              <w:ind w:firstLine="12"/>
              <w:jc w:val="both"/>
            </w:pPr>
            <w:r w:rsidRPr="00F435C8">
              <w:t>Saskaņošanai nosūtītā projekta redakcija (konkrēta punkta (panta) redakcija)</w:t>
            </w:r>
          </w:p>
        </w:tc>
        <w:tc>
          <w:tcPr>
            <w:tcW w:w="4111"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4D3AFB87"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2551" w:type="dxa"/>
            <w:tcBorders>
              <w:top w:val="single" w:color="000000" w:sz="6" w:space="0"/>
              <w:left w:val="single" w:color="000000" w:sz="6" w:space="0"/>
              <w:bottom w:val="single" w:color="000000" w:sz="6" w:space="0"/>
              <w:right w:val="single" w:color="000000" w:sz="6" w:space="0"/>
            </w:tcBorders>
            <w:vAlign w:val="center"/>
          </w:tcPr>
          <w:p w:rsidRPr="00F435C8" w:rsidR="00316E8B" w:rsidP="00F435C8" w:rsidRDefault="00316E8B" w14:paraId="6AD04321" w14:textId="77777777">
            <w:pPr>
              <w:pStyle w:val="naisc"/>
              <w:spacing w:before="0" w:after="0"/>
              <w:ind w:firstLine="21"/>
              <w:jc w:val="both"/>
            </w:pPr>
            <w:r w:rsidRPr="00F435C8">
              <w:t>Atbildīgās ministrijas norāde par to, ka iebildums ir ņemts vērā, vai informācija par saskaņošanā panākto alternatīvo risinājumu</w:t>
            </w:r>
          </w:p>
        </w:tc>
        <w:tc>
          <w:tcPr>
            <w:tcW w:w="4026" w:type="dxa"/>
            <w:tcBorders>
              <w:top w:val="single" w:color="auto" w:sz="4" w:space="0"/>
              <w:left w:val="single" w:color="auto" w:sz="4" w:space="0"/>
              <w:bottom w:val="single" w:color="auto" w:sz="4" w:space="0"/>
            </w:tcBorders>
            <w:vAlign w:val="center"/>
          </w:tcPr>
          <w:p w:rsidRPr="00F435C8" w:rsidR="00316E8B" w:rsidP="00F435C8" w:rsidRDefault="00316E8B" w14:paraId="52AC4811" w14:textId="77777777">
            <w:pPr>
              <w:jc w:val="both"/>
            </w:pPr>
            <w:r w:rsidRPr="00F435C8">
              <w:t>Projekta attiecīgā punkta (panta) galīgā redakcija</w:t>
            </w:r>
          </w:p>
        </w:tc>
      </w:tr>
      <w:tr w:rsidRPr="00F435C8" w:rsidR="00316E8B" w:rsidTr="006752CA" w14:paraId="583D2B94" w14:textId="77777777">
        <w:trPr>
          <w:trHeight w:val="411"/>
        </w:trPr>
        <w:tc>
          <w:tcPr>
            <w:tcW w:w="1135"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0B91FCFD" w14:textId="77777777">
            <w:pPr>
              <w:pStyle w:val="naisc"/>
              <w:spacing w:before="0" w:after="0"/>
            </w:pPr>
            <w:r w:rsidRPr="00F435C8">
              <w:t>1</w:t>
            </w:r>
          </w:p>
        </w:tc>
        <w:tc>
          <w:tcPr>
            <w:tcW w:w="2835"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7AA33E83" w14:textId="77777777">
            <w:pPr>
              <w:pStyle w:val="naisc"/>
              <w:spacing w:before="0" w:after="0"/>
            </w:pPr>
            <w:r w:rsidRPr="00F435C8">
              <w:t>2</w:t>
            </w:r>
          </w:p>
        </w:tc>
        <w:tc>
          <w:tcPr>
            <w:tcW w:w="4111"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63A2282A" w14:textId="77777777">
            <w:pPr>
              <w:pStyle w:val="naisc"/>
              <w:spacing w:before="0" w:after="0"/>
            </w:pPr>
            <w:r w:rsidRPr="00F435C8">
              <w:t>3</w:t>
            </w:r>
          </w:p>
        </w:tc>
        <w:tc>
          <w:tcPr>
            <w:tcW w:w="2551" w:type="dxa"/>
            <w:tcBorders>
              <w:top w:val="single" w:color="000000" w:sz="6" w:space="0"/>
              <w:left w:val="single" w:color="000000" w:sz="6" w:space="0"/>
              <w:bottom w:val="single" w:color="000000" w:sz="6" w:space="0"/>
              <w:right w:val="single" w:color="000000" w:sz="6" w:space="0"/>
            </w:tcBorders>
          </w:tcPr>
          <w:p w:rsidRPr="00F435C8" w:rsidR="00316E8B" w:rsidP="00A174C7" w:rsidRDefault="00316E8B" w14:paraId="5EEBC7C5" w14:textId="77777777">
            <w:pPr>
              <w:pStyle w:val="naisc"/>
              <w:spacing w:before="0" w:after="0"/>
              <w:ind w:firstLine="34"/>
            </w:pPr>
            <w:r w:rsidRPr="00F435C8">
              <w:t>4</w:t>
            </w:r>
          </w:p>
        </w:tc>
        <w:tc>
          <w:tcPr>
            <w:tcW w:w="4026" w:type="dxa"/>
            <w:tcBorders>
              <w:top w:val="single" w:color="auto" w:sz="4" w:space="0"/>
              <w:left w:val="single" w:color="auto" w:sz="4" w:space="0"/>
              <w:bottom w:val="single" w:color="auto" w:sz="4" w:space="0"/>
            </w:tcBorders>
          </w:tcPr>
          <w:p w:rsidRPr="00F435C8" w:rsidR="00316E8B" w:rsidP="00A174C7" w:rsidRDefault="00316E8B" w14:paraId="165BBBB7" w14:textId="77777777">
            <w:pPr>
              <w:jc w:val="center"/>
            </w:pPr>
            <w:r w:rsidRPr="00F435C8">
              <w:t>5</w:t>
            </w:r>
          </w:p>
        </w:tc>
      </w:tr>
      <w:tr w:rsidRPr="00F435C8" w:rsidR="00316E8B" w:rsidTr="006752CA" w14:paraId="30AD2E79" w14:textId="77777777">
        <w:tc>
          <w:tcPr>
            <w:tcW w:w="14658" w:type="dxa"/>
            <w:gridSpan w:val="5"/>
            <w:tcBorders>
              <w:left w:val="single" w:color="000000" w:sz="6" w:space="0"/>
              <w:bottom w:val="single" w:color="auto" w:sz="4" w:space="0"/>
            </w:tcBorders>
          </w:tcPr>
          <w:p w:rsidRPr="00C258B3" w:rsidR="00316E8B" w:rsidP="00A174C7" w:rsidRDefault="00316E8B" w14:paraId="3DBDAD46" w14:textId="77777777">
            <w:pPr>
              <w:jc w:val="center"/>
              <w:rPr>
                <w:b/>
                <w:bCs/>
              </w:rPr>
            </w:pPr>
            <w:bookmarkStart w:name="_Hlk27570323" w:id="0"/>
            <w:r>
              <w:rPr>
                <w:b/>
                <w:bCs/>
              </w:rPr>
              <w:t>Tieslietu ministrija</w:t>
            </w:r>
          </w:p>
        </w:tc>
      </w:tr>
      <w:bookmarkEnd w:id="0"/>
      <w:tr w:rsidRPr="00F435C8" w:rsidR="00316E8B" w:rsidTr="006752CA" w14:paraId="493B9A5A" w14:textId="77777777">
        <w:tc>
          <w:tcPr>
            <w:tcW w:w="1135" w:type="dxa"/>
            <w:tcBorders>
              <w:left w:val="single" w:color="000000" w:sz="6" w:space="0"/>
              <w:bottom w:val="single" w:color="auto" w:sz="4" w:space="0"/>
              <w:right w:val="single" w:color="000000" w:sz="6" w:space="0"/>
            </w:tcBorders>
          </w:tcPr>
          <w:p w:rsidRPr="00F435C8" w:rsidR="00316E8B" w:rsidP="00F136C3" w:rsidRDefault="00316E8B" w14:paraId="7EDC9BD7" w14:textId="77777777">
            <w:pPr>
              <w:numPr>
                <w:ilvl w:val="0"/>
                <w:numId w:val="1"/>
              </w:numPr>
              <w:jc w:val="both"/>
            </w:pPr>
          </w:p>
        </w:tc>
        <w:tc>
          <w:tcPr>
            <w:tcW w:w="2835" w:type="dxa"/>
            <w:tcBorders>
              <w:left w:val="single" w:color="000000" w:sz="6" w:space="0"/>
              <w:bottom w:val="single" w:color="auto" w:sz="4" w:space="0"/>
              <w:right w:val="single" w:color="000000" w:sz="6" w:space="0"/>
            </w:tcBorders>
          </w:tcPr>
          <w:p w:rsidRPr="004C39D7" w:rsidR="00316E8B" w:rsidP="00DB482C" w:rsidRDefault="00316E8B" w14:paraId="705376AC" w14:textId="77777777">
            <w:pPr>
              <w:pStyle w:val="ListParagraph"/>
              <w:spacing w:line="240" w:lineRule="auto"/>
              <w:ind w:left="0"/>
              <w:jc w:val="both"/>
              <w:rPr>
                <w:highlight w:val="yellow"/>
                <w:lang w:val="lv-LV"/>
              </w:rPr>
            </w:pPr>
            <w:r w:rsidRPr="004C39D7">
              <w:rPr>
                <w:rFonts w:ascii="Times New Roman" w:hAnsi="Times New Roman" w:cs="Times New Roman"/>
                <w:sz w:val="24"/>
                <w:szCs w:val="24"/>
                <w:lang w:val="lv-LV"/>
              </w:rPr>
              <w:t>2.</w:t>
            </w:r>
            <w:r w:rsidRPr="004C39D7">
              <w:rPr>
                <w:rFonts w:ascii="Times New Roman" w:hAnsi="Times New Roman" w:cs="Times New Roman"/>
                <w:sz w:val="24"/>
                <w:szCs w:val="24"/>
                <w:vertAlign w:val="superscript"/>
                <w:lang w:val="lv-LV"/>
              </w:rPr>
              <w:t>2</w:t>
            </w:r>
            <w:r w:rsidRPr="004C39D7">
              <w:rPr>
                <w:rFonts w:ascii="Times New Roman" w:hAnsi="Times New Roman" w:cs="Times New Roman"/>
                <w:sz w:val="24"/>
                <w:szCs w:val="24"/>
                <w:lang w:val="lv-LV"/>
              </w:rPr>
              <w:t xml:space="preserve"> Komisijas 2019.gada 16.maija īstenošanas regulā (ES) 2019/777 par dzelzceļa infrastruktūras reģistra kopīgajām specifikācijām un par Īstenošanas lēmuma 2014/880/ES atcelšanu (turpmāk – Īstenošanas regula (ES) 2019/777) minētā valsts reģistrācijas struktūrvienība Latvijā ir Valsts dzelzceļa administrācija.</w:t>
            </w:r>
          </w:p>
        </w:tc>
        <w:tc>
          <w:tcPr>
            <w:tcW w:w="4111" w:type="dxa"/>
            <w:tcBorders>
              <w:left w:val="single" w:color="000000" w:sz="6" w:space="0"/>
              <w:bottom w:val="single" w:color="auto" w:sz="4" w:space="0"/>
              <w:right w:val="single" w:color="000000" w:sz="6" w:space="0"/>
            </w:tcBorders>
          </w:tcPr>
          <w:p w:rsidRPr="000C6214" w:rsidR="00316E8B" w:rsidP="00252987" w:rsidRDefault="00316E8B" w14:paraId="4CFC9028" w14:textId="77777777">
            <w:pPr>
              <w:jc w:val="both"/>
              <w:rPr>
                <w:i/>
                <w:iCs/>
              </w:rPr>
            </w:pPr>
            <w:r w:rsidRPr="000C6214">
              <w:rPr>
                <w:i/>
                <w:iCs/>
              </w:rPr>
              <w:t xml:space="preserve">(2019. gada </w:t>
            </w:r>
            <w:r>
              <w:rPr>
                <w:i/>
                <w:iCs/>
              </w:rPr>
              <w:t>10. decembra</w:t>
            </w:r>
            <w:r w:rsidRPr="000C6214">
              <w:rPr>
                <w:i/>
                <w:iCs/>
              </w:rPr>
              <w:t xml:space="preserve"> atzinums  Nr.</w:t>
            </w:r>
            <w:r>
              <w:rPr>
                <w:i/>
                <w:iCs/>
              </w:rPr>
              <w:t>1-9.1/1297</w:t>
            </w:r>
            <w:r w:rsidRPr="000C6214">
              <w:rPr>
                <w:i/>
                <w:iCs/>
              </w:rPr>
              <w:t>).</w:t>
            </w:r>
          </w:p>
          <w:p w:rsidRPr="000C6214" w:rsidR="00316E8B" w:rsidP="00252987" w:rsidRDefault="00316E8B" w14:paraId="1033291F" w14:textId="77777777">
            <w:pPr>
              <w:jc w:val="both"/>
              <w:rPr>
                <w:b/>
                <w:bCs/>
              </w:rPr>
            </w:pPr>
          </w:p>
          <w:p w:rsidRPr="008F7833" w:rsidR="00316E8B" w:rsidP="003867B2" w:rsidRDefault="00316E8B" w14:paraId="15BD54E5" w14:textId="77777777">
            <w:pPr>
              <w:ind w:right="12"/>
              <w:jc w:val="both"/>
            </w:pPr>
            <w:r w:rsidRPr="008F7833">
              <w:t>Projekta 1. punktā izteiktajā noteikumu 2.</w:t>
            </w:r>
            <w:r w:rsidRPr="008F7833">
              <w:rPr>
                <w:vertAlign w:val="superscript"/>
              </w:rPr>
              <w:t xml:space="preserve">2 </w:t>
            </w:r>
            <w:r w:rsidRPr="008F7833">
              <w:t>punktā lūdzam norādīt precīzu Komisijas 2019.</w:t>
            </w:r>
            <w:r>
              <w:t> </w:t>
            </w:r>
            <w:r w:rsidRPr="008F7833">
              <w:t xml:space="preserve">gada 16. maija Īstenošanas regulas (ES) 2019/777 par dzelzceļa infrastruktūras reģistra kopīgajām specifikācijām un par Īstenošanas lēmuma 2014/880/ES atcelšanu (turpmāk – Regula) vienību, tādējādi atvieglojot projekta piemērošanu praksē. </w:t>
            </w:r>
          </w:p>
          <w:p w:rsidRPr="000C6214" w:rsidR="00316E8B" w:rsidP="00F136C3" w:rsidRDefault="00316E8B" w14:paraId="1B6E855F" w14:textId="77777777">
            <w:pPr>
              <w:ind w:left="-102" w:firstLine="40"/>
              <w:jc w:val="both"/>
            </w:pPr>
          </w:p>
          <w:p w:rsidRPr="000C6214" w:rsidR="00316E8B" w:rsidP="00F136C3" w:rsidRDefault="00316E8B" w14:paraId="79FF5F7B" w14:textId="77777777">
            <w:pPr>
              <w:ind w:left="-102" w:firstLine="40"/>
              <w:jc w:val="both"/>
            </w:pPr>
          </w:p>
        </w:tc>
        <w:tc>
          <w:tcPr>
            <w:tcW w:w="2551" w:type="dxa"/>
            <w:tcBorders>
              <w:left w:val="single" w:color="000000" w:sz="6" w:space="0"/>
              <w:bottom w:val="single" w:color="auto" w:sz="4" w:space="0"/>
              <w:right w:val="single" w:color="000000" w:sz="6" w:space="0"/>
            </w:tcBorders>
          </w:tcPr>
          <w:p w:rsidRPr="000C6214" w:rsidR="00316E8B" w:rsidP="00F136C3" w:rsidRDefault="00316E8B" w14:paraId="54FEE6F2" w14:textId="77777777">
            <w:pPr>
              <w:autoSpaceDE w:val="0"/>
              <w:autoSpaceDN w:val="0"/>
              <w:adjustRightInd w:val="0"/>
              <w:jc w:val="both"/>
              <w:rPr>
                <w:b/>
                <w:bCs/>
              </w:rPr>
            </w:pPr>
            <w:r w:rsidRPr="000C6214">
              <w:rPr>
                <w:b/>
                <w:bCs/>
              </w:rPr>
              <w:t xml:space="preserve">Iebildums ņemts vērā. </w:t>
            </w:r>
          </w:p>
          <w:p w:rsidRPr="000C6214" w:rsidR="00316E8B" w:rsidP="00F136C3" w:rsidRDefault="00316E8B" w14:paraId="51EEB618" w14:textId="77777777">
            <w:pPr>
              <w:autoSpaceDE w:val="0"/>
              <w:autoSpaceDN w:val="0"/>
              <w:adjustRightInd w:val="0"/>
              <w:jc w:val="both"/>
              <w:rPr>
                <w:b/>
                <w:bCs/>
              </w:rPr>
            </w:pPr>
          </w:p>
          <w:p w:rsidRPr="000C6214" w:rsidR="00316E8B" w:rsidP="00F136C3" w:rsidRDefault="00316E8B" w14:paraId="4DCC8AF0" w14:textId="77777777">
            <w:pPr>
              <w:autoSpaceDE w:val="0"/>
              <w:autoSpaceDN w:val="0"/>
              <w:adjustRightInd w:val="0"/>
              <w:jc w:val="both"/>
              <w:rPr>
                <w:b/>
                <w:bCs/>
              </w:rPr>
            </w:pPr>
          </w:p>
        </w:tc>
        <w:tc>
          <w:tcPr>
            <w:tcW w:w="4026" w:type="dxa"/>
            <w:tcBorders>
              <w:top w:val="single" w:color="auto" w:sz="4" w:space="0"/>
              <w:left w:val="single" w:color="auto" w:sz="4" w:space="0"/>
              <w:bottom w:val="single" w:color="auto" w:sz="4" w:space="0"/>
            </w:tcBorders>
          </w:tcPr>
          <w:p w:rsidRPr="000C6214" w:rsidR="00316E8B" w:rsidP="00C8079B" w:rsidRDefault="00316E8B" w14:paraId="3AFAF952" w14:textId="77777777">
            <w:pPr>
              <w:jc w:val="both"/>
              <w:rPr>
                <w:b/>
                <w:bCs/>
              </w:rPr>
            </w:pPr>
            <w:r w:rsidRPr="00140FB5">
              <w:t>2.</w:t>
            </w:r>
            <w:r w:rsidRPr="00140FB5">
              <w:rPr>
                <w:vertAlign w:val="superscript"/>
              </w:rPr>
              <w:t>2</w:t>
            </w:r>
            <w:r w:rsidRPr="00140FB5">
              <w:t xml:space="preserve"> Komisijas 2019.</w:t>
            </w:r>
            <w:r>
              <w:t xml:space="preserve"> </w:t>
            </w:r>
            <w:r w:rsidRPr="00140FB5">
              <w:t>gada 16.</w:t>
            </w:r>
            <w:r>
              <w:t xml:space="preserve"> </w:t>
            </w:r>
            <w:r w:rsidRPr="00140FB5">
              <w:t xml:space="preserve">maija </w:t>
            </w:r>
            <w:r>
              <w:t>Ī</w:t>
            </w:r>
            <w:r w:rsidRPr="00140FB5">
              <w:t xml:space="preserve">stenošanas </w:t>
            </w:r>
            <w:r w:rsidRPr="00A80426">
              <w:rPr>
                <w:b/>
                <w:bCs/>
              </w:rPr>
              <w:t>regulas</w:t>
            </w:r>
            <w:r w:rsidRPr="00140FB5">
              <w:t xml:space="preserve"> (ES) 2019/777 par dzelzceļa infrastruktūras reģistra kopīgajām specifikācijām un par Īstenošanas lēmuma 2014/880/ES atcelšanu</w:t>
            </w:r>
            <w:r>
              <w:t xml:space="preserve"> (turpmāk – Īstenošanas regula (ES) 2019/777) </w:t>
            </w:r>
            <w:r w:rsidRPr="00003223">
              <w:rPr>
                <w:b/>
                <w:bCs/>
              </w:rPr>
              <w:t>4. un 5.pantā un tās pielikuma 4.2.iedaļā un 4.3.iedaļas e) un n) apakšpunktā</w:t>
            </w:r>
            <w:r>
              <w:t xml:space="preserve"> minētā valsts reģistrācijas struktūrvienība Latvijā ir Valsts dzelzceļa administrācija.</w:t>
            </w:r>
          </w:p>
        </w:tc>
      </w:tr>
      <w:tr w:rsidRPr="00F435C8" w:rsidR="00316E8B" w:rsidTr="008B04F4" w14:paraId="797E4952" w14:textId="77777777">
        <w:trPr>
          <w:trHeight w:val="3395"/>
        </w:trPr>
        <w:tc>
          <w:tcPr>
            <w:tcW w:w="1135" w:type="dxa"/>
            <w:tcBorders>
              <w:left w:val="single" w:color="000000" w:sz="6" w:space="0"/>
              <w:bottom w:val="single" w:color="auto" w:sz="4" w:space="0"/>
              <w:right w:val="single" w:color="000000" w:sz="6" w:space="0"/>
            </w:tcBorders>
          </w:tcPr>
          <w:p w:rsidRPr="00D75BFD" w:rsidR="00316E8B" w:rsidP="00F136C3" w:rsidRDefault="00316E8B" w14:paraId="0E9D4730" w14:textId="77777777">
            <w:pPr>
              <w:numPr>
                <w:ilvl w:val="0"/>
                <w:numId w:val="1"/>
              </w:numPr>
              <w:jc w:val="both"/>
            </w:pPr>
          </w:p>
        </w:tc>
        <w:tc>
          <w:tcPr>
            <w:tcW w:w="2835" w:type="dxa"/>
            <w:tcBorders>
              <w:left w:val="single" w:color="000000" w:sz="6" w:space="0"/>
              <w:bottom w:val="single" w:color="auto" w:sz="4" w:space="0"/>
              <w:right w:val="single" w:color="000000" w:sz="6" w:space="0"/>
            </w:tcBorders>
          </w:tcPr>
          <w:p w:rsidRPr="00D75BFD" w:rsidR="00316E8B" w:rsidP="00F136C3" w:rsidRDefault="00316E8B" w14:paraId="42C0C3C5" w14:textId="77777777">
            <w:pPr>
              <w:jc w:val="both"/>
            </w:pPr>
          </w:p>
        </w:tc>
        <w:tc>
          <w:tcPr>
            <w:tcW w:w="4111" w:type="dxa"/>
            <w:tcBorders>
              <w:left w:val="single" w:color="000000" w:sz="6" w:space="0"/>
              <w:bottom w:val="single" w:color="auto" w:sz="4" w:space="0"/>
              <w:right w:val="single" w:color="000000" w:sz="6" w:space="0"/>
            </w:tcBorders>
          </w:tcPr>
          <w:p w:rsidRPr="00D75BFD" w:rsidR="00316E8B" w:rsidP="00C11A4E" w:rsidRDefault="00316E8B" w14:paraId="78233368" w14:textId="77777777">
            <w:pPr>
              <w:jc w:val="both"/>
              <w:rPr>
                <w:i/>
                <w:iCs/>
              </w:rPr>
            </w:pPr>
            <w:r w:rsidRPr="00D75BFD">
              <w:rPr>
                <w:i/>
                <w:iCs/>
              </w:rPr>
              <w:t>(2019. gada 10. decembra atzinums  Nr.1-9.1/1297).</w:t>
            </w:r>
          </w:p>
          <w:p w:rsidRPr="00D75BFD" w:rsidR="00316E8B" w:rsidP="00C11A4E" w:rsidRDefault="00316E8B" w14:paraId="79780A9F" w14:textId="77777777">
            <w:pPr>
              <w:jc w:val="both"/>
              <w:rPr>
                <w:i/>
                <w:iCs/>
              </w:rPr>
            </w:pPr>
          </w:p>
          <w:p w:rsidRPr="00D75BFD" w:rsidR="00316E8B" w:rsidP="00F11B8E" w:rsidRDefault="00316E8B" w14:paraId="0D3C810F" w14:textId="77777777">
            <w:pPr>
              <w:widowControl w:val="0"/>
              <w:ind w:right="12"/>
              <w:jc w:val="both"/>
              <w:rPr>
                <w:lang w:eastAsia="en-US"/>
              </w:rPr>
            </w:pPr>
            <w:r w:rsidRPr="00C11A4E">
              <w:rPr>
                <w:lang w:eastAsia="en-US"/>
              </w:rPr>
              <w:t>Lūdzam aizpildīt projekta anotācijas V sadaļas 1. tabulu saistībā ar Regulas ieviešanu projekta 2. - 6. punktā atbilstoši Ministru kabineta 2009. gada 15. decembra instrukcijas Nr. 19 “Tiesību akta projekta sākotnējās ietekmes izvērtēšanas kārtība” 56. punktam.</w:t>
            </w:r>
          </w:p>
        </w:tc>
        <w:tc>
          <w:tcPr>
            <w:tcW w:w="2551" w:type="dxa"/>
            <w:tcBorders>
              <w:left w:val="single" w:color="000000" w:sz="6" w:space="0"/>
              <w:bottom w:val="single" w:color="auto" w:sz="4" w:space="0"/>
              <w:right w:val="single" w:color="000000" w:sz="6" w:space="0"/>
            </w:tcBorders>
          </w:tcPr>
          <w:p w:rsidRPr="00D75BFD" w:rsidR="00316E8B" w:rsidP="00F136C3" w:rsidRDefault="00316E8B" w14:paraId="652FC356" w14:textId="77777777">
            <w:pPr>
              <w:autoSpaceDE w:val="0"/>
              <w:autoSpaceDN w:val="0"/>
              <w:adjustRightInd w:val="0"/>
              <w:jc w:val="both"/>
              <w:rPr>
                <w:b/>
                <w:bCs/>
              </w:rPr>
            </w:pPr>
            <w:r w:rsidRPr="00D75BFD">
              <w:rPr>
                <w:b/>
                <w:bCs/>
              </w:rPr>
              <w:t>Iebildums ņemts vērā.</w:t>
            </w:r>
          </w:p>
        </w:tc>
        <w:tc>
          <w:tcPr>
            <w:tcW w:w="4026" w:type="dxa"/>
            <w:tcBorders>
              <w:top w:val="single" w:color="auto" w:sz="4" w:space="0"/>
              <w:left w:val="single" w:color="auto" w:sz="4" w:space="0"/>
              <w:bottom w:val="single" w:color="auto" w:sz="4" w:space="0"/>
            </w:tcBorders>
          </w:tcPr>
          <w:p w:rsidRPr="00D75BFD" w:rsidR="00316E8B" w:rsidP="00F136C3" w:rsidRDefault="00316E8B" w14:paraId="74659E7E" w14:textId="77777777">
            <w:pPr>
              <w:jc w:val="both"/>
              <w:rPr>
                <w:b/>
                <w:bCs/>
              </w:rPr>
            </w:pPr>
            <w:r w:rsidRPr="00D75BFD">
              <w:rPr>
                <w:b/>
                <w:bCs/>
              </w:rPr>
              <w:t>Anotācijas V sadaļas 1. tabula precizēta.</w:t>
            </w:r>
          </w:p>
        </w:tc>
      </w:tr>
      <w:tr w:rsidRPr="00F435C8" w:rsidR="00316E8B" w:rsidTr="008B04F4" w14:paraId="41A7A537" w14:textId="77777777">
        <w:trPr>
          <w:trHeight w:val="3395"/>
        </w:trPr>
        <w:tc>
          <w:tcPr>
            <w:tcW w:w="1135" w:type="dxa"/>
            <w:tcBorders>
              <w:top w:val="single" w:color="auto" w:sz="4" w:space="0"/>
              <w:left w:val="single" w:color="000000" w:sz="6" w:space="0"/>
              <w:bottom w:val="single" w:color="auto" w:sz="4" w:space="0"/>
              <w:right w:val="single" w:color="000000" w:sz="6" w:space="0"/>
            </w:tcBorders>
          </w:tcPr>
          <w:p w:rsidRPr="00D75BFD" w:rsidR="00316E8B" w:rsidP="00F136C3" w:rsidRDefault="00316E8B" w14:paraId="7CCFD13C" w14:textId="77777777">
            <w:pPr>
              <w:numPr>
                <w:ilvl w:val="0"/>
                <w:numId w:val="1"/>
              </w:numPr>
              <w:jc w:val="both"/>
            </w:pPr>
          </w:p>
        </w:tc>
        <w:tc>
          <w:tcPr>
            <w:tcW w:w="2835" w:type="dxa"/>
            <w:tcBorders>
              <w:top w:val="single" w:color="auto" w:sz="4" w:space="0"/>
              <w:left w:val="single" w:color="000000" w:sz="6" w:space="0"/>
              <w:bottom w:val="single" w:color="auto" w:sz="4" w:space="0"/>
              <w:right w:val="single" w:color="000000" w:sz="6" w:space="0"/>
            </w:tcBorders>
          </w:tcPr>
          <w:p w:rsidRPr="00D75BFD" w:rsidR="00316E8B" w:rsidP="00F136C3" w:rsidRDefault="00316E8B" w14:paraId="4B9AF424" w14:textId="77777777">
            <w:pPr>
              <w:jc w:val="both"/>
            </w:pPr>
            <w:r w:rsidRPr="00A16F4B">
              <w:t>2.</w:t>
            </w:r>
            <w:r w:rsidRPr="00A16F4B">
              <w:rPr>
                <w:vertAlign w:val="superscript"/>
              </w:rPr>
              <w:t>3</w:t>
            </w:r>
            <w:r w:rsidRPr="00A16F4B">
              <w:t xml:space="preserve"> Privātās lietošanas dzelzceļa infrastruktūras gadījumā uz tās īpašnieku attiecas Īstenošanas regulas (ES) 2019/777 5.panta 1. un 2.</w:t>
            </w:r>
            <w:r>
              <w:t xml:space="preserve"> </w:t>
            </w:r>
            <w:r w:rsidRPr="00A16F4B">
              <w:t xml:space="preserve">punktā minētie infrastruktūras pārvaldītāja pienākumi un tās </w:t>
            </w:r>
            <w:r w:rsidRPr="00F32B84">
              <w:t xml:space="preserve">pielikuma 1.tabulā norādītais </w:t>
            </w:r>
            <w:r w:rsidRPr="00A80426">
              <w:t>termiņš,</w:t>
            </w:r>
            <w:r w:rsidRPr="00F32B84">
              <w:t xml:space="preserve"> kādā tie ir veicami</w:t>
            </w:r>
          </w:p>
        </w:tc>
        <w:tc>
          <w:tcPr>
            <w:tcW w:w="4111" w:type="dxa"/>
            <w:tcBorders>
              <w:top w:val="single" w:color="auto" w:sz="4" w:space="0"/>
              <w:left w:val="single" w:color="000000" w:sz="6" w:space="0"/>
              <w:bottom w:val="single" w:color="auto" w:sz="4" w:space="0"/>
              <w:right w:val="single" w:color="000000" w:sz="6" w:space="0"/>
            </w:tcBorders>
          </w:tcPr>
          <w:p w:rsidRPr="00F30378" w:rsidR="00316E8B" w:rsidP="00F014C6" w:rsidRDefault="00316E8B" w14:paraId="1294E0F9" w14:textId="77777777">
            <w:pPr>
              <w:jc w:val="both"/>
              <w:rPr>
                <w:i/>
                <w:iCs/>
              </w:rPr>
            </w:pPr>
            <w:r w:rsidRPr="00F30378">
              <w:rPr>
                <w:i/>
                <w:iCs/>
              </w:rPr>
              <w:t>(2019. gada 10. decembra atzinums  Nr.1-9.1/1297).</w:t>
            </w:r>
          </w:p>
          <w:p w:rsidRPr="00F30378" w:rsidR="00316E8B" w:rsidP="00F014C6" w:rsidRDefault="00316E8B" w14:paraId="74876667" w14:textId="77777777">
            <w:pPr>
              <w:jc w:val="both"/>
              <w:rPr>
                <w:i/>
                <w:iCs/>
              </w:rPr>
            </w:pPr>
          </w:p>
          <w:p w:rsidRPr="0003416E" w:rsidR="00316E8B" w:rsidP="00F014C6" w:rsidRDefault="00316E8B" w14:paraId="0970753B" w14:textId="77777777">
            <w:pPr>
              <w:widowControl w:val="0"/>
              <w:ind w:right="12"/>
              <w:jc w:val="both"/>
              <w:rPr>
                <w:b/>
                <w:bCs/>
              </w:rPr>
            </w:pPr>
            <w:r w:rsidRPr="00F30378">
              <w:rPr>
                <w:lang w:eastAsia="en-US"/>
              </w:rPr>
              <w:t>Projekta 1. punktā izteiktajā noteikumu 2.</w:t>
            </w:r>
            <w:r w:rsidRPr="00F30378">
              <w:rPr>
                <w:vertAlign w:val="superscript"/>
                <w:lang w:eastAsia="en-US"/>
              </w:rPr>
              <w:t xml:space="preserve">3 </w:t>
            </w:r>
            <w:r w:rsidRPr="00F30378">
              <w:rPr>
                <w:lang w:eastAsia="en-US"/>
              </w:rPr>
              <w:t>punktā norādīts uz Regulas 1. pielikuma 1. tabulā norādītajiem termiņiem. Pirmšķietami vērtējot attiecīgo regulas tabulu, noteiktus termiņus nav iespējams izsecināt. Ievērojot minēto, lūdzam sniegt skaidrojumu vai precizēt projektu.</w:t>
            </w:r>
          </w:p>
        </w:tc>
        <w:tc>
          <w:tcPr>
            <w:tcW w:w="2551" w:type="dxa"/>
            <w:tcBorders>
              <w:top w:val="single" w:color="auto" w:sz="4" w:space="0"/>
              <w:left w:val="single" w:color="000000" w:sz="6" w:space="0"/>
              <w:bottom w:val="single" w:color="auto" w:sz="4" w:space="0"/>
              <w:right w:val="single" w:color="000000" w:sz="6" w:space="0"/>
            </w:tcBorders>
          </w:tcPr>
          <w:p w:rsidR="00316E8B" w:rsidP="00F014C6" w:rsidRDefault="00687A56" w14:paraId="3A4E1CFE" w14:textId="079AA159">
            <w:pPr>
              <w:pStyle w:val="naisc"/>
              <w:spacing w:before="0" w:after="0"/>
              <w:ind w:left="34"/>
              <w:jc w:val="both"/>
              <w:rPr>
                <w:i/>
                <w:iCs/>
              </w:rPr>
            </w:pPr>
            <w:r>
              <w:rPr>
                <w:b/>
                <w:bCs/>
              </w:rPr>
              <w:t>Panākta vienošanās</w:t>
            </w:r>
            <w:bookmarkStart w:name="_GoBack" w:id="1"/>
            <w:bookmarkEnd w:id="1"/>
            <w:r w:rsidR="00316E8B">
              <w:rPr>
                <w:b/>
                <w:bCs/>
              </w:rPr>
              <w:t xml:space="preserve"> </w:t>
            </w:r>
            <w:r w:rsidRPr="006752CA" w:rsidR="00316E8B">
              <w:rPr>
                <w:i/>
                <w:iCs/>
              </w:rPr>
              <w:t>(2020. gada 2. janvāra elektroniskā pasta ziņojuma izdruka).</w:t>
            </w:r>
          </w:p>
          <w:p w:rsidRPr="006752CA" w:rsidR="00316E8B" w:rsidP="00F014C6" w:rsidRDefault="00316E8B" w14:paraId="61BB1DD4" w14:textId="77777777">
            <w:pPr>
              <w:pStyle w:val="naisc"/>
              <w:spacing w:before="0" w:after="0"/>
              <w:ind w:left="34"/>
              <w:jc w:val="both"/>
            </w:pPr>
          </w:p>
          <w:p w:rsidRPr="006752CA" w:rsidR="00316E8B" w:rsidP="00F014C6" w:rsidRDefault="00316E8B" w14:paraId="62743AE2" w14:textId="77777777">
            <w:pPr>
              <w:pStyle w:val="naisc"/>
              <w:spacing w:before="0" w:after="0"/>
              <w:ind w:left="34"/>
              <w:jc w:val="both"/>
            </w:pPr>
            <w:r w:rsidRPr="006752CA">
              <w:t>SM skaidro:</w:t>
            </w:r>
          </w:p>
          <w:p w:rsidR="00316E8B" w:rsidP="00F014C6" w:rsidRDefault="00316E8B" w14:paraId="2003ED62" w14:textId="77777777">
            <w:pPr>
              <w:pStyle w:val="naisc"/>
              <w:spacing w:before="0" w:after="0"/>
              <w:ind w:left="34"/>
              <w:jc w:val="both"/>
            </w:pPr>
            <w:r>
              <w:t>Termiņi ir norādīti Ī</w:t>
            </w:r>
            <w:r w:rsidRPr="00140FB5">
              <w:t xml:space="preserve">stenošanas </w:t>
            </w:r>
            <w:r w:rsidRPr="0081118B">
              <w:t>regulas</w:t>
            </w:r>
            <w:r w:rsidRPr="00140FB5">
              <w:t xml:space="preserve"> (ES) 2019/777</w:t>
            </w:r>
            <w:r>
              <w:t xml:space="preserve"> pielikuma 1.tabulas labā malējā kolonnā   “Parametra iesniegšanas termiņš”.</w:t>
            </w:r>
          </w:p>
          <w:p w:rsidRPr="00C040E6" w:rsidR="00316E8B" w:rsidP="00F014C6" w:rsidRDefault="00316E8B" w14:paraId="51B6970D" w14:textId="77777777">
            <w:pPr>
              <w:pStyle w:val="naisc"/>
              <w:spacing w:before="0" w:after="0"/>
              <w:ind w:left="34"/>
              <w:jc w:val="both"/>
              <w:rPr>
                <w:b/>
                <w:bCs/>
              </w:rPr>
            </w:pPr>
          </w:p>
        </w:tc>
        <w:tc>
          <w:tcPr>
            <w:tcW w:w="4026" w:type="dxa"/>
            <w:tcBorders>
              <w:top w:val="single" w:color="auto" w:sz="4" w:space="0"/>
              <w:left w:val="single" w:color="auto" w:sz="4" w:space="0"/>
              <w:bottom w:val="single" w:color="auto" w:sz="4" w:space="0"/>
            </w:tcBorders>
          </w:tcPr>
          <w:p w:rsidRPr="0003416E" w:rsidR="00316E8B" w:rsidP="00F014C6" w:rsidRDefault="00316E8B" w14:paraId="64CDAE61" w14:textId="77777777">
            <w:pPr>
              <w:jc w:val="both"/>
            </w:pPr>
            <w:r w:rsidRPr="00A16F4B">
              <w:t>2.</w:t>
            </w:r>
            <w:r w:rsidRPr="00A16F4B">
              <w:rPr>
                <w:vertAlign w:val="superscript"/>
              </w:rPr>
              <w:t>3</w:t>
            </w:r>
            <w:r w:rsidRPr="00A16F4B">
              <w:t xml:space="preserve"> Privātās lietošanas dzelzceļa infrastruktūras gadījumā uz tās īpašnieku attiecas Īstenošanas regulas (ES) 2019/777 5.panta 1. un 2.</w:t>
            </w:r>
            <w:r>
              <w:t xml:space="preserve"> </w:t>
            </w:r>
            <w:r w:rsidRPr="00A16F4B">
              <w:t xml:space="preserve">punktā minētie infrastruktūras pārvaldītāja pienākumi un tās </w:t>
            </w:r>
            <w:r w:rsidRPr="00F32B84">
              <w:t xml:space="preserve">pielikuma 1.tabulā norādītais </w:t>
            </w:r>
            <w:r w:rsidRPr="00A80426">
              <w:t>termiņš,</w:t>
            </w:r>
            <w:r w:rsidRPr="00F32B84">
              <w:t xml:space="preserve"> kādā tie ir veicami</w:t>
            </w:r>
            <w:r w:rsidRPr="00A16F4B">
              <w:t>.</w:t>
            </w:r>
          </w:p>
        </w:tc>
      </w:tr>
    </w:tbl>
    <w:p w:rsidR="00316E8B" w:rsidP="00B06CC0" w:rsidRDefault="00316E8B" w14:paraId="577A10FC" w14:textId="77777777">
      <w:pPr>
        <w:ind w:left="3600" w:hanging="3600"/>
        <w:jc w:val="both"/>
      </w:pPr>
    </w:p>
    <w:p w:rsidR="00316E8B" w:rsidP="00B06CC0" w:rsidRDefault="00316E8B" w14:paraId="67079DCD" w14:textId="4DC0EB93">
      <w:pPr>
        <w:ind w:left="3600" w:hanging="3600"/>
        <w:jc w:val="both"/>
      </w:pPr>
      <w:r w:rsidRPr="00BB6B19">
        <w:t xml:space="preserve">Atbildīgā amatpersona       </w:t>
      </w:r>
      <w:r w:rsidR="003D406D">
        <w:t xml:space="preserve">                                                                                                                                P.Markēvičs</w:t>
      </w:r>
    </w:p>
    <w:p w:rsidR="00266177" w:rsidP="00266177" w:rsidRDefault="00266177" w14:paraId="7CFFA1E3" w14:textId="77777777">
      <w:pPr>
        <w:ind w:left="3600" w:hanging="3600"/>
        <w:jc w:val="both"/>
      </w:pPr>
      <w:r>
        <w:t>Patriks Markēvičs</w:t>
      </w:r>
    </w:p>
    <w:p w:rsidR="00266177" w:rsidP="00266177" w:rsidRDefault="00266177" w14:paraId="75F27A8C" w14:textId="77777777">
      <w:pPr>
        <w:ind w:left="3600" w:hanging="3600"/>
        <w:jc w:val="both"/>
      </w:pPr>
      <w:r>
        <w:t>Satiksmes ministrijas</w:t>
      </w:r>
    </w:p>
    <w:p w:rsidR="00266177" w:rsidP="00266177" w:rsidRDefault="00266177" w14:paraId="72543B13" w14:textId="77777777">
      <w:pPr>
        <w:ind w:left="3600" w:hanging="3600"/>
        <w:jc w:val="both"/>
      </w:pPr>
      <w:r>
        <w:t>Dzelzceļa departamenta direktors,</w:t>
      </w:r>
    </w:p>
    <w:p w:rsidRPr="00BB6B19" w:rsidR="00266177" w:rsidP="00266177" w:rsidRDefault="00266177" w14:paraId="08B831CE" w14:textId="0CDB3B5D">
      <w:pPr>
        <w:ind w:left="3600" w:hanging="3600"/>
        <w:jc w:val="both"/>
      </w:pPr>
      <w:r>
        <w:t>tālr. 67028192</w:t>
      </w:r>
      <w:r w:rsidRPr="00266177">
        <w:t xml:space="preserve"> </w:t>
      </w:r>
      <w:r>
        <w:t>, patriks.markevics@sam.gov.lv</w:t>
      </w:r>
    </w:p>
    <w:p w:rsidRPr="00BB6B19" w:rsidR="003D406D" w:rsidP="00266177" w:rsidRDefault="003D406D" w14:paraId="5CF27505" w14:textId="2FA2843F">
      <w:pPr>
        <w:ind w:left="3600" w:hanging="3600"/>
        <w:jc w:val="both"/>
      </w:pPr>
    </w:p>
    <w:sectPr w:rsidRPr="00BB6B19" w:rsidR="003D406D" w:rsidSect="009701DC">
      <w:headerReference w:type="even" r:id="rId7"/>
      <w:headerReference w:type="default" r:id="rId8"/>
      <w:footerReference w:type="default" r:id="rId9"/>
      <w:footerReference w:type="first" r:id="rId10"/>
      <w:pgSz w:w="16838" w:h="11906" w:orient="landscape" w:code="9"/>
      <w:pgMar w:top="0" w:right="1134" w:bottom="284" w:left="1701" w:header="709"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B75D" w14:textId="77777777" w:rsidR="00FC52C1" w:rsidRDefault="00FC52C1">
      <w:r>
        <w:separator/>
      </w:r>
    </w:p>
  </w:endnote>
  <w:endnote w:type="continuationSeparator" w:id="0">
    <w:p w14:paraId="009F10D1" w14:textId="77777777" w:rsidR="00FC52C1" w:rsidRDefault="00FC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F784" w14:textId="77777777" w:rsidR="00316E8B" w:rsidRDefault="00316E8B" w:rsidP="007E69A4">
    <w:pPr>
      <w:pStyle w:val="Header"/>
      <w:tabs>
        <w:tab w:val="clear" w:pos="4153"/>
        <w:tab w:val="clear" w:pos="8306"/>
        <w:tab w:val="left" w:pos="3047"/>
      </w:tabs>
    </w:pPr>
    <w:r>
      <w:tab/>
    </w:r>
    <w:r>
      <w:tab/>
    </w:r>
  </w:p>
  <w:p w14:paraId="085D74FF" w14:textId="77777777" w:rsidR="00316E8B" w:rsidRDefault="00316E8B" w:rsidP="00A125ED">
    <w:pPr>
      <w:jc w:val="center"/>
    </w:pPr>
  </w:p>
  <w:p w14:paraId="045E1FA6" w14:textId="77777777" w:rsidR="00316E8B" w:rsidRPr="009201E0" w:rsidRDefault="00316E8B" w:rsidP="00C51730">
    <w:pPr>
      <w:pStyle w:val="Footer"/>
      <w:rPr>
        <w:sz w:val="20"/>
        <w:szCs w:val="20"/>
      </w:rPr>
    </w:pPr>
    <w:r w:rsidRPr="00DD337A">
      <w:rPr>
        <w:sz w:val="20"/>
        <w:szCs w:val="20"/>
      </w:rPr>
      <w:t>SMIzz_</w:t>
    </w:r>
    <w:r>
      <w:rPr>
        <w:sz w:val="20"/>
        <w:szCs w:val="20"/>
      </w:rPr>
      <w:t>020120</w:t>
    </w:r>
    <w:r w:rsidRPr="00DD337A">
      <w:rPr>
        <w:sz w:val="20"/>
        <w:szCs w:val="20"/>
      </w:rPr>
      <w:t>_VSS-</w:t>
    </w:r>
    <w:r>
      <w:rPr>
        <w:sz w:val="20"/>
        <w:szCs w:val="20"/>
      </w:rPr>
      <w:t>1168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D510" w14:textId="77777777" w:rsidR="00316E8B" w:rsidRPr="00FE6410" w:rsidRDefault="00316E8B" w:rsidP="009201E0">
    <w:pPr>
      <w:pStyle w:val="Footer"/>
      <w:rPr>
        <w:sz w:val="20"/>
        <w:szCs w:val="20"/>
      </w:rPr>
    </w:pPr>
    <w:r w:rsidRPr="00DD337A">
      <w:rPr>
        <w:sz w:val="20"/>
        <w:szCs w:val="20"/>
      </w:rPr>
      <w:t>SMIzz_</w:t>
    </w:r>
    <w:r>
      <w:rPr>
        <w:sz w:val="20"/>
        <w:szCs w:val="20"/>
      </w:rPr>
      <w:t>020120</w:t>
    </w:r>
    <w:r w:rsidRPr="00DD337A">
      <w:rPr>
        <w:sz w:val="20"/>
        <w:szCs w:val="20"/>
      </w:rPr>
      <w:t>_VSS-</w:t>
    </w:r>
    <w:r>
      <w:rPr>
        <w:sz w:val="20"/>
        <w:szCs w:val="20"/>
      </w:rPr>
      <w:t>1168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F9FD7" w14:textId="77777777" w:rsidR="00FC52C1" w:rsidRDefault="00FC52C1">
      <w:r>
        <w:separator/>
      </w:r>
    </w:p>
  </w:footnote>
  <w:footnote w:type="continuationSeparator" w:id="0">
    <w:p w14:paraId="092189A1" w14:textId="77777777" w:rsidR="00FC52C1" w:rsidRDefault="00FC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B" w:rsidP="00364BB6" w:rsidRDefault="00316E8B" w14:paraId="44A66DE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E8B" w:rsidRDefault="00316E8B" w14:paraId="3FD34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E8B" w:rsidP="00364BB6" w:rsidRDefault="00316E8B" w14:paraId="2313464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6E8B" w:rsidP="00266177" w:rsidRDefault="00316E8B" w14:paraId="357CBA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42753BF7"/>
    <w:multiLevelType w:val="hybridMultilevel"/>
    <w:tmpl w:val="F420F86E"/>
    <w:lvl w:ilvl="0" w:tplc="1E82A6CE">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41E1"/>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23"/>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78E"/>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40706"/>
    <w:rsid w:val="001409B3"/>
    <w:rsid w:val="00140BDB"/>
    <w:rsid w:val="00140D61"/>
    <w:rsid w:val="00140FB5"/>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5CB"/>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177"/>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E8B"/>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7B2"/>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BB2"/>
    <w:rsid w:val="003C3D34"/>
    <w:rsid w:val="003C477D"/>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06D"/>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39D7"/>
    <w:rsid w:val="004C4272"/>
    <w:rsid w:val="004C44C1"/>
    <w:rsid w:val="004C464D"/>
    <w:rsid w:val="004C4C57"/>
    <w:rsid w:val="004C55FE"/>
    <w:rsid w:val="004C57B9"/>
    <w:rsid w:val="004C5BDA"/>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06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ABA"/>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2CA"/>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A56"/>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2"/>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4F4"/>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833"/>
    <w:rsid w:val="008F7BCA"/>
    <w:rsid w:val="008F7DC8"/>
    <w:rsid w:val="00900436"/>
    <w:rsid w:val="00900696"/>
    <w:rsid w:val="0090084E"/>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1DC"/>
    <w:rsid w:val="00970912"/>
    <w:rsid w:val="00971116"/>
    <w:rsid w:val="00971125"/>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4B"/>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42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97EF7"/>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27E06"/>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7C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EE8"/>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2C"/>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1F8"/>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42A"/>
    <w:rsid w:val="00F014C6"/>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6F6"/>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6BAC"/>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B84"/>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80CA9"/>
    <w:rsid w:val="00F80EBA"/>
    <w:rsid w:val="00F80F4C"/>
    <w:rsid w:val="00F8101C"/>
    <w:rsid w:val="00F81528"/>
    <w:rsid w:val="00F817B9"/>
    <w:rsid w:val="00F81BFB"/>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2C1"/>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33"/>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829D38"/>
  <w15:docId w15:val="{A855E22A-E88C-4F60-AAC2-67F145B3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4826"/>
    <w:rPr>
      <w:rFonts w:ascii="Cambria" w:hAnsi="Cambria" w:cs="Cambria"/>
      <w:b/>
      <w:bCs/>
      <w:color w:val="365F91"/>
      <w:sz w:val="28"/>
      <w:szCs w:val="28"/>
    </w:rPr>
  </w:style>
  <w:style w:type="character" w:styleId="Hyperlink">
    <w:name w:val="Hyperlink"/>
    <w:uiPriority w:val="99"/>
    <w:semiHidden/>
    <w:rsid w:val="00944826"/>
    <w:rPr>
      <w:color w:val="0000FF"/>
      <w:u w:val="single"/>
    </w:rPr>
  </w:style>
  <w:style w:type="character" w:styleId="FollowedHyperlink">
    <w:name w:val="FollowedHyperlink"/>
    <w:uiPriority w:val="99"/>
    <w:semiHidden/>
    <w:rsid w:val="00944826"/>
    <w:rPr>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b/>
      <w:bCs/>
    </w:rPr>
  </w:style>
  <w:style w:type="character" w:customStyle="1" w:styleId="th1">
    <w:name w:val="th1"/>
    <w:uiPriority w:val="99"/>
    <w:rsid w:val="00944826"/>
    <w:rPr>
      <w:b/>
      <w:bCs/>
      <w:color w:val="333333"/>
    </w:rPr>
  </w:style>
  <w:style w:type="character" w:styleId="Emphasis">
    <w:name w:val="Emphasis"/>
    <w:uiPriority w:val="99"/>
    <w:qFormat/>
    <w:rsid w:val="00944826"/>
    <w:rPr>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rsid w:val="002308FA"/>
    <w:rPr>
      <w:rFonts w:ascii="Tahoma" w:hAnsi="Tahoma" w:cs="Tahoma"/>
      <w:sz w:val="16"/>
      <w:szCs w:val="16"/>
    </w:rPr>
  </w:style>
  <w:style w:type="table" w:styleId="TableGrid">
    <w:name w:val="Table Grid"/>
    <w:basedOn w:val="TableNormal"/>
    <w:uiPriority w:val="99"/>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rsid w:val="006D24A9"/>
    <w:rPr>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rsid w:val="009A1431"/>
    <w:rPr>
      <w:sz w:val="24"/>
      <w:szCs w:val="24"/>
      <w:lang w:val="lv-LV" w:eastAsia="lv-LV"/>
    </w:rPr>
  </w:style>
  <w:style w:type="character" w:styleId="PageNumber">
    <w:name w:val="page number"/>
    <w:basedOn w:val="DefaultParagraphFont"/>
    <w:uiPriority w:val="99"/>
    <w:rsid w:val="00745496"/>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rsid w:val="009A1431"/>
    <w:rPr>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99"/>
    <w:qFormat/>
    <w:rsid w:val="00426E9B"/>
    <w:pPr>
      <w:spacing w:after="200" w:line="276" w:lineRule="auto"/>
      <w:ind w:left="720"/>
      <w:contextualSpacing/>
    </w:pPr>
    <w:rPr>
      <w:rFonts w:ascii="Calibri" w:hAnsi="Calibri" w:cs="Calibri"/>
      <w:sz w:val="22"/>
      <w:szCs w:val="22"/>
      <w:lang w:val="en-US" w:eastAsia="en-US"/>
    </w:rPr>
  </w:style>
  <w:style w:type="character" w:styleId="CommentReference">
    <w:name w:val="annotation reference"/>
    <w:uiPriority w:val="99"/>
    <w:semiHidden/>
    <w:rsid w:val="00FE43E7"/>
    <w:rPr>
      <w:sz w:val="16"/>
      <w:szCs w:val="16"/>
    </w:rPr>
  </w:style>
  <w:style w:type="paragraph" w:styleId="CommentText">
    <w:name w:val="annotation text"/>
    <w:basedOn w:val="Normal"/>
    <w:link w:val="CommentTextChar"/>
    <w:uiPriority w:val="99"/>
    <w:semiHidden/>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semiHidden/>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
    <w:uiPriority w:val="99"/>
    <w:semiHidden/>
    <w:rsid w:val="00D33CD0"/>
    <w:rPr>
      <w:vertAlign w:val="superscript"/>
    </w:rPr>
  </w:style>
  <w:style w:type="character" w:customStyle="1" w:styleId="spelle">
    <w:name w:val="spelle"/>
    <w:basedOn w:val="DefaultParagraphFont"/>
    <w:uiPriority w:val="99"/>
    <w:rsid w:val="003F512A"/>
  </w:style>
  <w:style w:type="paragraph" w:styleId="BodyText3">
    <w:name w:val="Body Text 3"/>
    <w:basedOn w:val="Normal"/>
    <w:link w:val="BodyText3Char"/>
    <w:uiPriority w:val="99"/>
    <w:rsid w:val="00ED5AD4"/>
    <w:pPr>
      <w:spacing w:after="120"/>
    </w:pPr>
    <w:rPr>
      <w:sz w:val="16"/>
      <w:szCs w:val="16"/>
    </w:rPr>
  </w:style>
  <w:style w:type="character" w:customStyle="1" w:styleId="BodyText3Char">
    <w:name w:val="Body Text 3 Char"/>
    <w:link w:val="BodyText3"/>
    <w:uiPriority w:val="99"/>
    <w:rsid w:val="00ED5AD4"/>
    <w:rPr>
      <w:sz w:val="16"/>
      <w:szCs w:val="16"/>
      <w:lang w:val="lv-LV" w:eastAsia="lv-LV"/>
    </w:rPr>
  </w:style>
  <w:style w:type="paragraph" w:customStyle="1" w:styleId="Parasts">
    <w:name w:val="Parasts"/>
    <w:uiPriority w:val="99"/>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99"/>
    <w:rsid w:val="00D203FD"/>
    <w:rPr>
      <w:rFonts w:ascii="Calibri" w:hAnsi="Calibri" w:cs="Calibri"/>
      <w:sz w:val="22"/>
      <w:szCs w:val="22"/>
      <w:lang w:eastAsia="en-US"/>
    </w:rPr>
  </w:style>
  <w:style w:type="paragraph" w:styleId="PlainText">
    <w:name w:val="Plain Text"/>
    <w:basedOn w:val="Normal"/>
    <w:link w:val="PlainTextChar"/>
    <w:uiPriority w:val="99"/>
    <w:rsid w:val="00EC6859"/>
    <w:rPr>
      <w:rFonts w:ascii="Calibri" w:hAnsi="Calibri" w:cs="Calibri"/>
      <w:sz w:val="22"/>
      <w:szCs w:val="22"/>
    </w:rPr>
  </w:style>
  <w:style w:type="character" w:customStyle="1" w:styleId="PlainTextChar">
    <w:name w:val="Plain Text Char"/>
    <w:link w:val="PlainText"/>
    <w:uiPriority w:val="99"/>
    <w:rsid w:val="00EC6859"/>
    <w:rPr>
      <w:rFonts w:ascii="Calibri" w:eastAsia="Times New Roman" w:hAnsi="Calibri" w:cs="Calibri"/>
      <w:sz w:val="22"/>
      <w:szCs w:val="22"/>
    </w:rPr>
  </w:style>
  <w:style w:type="paragraph" w:styleId="NoSpacing">
    <w:name w:val="No Spacing"/>
    <w:uiPriority w:val="99"/>
    <w:qFormat/>
    <w:rsid w:val="00E17224"/>
    <w:rPr>
      <w:rFonts w:ascii="Calibri" w:hAnsi="Calibri" w:cs="Calibri"/>
      <w:sz w:val="22"/>
      <w:szCs w:val="22"/>
      <w:lang w:eastAsia="en-US"/>
    </w:rPr>
  </w:style>
  <w:style w:type="character" w:customStyle="1" w:styleId="navigatable">
    <w:name w:val="navigatable"/>
    <w:basedOn w:val="DefaultParagraphFont"/>
    <w:uiPriority w:val="99"/>
    <w:rsid w:val="00BB4645"/>
  </w:style>
  <w:style w:type="paragraph" w:customStyle="1" w:styleId="tv2132">
    <w:name w:val="tv2132"/>
    <w:basedOn w:val="Normal"/>
    <w:uiPriority w:val="99"/>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160410">
      <w:marLeft w:val="0"/>
      <w:marRight w:val="0"/>
      <w:marTop w:val="0"/>
      <w:marBottom w:val="0"/>
      <w:divBdr>
        <w:top w:val="none" w:sz="0" w:space="0" w:color="auto"/>
        <w:left w:val="none" w:sz="0" w:space="0" w:color="auto"/>
        <w:bottom w:val="none" w:sz="0" w:space="0" w:color="auto"/>
        <w:right w:val="none" w:sz="0" w:space="0" w:color="auto"/>
      </w:divBdr>
    </w:div>
    <w:div w:id="1557160411">
      <w:marLeft w:val="0"/>
      <w:marRight w:val="0"/>
      <w:marTop w:val="0"/>
      <w:marBottom w:val="0"/>
      <w:divBdr>
        <w:top w:val="none" w:sz="0" w:space="0" w:color="auto"/>
        <w:left w:val="none" w:sz="0" w:space="0" w:color="auto"/>
        <w:bottom w:val="none" w:sz="0" w:space="0" w:color="auto"/>
        <w:right w:val="none" w:sz="0" w:space="0" w:color="auto"/>
      </w:divBdr>
    </w:div>
    <w:div w:id="1557160412">
      <w:marLeft w:val="0"/>
      <w:marRight w:val="0"/>
      <w:marTop w:val="0"/>
      <w:marBottom w:val="0"/>
      <w:divBdr>
        <w:top w:val="none" w:sz="0" w:space="0" w:color="auto"/>
        <w:left w:val="none" w:sz="0" w:space="0" w:color="auto"/>
        <w:bottom w:val="none" w:sz="0" w:space="0" w:color="auto"/>
        <w:right w:val="none" w:sz="0" w:space="0" w:color="auto"/>
      </w:divBdr>
    </w:div>
    <w:div w:id="1557160413">
      <w:marLeft w:val="0"/>
      <w:marRight w:val="0"/>
      <w:marTop w:val="0"/>
      <w:marBottom w:val="0"/>
      <w:divBdr>
        <w:top w:val="none" w:sz="0" w:space="0" w:color="auto"/>
        <w:left w:val="none" w:sz="0" w:space="0" w:color="auto"/>
        <w:bottom w:val="none" w:sz="0" w:space="0" w:color="auto"/>
        <w:right w:val="none" w:sz="0" w:space="0" w:color="auto"/>
      </w:divBdr>
    </w:div>
    <w:div w:id="1557160414">
      <w:marLeft w:val="0"/>
      <w:marRight w:val="0"/>
      <w:marTop w:val="0"/>
      <w:marBottom w:val="0"/>
      <w:divBdr>
        <w:top w:val="none" w:sz="0" w:space="0" w:color="auto"/>
        <w:left w:val="none" w:sz="0" w:space="0" w:color="auto"/>
        <w:bottom w:val="none" w:sz="0" w:space="0" w:color="auto"/>
        <w:right w:val="none" w:sz="0" w:space="0" w:color="auto"/>
      </w:divBdr>
    </w:div>
    <w:div w:id="1557160415">
      <w:marLeft w:val="0"/>
      <w:marRight w:val="0"/>
      <w:marTop w:val="0"/>
      <w:marBottom w:val="0"/>
      <w:divBdr>
        <w:top w:val="none" w:sz="0" w:space="0" w:color="auto"/>
        <w:left w:val="none" w:sz="0" w:space="0" w:color="auto"/>
        <w:bottom w:val="none" w:sz="0" w:space="0" w:color="auto"/>
        <w:right w:val="none" w:sz="0" w:space="0" w:color="auto"/>
      </w:divBdr>
    </w:div>
    <w:div w:id="1557160416">
      <w:marLeft w:val="0"/>
      <w:marRight w:val="0"/>
      <w:marTop w:val="0"/>
      <w:marBottom w:val="0"/>
      <w:divBdr>
        <w:top w:val="none" w:sz="0" w:space="0" w:color="auto"/>
        <w:left w:val="none" w:sz="0" w:space="0" w:color="auto"/>
        <w:bottom w:val="none" w:sz="0" w:space="0" w:color="auto"/>
        <w:right w:val="none" w:sz="0" w:space="0" w:color="auto"/>
      </w:divBdr>
    </w:div>
    <w:div w:id="1557160417">
      <w:marLeft w:val="0"/>
      <w:marRight w:val="0"/>
      <w:marTop w:val="0"/>
      <w:marBottom w:val="0"/>
      <w:divBdr>
        <w:top w:val="none" w:sz="0" w:space="0" w:color="auto"/>
        <w:left w:val="none" w:sz="0" w:space="0" w:color="auto"/>
        <w:bottom w:val="none" w:sz="0" w:space="0" w:color="auto"/>
        <w:right w:val="none" w:sz="0" w:space="0" w:color="auto"/>
      </w:divBdr>
    </w:div>
    <w:div w:id="1557160418">
      <w:marLeft w:val="0"/>
      <w:marRight w:val="0"/>
      <w:marTop w:val="0"/>
      <w:marBottom w:val="0"/>
      <w:divBdr>
        <w:top w:val="none" w:sz="0" w:space="0" w:color="auto"/>
        <w:left w:val="none" w:sz="0" w:space="0" w:color="auto"/>
        <w:bottom w:val="none" w:sz="0" w:space="0" w:color="auto"/>
        <w:right w:val="none" w:sz="0" w:space="0" w:color="auto"/>
      </w:divBdr>
    </w:div>
    <w:div w:id="1557160419">
      <w:marLeft w:val="0"/>
      <w:marRight w:val="0"/>
      <w:marTop w:val="0"/>
      <w:marBottom w:val="0"/>
      <w:divBdr>
        <w:top w:val="none" w:sz="0" w:space="0" w:color="auto"/>
        <w:left w:val="none" w:sz="0" w:space="0" w:color="auto"/>
        <w:bottom w:val="none" w:sz="0" w:space="0" w:color="auto"/>
        <w:right w:val="none" w:sz="0" w:space="0" w:color="auto"/>
      </w:divBdr>
    </w:div>
    <w:div w:id="1557160420">
      <w:marLeft w:val="0"/>
      <w:marRight w:val="0"/>
      <w:marTop w:val="0"/>
      <w:marBottom w:val="0"/>
      <w:divBdr>
        <w:top w:val="none" w:sz="0" w:space="0" w:color="auto"/>
        <w:left w:val="none" w:sz="0" w:space="0" w:color="auto"/>
        <w:bottom w:val="none" w:sz="0" w:space="0" w:color="auto"/>
        <w:right w:val="none" w:sz="0" w:space="0" w:color="auto"/>
      </w:divBdr>
    </w:div>
    <w:div w:id="1557160421">
      <w:marLeft w:val="0"/>
      <w:marRight w:val="0"/>
      <w:marTop w:val="0"/>
      <w:marBottom w:val="0"/>
      <w:divBdr>
        <w:top w:val="none" w:sz="0" w:space="0" w:color="auto"/>
        <w:left w:val="none" w:sz="0" w:space="0" w:color="auto"/>
        <w:bottom w:val="none" w:sz="0" w:space="0" w:color="auto"/>
        <w:right w:val="none" w:sz="0" w:space="0" w:color="auto"/>
      </w:divBdr>
    </w:div>
    <w:div w:id="1557160424">
      <w:marLeft w:val="0"/>
      <w:marRight w:val="0"/>
      <w:marTop w:val="0"/>
      <w:marBottom w:val="0"/>
      <w:divBdr>
        <w:top w:val="none" w:sz="0" w:space="0" w:color="auto"/>
        <w:left w:val="none" w:sz="0" w:space="0" w:color="auto"/>
        <w:bottom w:val="none" w:sz="0" w:space="0" w:color="auto"/>
        <w:right w:val="none" w:sz="0" w:space="0" w:color="auto"/>
      </w:divBdr>
    </w:div>
    <w:div w:id="1557160425">
      <w:marLeft w:val="0"/>
      <w:marRight w:val="0"/>
      <w:marTop w:val="0"/>
      <w:marBottom w:val="0"/>
      <w:divBdr>
        <w:top w:val="none" w:sz="0" w:space="0" w:color="auto"/>
        <w:left w:val="none" w:sz="0" w:space="0" w:color="auto"/>
        <w:bottom w:val="none" w:sz="0" w:space="0" w:color="auto"/>
        <w:right w:val="none" w:sz="0" w:space="0" w:color="auto"/>
      </w:divBdr>
    </w:div>
    <w:div w:id="1557160426">
      <w:marLeft w:val="0"/>
      <w:marRight w:val="0"/>
      <w:marTop w:val="0"/>
      <w:marBottom w:val="0"/>
      <w:divBdr>
        <w:top w:val="none" w:sz="0" w:space="0" w:color="auto"/>
        <w:left w:val="none" w:sz="0" w:space="0" w:color="auto"/>
        <w:bottom w:val="none" w:sz="0" w:space="0" w:color="auto"/>
        <w:right w:val="none" w:sz="0" w:space="0" w:color="auto"/>
      </w:divBdr>
      <w:divsChild>
        <w:div w:id="1557160422">
          <w:marLeft w:val="0"/>
          <w:marRight w:val="0"/>
          <w:marTop w:val="0"/>
          <w:marBottom w:val="0"/>
          <w:divBdr>
            <w:top w:val="none" w:sz="0" w:space="0" w:color="auto"/>
            <w:left w:val="none" w:sz="0" w:space="0" w:color="auto"/>
            <w:bottom w:val="none" w:sz="0" w:space="0" w:color="auto"/>
            <w:right w:val="none" w:sz="0" w:space="0" w:color="auto"/>
          </w:divBdr>
        </w:div>
        <w:div w:id="1557160427">
          <w:marLeft w:val="0"/>
          <w:marRight w:val="0"/>
          <w:marTop w:val="0"/>
          <w:marBottom w:val="0"/>
          <w:divBdr>
            <w:top w:val="single" w:sz="12" w:space="0" w:color="8CC4C3"/>
            <w:left w:val="single" w:sz="12" w:space="0" w:color="8CC4C3"/>
            <w:bottom w:val="single" w:sz="12" w:space="0" w:color="8CC4C3"/>
            <w:right w:val="single" w:sz="12" w:space="0" w:color="8CC4C3"/>
          </w:divBdr>
          <w:divsChild>
            <w:div w:id="1557160423">
              <w:marLeft w:val="0"/>
              <w:marRight w:val="0"/>
              <w:marTop w:val="0"/>
              <w:marBottom w:val="0"/>
              <w:divBdr>
                <w:top w:val="none" w:sz="0" w:space="0" w:color="auto"/>
                <w:left w:val="none" w:sz="0" w:space="0" w:color="auto"/>
                <w:bottom w:val="none" w:sz="0" w:space="0" w:color="auto"/>
                <w:right w:val="none" w:sz="0" w:space="0" w:color="auto"/>
              </w:divBdr>
            </w:div>
            <w:div w:id="15571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429">
      <w:marLeft w:val="0"/>
      <w:marRight w:val="0"/>
      <w:marTop w:val="0"/>
      <w:marBottom w:val="0"/>
      <w:divBdr>
        <w:top w:val="none" w:sz="0" w:space="0" w:color="auto"/>
        <w:left w:val="none" w:sz="0" w:space="0" w:color="auto"/>
        <w:bottom w:val="none" w:sz="0" w:space="0" w:color="auto"/>
        <w:right w:val="none" w:sz="0" w:space="0" w:color="auto"/>
      </w:divBdr>
    </w:div>
    <w:div w:id="1557160430">
      <w:marLeft w:val="0"/>
      <w:marRight w:val="0"/>
      <w:marTop w:val="0"/>
      <w:marBottom w:val="0"/>
      <w:divBdr>
        <w:top w:val="none" w:sz="0" w:space="0" w:color="auto"/>
        <w:left w:val="none" w:sz="0" w:space="0" w:color="auto"/>
        <w:bottom w:val="none" w:sz="0" w:space="0" w:color="auto"/>
        <w:right w:val="none" w:sz="0" w:space="0" w:color="auto"/>
      </w:divBdr>
      <w:divsChild>
        <w:div w:id="1557160438">
          <w:marLeft w:val="0"/>
          <w:marRight w:val="0"/>
          <w:marTop w:val="0"/>
          <w:marBottom w:val="0"/>
          <w:divBdr>
            <w:top w:val="none" w:sz="0" w:space="0" w:color="auto"/>
            <w:left w:val="none" w:sz="0" w:space="0" w:color="auto"/>
            <w:bottom w:val="none" w:sz="0" w:space="0" w:color="auto"/>
            <w:right w:val="none" w:sz="0" w:space="0" w:color="auto"/>
          </w:divBdr>
        </w:div>
      </w:divsChild>
    </w:div>
    <w:div w:id="1557160431">
      <w:marLeft w:val="0"/>
      <w:marRight w:val="0"/>
      <w:marTop w:val="0"/>
      <w:marBottom w:val="0"/>
      <w:divBdr>
        <w:top w:val="none" w:sz="0" w:space="0" w:color="auto"/>
        <w:left w:val="none" w:sz="0" w:space="0" w:color="auto"/>
        <w:bottom w:val="none" w:sz="0" w:space="0" w:color="auto"/>
        <w:right w:val="none" w:sz="0" w:space="0" w:color="auto"/>
      </w:divBdr>
    </w:div>
    <w:div w:id="1557160432">
      <w:marLeft w:val="0"/>
      <w:marRight w:val="0"/>
      <w:marTop w:val="0"/>
      <w:marBottom w:val="0"/>
      <w:divBdr>
        <w:top w:val="none" w:sz="0" w:space="0" w:color="auto"/>
        <w:left w:val="none" w:sz="0" w:space="0" w:color="auto"/>
        <w:bottom w:val="none" w:sz="0" w:space="0" w:color="auto"/>
        <w:right w:val="none" w:sz="0" w:space="0" w:color="auto"/>
      </w:divBdr>
    </w:div>
    <w:div w:id="1557160433">
      <w:marLeft w:val="0"/>
      <w:marRight w:val="0"/>
      <w:marTop w:val="0"/>
      <w:marBottom w:val="0"/>
      <w:divBdr>
        <w:top w:val="none" w:sz="0" w:space="0" w:color="auto"/>
        <w:left w:val="none" w:sz="0" w:space="0" w:color="auto"/>
        <w:bottom w:val="none" w:sz="0" w:space="0" w:color="auto"/>
        <w:right w:val="none" w:sz="0" w:space="0" w:color="auto"/>
      </w:divBdr>
    </w:div>
    <w:div w:id="1557160435">
      <w:marLeft w:val="0"/>
      <w:marRight w:val="0"/>
      <w:marTop w:val="0"/>
      <w:marBottom w:val="0"/>
      <w:divBdr>
        <w:top w:val="none" w:sz="0" w:space="0" w:color="auto"/>
        <w:left w:val="none" w:sz="0" w:space="0" w:color="auto"/>
        <w:bottom w:val="none" w:sz="0" w:space="0" w:color="auto"/>
        <w:right w:val="none" w:sz="0" w:space="0" w:color="auto"/>
      </w:divBdr>
    </w:div>
    <w:div w:id="1557160436">
      <w:marLeft w:val="0"/>
      <w:marRight w:val="0"/>
      <w:marTop w:val="0"/>
      <w:marBottom w:val="0"/>
      <w:divBdr>
        <w:top w:val="none" w:sz="0" w:space="0" w:color="auto"/>
        <w:left w:val="none" w:sz="0" w:space="0" w:color="auto"/>
        <w:bottom w:val="none" w:sz="0" w:space="0" w:color="auto"/>
        <w:right w:val="none" w:sz="0" w:space="0" w:color="auto"/>
      </w:divBdr>
    </w:div>
    <w:div w:id="1557160437">
      <w:marLeft w:val="0"/>
      <w:marRight w:val="0"/>
      <w:marTop w:val="0"/>
      <w:marBottom w:val="0"/>
      <w:divBdr>
        <w:top w:val="none" w:sz="0" w:space="0" w:color="auto"/>
        <w:left w:val="none" w:sz="0" w:space="0" w:color="auto"/>
        <w:bottom w:val="none" w:sz="0" w:space="0" w:color="auto"/>
        <w:right w:val="none" w:sz="0" w:space="0" w:color="auto"/>
      </w:divBdr>
      <w:divsChild>
        <w:div w:id="1557160434">
          <w:marLeft w:val="0"/>
          <w:marRight w:val="0"/>
          <w:marTop w:val="0"/>
          <w:marBottom w:val="0"/>
          <w:divBdr>
            <w:top w:val="none" w:sz="0" w:space="0" w:color="auto"/>
            <w:left w:val="none" w:sz="0" w:space="0" w:color="auto"/>
            <w:bottom w:val="none" w:sz="0" w:space="0" w:color="auto"/>
            <w:right w:val="none" w:sz="0" w:space="0" w:color="auto"/>
          </w:divBdr>
        </w:div>
      </w:divsChild>
    </w:div>
    <w:div w:id="1557160439">
      <w:marLeft w:val="0"/>
      <w:marRight w:val="0"/>
      <w:marTop w:val="0"/>
      <w:marBottom w:val="0"/>
      <w:divBdr>
        <w:top w:val="none" w:sz="0" w:space="0" w:color="auto"/>
        <w:left w:val="none" w:sz="0" w:space="0" w:color="auto"/>
        <w:bottom w:val="none" w:sz="0" w:space="0" w:color="auto"/>
        <w:right w:val="none" w:sz="0" w:space="0" w:color="auto"/>
      </w:divBdr>
    </w:div>
    <w:div w:id="1557160440">
      <w:marLeft w:val="0"/>
      <w:marRight w:val="0"/>
      <w:marTop w:val="0"/>
      <w:marBottom w:val="0"/>
      <w:divBdr>
        <w:top w:val="none" w:sz="0" w:space="0" w:color="auto"/>
        <w:left w:val="none" w:sz="0" w:space="0" w:color="auto"/>
        <w:bottom w:val="none" w:sz="0" w:space="0" w:color="auto"/>
        <w:right w:val="none" w:sz="0" w:space="0" w:color="auto"/>
      </w:divBdr>
    </w:div>
    <w:div w:id="1557160441">
      <w:marLeft w:val="0"/>
      <w:marRight w:val="0"/>
      <w:marTop w:val="0"/>
      <w:marBottom w:val="0"/>
      <w:divBdr>
        <w:top w:val="none" w:sz="0" w:space="0" w:color="auto"/>
        <w:left w:val="none" w:sz="0" w:space="0" w:color="auto"/>
        <w:bottom w:val="none" w:sz="0" w:space="0" w:color="auto"/>
        <w:right w:val="none" w:sz="0" w:space="0" w:color="auto"/>
      </w:divBdr>
    </w:div>
    <w:div w:id="1557160442">
      <w:marLeft w:val="0"/>
      <w:marRight w:val="0"/>
      <w:marTop w:val="0"/>
      <w:marBottom w:val="0"/>
      <w:divBdr>
        <w:top w:val="none" w:sz="0" w:space="0" w:color="auto"/>
        <w:left w:val="none" w:sz="0" w:space="0" w:color="auto"/>
        <w:bottom w:val="none" w:sz="0" w:space="0" w:color="auto"/>
        <w:right w:val="none" w:sz="0" w:space="0" w:color="auto"/>
      </w:divBdr>
    </w:div>
    <w:div w:id="1557160443">
      <w:marLeft w:val="0"/>
      <w:marRight w:val="0"/>
      <w:marTop w:val="0"/>
      <w:marBottom w:val="0"/>
      <w:divBdr>
        <w:top w:val="none" w:sz="0" w:space="0" w:color="auto"/>
        <w:left w:val="none" w:sz="0" w:space="0" w:color="auto"/>
        <w:bottom w:val="none" w:sz="0" w:space="0" w:color="auto"/>
        <w:right w:val="none" w:sz="0" w:space="0" w:color="auto"/>
      </w:divBdr>
    </w:div>
    <w:div w:id="1557160444">
      <w:marLeft w:val="0"/>
      <w:marRight w:val="0"/>
      <w:marTop w:val="0"/>
      <w:marBottom w:val="0"/>
      <w:divBdr>
        <w:top w:val="none" w:sz="0" w:space="0" w:color="auto"/>
        <w:left w:val="none" w:sz="0" w:space="0" w:color="auto"/>
        <w:bottom w:val="none" w:sz="0" w:space="0" w:color="auto"/>
        <w:right w:val="none" w:sz="0" w:space="0" w:color="auto"/>
      </w:divBdr>
    </w:div>
    <w:div w:id="1557160445">
      <w:marLeft w:val="0"/>
      <w:marRight w:val="0"/>
      <w:marTop w:val="0"/>
      <w:marBottom w:val="0"/>
      <w:divBdr>
        <w:top w:val="none" w:sz="0" w:space="0" w:color="auto"/>
        <w:left w:val="none" w:sz="0" w:space="0" w:color="auto"/>
        <w:bottom w:val="none" w:sz="0" w:space="0" w:color="auto"/>
        <w:right w:val="none" w:sz="0" w:space="0" w:color="auto"/>
      </w:divBdr>
    </w:div>
    <w:div w:id="1557160446">
      <w:marLeft w:val="0"/>
      <w:marRight w:val="0"/>
      <w:marTop w:val="0"/>
      <w:marBottom w:val="0"/>
      <w:divBdr>
        <w:top w:val="none" w:sz="0" w:space="0" w:color="auto"/>
        <w:left w:val="none" w:sz="0" w:space="0" w:color="auto"/>
        <w:bottom w:val="none" w:sz="0" w:space="0" w:color="auto"/>
        <w:right w:val="none" w:sz="0" w:space="0" w:color="auto"/>
      </w:divBdr>
    </w:div>
    <w:div w:id="1557160447">
      <w:marLeft w:val="0"/>
      <w:marRight w:val="0"/>
      <w:marTop w:val="0"/>
      <w:marBottom w:val="0"/>
      <w:divBdr>
        <w:top w:val="none" w:sz="0" w:space="0" w:color="auto"/>
        <w:left w:val="none" w:sz="0" w:space="0" w:color="auto"/>
        <w:bottom w:val="none" w:sz="0" w:space="0" w:color="auto"/>
        <w:right w:val="none" w:sz="0" w:space="0" w:color="auto"/>
      </w:divBdr>
    </w:div>
    <w:div w:id="1557160448">
      <w:marLeft w:val="0"/>
      <w:marRight w:val="0"/>
      <w:marTop w:val="0"/>
      <w:marBottom w:val="0"/>
      <w:divBdr>
        <w:top w:val="none" w:sz="0" w:space="0" w:color="auto"/>
        <w:left w:val="none" w:sz="0" w:space="0" w:color="auto"/>
        <w:bottom w:val="none" w:sz="0" w:space="0" w:color="auto"/>
        <w:right w:val="none" w:sz="0" w:space="0" w:color="auto"/>
      </w:divBdr>
    </w:div>
    <w:div w:id="1557160449">
      <w:marLeft w:val="0"/>
      <w:marRight w:val="0"/>
      <w:marTop w:val="0"/>
      <w:marBottom w:val="0"/>
      <w:divBdr>
        <w:top w:val="none" w:sz="0" w:space="0" w:color="auto"/>
        <w:left w:val="none" w:sz="0" w:space="0" w:color="auto"/>
        <w:bottom w:val="none" w:sz="0" w:space="0" w:color="auto"/>
        <w:right w:val="none" w:sz="0" w:space="0" w:color="auto"/>
      </w:divBdr>
    </w:div>
    <w:div w:id="1557160450">
      <w:marLeft w:val="0"/>
      <w:marRight w:val="0"/>
      <w:marTop w:val="0"/>
      <w:marBottom w:val="0"/>
      <w:divBdr>
        <w:top w:val="none" w:sz="0" w:space="0" w:color="auto"/>
        <w:left w:val="none" w:sz="0" w:space="0" w:color="auto"/>
        <w:bottom w:val="none" w:sz="0" w:space="0" w:color="auto"/>
        <w:right w:val="none" w:sz="0" w:space="0" w:color="auto"/>
      </w:divBdr>
    </w:div>
    <w:div w:id="1557160451">
      <w:marLeft w:val="0"/>
      <w:marRight w:val="0"/>
      <w:marTop w:val="0"/>
      <w:marBottom w:val="0"/>
      <w:divBdr>
        <w:top w:val="none" w:sz="0" w:space="0" w:color="auto"/>
        <w:left w:val="none" w:sz="0" w:space="0" w:color="auto"/>
        <w:bottom w:val="none" w:sz="0" w:space="0" w:color="auto"/>
        <w:right w:val="none" w:sz="0" w:space="0" w:color="auto"/>
      </w:divBdr>
    </w:div>
    <w:div w:id="1557160452">
      <w:marLeft w:val="0"/>
      <w:marRight w:val="0"/>
      <w:marTop w:val="0"/>
      <w:marBottom w:val="0"/>
      <w:divBdr>
        <w:top w:val="none" w:sz="0" w:space="0" w:color="auto"/>
        <w:left w:val="none" w:sz="0" w:space="0" w:color="auto"/>
        <w:bottom w:val="none" w:sz="0" w:space="0" w:color="auto"/>
        <w:right w:val="none" w:sz="0" w:space="0" w:color="auto"/>
      </w:divBdr>
    </w:div>
    <w:div w:id="1557160453">
      <w:marLeft w:val="0"/>
      <w:marRight w:val="0"/>
      <w:marTop w:val="0"/>
      <w:marBottom w:val="0"/>
      <w:divBdr>
        <w:top w:val="none" w:sz="0" w:space="0" w:color="auto"/>
        <w:left w:val="none" w:sz="0" w:space="0" w:color="auto"/>
        <w:bottom w:val="none" w:sz="0" w:space="0" w:color="auto"/>
        <w:right w:val="none" w:sz="0" w:space="0" w:color="auto"/>
      </w:divBdr>
    </w:div>
    <w:div w:id="1557160454">
      <w:marLeft w:val="0"/>
      <w:marRight w:val="0"/>
      <w:marTop w:val="0"/>
      <w:marBottom w:val="0"/>
      <w:divBdr>
        <w:top w:val="none" w:sz="0" w:space="0" w:color="auto"/>
        <w:left w:val="none" w:sz="0" w:space="0" w:color="auto"/>
        <w:bottom w:val="none" w:sz="0" w:space="0" w:color="auto"/>
        <w:right w:val="none" w:sz="0" w:space="0" w:color="auto"/>
      </w:divBdr>
    </w:div>
    <w:div w:id="1557160455">
      <w:marLeft w:val="0"/>
      <w:marRight w:val="0"/>
      <w:marTop w:val="0"/>
      <w:marBottom w:val="0"/>
      <w:divBdr>
        <w:top w:val="none" w:sz="0" w:space="0" w:color="auto"/>
        <w:left w:val="none" w:sz="0" w:space="0" w:color="auto"/>
        <w:bottom w:val="none" w:sz="0" w:space="0" w:color="auto"/>
        <w:right w:val="none" w:sz="0" w:space="0" w:color="auto"/>
      </w:divBdr>
    </w:div>
    <w:div w:id="1557160456">
      <w:marLeft w:val="0"/>
      <w:marRight w:val="0"/>
      <w:marTop w:val="0"/>
      <w:marBottom w:val="0"/>
      <w:divBdr>
        <w:top w:val="none" w:sz="0" w:space="0" w:color="auto"/>
        <w:left w:val="none" w:sz="0" w:space="0" w:color="auto"/>
        <w:bottom w:val="none" w:sz="0" w:space="0" w:color="auto"/>
        <w:right w:val="none" w:sz="0" w:space="0" w:color="auto"/>
      </w:divBdr>
    </w:div>
    <w:div w:id="1557160457">
      <w:marLeft w:val="0"/>
      <w:marRight w:val="0"/>
      <w:marTop w:val="0"/>
      <w:marBottom w:val="0"/>
      <w:divBdr>
        <w:top w:val="none" w:sz="0" w:space="0" w:color="auto"/>
        <w:left w:val="none" w:sz="0" w:space="0" w:color="auto"/>
        <w:bottom w:val="none" w:sz="0" w:space="0" w:color="auto"/>
        <w:right w:val="none" w:sz="0" w:space="0" w:color="auto"/>
      </w:divBdr>
    </w:div>
    <w:div w:id="1557160458">
      <w:marLeft w:val="0"/>
      <w:marRight w:val="0"/>
      <w:marTop w:val="0"/>
      <w:marBottom w:val="0"/>
      <w:divBdr>
        <w:top w:val="none" w:sz="0" w:space="0" w:color="auto"/>
        <w:left w:val="none" w:sz="0" w:space="0" w:color="auto"/>
        <w:bottom w:val="none" w:sz="0" w:space="0" w:color="auto"/>
        <w:right w:val="none" w:sz="0" w:space="0" w:color="auto"/>
      </w:divBdr>
    </w:div>
    <w:div w:id="1557160459">
      <w:marLeft w:val="0"/>
      <w:marRight w:val="0"/>
      <w:marTop w:val="0"/>
      <w:marBottom w:val="0"/>
      <w:divBdr>
        <w:top w:val="none" w:sz="0" w:space="0" w:color="auto"/>
        <w:left w:val="none" w:sz="0" w:space="0" w:color="auto"/>
        <w:bottom w:val="none" w:sz="0" w:space="0" w:color="auto"/>
        <w:right w:val="none" w:sz="0" w:space="0" w:color="auto"/>
      </w:divBdr>
    </w:div>
    <w:div w:id="1557160460">
      <w:marLeft w:val="0"/>
      <w:marRight w:val="0"/>
      <w:marTop w:val="0"/>
      <w:marBottom w:val="0"/>
      <w:divBdr>
        <w:top w:val="none" w:sz="0" w:space="0" w:color="auto"/>
        <w:left w:val="none" w:sz="0" w:space="0" w:color="auto"/>
        <w:bottom w:val="none" w:sz="0" w:space="0" w:color="auto"/>
        <w:right w:val="none" w:sz="0" w:space="0" w:color="auto"/>
      </w:divBdr>
    </w:div>
    <w:div w:id="1557160461">
      <w:marLeft w:val="0"/>
      <w:marRight w:val="0"/>
      <w:marTop w:val="0"/>
      <w:marBottom w:val="0"/>
      <w:divBdr>
        <w:top w:val="none" w:sz="0" w:space="0" w:color="auto"/>
        <w:left w:val="none" w:sz="0" w:space="0" w:color="auto"/>
        <w:bottom w:val="none" w:sz="0" w:space="0" w:color="auto"/>
        <w:right w:val="none" w:sz="0" w:space="0" w:color="auto"/>
      </w:divBdr>
    </w:div>
    <w:div w:id="1557160462">
      <w:marLeft w:val="0"/>
      <w:marRight w:val="0"/>
      <w:marTop w:val="0"/>
      <w:marBottom w:val="0"/>
      <w:divBdr>
        <w:top w:val="none" w:sz="0" w:space="0" w:color="auto"/>
        <w:left w:val="none" w:sz="0" w:space="0" w:color="auto"/>
        <w:bottom w:val="none" w:sz="0" w:space="0" w:color="auto"/>
        <w:right w:val="none" w:sz="0" w:space="0" w:color="auto"/>
      </w:divBdr>
    </w:div>
    <w:div w:id="1557160463">
      <w:marLeft w:val="0"/>
      <w:marRight w:val="0"/>
      <w:marTop w:val="0"/>
      <w:marBottom w:val="0"/>
      <w:divBdr>
        <w:top w:val="none" w:sz="0" w:space="0" w:color="auto"/>
        <w:left w:val="none" w:sz="0" w:space="0" w:color="auto"/>
        <w:bottom w:val="none" w:sz="0" w:space="0" w:color="auto"/>
        <w:right w:val="none" w:sz="0" w:space="0" w:color="auto"/>
      </w:divBdr>
    </w:div>
    <w:div w:id="1557160464">
      <w:marLeft w:val="0"/>
      <w:marRight w:val="0"/>
      <w:marTop w:val="0"/>
      <w:marBottom w:val="0"/>
      <w:divBdr>
        <w:top w:val="none" w:sz="0" w:space="0" w:color="auto"/>
        <w:left w:val="none" w:sz="0" w:space="0" w:color="auto"/>
        <w:bottom w:val="none" w:sz="0" w:space="0" w:color="auto"/>
        <w:right w:val="none" w:sz="0" w:space="0" w:color="auto"/>
      </w:divBdr>
    </w:div>
    <w:div w:id="1557160465">
      <w:marLeft w:val="0"/>
      <w:marRight w:val="0"/>
      <w:marTop w:val="0"/>
      <w:marBottom w:val="0"/>
      <w:divBdr>
        <w:top w:val="none" w:sz="0" w:space="0" w:color="auto"/>
        <w:left w:val="none" w:sz="0" w:space="0" w:color="auto"/>
        <w:bottom w:val="none" w:sz="0" w:space="0" w:color="auto"/>
        <w:right w:val="none" w:sz="0" w:space="0" w:color="auto"/>
      </w:divBdr>
    </w:div>
    <w:div w:id="1557160466">
      <w:marLeft w:val="0"/>
      <w:marRight w:val="0"/>
      <w:marTop w:val="0"/>
      <w:marBottom w:val="0"/>
      <w:divBdr>
        <w:top w:val="none" w:sz="0" w:space="0" w:color="auto"/>
        <w:left w:val="none" w:sz="0" w:space="0" w:color="auto"/>
        <w:bottom w:val="none" w:sz="0" w:space="0" w:color="auto"/>
        <w:right w:val="none" w:sz="0" w:space="0" w:color="auto"/>
      </w:divBdr>
    </w:div>
    <w:div w:id="1557160467">
      <w:marLeft w:val="0"/>
      <w:marRight w:val="0"/>
      <w:marTop w:val="0"/>
      <w:marBottom w:val="0"/>
      <w:divBdr>
        <w:top w:val="none" w:sz="0" w:space="0" w:color="auto"/>
        <w:left w:val="none" w:sz="0" w:space="0" w:color="auto"/>
        <w:bottom w:val="none" w:sz="0" w:space="0" w:color="auto"/>
        <w:right w:val="none" w:sz="0" w:space="0" w:color="auto"/>
      </w:divBdr>
    </w:div>
    <w:div w:id="1557160468">
      <w:marLeft w:val="0"/>
      <w:marRight w:val="0"/>
      <w:marTop w:val="0"/>
      <w:marBottom w:val="0"/>
      <w:divBdr>
        <w:top w:val="none" w:sz="0" w:space="0" w:color="auto"/>
        <w:left w:val="none" w:sz="0" w:space="0" w:color="auto"/>
        <w:bottom w:val="none" w:sz="0" w:space="0" w:color="auto"/>
        <w:right w:val="none" w:sz="0" w:space="0" w:color="auto"/>
      </w:divBdr>
    </w:div>
    <w:div w:id="1557160469">
      <w:marLeft w:val="0"/>
      <w:marRight w:val="0"/>
      <w:marTop w:val="0"/>
      <w:marBottom w:val="0"/>
      <w:divBdr>
        <w:top w:val="none" w:sz="0" w:space="0" w:color="auto"/>
        <w:left w:val="none" w:sz="0" w:space="0" w:color="auto"/>
        <w:bottom w:val="none" w:sz="0" w:space="0" w:color="auto"/>
        <w:right w:val="none" w:sz="0" w:space="0" w:color="auto"/>
      </w:divBdr>
    </w:div>
    <w:div w:id="1557160470">
      <w:marLeft w:val="0"/>
      <w:marRight w:val="0"/>
      <w:marTop w:val="0"/>
      <w:marBottom w:val="0"/>
      <w:divBdr>
        <w:top w:val="none" w:sz="0" w:space="0" w:color="auto"/>
        <w:left w:val="none" w:sz="0" w:space="0" w:color="auto"/>
        <w:bottom w:val="none" w:sz="0" w:space="0" w:color="auto"/>
        <w:right w:val="none" w:sz="0" w:space="0" w:color="auto"/>
      </w:divBdr>
    </w:div>
    <w:div w:id="1557160471">
      <w:marLeft w:val="0"/>
      <w:marRight w:val="0"/>
      <w:marTop w:val="0"/>
      <w:marBottom w:val="0"/>
      <w:divBdr>
        <w:top w:val="none" w:sz="0" w:space="0" w:color="auto"/>
        <w:left w:val="none" w:sz="0" w:space="0" w:color="auto"/>
        <w:bottom w:val="none" w:sz="0" w:space="0" w:color="auto"/>
        <w:right w:val="none" w:sz="0" w:space="0" w:color="auto"/>
      </w:divBdr>
    </w:div>
    <w:div w:id="1557160472">
      <w:marLeft w:val="0"/>
      <w:marRight w:val="0"/>
      <w:marTop w:val="0"/>
      <w:marBottom w:val="0"/>
      <w:divBdr>
        <w:top w:val="none" w:sz="0" w:space="0" w:color="auto"/>
        <w:left w:val="none" w:sz="0" w:space="0" w:color="auto"/>
        <w:bottom w:val="none" w:sz="0" w:space="0" w:color="auto"/>
        <w:right w:val="none" w:sz="0" w:space="0" w:color="auto"/>
      </w:divBdr>
    </w:div>
    <w:div w:id="1557160473">
      <w:marLeft w:val="0"/>
      <w:marRight w:val="0"/>
      <w:marTop w:val="0"/>
      <w:marBottom w:val="0"/>
      <w:divBdr>
        <w:top w:val="none" w:sz="0" w:space="0" w:color="auto"/>
        <w:left w:val="none" w:sz="0" w:space="0" w:color="auto"/>
        <w:bottom w:val="none" w:sz="0" w:space="0" w:color="auto"/>
        <w:right w:val="none" w:sz="0" w:space="0" w:color="auto"/>
      </w:divBdr>
    </w:div>
    <w:div w:id="1557160474">
      <w:marLeft w:val="0"/>
      <w:marRight w:val="0"/>
      <w:marTop w:val="0"/>
      <w:marBottom w:val="0"/>
      <w:divBdr>
        <w:top w:val="none" w:sz="0" w:space="0" w:color="auto"/>
        <w:left w:val="none" w:sz="0" w:space="0" w:color="auto"/>
        <w:bottom w:val="none" w:sz="0" w:space="0" w:color="auto"/>
        <w:right w:val="none" w:sz="0" w:space="0" w:color="auto"/>
      </w:divBdr>
    </w:div>
    <w:div w:id="1557160475">
      <w:marLeft w:val="0"/>
      <w:marRight w:val="0"/>
      <w:marTop w:val="0"/>
      <w:marBottom w:val="0"/>
      <w:divBdr>
        <w:top w:val="none" w:sz="0" w:space="0" w:color="auto"/>
        <w:left w:val="none" w:sz="0" w:space="0" w:color="auto"/>
        <w:bottom w:val="none" w:sz="0" w:space="0" w:color="auto"/>
        <w:right w:val="none" w:sz="0" w:space="0" w:color="auto"/>
      </w:divBdr>
    </w:div>
    <w:div w:id="1557160476">
      <w:marLeft w:val="0"/>
      <w:marRight w:val="0"/>
      <w:marTop w:val="0"/>
      <w:marBottom w:val="0"/>
      <w:divBdr>
        <w:top w:val="none" w:sz="0" w:space="0" w:color="auto"/>
        <w:left w:val="none" w:sz="0" w:space="0" w:color="auto"/>
        <w:bottom w:val="none" w:sz="0" w:space="0" w:color="auto"/>
        <w:right w:val="none" w:sz="0" w:space="0" w:color="auto"/>
      </w:divBdr>
    </w:div>
    <w:div w:id="1557160477">
      <w:marLeft w:val="0"/>
      <w:marRight w:val="0"/>
      <w:marTop w:val="0"/>
      <w:marBottom w:val="0"/>
      <w:divBdr>
        <w:top w:val="none" w:sz="0" w:space="0" w:color="auto"/>
        <w:left w:val="none" w:sz="0" w:space="0" w:color="auto"/>
        <w:bottom w:val="none" w:sz="0" w:space="0" w:color="auto"/>
        <w:right w:val="none" w:sz="0" w:space="0" w:color="auto"/>
      </w:divBdr>
    </w:div>
    <w:div w:id="1557160478">
      <w:marLeft w:val="0"/>
      <w:marRight w:val="0"/>
      <w:marTop w:val="0"/>
      <w:marBottom w:val="0"/>
      <w:divBdr>
        <w:top w:val="none" w:sz="0" w:space="0" w:color="auto"/>
        <w:left w:val="none" w:sz="0" w:space="0" w:color="auto"/>
        <w:bottom w:val="none" w:sz="0" w:space="0" w:color="auto"/>
        <w:right w:val="none" w:sz="0" w:space="0" w:color="auto"/>
      </w:divBdr>
    </w:div>
    <w:div w:id="1557160479">
      <w:marLeft w:val="0"/>
      <w:marRight w:val="0"/>
      <w:marTop w:val="0"/>
      <w:marBottom w:val="0"/>
      <w:divBdr>
        <w:top w:val="none" w:sz="0" w:space="0" w:color="auto"/>
        <w:left w:val="none" w:sz="0" w:space="0" w:color="auto"/>
        <w:bottom w:val="none" w:sz="0" w:space="0" w:color="auto"/>
        <w:right w:val="none" w:sz="0" w:space="0" w:color="auto"/>
      </w:divBdr>
    </w:div>
    <w:div w:id="1557160480">
      <w:marLeft w:val="0"/>
      <w:marRight w:val="0"/>
      <w:marTop w:val="0"/>
      <w:marBottom w:val="0"/>
      <w:divBdr>
        <w:top w:val="none" w:sz="0" w:space="0" w:color="auto"/>
        <w:left w:val="none" w:sz="0" w:space="0" w:color="auto"/>
        <w:bottom w:val="none" w:sz="0" w:space="0" w:color="auto"/>
        <w:right w:val="none" w:sz="0" w:space="0" w:color="auto"/>
      </w:divBdr>
    </w:div>
    <w:div w:id="1557160481">
      <w:marLeft w:val="0"/>
      <w:marRight w:val="0"/>
      <w:marTop w:val="0"/>
      <w:marBottom w:val="0"/>
      <w:divBdr>
        <w:top w:val="none" w:sz="0" w:space="0" w:color="auto"/>
        <w:left w:val="none" w:sz="0" w:space="0" w:color="auto"/>
        <w:bottom w:val="none" w:sz="0" w:space="0" w:color="auto"/>
        <w:right w:val="none" w:sz="0" w:space="0" w:color="auto"/>
      </w:divBdr>
    </w:div>
    <w:div w:id="1557160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2921</Words>
  <Characters>1666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 par MK noteikumu projektu “Ministru kabineta 1998.gada 29.decembra noteikumos Nr.489 “Dzelzceļa infrastruktūras (sliežu ceļu) valsts reģistrācijas un uzskaites kārtība” (VSS-1168)</vt:lpstr>
    </vt:vector>
  </TitlesOfParts>
  <Company>Vides aizsardzības un reģionālās attīstības ministrija</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MK noteikumu projektu “Ministru kabineta 1998.gada 29.decembra noteikumos Nr.489 “Dzelzceļa infrastruktūras (sliežu ceļu) valsts reģistrācijas un uzskaites kārtība” (VSS-1168)</dc:title>
  <dc:subject>Izziņa</dc:subject>
  <dc:creator>Ilze Jureviča</dc:creator>
  <cp:keywords>Izziņa</cp:keywords>
  <dc:description>Balaša 67028071Santa.Balaša@sam.gov.lv</dc:description>
  <cp:lastModifiedBy>Baiba Jirgena</cp:lastModifiedBy>
  <cp:revision>41</cp:revision>
  <cp:lastPrinted>2018-12-03T10:16:00Z</cp:lastPrinted>
  <dcterms:created xsi:type="dcterms:W3CDTF">2019-12-18T11:58:00Z</dcterms:created>
  <dcterms:modified xsi:type="dcterms:W3CDTF">2020-01-15T13:27:00Z</dcterms:modified>
</cp:coreProperties>
</file>