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073B" w:rsidR="00EC073B" w:rsidP="00EC073B" w:rsidRDefault="00EC073B" w14:paraId="0676F07A" w14:textId="77777777">
      <w:pPr>
        <w:shd w:val="clear" w:color="auto" w:fill="FFFFFF"/>
        <w:spacing w:after="0" w:line="240" w:lineRule="auto"/>
        <w:jc w:val="center"/>
        <w:rPr>
          <w:rFonts w:ascii="Times New Roman" w:hAnsi="Times New Roman" w:eastAsia="Times New Roman" w:cs="Times New Roman"/>
          <w:b/>
          <w:bCs/>
          <w:color w:val="000000"/>
          <w:sz w:val="28"/>
          <w:szCs w:val="24"/>
          <w:lang w:eastAsia="lv-LV"/>
        </w:rPr>
      </w:pPr>
      <w:r w:rsidRPr="00EC073B">
        <w:rPr>
          <w:rFonts w:ascii="Times New Roman" w:hAnsi="Times New Roman" w:eastAsia="Times New Roman" w:cs="Times New Roman"/>
          <w:b/>
          <w:bCs/>
          <w:color w:val="000000"/>
          <w:sz w:val="28"/>
          <w:szCs w:val="24"/>
          <w:lang w:eastAsia="lv-LV"/>
        </w:rPr>
        <w:t>Ministru kabineta rīkojuma projekta</w:t>
      </w:r>
    </w:p>
    <w:p w:rsidR="00EC7D1A" w:rsidP="00EC7D1A" w:rsidRDefault="00EC073B" w14:paraId="28A58564" w14:textId="77777777">
      <w:pPr>
        <w:spacing w:after="0" w:line="240" w:lineRule="auto"/>
        <w:ind w:firstLine="720"/>
        <w:jc w:val="center"/>
        <w:rPr>
          <w:rFonts w:ascii="Times New Roman" w:hAnsi="Times New Roman" w:eastAsia="Times New Roman" w:cs="Times New Roman"/>
          <w:b/>
          <w:bCs/>
          <w:color w:val="000000"/>
          <w:sz w:val="28"/>
          <w:szCs w:val="24"/>
          <w:lang w:eastAsia="lv-LV"/>
        </w:rPr>
      </w:pPr>
      <w:r w:rsidRPr="00973210">
        <w:rPr>
          <w:rFonts w:ascii="Times New Roman" w:hAnsi="Times New Roman" w:eastAsia="Times New Roman" w:cs="Times New Roman"/>
          <w:b/>
          <w:bCs/>
          <w:color w:val="000000"/>
          <w:sz w:val="28"/>
          <w:szCs w:val="28"/>
          <w:lang w:eastAsia="lv-LV"/>
        </w:rPr>
        <w:t>“</w:t>
      </w:r>
      <w:r w:rsidRPr="00EC7D1A" w:rsidR="00EC7D1A">
        <w:rPr>
          <w:rFonts w:ascii="Times New Roman" w:hAnsi="Times New Roman" w:eastAsia="Times New Roman" w:cs="Times New Roman"/>
          <w:b/>
          <w:bCs/>
          <w:color w:val="000000"/>
          <w:sz w:val="28"/>
          <w:szCs w:val="28"/>
          <w:lang w:eastAsia="lv-LV"/>
        </w:rPr>
        <w:t>Par valstij piederošā nekustamā īpašuma “Rucavas autobusu pieturvieta”, Rucavā, Rucavas pagas</w:t>
      </w:r>
      <w:bookmarkStart w:name="_GoBack" w:id="0"/>
      <w:bookmarkEnd w:id="0"/>
      <w:r w:rsidRPr="00EC7D1A" w:rsidR="00EC7D1A">
        <w:rPr>
          <w:rFonts w:ascii="Times New Roman" w:hAnsi="Times New Roman" w:eastAsia="Times New Roman" w:cs="Times New Roman"/>
          <w:b/>
          <w:bCs/>
          <w:color w:val="000000"/>
          <w:sz w:val="28"/>
          <w:szCs w:val="28"/>
          <w:lang w:eastAsia="lv-LV"/>
        </w:rPr>
        <w:t>tā, Rucavas novadā, nodošanu Rucavas novada pašvaldības īpašumā</w:t>
      </w:r>
      <w:r w:rsidRPr="00EC073B">
        <w:rPr>
          <w:rFonts w:ascii="Times New Roman" w:hAnsi="Times New Roman" w:eastAsia="Times New Roman" w:cs="Times New Roman"/>
          <w:b/>
          <w:bCs/>
          <w:color w:val="000000"/>
          <w:sz w:val="28"/>
          <w:szCs w:val="24"/>
          <w:lang w:eastAsia="lv-LV"/>
        </w:rPr>
        <w:t xml:space="preserve">” </w:t>
      </w:r>
    </w:p>
    <w:p w:rsidRPr="00EC7D1A" w:rsidR="00EC073B" w:rsidP="00EC7D1A" w:rsidRDefault="00EC073B" w14:paraId="1BF43098" w14:textId="77418C05">
      <w:pPr>
        <w:spacing w:after="0" w:line="240" w:lineRule="auto"/>
        <w:ind w:firstLine="720"/>
        <w:jc w:val="center"/>
        <w:rPr>
          <w:rFonts w:ascii="Times New Roman" w:hAnsi="Times New Roman" w:eastAsia="Times New Roman" w:cs="Times New Roman"/>
          <w:b/>
          <w:bCs/>
          <w:color w:val="000000"/>
          <w:sz w:val="28"/>
          <w:szCs w:val="24"/>
          <w:lang w:eastAsia="lv-LV"/>
        </w:rPr>
      </w:pPr>
      <w:r w:rsidRPr="00EC073B">
        <w:rPr>
          <w:rFonts w:ascii="Times New Roman" w:hAnsi="Times New Roman" w:eastAsia="Times New Roman" w:cs="Times New Roman"/>
          <w:b/>
          <w:bCs/>
          <w:color w:val="000000"/>
          <w:sz w:val="28"/>
          <w:szCs w:val="24"/>
          <w:lang w:eastAsia="lv-LV"/>
        </w:rPr>
        <w:t>sākotnējās ietekmes novērtējuma ziņojums (anotācija)</w:t>
      </w:r>
    </w:p>
    <w:p w:rsidRPr="00EC073B" w:rsidR="00EC073B" w:rsidP="00EC073B" w:rsidRDefault="00EC073B" w14:paraId="01F8FA82" w14:textId="77777777">
      <w:pPr>
        <w:shd w:val="clear" w:color="auto" w:fill="FFFFFF"/>
        <w:spacing w:after="0" w:line="240" w:lineRule="auto"/>
        <w:jc w:val="center"/>
        <w:rPr>
          <w:rFonts w:ascii="Times New Roman" w:hAnsi="Times New Roman" w:eastAsia="Times New Roman" w:cs="Times New Roman"/>
          <w:b/>
          <w:bCs/>
          <w:color w:val="000000"/>
          <w:sz w:val="28"/>
          <w:szCs w:val="24"/>
          <w:lang w:eastAsia="lv-LV"/>
        </w:rPr>
      </w:pPr>
    </w:p>
    <w:tbl>
      <w:tblPr>
        <w:tblW w:w="555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8626"/>
      </w:tblGrid>
      <w:tr w:rsidRPr="00EC073B" w:rsidR="00EC073B" w:rsidTr="0085464D" w14:paraId="20618391"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47AF050C" w14:textId="77777777">
            <w:pPr>
              <w:spacing w:after="0" w:line="240" w:lineRule="auto"/>
              <w:jc w:val="center"/>
              <w:rPr>
                <w:rFonts w:ascii="Times New Roman" w:hAnsi="Times New Roman" w:eastAsia="Times New Roman" w:cs="Times New Roman"/>
                <w:b/>
                <w:bCs/>
                <w:iCs/>
                <w:color w:val="000000"/>
                <w:sz w:val="24"/>
                <w:szCs w:val="24"/>
                <w:lang w:val="sv-SE" w:eastAsia="lv-LV"/>
              </w:rPr>
            </w:pPr>
            <w:r w:rsidRPr="00EC073B">
              <w:rPr>
                <w:rFonts w:ascii="Times New Roman" w:hAnsi="Times New Roman" w:eastAsia="Times New Roman" w:cs="Times New Roman"/>
                <w:b/>
                <w:bCs/>
                <w:iCs/>
                <w:color w:val="000000"/>
                <w:sz w:val="24"/>
                <w:szCs w:val="24"/>
                <w:lang w:val="sv-SE" w:eastAsia="lv-LV"/>
              </w:rPr>
              <w:t>Tiesību akta projekta anotācijas kopsavilkums</w:t>
            </w:r>
          </w:p>
        </w:tc>
      </w:tr>
      <w:tr w:rsidRPr="00EC073B" w:rsidR="00EC073B" w:rsidTr="0085464D" w14:paraId="1EDE157D"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80112DD" w14:textId="77777777">
            <w:pPr>
              <w:spacing w:line="256" w:lineRule="auto"/>
              <w:rPr>
                <w:rFonts w:ascii="Times New Roman" w:hAnsi="Times New Roman" w:eastAsia="Times New Roman" w:cs="Times New Roman"/>
                <w:b/>
                <w:bCs/>
                <w:iCs/>
                <w:color w:val="000000"/>
                <w:sz w:val="24"/>
                <w:szCs w:val="24"/>
                <w:lang w:val="sv-SE" w:eastAsia="lv-LV"/>
              </w:rPr>
            </w:pPr>
          </w:p>
        </w:tc>
        <w:tc>
          <w:tcPr>
            <w:tcW w:w="466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C3D832C" w14:textId="77777777">
            <w:pPr>
              <w:spacing w:after="0" w:line="240" w:lineRule="auto"/>
              <w:jc w:val="center"/>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p>
        </w:tc>
      </w:tr>
    </w:tbl>
    <w:p w:rsidRPr="00EC073B" w:rsidR="00EC073B" w:rsidP="00EC073B" w:rsidRDefault="00EC073B" w14:paraId="48EB227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55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2"/>
        <w:gridCol w:w="2323"/>
        <w:gridCol w:w="6350"/>
      </w:tblGrid>
      <w:tr w:rsidRPr="00EC073B" w:rsidR="00EC073B" w:rsidTr="0085464D" w14:paraId="3EB231F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7F96290F" w14:textId="77777777">
            <w:pPr>
              <w:spacing w:after="0" w:line="240" w:lineRule="auto"/>
              <w:jc w:val="center"/>
              <w:rPr>
                <w:rFonts w:ascii="Times New Roman" w:hAnsi="Times New Roman" w:eastAsia="Times New Roman" w:cs="Times New Roman"/>
                <w:b/>
                <w:bCs/>
                <w:iCs/>
                <w:color w:val="000000"/>
                <w:sz w:val="24"/>
                <w:szCs w:val="24"/>
                <w:lang w:val="sv-SE" w:eastAsia="lv-LV"/>
              </w:rPr>
            </w:pPr>
            <w:r w:rsidRPr="00EC073B">
              <w:rPr>
                <w:rFonts w:ascii="Times New Roman" w:hAnsi="Times New Roman" w:eastAsia="Times New Roman" w:cs="Times New Roman"/>
                <w:b/>
                <w:bCs/>
                <w:iCs/>
                <w:color w:val="000000"/>
                <w:sz w:val="24"/>
                <w:szCs w:val="24"/>
                <w:lang w:val="sv-SE" w:eastAsia="lv-LV"/>
              </w:rPr>
              <w:t>I. Tiesību akta projekta izstrādes nepieciešamība</w:t>
            </w:r>
          </w:p>
        </w:tc>
      </w:tr>
      <w:tr w:rsidRPr="00EC073B" w:rsidR="00EC073B" w:rsidTr="0085464D" w14:paraId="2C057BEC"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349565"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1.</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D541F6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Pamatojums</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F4598D7" w14:textId="483072B1">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Publiskas personas mantas atsavināšanas likuma 42.panta pirmā daļa</w:t>
            </w:r>
            <w:r w:rsidR="00EC7D1A">
              <w:rPr>
                <w:rFonts w:ascii="Times New Roman" w:hAnsi="Times New Roman" w:eastAsia="Times New Roman" w:cs="Times New Roman"/>
                <w:iCs/>
                <w:color w:val="000000"/>
                <w:sz w:val="24"/>
                <w:szCs w:val="24"/>
                <w:lang w:eastAsia="lv-LV"/>
              </w:rPr>
              <w:t xml:space="preserve">, </w:t>
            </w:r>
            <w:r w:rsidRPr="00EC073B">
              <w:rPr>
                <w:rFonts w:ascii="Times New Roman" w:hAnsi="Times New Roman" w:eastAsia="Times New Roman" w:cs="Times New Roman"/>
                <w:iCs/>
                <w:color w:val="000000"/>
                <w:sz w:val="24"/>
                <w:szCs w:val="24"/>
                <w:lang w:eastAsia="lv-LV"/>
              </w:rPr>
              <w:t>43.pants</w:t>
            </w:r>
            <w:r w:rsidR="00EC7D1A">
              <w:rPr>
                <w:rFonts w:ascii="Times New Roman" w:hAnsi="Times New Roman" w:eastAsia="Times New Roman" w:cs="Times New Roman"/>
                <w:iCs/>
                <w:color w:val="000000"/>
                <w:sz w:val="24"/>
                <w:szCs w:val="24"/>
                <w:lang w:eastAsia="lv-LV"/>
              </w:rPr>
              <w:t>,</w:t>
            </w:r>
            <w:r w:rsidRPr="00EC073B">
              <w:rPr>
                <w:rFonts w:ascii="Times New Roman" w:hAnsi="Times New Roman" w:eastAsia="Times New Roman" w:cs="Times New Roman"/>
                <w:iCs/>
                <w:color w:val="000000"/>
                <w:sz w:val="24"/>
                <w:szCs w:val="24"/>
                <w:lang w:eastAsia="lv-LV"/>
              </w:rPr>
              <w:t xml:space="preserve"> likuma “Par autoceļiem” 4.panta pirmā daļa un </w:t>
            </w:r>
            <w:r w:rsidRPr="00EC7D1A" w:rsidR="00EC7D1A">
              <w:rPr>
                <w:rFonts w:ascii="Times New Roman" w:hAnsi="Times New Roman" w:eastAsia="Times New Roman" w:cs="Times New Roman"/>
                <w:iCs/>
                <w:color w:val="000000"/>
                <w:sz w:val="24"/>
                <w:szCs w:val="24"/>
                <w:lang w:eastAsia="lv-LV"/>
              </w:rPr>
              <w:t>Tūrisma likuma 8.panta 4.punkt</w:t>
            </w:r>
            <w:r w:rsidR="00EC7D1A">
              <w:rPr>
                <w:rFonts w:ascii="Times New Roman" w:hAnsi="Times New Roman" w:eastAsia="Times New Roman" w:cs="Times New Roman"/>
                <w:iCs/>
                <w:color w:val="000000"/>
                <w:sz w:val="24"/>
                <w:szCs w:val="24"/>
                <w:lang w:eastAsia="lv-LV"/>
              </w:rPr>
              <w:t>s.</w:t>
            </w:r>
          </w:p>
        </w:tc>
      </w:tr>
      <w:tr w:rsidRPr="00C9006C" w:rsidR="00EC073B" w:rsidTr="0085464D" w14:paraId="04AB8EC5"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96FE479"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2.</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49CEAB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hAnsi="Times New Roman" w:eastAsia="Times New Roman" w:cs="Times New Roman"/>
                <w:iCs/>
                <w:color w:val="000000"/>
                <w:sz w:val="24"/>
                <w:szCs w:val="24"/>
                <w:lang w:eastAsia="lv-LV"/>
              </w:rPr>
              <w:t>mērķis</w:t>
            </w:r>
            <w:r w:rsidRPr="00EC073B">
              <w:rPr>
                <w:rFonts w:ascii="Times New Roman" w:hAnsi="Times New Roman" w:eastAsia="Times New Roman" w:cs="Times New Roman"/>
                <w:iCs/>
                <w:color w:val="000000"/>
                <w:sz w:val="24"/>
                <w:szCs w:val="24"/>
                <w:lang w:eastAsia="lv-LV"/>
              </w:rPr>
              <w:t xml:space="preserve"> un būtība</w:t>
            </w:r>
          </w:p>
        </w:tc>
        <w:tc>
          <w:tcPr>
            <w:tcW w:w="3415" w:type="pct"/>
            <w:tcBorders>
              <w:top w:val="outset" w:color="auto" w:sz="6" w:space="0"/>
              <w:left w:val="outset" w:color="auto" w:sz="6" w:space="0"/>
              <w:bottom w:val="outset" w:color="auto" w:sz="6" w:space="0"/>
              <w:right w:val="outset" w:color="auto" w:sz="6" w:space="0"/>
            </w:tcBorders>
            <w:hideMark/>
          </w:tcPr>
          <w:p w:rsidRPr="00910AE6" w:rsidR="00EC073B" w:rsidP="00EC073B" w:rsidRDefault="00EC073B" w14:paraId="12E4885B" w14:textId="3D1EA344">
            <w:pPr>
              <w:spacing w:after="0" w:line="240" w:lineRule="auto"/>
              <w:jc w:val="both"/>
              <w:rPr>
                <w:rFonts w:ascii="Times New Roman" w:hAnsi="Times New Roman" w:eastAsia="Times New Roman" w:cs="Times New Roman"/>
                <w:iCs/>
                <w:color w:val="000000"/>
                <w:sz w:val="24"/>
                <w:szCs w:val="24"/>
                <w:lang w:eastAsia="lv-LV"/>
              </w:rPr>
            </w:pPr>
            <w:r w:rsidRPr="00910AE6">
              <w:rPr>
                <w:rFonts w:ascii="Times New Roman" w:hAnsi="Times New Roman" w:eastAsia="Times New Roman" w:cs="Times New Roman"/>
                <w:iCs/>
                <w:color w:val="000000"/>
                <w:sz w:val="24"/>
                <w:szCs w:val="24"/>
                <w:lang w:eastAsia="lv-LV"/>
              </w:rPr>
              <w:t xml:space="preserve">       Ministru kabineta rīkojuma projekts “</w:t>
            </w:r>
            <w:r w:rsidRPr="00910AE6" w:rsidR="007A2F03">
              <w:rPr>
                <w:rFonts w:ascii="Times New Roman" w:hAnsi="Times New Roman" w:eastAsia="Times New Roman" w:cs="Times New Roman"/>
                <w:iCs/>
                <w:color w:val="000000"/>
                <w:sz w:val="24"/>
                <w:szCs w:val="24"/>
                <w:lang w:eastAsia="lv-LV"/>
              </w:rPr>
              <w:t>Par</w:t>
            </w:r>
            <w:r w:rsidR="0085464D">
              <w:rPr>
                <w:rFonts w:ascii="Times New Roman" w:hAnsi="Times New Roman" w:eastAsia="Times New Roman" w:cs="Times New Roman"/>
                <w:iCs/>
                <w:color w:val="000000"/>
                <w:sz w:val="24"/>
                <w:szCs w:val="24"/>
                <w:lang w:eastAsia="lv-LV"/>
              </w:rPr>
              <w:t xml:space="preserve"> </w:t>
            </w:r>
            <w:r w:rsidRPr="0085464D" w:rsidR="0085464D">
              <w:rPr>
                <w:rFonts w:ascii="Times New Roman" w:hAnsi="Times New Roman" w:eastAsia="Times New Roman" w:cs="Times New Roman"/>
                <w:iCs/>
                <w:color w:val="000000"/>
                <w:sz w:val="24"/>
                <w:szCs w:val="24"/>
                <w:lang w:eastAsia="lv-LV"/>
              </w:rPr>
              <w:t>valstij piederošā nekustamā īpašuma “Rucavas autobusu pieturvieta”, Rucavā, Rucavas pagastā, Rucavas novadā, nodošanu Rucavas novada pašvaldības īpašumā</w:t>
            </w:r>
            <w:r w:rsidRPr="00910AE6">
              <w:rPr>
                <w:rFonts w:ascii="Times New Roman" w:hAnsi="Times New Roman" w:eastAsia="Times New Roman" w:cs="Times New Roman"/>
                <w:iCs/>
                <w:color w:val="000000"/>
                <w:sz w:val="24"/>
                <w:szCs w:val="24"/>
                <w:lang w:eastAsia="lv-LV"/>
              </w:rPr>
              <w:t xml:space="preserve">” (turpmāk – rīkojuma projekts) sagatavots, ņemot vērā </w:t>
            </w:r>
            <w:r w:rsidRPr="00910AE6" w:rsidR="00677550">
              <w:rPr>
                <w:rFonts w:ascii="Times New Roman" w:hAnsi="Times New Roman" w:eastAsia="Times New Roman" w:cs="Times New Roman"/>
                <w:iCs/>
                <w:color w:val="000000"/>
                <w:sz w:val="24"/>
                <w:szCs w:val="24"/>
                <w:lang w:eastAsia="lv-LV"/>
              </w:rPr>
              <w:t>Rucavas</w:t>
            </w:r>
            <w:r w:rsidRPr="00910AE6">
              <w:rPr>
                <w:rFonts w:ascii="Times New Roman" w:hAnsi="Times New Roman" w:eastAsia="Times New Roman" w:cs="Times New Roman"/>
                <w:iCs/>
                <w:color w:val="000000"/>
                <w:sz w:val="24"/>
                <w:szCs w:val="24"/>
                <w:lang w:eastAsia="lv-LV"/>
              </w:rPr>
              <w:t xml:space="preserve"> novada domes 201</w:t>
            </w:r>
            <w:r w:rsidRPr="00910AE6" w:rsidR="00677550">
              <w:rPr>
                <w:rFonts w:ascii="Times New Roman" w:hAnsi="Times New Roman" w:eastAsia="Times New Roman" w:cs="Times New Roman"/>
                <w:iCs/>
                <w:color w:val="000000"/>
                <w:sz w:val="24"/>
                <w:szCs w:val="24"/>
                <w:lang w:eastAsia="lv-LV"/>
              </w:rPr>
              <w:t>6</w:t>
            </w:r>
            <w:r w:rsidRPr="00910AE6">
              <w:rPr>
                <w:rFonts w:ascii="Times New Roman" w:hAnsi="Times New Roman" w:eastAsia="Times New Roman" w:cs="Times New Roman"/>
                <w:iCs/>
                <w:color w:val="000000"/>
                <w:sz w:val="24"/>
                <w:szCs w:val="24"/>
                <w:lang w:eastAsia="lv-LV"/>
              </w:rPr>
              <w:t>.gada 3</w:t>
            </w:r>
            <w:r w:rsidRPr="00910AE6" w:rsidR="00677550">
              <w:rPr>
                <w:rFonts w:ascii="Times New Roman" w:hAnsi="Times New Roman" w:eastAsia="Times New Roman" w:cs="Times New Roman"/>
                <w:iCs/>
                <w:color w:val="000000"/>
                <w:sz w:val="24"/>
                <w:szCs w:val="24"/>
                <w:lang w:eastAsia="lv-LV"/>
              </w:rPr>
              <w:t>0</w:t>
            </w:r>
            <w:r w:rsidRPr="00910AE6">
              <w:rPr>
                <w:rFonts w:ascii="Times New Roman" w:hAnsi="Times New Roman" w:eastAsia="Times New Roman" w:cs="Times New Roman"/>
                <w:iCs/>
                <w:color w:val="000000"/>
                <w:sz w:val="24"/>
                <w:szCs w:val="24"/>
                <w:lang w:eastAsia="lv-LV"/>
              </w:rPr>
              <w:t>.</w:t>
            </w:r>
            <w:r w:rsidRPr="00910AE6" w:rsidR="00677550">
              <w:rPr>
                <w:rFonts w:ascii="Times New Roman" w:hAnsi="Times New Roman" w:eastAsia="Times New Roman" w:cs="Times New Roman"/>
                <w:iCs/>
                <w:color w:val="000000"/>
                <w:sz w:val="24"/>
                <w:szCs w:val="24"/>
                <w:lang w:eastAsia="lv-LV"/>
              </w:rPr>
              <w:t>novembra</w:t>
            </w:r>
            <w:r w:rsidRPr="00910AE6">
              <w:rPr>
                <w:rFonts w:ascii="Times New Roman" w:hAnsi="Times New Roman" w:eastAsia="Times New Roman" w:cs="Times New Roman"/>
                <w:iCs/>
                <w:color w:val="000000"/>
                <w:sz w:val="24"/>
                <w:szCs w:val="24"/>
                <w:lang w:eastAsia="lv-LV"/>
              </w:rPr>
              <w:t xml:space="preserve"> </w:t>
            </w:r>
            <w:r w:rsidR="0085464D">
              <w:rPr>
                <w:rFonts w:ascii="Times New Roman" w:hAnsi="Times New Roman" w:eastAsia="Times New Roman" w:cs="Times New Roman"/>
                <w:iCs/>
                <w:color w:val="000000"/>
                <w:sz w:val="24"/>
                <w:szCs w:val="24"/>
                <w:lang w:eastAsia="lv-LV"/>
              </w:rPr>
              <w:t>lēmumu (</w:t>
            </w:r>
            <w:r w:rsidRPr="00910AE6" w:rsidR="00677550">
              <w:rPr>
                <w:rFonts w:ascii="Times New Roman" w:hAnsi="Times New Roman" w:eastAsia="Times New Roman" w:cs="Times New Roman"/>
                <w:iCs/>
                <w:color w:val="000000"/>
                <w:sz w:val="24"/>
                <w:szCs w:val="24"/>
                <w:lang w:eastAsia="lv-LV"/>
              </w:rPr>
              <w:t>prot</w:t>
            </w:r>
            <w:r w:rsidR="0085464D">
              <w:rPr>
                <w:rFonts w:ascii="Times New Roman" w:hAnsi="Times New Roman" w:eastAsia="Times New Roman" w:cs="Times New Roman"/>
                <w:iCs/>
                <w:color w:val="000000"/>
                <w:sz w:val="24"/>
                <w:szCs w:val="24"/>
                <w:lang w:eastAsia="lv-LV"/>
              </w:rPr>
              <w:t>.</w:t>
            </w:r>
            <w:r w:rsidRPr="00910AE6">
              <w:rPr>
                <w:rFonts w:ascii="Times New Roman" w:hAnsi="Times New Roman" w:eastAsia="Times New Roman" w:cs="Times New Roman"/>
                <w:iCs/>
                <w:color w:val="000000"/>
                <w:sz w:val="24"/>
                <w:szCs w:val="24"/>
                <w:lang w:eastAsia="lv-LV"/>
              </w:rPr>
              <w:t xml:space="preserve"> Nr.</w:t>
            </w:r>
            <w:r w:rsidRPr="00910AE6" w:rsidR="00677550">
              <w:rPr>
                <w:rFonts w:ascii="Times New Roman" w:hAnsi="Times New Roman" w:eastAsia="Times New Roman" w:cs="Times New Roman"/>
                <w:iCs/>
                <w:color w:val="000000"/>
                <w:sz w:val="24"/>
                <w:szCs w:val="24"/>
                <w:lang w:eastAsia="lv-LV"/>
              </w:rPr>
              <w:t>20</w:t>
            </w:r>
            <w:r w:rsidR="0085464D">
              <w:rPr>
                <w:rFonts w:ascii="Times New Roman" w:hAnsi="Times New Roman" w:eastAsia="Times New Roman" w:cs="Times New Roman"/>
                <w:iCs/>
                <w:color w:val="000000"/>
                <w:sz w:val="24"/>
                <w:szCs w:val="24"/>
                <w:lang w:eastAsia="lv-LV"/>
              </w:rPr>
              <w:t xml:space="preserve">, </w:t>
            </w:r>
            <w:r w:rsidRPr="00910AE6" w:rsidR="00677550">
              <w:rPr>
                <w:rFonts w:ascii="Times New Roman" w:hAnsi="Times New Roman" w:eastAsia="Times New Roman" w:cs="Times New Roman"/>
                <w:iCs/>
                <w:color w:val="000000"/>
                <w:sz w:val="24"/>
                <w:szCs w:val="24"/>
                <w:lang w:eastAsia="lv-LV"/>
              </w:rPr>
              <w:t>1.12</w:t>
            </w:r>
            <w:r w:rsidRPr="00910AE6">
              <w:rPr>
                <w:rFonts w:ascii="Times New Roman" w:hAnsi="Times New Roman" w:eastAsia="Times New Roman" w:cs="Times New Roman"/>
                <w:iCs/>
                <w:color w:val="000000"/>
                <w:sz w:val="24"/>
                <w:szCs w:val="24"/>
                <w:lang w:eastAsia="lv-LV"/>
              </w:rPr>
              <w:t>.</w:t>
            </w:r>
            <w:r w:rsidRPr="00910AE6" w:rsidR="00677550">
              <w:rPr>
                <w:rFonts w:ascii="Times New Roman" w:hAnsi="Times New Roman" w:eastAsia="Times New Roman" w:cs="Times New Roman"/>
                <w:iCs/>
                <w:color w:val="000000"/>
                <w:sz w:val="24"/>
                <w:szCs w:val="24"/>
                <w:lang w:eastAsia="lv-LV"/>
              </w:rPr>
              <w:t>p.</w:t>
            </w:r>
            <w:r w:rsidRPr="00910AE6">
              <w:rPr>
                <w:rFonts w:ascii="Times New Roman" w:hAnsi="Times New Roman" w:eastAsia="Times New Roman" w:cs="Times New Roman"/>
                <w:iCs/>
                <w:color w:val="000000"/>
                <w:sz w:val="24"/>
                <w:szCs w:val="24"/>
                <w:lang w:eastAsia="lv-LV"/>
              </w:rPr>
              <w:t>) “</w:t>
            </w:r>
            <w:r w:rsidRPr="00910AE6" w:rsidR="00677550">
              <w:rPr>
                <w:rFonts w:ascii="Times New Roman" w:hAnsi="Times New Roman" w:eastAsia="Times New Roman" w:cs="Times New Roman"/>
                <w:iCs/>
                <w:color w:val="000000"/>
                <w:sz w:val="24"/>
                <w:szCs w:val="24"/>
                <w:lang w:eastAsia="lv-LV"/>
              </w:rPr>
              <w:t>Par autobusu pieturas “Rucava</w:t>
            </w:r>
            <w:r w:rsidRPr="00910AE6">
              <w:rPr>
                <w:rFonts w:ascii="Times New Roman" w:hAnsi="Times New Roman" w:eastAsia="Times New Roman" w:cs="Times New Roman"/>
                <w:iCs/>
                <w:color w:val="000000"/>
                <w:sz w:val="24"/>
                <w:szCs w:val="24"/>
                <w:lang w:eastAsia="lv-LV"/>
              </w:rPr>
              <w:t>”</w:t>
            </w:r>
            <w:r w:rsidRPr="00910AE6" w:rsidR="00677550">
              <w:rPr>
                <w:rFonts w:ascii="Times New Roman" w:hAnsi="Times New Roman" w:eastAsia="Times New Roman" w:cs="Times New Roman"/>
                <w:iCs/>
                <w:color w:val="000000"/>
                <w:sz w:val="24"/>
                <w:szCs w:val="24"/>
                <w:lang w:eastAsia="lv-LV"/>
              </w:rPr>
              <w:t xml:space="preserve"> ēkas pārņemšanu pašvaldības īpašumā”</w:t>
            </w:r>
            <w:r w:rsidR="0085464D">
              <w:rPr>
                <w:rFonts w:ascii="Times New Roman" w:hAnsi="Times New Roman" w:eastAsia="Times New Roman" w:cs="Times New Roman"/>
                <w:iCs/>
                <w:color w:val="000000"/>
                <w:sz w:val="24"/>
                <w:szCs w:val="24"/>
                <w:lang w:eastAsia="lv-LV"/>
              </w:rPr>
              <w:t xml:space="preserve"> un </w:t>
            </w:r>
            <w:r w:rsidRPr="00910AE6" w:rsidR="00C650C1">
              <w:rPr>
                <w:rFonts w:ascii="Times New Roman" w:hAnsi="Times New Roman" w:eastAsia="Times New Roman" w:cs="Times New Roman"/>
                <w:iCs/>
                <w:color w:val="000000"/>
                <w:sz w:val="24"/>
                <w:szCs w:val="24"/>
                <w:lang w:eastAsia="lv-LV"/>
              </w:rPr>
              <w:t>201</w:t>
            </w:r>
            <w:r w:rsidR="0085464D">
              <w:rPr>
                <w:rFonts w:ascii="Times New Roman" w:hAnsi="Times New Roman" w:eastAsia="Times New Roman" w:cs="Times New Roman"/>
                <w:iCs/>
                <w:color w:val="000000"/>
                <w:sz w:val="24"/>
                <w:szCs w:val="24"/>
                <w:lang w:eastAsia="lv-LV"/>
              </w:rPr>
              <w:t>7</w:t>
            </w:r>
            <w:r w:rsidRPr="00910AE6" w:rsidR="00C650C1">
              <w:rPr>
                <w:rFonts w:ascii="Times New Roman" w:hAnsi="Times New Roman" w:eastAsia="Times New Roman" w:cs="Times New Roman"/>
                <w:iCs/>
                <w:color w:val="000000"/>
                <w:sz w:val="24"/>
                <w:szCs w:val="24"/>
                <w:lang w:eastAsia="lv-LV"/>
              </w:rPr>
              <w:t xml:space="preserve">.gada </w:t>
            </w:r>
            <w:r w:rsidR="0085464D">
              <w:rPr>
                <w:rFonts w:ascii="Times New Roman" w:hAnsi="Times New Roman" w:eastAsia="Times New Roman" w:cs="Times New Roman"/>
                <w:iCs/>
                <w:color w:val="000000"/>
                <w:sz w:val="24"/>
                <w:szCs w:val="24"/>
                <w:lang w:eastAsia="lv-LV"/>
              </w:rPr>
              <w:t xml:space="preserve">23.februāra lēmumu (prot. Nr.4, 1.33.p.) </w:t>
            </w:r>
            <w:r w:rsidRPr="00910AE6">
              <w:rPr>
                <w:rFonts w:ascii="Times New Roman" w:hAnsi="Times New Roman" w:eastAsia="Times New Roman" w:cs="Times New Roman"/>
                <w:iCs/>
                <w:color w:val="000000"/>
                <w:sz w:val="24"/>
                <w:szCs w:val="24"/>
                <w:lang w:eastAsia="lv-LV"/>
              </w:rPr>
              <w:t>“Par</w:t>
            </w:r>
            <w:r w:rsidRPr="00910AE6" w:rsidR="00C650C1">
              <w:rPr>
                <w:rFonts w:ascii="Times New Roman" w:hAnsi="Times New Roman" w:eastAsia="Times New Roman" w:cs="Times New Roman"/>
                <w:iCs/>
                <w:color w:val="000000"/>
                <w:sz w:val="24"/>
                <w:szCs w:val="24"/>
                <w:lang w:eastAsia="lv-LV"/>
              </w:rPr>
              <w:t xml:space="preserve"> grozījumiem</w:t>
            </w:r>
            <w:r w:rsidR="0085464D">
              <w:rPr>
                <w:rFonts w:ascii="Times New Roman" w:hAnsi="Times New Roman" w:eastAsia="Times New Roman" w:cs="Times New Roman"/>
                <w:iCs/>
                <w:color w:val="000000"/>
                <w:sz w:val="24"/>
                <w:szCs w:val="24"/>
                <w:lang w:eastAsia="lv-LV"/>
              </w:rPr>
              <w:t xml:space="preserve"> </w:t>
            </w:r>
            <w:r w:rsidRPr="00910AE6" w:rsidR="00C650C1">
              <w:rPr>
                <w:rFonts w:ascii="Times New Roman" w:hAnsi="Times New Roman" w:eastAsia="Times New Roman" w:cs="Times New Roman"/>
                <w:iCs/>
                <w:color w:val="000000"/>
                <w:sz w:val="24"/>
                <w:szCs w:val="24"/>
                <w:lang w:eastAsia="lv-LV"/>
              </w:rPr>
              <w:t>2016.gada 30.novembra (protokols Nr.20) lēmumā 1.12</w:t>
            </w:r>
            <w:r w:rsidR="00554470">
              <w:rPr>
                <w:rFonts w:ascii="Times New Roman" w:hAnsi="Times New Roman" w:eastAsia="Times New Roman" w:cs="Times New Roman"/>
                <w:iCs/>
                <w:color w:val="000000"/>
                <w:sz w:val="24"/>
                <w:szCs w:val="24"/>
                <w:lang w:eastAsia="lv-LV"/>
              </w:rPr>
              <w:t>.</w:t>
            </w:r>
            <w:r w:rsidRPr="00910AE6">
              <w:rPr>
                <w:rFonts w:ascii="Times New Roman" w:hAnsi="Times New Roman" w:eastAsia="Times New Roman" w:cs="Times New Roman"/>
                <w:iCs/>
                <w:color w:val="000000"/>
                <w:sz w:val="24"/>
                <w:szCs w:val="24"/>
                <w:lang w:eastAsia="lv-LV"/>
              </w:rPr>
              <w:t>”</w:t>
            </w:r>
            <w:r w:rsidR="0085464D">
              <w:rPr>
                <w:rFonts w:ascii="Times New Roman" w:hAnsi="Times New Roman" w:eastAsia="Times New Roman" w:cs="Times New Roman"/>
                <w:iCs/>
                <w:color w:val="000000"/>
                <w:sz w:val="24"/>
                <w:szCs w:val="24"/>
                <w:lang w:eastAsia="lv-LV"/>
              </w:rPr>
              <w:t>.</w:t>
            </w:r>
          </w:p>
          <w:p w:rsidRPr="00910AE6" w:rsidR="00EA317A" w:rsidP="005D1A7D" w:rsidRDefault="00EC073B" w14:paraId="644FCECB" w14:textId="16C4854B">
            <w:pPr>
              <w:pStyle w:val="NoSpacing"/>
              <w:jc w:val="both"/>
              <w:rPr>
                <w:rFonts w:ascii="Times New Roman" w:hAnsi="Times New Roman" w:cs="Times New Roman"/>
                <w:iCs/>
                <w:sz w:val="24"/>
                <w:szCs w:val="24"/>
              </w:rPr>
            </w:pPr>
            <w:r w:rsidRPr="00910AE6">
              <w:rPr>
                <w:rFonts w:ascii="Times New Roman" w:hAnsi="Times New Roman" w:eastAsia="Times New Roman" w:cs="Times New Roman"/>
                <w:iCs/>
                <w:color w:val="000000"/>
                <w:sz w:val="24"/>
                <w:szCs w:val="24"/>
                <w:lang w:eastAsia="lv-LV"/>
              </w:rPr>
              <w:t xml:space="preserve">       Rīkojuma projekts paredz</w:t>
            </w:r>
            <w:r w:rsidRPr="00910AE6" w:rsidR="00EA317A">
              <w:rPr>
                <w:rFonts w:ascii="Times New Roman" w:hAnsi="Times New Roman" w:cs="Times New Roman"/>
                <w:iCs/>
                <w:sz w:val="24"/>
                <w:szCs w:val="24"/>
              </w:rPr>
              <w:t xml:space="preserve"> </w:t>
            </w:r>
            <w:r w:rsidRPr="00910AE6" w:rsidR="00AC7265">
              <w:rPr>
                <w:rFonts w:ascii="Times New Roman" w:hAnsi="Times New Roman" w:cs="Times New Roman"/>
                <w:iCs/>
                <w:sz w:val="24"/>
                <w:szCs w:val="24"/>
              </w:rPr>
              <w:t xml:space="preserve">nodot bez atlīdzības Rucavas novada pašvaldības īpašumā </w:t>
            </w:r>
            <w:r w:rsidRPr="00910AE6" w:rsidR="00EA317A">
              <w:rPr>
                <w:rFonts w:ascii="Times New Roman" w:hAnsi="Times New Roman" w:cs="Times New Roman"/>
                <w:iCs/>
                <w:sz w:val="24"/>
                <w:szCs w:val="24"/>
              </w:rPr>
              <w:t>valstij piederošo</w:t>
            </w:r>
            <w:r w:rsidR="0085464D">
              <w:rPr>
                <w:rFonts w:ascii="Times New Roman" w:hAnsi="Times New Roman" w:cs="Times New Roman"/>
                <w:iCs/>
                <w:sz w:val="24"/>
                <w:szCs w:val="24"/>
              </w:rPr>
              <w:t xml:space="preserve"> </w:t>
            </w:r>
            <w:r w:rsidRPr="00910AE6" w:rsidR="00EA317A">
              <w:rPr>
                <w:rFonts w:ascii="Times New Roman" w:hAnsi="Times New Roman" w:cs="Times New Roman"/>
                <w:iCs/>
                <w:sz w:val="24"/>
                <w:szCs w:val="24"/>
              </w:rPr>
              <w:t xml:space="preserve">nekustamo īpašumu </w:t>
            </w:r>
            <w:r w:rsidRPr="0085464D" w:rsidR="0085464D">
              <w:rPr>
                <w:rFonts w:ascii="Times New Roman" w:hAnsi="Times New Roman" w:cs="Times New Roman"/>
                <w:iCs/>
                <w:sz w:val="24"/>
                <w:szCs w:val="24"/>
              </w:rPr>
              <w:t>“Rucavas autobusu pieturvieta” (nekustamā īpašuma kadastra Nr. 6484 008 0552) -  zemes vienību 0.0649 ha platībā (zemes vienības kadastra apzīmējums 6484 008 0551) un autobusu pieturu Rucava (būves kadastra apzīmējums 6484 008 0551 001) – Rucavā, Rucavas pagastā, Rucavas novadā</w:t>
            </w:r>
            <w:r w:rsidR="0085464D">
              <w:rPr>
                <w:rFonts w:ascii="Times New Roman" w:hAnsi="Times New Roman" w:cs="Times New Roman"/>
                <w:iCs/>
                <w:sz w:val="24"/>
                <w:szCs w:val="24"/>
              </w:rPr>
              <w:t xml:space="preserve"> (turpmāk – nekustamais īpašums).</w:t>
            </w:r>
          </w:p>
          <w:p w:rsidR="00EC073B" w:rsidP="005D1A7D" w:rsidRDefault="00EC073B" w14:paraId="64BD2360" w14:textId="060752BF">
            <w:pPr>
              <w:pStyle w:val="NoSpacing"/>
              <w:jc w:val="both"/>
              <w:rPr>
                <w:rFonts w:ascii="Times New Roman" w:hAnsi="Times New Roman" w:eastAsia="Times New Roman" w:cs="Times New Roman"/>
                <w:iCs/>
                <w:color w:val="000000"/>
                <w:sz w:val="24"/>
                <w:szCs w:val="24"/>
                <w:lang w:eastAsia="lv-LV"/>
              </w:rPr>
            </w:pPr>
            <w:r w:rsidRPr="00910AE6">
              <w:rPr>
                <w:rFonts w:ascii="Times New Roman" w:hAnsi="Times New Roman" w:eastAsia="Times New Roman" w:cs="Times New Roman"/>
                <w:b/>
                <w:iCs/>
                <w:color w:val="000000"/>
                <w:sz w:val="24"/>
                <w:szCs w:val="24"/>
                <w:lang w:eastAsia="lv-LV"/>
              </w:rPr>
              <w:t xml:space="preserve">      </w:t>
            </w:r>
            <w:r w:rsidRPr="00910AE6">
              <w:rPr>
                <w:rFonts w:ascii="Times New Roman" w:hAnsi="Times New Roman" w:eastAsia="Times New Roman" w:cs="Times New Roman"/>
                <w:iCs/>
                <w:color w:val="000000"/>
                <w:sz w:val="24"/>
                <w:szCs w:val="24"/>
                <w:lang w:eastAsia="lv-LV"/>
              </w:rPr>
              <w:t>N</w:t>
            </w:r>
            <w:r w:rsidRPr="00910AE6" w:rsidR="005D1A7D">
              <w:rPr>
                <w:rFonts w:ascii="Times New Roman" w:hAnsi="Times New Roman" w:eastAsia="Times New Roman" w:cs="Times New Roman"/>
                <w:iCs/>
                <w:color w:val="000000"/>
                <w:sz w:val="24"/>
                <w:szCs w:val="24"/>
                <w:lang w:eastAsia="lv-LV"/>
              </w:rPr>
              <w:t>e</w:t>
            </w:r>
            <w:r w:rsidRPr="00910AE6">
              <w:rPr>
                <w:rFonts w:ascii="Times New Roman" w:hAnsi="Times New Roman" w:eastAsia="Times New Roman" w:cs="Times New Roman"/>
                <w:iCs/>
                <w:color w:val="000000"/>
                <w:sz w:val="24"/>
                <w:szCs w:val="24"/>
                <w:lang w:eastAsia="lv-LV"/>
              </w:rPr>
              <w:t xml:space="preserve">kustamais īpašums ierakstīts </w:t>
            </w:r>
            <w:r w:rsidRPr="00910AE6" w:rsidR="002A42A8">
              <w:rPr>
                <w:rFonts w:ascii="Times New Roman" w:hAnsi="Times New Roman" w:eastAsia="Times New Roman" w:cs="Times New Roman"/>
                <w:iCs/>
                <w:color w:val="000000"/>
                <w:sz w:val="24"/>
                <w:szCs w:val="24"/>
                <w:lang w:eastAsia="lv-LV"/>
              </w:rPr>
              <w:t xml:space="preserve">Kurzemes rajona tiesas </w:t>
            </w:r>
            <w:r w:rsidR="0085464D">
              <w:rPr>
                <w:rFonts w:ascii="Times New Roman" w:hAnsi="Times New Roman" w:eastAsia="Times New Roman" w:cs="Times New Roman"/>
                <w:iCs/>
                <w:color w:val="000000"/>
                <w:sz w:val="24"/>
                <w:szCs w:val="24"/>
                <w:lang w:eastAsia="lv-LV"/>
              </w:rPr>
              <w:t xml:space="preserve">Rucavas pagasta </w:t>
            </w:r>
            <w:r w:rsidRPr="00910AE6" w:rsidR="002A42A8">
              <w:rPr>
                <w:rFonts w:ascii="Times New Roman" w:hAnsi="Times New Roman" w:eastAsia="Times New Roman" w:cs="Times New Roman"/>
                <w:iCs/>
                <w:color w:val="000000"/>
                <w:sz w:val="24"/>
                <w:szCs w:val="24"/>
                <w:lang w:eastAsia="lv-LV"/>
              </w:rPr>
              <w:t>zemesgrāmatas nodalījumā Nr.100000590501 uz Latvijas valsts vārda Satiksmes ministrijas personā</w:t>
            </w:r>
            <w:r w:rsidR="00171CB9">
              <w:rPr>
                <w:rFonts w:ascii="Times New Roman" w:hAnsi="Times New Roman" w:eastAsia="Times New Roman" w:cs="Times New Roman"/>
                <w:iCs/>
                <w:color w:val="000000"/>
                <w:sz w:val="24"/>
                <w:szCs w:val="24"/>
                <w:lang w:eastAsia="lv-LV"/>
              </w:rPr>
              <w:t xml:space="preserve"> un tam ir noteikti </w:t>
            </w:r>
            <w:r w:rsidR="00515442">
              <w:rPr>
                <w:rFonts w:ascii="Times New Roman" w:hAnsi="Times New Roman" w:eastAsia="Times New Roman" w:cs="Times New Roman"/>
                <w:iCs/>
                <w:color w:val="000000"/>
                <w:sz w:val="24"/>
                <w:szCs w:val="24"/>
                <w:lang w:eastAsia="lv-LV"/>
              </w:rPr>
              <w:t>apgrūtinājumi:</w:t>
            </w:r>
          </w:p>
          <w:p w:rsidR="00063059" w:rsidP="005D1A7D" w:rsidRDefault="00063059" w14:paraId="47030DB7" w14:textId="6360B4E5">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1)</w:t>
            </w:r>
            <w:r w:rsidR="00687C8F">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vides un dabas resursu</w:t>
            </w:r>
            <w:r w:rsidR="00687C8F">
              <w:rPr>
                <w:rFonts w:ascii="Times New Roman" w:hAnsi="Times New Roman" w:eastAsia="Times New Roman" w:cs="Times New Roman"/>
                <w:iCs/>
                <w:color w:val="000000"/>
                <w:sz w:val="24"/>
                <w:szCs w:val="24"/>
                <w:lang w:eastAsia="lv-LV"/>
              </w:rPr>
              <w:t xml:space="preserve"> aizsardzības aizsargjoslas  (aizsardzības zonas) teritorija ap kultūras pieminekli pilsētās </w:t>
            </w:r>
            <w:r w:rsidR="004434E0">
              <w:rPr>
                <w:rFonts w:ascii="Times New Roman" w:hAnsi="Times New Roman" w:eastAsia="Times New Roman" w:cs="Times New Roman"/>
                <w:iCs/>
                <w:color w:val="000000"/>
                <w:sz w:val="24"/>
                <w:szCs w:val="24"/>
                <w:lang w:eastAsia="lv-LV"/>
              </w:rPr>
              <w:t>– 0.0649 ha</w:t>
            </w:r>
            <w:r w:rsidR="00687C8F">
              <w:rPr>
                <w:rFonts w:ascii="Times New Roman" w:hAnsi="Times New Roman" w:eastAsia="Times New Roman" w:cs="Times New Roman"/>
                <w:iCs/>
                <w:color w:val="000000"/>
                <w:sz w:val="24"/>
                <w:szCs w:val="24"/>
                <w:lang w:eastAsia="lv-LV"/>
              </w:rPr>
              <w:t>;</w:t>
            </w:r>
          </w:p>
          <w:p w:rsidR="00687C8F" w:rsidP="005D1A7D" w:rsidRDefault="00687C8F" w14:paraId="5B31F846" w14:textId="6A6F9715">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2) ekspluatācijas aizsargjoslas teritorija gar valsts vietējiem un pašvaldību autoceļiem lauku apvidos</w:t>
            </w:r>
            <w:r w:rsidR="004434E0">
              <w:rPr>
                <w:rFonts w:ascii="Times New Roman" w:hAnsi="Times New Roman" w:eastAsia="Times New Roman" w:cs="Times New Roman"/>
                <w:iCs/>
                <w:color w:val="000000"/>
                <w:sz w:val="24"/>
                <w:szCs w:val="24"/>
                <w:lang w:eastAsia="lv-LV"/>
              </w:rPr>
              <w:t xml:space="preserve"> – 0.0649 ha</w:t>
            </w:r>
            <w:r>
              <w:rPr>
                <w:rFonts w:ascii="Times New Roman" w:hAnsi="Times New Roman" w:eastAsia="Times New Roman" w:cs="Times New Roman"/>
                <w:iCs/>
                <w:color w:val="000000"/>
                <w:sz w:val="24"/>
                <w:szCs w:val="24"/>
                <w:lang w:eastAsia="lv-LV"/>
              </w:rPr>
              <w:t>;</w:t>
            </w:r>
          </w:p>
          <w:p w:rsidR="00687C8F" w:rsidP="005D1A7D" w:rsidRDefault="00687C8F" w14:paraId="270E8A9F" w14:textId="7F15AF09">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3) ekspluatācijas aizsargjoslas teritorija gar elektrisko tīklu kabeļu līniju</w:t>
            </w:r>
            <w:r w:rsidR="004434E0">
              <w:rPr>
                <w:rFonts w:ascii="Times New Roman" w:hAnsi="Times New Roman" w:eastAsia="Times New Roman" w:cs="Times New Roman"/>
                <w:iCs/>
                <w:color w:val="000000"/>
                <w:sz w:val="24"/>
                <w:szCs w:val="24"/>
                <w:lang w:eastAsia="lv-LV"/>
              </w:rPr>
              <w:t xml:space="preserve"> – 0.0050 ha</w:t>
            </w:r>
            <w:r>
              <w:rPr>
                <w:rFonts w:ascii="Times New Roman" w:hAnsi="Times New Roman" w:eastAsia="Times New Roman" w:cs="Times New Roman"/>
                <w:iCs/>
                <w:color w:val="000000"/>
                <w:sz w:val="24"/>
                <w:szCs w:val="24"/>
                <w:lang w:eastAsia="lv-LV"/>
              </w:rPr>
              <w:t>;</w:t>
            </w:r>
          </w:p>
          <w:p w:rsidR="00687C8F" w:rsidP="005D1A7D" w:rsidRDefault="00687C8F" w14:paraId="73E8AC88" w14:textId="779F6752">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4) ekspluatācijas aizsargjoslas teritorija ap elektrisko tīklu gaisvadu līniju pilsētās un ciemos ar nominālo spriegumu līdz 20 kilovoltiem</w:t>
            </w:r>
            <w:r w:rsidR="004434E0">
              <w:rPr>
                <w:rFonts w:ascii="Times New Roman" w:hAnsi="Times New Roman" w:eastAsia="Times New Roman" w:cs="Times New Roman"/>
                <w:iCs/>
                <w:color w:val="000000"/>
                <w:sz w:val="24"/>
                <w:szCs w:val="24"/>
                <w:lang w:eastAsia="lv-LV"/>
              </w:rPr>
              <w:t xml:space="preserve"> – 0.0050 ha.</w:t>
            </w:r>
          </w:p>
          <w:p w:rsidR="00687C8F" w:rsidP="005D1A7D" w:rsidRDefault="004434E0" w14:paraId="402FD524" w14:textId="1265BCE4">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Nekustamā īpašuma zemesgrāmatas nodalījuma III daļas 1.iedaļas 1.6.ierakstā ir veikta atzīme -  </w:t>
            </w:r>
            <w:r w:rsidR="00687C8F">
              <w:rPr>
                <w:rFonts w:ascii="Times New Roman" w:hAnsi="Times New Roman" w:eastAsia="Times New Roman" w:cs="Times New Roman"/>
                <w:iCs/>
                <w:color w:val="000000"/>
                <w:sz w:val="24"/>
                <w:szCs w:val="24"/>
                <w:lang w:eastAsia="lv-LV"/>
              </w:rPr>
              <w:t xml:space="preserve">uz zemes vienības atrodas kompleksa inženierbūve – valsts reģionālā </w:t>
            </w:r>
            <w:r w:rsidR="00EB2FD2">
              <w:rPr>
                <w:rFonts w:ascii="Times New Roman" w:hAnsi="Times New Roman" w:eastAsia="Times New Roman" w:cs="Times New Roman"/>
                <w:iCs/>
                <w:color w:val="000000"/>
                <w:sz w:val="24"/>
                <w:szCs w:val="24"/>
                <w:lang w:eastAsia="lv-LV"/>
              </w:rPr>
              <w:t xml:space="preserve">autoceļa V1221 “Rucava-Pape” posms un tā sastāvā ietilpstošs autobusu pieturas </w:t>
            </w:r>
            <w:r w:rsidR="00EB2FD2">
              <w:rPr>
                <w:rFonts w:ascii="Times New Roman" w:hAnsi="Times New Roman" w:eastAsia="Times New Roman" w:cs="Times New Roman"/>
                <w:iCs/>
                <w:color w:val="000000"/>
                <w:sz w:val="24"/>
                <w:szCs w:val="24"/>
                <w:lang w:eastAsia="lv-LV"/>
              </w:rPr>
              <w:lastRenderedPageBreak/>
              <w:t>paviljons, kas nodots Valsts akciju sabiedrības “Latvijas Valsts ceļi” pārvaldījumā.</w:t>
            </w:r>
          </w:p>
          <w:p w:rsidR="00554470" w:rsidP="005D1A7D" w:rsidRDefault="00554470" w14:paraId="640C2881" w14:textId="1F03C95C">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C03543">
              <w:rPr>
                <w:rFonts w:ascii="Times New Roman" w:hAnsi="Times New Roman" w:eastAsia="Times New Roman" w:cs="Times New Roman"/>
                <w:iCs/>
                <w:color w:val="000000"/>
                <w:sz w:val="24"/>
                <w:szCs w:val="24"/>
                <w:lang w:eastAsia="lv-LV"/>
              </w:rPr>
              <w:t xml:space="preserve">Atzīme ir veikta, pamatojoties uz </w:t>
            </w:r>
            <w:r>
              <w:rPr>
                <w:rFonts w:ascii="Times New Roman" w:hAnsi="Times New Roman" w:eastAsia="Times New Roman" w:cs="Times New Roman"/>
                <w:iCs/>
                <w:color w:val="000000"/>
                <w:sz w:val="24"/>
                <w:szCs w:val="24"/>
                <w:lang w:eastAsia="lv-LV"/>
              </w:rPr>
              <w:t>VAS “Latvijas Valsts autoceļi” 2019.gada 1.februāra izziņ</w:t>
            </w:r>
            <w:r w:rsidR="00C03543">
              <w:rPr>
                <w:rFonts w:ascii="Times New Roman" w:hAnsi="Times New Roman" w:eastAsia="Times New Roman" w:cs="Times New Roman"/>
                <w:iCs/>
                <w:color w:val="000000"/>
                <w:sz w:val="24"/>
                <w:szCs w:val="24"/>
                <w:lang w:eastAsia="lv-LV"/>
              </w:rPr>
              <w:t>u</w:t>
            </w:r>
            <w:r>
              <w:rPr>
                <w:rFonts w:ascii="Times New Roman" w:hAnsi="Times New Roman" w:eastAsia="Times New Roman" w:cs="Times New Roman"/>
                <w:iCs/>
                <w:color w:val="000000"/>
                <w:sz w:val="24"/>
                <w:szCs w:val="24"/>
                <w:lang w:eastAsia="lv-LV"/>
              </w:rPr>
              <w:t xml:space="preserve"> Nr.4.9/1307</w:t>
            </w:r>
            <w:r w:rsidR="00C03543">
              <w:rPr>
                <w:rFonts w:ascii="Times New Roman" w:hAnsi="Times New Roman" w:eastAsia="Times New Roman" w:cs="Times New Roman"/>
                <w:iCs/>
                <w:color w:val="000000"/>
                <w:sz w:val="24"/>
                <w:szCs w:val="24"/>
                <w:lang w:eastAsia="lv-LV"/>
              </w:rPr>
              <w:t>, kurā norādīts</w:t>
            </w:r>
            <w:r>
              <w:rPr>
                <w:rFonts w:ascii="Times New Roman" w:hAnsi="Times New Roman" w:eastAsia="Times New Roman" w:cs="Times New Roman"/>
                <w:iCs/>
                <w:color w:val="000000"/>
                <w:sz w:val="24"/>
                <w:szCs w:val="24"/>
                <w:lang w:eastAsia="lv-LV"/>
              </w:rPr>
              <w:t>, ka nekustamā īpašuma sastāv</w:t>
            </w:r>
            <w:r w:rsidR="00093237">
              <w:rPr>
                <w:rFonts w:ascii="Times New Roman" w:hAnsi="Times New Roman" w:eastAsia="Times New Roman" w:cs="Times New Roman"/>
                <w:iCs/>
                <w:color w:val="000000"/>
                <w:sz w:val="24"/>
                <w:szCs w:val="24"/>
                <w:lang w:eastAsia="lv-LV"/>
              </w:rPr>
              <w:t>u veidojošā</w:t>
            </w:r>
            <w:r>
              <w:rPr>
                <w:rFonts w:ascii="Times New Roman" w:hAnsi="Times New Roman" w:eastAsia="Times New Roman" w:cs="Times New Roman"/>
                <w:iCs/>
                <w:color w:val="000000"/>
                <w:sz w:val="24"/>
                <w:szCs w:val="24"/>
                <w:lang w:eastAsia="lv-LV"/>
              </w:rPr>
              <w:t xml:space="preserve"> zemes vienība (zemes vienības kadastra apzīmējums 6484 008 0551)</w:t>
            </w:r>
            <w:r w:rsidR="00C03543">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valsts vietējā autoceļa V1221 “Rucava-</w:t>
            </w:r>
            <w:r w:rsidR="00C03543">
              <w:rPr>
                <w:rFonts w:ascii="Times New Roman" w:hAnsi="Times New Roman" w:eastAsia="Times New Roman" w:cs="Times New Roman"/>
                <w:iCs/>
                <w:color w:val="000000"/>
                <w:sz w:val="24"/>
                <w:szCs w:val="24"/>
                <w:lang w:eastAsia="lv-LV"/>
              </w:rPr>
              <w:t>P</w:t>
            </w:r>
            <w:r>
              <w:rPr>
                <w:rFonts w:ascii="Times New Roman" w:hAnsi="Times New Roman" w:eastAsia="Times New Roman" w:cs="Times New Roman"/>
                <w:iCs/>
                <w:color w:val="000000"/>
                <w:sz w:val="24"/>
                <w:szCs w:val="24"/>
                <w:lang w:eastAsia="lv-LV"/>
              </w:rPr>
              <w:t>ape” posms un tā sastāvā ietilpstošā autobusu pietura paviljon</w:t>
            </w:r>
            <w:r w:rsidR="00C03543">
              <w:rPr>
                <w:rFonts w:ascii="Times New Roman" w:hAnsi="Times New Roman" w:eastAsia="Times New Roman" w:cs="Times New Roman"/>
                <w:iCs/>
                <w:color w:val="000000"/>
                <w:sz w:val="24"/>
                <w:szCs w:val="24"/>
                <w:lang w:eastAsia="lv-LV"/>
              </w:rPr>
              <w:t>s</w:t>
            </w:r>
            <w:r>
              <w:rPr>
                <w:rFonts w:ascii="Times New Roman" w:hAnsi="Times New Roman" w:eastAsia="Times New Roman" w:cs="Times New Roman"/>
                <w:iCs/>
                <w:color w:val="000000"/>
                <w:sz w:val="24"/>
                <w:szCs w:val="24"/>
                <w:lang w:eastAsia="lv-LV"/>
              </w:rPr>
              <w:t xml:space="preserve"> “Rucavas autobusu pieturvieta” (būves kadastra apzīmējums 6484 008 0551 001) </w:t>
            </w:r>
            <w:r w:rsidR="00C03543">
              <w:rPr>
                <w:rFonts w:ascii="Times New Roman" w:hAnsi="Times New Roman" w:eastAsia="Times New Roman" w:cs="Times New Roman"/>
                <w:iCs/>
                <w:color w:val="000000"/>
                <w:sz w:val="24"/>
                <w:szCs w:val="24"/>
                <w:lang w:eastAsia="lv-LV"/>
              </w:rPr>
              <w:t xml:space="preserve">ir </w:t>
            </w:r>
            <w:r>
              <w:rPr>
                <w:rFonts w:ascii="Times New Roman" w:hAnsi="Times New Roman" w:eastAsia="Times New Roman" w:cs="Times New Roman"/>
                <w:iCs/>
                <w:color w:val="000000"/>
                <w:sz w:val="24"/>
                <w:szCs w:val="24"/>
                <w:lang w:eastAsia="lv-LV"/>
              </w:rPr>
              <w:t>uzņemt</w:t>
            </w:r>
            <w:r w:rsidR="00C03543">
              <w:rPr>
                <w:rFonts w:ascii="Times New Roman" w:hAnsi="Times New Roman" w:eastAsia="Times New Roman" w:cs="Times New Roman"/>
                <w:iCs/>
                <w:color w:val="000000"/>
                <w:sz w:val="24"/>
                <w:szCs w:val="24"/>
                <w:lang w:eastAsia="lv-LV"/>
              </w:rPr>
              <w:t>i</w:t>
            </w:r>
            <w:r>
              <w:rPr>
                <w:rFonts w:ascii="Times New Roman" w:hAnsi="Times New Roman" w:eastAsia="Times New Roman" w:cs="Times New Roman"/>
                <w:iCs/>
                <w:color w:val="000000"/>
                <w:sz w:val="24"/>
                <w:szCs w:val="24"/>
                <w:lang w:eastAsia="lv-LV"/>
              </w:rPr>
              <w:t xml:space="preserve"> Satiksmes ministrijas Valsts autoceļu fonda bilancē un nodot</w:t>
            </w:r>
            <w:r w:rsidR="00C03543">
              <w:rPr>
                <w:rFonts w:ascii="Times New Roman" w:hAnsi="Times New Roman" w:eastAsia="Times New Roman" w:cs="Times New Roman"/>
                <w:iCs/>
                <w:color w:val="000000"/>
                <w:sz w:val="24"/>
                <w:szCs w:val="24"/>
                <w:lang w:eastAsia="lv-LV"/>
              </w:rPr>
              <w:t>i</w:t>
            </w:r>
            <w:r>
              <w:rPr>
                <w:rFonts w:ascii="Times New Roman" w:hAnsi="Times New Roman" w:eastAsia="Times New Roman" w:cs="Times New Roman"/>
                <w:iCs/>
                <w:color w:val="000000"/>
                <w:sz w:val="24"/>
                <w:szCs w:val="24"/>
                <w:lang w:eastAsia="lv-LV"/>
              </w:rPr>
              <w:t xml:space="preserve"> VAS “Latvijas Valsts ceļi” pārvaldījumā. </w:t>
            </w:r>
          </w:p>
          <w:p w:rsidR="004434E0" w:rsidP="005D1A7D" w:rsidRDefault="004434E0" w14:paraId="07C560B4" w14:textId="44ED3A23">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Minētie apgrūtinājumi </w:t>
            </w:r>
            <w:r w:rsidR="00AC4E87">
              <w:rPr>
                <w:rFonts w:ascii="Times New Roman" w:hAnsi="Times New Roman" w:eastAsia="Times New Roman" w:cs="Times New Roman"/>
                <w:iCs/>
                <w:color w:val="000000"/>
                <w:sz w:val="24"/>
                <w:szCs w:val="24"/>
                <w:lang w:eastAsia="lv-LV"/>
              </w:rPr>
              <w:t xml:space="preserve">neietekmēs Rucavas novada pašvaldību </w:t>
            </w:r>
            <w:r>
              <w:rPr>
                <w:rFonts w:ascii="Times New Roman" w:hAnsi="Times New Roman" w:eastAsia="Times New Roman" w:cs="Times New Roman"/>
                <w:iCs/>
                <w:color w:val="000000"/>
                <w:sz w:val="24"/>
                <w:szCs w:val="24"/>
                <w:lang w:eastAsia="lv-LV"/>
              </w:rPr>
              <w:t>nekustamā īpašuma izmantošan</w:t>
            </w:r>
            <w:r w:rsidR="00AC4E87">
              <w:rPr>
                <w:rFonts w:ascii="Times New Roman" w:hAnsi="Times New Roman" w:eastAsia="Times New Roman" w:cs="Times New Roman"/>
                <w:iCs/>
                <w:color w:val="000000"/>
                <w:sz w:val="24"/>
                <w:szCs w:val="24"/>
                <w:lang w:eastAsia="lv-LV"/>
              </w:rPr>
              <w:t>ā</w:t>
            </w:r>
            <w:r>
              <w:rPr>
                <w:rFonts w:ascii="Times New Roman" w:hAnsi="Times New Roman" w:eastAsia="Times New Roman" w:cs="Times New Roman"/>
                <w:iCs/>
                <w:color w:val="000000"/>
                <w:sz w:val="24"/>
                <w:szCs w:val="24"/>
                <w:lang w:eastAsia="lv-LV"/>
              </w:rPr>
              <w:t xml:space="preserve"> Tūrisma likuma 8.panta 4.punktā minētās autonomās funkcijas izpild</w:t>
            </w:r>
            <w:r w:rsidR="00AC4E87">
              <w:rPr>
                <w:rFonts w:ascii="Times New Roman" w:hAnsi="Times New Roman" w:eastAsia="Times New Roman" w:cs="Times New Roman"/>
                <w:iCs/>
                <w:color w:val="000000"/>
                <w:sz w:val="24"/>
                <w:szCs w:val="24"/>
                <w:lang w:eastAsia="lv-LV"/>
              </w:rPr>
              <w:t>e</w:t>
            </w:r>
            <w:r>
              <w:rPr>
                <w:rFonts w:ascii="Times New Roman" w:hAnsi="Times New Roman" w:eastAsia="Times New Roman" w:cs="Times New Roman"/>
                <w:iCs/>
                <w:color w:val="000000"/>
                <w:sz w:val="24"/>
                <w:szCs w:val="24"/>
                <w:lang w:eastAsia="lv-LV"/>
              </w:rPr>
              <w:t xml:space="preserve">i, t.i., </w:t>
            </w:r>
            <w:r w:rsidR="00AC4E87">
              <w:rPr>
                <w:rFonts w:ascii="Times New Roman" w:hAnsi="Times New Roman" w:eastAsia="Times New Roman" w:cs="Times New Roman"/>
                <w:iCs/>
                <w:color w:val="000000"/>
                <w:sz w:val="24"/>
                <w:szCs w:val="24"/>
                <w:lang w:eastAsia="lv-LV"/>
              </w:rPr>
              <w:t>piedal</w:t>
            </w:r>
            <w:r w:rsidR="006E04F8">
              <w:rPr>
                <w:rFonts w:ascii="Times New Roman" w:hAnsi="Times New Roman" w:eastAsia="Times New Roman" w:cs="Times New Roman"/>
                <w:iCs/>
                <w:color w:val="000000"/>
                <w:sz w:val="24"/>
                <w:szCs w:val="24"/>
                <w:lang w:eastAsia="lv-LV"/>
              </w:rPr>
              <w:t>ī</w:t>
            </w:r>
            <w:r w:rsidR="00AC4E87">
              <w:rPr>
                <w:rFonts w:ascii="Times New Roman" w:hAnsi="Times New Roman" w:eastAsia="Times New Roman" w:cs="Times New Roman"/>
                <w:iCs/>
                <w:color w:val="000000"/>
                <w:sz w:val="24"/>
                <w:szCs w:val="24"/>
                <w:lang w:eastAsia="lv-LV"/>
              </w:rPr>
              <w:t xml:space="preserve">ties </w:t>
            </w:r>
            <w:r w:rsidRPr="004434E0">
              <w:rPr>
                <w:rFonts w:ascii="Times New Roman" w:hAnsi="Times New Roman" w:eastAsia="Times New Roman" w:cs="Times New Roman"/>
                <w:iCs/>
                <w:color w:val="000000"/>
                <w:sz w:val="24"/>
                <w:szCs w:val="24"/>
                <w:lang w:eastAsia="lv-LV"/>
              </w:rPr>
              <w:t>tūrisma informācijas centru, punktu un stendu izveidošanā un finansēšanā</w:t>
            </w:r>
            <w:r w:rsidR="00AC4E87">
              <w:rPr>
                <w:rFonts w:ascii="Times New Roman" w:hAnsi="Times New Roman" w:eastAsia="Times New Roman" w:cs="Times New Roman"/>
                <w:iCs/>
                <w:color w:val="000000"/>
                <w:sz w:val="24"/>
                <w:szCs w:val="24"/>
                <w:lang w:eastAsia="lv-LV"/>
              </w:rPr>
              <w:t xml:space="preserve">. </w:t>
            </w:r>
          </w:p>
          <w:p w:rsidR="00AC4E87" w:rsidP="005D1A7D" w:rsidRDefault="00AC4E87" w14:paraId="1386F1E9" w14:textId="5BDC3D22">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Pamatojoties uz Rucavas novada domes 2017.gada 22.jūnija lēmumu (prot. Nr.10, 1.14.p.) “Par zemes vienības sadali”, nekustamā īpašuma sastāvā ietilpstošā autobusu pietura Rucava tās atsevišķai izmantošanai Rucavas novada pašvaldības interesēs tika atdalīta no valstij Satiksmes ministrijas personā piekrītošā nekustamā īpašuma “Autoceļš V1221” </w:t>
            </w:r>
            <w:r w:rsidR="00C92434">
              <w:rPr>
                <w:rFonts w:ascii="Times New Roman" w:hAnsi="Times New Roman" w:eastAsia="Times New Roman" w:cs="Times New Roman"/>
                <w:iCs/>
                <w:color w:val="000000"/>
                <w:sz w:val="24"/>
                <w:szCs w:val="24"/>
                <w:lang w:eastAsia="lv-LV"/>
              </w:rPr>
              <w:t xml:space="preserve">(kadastra Nr.6484 008 7348) </w:t>
            </w:r>
            <w:r>
              <w:rPr>
                <w:rFonts w:ascii="Times New Roman" w:hAnsi="Times New Roman" w:eastAsia="Times New Roman" w:cs="Times New Roman"/>
                <w:iCs/>
                <w:color w:val="000000"/>
                <w:sz w:val="24"/>
                <w:szCs w:val="24"/>
                <w:lang w:eastAsia="lv-LV"/>
              </w:rPr>
              <w:t>– Rucavas pagastā, Rucavas novadā</w:t>
            </w:r>
            <w:r w:rsidR="00C92434">
              <w:rPr>
                <w:rFonts w:ascii="Times New Roman" w:hAnsi="Times New Roman" w:eastAsia="Times New Roman" w:cs="Times New Roman"/>
                <w:iCs/>
                <w:color w:val="000000"/>
                <w:sz w:val="24"/>
                <w:szCs w:val="24"/>
                <w:lang w:eastAsia="lv-LV"/>
              </w:rPr>
              <w:t>.</w:t>
            </w:r>
          </w:p>
          <w:p w:rsidR="006E04F8" w:rsidP="005D1A7D" w:rsidRDefault="006E04F8" w14:paraId="2B223B30" w14:textId="488EC5CB">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Autoceļš ir cieši piegulošs nekustamajam īpašumam un publiskajās datu bāzēs </w:t>
            </w:r>
            <w:r w:rsidR="00093237">
              <w:rPr>
                <w:rFonts w:ascii="Times New Roman" w:hAnsi="Times New Roman" w:eastAsia="Times New Roman" w:cs="Times New Roman"/>
                <w:iCs/>
                <w:color w:val="000000"/>
                <w:sz w:val="24"/>
                <w:szCs w:val="24"/>
                <w:lang w:eastAsia="lv-LV"/>
              </w:rPr>
              <w:t xml:space="preserve">būs </w:t>
            </w:r>
            <w:r>
              <w:rPr>
                <w:rFonts w:ascii="Times New Roman" w:hAnsi="Times New Roman" w:eastAsia="Times New Roman" w:cs="Times New Roman"/>
                <w:iCs/>
                <w:color w:val="000000"/>
                <w:sz w:val="24"/>
                <w:szCs w:val="24"/>
                <w:lang w:eastAsia="lv-LV"/>
              </w:rPr>
              <w:t>reģistrēts atsevišķ</w:t>
            </w:r>
            <w:r w:rsidR="00093237">
              <w:rPr>
                <w:rFonts w:ascii="Times New Roman" w:hAnsi="Times New Roman" w:eastAsia="Times New Roman" w:cs="Times New Roman"/>
                <w:iCs/>
                <w:color w:val="000000"/>
                <w:sz w:val="24"/>
                <w:szCs w:val="24"/>
                <w:lang w:eastAsia="lv-LV"/>
              </w:rPr>
              <w:t>a</w:t>
            </w:r>
            <w:r>
              <w:rPr>
                <w:rFonts w:ascii="Times New Roman" w:hAnsi="Times New Roman" w:eastAsia="Times New Roman" w:cs="Times New Roman"/>
                <w:iCs/>
                <w:color w:val="000000"/>
                <w:sz w:val="24"/>
                <w:szCs w:val="24"/>
                <w:lang w:eastAsia="lv-LV"/>
              </w:rPr>
              <w:t xml:space="preserve"> nekustam</w:t>
            </w:r>
            <w:r w:rsidR="00093237">
              <w:rPr>
                <w:rFonts w:ascii="Times New Roman" w:hAnsi="Times New Roman" w:eastAsia="Times New Roman" w:cs="Times New Roman"/>
                <w:iCs/>
                <w:color w:val="000000"/>
                <w:sz w:val="24"/>
                <w:szCs w:val="24"/>
                <w:lang w:eastAsia="lv-LV"/>
              </w:rPr>
              <w:t>ā</w:t>
            </w:r>
            <w:r>
              <w:rPr>
                <w:rFonts w:ascii="Times New Roman" w:hAnsi="Times New Roman" w:eastAsia="Times New Roman" w:cs="Times New Roman"/>
                <w:iCs/>
                <w:color w:val="000000"/>
                <w:sz w:val="24"/>
                <w:szCs w:val="24"/>
                <w:lang w:eastAsia="lv-LV"/>
              </w:rPr>
              <w:t xml:space="preserve"> īpašum</w:t>
            </w:r>
            <w:r w:rsidR="00093237">
              <w:rPr>
                <w:rFonts w:ascii="Times New Roman" w:hAnsi="Times New Roman" w:eastAsia="Times New Roman" w:cs="Times New Roman"/>
                <w:iCs/>
                <w:color w:val="000000"/>
                <w:sz w:val="24"/>
                <w:szCs w:val="24"/>
                <w:lang w:eastAsia="lv-LV"/>
              </w:rPr>
              <w:t>a sastāvā</w:t>
            </w:r>
            <w:r>
              <w:rPr>
                <w:rFonts w:ascii="Times New Roman" w:hAnsi="Times New Roman" w:eastAsia="Times New Roman" w:cs="Times New Roman"/>
                <w:iCs/>
                <w:color w:val="000000"/>
                <w:sz w:val="24"/>
                <w:szCs w:val="24"/>
                <w:lang w:eastAsia="lv-LV"/>
              </w:rPr>
              <w:t xml:space="preserve">. </w:t>
            </w:r>
            <w:r w:rsidR="00093237">
              <w:rPr>
                <w:rFonts w:ascii="Times New Roman" w:hAnsi="Times New Roman" w:eastAsia="Times New Roman" w:cs="Times New Roman"/>
                <w:iCs/>
                <w:color w:val="000000"/>
                <w:sz w:val="24"/>
                <w:szCs w:val="24"/>
                <w:lang w:eastAsia="lv-LV"/>
              </w:rPr>
              <w:t xml:space="preserve"> </w:t>
            </w:r>
          </w:p>
          <w:p w:rsidR="00C03543" w:rsidP="005D1A7D" w:rsidRDefault="00C03543" w14:paraId="3999151D" w14:textId="7F29918E">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Izbeidzoties nepieciešamībai Rucavas novada pašvaldībai izmantot nekustamo īpašumu rīkojuma projektā minētās autonomās funkcijas izpildei, nekustamais īpašums tiks atdots Satiksmes ministrijai visā tā sastāvā kopā ar neatdalāmiem uzlabojumiem.</w:t>
            </w:r>
          </w:p>
          <w:p w:rsidRPr="00910AE6" w:rsidR="00EC073B" w:rsidP="00554470" w:rsidRDefault="00C92434" w14:paraId="5BAFDC84" w14:textId="6F61B4E6">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910AE6" w:rsidR="00EC073B">
              <w:rPr>
                <w:rFonts w:ascii="Times New Roman" w:hAnsi="Times New Roman" w:eastAsia="Times New Roman" w:cs="Times New Roman"/>
                <w:iCs/>
                <w:color w:val="000000"/>
                <w:sz w:val="24"/>
                <w:szCs w:val="24"/>
                <w:lang w:eastAsia="lv-LV"/>
              </w:rPr>
              <w:t>Projekts attiecas uz publiskās pārvaldes politikas jomu.</w:t>
            </w:r>
          </w:p>
        </w:tc>
      </w:tr>
      <w:tr w:rsidRPr="00EC073B" w:rsidR="00EC073B" w:rsidTr="0085464D" w14:paraId="737AAE3A"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490D4B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33E20D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izstrādē iesaistītās institūcijas un publiskas personas kapitālsabiedrības</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17EAB35"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Satiksmes ministrija, valsts akciju sabiedrība “Latvijas Valsts ceļi” un </w:t>
            </w:r>
            <w:r w:rsidR="00616311">
              <w:rPr>
                <w:rFonts w:ascii="Times New Roman" w:hAnsi="Times New Roman" w:eastAsia="Times New Roman" w:cs="Times New Roman"/>
                <w:iCs/>
                <w:color w:val="000000"/>
                <w:sz w:val="24"/>
                <w:szCs w:val="24"/>
                <w:lang w:eastAsia="lv-LV"/>
              </w:rPr>
              <w:t>Rucavas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85464D" w14:paraId="38B03A77"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47ACAB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4.</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5BFD1F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AE75B8F"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p>
        </w:tc>
      </w:tr>
    </w:tbl>
    <w:p w:rsidRPr="00EC073B" w:rsidR="00EC073B" w:rsidP="00EC073B" w:rsidRDefault="00EC073B" w14:paraId="5BBFC5F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55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2"/>
        <w:gridCol w:w="2323"/>
        <w:gridCol w:w="6350"/>
      </w:tblGrid>
      <w:tr w:rsidRPr="00EC073B" w:rsidR="00EC073B" w:rsidTr="00EC7D1A" w14:paraId="573C50E6"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71978CD"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II. Tiesību akta projekta ietekme uz sabiedrību, tautsaimniecības attīstību un administratīvo slogu</w:t>
            </w:r>
          </w:p>
        </w:tc>
      </w:tr>
      <w:tr w:rsidRPr="00EC073B" w:rsidR="00EC073B" w:rsidTr="00EC7D1A" w14:paraId="550A4D0B"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FF86E2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1. </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8A5DB61" w14:textId="77777777">
            <w:pPr>
              <w:spacing w:after="0" w:line="240" w:lineRule="auto"/>
              <w:rPr>
                <w:rFonts w:ascii="Times New Roman" w:hAnsi="Times New Roman" w:eastAsia="Times New Roman" w:cs="Times New Roman"/>
                <w:iCs/>
                <w:color w:val="000000"/>
                <w:sz w:val="24"/>
                <w:szCs w:val="24"/>
                <w:lang w:eastAsia="lv-LV"/>
              </w:rPr>
            </w:pPr>
            <w:r w:rsidRPr="0085464D">
              <w:rPr>
                <w:rFonts w:ascii="Times New Roman" w:hAnsi="Times New Roman" w:eastAsia="Calibri" w:cs="Times New Roman"/>
                <w:sz w:val="24"/>
                <w:szCs w:val="24"/>
              </w:rPr>
              <w:t xml:space="preserve">Sabiedrības </w:t>
            </w:r>
            <w:proofErr w:type="spellStart"/>
            <w:r w:rsidRPr="0085464D">
              <w:rPr>
                <w:rFonts w:ascii="Times New Roman" w:hAnsi="Times New Roman" w:eastAsia="Calibri" w:cs="Times New Roman"/>
                <w:sz w:val="24"/>
                <w:szCs w:val="24"/>
              </w:rPr>
              <w:t>mērķgrupas</w:t>
            </w:r>
            <w:proofErr w:type="spellEnd"/>
            <w:r w:rsidRPr="0085464D">
              <w:rPr>
                <w:rFonts w:ascii="Times New Roman" w:hAnsi="Times New Roman" w:eastAsia="Calibri" w:cs="Times New Roman"/>
                <w:sz w:val="24"/>
                <w:szCs w:val="24"/>
              </w:rPr>
              <w:t>, kuras tiesiskais regulējums ietekmē vai varētu ietekmēt</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DDDE796" w14:textId="77777777">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r w:rsidR="00616311">
              <w:rPr>
                <w:rFonts w:ascii="Times New Roman" w:hAnsi="Times New Roman" w:eastAsia="Times New Roman" w:cs="Times New Roman"/>
                <w:iCs/>
                <w:color w:val="000000"/>
                <w:sz w:val="24"/>
                <w:szCs w:val="24"/>
                <w:lang w:eastAsia="lv-LV"/>
              </w:rPr>
              <w:t>Rucavas</w:t>
            </w:r>
            <w:r w:rsidRPr="00EC073B">
              <w:rPr>
                <w:rFonts w:ascii="Times New Roman" w:hAnsi="Times New Roman" w:eastAsia="Times New Roman" w:cs="Times New Roman"/>
                <w:iCs/>
                <w:color w:val="000000"/>
                <w:sz w:val="24"/>
                <w:szCs w:val="24"/>
                <w:lang w:eastAsia="lv-LV"/>
              </w:rPr>
              <w:t xml:space="preserve"> novada pašvaldības iedzīvotāji.</w:t>
            </w:r>
          </w:p>
        </w:tc>
      </w:tr>
      <w:tr w:rsidRPr="00EC073B" w:rsidR="00EC073B" w:rsidTr="00EC7D1A" w14:paraId="77472A9E"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73A79E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962B99A"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Tiesiskā regulējuma ietekme uz </w:t>
            </w:r>
            <w:r w:rsidRPr="00EC073B">
              <w:rPr>
                <w:rFonts w:ascii="Times New Roman" w:hAnsi="Times New Roman" w:eastAsia="Times New Roman" w:cs="Times New Roman"/>
                <w:iCs/>
                <w:color w:val="000000"/>
                <w:sz w:val="24"/>
                <w:szCs w:val="24"/>
                <w:lang w:eastAsia="lv-LV"/>
              </w:rPr>
              <w:lastRenderedPageBreak/>
              <w:t>tautsaimniecību un administratīvo slogu</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B77355F" w14:textId="00EF4AB5">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 xml:space="preserve">     </w:t>
            </w:r>
            <w:r w:rsidRPr="005F2037">
              <w:rPr>
                <w:rFonts w:ascii="Times New Roman" w:hAnsi="Times New Roman" w:eastAsia="Times New Roman" w:cs="Times New Roman"/>
                <w:iCs/>
                <w:color w:val="000000"/>
                <w:sz w:val="24"/>
                <w:szCs w:val="24"/>
                <w:lang w:eastAsia="lv-LV"/>
              </w:rPr>
              <w:t xml:space="preserve">Ietekme uz tautsaimniecību ir konstatējama vides sakārtošanas jomā, pašvaldībai </w:t>
            </w:r>
            <w:r w:rsidRPr="005F2037" w:rsidR="00093237">
              <w:rPr>
                <w:rFonts w:ascii="Times New Roman" w:hAnsi="Times New Roman" w:eastAsia="Times New Roman" w:cs="Times New Roman"/>
                <w:iCs/>
                <w:color w:val="000000"/>
                <w:sz w:val="24"/>
                <w:szCs w:val="24"/>
                <w:lang w:eastAsia="lv-LV"/>
              </w:rPr>
              <w:t xml:space="preserve">uzturot un </w:t>
            </w:r>
            <w:r w:rsidRPr="005F2037">
              <w:rPr>
                <w:rFonts w:ascii="Times New Roman" w:hAnsi="Times New Roman" w:eastAsia="Times New Roman" w:cs="Times New Roman"/>
                <w:iCs/>
                <w:color w:val="000000"/>
                <w:sz w:val="24"/>
                <w:szCs w:val="24"/>
                <w:lang w:eastAsia="lv-LV"/>
              </w:rPr>
              <w:t xml:space="preserve">labiekārtojot </w:t>
            </w:r>
            <w:r w:rsidRPr="005F2037" w:rsidR="00093237">
              <w:rPr>
                <w:rFonts w:ascii="Times New Roman" w:hAnsi="Times New Roman" w:eastAsia="Times New Roman" w:cs="Times New Roman"/>
                <w:iCs/>
                <w:color w:val="000000"/>
                <w:sz w:val="24"/>
                <w:szCs w:val="24"/>
                <w:lang w:eastAsia="lv-LV"/>
              </w:rPr>
              <w:lastRenderedPageBreak/>
              <w:t xml:space="preserve">sabiedriskas nozīmes objektu, lai nodrošinātu </w:t>
            </w:r>
            <w:r w:rsidRPr="005F2037" w:rsidR="005F2037">
              <w:rPr>
                <w:rFonts w:ascii="Times New Roman" w:hAnsi="Times New Roman" w:eastAsia="Times New Roman" w:cs="Times New Roman"/>
                <w:iCs/>
                <w:color w:val="000000"/>
                <w:sz w:val="24"/>
                <w:szCs w:val="24"/>
                <w:lang w:eastAsia="lv-LV"/>
              </w:rPr>
              <w:t xml:space="preserve">ziņu un informācijas </w:t>
            </w:r>
            <w:r w:rsidR="0025452F">
              <w:rPr>
                <w:rFonts w:ascii="Times New Roman" w:hAnsi="Times New Roman" w:eastAsia="Times New Roman" w:cs="Times New Roman"/>
                <w:iCs/>
                <w:color w:val="000000"/>
                <w:sz w:val="24"/>
                <w:szCs w:val="24"/>
                <w:lang w:eastAsia="lv-LV"/>
              </w:rPr>
              <w:t xml:space="preserve">brīvu </w:t>
            </w:r>
            <w:r w:rsidRPr="005F2037" w:rsidR="005F2037">
              <w:rPr>
                <w:rFonts w:ascii="Times New Roman" w:hAnsi="Times New Roman" w:eastAsia="Times New Roman" w:cs="Times New Roman"/>
                <w:iCs/>
                <w:color w:val="000000"/>
                <w:sz w:val="24"/>
                <w:szCs w:val="24"/>
                <w:lang w:eastAsia="lv-LV"/>
              </w:rPr>
              <w:t xml:space="preserve">apriti par pasākumiem un iespējām novadā un citur. </w:t>
            </w:r>
            <w:r w:rsidRPr="005F2037" w:rsidR="007B3D32">
              <w:rPr>
                <w:rFonts w:ascii="Times New Roman" w:hAnsi="Times New Roman" w:eastAsia="Times New Roman" w:cs="Times New Roman"/>
                <w:iCs/>
                <w:color w:val="000000"/>
                <w:sz w:val="24"/>
                <w:szCs w:val="24"/>
                <w:lang w:eastAsia="lv-LV"/>
              </w:rPr>
              <w:t>Rucavas</w:t>
            </w:r>
            <w:r w:rsidRPr="005F2037">
              <w:rPr>
                <w:rFonts w:ascii="Times New Roman" w:hAnsi="Times New Roman" w:eastAsia="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Pr="00EC073B" w:rsidR="00EC073B" w:rsidTr="00EC7D1A" w14:paraId="37280E29"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03AD69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C46A3E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Administratīvo izmaksu monetārs novērtējums</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D0A172D" w14:textId="68F669CF">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r w:rsidR="0085464D">
              <w:rPr>
                <w:rFonts w:ascii="Times New Roman" w:hAnsi="Times New Roman" w:eastAsia="Times New Roman" w:cs="Times New Roman"/>
                <w:iCs/>
                <w:color w:val="000000"/>
                <w:sz w:val="24"/>
                <w:szCs w:val="24"/>
                <w:lang w:eastAsia="lv-LV"/>
              </w:rPr>
              <w:t xml:space="preserve">    </w:t>
            </w:r>
            <w:r w:rsidRPr="00EC073B">
              <w:rPr>
                <w:rFonts w:ascii="Times New Roman" w:hAnsi="Times New Roman" w:eastAsia="Times New Roman" w:cs="Times New Roman"/>
                <w:iCs/>
                <w:color w:val="000000"/>
                <w:sz w:val="24"/>
                <w:szCs w:val="24"/>
                <w:lang w:eastAsia="lv-LV"/>
              </w:rPr>
              <w:t>Projekts šo jomu neskar.</w:t>
            </w:r>
          </w:p>
        </w:tc>
      </w:tr>
      <w:tr w:rsidRPr="00EC073B" w:rsidR="00EC7D1A" w:rsidTr="00EC7D1A" w14:paraId="66FC61D6"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tcPr>
          <w:p w:rsidRPr="00EC073B" w:rsidR="00EC7D1A" w:rsidP="00EC073B" w:rsidRDefault="00EC7D1A" w14:paraId="29C7A32A" w14:textId="392C137A">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4.</w:t>
            </w:r>
          </w:p>
        </w:tc>
        <w:tc>
          <w:tcPr>
            <w:tcW w:w="1254" w:type="pct"/>
            <w:tcBorders>
              <w:top w:val="outset" w:color="auto" w:sz="6" w:space="0"/>
              <w:left w:val="outset" w:color="auto" w:sz="6" w:space="0"/>
              <w:bottom w:val="outset" w:color="auto" w:sz="6" w:space="0"/>
              <w:right w:val="outset" w:color="auto" w:sz="6" w:space="0"/>
            </w:tcBorders>
          </w:tcPr>
          <w:p w:rsidRPr="00EC073B" w:rsidR="00EC7D1A" w:rsidP="00EC073B" w:rsidRDefault="00EC7D1A" w14:paraId="6ACB4E28" w14:textId="78765EE0">
            <w:pPr>
              <w:spacing w:after="0" w:line="240" w:lineRule="auto"/>
              <w:rPr>
                <w:rFonts w:ascii="Times New Roman" w:hAnsi="Times New Roman" w:eastAsia="Times New Roman" w:cs="Times New Roman"/>
                <w:iCs/>
                <w:color w:val="000000"/>
                <w:sz w:val="24"/>
                <w:szCs w:val="24"/>
                <w:lang w:eastAsia="lv-LV"/>
              </w:rPr>
            </w:pPr>
            <w:r w:rsidRPr="00EC7D1A">
              <w:rPr>
                <w:rFonts w:ascii="Times New Roman" w:hAnsi="Times New Roman" w:eastAsia="Times New Roman" w:cs="Times New Roman"/>
                <w:iCs/>
                <w:color w:val="000000"/>
                <w:sz w:val="24"/>
                <w:szCs w:val="24"/>
                <w:lang w:eastAsia="lv-LV"/>
              </w:rPr>
              <w:t>Atbilstības izmaksu monetārs novērtējums</w:t>
            </w:r>
          </w:p>
        </w:tc>
        <w:tc>
          <w:tcPr>
            <w:tcW w:w="3415" w:type="pct"/>
            <w:tcBorders>
              <w:top w:val="outset" w:color="auto" w:sz="6" w:space="0"/>
              <w:left w:val="outset" w:color="auto" w:sz="6" w:space="0"/>
              <w:bottom w:val="outset" w:color="auto" w:sz="6" w:space="0"/>
              <w:right w:val="outset" w:color="auto" w:sz="6" w:space="0"/>
            </w:tcBorders>
          </w:tcPr>
          <w:p w:rsidRPr="00EC073B" w:rsidR="00EC7D1A" w:rsidP="00EC073B" w:rsidRDefault="0085464D" w14:paraId="148254D0" w14:textId="63F4EF5E">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EC7D1A" w:rsidR="00EC7D1A">
              <w:rPr>
                <w:rFonts w:ascii="Times New Roman" w:hAnsi="Times New Roman" w:eastAsia="Times New Roman" w:cs="Times New Roman"/>
                <w:iCs/>
                <w:color w:val="000000"/>
                <w:sz w:val="24"/>
                <w:szCs w:val="24"/>
                <w:lang w:eastAsia="lv-LV"/>
              </w:rPr>
              <w:t>Projekts šo jomu neskar</w:t>
            </w:r>
            <w:r w:rsidR="00EC7D1A">
              <w:rPr>
                <w:rFonts w:ascii="Times New Roman" w:hAnsi="Times New Roman" w:eastAsia="Times New Roman" w:cs="Times New Roman"/>
                <w:iCs/>
                <w:color w:val="000000"/>
                <w:sz w:val="24"/>
                <w:szCs w:val="24"/>
                <w:lang w:eastAsia="lv-LV"/>
              </w:rPr>
              <w:t>.</w:t>
            </w:r>
          </w:p>
        </w:tc>
      </w:tr>
      <w:tr w:rsidRPr="00EC073B" w:rsidR="00EC073B" w:rsidTr="00EC7D1A" w14:paraId="0E4555EE"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7D1A" w14:paraId="16B41BA1" w14:textId="2C6F99D5">
            <w:pPr>
              <w:spacing w:after="0" w:line="240" w:lineRule="auto"/>
              <w:rPr>
                <w:rFonts w:ascii="Times New Roman" w:hAnsi="Times New Roman" w:eastAsia="Times New Roman" w:cs="Times New Roman"/>
                <w:iCs/>
                <w:color w:val="000000"/>
                <w:sz w:val="24"/>
                <w:szCs w:val="24"/>
                <w:lang w:eastAsia="lv-LV"/>
              </w:rPr>
            </w:pPr>
            <w:bookmarkStart w:name="_Hlk514941763" w:id="1"/>
            <w:r>
              <w:rPr>
                <w:rFonts w:ascii="Times New Roman" w:hAnsi="Times New Roman" w:eastAsia="Times New Roman" w:cs="Times New Roman"/>
                <w:iCs/>
                <w:color w:val="000000"/>
                <w:sz w:val="24"/>
                <w:szCs w:val="24"/>
                <w:lang w:eastAsia="lv-LV"/>
              </w:rPr>
              <w:t>5</w:t>
            </w:r>
            <w:r w:rsidRPr="00EC073B" w:rsidR="00EC073B">
              <w:rPr>
                <w:rFonts w:ascii="Times New Roman" w:hAnsi="Times New Roman" w:eastAsia="Times New Roman" w:cs="Times New Roman"/>
                <w:iCs/>
                <w:color w:val="000000"/>
                <w:sz w:val="24"/>
                <w:szCs w:val="24"/>
                <w:lang w:eastAsia="lv-LV"/>
              </w:rPr>
              <w:t>.</w:t>
            </w:r>
          </w:p>
        </w:tc>
        <w:tc>
          <w:tcPr>
            <w:tcW w:w="125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694B61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415"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219AE6C" w14:textId="61AF6B65">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r w:rsidR="0085464D">
              <w:rPr>
                <w:rFonts w:ascii="Times New Roman" w:hAnsi="Times New Roman" w:eastAsia="Times New Roman" w:cs="Times New Roman"/>
                <w:iCs/>
                <w:color w:val="000000"/>
                <w:sz w:val="24"/>
                <w:szCs w:val="24"/>
                <w:lang w:eastAsia="lv-LV"/>
              </w:rPr>
              <w:t xml:space="preserve">     </w:t>
            </w:r>
            <w:r w:rsidRPr="00EC073B">
              <w:rPr>
                <w:rFonts w:ascii="Times New Roman" w:hAnsi="Times New Roman" w:eastAsia="Times New Roman" w:cs="Times New Roman"/>
                <w:iCs/>
                <w:color w:val="000000"/>
                <w:sz w:val="24"/>
                <w:szCs w:val="24"/>
                <w:lang w:eastAsia="lv-LV"/>
              </w:rPr>
              <w:t>Nav</w:t>
            </w:r>
          </w:p>
        </w:tc>
      </w:tr>
    </w:tbl>
    <w:bookmarkEnd w:id="1"/>
    <w:p w:rsidR="00EC073B" w:rsidP="00EC073B" w:rsidRDefault="00EC073B" w14:paraId="14FE4622" w14:textId="39D6B87E">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p w:rsidRPr="00EC073B" w:rsidR="00EC7D1A" w:rsidP="00EC073B" w:rsidRDefault="00EC7D1A" w14:paraId="27664B57" w14:textId="77777777">
      <w:pPr>
        <w:spacing w:after="0" w:line="240" w:lineRule="auto"/>
        <w:rPr>
          <w:rFonts w:ascii="Times New Roman" w:hAnsi="Times New Roman" w:eastAsia="Times New Roman" w:cs="Times New Roman"/>
          <w:iCs/>
          <w:color w:val="000000"/>
          <w:sz w:val="24"/>
          <w:szCs w:val="24"/>
          <w:lang w:eastAsia="lv-LV"/>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EC073B" w:rsidR="00EC073B" w:rsidTr="00EC073B" w14:paraId="0562DCD2"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D54271" w14:textId="77777777">
            <w:pPr>
              <w:spacing w:line="256" w:lineRule="auto"/>
              <w:jc w:val="center"/>
              <w:rPr>
                <w:rFonts w:ascii="Times New Roman" w:hAnsi="Times New Roman" w:eastAsia="Calibri" w:cs="Times New Roman"/>
                <w:b/>
                <w:bCs/>
                <w:sz w:val="24"/>
                <w:szCs w:val="24"/>
              </w:rPr>
            </w:pPr>
            <w:r w:rsidRPr="00EC073B">
              <w:rPr>
                <w:rFonts w:ascii="Times New Roman" w:hAnsi="Times New Roman" w:eastAsia="Calibri" w:cs="Times New Roman"/>
                <w:b/>
                <w:bCs/>
                <w:sz w:val="24"/>
                <w:szCs w:val="24"/>
              </w:rPr>
              <w:t>III. Tiesību akta projekta ietekme uz valsts budžetu un pašvaldību budžetiem</w:t>
            </w:r>
          </w:p>
        </w:tc>
      </w:tr>
      <w:tr w:rsidRPr="00EC073B" w:rsidR="00EC073B" w:rsidTr="00C04391" w14:paraId="698E8CB6" w14:textId="77777777">
        <w:trPr>
          <w:trHeight w:val="300"/>
        </w:trPr>
        <w:tc>
          <w:tcPr>
            <w:tcW w:w="1730"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CBE09D4"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18BE3EE" w14:textId="70F87556">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w:t>
            </w:r>
            <w:r w:rsidR="00BA7D46">
              <w:rPr>
                <w:rFonts w:ascii="Times New Roman" w:hAnsi="Times New Roman" w:eastAsia="Calibri" w:cs="Times New Roman"/>
                <w:bCs/>
                <w:sz w:val="24"/>
                <w:szCs w:val="24"/>
              </w:rPr>
              <w:t>20</w:t>
            </w:r>
            <w:r w:rsidRPr="00EC073B">
              <w:rPr>
                <w:rFonts w:ascii="Times New Roman" w:hAnsi="Times New Roman" w:eastAsia="Calibri" w:cs="Times New Roman"/>
                <w:bCs/>
                <w:sz w:val="24"/>
                <w:szCs w:val="24"/>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EB3FA1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Turpmākie trīs gadi (</w:t>
            </w:r>
            <w:proofErr w:type="spellStart"/>
            <w:r w:rsidRPr="00EC073B">
              <w:rPr>
                <w:rFonts w:ascii="Times New Roman" w:hAnsi="Times New Roman" w:eastAsia="Calibri" w:cs="Times New Roman"/>
                <w:i/>
                <w:iCs/>
                <w:sz w:val="24"/>
                <w:szCs w:val="24"/>
              </w:rPr>
              <w:t>euro</w:t>
            </w:r>
            <w:proofErr w:type="spellEnd"/>
            <w:r w:rsidRPr="00EC073B">
              <w:rPr>
                <w:rFonts w:ascii="Times New Roman" w:hAnsi="Times New Roman" w:eastAsia="Calibri" w:cs="Times New Roman"/>
                <w:sz w:val="24"/>
                <w:szCs w:val="24"/>
              </w:rPr>
              <w:t>)</w:t>
            </w:r>
          </w:p>
        </w:tc>
      </w:tr>
      <w:tr w:rsidRPr="00EC073B" w:rsidR="00EC073B" w:rsidTr="00C04391" w14:paraId="23C5BEF4" w14:textId="77777777">
        <w:trPr>
          <w:trHeight w:val="30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CB91715" w14:textId="77777777">
            <w:pPr>
              <w:spacing w:after="0" w:line="256" w:lineRule="auto"/>
              <w:rPr>
                <w:rFonts w:ascii="Times New Roman" w:hAnsi="Times New Roman" w:eastAsia="Calibri"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3B748DD" w14:textId="77777777">
            <w:pPr>
              <w:spacing w:after="0" w:line="256" w:lineRule="auto"/>
              <w:rPr>
                <w:rFonts w:ascii="Times New Roman" w:hAnsi="Times New Roman" w:eastAsia="Calibri" w:cs="Times New Roman"/>
                <w:bCs/>
                <w:sz w:val="24"/>
                <w:szCs w:val="24"/>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972FDA9" w14:textId="3810D6B6">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BA7D46">
              <w:rPr>
                <w:rFonts w:ascii="Times New Roman" w:hAnsi="Times New Roman" w:eastAsia="Calibri" w:cs="Times New Roman"/>
                <w:bCs/>
                <w:sz w:val="24"/>
                <w:szCs w:val="24"/>
              </w:rPr>
              <w:t>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B79F8CA" w14:textId="083C0CB5">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BA7D46">
              <w:rPr>
                <w:rFonts w:ascii="Times New Roman" w:hAnsi="Times New Roman" w:eastAsia="Calibri" w:cs="Times New Roman"/>
                <w:bCs/>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514A204B" w14:textId="246A5EE1">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BA7D46">
              <w:rPr>
                <w:rFonts w:ascii="Times New Roman" w:hAnsi="Times New Roman" w:eastAsia="Calibri" w:cs="Times New Roman"/>
                <w:bCs/>
                <w:sz w:val="24"/>
                <w:szCs w:val="24"/>
              </w:rPr>
              <w:t>3</w:t>
            </w:r>
          </w:p>
        </w:tc>
      </w:tr>
      <w:tr w:rsidRPr="00EC073B" w:rsidR="00EC073B" w:rsidTr="00C04391" w14:paraId="4A230884" w14:textId="77777777">
        <w:trPr>
          <w:trHeight w:val="178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43B6B15" w14:textId="77777777">
            <w:pPr>
              <w:spacing w:after="0" w:line="256" w:lineRule="auto"/>
              <w:rPr>
                <w:rFonts w:ascii="Times New Roman" w:hAnsi="Times New Roman" w:eastAsia="Calibri"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687F9A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981E47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726B72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34CE154" w14:textId="23D42495">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5F2037">
              <w:rPr>
                <w:rFonts w:ascii="Times New Roman" w:hAnsi="Times New Roman" w:eastAsia="Calibri" w:cs="Times New Roman"/>
                <w:sz w:val="24"/>
                <w:szCs w:val="24"/>
              </w:rPr>
              <w:t>202</w:t>
            </w:r>
            <w:r w:rsidR="00BA7D46">
              <w:rPr>
                <w:rFonts w:ascii="Times New Roman" w:hAnsi="Times New Roman" w:eastAsia="Calibri" w:cs="Times New Roman"/>
                <w:sz w:val="24"/>
                <w:szCs w:val="24"/>
              </w:rPr>
              <w:t>1</w:t>
            </w:r>
            <w:r w:rsidR="005F2037">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76D3A0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45797E0" w14:textId="49C90FEA">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5F2037">
              <w:rPr>
                <w:rFonts w:ascii="Times New Roman" w:hAnsi="Times New Roman" w:eastAsia="Calibri" w:cs="Times New Roman"/>
                <w:sz w:val="24"/>
                <w:szCs w:val="24"/>
              </w:rPr>
              <w:t>202</w:t>
            </w:r>
            <w:r w:rsidR="00BA7D46">
              <w:rPr>
                <w:rFonts w:ascii="Times New Roman" w:hAnsi="Times New Roman" w:eastAsia="Calibri" w:cs="Times New Roman"/>
                <w:sz w:val="24"/>
                <w:szCs w:val="24"/>
              </w:rPr>
              <w:t>2</w:t>
            </w:r>
            <w:r w:rsidR="005F2037">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F6A3FEC" w14:textId="2980312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5F2037">
              <w:rPr>
                <w:rFonts w:ascii="Times New Roman" w:hAnsi="Times New Roman" w:eastAsia="Calibri" w:cs="Times New Roman"/>
                <w:sz w:val="24"/>
                <w:szCs w:val="24"/>
              </w:rPr>
              <w:t>202</w:t>
            </w:r>
            <w:r w:rsidR="00BA7D46">
              <w:rPr>
                <w:rFonts w:ascii="Times New Roman" w:hAnsi="Times New Roman" w:eastAsia="Calibri" w:cs="Times New Roman"/>
                <w:sz w:val="24"/>
                <w:szCs w:val="24"/>
              </w:rPr>
              <w:t>2</w:t>
            </w:r>
            <w:r w:rsidR="005F2037">
              <w:rPr>
                <w:rFonts w:ascii="Times New Roman" w:hAnsi="Times New Roman" w:eastAsia="Calibri" w:cs="Times New Roman"/>
                <w:sz w:val="24"/>
                <w:szCs w:val="24"/>
              </w:rPr>
              <w:t>.</w:t>
            </w:r>
            <w:r w:rsidRPr="00EC073B">
              <w:rPr>
                <w:rFonts w:ascii="Times New Roman" w:hAnsi="Times New Roman" w:eastAsia="Calibri" w:cs="Times New Roman"/>
                <w:sz w:val="24"/>
                <w:szCs w:val="24"/>
              </w:rPr>
              <w:t xml:space="preserve"> gadam</w:t>
            </w:r>
          </w:p>
        </w:tc>
      </w:tr>
      <w:tr w:rsidRPr="00EC073B" w:rsidR="00EC073B" w:rsidTr="00C04391" w14:paraId="4B6DB286" w14:textId="77777777">
        <w:trPr>
          <w:trHeight w:val="300"/>
        </w:trPr>
        <w:tc>
          <w:tcPr>
            <w:tcW w:w="173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D0A8A3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586641A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5F1179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D2365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20486A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2AE2B7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EC5CDD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7</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577AE7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8</w:t>
            </w:r>
          </w:p>
        </w:tc>
      </w:tr>
      <w:tr w:rsidRPr="00EC073B" w:rsidR="00EC073B" w:rsidTr="00C04391" w14:paraId="65D2FE0A" w14:textId="77777777">
        <w:trPr>
          <w:trHeight w:val="184"/>
        </w:trPr>
        <w:tc>
          <w:tcPr>
            <w:tcW w:w="173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4A66929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C12E23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B7CD0F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E685E2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64F1E0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2E302E8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975B10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3155E6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39395507" w14:textId="77777777">
        <w:trPr>
          <w:trHeight w:val="1354"/>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68AC0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C9DB7E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9A50DC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0F7F7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999B3B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890A29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FBA41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76783D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53DCEE6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77FAE6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853975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E1B53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F25CF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E65DD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AA7AE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D392D6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8ED70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38CA9567"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DB1E53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B350F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636C3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E04D9D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B25DDC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BAF35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17143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6F959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77CB5C8B" w14:textId="77777777">
        <w:trPr>
          <w:trHeight w:val="30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ED25833"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68E76D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71050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4DB5E0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EB2DCA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C7CFA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276238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93E583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1080FEE2"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FAA3888"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4792F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4DD2A1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A404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658130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BDE80A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FA7EB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DB98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308EC918"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FBEEFD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0470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5E18A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8E4932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EF6E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5EE6C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AC867B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3EAD6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080E613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0C5698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6EF2C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65A5A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591935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CCE8B5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C4191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035FB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7B0F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00C3743E" w14:textId="77777777">
        <w:trPr>
          <w:trHeight w:val="222"/>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AB3576A"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2D435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7D45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E165F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10D23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65CCDD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151666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D176B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7CD5E2D1"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4F1F73"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7670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B63A0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ADE0AE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55BF6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9D7B3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8C8C8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1F7DC9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0FEFBEB8" w14:textId="77777777">
        <w:trPr>
          <w:trHeight w:val="32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46B6FF3"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B2993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6ACA7F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8B3EE5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CC64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1464E8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13F352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E72E8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3071EE5D"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7440A1"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E04B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8C27C7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82DA94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C5320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A1C6F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F486D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2E5441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7D085622" w14:textId="77777777">
        <w:trPr>
          <w:trHeight w:val="84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DD22E9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EC073B" w:rsidR="00EC073B" w:rsidP="00EC073B" w:rsidRDefault="00EC073B" w14:paraId="23534329"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4C44349D"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FA35821"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878D5CF"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7EAF4EB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6BF7F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714497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05273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61D54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E51705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4F44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42D80E1A"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DD568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EC073B" w:rsidR="00EC073B" w:rsidP="00EC073B" w:rsidRDefault="00EC073B" w14:paraId="1D4E5756" w14:textId="77777777">
            <w:pPr>
              <w:spacing w:line="256" w:lineRule="auto"/>
              <w:rPr>
                <w:rFonts w:ascii="Times New Roman" w:hAnsi="Times New Roman" w:eastAsia="Calibri" w:cs="Times New Roman"/>
                <w:sz w:val="24"/>
                <w:szCs w:val="24"/>
              </w:rPr>
            </w:pPr>
          </w:p>
          <w:p w:rsidRPr="00EC073B" w:rsidR="00EC073B" w:rsidP="00EC073B" w:rsidRDefault="00EC073B" w14:paraId="6179383C" w14:textId="77777777">
            <w:pPr>
              <w:spacing w:line="256" w:lineRule="auto"/>
              <w:rPr>
                <w:rFonts w:ascii="Times New Roman" w:hAnsi="Times New Roman" w:eastAsia="Calibri" w:cs="Times New Roman"/>
                <w:sz w:val="24"/>
                <w:szCs w:val="24"/>
              </w:rPr>
            </w:pPr>
          </w:p>
          <w:p w:rsidRPr="00EC073B" w:rsidR="00EC073B" w:rsidP="00EC073B" w:rsidRDefault="00EC073B" w14:paraId="026F4645" w14:textId="77777777">
            <w:pPr>
              <w:spacing w:line="256" w:lineRule="auto"/>
              <w:rPr>
                <w:rFonts w:ascii="Times New Roman" w:hAnsi="Times New Roman" w:eastAsia="Calibri" w:cs="Times New Roman"/>
                <w:sz w:val="24"/>
                <w:szCs w:val="24"/>
              </w:rPr>
            </w:pPr>
          </w:p>
          <w:p w:rsidRPr="00EC073B" w:rsidR="00EC073B" w:rsidP="00EC073B" w:rsidRDefault="00EC073B" w14:paraId="01E76AD6" w14:textId="77777777">
            <w:pPr>
              <w:spacing w:line="256" w:lineRule="auto"/>
              <w:rPr>
                <w:rFonts w:ascii="Times New Roman" w:hAnsi="Times New Roman" w:eastAsia="Calibri" w:cs="Times New Roman"/>
                <w:sz w:val="24"/>
                <w:szCs w:val="24"/>
              </w:rPr>
            </w:pPr>
          </w:p>
          <w:p w:rsidRPr="00EC073B" w:rsidR="00EC073B" w:rsidP="00EC073B" w:rsidRDefault="00EC073B" w14:paraId="25FA35D7" w14:textId="77777777">
            <w:pPr>
              <w:spacing w:line="256" w:lineRule="auto"/>
              <w:rPr>
                <w:rFonts w:ascii="Times New Roman" w:hAnsi="Times New Roman" w:eastAsia="Calibri" w:cs="Times New Roman"/>
                <w:sz w:val="24"/>
                <w:szCs w:val="24"/>
              </w:rPr>
            </w:pPr>
          </w:p>
          <w:p w:rsidRPr="00EC073B" w:rsidR="00EC073B" w:rsidP="00EC073B" w:rsidRDefault="00EC073B" w14:paraId="0AF0360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X</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5523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71"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3FBC7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D2F033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5"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F9A4B5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49089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DB8DB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68951DF4"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A1E1D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5E630D7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90865F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23CCFD4"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1FDF8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7228E5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BBD4E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7E49E2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3D1346FD" w14:textId="77777777">
        <w:trPr>
          <w:trHeight w:val="215"/>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AB124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E8F234"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FA0888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CA1D85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7F557D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A37FC4C"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0D6A8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615CAD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35F78D4C"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972A42"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6D3CF15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603FF8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26FE025"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8F6EB6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3B24B00"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F424C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632CD3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673A6652" w14:textId="77777777">
        <w:trPr>
          <w:trHeight w:val="1869"/>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4F4800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6. Detalizēts ieņēmumu un izdevumu aprēķins (ja nepieciešams, detalizētu ieņēmumu un izdevumu aprēķinu var pievienot anotācijas pielikumā)</w:t>
            </w:r>
          </w:p>
        </w:tc>
        <w:tc>
          <w:tcPr>
            <w:tcW w:w="7592" w:type="dxa"/>
            <w:gridSpan w:val="7"/>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2E0DAE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C04391" w14:paraId="198E25E7"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6743D8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6.1. detalizēts ieņēmumu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469CA98" w14:textId="77777777">
            <w:pPr>
              <w:spacing w:after="0" w:line="256" w:lineRule="auto"/>
              <w:rPr>
                <w:rFonts w:ascii="Times New Roman" w:hAnsi="Times New Roman" w:eastAsia="Calibri" w:cs="Times New Roman"/>
                <w:sz w:val="24"/>
                <w:szCs w:val="24"/>
              </w:rPr>
            </w:pPr>
          </w:p>
        </w:tc>
      </w:tr>
      <w:tr w:rsidRPr="00EC073B" w:rsidR="00EC073B" w:rsidTr="00C04391" w14:paraId="7F51B153" w14:textId="77777777">
        <w:trPr>
          <w:trHeight w:val="51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D50CBF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6.2. detalizēts izdevumu aprēķins</w:t>
            </w:r>
          </w:p>
        </w:tc>
        <w:tc>
          <w:tcPr>
            <w:tcW w:w="0" w:type="auto"/>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FAE5DD0" w14:textId="77777777">
            <w:pPr>
              <w:spacing w:after="0" w:line="256" w:lineRule="auto"/>
              <w:rPr>
                <w:rFonts w:ascii="Times New Roman" w:hAnsi="Times New Roman" w:eastAsia="Calibri" w:cs="Times New Roman"/>
                <w:sz w:val="24"/>
                <w:szCs w:val="24"/>
              </w:rPr>
            </w:pPr>
          </w:p>
        </w:tc>
      </w:tr>
      <w:tr w:rsidRPr="00EC073B" w:rsidR="00EC073B" w:rsidTr="00C04391" w14:paraId="2F47ECC2" w14:textId="77777777">
        <w:trPr>
          <w:trHeight w:val="507"/>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C0CC94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7. Amata vietu skaita izmaiņas</w:t>
            </w:r>
          </w:p>
        </w:tc>
        <w:tc>
          <w:tcPr>
            <w:tcW w:w="7592" w:type="dxa"/>
            <w:gridSpan w:val="7"/>
            <w:tcBorders>
              <w:top w:val="single" w:color="auto" w:sz="4" w:space="0"/>
              <w:left w:val="single" w:color="auto" w:sz="4" w:space="0"/>
              <w:bottom w:val="single" w:color="auto" w:sz="4" w:space="0"/>
              <w:right w:val="single" w:color="auto" w:sz="4" w:space="0"/>
            </w:tcBorders>
            <w:hideMark/>
          </w:tcPr>
          <w:p w:rsidRPr="00EC073B" w:rsidR="00EC073B" w:rsidP="005F2037" w:rsidRDefault="005F2037" w14:paraId="11922952" w14:textId="63E61BAD">
            <w:pPr>
              <w:spacing w:line="25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EC073B" w:rsidR="00EC073B">
              <w:rPr>
                <w:rFonts w:ascii="Times New Roman" w:hAnsi="Times New Roman" w:eastAsia="Calibri" w:cs="Times New Roman"/>
                <w:sz w:val="24"/>
                <w:szCs w:val="24"/>
              </w:rPr>
              <w:t>Projekts šo jomu neskar</w:t>
            </w:r>
          </w:p>
        </w:tc>
      </w:tr>
      <w:tr w:rsidRPr="00EC073B" w:rsidR="00EC073B" w:rsidTr="00C04391" w14:paraId="10860BD2" w14:textId="77777777">
        <w:trPr>
          <w:trHeight w:val="770"/>
        </w:trPr>
        <w:tc>
          <w:tcPr>
            <w:tcW w:w="173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528A4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8. Cita informācija</w:t>
            </w:r>
          </w:p>
        </w:tc>
        <w:tc>
          <w:tcPr>
            <w:tcW w:w="7592" w:type="dxa"/>
            <w:gridSpan w:val="7"/>
            <w:tcBorders>
              <w:top w:val="single" w:color="auto" w:sz="4" w:space="0"/>
              <w:left w:val="single" w:color="auto" w:sz="4" w:space="0"/>
              <w:bottom w:val="single" w:color="auto" w:sz="4" w:space="0"/>
              <w:right w:val="single" w:color="auto" w:sz="4" w:space="0"/>
            </w:tcBorders>
            <w:hideMark/>
          </w:tcPr>
          <w:p w:rsidRPr="00BA7D46" w:rsidR="00EC073B" w:rsidP="00EC073B" w:rsidRDefault="0019516E" w14:paraId="6721A363" w14:textId="45A8E4E1">
            <w:pPr>
              <w:spacing w:after="0" w:line="240" w:lineRule="auto"/>
              <w:jc w:val="both"/>
            </w:pPr>
            <w:r>
              <w:rPr>
                <w:rFonts w:ascii="Times New Roman" w:hAnsi="Times New Roman" w:eastAsia="Calibri" w:cs="Times New Roman"/>
                <w:color w:val="000000"/>
                <w:sz w:val="24"/>
                <w:szCs w:val="24"/>
              </w:rPr>
              <w:t xml:space="preserve">     </w:t>
            </w:r>
            <w:r w:rsidRPr="00BA7D46" w:rsidR="007D135B">
              <w:rPr>
                <w:rFonts w:ascii="Times New Roman" w:hAnsi="Times New Roman" w:eastAsia="Calibri" w:cs="Times New Roman"/>
                <w:color w:val="000000"/>
                <w:sz w:val="24"/>
                <w:szCs w:val="24"/>
              </w:rPr>
              <w:t>A</w:t>
            </w:r>
            <w:r w:rsidRPr="00BA7D46" w:rsidR="009D25BD">
              <w:rPr>
                <w:rFonts w:ascii="Times New Roman" w:hAnsi="Times New Roman" w:eastAsia="Calibri" w:cs="Times New Roman"/>
                <w:color w:val="000000"/>
                <w:sz w:val="24"/>
                <w:szCs w:val="24"/>
              </w:rPr>
              <w:t>r nekustamā īpašuma īpašnieku maiņu saistīt</w:t>
            </w:r>
            <w:r w:rsidRPr="00BA7D46" w:rsidR="00260248">
              <w:rPr>
                <w:rFonts w:ascii="Times New Roman" w:hAnsi="Times New Roman" w:eastAsia="Calibri" w:cs="Times New Roman"/>
                <w:color w:val="000000"/>
                <w:sz w:val="24"/>
                <w:szCs w:val="24"/>
              </w:rPr>
              <w:t>os</w:t>
            </w:r>
            <w:r w:rsidRPr="00BA7D46" w:rsidR="009D25BD">
              <w:rPr>
                <w:rFonts w:ascii="Times New Roman" w:hAnsi="Times New Roman" w:eastAsia="Calibri" w:cs="Times New Roman"/>
                <w:color w:val="000000"/>
                <w:sz w:val="24"/>
                <w:szCs w:val="24"/>
              </w:rPr>
              <w:t xml:space="preserve"> izdevum</w:t>
            </w:r>
            <w:r w:rsidRPr="00BA7D46" w:rsidR="00260248">
              <w:rPr>
                <w:rFonts w:ascii="Times New Roman" w:hAnsi="Times New Roman" w:eastAsia="Calibri" w:cs="Times New Roman"/>
                <w:color w:val="000000"/>
                <w:sz w:val="24"/>
                <w:szCs w:val="24"/>
              </w:rPr>
              <w:t>us</w:t>
            </w:r>
            <w:r w:rsidRPr="00BA7D46" w:rsidR="009D25BD">
              <w:rPr>
                <w:rFonts w:ascii="Times New Roman" w:hAnsi="Times New Roman" w:eastAsia="Calibri" w:cs="Times New Roman"/>
                <w:color w:val="000000"/>
                <w:sz w:val="24"/>
                <w:szCs w:val="24"/>
              </w:rPr>
              <w:t xml:space="preserve"> un </w:t>
            </w:r>
            <w:r w:rsidRPr="00BA7D46" w:rsidR="005F2037">
              <w:rPr>
                <w:rFonts w:ascii="Times New Roman" w:hAnsi="Times New Roman" w:eastAsia="Calibri" w:cs="Times New Roman"/>
                <w:color w:val="000000"/>
                <w:sz w:val="24"/>
                <w:szCs w:val="24"/>
              </w:rPr>
              <w:t xml:space="preserve">nekustamā īpašuma </w:t>
            </w:r>
            <w:r w:rsidRPr="00BA7D46" w:rsidR="00EC073B">
              <w:rPr>
                <w:rFonts w:ascii="Times New Roman" w:hAnsi="Times New Roman" w:eastAsia="Calibri" w:cs="Times New Roman"/>
                <w:color w:val="000000"/>
                <w:sz w:val="24"/>
                <w:szCs w:val="24"/>
              </w:rPr>
              <w:t>uzturēšan</w:t>
            </w:r>
            <w:r w:rsidRPr="00BA7D46" w:rsidR="009D25BD">
              <w:rPr>
                <w:rFonts w:ascii="Times New Roman" w:hAnsi="Times New Roman" w:eastAsia="Calibri" w:cs="Times New Roman"/>
                <w:color w:val="000000"/>
                <w:sz w:val="24"/>
                <w:szCs w:val="24"/>
              </w:rPr>
              <w:t>ai nepieciešam</w:t>
            </w:r>
            <w:r w:rsidRPr="00BA7D46" w:rsidR="00260248">
              <w:rPr>
                <w:rFonts w:ascii="Times New Roman" w:hAnsi="Times New Roman" w:eastAsia="Calibri" w:cs="Times New Roman"/>
                <w:color w:val="000000"/>
                <w:sz w:val="24"/>
                <w:szCs w:val="24"/>
              </w:rPr>
              <w:t>os</w:t>
            </w:r>
            <w:r w:rsidRPr="00BA7D46" w:rsidR="009D25BD">
              <w:rPr>
                <w:rFonts w:ascii="Times New Roman" w:hAnsi="Times New Roman" w:eastAsia="Calibri" w:cs="Times New Roman"/>
                <w:color w:val="000000"/>
                <w:sz w:val="24"/>
                <w:szCs w:val="24"/>
              </w:rPr>
              <w:t xml:space="preserve"> izdevum</w:t>
            </w:r>
            <w:r w:rsidRPr="00BA7D46" w:rsidR="00260248">
              <w:rPr>
                <w:rFonts w:ascii="Times New Roman" w:hAnsi="Times New Roman" w:eastAsia="Calibri" w:cs="Times New Roman"/>
                <w:color w:val="000000"/>
                <w:sz w:val="24"/>
                <w:szCs w:val="24"/>
              </w:rPr>
              <w:t xml:space="preserve">us </w:t>
            </w:r>
            <w:r w:rsidRPr="00BA7D46" w:rsidR="007D135B">
              <w:rPr>
                <w:rFonts w:ascii="Times New Roman" w:hAnsi="Times New Roman" w:eastAsia="Calibri" w:cs="Times New Roman"/>
                <w:color w:val="000000"/>
                <w:sz w:val="24"/>
                <w:szCs w:val="24"/>
              </w:rPr>
              <w:t xml:space="preserve">Rucavas novada pašvaldība </w:t>
            </w:r>
            <w:r w:rsidRPr="00BA7D46" w:rsidR="00260248">
              <w:rPr>
                <w:rFonts w:ascii="Times New Roman" w:hAnsi="Times New Roman" w:eastAsia="Calibri" w:cs="Times New Roman"/>
                <w:color w:val="000000"/>
                <w:sz w:val="24"/>
                <w:szCs w:val="24"/>
              </w:rPr>
              <w:t>segs no</w:t>
            </w:r>
            <w:r w:rsidRPr="00BA7D46" w:rsidR="005F2037">
              <w:rPr>
                <w:rFonts w:ascii="Times New Roman" w:hAnsi="Times New Roman" w:eastAsia="Calibri" w:cs="Times New Roman"/>
                <w:color w:val="000000"/>
                <w:sz w:val="24"/>
                <w:szCs w:val="24"/>
              </w:rPr>
              <w:t xml:space="preserve"> </w:t>
            </w:r>
            <w:r w:rsidRPr="00BA7D46" w:rsidR="009D25BD">
              <w:rPr>
                <w:rFonts w:ascii="Times New Roman" w:hAnsi="Times New Roman" w:eastAsia="Calibri" w:cs="Times New Roman"/>
                <w:color w:val="000000"/>
                <w:sz w:val="24"/>
                <w:szCs w:val="24"/>
              </w:rPr>
              <w:t>pašvaldības budžeta līdzekļ</w:t>
            </w:r>
            <w:r w:rsidRPr="00BA7D46" w:rsidR="00260248">
              <w:rPr>
                <w:rFonts w:ascii="Times New Roman" w:hAnsi="Times New Roman" w:eastAsia="Calibri" w:cs="Times New Roman"/>
                <w:color w:val="000000"/>
                <w:sz w:val="24"/>
                <w:szCs w:val="24"/>
              </w:rPr>
              <w:t>iem</w:t>
            </w:r>
            <w:r w:rsidRPr="00BA7D46" w:rsidR="009D25BD">
              <w:rPr>
                <w:rFonts w:ascii="Times New Roman" w:hAnsi="Times New Roman" w:eastAsia="Calibri" w:cs="Times New Roman"/>
                <w:color w:val="000000"/>
                <w:sz w:val="24"/>
                <w:szCs w:val="24"/>
              </w:rPr>
              <w:t xml:space="preserve">. </w:t>
            </w:r>
          </w:p>
        </w:tc>
      </w:tr>
    </w:tbl>
    <w:p w:rsidRPr="00EC073B" w:rsidR="00EC073B" w:rsidP="00EC073B" w:rsidRDefault="00EC073B" w14:paraId="58A242A9"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5F2037" w14:paraId="46B73CD8"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3E441A5"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IV. Tiesību akta projekta ietekme uz spēkā esošo tiesību normu sistēmu</w:t>
            </w:r>
          </w:p>
        </w:tc>
      </w:tr>
      <w:tr w:rsidRPr="00EC073B" w:rsidR="00822EDF" w:rsidTr="005F2037" w14:paraId="731D43EC"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EC073B" w:rsidR="00822EDF" w:rsidP="00EC073B" w:rsidRDefault="00822EDF" w14:paraId="3D795777" w14:textId="2B333FB8">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Calibri" w:cs="Times New Roman"/>
                <w:sz w:val="24"/>
                <w:szCs w:val="24"/>
              </w:rPr>
              <w:t>Projekts šo jomu neskar</w:t>
            </w:r>
          </w:p>
        </w:tc>
      </w:tr>
    </w:tbl>
    <w:p w:rsidRPr="00EC073B" w:rsidR="00EC073B" w:rsidP="00EC073B" w:rsidRDefault="00EC073B" w14:paraId="2EB89287" w14:textId="77777777">
      <w:pPr>
        <w:spacing w:after="0" w:line="240" w:lineRule="auto"/>
        <w:rPr>
          <w:rFonts w:ascii="Times New Roman" w:hAnsi="Times New Roman" w:eastAsia="Times New Roman" w:cs="Times New Roman"/>
          <w:iCs/>
          <w:color w:val="000000"/>
          <w:sz w:val="24"/>
          <w:szCs w:val="24"/>
          <w:lang w:eastAsia="lv-LV"/>
        </w:rPr>
      </w:pP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5F2037" w14:paraId="4047111E"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79DA2194"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 Tiesību akta projekta atbilstība Latvijas Republikas starptautiskajām saistībām</w:t>
            </w:r>
          </w:p>
        </w:tc>
      </w:tr>
      <w:tr w:rsidRPr="00EC073B" w:rsidR="00EC073B" w:rsidTr="005F2037" w14:paraId="22976D0F"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01688A89" w14:textId="77777777">
            <w:pPr>
              <w:spacing w:after="0" w:line="240" w:lineRule="auto"/>
              <w:jc w:val="center"/>
              <w:rPr>
                <w:rFonts w:ascii="Times New Roman" w:hAnsi="Times New Roman" w:eastAsia="Times New Roman" w:cs="Times New Roman"/>
                <w:bCs/>
                <w:iCs/>
                <w:color w:val="000000"/>
                <w:sz w:val="24"/>
                <w:szCs w:val="24"/>
                <w:lang w:eastAsia="lv-LV"/>
              </w:rPr>
            </w:pPr>
            <w:r w:rsidRPr="00EC073B">
              <w:rPr>
                <w:rFonts w:ascii="Times New Roman" w:hAnsi="Times New Roman" w:eastAsia="Times New Roman" w:cs="Times New Roman"/>
                <w:bCs/>
                <w:iCs/>
                <w:color w:val="000000"/>
                <w:sz w:val="24"/>
                <w:szCs w:val="24"/>
                <w:lang w:eastAsia="lv-LV"/>
              </w:rPr>
              <w:t>Projekts šo jomu neskar</w:t>
            </w:r>
          </w:p>
        </w:tc>
      </w:tr>
    </w:tbl>
    <w:p w:rsidRPr="00EC073B" w:rsidR="00EC073B" w:rsidP="00EC073B" w:rsidRDefault="00EC073B" w14:paraId="263F9046"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8"/>
      </w:tblGrid>
      <w:tr w:rsidRPr="00EC073B" w:rsidR="00EC073B" w:rsidTr="005F2037" w14:paraId="4C879CC3"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F8E98C4"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 Sabiedrības līdzdalība un komunikācijas aktivitātes</w:t>
            </w:r>
          </w:p>
        </w:tc>
      </w:tr>
      <w:tr w:rsidRPr="00EC073B" w:rsidR="00EC073B" w:rsidTr="005F2037" w14:paraId="52591885"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995C953" w14:textId="77777777">
            <w:pPr>
              <w:spacing w:after="0" w:line="240" w:lineRule="auto"/>
              <w:jc w:val="center"/>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p>
        </w:tc>
      </w:tr>
    </w:tbl>
    <w:p w:rsidRPr="00EC073B" w:rsidR="00EC073B" w:rsidP="00EC073B" w:rsidRDefault="00EC073B" w14:paraId="3F0E75F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63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Pr="00EC073B" w:rsidR="00EC073B" w:rsidTr="005F2037" w14:paraId="5D447326"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28D061CB"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VII. Tiesību akta projekta izpildes nodrošināšana un tās ietekme uz institūcijām</w:t>
            </w:r>
          </w:p>
        </w:tc>
      </w:tr>
      <w:tr w:rsidRPr="00EC073B" w:rsidR="00EC073B" w:rsidTr="005F2037" w14:paraId="2E1FF726"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60260CF"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1.</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4489D2C"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izpildē iesaistītās institūcijas</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0C26EC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Satiksmes ministrija, valsts akciju sabiedrība “Latvijas Valsts ceļi” un </w:t>
            </w:r>
            <w:r w:rsidR="007B3D32">
              <w:rPr>
                <w:rFonts w:ascii="Times New Roman" w:hAnsi="Times New Roman" w:eastAsia="Times New Roman" w:cs="Times New Roman"/>
                <w:iCs/>
                <w:color w:val="000000"/>
                <w:sz w:val="24"/>
                <w:szCs w:val="24"/>
                <w:lang w:eastAsia="lv-LV"/>
              </w:rPr>
              <w:t>Rucavas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5F2037" w14:paraId="59B48A68"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B592B26"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6D9091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izpildes ietekme uz pārvaldes funkcijām un institucionālo struktūru.</w:t>
            </w:r>
            <w:r w:rsidRPr="00EC073B">
              <w:rPr>
                <w:rFonts w:ascii="Times New Roman" w:hAnsi="Times New Roman" w:eastAsia="Times New Roman" w:cs="Times New Roman"/>
                <w:iCs/>
                <w:color w:val="000000"/>
                <w:sz w:val="24"/>
                <w:szCs w:val="24"/>
                <w:lang w:eastAsia="lv-LV"/>
              </w:rPr>
              <w:br/>
              <w:t xml:space="preserve">Jaunu institūciju izveide, esošu institūciju likvidācija </w:t>
            </w:r>
            <w:r w:rsidRPr="00EC073B">
              <w:rPr>
                <w:rFonts w:ascii="Times New Roman" w:hAnsi="Times New Roman" w:eastAsia="Times New Roman" w:cs="Times New Roman"/>
                <w:iCs/>
                <w:color w:val="000000"/>
                <w:sz w:val="24"/>
                <w:szCs w:val="24"/>
                <w:lang w:eastAsia="lv-LV"/>
              </w:rPr>
              <w:lastRenderedPageBreak/>
              <w:t>vai reorganizācija, to ietekme uz institūcijas cilvēkresursiem</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F3E078E"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 xml:space="preserve">        Projekts šo jomu neskar</w:t>
            </w:r>
          </w:p>
        </w:tc>
      </w:tr>
      <w:tr w:rsidRPr="00EC073B" w:rsidR="00EC073B" w:rsidTr="005F2037" w14:paraId="4919DD08" w14:textId="77777777">
        <w:trPr>
          <w:tblCellSpacing w:w="15" w:type="dxa"/>
        </w:trPr>
        <w:tc>
          <w:tcPr>
            <w:tcW w:w="26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E2E9DF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48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D6F9D1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18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DEA85C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p>
        </w:tc>
      </w:tr>
    </w:tbl>
    <w:p w:rsidR="00EC073B" w:rsidP="00EC073B" w:rsidRDefault="00EC073B" w14:paraId="00416449" w14:textId="205DEAB4">
      <w:pPr>
        <w:tabs>
          <w:tab w:val="left" w:pos="6237"/>
        </w:tabs>
        <w:spacing w:after="0" w:line="240" w:lineRule="auto"/>
        <w:rPr>
          <w:rFonts w:ascii="Times New Roman" w:hAnsi="Times New Roman" w:eastAsia="Calibri" w:cs="Times New Roman"/>
          <w:color w:val="000000"/>
          <w:sz w:val="28"/>
          <w:szCs w:val="28"/>
        </w:rPr>
      </w:pPr>
      <w:r w:rsidRPr="00EC073B">
        <w:rPr>
          <w:rFonts w:ascii="Times New Roman" w:hAnsi="Times New Roman" w:eastAsia="Calibri" w:cs="Times New Roman"/>
          <w:color w:val="000000"/>
          <w:sz w:val="28"/>
          <w:szCs w:val="28"/>
        </w:rPr>
        <w:t xml:space="preserve">     </w:t>
      </w:r>
    </w:p>
    <w:p w:rsidRPr="00EC073B" w:rsidR="00822EDF" w:rsidP="00EC073B" w:rsidRDefault="00822EDF" w14:paraId="4E01B0E4" w14:textId="77777777">
      <w:pPr>
        <w:tabs>
          <w:tab w:val="left" w:pos="6237"/>
        </w:tabs>
        <w:spacing w:after="0" w:line="240" w:lineRule="auto"/>
        <w:rPr>
          <w:rFonts w:ascii="Times New Roman" w:hAnsi="Times New Roman" w:eastAsia="Calibri" w:cs="Times New Roman"/>
          <w:color w:val="000000"/>
          <w:sz w:val="28"/>
          <w:szCs w:val="28"/>
        </w:rPr>
      </w:pPr>
    </w:p>
    <w:p w:rsidRPr="00EC073B" w:rsidR="00EC073B" w:rsidP="00EC073B" w:rsidRDefault="00EC073B" w14:paraId="67B0F8F8" w14:textId="6DD8550F">
      <w:pPr>
        <w:tabs>
          <w:tab w:val="left" w:pos="6237"/>
        </w:tabs>
        <w:spacing w:after="0" w:line="240" w:lineRule="auto"/>
        <w:rPr>
          <w:rFonts w:ascii="Times New Roman" w:hAnsi="Times New Roman" w:eastAsia="Calibri" w:cs="Times New Roman"/>
          <w:color w:val="000000"/>
          <w:sz w:val="28"/>
          <w:szCs w:val="28"/>
        </w:rPr>
      </w:pPr>
      <w:r w:rsidRPr="00EC073B">
        <w:rPr>
          <w:rFonts w:ascii="Times New Roman" w:hAnsi="Times New Roman" w:eastAsia="Calibri" w:cs="Times New Roman"/>
          <w:color w:val="000000"/>
          <w:sz w:val="28"/>
          <w:szCs w:val="28"/>
        </w:rPr>
        <w:t xml:space="preserve"> Satiksmes ministrs  </w:t>
      </w:r>
      <w:r w:rsidRPr="00EC073B">
        <w:rPr>
          <w:rFonts w:ascii="Times New Roman" w:hAnsi="Times New Roman" w:eastAsia="Calibri" w:cs="Times New Roman"/>
          <w:color w:val="000000"/>
          <w:sz w:val="28"/>
          <w:szCs w:val="28"/>
        </w:rPr>
        <w:tab/>
      </w:r>
      <w:r w:rsidR="005F2037">
        <w:rPr>
          <w:rFonts w:ascii="Times New Roman" w:hAnsi="Times New Roman" w:eastAsia="Calibri" w:cs="Times New Roman"/>
          <w:color w:val="000000"/>
          <w:sz w:val="28"/>
          <w:szCs w:val="28"/>
        </w:rPr>
        <w:t xml:space="preserve">           </w:t>
      </w:r>
      <w:proofErr w:type="spellStart"/>
      <w:r w:rsidRPr="00EC073B">
        <w:rPr>
          <w:rFonts w:ascii="Times New Roman" w:hAnsi="Times New Roman" w:eastAsia="Calibri" w:cs="Times New Roman"/>
          <w:color w:val="000000"/>
          <w:sz w:val="28"/>
          <w:szCs w:val="28"/>
        </w:rPr>
        <w:t>T.Linkaits</w:t>
      </w:r>
      <w:proofErr w:type="spellEnd"/>
    </w:p>
    <w:p w:rsidRPr="00EC073B" w:rsidR="00EC073B" w:rsidP="00EC073B" w:rsidRDefault="00EC073B" w14:paraId="0B4C21A2" w14:textId="77777777">
      <w:pPr>
        <w:tabs>
          <w:tab w:val="left" w:pos="6237"/>
        </w:tabs>
        <w:spacing w:after="0" w:line="240" w:lineRule="auto"/>
        <w:rPr>
          <w:rFonts w:ascii="Times New Roman" w:hAnsi="Times New Roman" w:eastAsia="Calibri" w:cs="Times New Roman"/>
          <w:color w:val="000000"/>
          <w:sz w:val="28"/>
          <w:szCs w:val="28"/>
        </w:rPr>
      </w:pPr>
    </w:p>
    <w:p w:rsidRPr="00EC073B" w:rsidR="00EC073B" w:rsidP="00EC073B" w:rsidRDefault="00EC073B" w14:paraId="02B2F60F" w14:textId="249C1890">
      <w:pPr>
        <w:spacing w:after="0" w:line="240" w:lineRule="auto"/>
        <w:jc w:val="both"/>
        <w:rPr>
          <w:rFonts w:ascii="Times New Roman" w:hAnsi="Times New Roman" w:eastAsia="Calibri" w:cs="Times New Roman"/>
          <w:color w:val="000000"/>
          <w:sz w:val="28"/>
          <w:szCs w:val="28"/>
        </w:rPr>
      </w:pPr>
      <w:r w:rsidRPr="00EC073B">
        <w:rPr>
          <w:rFonts w:ascii="Calibri" w:hAnsi="Calibri" w:eastAsia="Calibri" w:cs="Times New Roman"/>
          <w:sz w:val="28"/>
          <w:szCs w:val="28"/>
        </w:rPr>
        <w:t xml:space="preserve"> </w:t>
      </w:r>
      <w:r w:rsidRPr="00EC073B">
        <w:rPr>
          <w:rFonts w:ascii="Times New Roman" w:hAnsi="Times New Roman" w:eastAsia="Calibri" w:cs="Times New Roman"/>
          <w:sz w:val="28"/>
          <w:szCs w:val="28"/>
        </w:rPr>
        <w:t>Vīza:</w:t>
      </w:r>
      <w:r w:rsidRPr="00EC073B">
        <w:rPr>
          <w:rFonts w:ascii="Times New Roman" w:hAnsi="Times New Roman" w:eastAsia="Calibri" w:cs="Times New Roman"/>
          <w:sz w:val="28"/>
          <w:szCs w:val="28"/>
        </w:rPr>
        <w:tab/>
      </w:r>
      <w:r w:rsidR="005F2037">
        <w:rPr>
          <w:rFonts w:ascii="Times New Roman" w:hAnsi="Times New Roman" w:eastAsia="Calibri" w:cs="Times New Roman"/>
          <w:sz w:val="28"/>
          <w:szCs w:val="28"/>
        </w:rPr>
        <w:t>v</w:t>
      </w:r>
      <w:r w:rsidRPr="00EC073B">
        <w:rPr>
          <w:rFonts w:ascii="Times New Roman" w:hAnsi="Times New Roman" w:eastAsia="Calibri" w:cs="Times New Roman"/>
          <w:sz w:val="28"/>
          <w:szCs w:val="28"/>
        </w:rPr>
        <w:t xml:space="preserve">alsts sekretāra </w:t>
      </w:r>
      <w:proofErr w:type="spellStart"/>
      <w:r w:rsidRPr="00EC073B">
        <w:rPr>
          <w:rFonts w:ascii="Times New Roman" w:hAnsi="Times New Roman" w:eastAsia="Calibri" w:cs="Times New Roman"/>
          <w:sz w:val="28"/>
          <w:szCs w:val="28"/>
        </w:rPr>
        <w:t>p.i</w:t>
      </w:r>
      <w:proofErr w:type="spellEnd"/>
      <w:r w:rsidRPr="00EC073B">
        <w:rPr>
          <w:rFonts w:ascii="Times New Roman" w:hAnsi="Times New Roman" w:eastAsia="Calibri" w:cs="Times New Roman"/>
          <w:sz w:val="28"/>
          <w:szCs w:val="28"/>
        </w:rPr>
        <w:t>.</w:t>
      </w:r>
      <w:r w:rsidRPr="00EC073B">
        <w:rPr>
          <w:rFonts w:ascii="Times New Roman" w:hAnsi="Times New Roman" w:eastAsia="Calibri" w:cs="Times New Roman"/>
          <w:sz w:val="28"/>
          <w:szCs w:val="28"/>
        </w:rPr>
        <w:tab/>
      </w:r>
      <w:r w:rsidRPr="00EC073B">
        <w:rPr>
          <w:rFonts w:ascii="Times New Roman" w:hAnsi="Times New Roman" w:eastAsia="Calibri" w:cs="Times New Roman"/>
          <w:sz w:val="28"/>
          <w:szCs w:val="28"/>
        </w:rPr>
        <w:tab/>
        <w:t xml:space="preserve">                            </w:t>
      </w:r>
      <w:r w:rsidR="005F2037">
        <w:rPr>
          <w:rFonts w:ascii="Times New Roman" w:hAnsi="Times New Roman" w:eastAsia="Calibri" w:cs="Times New Roman"/>
          <w:sz w:val="28"/>
          <w:szCs w:val="28"/>
        </w:rPr>
        <w:t xml:space="preserve">          </w:t>
      </w:r>
      <w:r w:rsidRPr="00EC073B">
        <w:rPr>
          <w:rFonts w:ascii="Times New Roman" w:hAnsi="Times New Roman" w:eastAsia="Calibri" w:cs="Times New Roman"/>
          <w:sz w:val="28"/>
          <w:szCs w:val="28"/>
        </w:rPr>
        <w:t xml:space="preserve"> </w:t>
      </w:r>
      <w:r w:rsidR="005F2037">
        <w:rPr>
          <w:rFonts w:ascii="Times New Roman" w:hAnsi="Times New Roman" w:eastAsia="Calibri" w:cs="Times New Roman"/>
          <w:sz w:val="28"/>
          <w:szCs w:val="28"/>
        </w:rPr>
        <w:t xml:space="preserve">          </w:t>
      </w:r>
      <w:proofErr w:type="spellStart"/>
      <w:r w:rsidR="00BA7D46">
        <w:rPr>
          <w:rFonts w:ascii="Times New Roman" w:hAnsi="Times New Roman" w:eastAsia="Calibri" w:cs="Times New Roman"/>
          <w:sz w:val="28"/>
          <w:szCs w:val="28"/>
        </w:rPr>
        <w:t>L.Austrupe</w:t>
      </w:r>
      <w:proofErr w:type="spellEnd"/>
    </w:p>
    <w:p w:rsidRPr="00EC073B" w:rsidR="00EC073B" w:rsidP="00EC073B" w:rsidRDefault="00EC073B" w14:paraId="26964563"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6DF0B9AF"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471073CC"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5D373173"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2970E88A"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6B95AEDA"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6861CE4A"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0B33D8B5"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5F0D59D7" w14:textId="77777777">
      <w:pPr>
        <w:tabs>
          <w:tab w:val="left" w:pos="6237"/>
        </w:tabs>
        <w:spacing w:after="0" w:line="240" w:lineRule="auto"/>
        <w:rPr>
          <w:rFonts w:ascii="Times New Roman" w:hAnsi="Times New Roman" w:eastAsia="Calibri" w:cs="Times New Roman"/>
          <w:color w:val="000000"/>
          <w:sz w:val="20"/>
          <w:szCs w:val="20"/>
        </w:rPr>
      </w:pPr>
    </w:p>
    <w:p w:rsidRPr="00EC073B" w:rsidR="00EC073B" w:rsidP="00EC073B" w:rsidRDefault="00EC073B" w14:paraId="5CF7E34A" w14:textId="77777777">
      <w:pPr>
        <w:spacing w:after="0" w:line="240" w:lineRule="auto"/>
        <w:rPr>
          <w:rFonts w:ascii="Calibri" w:hAnsi="Calibri" w:eastAsia="Calibri" w:cs="Times New Roman"/>
          <w:sz w:val="24"/>
          <w:szCs w:val="24"/>
        </w:rPr>
      </w:pPr>
    </w:p>
    <w:p w:rsidR="00C54A1E" w:rsidRDefault="00C54A1E" w14:paraId="2CD783D2" w14:textId="77777777"/>
    <w:sectPr w:rsidR="00C54A1E" w:rsidSect="00BA7D46">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D958" w14:textId="77777777" w:rsidR="00CE6308" w:rsidRDefault="00CE6308" w:rsidP="008B199B">
      <w:pPr>
        <w:spacing w:after="0" w:line="240" w:lineRule="auto"/>
      </w:pPr>
      <w:r>
        <w:separator/>
      </w:r>
    </w:p>
  </w:endnote>
  <w:endnote w:type="continuationSeparator" w:id="0">
    <w:p w14:paraId="4EA0E887" w14:textId="77777777" w:rsidR="00CE6308" w:rsidRDefault="00CE6308"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745F" w14:textId="543776EC" w:rsidR="008B199B" w:rsidRPr="00BA7D46" w:rsidRDefault="008B199B">
    <w:pPr>
      <w:pStyle w:val="Footer"/>
      <w:rPr>
        <w:rFonts w:ascii="Times New Roman" w:hAnsi="Times New Roman" w:cs="Times New Roman"/>
        <w:sz w:val="20"/>
        <w:szCs w:val="20"/>
      </w:rPr>
    </w:pPr>
    <w:r w:rsidRPr="00BA7D46">
      <w:rPr>
        <w:rFonts w:ascii="Times New Roman" w:hAnsi="Times New Roman" w:cs="Times New Roman"/>
        <w:sz w:val="20"/>
        <w:szCs w:val="20"/>
      </w:rPr>
      <w:t>SManot_</w:t>
    </w:r>
    <w:r w:rsidR="0085464D" w:rsidRPr="00BA7D46">
      <w:rPr>
        <w:rFonts w:ascii="Times New Roman" w:hAnsi="Times New Roman" w:cs="Times New Roman"/>
        <w:sz w:val="20"/>
        <w:szCs w:val="20"/>
      </w:rPr>
      <w:t>21</w:t>
    </w:r>
    <w:r w:rsidRPr="00BA7D46">
      <w:rPr>
        <w:rFonts w:ascii="Times New Roman" w:hAnsi="Times New Roman" w:cs="Times New Roman"/>
        <w:sz w:val="20"/>
        <w:szCs w:val="20"/>
      </w:rPr>
      <w:t>1019_Rucava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E561" w14:textId="77777777" w:rsidR="00CE6308" w:rsidRDefault="00CE6308" w:rsidP="008B199B">
      <w:pPr>
        <w:spacing w:after="0" w:line="240" w:lineRule="auto"/>
      </w:pPr>
      <w:r>
        <w:separator/>
      </w:r>
    </w:p>
  </w:footnote>
  <w:footnote w:type="continuationSeparator" w:id="0">
    <w:p w14:paraId="7DAF463F" w14:textId="77777777" w:rsidR="00CE6308" w:rsidRDefault="00CE6308"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173380"/>
      <w:docPartObj>
        <w:docPartGallery w:val="Page Numbers (Top of Page)"/>
        <w:docPartUnique/>
      </w:docPartObj>
    </w:sdtPr>
    <w:sdtEndPr>
      <w:rPr>
        <w:noProof/>
      </w:rPr>
    </w:sdtEndPr>
    <w:sdtContent>
      <w:p w:rsidR="00BA7D46" w:rsidRDefault="00BA7D46" w14:paraId="42B4B897" w14:textId="4FE8DC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A7D46" w:rsidRDefault="00BA7D46" w14:paraId="60C03AC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63059"/>
    <w:rsid w:val="000840F5"/>
    <w:rsid w:val="00093237"/>
    <w:rsid w:val="000E6FEC"/>
    <w:rsid w:val="00171CB9"/>
    <w:rsid w:val="00190CF2"/>
    <w:rsid w:val="0019516E"/>
    <w:rsid w:val="00204D7F"/>
    <w:rsid w:val="002356F9"/>
    <w:rsid w:val="0023598F"/>
    <w:rsid w:val="0025452F"/>
    <w:rsid w:val="00260248"/>
    <w:rsid w:val="002A42A8"/>
    <w:rsid w:val="002B3AF4"/>
    <w:rsid w:val="002E5DE8"/>
    <w:rsid w:val="003030D5"/>
    <w:rsid w:val="004434E0"/>
    <w:rsid w:val="0051341D"/>
    <w:rsid w:val="00515442"/>
    <w:rsid w:val="00554470"/>
    <w:rsid w:val="005D1A7D"/>
    <w:rsid w:val="005D453A"/>
    <w:rsid w:val="005F2037"/>
    <w:rsid w:val="005F5259"/>
    <w:rsid w:val="00616311"/>
    <w:rsid w:val="00677550"/>
    <w:rsid w:val="00687C8F"/>
    <w:rsid w:val="006E04F8"/>
    <w:rsid w:val="007A2F03"/>
    <w:rsid w:val="007B3D32"/>
    <w:rsid w:val="007D135B"/>
    <w:rsid w:val="0081171C"/>
    <w:rsid w:val="00822EDF"/>
    <w:rsid w:val="0085464D"/>
    <w:rsid w:val="008B199B"/>
    <w:rsid w:val="00910AE6"/>
    <w:rsid w:val="00933AFA"/>
    <w:rsid w:val="00973210"/>
    <w:rsid w:val="009C35C0"/>
    <w:rsid w:val="009D25BD"/>
    <w:rsid w:val="009F406D"/>
    <w:rsid w:val="00A7773A"/>
    <w:rsid w:val="00AC4E87"/>
    <w:rsid w:val="00AC7265"/>
    <w:rsid w:val="00BA7D46"/>
    <w:rsid w:val="00BC7D5D"/>
    <w:rsid w:val="00C03543"/>
    <w:rsid w:val="00C04391"/>
    <w:rsid w:val="00C31E96"/>
    <w:rsid w:val="00C36C09"/>
    <w:rsid w:val="00C54A1E"/>
    <w:rsid w:val="00C650C1"/>
    <w:rsid w:val="00C9006C"/>
    <w:rsid w:val="00C92434"/>
    <w:rsid w:val="00CB087A"/>
    <w:rsid w:val="00CE6308"/>
    <w:rsid w:val="00D06145"/>
    <w:rsid w:val="00EA317A"/>
    <w:rsid w:val="00EB2FD2"/>
    <w:rsid w:val="00EC073B"/>
    <w:rsid w:val="00EC1911"/>
    <w:rsid w:val="00EC7D1A"/>
    <w:rsid w:val="00F14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FE03"/>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 w:type="character" w:styleId="CommentReference">
    <w:name w:val="annotation reference"/>
    <w:basedOn w:val="DefaultParagraphFont"/>
    <w:uiPriority w:val="99"/>
    <w:semiHidden/>
    <w:unhideWhenUsed/>
    <w:rsid w:val="00822EDF"/>
    <w:rPr>
      <w:sz w:val="16"/>
      <w:szCs w:val="16"/>
    </w:rPr>
  </w:style>
  <w:style w:type="paragraph" w:styleId="CommentText">
    <w:name w:val="annotation text"/>
    <w:basedOn w:val="Normal"/>
    <w:link w:val="CommentTextChar"/>
    <w:uiPriority w:val="99"/>
    <w:semiHidden/>
    <w:unhideWhenUsed/>
    <w:rsid w:val="00822EDF"/>
    <w:pPr>
      <w:spacing w:line="240" w:lineRule="auto"/>
    </w:pPr>
    <w:rPr>
      <w:sz w:val="20"/>
      <w:szCs w:val="20"/>
    </w:rPr>
  </w:style>
  <w:style w:type="character" w:customStyle="1" w:styleId="CommentTextChar">
    <w:name w:val="Comment Text Char"/>
    <w:basedOn w:val="DefaultParagraphFont"/>
    <w:link w:val="CommentText"/>
    <w:uiPriority w:val="99"/>
    <w:semiHidden/>
    <w:rsid w:val="00822EDF"/>
    <w:rPr>
      <w:sz w:val="20"/>
      <w:szCs w:val="20"/>
    </w:rPr>
  </w:style>
  <w:style w:type="paragraph" w:styleId="CommentSubject">
    <w:name w:val="annotation subject"/>
    <w:basedOn w:val="CommentText"/>
    <w:next w:val="CommentText"/>
    <w:link w:val="CommentSubjectChar"/>
    <w:uiPriority w:val="99"/>
    <w:semiHidden/>
    <w:unhideWhenUsed/>
    <w:rsid w:val="00822EDF"/>
    <w:rPr>
      <w:b/>
      <w:bCs/>
    </w:rPr>
  </w:style>
  <w:style w:type="character" w:customStyle="1" w:styleId="CommentSubjectChar">
    <w:name w:val="Comment Subject Char"/>
    <w:basedOn w:val="CommentTextChar"/>
    <w:link w:val="CommentSubject"/>
    <w:uiPriority w:val="99"/>
    <w:semiHidden/>
    <w:rsid w:val="00822EDF"/>
    <w:rPr>
      <w:b/>
      <w:bCs/>
      <w:sz w:val="20"/>
      <w:szCs w:val="20"/>
    </w:rPr>
  </w:style>
  <w:style w:type="paragraph" w:styleId="BalloonText">
    <w:name w:val="Balloon Text"/>
    <w:basedOn w:val="Normal"/>
    <w:link w:val="BalloonTextChar"/>
    <w:uiPriority w:val="99"/>
    <w:semiHidden/>
    <w:unhideWhenUsed/>
    <w:rsid w:val="00822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DF"/>
    <w:rPr>
      <w:rFonts w:ascii="Segoe UI" w:hAnsi="Segoe UI" w:cs="Segoe UI"/>
      <w:sz w:val="18"/>
      <w:szCs w:val="18"/>
    </w:rPr>
  </w:style>
  <w:style w:type="paragraph" w:styleId="Revision">
    <w:name w:val="Revision"/>
    <w:hidden/>
    <w:uiPriority w:val="99"/>
    <w:semiHidden/>
    <w:rsid w:val="00822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5266</Words>
  <Characters>3002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piederošā nekustamā īpašuma “Rucavas autobusu pieturvieta”, Rucavā, Rucavas pagastā, Rucavas novadā, nodošanu Rucavas novada pašvaldības īpašumā</vt: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“Rucavas autobusu pieturvieta”, Rucavā, Rucavas pagastā, Rucavas novadā, nodošanu Rucavas novada pašvaldības īpašumā</dc:title>
  <dc:subject/>
  <dc:creator>VAS "Latvijas Valsts ceļi" juriste Anita Bojāre;67028380;anita.bojare@lvceli.lv;Satiksmes ministrijas Juridiskā departamenta Nekustamo īpašumu nodaļas vecākā referente Sandra Siliņa</dc:creator>
  <cp:keywords>Ministru kabineta rīkojuma projekts</cp:keywords>
  <dc:description>anita.bojare@lvceli.lv, 67028380; sandra.silina#sam.gov.lv, 67028031</dc:description>
  <cp:lastModifiedBy>Sandra Siliņa</cp:lastModifiedBy>
  <cp:revision>6</cp:revision>
  <cp:lastPrinted>2019-10-21T08:56:00Z</cp:lastPrinted>
  <dcterms:created xsi:type="dcterms:W3CDTF">2019-11-11T08:13:00Z</dcterms:created>
  <dcterms:modified xsi:type="dcterms:W3CDTF">2020-01-24T13:58:00Z</dcterms:modified>
</cp:coreProperties>
</file>