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850B4" w:rsidRDefault="00151F3B" w14:paraId="0D473B2E" w14:textId="6D5AFEDF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F818D7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F818D7">
              <w:rPr>
                <w:sz w:val="28"/>
                <w:szCs w:val="28"/>
                <w:lang w:val="lv-LV"/>
              </w:rPr>
              <w:t>janvā</w:t>
            </w:r>
            <w:r w:rsidR="00B850B4">
              <w:rPr>
                <w:sz w:val="28"/>
                <w:szCs w:val="28"/>
                <w:lang w:val="lv-LV"/>
              </w:rPr>
              <w:t>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860539" w:rsidP="00E437AC" w:rsidRDefault="00151F3B" w14:paraId="18C75F1D" w14:textId="56F0A287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r w:rsidR="00860539">
        <w:rPr>
          <w:szCs w:val="28"/>
        </w:rPr>
        <w:t xml:space="preserve"> </w:t>
      </w:r>
    </w:p>
    <w:p w:rsidR="00151F3B" w:rsidP="00E437AC" w:rsidRDefault="00653C19" w14:paraId="04F7AB10" w14:textId="1DA95B3C">
      <w:pPr>
        <w:pStyle w:val="Pamatteksts"/>
        <w:rPr>
          <w:b w:val="0"/>
          <w:szCs w:val="28"/>
        </w:rPr>
      </w:pPr>
      <w:r w:rsidRPr="00614604">
        <w:rPr>
          <w:szCs w:val="28"/>
        </w:rPr>
        <w:t>C-</w:t>
      </w:r>
      <w:r w:rsidR="00CE1666">
        <w:rPr>
          <w:szCs w:val="28"/>
        </w:rPr>
        <w:t>76</w:t>
      </w:r>
      <w:r w:rsidR="00021E38">
        <w:rPr>
          <w:szCs w:val="28"/>
        </w:rPr>
        <w:t>2</w:t>
      </w:r>
      <w:r w:rsidRPr="00614604">
        <w:rPr>
          <w:szCs w:val="28"/>
        </w:rPr>
        <w:t xml:space="preserve">/19 </w:t>
      </w:r>
      <w:r w:rsidR="00021E38">
        <w:rPr>
          <w:i/>
          <w:iCs/>
          <w:szCs w:val="28"/>
          <w:lang w:val="es-ES_tradnl"/>
        </w:rPr>
        <w:t>CV-Online</w:t>
      </w:r>
      <w:r w:rsidR="00665855">
        <w:rPr>
          <w:i/>
          <w:iCs/>
          <w:szCs w:val="28"/>
          <w:lang w:val="es-ES_tradnl"/>
        </w:rPr>
        <w:t xml:space="preserve"> Latvia</w:t>
      </w:r>
      <w:r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6D1F240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Pr="00021E38" w:rsidR="00021E38">
        <w:rPr>
          <w:sz w:val="28"/>
          <w:szCs w:val="28"/>
          <w:lang w:val="lv-LV"/>
        </w:rPr>
        <w:t xml:space="preserve">C-762/19 </w:t>
      </w:r>
      <w:r w:rsidRPr="00021E38" w:rsidR="00021E38">
        <w:rPr>
          <w:i/>
          <w:iCs/>
          <w:sz w:val="28"/>
          <w:szCs w:val="28"/>
          <w:lang w:val="es-ES_tradnl"/>
        </w:rPr>
        <w:t>CV-Online</w:t>
      </w:r>
      <w:r w:rsidR="00665855">
        <w:rPr>
          <w:i/>
          <w:iCs/>
          <w:sz w:val="28"/>
          <w:szCs w:val="28"/>
          <w:lang w:val="es-ES_tradnl"/>
        </w:rPr>
        <w:t xml:space="preserve"> Latvia</w:t>
      </w:r>
      <w:r w:rsidRPr="00C923E2" w:rsidR="00BA18BE">
        <w:rPr>
          <w:sz w:val="28"/>
          <w:szCs w:val="28"/>
          <w:lang w:val="lv-LV"/>
        </w:rPr>
        <w:t>.</w:t>
      </w:r>
    </w:p>
    <w:p w:rsidRPr="00AA1BB3" w:rsidR="00243083" w:rsidP="00AA1BB3" w:rsidRDefault="00243083" w14:paraId="18EF7444" w14:textId="77777777">
      <w:pPr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34167B0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021E38">
        <w:rPr>
          <w:sz w:val="28"/>
          <w:szCs w:val="28"/>
          <w:lang w:val="lv-LV"/>
        </w:rPr>
        <w:t>Kultūras</w:t>
      </w:r>
      <w:r w:rsidR="00653C19">
        <w:rPr>
          <w:sz w:val="28"/>
          <w:szCs w:val="28"/>
          <w:lang w:val="lv-LV"/>
        </w:rPr>
        <w:t xml:space="preserve"> ministrijai</w:t>
      </w:r>
      <w:r w:rsidR="001C1C56">
        <w:rPr>
          <w:sz w:val="28"/>
          <w:szCs w:val="28"/>
          <w:lang w:val="lv-LV"/>
        </w:rPr>
        <w:t xml:space="preserve"> kā atbildīgajai ministrijai un Vides aizsardzības un reģionālās attīstības ministrijai, Labklājības ministrijai un Ekonomikas ministrijai</w:t>
      </w:r>
      <w:r w:rsidR="001A63E2">
        <w:rPr>
          <w:sz w:val="28"/>
          <w:szCs w:val="28"/>
          <w:lang w:val="lv-LV"/>
        </w:rPr>
        <w:t xml:space="preserve"> </w:t>
      </w:r>
      <w:r w:rsidR="001C1C56">
        <w:rPr>
          <w:sz w:val="28"/>
          <w:szCs w:val="28"/>
          <w:lang w:val="lv-LV"/>
        </w:rPr>
        <w:t xml:space="preserve">kā līdzatbildīgajām ministrijām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021E38" w:rsidR="00021E38">
        <w:rPr>
          <w:sz w:val="28"/>
          <w:szCs w:val="28"/>
          <w:lang w:val="lv-LV"/>
        </w:rPr>
        <w:t xml:space="preserve">C-762/19 </w:t>
      </w:r>
      <w:r w:rsidRPr="00021E38" w:rsidR="00021E38">
        <w:rPr>
          <w:i/>
          <w:iCs/>
          <w:sz w:val="28"/>
          <w:szCs w:val="28"/>
          <w:lang w:val="es-ES_tradnl"/>
        </w:rPr>
        <w:t>CV-Online</w:t>
      </w:r>
      <w:r w:rsidR="00665855">
        <w:rPr>
          <w:i/>
          <w:iCs/>
          <w:sz w:val="28"/>
          <w:szCs w:val="28"/>
          <w:lang w:val="es-ES_tradnl"/>
        </w:rPr>
        <w:t xml:space="preserve"> Latvia</w:t>
      </w:r>
      <w:r w:rsidR="000A36A9">
        <w:rPr>
          <w:i/>
          <w:sz w:val="28"/>
          <w:szCs w:val="28"/>
          <w:lang w:val="lv-LV"/>
        </w:rPr>
        <w:t>.</w:t>
      </w:r>
    </w:p>
    <w:p w:rsidRPr="00AA1BB3" w:rsidR="00243083" w:rsidP="00AA1BB3" w:rsidRDefault="00243083" w14:paraId="4388FFDD" w14:textId="77777777">
      <w:pPr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2EC31E04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B850B4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B850B4">
        <w:rPr>
          <w:sz w:val="28"/>
          <w:szCs w:val="28"/>
          <w:lang w:val="lv-LV"/>
        </w:rPr>
        <w:t>Soņecu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021E38" w:rsidR="00021E38">
        <w:rPr>
          <w:sz w:val="28"/>
          <w:szCs w:val="28"/>
          <w:lang w:val="lv-LV"/>
        </w:rPr>
        <w:t xml:space="preserve">C-762/19 </w:t>
      </w:r>
      <w:r w:rsidRPr="00021E38" w:rsidR="00021E38">
        <w:rPr>
          <w:i/>
          <w:iCs/>
          <w:sz w:val="28"/>
          <w:szCs w:val="28"/>
          <w:lang w:val="es-ES_tradnl"/>
        </w:rPr>
        <w:t>CV-Online</w:t>
      </w:r>
      <w:r w:rsidR="00665855">
        <w:rPr>
          <w:i/>
          <w:iCs/>
          <w:sz w:val="28"/>
          <w:szCs w:val="28"/>
          <w:lang w:val="es-ES_tradnl"/>
        </w:rPr>
        <w:t xml:space="preserve"> Latvia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bookmarkStart w:name="_GoBack" w:id="0"/>
      <w:bookmarkEnd w:id="0"/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28C8941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proofErr w:type="gramStart"/>
      <w:r w:rsidR="008634C6">
        <w:rPr>
          <w:sz w:val="28"/>
          <w:szCs w:val="28"/>
          <w:lang w:val="lv-LV"/>
        </w:rPr>
        <w:t xml:space="preserve">                                                              </w:t>
      </w:r>
      <w:proofErr w:type="gramEnd"/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8634C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47E81D58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021E38">
      <w:rPr>
        <w:sz w:val="20"/>
        <w:szCs w:val="20"/>
        <w:lang w:val="lv-LV"/>
      </w:rPr>
      <w:t>1</w:t>
    </w:r>
    <w:r w:rsidR="001C1C56">
      <w:rPr>
        <w:sz w:val="20"/>
        <w:szCs w:val="20"/>
        <w:lang w:val="lv-LV"/>
      </w:rPr>
      <w:t>6</w:t>
    </w:r>
    <w:r w:rsidR="00CE1666">
      <w:rPr>
        <w:sz w:val="20"/>
        <w:szCs w:val="20"/>
        <w:lang w:val="lv-LV"/>
      </w:rPr>
      <w:t>0</w:t>
    </w:r>
    <w:r w:rsidR="00653C19">
      <w:rPr>
        <w:sz w:val="20"/>
        <w:szCs w:val="20"/>
        <w:lang w:val="lv-LV"/>
      </w:rPr>
      <w:t>1</w:t>
    </w:r>
    <w:r w:rsidR="00CE1666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CE1666">
      <w:rPr>
        <w:sz w:val="20"/>
        <w:szCs w:val="20"/>
        <w:lang w:val="lv-LV"/>
      </w:rPr>
      <w:t>76</w:t>
    </w:r>
    <w:r w:rsidR="00021E38">
      <w:rPr>
        <w:sz w:val="20"/>
        <w:szCs w:val="20"/>
        <w:lang w:val="lv-LV"/>
      </w:rPr>
      <w:t>2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109BA"/>
    <w:rsid w:val="00021E38"/>
    <w:rsid w:val="00050E3C"/>
    <w:rsid w:val="0008095D"/>
    <w:rsid w:val="00086C45"/>
    <w:rsid w:val="000910DB"/>
    <w:rsid w:val="000A36A9"/>
    <w:rsid w:val="000A6232"/>
    <w:rsid w:val="000B0FB8"/>
    <w:rsid w:val="00120190"/>
    <w:rsid w:val="00151F3B"/>
    <w:rsid w:val="00157E80"/>
    <w:rsid w:val="00164463"/>
    <w:rsid w:val="0016624B"/>
    <w:rsid w:val="00197BB8"/>
    <w:rsid w:val="001A522C"/>
    <w:rsid w:val="001A63E2"/>
    <w:rsid w:val="001C1C56"/>
    <w:rsid w:val="00207214"/>
    <w:rsid w:val="00243083"/>
    <w:rsid w:val="002474F6"/>
    <w:rsid w:val="00261B1F"/>
    <w:rsid w:val="003459FF"/>
    <w:rsid w:val="00387A5B"/>
    <w:rsid w:val="00393B53"/>
    <w:rsid w:val="00396FD1"/>
    <w:rsid w:val="003B235F"/>
    <w:rsid w:val="003D794D"/>
    <w:rsid w:val="003E0987"/>
    <w:rsid w:val="004B4EC5"/>
    <w:rsid w:val="004C3B51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53C19"/>
    <w:rsid w:val="00662B4C"/>
    <w:rsid w:val="00665855"/>
    <w:rsid w:val="00671082"/>
    <w:rsid w:val="00674ADC"/>
    <w:rsid w:val="00680C99"/>
    <w:rsid w:val="006875C2"/>
    <w:rsid w:val="006B7EBE"/>
    <w:rsid w:val="007340BB"/>
    <w:rsid w:val="00770216"/>
    <w:rsid w:val="007A13BF"/>
    <w:rsid w:val="007A5353"/>
    <w:rsid w:val="007B4D68"/>
    <w:rsid w:val="00801A25"/>
    <w:rsid w:val="0080334E"/>
    <w:rsid w:val="008333B9"/>
    <w:rsid w:val="008544B2"/>
    <w:rsid w:val="00860539"/>
    <w:rsid w:val="008634C6"/>
    <w:rsid w:val="008738E5"/>
    <w:rsid w:val="008742D2"/>
    <w:rsid w:val="008B5DA0"/>
    <w:rsid w:val="009025AE"/>
    <w:rsid w:val="00936BF2"/>
    <w:rsid w:val="00966FEF"/>
    <w:rsid w:val="00982E8A"/>
    <w:rsid w:val="00A1171C"/>
    <w:rsid w:val="00A34125"/>
    <w:rsid w:val="00A71A4D"/>
    <w:rsid w:val="00AA1BB3"/>
    <w:rsid w:val="00AD0DCA"/>
    <w:rsid w:val="00AE77F7"/>
    <w:rsid w:val="00B112DF"/>
    <w:rsid w:val="00B23062"/>
    <w:rsid w:val="00B35C8F"/>
    <w:rsid w:val="00B8502D"/>
    <w:rsid w:val="00B850B4"/>
    <w:rsid w:val="00B87B99"/>
    <w:rsid w:val="00BA18BE"/>
    <w:rsid w:val="00BD13BE"/>
    <w:rsid w:val="00BE5C6C"/>
    <w:rsid w:val="00C323B3"/>
    <w:rsid w:val="00C923E2"/>
    <w:rsid w:val="00C96F01"/>
    <w:rsid w:val="00CA5CE5"/>
    <w:rsid w:val="00CA7F98"/>
    <w:rsid w:val="00CE1666"/>
    <w:rsid w:val="00D03668"/>
    <w:rsid w:val="00D22385"/>
    <w:rsid w:val="00D333FD"/>
    <w:rsid w:val="00D50741"/>
    <w:rsid w:val="00DA3874"/>
    <w:rsid w:val="00DE5C58"/>
    <w:rsid w:val="00E11886"/>
    <w:rsid w:val="00E437AC"/>
    <w:rsid w:val="00EB0EAC"/>
    <w:rsid w:val="00ED6192"/>
    <w:rsid w:val="00EE7D48"/>
    <w:rsid w:val="00EF4FFA"/>
    <w:rsid w:val="00F21227"/>
    <w:rsid w:val="00F818D7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DA43D74"/>
  <w15:docId w15:val="{DF02F025-3E25-46DE-B656-3A6C74E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74ADC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7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214E-5568-495F-81F0-FD9623F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C-762/19 CV-Online</vt:lpstr>
      <vt:lpstr>Latvijas Republikas nostājas projekts, sniedzot rakstiskus apsvērumus prejudiciālā nolēmuma lūguma procesā Eiropas Savienības Tiesas lietā C-398/19 Generalstaatsanwaltschaft Berlin</vt:lpstr>
    </vt:vector>
  </TitlesOfParts>
  <Manager/>
  <Company>Tieslietu ministrija</Company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C-762/19 CV-Online Latvia</dc:title>
  <dc:subject>Ministru kabineta sēdes protokollēmuma projekts</dc:subject>
  <dc:creator>Ludmila Juškeviča</dc:creator>
  <cp:keywords/>
  <dc:description>67036919, Ludmila.Juskevica@tm.gov.lv</dc:description>
  <cp:lastModifiedBy>Ludmila Juškeviča</cp:lastModifiedBy>
  <cp:revision>2</cp:revision>
  <cp:lastPrinted>2018-04-11T12:17:00Z</cp:lastPrinted>
  <dcterms:created xsi:type="dcterms:W3CDTF">2020-01-16T12:22:00Z</dcterms:created>
  <dcterms:modified xsi:type="dcterms:W3CDTF">2020-01-16T12:22:00Z</dcterms:modified>
  <cp:category/>
</cp:coreProperties>
</file>