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D9AD" w14:textId="77777777" w:rsidR="00D93D7D" w:rsidRDefault="00AD2C14" w:rsidP="00D93D7D">
      <w:pPr>
        <w:jc w:val="center"/>
        <w:rPr>
          <w:b/>
        </w:rPr>
      </w:pPr>
      <w:r w:rsidRPr="00563D3C">
        <w:rPr>
          <w:b/>
        </w:rPr>
        <w:t>Ministru kabineta noteikumu projekta</w:t>
      </w:r>
      <w:r w:rsidR="00D93D7D">
        <w:rPr>
          <w:b/>
        </w:rPr>
        <w:t xml:space="preserve"> </w:t>
      </w:r>
    </w:p>
    <w:p w14:paraId="51511652" w14:textId="30CEA235" w:rsidR="00AD2C14" w:rsidRDefault="004C2F5B" w:rsidP="00D93D7D">
      <w:pPr>
        <w:jc w:val="center"/>
        <w:rPr>
          <w:b/>
        </w:rPr>
      </w:pPr>
      <w:r>
        <w:rPr>
          <w:b/>
        </w:rPr>
        <w:t>“</w:t>
      </w:r>
      <w:r w:rsidR="00AD2C14" w:rsidRPr="00AD2C14">
        <w:rPr>
          <w:b/>
        </w:rPr>
        <w:t>Grozījumi Ministru kabineta 2011.</w:t>
      </w:r>
      <w:r w:rsidR="005C5F73">
        <w:rPr>
          <w:b/>
        </w:rPr>
        <w:t> </w:t>
      </w:r>
      <w:r w:rsidR="00AD2C14" w:rsidRPr="00AD2C14">
        <w:rPr>
          <w:b/>
        </w:rPr>
        <w:t>gada 19.</w:t>
      </w:r>
      <w:r w:rsidR="005C5F73">
        <w:rPr>
          <w:b/>
        </w:rPr>
        <w:t> </w:t>
      </w:r>
      <w:r w:rsidR="00AD2C14" w:rsidRPr="00AD2C14">
        <w:rPr>
          <w:b/>
        </w:rPr>
        <w:t>aprīļa noteikumos Nr.</w:t>
      </w:r>
      <w:r w:rsidR="005C5F73">
        <w:rPr>
          <w:b/>
        </w:rPr>
        <w:t> </w:t>
      </w:r>
      <w:r w:rsidR="00AD2C14" w:rsidRPr="00AD2C14">
        <w:rPr>
          <w:b/>
        </w:rPr>
        <w:t>302 “Noteikumi par atkritumu klasifikatoru un īpašībām, kuras padara atkritumus bīstamus</w:t>
      </w:r>
      <w:r w:rsidR="00AD2C14" w:rsidRPr="00563D3C">
        <w:rPr>
          <w:b/>
        </w:rPr>
        <w:t>”</w:t>
      </w:r>
      <w:r w:rsidR="007C0D58" w:rsidRPr="007C0D58">
        <w:rPr>
          <w:b/>
        </w:rPr>
        <w:t>”</w:t>
      </w:r>
      <w:r w:rsidR="00D93D7D">
        <w:rPr>
          <w:b/>
        </w:rPr>
        <w:t xml:space="preserve"> </w:t>
      </w:r>
      <w:r w:rsidR="00AD2C14" w:rsidRPr="00563D3C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AD2C14" w:rsidRPr="00563D3C">
          <w:rPr>
            <w:b/>
          </w:rPr>
          <w:t>ziņojums</w:t>
        </w:r>
      </w:smartTag>
      <w:r w:rsidR="00AD2C14" w:rsidRPr="00563D3C">
        <w:rPr>
          <w:b/>
        </w:rPr>
        <w:t xml:space="preserve"> (anotācija)</w:t>
      </w:r>
    </w:p>
    <w:p w14:paraId="2ED22214" w14:textId="77777777" w:rsidR="00AD2C14" w:rsidRDefault="00AD2C14" w:rsidP="00AD2C1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5"/>
      </w:tblGrid>
      <w:tr w:rsidR="00AD2C14" w14:paraId="0D6A4CA2" w14:textId="77777777" w:rsidTr="00544C6C">
        <w:tc>
          <w:tcPr>
            <w:tcW w:w="9061" w:type="dxa"/>
            <w:gridSpan w:val="2"/>
          </w:tcPr>
          <w:p w14:paraId="4E722E62" w14:textId="77777777" w:rsidR="00AD2C14" w:rsidRPr="00D062F9" w:rsidRDefault="00AD2C14" w:rsidP="00544C6C">
            <w:pPr>
              <w:jc w:val="center"/>
              <w:rPr>
                <w:b/>
              </w:rPr>
            </w:pPr>
            <w:r w:rsidRPr="00D062F9">
              <w:rPr>
                <w:b/>
              </w:rPr>
              <w:t>Tiesību akta anotācijas kopsavilkums</w:t>
            </w:r>
          </w:p>
        </w:tc>
      </w:tr>
      <w:tr w:rsidR="00AD2C14" w14:paraId="756AE47E" w14:textId="77777777" w:rsidTr="00544C6C">
        <w:tc>
          <w:tcPr>
            <w:tcW w:w="3256" w:type="dxa"/>
          </w:tcPr>
          <w:p w14:paraId="420A8CF6" w14:textId="77777777" w:rsidR="00AD2C14" w:rsidRPr="00DC48BF" w:rsidRDefault="00AD2C14" w:rsidP="00544C6C">
            <w:r>
              <w:t>Mērķis, risinājums un projekta spēkā stāšanās laiks (500 zīmes bez atstarpēm)</w:t>
            </w:r>
          </w:p>
        </w:tc>
        <w:tc>
          <w:tcPr>
            <w:tcW w:w="5805" w:type="dxa"/>
          </w:tcPr>
          <w:p w14:paraId="29CE965B" w14:textId="2B53833D" w:rsidR="00AD2C14" w:rsidRPr="00DC48BF" w:rsidRDefault="0089218C" w:rsidP="00544C6C">
            <w:r>
              <w:rPr>
                <w:lang w:val="sv-SE"/>
              </w:rPr>
              <w:t xml:space="preserve">Atbilstoši </w:t>
            </w:r>
            <w:r w:rsidRPr="00B15D69">
              <w:t>Ministru kabineta 2009. gad</w:t>
            </w:r>
            <w:r w:rsidR="007701BE">
              <w:t>a 15. decembra instrukcijas Nr. </w:t>
            </w:r>
            <w:r w:rsidRPr="00B15D69">
              <w:t>19 “Tiesību akta projekta sākotnējās ietekmes izvērtēšanas kārtība” 5.</w:t>
            </w:r>
            <w:r w:rsidRPr="00B15D69">
              <w:rPr>
                <w:vertAlign w:val="superscript"/>
              </w:rPr>
              <w:t>1</w:t>
            </w:r>
            <w:r w:rsidR="007701BE">
              <w:t> </w:t>
            </w:r>
            <w:r>
              <w:t>punktam</w:t>
            </w:r>
            <w:r w:rsidRPr="00B15D69">
              <w:t xml:space="preserve"> sākotnējās ietekmes novērtējuma ziņojuma (anotācijas) (turpmāk – anotācija) kopsavilkums nav aizpildāms</w:t>
            </w:r>
            <w:r>
              <w:t>.</w:t>
            </w:r>
          </w:p>
        </w:tc>
      </w:tr>
    </w:tbl>
    <w:p w14:paraId="20CCA1E6" w14:textId="77777777" w:rsidR="00AD2C14" w:rsidRDefault="00AD2C14" w:rsidP="00AD2C14">
      <w:pPr>
        <w:rPr>
          <w:b/>
        </w:rPr>
      </w:pPr>
    </w:p>
    <w:p w14:paraId="656BAC39" w14:textId="77777777" w:rsidR="00AD2C14" w:rsidRPr="00FB41DC" w:rsidRDefault="00AD2C14" w:rsidP="00AD2C14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743"/>
        <w:gridCol w:w="6723"/>
      </w:tblGrid>
      <w:tr w:rsidR="00AD2C14" w:rsidRPr="00FB41DC" w14:paraId="17C88D09" w14:textId="77777777" w:rsidTr="00544C6C">
        <w:tc>
          <w:tcPr>
            <w:tcW w:w="9359" w:type="dxa"/>
            <w:gridSpan w:val="3"/>
          </w:tcPr>
          <w:p w14:paraId="6EBB0555" w14:textId="77777777" w:rsidR="00AD2C14" w:rsidRPr="00FB41DC" w:rsidRDefault="00AD2C14" w:rsidP="00544C6C">
            <w:pPr>
              <w:jc w:val="center"/>
              <w:rPr>
                <w:b/>
              </w:rPr>
            </w:pPr>
            <w:r w:rsidRPr="00FB41DC">
              <w:rPr>
                <w:b/>
              </w:rPr>
              <w:t>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izstrādes nepieciešamība</w:t>
            </w:r>
          </w:p>
        </w:tc>
      </w:tr>
      <w:tr w:rsidR="00AD2C14" w:rsidRPr="0062273E" w14:paraId="27DB49F5" w14:textId="77777777" w:rsidTr="00544C6C">
        <w:tc>
          <w:tcPr>
            <w:tcW w:w="720" w:type="dxa"/>
          </w:tcPr>
          <w:p w14:paraId="03D74F31" w14:textId="77777777" w:rsidR="00AD2C14" w:rsidRPr="0062273E" w:rsidRDefault="00AD2C14" w:rsidP="00544C6C">
            <w:pPr>
              <w:jc w:val="center"/>
            </w:pPr>
            <w:r w:rsidRPr="0062273E">
              <w:t>1.</w:t>
            </w:r>
          </w:p>
        </w:tc>
        <w:tc>
          <w:tcPr>
            <w:tcW w:w="1445" w:type="dxa"/>
          </w:tcPr>
          <w:p w14:paraId="7605B1C3" w14:textId="77777777" w:rsidR="00AD2C14" w:rsidRPr="0062273E" w:rsidRDefault="00AD2C14" w:rsidP="00544C6C">
            <w:r w:rsidRPr="0062273E">
              <w:t>Pamatojums</w:t>
            </w:r>
          </w:p>
        </w:tc>
        <w:tc>
          <w:tcPr>
            <w:tcW w:w="7194" w:type="dxa"/>
          </w:tcPr>
          <w:p w14:paraId="53817110" w14:textId="599FA393" w:rsidR="00AD2C14" w:rsidRPr="00DA721C" w:rsidRDefault="00AD2C14" w:rsidP="00AD2C14">
            <w:pPr>
              <w:ind w:right="135"/>
              <w:jc w:val="both"/>
              <w:rPr>
                <w:bCs/>
              </w:rPr>
            </w:pPr>
            <w:r w:rsidRPr="00DA721C">
              <w:rPr>
                <w:bCs/>
              </w:rPr>
              <w:t xml:space="preserve">Noteikumu projekts </w:t>
            </w:r>
            <w:r>
              <w:rPr>
                <w:bCs/>
              </w:rPr>
              <w:t>“</w:t>
            </w:r>
            <w:r w:rsidRPr="00AD2C14">
              <w:t>Grozījumi Ministru kabineta 2011.</w:t>
            </w:r>
            <w:r w:rsidR="005C5F73">
              <w:t> </w:t>
            </w:r>
            <w:r w:rsidRPr="00AD2C14">
              <w:t>gada 19.</w:t>
            </w:r>
            <w:r w:rsidR="005C5F73">
              <w:t> </w:t>
            </w:r>
            <w:r w:rsidRPr="00AD2C14">
              <w:t>aprīļa noteikumos Nr.</w:t>
            </w:r>
            <w:r w:rsidR="007701BE">
              <w:t> </w:t>
            </w:r>
            <w:r w:rsidRPr="00AD2C14">
              <w:t>302 “Noteikumi par atkritumu klasifikatoru un īpašībām, kuras padara atkritumus bīstamus”</w:t>
            </w:r>
            <w:r>
              <w:t xml:space="preserve">” (turpmāk – </w:t>
            </w:r>
            <w:r w:rsidRPr="00463521">
              <w:t>noteikumu projekts</w:t>
            </w:r>
            <w:r w:rsidR="005C5F73">
              <w:t>)</w:t>
            </w:r>
            <w:r>
              <w:t xml:space="preserve"> ir izstrādāts, lai nodrošinātu Eiropas Parlamenta un Padomes 2018.</w:t>
            </w:r>
            <w:r w:rsidR="005C5F73">
              <w:t> </w:t>
            </w:r>
            <w:r>
              <w:t>gada 30.</w:t>
            </w:r>
            <w:r w:rsidR="005C5F73">
              <w:t> </w:t>
            </w:r>
            <w:r>
              <w:t>maija direktīvas 2018/85</w:t>
            </w:r>
            <w:r w:rsidR="00F32284">
              <w:t>1</w:t>
            </w:r>
            <w:r>
              <w:t>/ES, ar ko groza Direktīvu 2008/98 par atkritumiem (turpmāk – Direktīva 2018/851/ES) prasību pārņemšanu attiecībā uz jautājumiem par blakusproduktu kritērijiem, kā arī par atkritumu statusa piemēro</w:t>
            </w:r>
            <w:r w:rsidR="007701BE">
              <w:t>šanas izbeigšanas nosacījumiem.</w:t>
            </w:r>
            <w:bookmarkStart w:id="0" w:name="_GoBack"/>
            <w:bookmarkEnd w:id="0"/>
          </w:p>
        </w:tc>
      </w:tr>
      <w:tr w:rsidR="00AD2C14" w:rsidRPr="00FB41DC" w14:paraId="66A30F3C" w14:textId="77777777" w:rsidTr="00544C6C">
        <w:trPr>
          <w:trHeight w:val="699"/>
        </w:trPr>
        <w:tc>
          <w:tcPr>
            <w:tcW w:w="720" w:type="dxa"/>
          </w:tcPr>
          <w:p w14:paraId="22B0F8FF" w14:textId="77777777" w:rsidR="00AD2C14" w:rsidRPr="00FB41DC" w:rsidRDefault="00AD2C14" w:rsidP="00544C6C">
            <w:pPr>
              <w:jc w:val="center"/>
            </w:pPr>
            <w:r w:rsidRPr="00FB41DC">
              <w:t>2.</w:t>
            </w:r>
          </w:p>
        </w:tc>
        <w:tc>
          <w:tcPr>
            <w:tcW w:w="1445" w:type="dxa"/>
          </w:tcPr>
          <w:p w14:paraId="7A4D22EE" w14:textId="77777777" w:rsidR="00AD2C14" w:rsidRPr="00FB41DC" w:rsidRDefault="00AD2C14" w:rsidP="00544C6C">
            <w:r w:rsidRPr="00FB41DC">
              <w:t>Pašreizējā situācija un problēmas</w:t>
            </w:r>
            <w:r>
              <w:t>, kuru risināšanai tiesību aktu projekts izstrādāts, tiesiskā regulējuma mērķis un būtība</w:t>
            </w:r>
          </w:p>
        </w:tc>
        <w:tc>
          <w:tcPr>
            <w:tcW w:w="7194" w:type="dxa"/>
          </w:tcPr>
          <w:p w14:paraId="7C41EB8F" w14:textId="2BC27630" w:rsidR="00AD2C14" w:rsidRDefault="00AD2C14" w:rsidP="00544C6C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 xml:space="preserve">Pašreizējā situācija un problēmas, kuru risināšanai </w:t>
            </w:r>
            <w:r w:rsidRPr="00463521">
              <w:rPr>
                <w:color w:val="auto"/>
                <w:sz w:val="24"/>
                <w:szCs w:val="24"/>
                <w:lang w:val="lv-LV"/>
              </w:rPr>
              <w:t>izstrādāts noteikumu projekts:</w:t>
            </w:r>
          </w:p>
          <w:p w14:paraId="07F6CAC2" w14:textId="276749C0" w:rsidR="00AD2C14" w:rsidRPr="00E210D0" w:rsidRDefault="00544C6C" w:rsidP="00544C6C">
            <w:pPr>
              <w:pStyle w:val="tv2131"/>
              <w:spacing w:line="240" w:lineRule="auto"/>
              <w:ind w:left="660" w:right="135" w:firstLine="0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1. </w:t>
            </w:r>
            <w:r w:rsidR="00AD2C14" w:rsidRPr="00E210D0">
              <w:rPr>
                <w:color w:val="auto"/>
                <w:sz w:val="24"/>
                <w:szCs w:val="24"/>
                <w:lang w:val="lv-LV"/>
              </w:rPr>
              <w:t xml:space="preserve">Atbilstoši </w:t>
            </w:r>
            <w:r w:rsidR="005C5F73">
              <w:rPr>
                <w:color w:val="auto"/>
                <w:sz w:val="24"/>
                <w:szCs w:val="24"/>
                <w:lang w:val="lv-LV"/>
              </w:rPr>
              <w:t>D</w:t>
            </w:r>
            <w:r w:rsidR="00AD2C14" w:rsidRPr="00E210D0">
              <w:rPr>
                <w:color w:val="auto"/>
                <w:sz w:val="24"/>
                <w:szCs w:val="24"/>
                <w:lang w:val="lv-LV"/>
              </w:rPr>
              <w:t>irektīvai 2018/851/ES ir nepieciešams transponēt definīciju “nebīstamie atkritumi” Latvijas normatīvajos aktos;</w:t>
            </w:r>
          </w:p>
          <w:p w14:paraId="21CD270E" w14:textId="3540B1BD" w:rsidR="00AD2C14" w:rsidRPr="00E210D0" w:rsidRDefault="00544C6C" w:rsidP="00544C6C">
            <w:pPr>
              <w:pStyle w:val="tv2131"/>
              <w:spacing w:line="240" w:lineRule="auto"/>
              <w:ind w:left="660" w:right="135" w:firstLine="0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2. </w:t>
            </w:r>
            <w:r w:rsidR="00AD2C14" w:rsidRPr="00E210D0">
              <w:rPr>
                <w:color w:val="auto"/>
                <w:sz w:val="24"/>
                <w:szCs w:val="24"/>
                <w:lang w:val="lv-LV"/>
              </w:rPr>
              <w:t>Ministru kabineta 2011.</w:t>
            </w:r>
            <w:r w:rsidR="005C5F73">
              <w:rPr>
                <w:color w:val="auto"/>
                <w:sz w:val="24"/>
                <w:szCs w:val="24"/>
                <w:lang w:val="lv-LV"/>
              </w:rPr>
              <w:t> </w:t>
            </w:r>
            <w:r w:rsidR="00AD2C14" w:rsidRPr="00E210D0">
              <w:rPr>
                <w:color w:val="auto"/>
                <w:sz w:val="24"/>
                <w:szCs w:val="24"/>
                <w:lang w:val="lv-LV"/>
              </w:rPr>
              <w:t>gada 19.</w:t>
            </w:r>
            <w:r w:rsidR="005C5F73">
              <w:rPr>
                <w:color w:val="auto"/>
                <w:sz w:val="24"/>
                <w:szCs w:val="24"/>
                <w:lang w:val="lv-LV"/>
              </w:rPr>
              <w:t> </w:t>
            </w:r>
            <w:r w:rsidR="00AD2C14" w:rsidRPr="00E210D0">
              <w:rPr>
                <w:color w:val="auto"/>
                <w:sz w:val="24"/>
                <w:szCs w:val="24"/>
                <w:lang w:val="lv-LV"/>
              </w:rPr>
              <w:t>aprīļa noteikumos Nr.</w:t>
            </w:r>
            <w:r>
              <w:rPr>
                <w:color w:val="auto"/>
                <w:sz w:val="24"/>
                <w:szCs w:val="24"/>
                <w:lang w:val="lv-LV"/>
              </w:rPr>
              <w:t> </w:t>
            </w:r>
            <w:r w:rsidR="00AD2C14" w:rsidRPr="00E210D0">
              <w:rPr>
                <w:color w:val="auto"/>
                <w:sz w:val="24"/>
                <w:szCs w:val="24"/>
                <w:lang w:val="lv-LV"/>
              </w:rPr>
              <w:t>302 “Noteikumi par atkritumu klasifikatoru un īpašībām, kuras padara atkritumus bīstamus”</w:t>
            </w:r>
            <w:r w:rsidR="00364C0C">
              <w:rPr>
                <w:color w:val="auto"/>
                <w:sz w:val="24"/>
                <w:lang w:val="lv-LV"/>
              </w:rPr>
              <w:t xml:space="preserve"> (turpmāk – MK noteikumi Nr.</w:t>
            </w:r>
            <w:r>
              <w:rPr>
                <w:color w:val="auto"/>
                <w:sz w:val="24"/>
                <w:lang w:val="lv-LV"/>
              </w:rPr>
              <w:t> </w:t>
            </w:r>
            <w:r w:rsidR="00364C0C">
              <w:rPr>
                <w:color w:val="auto"/>
                <w:sz w:val="24"/>
                <w:lang w:val="lv-LV"/>
              </w:rPr>
              <w:t>302)</w:t>
            </w:r>
            <w:r w:rsidR="00AD2C14" w:rsidRPr="00E210D0">
              <w:rPr>
                <w:color w:val="auto"/>
                <w:lang w:val="lv-LV"/>
              </w:rPr>
              <w:t xml:space="preserve"> </w:t>
            </w:r>
            <w:r w:rsidR="00AD2C14" w:rsidRPr="00E210D0">
              <w:rPr>
                <w:color w:val="auto"/>
                <w:sz w:val="24"/>
                <w:szCs w:val="24"/>
                <w:lang w:val="lv-LV"/>
              </w:rPr>
              <w:t>ir ietvertas prasības blakusproduktu un atkritumu statusa piemērošanas izbeigšanai, tomēr šis regulējums pilnībā neatbilst Direktīvas 2018/851/ES regulējumam</w:t>
            </w:r>
            <w:r>
              <w:rPr>
                <w:color w:val="auto"/>
                <w:sz w:val="24"/>
                <w:szCs w:val="24"/>
                <w:lang w:val="lv-LV"/>
              </w:rPr>
              <w:t>,</w:t>
            </w:r>
            <w:r w:rsidR="00AD2C14" w:rsidRPr="00E210D0">
              <w:rPr>
                <w:color w:val="auto"/>
                <w:sz w:val="24"/>
                <w:szCs w:val="24"/>
                <w:lang w:val="lv-LV"/>
              </w:rPr>
              <w:t xml:space="preserve"> un tāpēc ir jāprecizē;</w:t>
            </w:r>
          </w:p>
          <w:p w14:paraId="56600EDD" w14:textId="0DEF735C" w:rsidR="00AD2C14" w:rsidRPr="00E210D0" w:rsidRDefault="00544C6C" w:rsidP="00544C6C">
            <w:pPr>
              <w:pStyle w:val="tv2131"/>
              <w:spacing w:line="240" w:lineRule="auto"/>
              <w:ind w:left="660" w:right="135" w:firstLine="0"/>
              <w:jc w:val="both"/>
              <w:rPr>
                <w:color w:val="auto"/>
                <w:sz w:val="22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3. </w:t>
            </w:r>
            <w:r w:rsidR="00AD2C14">
              <w:rPr>
                <w:color w:val="auto"/>
                <w:sz w:val="24"/>
                <w:szCs w:val="24"/>
                <w:lang w:val="lv-LV"/>
              </w:rPr>
              <w:t>Ir nep</w:t>
            </w:r>
            <w:r w:rsidR="00E210D0">
              <w:rPr>
                <w:color w:val="auto"/>
                <w:sz w:val="24"/>
                <w:szCs w:val="24"/>
                <w:lang w:val="lv-LV"/>
              </w:rPr>
              <w:t>ieciešams pārņemt</w:t>
            </w:r>
            <w:r w:rsidR="00AD2C14">
              <w:rPr>
                <w:color w:val="auto"/>
                <w:sz w:val="24"/>
                <w:szCs w:val="24"/>
                <w:lang w:val="lv-LV"/>
              </w:rPr>
              <w:t xml:space="preserve"> Direktīvas 2018/851/ES prasības attiecībā uz </w:t>
            </w:r>
            <w:r w:rsidR="00E210D0">
              <w:rPr>
                <w:color w:val="auto"/>
                <w:sz w:val="24"/>
                <w:szCs w:val="24"/>
                <w:lang w:val="lv-LV"/>
              </w:rPr>
              <w:t xml:space="preserve">tādu materiālu, kam vairs nepiemēro atkritumu statusu, atbilstību </w:t>
            </w:r>
            <w:r w:rsidR="00E210D0" w:rsidRPr="00E210D0">
              <w:rPr>
                <w:color w:val="auto"/>
                <w:sz w:val="24"/>
                <w:szCs w:val="28"/>
                <w:lang w:val="lv-LV" w:eastAsia="lv-LV"/>
              </w:rPr>
              <w:t xml:space="preserve">normatīvo aktu prasībām par ķīmiskajām vielām un par preču un pakalpojumu drošību. </w:t>
            </w:r>
          </w:p>
          <w:p w14:paraId="3E2718C4" w14:textId="77777777" w:rsidR="00E210D0" w:rsidRPr="00E210D0" w:rsidRDefault="00E210D0" w:rsidP="00E210D0">
            <w:pPr>
              <w:pStyle w:val="tv2131"/>
              <w:spacing w:line="240" w:lineRule="auto"/>
              <w:ind w:left="660" w:right="135" w:firstLine="0"/>
              <w:jc w:val="both"/>
              <w:rPr>
                <w:color w:val="auto"/>
                <w:sz w:val="22"/>
                <w:szCs w:val="24"/>
                <w:lang w:val="lv-LV"/>
              </w:rPr>
            </w:pPr>
          </w:p>
          <w:p w14:paraId="7CEDE0EE" w14:textId="77777777" w:rsidR="00AD2C14" w:rsidRDefault="00AD2C14" w:rsidP="00544C6C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Tiesiskā regulējuma mērķis un būtība:</w:t>
            </w:r>
          </w:p>
          <w:p w14:paraId="4CDB0079" w14:textId="23752098" w:rsidR="00AD2C14" w:rsidRPr="00234856" w:rsidRDefault="00544C6C" w:rsidP="00544C6C">
            <w:pPr>
              <w:pStyle w:val="tv213"/>
              <w:ind w:left="660"/>
              <w:jc w:val="both"/>
            </w:pPr>
            <w:r>
              <w:t>1. N</w:t>
            </w:r>
            <w:r w:rsidR="00E210D0" w:rsidRPr="00234856">
              <w:t>oteikumu projektā ietverta definīcija “nebīstamie atkritumi”</w:t>
            </w:r>
            <w:r w:rsidR="00942777" w:rsidRPr="00234856">
              <w:t>. Vides aizsardzības un reģionālās attīstības ministrija (turpmāk – VARAM) izvērtēja iespēju definīciju “nebīstamie atkritumi” iekļaut Atkritumu apsaimniekošanas likumā. VARAM secināja, ka Atkritumu apsaimniekošanas likum</w:t>
            </w:r>
            <w:r w:rsidR="006123D6" w:rsidRPr="00234856">
              <w:t>ā nav nevienas</w:t>
            </w:r>
            <w:r w:rsidR="00942777" w:rsidRPr="00234856">
              <w:t xml:space="preserve"> normas, kura attiektos uz nebīstamo atkritumu apsaimniekošanu. </w:t>
            </w:r>
            <w:r w:rsidR="006123D6" w:rsidRPr="00234856">
              <w:t>Atbilstoši Ministru kabineta 2009.</w:t>
            </w:r>
            <w:r>
              <w:t> </w:t>
            </w:r>
            <w:r w:rsidR="006123D6" w:rsidRPr="00234856">
              <w:t>gada 3.</w:t>
            </w:r>
            <w:r>
              <w:t> </w:t>
            </w:r>
            <w:r w:rsidR="006123D6" w:rsidRPr="00234856">
              <w:t>februāra noteikumu Nr.</w:t>
            </w:r>
            <w:r>
              <w:t> </w:t>
            </w:r>
            <w:r w:rsidR="006123D6" w:rsidRPr="00234856">
              <w:t xml:space="preserve">108 “Normatīvo aktu projektu sagatavošanas noteikumi” </w:t>
            </w:r>
            <w:r w:rsidR="00364C0C" w:rsidRPr="00234856">
              <w:t>38.</w:t>
            </w:r>
            <w:r>
              <w:t> </w:t>
            </w:r>
            <w:r w:rsidR="00364C0C" w:rsidRPr="00234856">
              <w:t xml:space="preserve">punktam, likumprojektā terminus skaidro, </w:t>
            </w:r>
            <w:r w:rsidR="006123D6" w:rsidRPr="00234856">
              <w:t>ja terminā izteiktajam jēdzienam ir īpaša nozīme likumprojek</w:t>
            </w:r>
            <w:r w:rsidR="00364C0C" w:rsidRPr="00234856">
              <w:t>ta regulējamās nozares ietvaros, vai arī</w:t>
            </w:r>
            <w:r w:rsidR="006123D6" w:rsidRPr="00234856">
              <w:t xml:space="preserve"> lai </w:t>
            </w:r>
            <w:r w:rsidR="006123D6" w:rsidRPr="00234856">
              <w:lastRenderedPageBreak/>
              <w:t>konkretizētu terminā izteiktā jēdziena izpratnes robežas.</w:t>
            </w:r>
            <w:r w:rsidR="00364C0C" w:rsidRPr="00234856">
              <w:t xml:space="preserve"> VARAM ieskatā termiņam “nebīstamie atkritumi” ir īpaša nozīme attiecībā uz atkritumu bīstamības īpašībām, kuras ir no</w:t>
            </w:r>
            <w:r>
              <w:t>teiktas Eiropas Komisijas 2014. gada 18. decembra Regulas Nr. </w:t>
            </w:r>
            <w:r w:rsidR="00364C0C" w:rsidRPr="00234856">
              <w:t>1357/2014</w:t>
            </w:r>
            <w:r>
              <w:t>/ES</w:t>
            </w:r>
            <w:r w:rsidR="00364C0C" w:rsidRPr="00234856">
              <w:t xml:space="preserve">, ar ko aizstāj III pielikumu Eiropas Parlamenta un Padomes Direktīvai 2008/98/EK par atkritumiem </w:t>
            </w:r>
            <w:r>
              <w:t>un par dažu direktīvu atcelšanu;</w:t>
            </w:r>
          </w:p>
          <w:p w14:paraId="08ADFF19" w14:textId="188AC637" w:rsidR="00AD2C14" w:rsidRDefault="00544C6C" w:rsidP="00544C6C">
            <w:pPr>
              <w:pStyle w:val="tv2131"/>
              <w:spacing w:line="240" w:lineRule="auto"/>
              <w:ind w:left="660" w:right="135" w:firstLine="0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2. N</w:t>
            </w:r>
            <w:r w:rsidR="00E210D0">
              <w:rPr>
                <w:color w:val="auto"/>
                <w:sz w:val="24"/>
                <w:szCs w:val="24"/>
                <w:lang w:val="lv-LV"/>
              </w:rPr>
              <w:t>oteikumu projektā ir precizētas prasības blakusproduktu statusa un atkritumu statusa piemērošanas izbeigšanai;</w:t>
            </w:r>
          </w:p>
          <w:p w14:paraId="4EEA7687" w14:textId="060A5760" w:rsidR="002664A6" w:rsidRPr="002664A6" w:rsidRDefault="00544C6C" w:rsidP="00544C6C">
            <w:pPr>
              <w:pStyle w:val="tv2131"/>
              <w:spacing w:line="240" w:lineRule="auto"/>
              <w:ind w:left="660" w:right="135" w:firstLine="0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3. N</w:t>
            </w:r>
            <w:r w:rsidR="00E210D0">
              <w:rPr>
                <w:color w:val="auto"/>
                <w:sz w:val="24"/>
                <w:szCs w:val="24"/>
                <w:lang w:val="lv-LV"/>
              </w:rPr>
              <w:t xml:space="preserve">oteikumu projektā ir paredzētas prasības attiecībā uz tādu materiālu, kam vairs nepiemēro atkritumu statusu, atbilstību </w:t>
            </w:r>
            <w:r w:rsidR="00E210D0" w:rsidRPr="00E210D0">
              <w:rPr>
                <w:color w:val="auto"/>
                <w:sz w:val="24"/>
                <w:szCs w:val="28"/>
                <w:lang w:val="lv-LV" w:eastAsia="lv-LV"/>
              </w:rPr>
              <w:t>normatīvo aktu prasībām par ķīmiskajām vielām un par preču un pakalpojumu drošību.</w:t>
            </w:r>
          </w:p>
          <w:p w14:paraId="16200D18" w14:textId="2621EC21" w:rsidR="002664A6" w:rsidRPr="00234856" w:rsidRDefault="002664A6" w:rsidP="00202AAA">
            <w:pPr>
              <w:pStyle w:val="Normal1"/>
              <w:jc w:val="both"/>
            </w:pPr>
            <w:r w:rsidRPr="00234856">
              <w:rPr>
                <w:szCs w:val="28"/>
              </w:rPr>
              <w:t xml:space="preserve">Kā izriet no Direktīvas 2018/851/ES </w:t>
            </w:r>
            <w:r w:rsidRPr="00544C6C">
              <w:rPr>
                <w:szCs w:val="28"/>
              </w:rPr>
              <w:t>1.</w:t>
            </w:r>
            <w:r w:rsidR="00544C6C">
              <w:rPr>
                <w:szCs w:val="28"/>
              </w:rPr>
              <w:t> </w:t>
            </w:r>
            <w:r w:rsidRPr="00544C6C">
              <w:rPr>
                <w:szCs w:val="28"/>
              </w:rPr>
              <w:t>panta 6.</w:t>
            </w:r>
            <w:r w:rsidR="00544C6C">
              <w:rPr>
                <w:szCs w:val="28"/>
              </w:rPr>
              <w:t> </w:t>
            </w:r>
            <w:r w:rsidRPr="00544C6C">
              <w:rPr>
                <w:szCs w:val="28"/>
              </w:rPr>
              <w:t xml:space="preserve">punkta </w:t>
            </w:r>
            <w:r w:rsidR="00544C6C">
              <w:rPr>
                <w:szCs w:val="28"/>
              </w:rPr>
              <w:t>“c”</w:t>
            </w:r>
            <w:r w:rsidRPr="00544C6C">
              <w:rPr>
                <w:szCs w:val="28"/>
              </w:rPr>
              <w:t xml:space="preserve"> punkta</w:t>
            </w:r>
            <w:r w:rsidR="008E290A" w:rsidRPr="00544C6C">
              <w:rPr>
                <w:szCs w:val="28"/>
              </w:rPr>
              <w:t xml:space="preserve"> (Direktīvas 2008/98/EK 7</w:t>
            </w:r>
            <w:r w:rsidRPr="00544C6C">
              <w:rPr>
                <w:szCs w:val="28"/>
              </w:rPr>
              <w:t>.</w:t>
            </w:r>
            <w:r w:rsidR="00544C6C">
              <w:rPr>
                <w:szCs w:val="28"/>
              </w:rPr>
              <w:t> </w:t>
            </w:r>
            <w:r w:rsidRPr="00544C6C">
              <w:rPr>
                <w:szCs w:val="28"/>
              </w:rPr>
              <w:t>panta 5.</w:t>
            </w:r>
            <w:r w:rsidR="00544C6C">
              <w:rPr>
                <w:szCs w:val="28"/>
              </w:rPr>
              <w:t> </w:t>
            </w:r>
            <w:r w:rsidRPr="00544C6C">
              <w:rPr>
                <w:szCs w:val="28"/>
              </w:rPr>
              <w:t xml:space="preserve">punkts), </w:t>
            </w:r>
            <w:r w:rsidR="00903AB4" w:rsidRPr="00234856">
              <w:t>f</w:t>
            </w:r>
            <w:r w:rsidRPr="00234856">
              <w:t>iz</w:t>
            </w:r>
            <w:r w:rsidR="00903AB4" w:rsidRPr="00234856">
              <w:t xml:space="preserve">iska vai juridiska persona, kas pirmo reizi izmanto, materiālu, kas vairs nav atkritumi un kas nav laists tirgū vai pirmoreiz laiž tirgū materiālu pēc tam, kad tas vairs nav atkritumi, </w:t>
            </w:r>
            <w:r w:rsidRPr="00234856">
              <w:t>nodrošina, ka materiāls atbilst attiecīgajām prasībām saskaņā ar piemērojamajiem tiesību aktiem ķimikāliju un produktu jomā. Nosacījumi, kas paredzēti</w:t>
            </w:r>
            <w:r w:rsidR="00903AB4" w:rsidRPr="00234856">
              <w:t xml:space="preserve"> Direktīvas 2008/98/EK</w:t>
            </w:r>
            <w:r w:rsidRPr="00234856">
              <w:t xml:space="preserve"> </w:t>
            </w:r>
            <w:r w:rsidR="00202AAA" w:rsidRPr="00234856">
              <w:t>6.</w:t>
            </w:r>
            <w:r w:rsidR="00544C6C">
              <w:rPr>
                <w:szCs w:val="28"/>
              </w:rPr>
              <w:t> </w:t>
            </w:r>
            <w:r w:rsidR="00202AAA" w:rsidRPr="00234856">
              <w:t xml:space="preserve">panta </w:t>
            </w:r>
            <w:r w:rsidR="00544C6C" w:rsidRPr="00234856">
              <w:t>1.</w:t>
            </w:r>
            <w:r w:rsidR="00544C6C">
              <w:rPr>
                <w:szCs w:val="28"/>
              </w:rPr>
              <w:t> </w:t>
            </w:r>
            <w:r w:rsidRPr="00234856">
              <w:t>punktā, ir jāizpilda pirms materiālam, kas vairs nav atkritumi, ir piemērojami tiesību akti ķimikāliju un produktu jomā.</w:t>
            </w:r>
            <w:r w:rsidR="00903AB4" w:rsidRPr="00234856">
              <w:t xml:space="preserve"> Tādejādi var secināt, ka attiecīgās fiziskās un juridiskās personas vispirms nodrošina, ka materiāli vairs nav atkritumi atbilstoši Direktīvas 2008/98/EK 6.</w:t>
            </w:r>
            <w:r w:rsidR="00544C6C">
              <w:rPr>
                <w:szCs w:val="28"/>
              </w:rPr>
              <w:t> </w:t>
            </w:r>
            <w:r w:rsidR="00903AB4" w:rsidRPr="00234856">
              <w:t>panta 1.</w:t>
            </w:r>
            <w:r w:rsidR="00544C6C">
              <w:rPr>
                <w:szCs w:val="28"/>
              </w:rPr>
              <w:t> </w:t>
            </w:r>
            <w:r w:rsidR="00903AB4" w:rsidRPr="00234856">
              <w:t xml:space="preserve">punktā noteiktajiem kritērijiem, kad vielu vai priekšmetu vairs neklasificē kā atkritumus. </w:t>
            </w:r>
            <w:r w:rsidR="00202AAA" w:rsidRPr="00234856">
              <w:t>J</w:t>
            </w:r>
            <w:r w:rsidR="00903AB4" w:rsidRPr="00234856">
              <w:t>a šāda atbilstība tiek noteikta, minētās fiziskās un juridiskās personas arī nodrošina, ka minēt</w:t>
            </w:r>
            <w:r w:rsidR="00202AAA" w:rsidRPr="00234856">
              <w:t>ie materiāli</w:t>
            </w:r>
            <w:r w:rsidR="00903AB4" w:rsidRPr="00234856">
              <w:t xml:space="preserve"> atbilst piemērojamajiem tiesību aktiem ķimikāliju un produktu jomā.</w:t>
            </w:r>
          </w:p>
        </w:tc>
      </w:tr>
      <w:tr w:rsidR="00AD2C14" w:rsidRPr="00FB41DC" w14:paraId="69F365F6" w14:textId="77777777" w:rsidTr="00544C6C">
        <w:tc>
          <w:tcPr>
            <w:tcW w:w="720" w:type="dxa"/>
          </w:tcPr>
          <w:p w14:paraId="188C4F82" w14:textId="77777777" w:rsidR="00AD2C14" w:rsidRPr="00FB41DC" w:rsidRDefault="00AD2C14" w:rsidP="00544C6C">
            <w:pPr>
              <w:jc w:val="center"/>
            </w:pPr>
            <w:r>
              <w:lastRenderedPageBreak/>
              <w:t>3</w:t>
            </w:r>
            <w:r w:rsidRPr="00FB41DC">
              <w:t>.</w:t>
            </w:r>
          </w:p>
        </w:tc>
        <w:tc>
          <w:tcPr>
            <w:tcW w:w="1445" w:type="dxa"/>
          </w:tcPr>
          <w:p w14:paraId="59D2F87B" w14:textId="77777777" w:rsidR="00AD2C14" w:rsidRPr="00FB41DC" w:rsidRDefault="00AD2C14" w:rsidP="00544C6C">
            <w:r>
              <w:t>Projekta izstrādē iesaistītās institūcijas un publiskas personas kapitālsabiedrības</w:t>
            </w:r>
          </w:p>
        </w:tc>
        <w:tc>
          <w:tcPr>
            <w:tcW w:w="7194" w:type="dxa"/>
          </w:tcPr>
          <w:p w14:paraId="0D9360C0" w14:textId="599FE4F3" w:rsidR="00AD2C14" w:rsidRPr="00FB41DC" w:rsidRDefault="00A40B2C" w:rsidP="00544C6C">
            <w:pPr>
              <w:pStyle w:val="naiskr"/>
              <w:jc w:val="both"/>
            </w:pPr>
            <w:r>
              <w:t>Noteikumu projekts šo jomu neskar.</w:t>
            </w:r>
          </w:p>
        </w:tc>
      </w:tr>
      <w:tr w:rsidR="00AD2C14" w:rsidRPr="00FB41DC" w14:paraId="23F581C8" w14:textId="77777777" w:rsidTr="00544C6C">
        <w:trPr>
          <w:trHeight w:val="571"/>
        </w:trPr>
        <w:tc>
          <w:tcPr>
            <w:tcW w:w="720" w:type="dxa"/>
          </w:tcPr>
          <w:p w14:paraId="399B81C2" w14:textId="77777777" w:rsidR="00AD2C14" w:rsidRPr="00FB41DC" w:rsidRDefault="00AD2C14" w:rsidP="00544C6C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1445" w:type="dxa"/>
          </w:tcPr>
          <w:p w14:paraId="1DCDBED4" w14:textId="77777777" w:rsidR="00AD2C14" w:rsidRPr="00FB41DC" w:rsidRDefault="00AD2C14" w:rsidP="00544C6C">
            <w:r w:rsidRPr="00FB41DC">
              <w:t>Cita informācija</w:t>
            </w:r>
          </w:p>
        </w:tc>
        <w:tc>
          <w:tcPr>
            <w:tcW w:w="7194" w:type="dxa"/>
          </w:tcPr>
          <w:p w14:paraId="791E8C33" w14:textId="1E223EE6" w:rsidR="00AD2C14" w:rsidRPr="00FB41DC" w:rsidRDefault="00544C6C" w:rsidP="00544C6C">
            <w:pPr>
              <w:jc w:val="both"/>
            </w:pPr>
            <w:r>
              <w:t>Nav</w:t>
            </w:r>
          </w:p>
        </w:tc>
      </w:tr>
    </w:tbl>
    <w:p w14:paraId="1C8095DF" w14:textId="77777777" w:rsidR="00AD2C14" w:rsidRPr="00FB41DC" w:rsidRDefault="00AD2C14" w:rsidP="00AD2C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57"/>
        <w:gridCol w:w="5767"/>
      </w:tblGrid>
      <w:tr w:rsidR="00AD2C14" w:rsidRPr="00FB41DC" w14:paraId="511EA3FB" w14:textId="77777777" w:rsidTr="00544C6C">
        <w:tc>
          <w:tcPr>
            <w:tcW w:w="9287" w:type="dxa"/>
            <w:gridSpan w:val="3"/>
          </w:tcPr>
          <w:p w14:paraId="0C02590B" w14:textId="77777777" w:rsidR="00AD2C14" w:rsidRPr="00FB41DC" w:rsidRDefault="00AD2C14" w:rsidP="00544C6C">
            <w:pPr>
              <w:jc w:val="center"/>
              <w:rPr>
                <w:b/>
              </w:rPr>
            </w:pPr>
            <w:r w:rsidRPr="00FB41DC">
              <w:rPr>
                <w:b/>
              </w:rPr>
              <w:t>II.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ietekme uz sabiedrību</w:t>
            </w:r>
          </w:p>
        </w:tc>
      </w:tr>
      <w:tr w:rsidR="00AD2C14" w:rsidRPr="00FB41DC" w14:paraId="75DAB757" w14:textId="77777777" w:rsidTr="00544C6C">
        <w:tc>
          <w:tcPr>
            <w:tcW w:w="648" w:type="dxa"/>
          </w:tcPr>
          <w:p w14:paraId="1F85BBBD" w14:textId="77777777" w:rsidR="00AD2C14" w:rsidRPr="00FB41DC" w:rsidRDefault="00AD2C14" w:rsidP="00544C6C">
            <w:pPr>
              <w:jc w:val="center"/>
            </w:pPr>
            <w:r w:rsidRPr="00FB41DC">
              <w:t>1.</w:t>
            </w:r>
          </w:p>
        </w:tc>
        <w:tc>
          <w:tcPr>
            <w:tcW w:w="2700" w:type="dxa"/>
          </w:tcPr>
          <w:p w14:paraId="687FF62F" w14:textId="77777777" w:rsidR="00AD2C14" w:rsidRPr="00FB41DC" w:rsidRDefault="00AD2C14" w:rsidP="00544C6C">
            <w:r w:rsidRPr="00FB41DC">
              <w:t xml:space="preserve">Sabiedrības </w:t>
            </w:r>
            <w:proofErr w:type="spellStart"/>
            <w:r w:rsidRPr="00FB41DC">
              <w:t>mērķgrupa</w:t>
            </w:r>
            <w:r>
              <w:t>s</w:t>
            </w:r>
            <w:proofErr w:type="spellEnd"/>
            <w:r>
              <w:t>, kuras tiesiskais regulējums ietekmē vai varētu ietekmēt</w:t>
            </w:r>
          </w:p>
        </w:tc>
        <w:tc>
          <w:tcPr>
            <w:tcW w:w="5939" w:type="dxa"/>
          </w:tcPr>
          <w:p w14:paraId="10144F94" w14:textId="77777777" w:rsidR="00E210D0" w:rsidRPr="00186052" w:rsidRDefault="00942483" w:rsidP="00E210D0">
            <w:pPr>
              <w:jc w:val="both"/>
            </w:pPr>
            <w:r>
              <w:t>A</w:t>
            </w:r>
            <w:r w:rsidR="00E210D0" w:rsidRPr="00186052">
              <w:rPr>
                <w:szCs w:val="28"/>
              </w:rPr>
              <w:t xml:space="preserve">tkritumu </w:t>
            </w:r>
            <w:proofErr w:type="spellStart"/>
            <w:r w:rsidR="00E210D0" w:rsidRPr="00186052">
              <w:rPr>
                <w:szCs w:val="28"/>
              </w:rPr>
              <w:t>aps</w:t>
            </w:r>
            <w:r>
              <w:rPr>
                <w:szCs w:val="28"/>
              </w:rPr>
              <w:t>aimniekotāji</w:t>
            </w:r>
            <w:proofErr w:type="spellEnd"/>
            <w:r>
              <w:rPr>
                <w:szCs w:val="28"/>
              </w:rPr>
              <w:t xml:space="preserve"> – ap 1000 komersantu;</w:t>
            </w:r>
          </w:p>
          <w:p w14:paraId="763DA6D2" w14:textId="4A944324" w:rsidR="00E210D0" w:rsidRDefault="00E210D0" w:rsidP="00E210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Atkritumu pārvadājumu uzskaites sistēmas lietotāji </w:t>
            </w:r>
            <w:r w:rsidR="00B45B8F" w:rsidRPr="00B45B8F">
              <w:rPr>
                <w:szCs w:val="28"/>
              </w:rPr>
              <w:t>–</w:t>
            </w:r>
            <w:r>
              <w:rPr>
                <w:szCs w:val="28"/>
              </w:rPr>
              <w:t xml:space="preserve"> 141 komersants;</w:t>
            </w:r>
          </w:p>
          <w:p w14:paraId="3635C020" w14:textId="77777777" w:rsidR="00E210D0" w:rsidRDefault="00E210D0" w:rsidP="00E210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Būvniecības atkritumu pārvadājumu uzskaites sistēmas lietotāji – 95 komersanti;</w:t>
            </w:r>
          </w:p>
          <w:p w14:paraId="47184C96" w14:textId="77777777" w:rsidR="00E210D0" w:rsidRPr="00186052" w:rsidRDefault="00E210D0" w:rsidP="00E210D0">
            <w:pPr>
              <w:jc w:val="both"/>
            </w:pPr>
            <w:r>
              <w:t>Personas</w:t>
            </w:r>
            <w:r w:rsidRPr="00C13682">
              <w:t>, kas nodarbojas ar sadzīves, ražošanas un bī</w:t>
            </w:r>
            <w:r>
              <w:t>stamo atkritumu pārvadājumiem – ap 900 komersantiem;</w:t>
            </w:r>
          </w:p>
          <w:p w14:paraId="0A3F02D8" w14:textId="77777777" w:rsidR="00E210D0" w:rsidRDefault="00E210D0" w:rsidP="00E210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Pašvaldības - 119</w:t>
            </w:r>
          </w:p>
          <w:p w14:paraId="2E5CBE9C" w14:textId="77777777" w:rsidR="00942483" w:rsidRDefault="00E210D0" w:rsidP="00E210D0">
            <w:pPr>
              <w:tabs>
                <w:tab w:val="left" w:pos="720"/>
              </w:tabs>
              <w:suppressAutoHyphens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Atkritumu tirgotāji un atkritumu apsaimniekošanas starpnieki – 11</w:t>
            </w:r>
            <w:r w:rsidRPr="007B4FB0">
              <w:rPr>
                <w:szCs w:val="28"/>
              </w:rPr>
              <w:t>1 komersants.</w:t>
            </w:r>
            <w:r w:rsidRPr="007B4FB0" w:rsidDel="006308EB">
              <w:rPr>
                <w:szCs w:val="28"/>
              </w:rPr>
              <w:t xml:space="preserve"> </w:t>
            </w:r>
          </w:p>
          <w:p w14:paraId="37092B9B" w14:textId="77777777" w:rsidR="00AD2C14" w:rsidRPr="00FB41DC" w:rsidRDefault="00E210D0" w:rsidP="00E210D0">
            <w:pPr>
              <w:tabs>
                <w:tab w:val="left" w:pos="720"/>
              </w:tabs>
              <w:suppressAutoHyphens/>
              <w:spacing w:line="100" w:lineRule="atLeast"/>
              <w:jc w:val="both"/>
            </w:pPr>
            <w:r w:rsidRPr="00186052">
              <w:rPr>
                <w:szCs w:val="28"/>
              </w:rPr>
              <w:lastRenderedPageBreak/>
              <w:t>Visi sadzīves atkritumu radītāji Latvijā – fiziskās un juridiskās personas.</w:t>
            </w:r>
          </w:p>
        </w:tc>
      </w:tr>
      <w:tr w:rsidR="00AD2C14" w:rsidRPr="00CC4F9A" w14:paraId="64CB8C8F" w14:textId="77777777" w:rsidTr="00544C6C">
        <w:tc>
          <w:tcPr>
            <w:tcW w:w="648" w:type="dxa"/>
            <w:shd w:val="clear" w:color="auto" w:fill="auto"/>
          </w:tcPr>
          <w:p w14:paraId="62B8833C" w14:textId="77777777" w:rsidR="00AD2C14" w:rsidRPr="00CC4F9A" w:rsidRDefault="00AD2C14" w:rsidP="00544C6C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Pr="00331BA5">
              <w:t>.</w:t>
            </w:r>
          </w:p>
        </w:tc>
        <w:tc>
          <w:tcPr>
            <w:tcW w:w="2700" w:type="dxa"/>
            <w:shd w:val="clear" w:color="auto" w:fill="FFFFFF"/>
          </w:tcPr>
          <w:p w14:paraId="5B8F6DBC" w14:textId="77777777" w:rsidR="00AD2C14" w:rsidRPr="00CC4F9A" w:rsidRDefault="00AD2C14" w:rsidP="00544C6C">
            <w:pPr>
              <w:rPr>
                <w:highlight w:val="yellow"/>
              </w:rPr>
            </w:pPr>
            <w:r w:rsidRPr="00331BA5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5939" w:type="dxa"/>
            <w:shd w:val="clear" w:color="auto" w:fill="auto"/>
          </w:tcPr>
          <w:p w14:paraId="2871B671" w14:textId="77777777" w:rsidR="00AD2C14" w:rsidRDefault="00AD2C14" w:rsidP="00544C6C">
            <w:pPr>
              <w:pStyle w:val="tv213"/>
              <w:jc w:val="both"/>
            </w:pPr>
            <w:r>
              <w:t xml:space="preserve">Noteikumu projekta tiesiskā regulējuma ietekme uz tautsaimniecību un sabiedrības </w:t>
            </w:r>
            <w:proofErr w:type="spellStart"/>
            <w:r>
              <w:t>mērķgrupām</w:t>
            </w:r>
            <w:proofErr w:type="spellEnd"/>
            <w:r>
              <w:t>, īpaši norādot, kāda būs ietekme:</w:t>
            </w:r>
          </w:p>
          <w:p w14:paraId="2D70CB2B" w14:textId="77777777" w:rsidR="00AD2C14" w:rsidRDefault="00AD2C14" w:rsidP="00544C6C">
            <w:pPr>
              <w:pStyle w:val="tv213"/>
              <w:jc w:val="both"/>
            </w:pPr>
            <w:r>
              <w:t xml:space="preserve">Nav paredzams, ka noteikumu projekta prasības radīs būtisku ietekmi uz uzņēmējdarbības vidi un maziem, vidējiem uzņēmumiem, </w:t>
            </w:r>
            <w:proofErr w:type="spellStart"/>
            <w:r>
              <w:t>mikrouzņēmumiem</w:t>
            </w:r>
            <w:proofErr w:type="spellEnd"/>
            <w:r>
              <w:t xml:space="preserve"> un </w:t>
            </w:r>
            <w:proofErr w:type="spellStart"/>
            <w:r>
              <w:t>jaunuzņēmumiem</w:t>
            </w:r>
            <w:proofErr w:type="spellEnd"/>
            <w:r>
              <w:t>.</w:t>
            </w:r>
          </w:p>
          <w:p w14:paraId="5B2EFA59" w14:textId="77777777" w:rsidR="00AD2C14" w:rsidRDefault="00AD2C14" w:rsidP="00544C6C">
            <w:pPr>
              <w:pStyle w:val="tv213"/>
              <w:jc w:val="both"/>
            </w:pPr>
            <w:r>
              <w:t xml:space="preserve">Noteikumu projekta prasības neattiecas uz Nacionālā attīstības plāna 2014. – 2020. gadam rādītājiem </w:t>
            </w:r>
            <w:proofErr w:type="spellStart"/>
            <w:r>
              <w:t>mikrolīmenī</w:t>
            </w:r>
            <w:proofErr w:type="spellEnd"/>
            <w:r>
              <w:t xml:space="preserve"> vai </w:t>
            </w:r>
            <w:proofErr w:type="spellStart"/>
            <w:r>
              <w:t>makrolīmenī</w:t>
            </w:r>
            <w:proofErr w:type="spellEnd"/>
            <w:r>
              <w:t>.</w:t>
            </w:r>
          </w:p>
          <w:p w14:paraId="34471E58" w14:textId="77777777" w:rsidR="00AD2C14" w:rsidRDefault="00AD2C14" w:rsidP="00544C6C">
            <w:pPr>
              <w:pStyle w:val="tv213"/>
              <w:jc w:val="both"/>
            </w:pPr>
            <w:r>
              <w:t>Noteikumu projekta prasības neattiecas uz konkurenci.</w:t>
            </w:r>
          </w:p>
          <w:p w14:paraId="2763F308" w14:textId="77777777" w:rsidR="00AD2C14" w:rsidRDefault="00AD2C14" w:rsidP="00544C6C">
            <w:pPr>
              <w:pStyle w:val="tv213"/>
              <w:jc w:val="both"/>
            </w:pPr>
            <w:r>
              <w:t>Noteikumu projekta ietekme uz vidi ir vērtējama pozitīvi, tā kā tiek noteiktas</w:t>
            </w:r>
            <w:r w:rsidR="00942483">
              <w:t xml:space="preserve"> prasības</w:t>
            </w:r>
            <w:r>
              <w:t xml:space="preserve">. </w:t>
            </w:r>
          </w:p>
          <w:p w14:paraId="406F444F" w14:textId="77777777" w:rsidR="00AD2C14" w:rsidRDefault="00AD2C14" w:rsidP="00544C6C">
            <w:pPr>
              <w:pStyle w:val="tv213"/>
              <w:jc w:val="both"/>
            </w:pPr>
            <w:r>
              <w:t>Noteikumu projekta prasībām nav ietekmes uz veselību.</w:t>
            </w:r>
          </w:p>
          <w:p w14:paraId="079C72B4" w14:textId="77777777" w:rsidR="00AD2C14" w:rsidRDefault="00AD2C14" w:rsidP="00544C6C">
            <w:pPr>
              <w:pStyle w:val="tv213"/>
              <w:jc w:val="both"/>
            </w:pPr>
            <w:r>
              <w:t xml:space="preserve">Noteikumu projekta prasības neskar nevalstiskās organizācijas. </w:t>
            </w:r>
          </w:p>
          <w:p w14:paraId="17E91B5D" w14:textId="77777777" w:rsidR="00AD2C14" w:rsidRPr="00DB4477" w:rsidRDefault="00AD2C14" w:rsidP="00544C6C">
            <w:pPr>
              <w:pStyle w:val="tv213"/>
              <w:jc w:val="both"/>
            </w:pPr>
            <w:r>
              <w:t xml:space="preserve">Sabiedrības grupām un institūcijām projekta tiesiskais regulējums nemaina tiesības un pienākumus, kā arī veicamās darbības. </w:t>
            </w:r>
          </w:p>
        </w:tc>
      </w:tr>
      <w:tr w:rsidR="00AD2C14" w:rsidRPr="00FB41DC" w14:paraId="0DCCD6FE" w14:textId="77777777" w:rsidTr="00544C6C">
        <w:tc>
          <w:tcPr>
            <w:tcW w:w="648" w:type="dxa"/>
          </w:tcPr>
          <w:p w14:paraId="6FDC389E" w14:textId="77777777" w:rsidR="00AD2C14" w:rsidRPr="00FB41DC" w:rsidRDefault="00AD2C14" w:rsidP="00544C6C">
            <w:pPr>
              <w:jc w:val="center"/>
            </w:pPr>
            <w:r>
              <w:t>3</w:t>
            </w:r>
            <w:r w:rsidRPr="00FB41DC">
              <w:t>.</w:t>
            </w:r>
          </w:p>
        </w:tc>
        <w:tc>
          <w:tcPr>
            <w:tcW w:w="2700" w:type="dxa"/>
          </w:tcPr>
          <w:p w14:paraId="6E74EA19" w14:textId="77777777" w:rsidR="00AD2C14" w:rsidRPr="00FB41DC" w:rsidRDefault="00AD2C14" w:rsidP="00544C6C">
            <w:r w:rsidRPr="00FB41DC">
              <w:t>Administratīvo izmaksu monetārs novērtējums</w:t>
            </w:r>
          </w:p>
        </w:tc>
        <w:tc>
          <w:tcPr>
            <w:tcW w:w="5939" w:type="dxa"/>
          </w:tcPr>
          <w:p w14:paraId="1645C615" w14:textId="661F32CA" w:rsidR="00AD2C14" w:rsidRPr="00FB41DC" w:rsidRDefault="00F00E9F" w:rsidP="00544C6C">
            <w:r>
              <w:t>Noteikumu p</w:t>
            </w:r>
            <w:r w:rsidR="00AD2C14">
              <w:t xml:space="preserve">rojekts šo jomu neskar. </w:t>
            </w:r>
          </w:p>
        </w:tc>
      </w:tr>
      <w:tr w:rsidR="00AD2C14" w:rsidRPr="00FB41DC" w14:paraId="3EB112F8" w14:textId="77777777" w:rsidTr="00544C6C">
        <w:tc>
          <w:tcPr>
            <w:tcW w:w="648" w:type="dxa"/>
          </w:tcPr>
          <w:p w14:paraId="06608D11" w14:textId="77777777" w:rsidR="00AD2C14" w:rsidRDefault="00AD2C14" w:rsidP="00544C6C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14:paraId="411080E5" w14:textId="77777777" w:rsidR="00AD2C14" w:rsidRPr="00FB41DC" w:rsidRDefault="00AD2C14" w:rsidP="00544C6C">
            <w:r>
              <w:t>Atbilstības izmaksu monetārs novērtējums</w:t>
            </w:r>
          </w:p>
        </w:tc>
        <w:tc>
          <w:tcPr>
            <w:tcW w:w="5939" w:type="dxa"/>
          </w:tcPr>
          <w:p w14:paraId="312DA21D" w14:textId="55EC5A87" w:rsidR="00AD2C14" w:rsidRDefault="00F00E9F" w:rsidP="00544C6C">
            <w:r>
              <w:t>Noteikumu p</w:t>
            </w:r>
            <w:r w:rsidR="00AD2C14">
              <w:t>rojekts šo jomu neskar.</w:t>
            </w:r>
          </w:p>
        </w:tc>
      </w:tr>
      <w:tr w:rsidR="00AD2C14" w:rsidRPr="00FB41DC" w14:paraId="0E24118C" w14:textId="77777777" w:rsidTr="00544C6C">
        <w:tc>
          <w:tcPr>
            <w:tcW w:w="648" w:type="dxa"/>
          </w:tcPr>
          <w:p w14:paraId="2A31852B" w14:textId="77777777" w:rsidR="00AD2C14" w:rsidRPr="00FB41DC" w:rsidRDefault="00AD2C14" w:rsidP="00544C6C">
            <w:pPr>
              <w:jc w:val="center"/>
            </w:pPr>
            <w:r>
              <w:t>5</w:t>
            </w:r>
            <w:r w:rsidRPr="00FB41DC">
              <w:t>.</w:t>
            </w:r>
          </w:p>
        </w:tc>
        <w:tc>
          <w:tcPr>
            <w:tcW w:w="2700" w:type="dxa"/>
          </w:tcPr>
          <w:p w14:paraId="48CE8AA1" w14:textId="77777777" w:rsidR="00AD2C14" w:rsidRPr="00FB41DC" w:rsidRDefault="00AD2C14" w:rsidP="00544C6C">
            <w:r w:rsidRPr="00FB41DC">
              <w:t>Cita informācija</w:t>
            </w:r>
          </w:p>
        </w:tc>
        <w:tc>
          <w:tcPr>
            <w:tcW w:w="5939" w:type="dxa"/>
          </w:tcPr>
          <w:p w14:paraId="36A90B52" w14:textId="0E576E3F" w:rsidR="00AD2C14" w:rsidRPr="00FB41DC" w:rsidRDefault="00544C6C" w:rsidP="00544C6C">
            <w:pPr>
              <w:jc w:val="both"/>
            </w:pPr>
            <w:r>
              <w:t>Nav</w:t>
            </w:r>
          </w:p>
        </w:tc>
      </w:tr>
    </w:tbl>
    <w:p w14:paraId="18C1E9A6" w14:textId="77777777" w:rsidR="00AD2C14" w:rsidRDefault="00AD2C14" w:rsidP="00AD2C14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AD2C14" w14:paraId="7EAB4283" w14:textId="77777777" w:rsidTr="00544C6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4B36" w14:textId="77777777" w:rsidR="00AD2C14" w:rsidRDefault="00AD2C14" w:rsidP="00544C6C">
            <w:pPr>
              <w:jc w:val="center"/>
              <w:rPr>
                <w:b/>
              </w:rPr>
            </w:pPr>
            <w:r>
              <w:rPr>
                <w:b/>
              </w:rPr>
              <w:t>III. Tiesību akta projekta ietekme uz valsts budžetu un pašvaldību budžetiem</w:t>
            </w:r>
          </w:p>
        </w:tc>
      </w:tr>
      <w:tr w:rsidR="00AD2C14" w14:paraId="6D98A976" w14:textId="77777777" w:rsidTr="00544C6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8B03" w14:textId="6759E381" w:rsidR="00AD2C14" w:rsidRDefault="001615FE" w:rsidP="00544C6C">
            <w:pPr>
              <w:jc w:val="center"/>
            </w:pPr>
            <w:r>
              <w:t>Noteikumu p</w:t>
            </w:r>
            <w:r w:rsidR="00AD2C14">
              <w:t>rojekts šo jomu neskar.</w:t>
            </w:r>
          </w:p>
        </w:tc>
      </w:tr>
    </w:tbl>
    <w:p w14:paraId="14A9F6A0" w14:textId="77777777" w:rsidR="00AD2C14" w:rsidRDefault="00AD2C14" w:rsidP="00AD2C14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AD2C14" w14:paraId="298AC9B8" w14:textId="77777777" w:rsidTr="00544C6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B2F" w14:textId="77777777" w:rsidR="00AD2C14" w:rsidRDefault="00AD2C14" w:rsidP="00544C6C">
            <w:pPr>
              <w:jc w:val="center"/>
              <w:rPr>
                <w:b/>
              </w:rPr>
            </w:pPr>
            <w:r>
              <w:rPr>
                <w:b/>
              </w:rPr>
              <w:t>IV. Tiesību akta projekta ietekme uz spēkā esošo tiesību normu sistēmu</w:t>
            </w:r>
          </w:p>
        </w:tc>
      </w:tr>
      <w:tr w:rsidR="00AD2C14" w14:paraId="022FEFCA" w14:textId="77777777" w:rsidTr="00544C6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640C" w14:textId="7E79AC5E" w:rsidR="00AD2C14" w:rsidRDefault="001615FE" w:rsidP="00544C6C">
            <w:pPr>
              <w:jc w:val="center"/>
            </w:pPr>
            <w:r>
              <w:t>Noteikumu p</w:t>
            </w:r>
            <w:r w:rsidR="00AD2C14">
              <w:t>rojekts šo jomu neskar.</w:t>
            </w:r>
          </w:p>
        </w:tc>
      </w:tr>
    </w:tbl>
    <w:p w14:paraId="040EBA2E" w14:textId="77777777" w:rsidR="00AD2C14" w:rsidRDefault="00AD2C14" w:rsidP="00AD2C14"/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901"/>
        <w:gridCol w:w="5972"/>
      </w:tblGrid>
      <w:tr w:rsidR="00AD2C14" w:rsidRPr="00FB41DC" w14:paraId="2E2E8168" w14:textId="77777777" w:rsidTr="00544C6C">
        <w:trPr>
          <w:jc w:val="center"/>
        </w:trPr>
        <w:tc>
          <w:tcPr>
            <w:tcW w:w="9396" w:type="dxa"/>
            <w:gridSpan w:val="3"/>
          </w:tcPr>
          <w:p w14:paraId="4409271E" w14:textId="77777777" w:rsidR="00AD2C14" w:rsidRPr="00FB41DC" w:rsidRDefault="00AD2C14" w:rsidP="00544C6C">
            <w:pPr>
              <w:pStyle w:val="naisnod"/>
              <w:spacing w:before="0" w:after="0"/>
            </w:pPr>
            <w:r w:rsidRPr="00FB41DC">
              <w:t>V.</w:t>
            </w:r>
            <w:r>
              <w:t> </w:t>
            </w:r>
            <w:r w:rsidRPr="00FB41DC">
              <w:t>Tiesību akta projekta atbilstība Latvijas Republikas starptautiskajām saistībām</w:t>
            </w:r>
          </w:p>
        </w:tc>
      </w:tr>
      <w:tr w:rsidR="00AD2C14" w:rsidRPr="0062273E" w14:paraId="79E41990" w14:textId="77777777" w:rsidTr="00544C6C">
        <w:trPr>
          <w:jc w:val="center"/>
        </w:trPr>
        <w:tc>
          <w:tcPr>
            <w:tcW w:w="523" w:type="dxa"/>
          </w:tcPr>
          <w:p w14:paraId="49274354" w14:textId="77777777" w:rsidR="00AD2C14" w:rsidRPr="0062273E" w:rsidRDefault="00AD2C14" w:rsidP="00544C6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1.</w:t>
            </w:r>
          </w:p>
        </w:tc>
        <w:tc>
          <w:tcPr>
            <w:tcW w:w="2901" w:type="dxa"/>
          </w:tcPr>
          <w:p w14:paraId="024ED179" w14:textId="77777777" w:rsidR="00AD2C14" w:rsidRPr="004B69A2" w:rsidRDefault="00AD2C14" w:rsidP="00544C6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B69A2">
              <w:t>Saistības pret Eiropas Savienību</w:t>
            </w:r>
          </w:p>
        </w:tc>
        <w:tc>
          <w:tcPr>
            <w:tcW w:w="5972" w:type="dxa"/>
          </w:tcPr>
          <w:p w14:paraId="24C6CE46" w14:textId="77777777" w:rsidR="00AD2C14" w:rsidRPr="00483F49" w:rsidRDefault="00AD2C14" w:rsidP="00544C6C">
            <w:pPr>
              <w:pStyle w:val="naisc"/>
              <w:spacing w:before="0" w:after="0"/>
              <w:jc w:val="both"/>
            </w:pPr>
            <w:r>
              <w:t>Direktīva 2018/851/ES (OV L 150, 14.6.2018., 109.lpp.)</w:t>
            </w:r>
          </w:p>
        </w:tc>
      </w:tr>
      <w:tr w:rsidR="00AD2C14" w:rsidRPr="00FB41DC" w14:paraId="36C7C704" w14:textId="77777777" w:rsidTr="00544C6C">
        <w:trPr>
          <w:jc w:val="center"/>
        </w:trPr>
        <w:tc>
          <w:tcPr>
            <w:tcW w:w="523" w:type="dxa"/>
          </w:tcPr>
          <w:p w14:paraId="3EB59AC1" w14:textId="77777777" w:rsidR="00AD2C14" w:rsidRPr="00FB41DC" w:rsidRDefault="00AD2C14" w:rsidP="00544C6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2.</w:t>
            </w:r>
          </w:p>
        </w:tc>
        <w:tc>
          <w:tcPr>
            <w:tcW w:w="2901" w:type="dxa"/>
          </w:tcPr>
          <w:p w14:paraId="57FEB840" w14:textId="77777777" w:rsidR="00AD2C14" w:rsidRPr="00FB41DC" w:rsidRDefault="00AD2C14" w:rsidP="00544C6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Citas starptautiskās saistības</w:t>
            </w:r>
          </w:p>
        </w:tc>
        <w:tc>
          <w:tcPr>
            <w:tcW w:w="5972" w:type="dxa"/>
          </w:tcPr>
          <w:p w14:paraId="61EF5CCB" w14:textId="1CD6908E" w:rsidR="00AD2C14" w:rsidRPr="00FB41DC" w:rsidRDefault="001615FE" w:rsidP="00544C6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Noteikumu p</w:t>
            </w:r>
            <w:r w:rsidR="00AD2C14">
              <w:t>rojekts šo jomu neskar.</w:t>
            </w:r>
          </w:p>
        </w:tc>
      </w:tr>
      <w:tr w:rsidR="00AD2C14" w:rsidRPr="00FB41DC" w14:paraId="27403FB1" w14:textId="77777777" w:rsidTr="00544C6C">
        <w:trPr>
          <w:jc w:val="center"/>
        </w:trPr>
        <w:tc>
          <w:tcPr>
            <w:tcW w:w="523" w:type="dxa"/>
          </w:tcPr>
          <w:p w14:paraId="292AB42E" w14:textId="77777777" w:rsidR="00AD2C14" w:rsidRPr="00FB41DC" w:rsidRDefault="00AD2C14" w:rsidP="00544C6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3.</w:t>
            </w:r>
          </w:p>
        </w:tc>
        <w:tc>
          <w:tcPr>
            <w:tcW w:w="2901" w:type="dxa"/>
          </w:tcPr>
          <w:p w14:paraId="664F0660" w14:textId="77777777" w:rsidR="00AD2C14" w:rsidRPr="00FB41DC" w:rsidRDefault="00AD2C14" w:rsidP="00544C6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 informācija</w:t>
            </w:r>
          </w:p>
        </w:tc>
        <w:tc>
          <w:tcPr>
            <w:tcW w:w="5972" w:type="dxa"/>
          </w:tcPr>
          <w:p w14:paraId="00B47D86" w14:textId="76F2CE95" w:rsidR="00AD2C14" w:rsidRPr="00FB41DC" w:rsidRDefault="00AD2C14" w:rsidP="00544C6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Nav</w:t>
            </w:r>
          </w:p>
        </w:tc>
      </w:tr>
    </w:tbl>
    <w:p w14:paraId="66D8441D" w14:textId="77777777" w:rsidR="00AD2C14" w:rsidRPr="00FB41DC" w:rsidRDefault="00AD2C14" w:rsidP="00AD2C14">
      <w:pPr>
        <w:pStyle w:val="naisf"/>
        <w:spacing w:before="0" w:after="0"/>
        <w:ind w:firstLine="0"/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1788"/>
        <w:gridCol w:w="1701"/>
        <w:gridCol w:w="3931"/>
      </w:tblGrid>
      <w:tr w:rsidR="006616A9" w14:paraId="1DA0AC18" w14:textId="77777777" w:rsidTr="00544C6C">
        <w:trPr>
          <w:trHeight w:val="313"/>
          <w:jc w:val="center"/>
        </w:trPr>
        <w:tc>
          <w:tcPr>
            <w:tcW w:w="2035" w:type="dxa"/>
          </w:tcPr>
          <w:p w14:paraId="11B9F793" w14:textId="77777777" w:rsidR="006616A9" w:rsidRPr="00D062F9" w:rsidRDefault="006616A9" w:rsidP="006616A9">
            <w:pPr>
              <w:pStyle w:val="naiskr"/>
              <w:spacing w:before="0" w:after="0"/>
              <w:rPr>
                <w:b/>
              </w:rPr>
            </w:pPr>
            <w:r w:rsidRPr="00D062F9">
              <w:rPr>
                <w:b/>
              </w:rPr>
              <w:t>Attiecīgā ES tiesību akta datums, numurs un nosaukums</w:t>
            </w:r>
          </w:p>
        </w:tc>
        <w:tc>
          <w:tcPr>
            <w:tcW w:w="7420" w:type="dxa"/>
            <w:gridSpan w:val="3"/>
            <w:vAlign w:val="center"/>
          </w:tcPr>
          <w:p w14:paraId="265B74E8" w14:textId="5FF6AFAC" w:rsidR="006616A9" w:rsidRPr="00D062F9" w:rsidRDefault="006616A9" w:rsidP="006616A9">
            <w:pPr>
              <w:pStyle w:val="naiskr"/>
              <w:spacing w:before="0" w:after="0"/>
              <w:rPr>
                <w:b/>
              </w:rPr>
            </w:pPr>
            <w:r w:rsidRPr="00D062F9">
              <w:rPr>
                <w:rStyle w:val="Strong"/>
              </w:rPr>
              <w:t>Direktīva</w:t>
            </w:r>
            <w:r w:rsidRPr="00D062F9">
              <w:rPr>
                <w:b/>
              </w:rPr>
              <w:t xml:space="preserve"> 2018/8</w:t>
            </w:r>
            <w:r>
              <w:rPr>
                <w:b/>
              </w:rPr>
              <w:t>51</w:t>
            </w:r>
            <w:r w:rsidRPr="00D062F9">
              <w:rPr>
                <w:b/>
              </w:rPr>
              <w:t>/ES</w:t>
            </w:r>
          </w:p>
        </w:tc>
      </w:tr>
      <w:tr w:rsidR="006616A9" w14:paraId="045F9937" w14:textId="77777777" w:rsidTr="00544C6C">
        <w:trPr>
          <w:trHeight w:val="313"/>
          <w:jc w:val="center"/>
        </w:trPr>
        <w:tc>
          <w:tcPr>
            <w:tcW w:w="2035" w:type="dxa"/>
            <w:vAlign w:val="center"/>
          </w:tcPr>
          <w:p w14:paraId="37F6D6F5" w14:textId="77777777" w:rsidR="006616A9" w:rsidRDefault="006616A9" w:rsidP="006616A9">
            <w:pPr>
              <w:pStyle w:val="naiskr"/>
              <w:spacing w:before="0" w:after="0"/>
              <w:jc w:val="center"/>
            </w:pPr>
            <w:r>
              <w:lastRenderedPageBreak/>
              <w:t>A</w:t>
            </w:r>
          </w:p>
        </w:tc>
        <w:tc>
          <w:tcPr>
            <w:tcW w:w="1788" w:type="dxa"/>
            <w:vAlign w:val="center"/>
          </w:tcPr>
          <w:p w14:paraId="13A13E5D" w14:textId="77777777" w:rsidR="006616A9" w:rsidRDefault="006616A9" w:rsidP="006616A9">
            <w:pPr>
              <w:pStyle w:val="naiskr"/>
              <w:spacing w:before="0" w:after="0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2BE22298" w14:textId="77777777" w:rsidR="006616A9" w:rsidRDefault="006616A9" w:rsidP="006616A9">
            <w:pPr>
              <w:pStyle w:val="naiskr"/>
              <w:spacing w:before="0" w:after="0"/>
              <w:jc w:val="center"/>
            </w:pPr>
            <w:r>
              <w:t>C</w:t>
            </w:r>
          </w:p>
        </w:tc>
        <w:tc>
          <w:tcPr>
            <w:tcW w:w="3931" w:type="dxa"/>
            <w:vAlign w:val="center"/>
          </w:tcPr>
          <w:p w14:paraId="1D55EC86" w14:textId="77777777" w:rsidR="006616A9" w:rsidRDefault="006616A9" w:rsidP="006616A9">
            <w:pPr>
              <w:pStyle w:val="naiskr"/>
              <w:spacing w:before="0" w:after="0"/>
              <w:jc w:val="center"/>
            </w:pPr>
            <w:r>
              <w:t>D</w:t>
            </w:r>
          </w:p>
        </w:tc>
      </w:tr>
      <w:tr w:rsidR="006616A9" w14:paraId="02461EC0" w14:textId="77777777" w:rsidTr="00544C6C">
        <w:trPr>
          <w:trHeight w:val="313"/>
          <w:jc w:val="center"/>
        </w:trPr>
        <w:tc>
          <w:tcPr>
            <w:tcW w:w="2035" w:type="dxa"/>
          </w:tcPr>
          <w:p w14:paraId="62857FDC" w14:textId="77777777" w:rsidR="006616A9" w:rsidRDefault="006616A9" w:rsidP="006616A9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788" w:type="dxa"/>
          </w:tcPr>
          <w:p w14:paraId="3687138F" w14:textId="77777777" w:rsidR="006616A9" w:rsidRDefault="006616A9" w:rsidP="006616A9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701" w:type="dxa"/>
          </w:tcPr>
          <w:p w14:paraId="7706195B" w14:textId="77777777" w:rsidR="006616A9" w:rsidRDefault="006616A9" w:rsidP="006616A9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Informācija par to, vai šīs tabulas A ailē minētās ES tiesību akta vienības tiek pārņemtas vai ieviestas pilnībā vai daļēji.</w:t>
            </w:r>
            <w:r w:rsidRPr="00C76D9A">
              <w:rPr>
                <w:sz w:val="18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C76D9A">
              <w:rPr>
                <w:sz w:val="18"/>
              </w:rPr>
              <w:br/>
              <w:t>Norāda institūciju, kas ir atbildīga par šo saistību izpildi pilnībā</w:t>
            </w:r>
          </w:p>
        </w:tc>
        <w:tc>
          <w:tcPr>
            <w:tcW w:w="3931" w:type="dxa"/>
          </w:tcPr>
          <w:p w14:paraId="4007B20B" w14:textId="77777777" w:rsidR="006616A9" w:rsidRDefault="006616A9" w:rsidP="006616A9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Informācija par to, vai šīs tabulas B ailē minētās projekta vienības paredz stingrākas prasības nekā šīs tabulas A ailē minētās ES tiesību akta vienības.</w:t>
            </w:r>
            <w:r w:rsidRPr="00C76D9A">
              <w:rPr>
                <w:sz w:val="18"/>
              </w:rPr>
              <w:br/>
              <w:t>Ja projekts satur stingrākas prasības nekā attiecīgais ES tiesību akts, norāda pamatojumu un samērīgumu.</w:t>
            </w:r>
            <w:r w:rsidRPr="00C76D9A">
              <w:rPr>
                <w:sz w:val="18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616A9" w14:paraId="27D02667" w14:textId="77777777" w:rsidTr="00544C6C">
        <w:trPr>
          <w:trHeight w:val="313"/>
          <w:jc w:val="center"/>
        </w:trPr>
        <w:tc>
          <w:tcPr>
            <w:tcW w:w="2035" w:type="dxa"/>
          </w:tcPr>
          <w:p w14:paraId="57165B8E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3.punkta a) punkts (direktīvas 2008/98/ES 3.panta 2.a punkts)</w:t>
            </w:r>
          </w:p>
        </w:tc>
        <w:tc>
          <w:tcPr>
            <w:tcW w:w="1788" w:type="dxa"/>
          </w:tcPr>
          <w:p w14:paraId="0FC32C16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2.punkts</w:t>
            </w:r>
          </w:p>
        </w:tc>
        <w:tc>
          <w:tcPr>
            <w:tcW w:w="1701" w:type="dxa"/>
          </w:tcPr>
          <w:p w14:paraId="4D7EF5C6" w14:textId="77777777" w:rsidR="006616A9" w:rsidRPr="00651A51" w:rsidRDefault="006616A9" w:rsidP="006616A9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51A51">
              <w:rPr>
                <w:sz w:val="22"/>
                <w:szCs w:val="22"/>
              </w:rPr>
              <w:t>ārņemts</w:t>
            </w:r>
            <w:r>
              <w:rPr>
                <w:sz w:val="22"/>
                <w:szCs w:val="22"/>
              </w:rPr>
              <w:t xml:space="preserve"> daļēji</w:t>
            </w:r>
            <w:r w:rsidRPr="00651A5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31" w:type="dxa"/>
          </w:tcPr>
          <w:p w14:paraId="1AA78619" w14:textId="7995081A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Netiek noteiktas </w:t>
            </w:r>
            <w:r w:rsidRPr="00362895">
              <w:rPr>
                <w:sz w:val="22"/>
                <w:szCs w:val="22"/>
              </w:rPr>
              <w:t>stingrākas</w:t>
            </w:r>
            <w:r w:rsidR="00F32284">
              <w:rPr>
                <w:sz w:val="22"/>
                <w:szCs w:val="22"/>
              </w:rPr>
              <w:t xml:space="preserve"> prasības. </w:t>
            </w:r>
          </w:p>
        </w:tc>
      </w:tr>
      <w:tr w:rsidR="006616A9" w14:paraId="7E96C9DA" w14:textId="77777777" w:rsidTr="00544C6C">
        <w:trPr>
          <w:trHeight w:val="313"/>
          <w:jc w:val="center"/>
        </w:trPr>
        <w:tc>
          <w:tcPr>
            <w:tcW w:w="2035" w:type="dxa"/>
          </w:tcPr>
          <w:p w14:paraId="775E1588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5.punkta a) punkts (Direktīvas 2008/98/EK 5.panta 1.punkta ievaddaļa)</w:t>
            </w:r>
          </w:p>
        </w:tc>
        <w:tc>
          <w:tcPr>
            <w:tcW w:w="1788" w:type="dxa"/>
          </w:tcPr>
          <w:p w14:paraId="6F6CF39F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3.punkts</w:t>
            </w:r>
          </w:p>
        </w:tc>
        <w:tc>
          <w:tcPr>
            <w:tcW w:w="1701" w:type="dxa"/>
          </w:tcPr>
          <w:p w14:paraId="41CB0649" w14:textId="77777777" w:rsidR="006616A9" w:rsidRPr="00651A51" w:rsidRDefault="006616A9" w:rsidP="006616A9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51A51">
              <w:rPr>
                <w:sz w:val="22"/>
                <w:szCs w:val="22"/>
              </w:rPr>
              <w:t>ārņemts</w:t>
            </w:r>
            <w:r>
              <w:rPr>
                <w:sz w:val="22"/>
                <w:szCs w:val="22"/>
              </w:rPr>
              <w:t xml:space="preserve"> pilnībā</w:t>
            </w:r>
          </w:p>
        </w:tc>
        <w:tc>
          <w:tcPr>
            <w:tcW w:w="3931" w:type="dxa"/>
          </w:tcPr>
          <w:p w14:paraId="24BCEB2C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</w:t>
            </w:r>
            <w:r w:rsidRPr="00362895">
              <w:rPr>
                <w:sz w:val="22"/>
                <w:szCs w:val="22"/>
              </w:rPr>
              <w:t>stingrākas prasības.</w:t>
            </w:r>
            <w:r w:rsidRPr="00651A51">
              <w:rPr>
                <w:sz w:val="22"/>
                <w:szCs w:val="22"/>
              </w:rPr>
              <w:t xml:space="preserve"> </w:t>
            </w:r>
          </w:p>
        </w:tc>
      </w:tr>
      <w:tr w:rsidR="006616A9" w14:paraId="772F8815" w14:textId="77777777" w:rsidTr="00544C6C">
        <w:trPr>
          <w:trHeight w:val="313"/>
          <w:jc w:val="center"/>
        </w:trPr>
        <w:tc>
          <w:tcPr>
            <w:tcW w:w="2035" w:type="dxa"/>
          </w:tcPr>
          <w:p w14:paraId="79CAAC59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6.punkta a) i) punkts (Direktīvas 2008/98/EK 6.panta 1.punkts)</w:t>
            </w:r>
          </w:p>
        </w:tc>
        <w:tc>
          <w:tcPr>
            <w:tcW w:w="1788" w:type="dxa"/>
          </w:tcPr>
          <w:p w14:paraId="6F42D1C8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4.punkts</w:t>
            </w:r>
          </w:p>
        </w:tc>
        <w:tc>
          <w:tcPr>
            <w:tcW w:w="1701" w:type="dxa"/>
          </w:tcPr>
          <w:p w14:paraId="7176E4CF" w14:textId="77777777" w:rsidR="006616A9" w:rsidRPr="00651A51" w:rsidRDefault="006616A9" w:rsidP="006616A9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51A51">
              <w:rPr>
                <w:sz w:val="22"/>
                <w:szCs w:val="22"/>
              </w:rPr>
              <w:t>ārņemts</w:t>
            </w:r>
            <w:r>
              <w:rPr>
                <w:sz w:val="22"/>
                <w:szCs w:val="22"/>
              </w:rPr>
              <w:t xml:space="preserve"> pilnībā</w:t>
            </w:r>
          </w:p>
        </w:tc>
        <w:tc>
          <w:tcPr>
            <w:tcW w:w="3931" w:type="dxa"/>
          </w:tcPr>
          <w:p w14:paraId="7934BC7A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6616A9" w14:paraId="2475EBED" w14:textId="77777777" w:rsidTr="00544C6C">
        <w:trPr>
          <w:trHeight w:val="313"/>
          <w:jc w:val="center"/>
        </w:trPr>
        <w:tc>
          <w:tcPr>
            <w:tcW w:w="2035" w:type="dxa"/>
          </w:tcPr>
          <w:p w14:paraId="75847FE4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6.punkta a) ii) punkts (Direktīvas 2008/98/EK 6.panta 1.punkts)</w:t>
            </w:r>
          </w:p>
        </w:tc>
        <w:tc>
          <w:tcPr>
            <w:tcW w:w="1788" w:type="dxa"/>
          </w:tcPr>
          <w:p w14:paraId="772B4E2D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5.punkts</w:t>
            </w:r>
          </w:p>
        </w:tc>
        <w:tc>
          <w:tcPr>
            <w:tcW w:w="1701" w:type="dxa"/>
          </w:tcPr>
          <w:p w14:paraId="53631A65" w14:textId="77777777" w:rsidR="006616A9" w:rsidRPr="00651A51" w:rsidRDefault="006616A9" w:rsidP="006616A9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51A51">
              <w:rPr>
                <w:sz w:val="22"/>
                <w:szCs w:val="22"/>
              </w:rPr>
              <w:t>ārņemts</w:t>
            </w:r>
            <w:r>
              <w:rPr>
                <w:sz w:val="22"/>
                <w:szCs w:val="22"/>
              </w:rPr>
              <w:t xml:space="preserve"> pilnībā</w:t>
            </w:r>
          </w:p>
        </w:tc>
        <w:tc>
          <w:tcPr>
            <w:tcW w:w="3931" w:type="dxa"/>
          </w:tcPr>
          <w:p w14:paraId="1BF86CE2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F32284" w14:paraId="48BBC6C0" w14:textId="77777777" w:rsidTr="00544C6C">
        <w:trPr>
          <w:trHeight w:val="313"/>
          <w:jc w:val="center"/>
        </w:trPr>
        <w:tc>
          <w:tcPr>
            <w:tcW w:w="2035" w:type="dxa"/>
          </w:tcPr>
          <w:p w14:paraId="2D7CBDA3" w14:textId="0C167BE2" w:rsidR="00F32284" w:rsidRPr="00651A51" w:rsidRDefault="00F32284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1.panta 6.punkta b) punkts (Direktīvas 2008/98/EK 6.panta 2.punkts)</w:t>
            </w:r>
          </w:p>
        </w:tc>
        <w:tc>
          <w:tcPr>
            <w:tcW w:w="1788" w:type="dxa"/>
          </w:tcPr>
          <w:p w14:paraId="2583DC6D" w14:textId="77777777" w:rsidR="00F32284" w:rsidRDefault="00F32284" w:rsidP="006616A9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14:paraId="4EABFCA4" w14:textId="04B9DD85" w:rsidR="00F32284" w:rsidRPr="00651A51" w:rsidRDefault="00F32284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Netiks pārņemts. </w:t>
            </w:r>
          </w:p>
        </w:tc>
        <w:tc>
          <w:tcPr>
            <w:tcW w:w="3931" w:type="dxa"/>
          </w:tcPr>
          <w:p w14:paraId="3707FE83" w14:textId="1D0C360D" w:rsidR="00F32284" w:rsidRPr="00651A51" w:rsidRDefault="00F3228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Attiecas uz Eiropas Komisijas pilnvarām. </w:t>
            </w:r>
          </w:p>
        </w:tc>
      </w:tr>
      <w:tr w:rsidR="006616A9" w:rsidRPr="00F54689" w14:paraId="6FD7488D" w14:textId="77777777" w:rsidTr="00544C6C">
        <w:trPr>
          <w:trHeight w:val="313"/>
          <w:jc w:val="center"/>
        </w:trPr>
        <w:tc>
          <w:tcPr>
            <w:tcW w:w="2035" w:type="dxa"/>
          </w:tcPr>
          <w:p w14:paraId="5AE8A40F" w14:textId="77777777" w:rsidR="006616A9" w:rsidRPr="00F54689" w:rsidRDefault="006616A9" w:rsidP="006616A9">
            <w:pPr>
              <w:pStyle w:val="naiskr"/>
              <w:spacing w:before="0" w:after="0"/>
              <w:rPr>
                <w:b/>
                <w:sz w:val="22"/>
                <w:szCs w:val="22"/>
              </w:rPr>
            </w:pPr>
            <w:r w:rsidRPr="00F54689">
              <w:rPr>
                <w:b/>
                <w:sz w:val="22"/>
                <w:szCs w:val="22"/>
              </w:rPr>
              <w:t>1.panta 6.punkta b) punkts (Direktīvas 2008/98/EK 6.panta 3.punkts)</w:t>
            </w:r>
          </w:p>
        </w:tc>
        <w:tc>
          <w:tcPr>
            <w:tcW w:w="1788" w:type="dxa"/>
          </w:tcPr>
          <w:p w14:paraId="29EABFCC" w14:textId="5E53B307" w:rsidR="006616A9" w:rsidRPr="00F54689" w:rsidRDefault="00F54689" w:rsidP="006616A9">
            <w:pPr>
              <w:pStyle w:val="naiskr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F54689">
              <w:rPr>
                <w:b/>
                <w:sz w:val="22"/>
                <w:szCs w:val="22"/>
              </w:rPr>
              <w:t>Atkritumu apsaimniekošanas likuma 6.panta 1.</w:t>
            </w:r>
            <w:r w:rsidRPr="00F54689">
              <w:rPr>
                <w:b/>
                <w:sz w:val="22"/>
                <w:szCs w:val="22"/>
                <w:vertAlign w:val="superscript"/>
              </w:rPr>
              <w:t>1</w:t>
            </w:r>
            <w:r w:rsidRPr="00F54689">
              <w:rPr>
                <w:b/>
                <w:sz w:val="22"/>
                <w:szCs w:val="22"/>
              </w:rPr>
              <w:t xml:space="preserve"> punkts</w:t>
            </w:r>
          </w:p>
        </w:tc>
        <w:tc>
          <w:tcPr>
            <w:tcW w:w="1701" w:type="dxa"/>
          </w:tcPr>
          <w:p w14:paraId="232C68F9" w14:textId="74B1B03A" w:rsidR="006616A9" w:rsidRPr="00F54689" w:rsidRDefault="00F54689" w:rsidP="00F54689">
            <w:pPr>
              <w:pStyle w:val="naiskr"/>
              <w:spacing w:before="0" w:after="0"/>
              <w:rPr>
                <w:b/>
                <w:sz w:val="22"/>
                <w:szCs w:val="22"/>
              </w:rPr>
            </w:pPr>
            <w:r w:rsidRPr="00F54689">
              <w:rPr>
                <w:b/>
                <w:sz w:val="22"/>
                <w:szCs w:val="22"/>
              </w:rPr>
              <w:t>Atbilst pilnībā.</w:t>
            </w:r>
          </w:p>
        </w:tc>
        <w:tc>
          <w:tcPr>
            <w:tcW w:w="3931" w:type="dxa"/>
          </w:tcPr>
          <w:p w14:paraId="68145A40" w14:textId="2A89BECF" w:rsidR="006616A9" w:rsidRPr="00F54689" w:rsidRDefault="00F54689" w:rsidP="00F54689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F54689">
              <w:rPr>
                <w:b/>
                <w:sz w:val="22"/>
                <w:szCs w:val="22"/>
              </w:rPr>
              <w:t>Netiek noteiktas stingrākas prasības.</w:t>
            </w:r>
          </w:p>
        </w:tc>
      </w:tr>
      <w:tr w:rsidR="006616A9" w14:paraId="56ED0B10" w14:textId="77777777" w:rsidTr="00544C6C">
        <w:trPr>
          <w:trHeight w:val="313"/>
          <w:jc w:val="center"/>
        </w:trPr>
        <w:tc>
          <w:tcPr>
            <w:tcW w:w="2035" w:type="dxa"/>
          </w:tcPr>
          <w:p w14:paraId="31073A5E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6.punkta b) punkts (Direktīvas 2008/98/EK 6.panta 4.punkts)</w:t>
            </w:r>
          </w:p>
        </w:tc>
        <w:tc>
          <w:tcPr>
            <w:tcW w:w="1788" w:type="dxa"/>
          </w:tcPr>
          <w:p w14:paraId="7D56E669" w14:textId="77777777" w:rsidR="006616A9" w:rsidRDefault="006616A9" w:rsidP="006616A9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14:paraId="09D2482D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Netiks pārņemts.</w:t>
            </w:r>
          </w:p>
          <w:p w14:paraId="6327ADE7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14:paraId="044762AB" w14:textId="77777777" w:rsidR="006616A9" w:rsidRPr="00651A51" w:rsidRDefault="006616A9" w:rsidP="003628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Tiks izmantota tiesību normā paredzētā rīcības brīvība dalībvalstīm.</w:t>
            </w:r>
          </w:p>
          <w:p w14:paraId="41A0F53D" w14:textId="77777777" w:rsidR="006616A9" w:rsidRPr="00651A51" w:rsidRDefault="006616A9" w:rsidP="003628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616A9" w14:paraId="3C581BF1" w14:textId="77777777" w:rsidTr="00544C6C">
        <w:trPr>
          <w:trHeight w:val="313"/>
          <w:jc w:val="center"/>
        </w:trPr>
        <w:tc>
          <w:tcPr>
            <w:tcW w:w="2035" w:type="dxa"/>
          </w:tcPr>
          <w:p w14:paraId="5ECE3FD9" w14:textId="77777777" w:rsidR="006616A9" w:rsidRPr="00651A51" w:rsidRDefault="006616A9" w:rsidP="006616A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6.punkta c) punkts (Direktīvas 2008/98/EK 6.panta 5.punkts)</w:t>
            </w:r>
          </w:p>
        </w:tc>
        <w:tc>
          <w:tcPr>
            <w:tcW w:w="1788" w:type="dxa"/>
          </w:tcPr>
          <w:p w14:paraId="29745C46" w14:textId="77777777" w:rsidR="006616A9" w:rsidRDefault="006616A9" w:rsidP="006616A9">
            <w:pPr>
              <w:pStyle w:val="naiskr"/>
              <w:spacing w:before="0" w:after="0"/>
              <w:jc w:val="both"/>
            </w:pPr>
            <w:r>
              <w:t>6.punts</w:t>
            </w:r>
          </w:p>
        </w:tc>
        <w:tc>
          <w:tcPr>
            <w:tcW w:w="1701" w:type="dxa"/>
          </w:tcPr>
          <w:p w14:paraId="7004A73E" w14:textId="77777777" w:rsidR="006616A9" w:rsidRPr="00651A51" w:rsidRDefault="006616A9" w:rsidP="006616A9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51A51">
              <w:rPr>
                <w:sz w:val="22"/>
                <w:szCs w:val="22"/>
              </w:rPr>
              <w:t>ārņemts</w:t>
            </w:r>
            <w:r>
              <w:rPr>
                <w:sz w:val="22"/>
                <w:szCs w:val="22"/>
              </w:rPr>
              <w:t xml:space="preserve"> pilnībā</w:t>
            </w:r>
          </w:p>
        </w:tc>
        <w:tc>
          <w:tcPr>
            <w:tcW w:w="3931" w:type="dxa"/>
          </w:tcPr>
          <w:p w14:paraId="7D90F01A" w14:textId="77777777" w:rsidR="006616A9" w:rsidRPr="00651A51" w:rsidRDefault="006616A9" w:rsidP="00362895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6616A9" w14:paraId="54775556" w14:textId="77777777" w:rsidTr="00544C6C">
        <w:trPr>
          <w:trHeight w:val="313"/>
          <w:jc w:val="center"/>
        </w:trPr>
        <w:tc>
          <w:tcPr>
            <w:tcW w:w="3823" w:type="dxa"/>
            <w:gridSpan w:val="2"/>
          </w:tcPr>
          <w:p w14:paraId="1B34C831" w14:textId="77777777" w:rsidR="006616A9" w:rsidRPr="006C4B9F" w:rsidRDefault="006616A9" w:rsidP="006616A9">
            <w:pPr>
              <w:pStyle w:val="naiskr"/>
              <w:spacing w:before="0" w:after="0"/>
              <w:jc w:val="both"/>
            </w:pPr>
            <w:r w:rsidRPr="006C4B9F">
              <w:t>Kā ir izmantota ES tiesību aktā paredzētā rīcības brīvība dalībvalstij pārņemt vai ieviest noteiktas ES tiesību akta normas.</w:t>
            </w:r>
          </w:p>
          <w:p w14:paraId="52F0B8E5" w14:textId="77777777" w:rsidR="006616A9" w:rsidRDefault="006616A9" w:rsidP="006616A9">
            <w:pPr>
              <w:pStyle w:val="naiskr"/>
              <w:spacing w:before="0" w:after="0"/>
              <w:jc w:val="both"/>
            </w:pPr>
            <w:r w:rsidRPr="006C4B9F">
              <w:t>Kādēļ?</w:t>
            </w:r>
          </w:p>
        </w:tc>
        <w:tc>
          <w:tcPr>
            <w:tcW w:w="5632" w:type="dxa"/>
            <w:gridSpan w:val="2"/>
          </w:tcPr>
          <w:p w14:paraId="0FD0B333" w14:textId="15339549" w:rsidR="006616A9" w:rsidRPr="00544C6C" w:rsidRDefault="006616A9" w:rsidP="001615FE">
            <w:pPr>
              <w:pStyle w:val="naiskr"/>
              <w:spacing w:before="0" w:after="0"/>
              <w:jc w:val="both"/>
            </w:pPr>
            <w:r w:rsidRPr="00544C6C">
              <w:t xml:space="preserve">Direktīvas 2018/851/ES 1. panta 6. punkta </w:t>
            </w:r>
            <w:r w:rsidR="00544C6C">
              <w:t>“b”</w:t>
            </w:r>
            <w:r w:rsidRPr="00544C6C">
              <w:t xml:space="preserve"> </w:t>
            </w:r>
            <w:r w:rsidR="008E290A" w:rsidRPr="00544C6C">
              <w:t>punktā  (Direktīvas 2008/98/EK 6</w:t>
            </w:r>
            <w:r w:rsidRPr="00544C6C">
              <w:t>.</w:t>
            </w:r>
            <w:r w:rsidR="00544C6C">
              <w:t> </w:t>
            </w:r>
            <w:r w:rsidRPr="00544C6C">
              <w:t>panta 4.</w:t>
            </w:r>
            <w:r w:rsidR="00544C6C">
              <w:t> </w:t>
            </w:r>
            <w:r w:rsidRPr="00544C6C">
              <w:t>punkts) ir noteikts, ka, ja atkritumu statusa piemērošanas izbeigšanas kritēriji nav noteikti ne Savienības, ne dalībvalstu līmenī, dalībvalsts var lemt par katru gadījumu atsevišķi vai veikt atbilstīgus pasākumus, lai pārbaudītu, ka konkrēti atkritumi vairs na</w:t>
            </w:r>
            <w:r w:rsidR="00544C6C" w:rsidRPr="00544C6C">
              <w:t>v atkritumi, pamatojoties uz 1. </w:t>
            </w:r>
            <w:r w:rsidRPr="00544C6C">
              <w:t xml:space="preserve">punktā noteiktajiem nosacījumiem un, vajadzības gadījumā, ņemot vērā prasības, kas noteiktas 2. punkta </w:t>
            </w:r>
            <w:r w:rsidR="00544C6C">
              <w:t>“a”</w:t>
            </w:r>
            <w:r w:rsidRPr="00544C6C">
              <w:t xml:space="preserve"> līdz </w:t>
            </w:r>
            <w:r w:rsidR="00544C6C">
              <w:t>“e”</w:t>
            </w:r>
            <w:r w:rsidRPr="00544C6C">
              <w:t xml:space="preserve"> apakšpunktā, un ņemot vērā piesārņotāju robežvērtības, kā arī jebkādu iespējamu negatīvu ietekmi uz vidi un cilvēku vesel</w:t>
            </w:r>
            <w:r w:rsidR="00F54689" w:rsidRPr="00544C6C">
              <w:t xml:space="preserve">ību.” Šī rīcības brīvība nav izmantota, jo, ņemot vērā tiesiskās paļāvības principu, kritēriji atkritumu statusa piemērošanas izbeigšanai būtu jānosaka ES vai Latvijas normatīvajos aktos. </w:t>
            </w:r>
          </w:p>
        </w:tc>
      </w:tr>
      <w:tr w:rsidR="006616A9" w14:paraId="6F197476" w14:textId="77777777" w:rsidTr="00544C6C">
        <w:trPr>
          <w:trHeight w:val="313"/>
          <w:jc w:val="center"/>
        </w:trPr>
        <w:tc>
          <w:tcPr>
            <w:tcW w:w="3823" w:type="dxa"/>
            <w:gridSpan w:val="2"/>
          </w:tcPr>
          <w:p w14:paraId="0111ABB9" w14:textId="77777777" w:rsidR="006616A9" w:rsidRDefault="006616A9" w:rsidP="006616A9">
            <w:pPr>
              <w:pStyle w:val="naiskr"/>
              <w:spacing w:before="0" w:after="0"/>
              <w:jc w:val="both"/>
            </w:pPr>
            <w:r w:rsidRPr="006C4B9F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632" w:type="dxa"/>
            <w:gridSpan w:val="2"/>
          </w:tcPr>
          <w:p w14:paraId="1DF585C4" w14:textId="6E745B8B" w:rsidR="006616A9" w:rsidRDefault="001615FE" w:rsidP="006616A9">
            <w:pPr>
              <w:pStyle w:val="naiskr"/>
              <w:spacing w:before="0" w:after="0"/>
              <w:jc w:val="both"/>
            </w:pPr>
            <w:r>
              <w:t>Noteikumu p</w:t>
            </w:r>
            <w:r w:rsidR="006616A9">
              <w:t>rojekts šo jomu neskar.</w:t>
            </w:r>
          </w:p>
        </w:tc>
      </w:tr>
      <w:tr w:rsidR="006616A9" w14:paraId="29F63992" w14:textId="77777777" w:rsidTr="00544C6C">
        <w:trPr>
          <w:trHeight w:val="313"/>
          <w:jc w:val="center"/>
        </w:trPr>
        <w:tc>
          <w:tcPr>
            <w:tcW w:w="3823" w:type="dxa"/>
            <w:gridSpan w:val="2"/>
          </w:tcPr>
          <w:p w14:paraId="3E95CA6A" w14:textId="77777777" w:rsidR="006616A9" w:rsidRDefault="006616A9" w:rsidP="006616A9">
            <w:pPr>
              <w:pStyle w:val="naiskr"/>
              <w:spacing w:before="0" w:after="0"/>
              <w:jc w:val="both"/>
            </w:pPr>
            <w:r w:rsidRPr="006C4B9F">
              <w:t>Cita informācija</w:t>
            </w:r>
          </w:p>
        </w:tc>
        <w:tc>
          <w:tcPr>
            <w:tcW w:w="5632" w:type="dxa"/>
            <w:gridSpan w:val="2"/>
          </w:tcPr>
          <w:p w14:paraId="13832A30" w14:textId="17C467D8" w:rsidR="006616A9" w:rsidRDefault="006616A9" w:rsidP="006616A9">
            <w:pPr>
              <w:pStyle w:val="naiskr"/>
              <w:spacing w:before="0" w:after="0"/>
              <w:jc w:val="both"/>
            </w:pPr>
            <w:r>
              <w:t xml:space="preserve">Informācija par pārējo </w:t>
            </w:r>
            <w:r w:rsidR="005B06C6">
              <w:t xml:space="preserve">Direktīvas 2018/850/ES un </w:t>
            </w:r>
            <w:r>
              <w:t xml:space="preserve">Direktīvas 2018/851/ES normu transponēšanu ir sniegta likumprojekta “Grozījumi Atkritumu apsaimniekošanas likumā” </w:t>
            </w:r>
            <w:r w:rsidR="00963B4F">
              <w:t>sākotnējās ietekmes novērtējuma ziņojumā (</w:t>
            </w:r>
            <w:r>
              <w:t>anotācijā</w:t>
            </w:r>
            <w:r w:rsidR="00963B4F">
              <w:t>)</w:t>
            </w:r>
            <w:r>
              <w:t xml:space="preserve">. </w:t>
            </w:r>
            <w:r>
              <w:rPr>
                <w:rStyle w:val="FootnoteReference"/>
              </w:rPr>
              <w:footnoteReference w:id="2"/>
            </w:r>
          </w:p>
        </w:tc>
      </w:tr>
    </w:tbl>
    <w:p w14:paraId="660B707A" w14:textId="77777777" w:rsidR="00AD2C14" w:rsidRDefault="00AD2C14" w:rsidP="00AD2C14">
      <w:pPr>
        <w:pStyle w:val="naisf"/>
        <w:spacing w:before="0" w:after="0"/>
        <w:ind w:firstLine="0"/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AD2C14" w14:paraId="20A3B49E" w14:textId="77777777" w:rsidTr="00544C6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B60" w14:textId="77777777" w:rsidR="00AD2C14" w:rsidRDefault="00AD2C14" w:rsidP="00544C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tabula. Ar tiesību akta projektu uzņemtās saistības, kas izriet no starptautiskajiem tiesību aktiem vai starptautiskas institūcijas vai organizācijas dokumentiem</w:t>
            </w:r>
          </w:p>
          <w:p w14:paraId="367AD0A9" w14:textId="77777777" w:rsidR="00AD2C14" w:rsidRDefault="00AD2C14" w:rsidP="00544C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Pasākumi šo saistību izpildei</w:t>
            </w:r>
          </w:p>
        </w:tc>
      </w:tr>
      <w:tr w:rsidR="00AD2C14" w14:paraId="2B3BDB8F" w14:textId="77777777" w:rsidTr="00544C6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E757" w14:textId="3ECC9B06" w:rsidR="00AD2C14" w:rsidRPr="00FF72C6" w:rsidRDefault="001615FE" w:rsidP="00544C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Noteikumu p</w:t>
            </w:r>
            <w:r w:rsidR="00AD2C14" w:rsidRPr="00FF72C6">
              <w:rPr>
                <w:lang w:eastAsia="en-US"/>
              </w:rPr>
              <w:t>rojekts šo jomu neskar.</w:t>
            </w:r>
          </w:p>
        </w:tc>
      </w:tr>
    </w:tbl>
    <w:p w14:paraId="3262C674" w14:textId="77777777" w:rsidR="00AD2C14" w:rsidRPr="00FB41DC" w:rsidRDefault="00AD2C14" w:rsidP="00AD2C14"/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118"/>
        <w:gridCol w:w="5869"/>
      </w:tblGrid>
      <w:tr w:rsidR="00AD2C14" w:rsidRPr="00FB41DC" w14:paraId="28C22750" w14:textId="77777777" w:rsidTr="00544C6C">
        <w:trPr>
          <w:jc w:val="center"/>
        </w:trPr>
        <w:tc>
          <w:tcPr>
            <w:tcW w:w="94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43140" w14:textId="77777777" w:rsidR="00AD2C14" w:rsidRPr="00FB41DC" w:rsidRDefault="00AD2C14" w:rsidP="00544C6C">
            <w:pPr>
              <w:pStyle w:val="naisnod"/>
              <w:spacing w:before="0" w:after="0"/>
              <w:ind w:left="57" w:right="57"/>
            </w:pPr>
            <w:r w:rsidRPr="00FB41DC">
              <w:t>VI.</w:t>
            </w:r>
            <w:r>
              <w:t> </w:t>
            </w:r>
            <w:r w:rsidRPr="00FB41DC">
              <w:t xml:space="preserve">Sabiedrības līdzdalība un </w:t>
            </w:r>
            <w:r>
              <w:t>komunikācijas aktivitātes</w:t>
            </w:r>
          </w:p>
        </w:tc>
      </w:tr>
      <w:tr w:rsidR="00AD2C14" w:rsidRPr="00FB41DC" w14:paraId="2544804D" w14:textId="77777777" w:rsidTr="008B4B9F">
        <w:trPr>
          <w:trHeight w:val="1616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AF158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9892D" w14:textId="77777777" w:rsidR="00AD2C14" w:rsidRPr="00FB41DC" w:rsidRDefault="00AD2C14" w:rsidP="00544C6C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</w:t>
            </w:r>
            <w:r w:rsidRPr="00FB41DC">
              <w:t xml:space="preserve">abiedrības </w:t>
            </w:r>
            <w:r>
              <w:t xml:space="preserve">līdzdalības un komunikācijas aktivitātes saistībā ar projektu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02C69" w14:textId="1B9B3948" w:rsidR="00AD2C14" w:rsidRPr="00FB41DC" w:rsidRDefault="00AD2C14" w:rsidP="00544C6C">
            <w:pPr>
              <w:pStyle w:val="naisf"/>
              <w:spacing w:before="0" w:after="240"/>
              <w:ind w:left="57" w:right="57" w:firstLine="0"/>
            </w:pPr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</w:t>
            </w:r>
            <w:r w:rsidR="00990ABA">
              <w:t>970 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 xml:space="preserve">punktu sabiedrības pārstāvji ir </w:t>
            </w:r>
            <w:r w:rsidRPr="00CD00B5">
              <w:t>aicināti līdzdarboties, rakstiski sniedzot viedokli par noteikumu projektu tā izstrādes stadijā.</w:t>
            </w:r>
          </w:p>
        </w:tc>
      </w:tr>
      <w:tr w:rsidR="00AD2C14" w:rsidRPr="00FB41DC" w14:paraId="300E7D62" w14:textId="77777777" w:rsidTr="00544C6C">
        <w:trPr>
          <w:trHeight w:val="339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AE0BD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C9989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 projekta izstrādē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55659" w14:textId="074254B9" w:rsidR="00AD2C14" w:rsidRPr="00FB41DC" w:rsidRDefault="00AD2C14" w:rsidP="00BE3D30">
            <w:pPr>
              <w:pStyle w:val="naiskr"/>
              <w:spacing w:before="0" w:after="0"/>
              <w:ind w:right="57"/>
              <w:jc w:val="both"/>
            </w:pPr>
            <w:r>
              <w:t xml:space="preserve">Noteikumu projekts un sākotnējās ietekmes novērtējuma ziņojums </w:t>
            </w:r>
            <w:r w:rsidR="00362895">
              <w:t>2019. gada 4.</w:t>
            </w:r>
            <w:r w:rsidR="00544C6C">
              <w:t> </w:t>
            </w:r>
            <w:r w:rsidR="005E38A8" w:rsidRPr="005E38A8">
              <w:t>septembrī</w:t>
            </w:r>
            <w:r w:rsidRPr="005E38A8">
              <w:t xml:space="preserve"> tika publicēts</w:t>
            </w:r>
            <w:r>
              <w:t xml:space="preserve"> VARAM tīmekļvietnē: </w:t>
            </w:r>
            <w:hyperlink r:id="rId8" w:history="1">
              <w:r w:rsidRPr="00EB4802">
                <w:rPr>
                  <w:rStyle w:val="Hyperlink"/>
                </w:rPr>
                <w:t>www.varam.gov.lv</w:t>
              </w:r>
            </w:hyperlink>
            <w:r w:rsidR="003B6497">
              <w:t xml:space="preserve"> un Ministru kabineta</w:t>
            </w:r>
            <w:r w:rsidR="005E38A8">
              <w:t xml:space="preserve"> mājas lapā atbilstoši </w:t>
            </w:r>
            <w:r w:rsidR="005E38A8" w:rsidRPr="00CD00B5">
              <w:t>Ministru kabineta 2009.</w:t>
            </w:r>
            <w:r w:rsidR="005E38A8">
              <w:t> </w:t>
            </w:r>
            <w:r w:rsidR="005E38A8" w:rsidRPr="00CD00B5">
              <w:t>gada 25.</w:t>
            </w:r>
            <w:r w:rsidR="005E38A8">
              <w:t> </w:t>
            </w:r>
            <w:r w:rsidR="005E38A8" w:rsidRPr="00CD00B5">
              <w:t>augusta noteikumu Nr.</w:t>
            </w:r>
            <w:r w:rsidR="005E38A8">
              <w:t> 970 “</w:t>
            </w:r>
            <w:r w:rsidR="005E38A8" w:rsidRPr="00CD00B5">
              <w:t>Sabiedrības līdzdalības kārtība attīstības plānošanas procesā”</w:t>
            </w:r>
            <w:r w:rsidR="005E38A8">
              <w:t xml:space="preserve"> 13. un 14.</w:t>
            </w:r>
            <w:r w:rsidR="001615FE">
              <w:t xml:space="preserve"> </w:t>
            </w:r>
            <w:r w:rsidR="005E38A8">
              <w:t xml:space="preserve">punktam. </w:t>
            </w:r>
          </w:p>
        </w:tc>
      </w:tr>
      <w:tr w:rsidR="00AD2C14" w:rsidRPr="00FB41DC" w14:paraId="677ABC86" w14:textId="77777777" w:rsidTr="00544C6C">
        <w:trPr>
          <w:trHeight w:val="375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CE567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3.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9813A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līdzdalības rezultāti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F5BA0" w14:textId="7B3CE372" w:rsidR="00AD2C14" w:rsidRPr="00FB41DC" w:rsidRDefault="003B6497" w:rsidP="00544C6C">
            <w:pPr>
              <w:pStyle w:val="naiskr"/>
              <w:spacing w:before="0" w:after="0"/>
              <w:ind w:right="57"/>
              <w:jc w:val="both"/>
            </w:pPr>
            <w:r>
              <w:t>Sabiedriskās apspriešanas ietvaros par noteikumu projektu un tā anotāciju netika saņemti sabiedrības viedokļi.</w:t>
            </w:r>
          </w:p>
        </w:tc>
      </w:tr>
      <w:tr w:rsidR="00AD2C14" w:rsidRPr="00FB41DC" w14:paraId="47096721" w14:textId="77777777" w:rsidTr="008B4B9F">
        <w:trPr>
          <w:trHeight w:val="262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F51BF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Pr="00FB41DC">
              <w:rPr>
                <w:bCs/>
              </w:rPr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FE9E5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CEA67" w14:textId="4A63FA30" w:rsidR="00AD2C14" w:rsidRPr="00FB41DC" w:rsidRDefault="00AD2C14" w:rsidP="00544C6C">
            <w:pPr>
              <w:pStyle w:val="naiskr"/>
              <w:spacing w:before="0" w:after="0"/>
              <w:ind w:right="57"/>
              <w:jc w:val="both"/>
            </w:pPr>
            <w:r>
              <w:t>Nav</w:t>
            </w:r>
          </w:p>
        </w:tc>
      </w:tr>
    </w:tbl>
    <w:p w14:paraId="4EC6448A" w14:textId="77777777" w:rsidR="00AD2C14" w:rsidRPr="00FB41DC" w:rsidRDefault="00AD2C14" w:rsidP="00AD2C14"/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5870"/>
      </w:tblGrid>
      <w:tr w:rsidR="00AD2C14" w:rsidRPr="00FB41DC" w14:paraId="6671CF51" w14:textId="77777777" w:rsidTr="00544C6C">
        <w:trPr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03D06" w14:textId="77777777" w:rsidR="00AD2C14" w:rsidRPr="00FB41DC" w:rsidRDefault="00AD2C14" w:rsidP="00544C6C">
            <w:pPr>
              <w:pStyle w:val="naisnod"/>
              <w:spacing w:before="0" w:after="0"/>
              <w:ind w:left="57" w:right="57"/>
            </w:pPr>
            <w:r w:rsidRPr="00FB41DC">
              <w:t>VII.</w:t>
            </w:r>
            <w:r>
              <w:t> </w:t>
            </w:r>
            <w:r w:rsidRPr="00FB41DC">
              <w:t>Tiesību akta projekta izpildes nodrošināšana un tās ietekme uz institūcijām</w:t>
            </w:r>
          </w:p>
        </w:tc>
      </w:tr>
      <w:tr w:rsidR="00AD2C14" w:rsidRPr="00FB41DC" w14:paraId="51B3FF37" w14:textId="77777777" w:rsidTr="00544C6C">
        <w:trPr>
          <w:trHeight w:val="427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B42D9" w14:textId="77777777" w:rsidR="00AD2C14" w:rsidRPr="00FB41DC" w:rsidRDefault="00AD2C14" w:rsidP="00544C6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0524E" w14:textId="77777777" w:rsidR="00AD2C14" w:rsidRPr="00FB41DC" w:rsidRDefault="00AD2C14" w:rsidP="00544C6C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izpildē iesaistītās institūcijas 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23B26" w14:textId="77777777" w:rsidR="00AD2C14" w:rsidRPr="00563D3C" w:rsidRDefault="00AD2C14" w:rsidP="00544C6C">
            <w:pPr>
              <w:pStyle w:val="naisc"/>
              <w:spacing w:before="0" w:after="0"/>
              <w:jc w:val="both"/>
            </w:pPr>
            <w:r>
              <w:t>VARAM</w:t>
            </w:r>
            <w:r w:rsidRPr="00563D3C">
              <w:t>,</w:t>
            </w:r>
            <w:r>
              <w:t xml:space="preserve"> Valsts vides dienests</w:t>
            </w:r>
            <w:r w:rsidRPr="00563D3C">
              <w:t>.</w:t>
            </w:r>
          </w:p>
        </w:tc>
      </w:tr>
      <w:tr w:rsidR="00AD2C14" w:rsidRPr="00FB41DC" w14:paraId="3047E944" w14:textId="77777777" w:rsidTr="00544C6C">
        <w:trPr>
          <w:trHeight w:val="4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2B5BB" w14:textId="77777777" w:rsidR="00AD2C14" w:rsidRPr="00FB41DC" w:rsidRDefault="00AD2C14" w:rsidP="00544C6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264C1" w14:textId="77777777" w:rsidR="00AD2C14" w:rsidRPr="00FB41DC" w:rsidRDefault="00AD2C14" w:rsidP="00544C6C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izpildes ietekme uz pārvaldes funkcijām </w:t>
            </w:r>
            <w:r>
              <w:t xml:space="preserve">un </w:t>
            </w:r>
            <w:r w:rsidRPr="00FB41DC">
              <w:t>institucionālo struktūru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2532" w14:textId="77777777" w:rsidR="00AD2C14" w:rsidRDefault="00AD2C14" w:rsidP="00544C6C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projekts neietekmē iesaistīto institūciju funkcijas un uzdevumus.</w:t>
            </w:r>
          </w:p>
          <w:p w14:paraId="718FAF60" w14:textId="77777777" w:rsidR="00AD2C14" w:rsidRPr="00F862E3" w:rsidRDefault="00AD2C14" w:rsidP="00544C6C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2F2520">
              <w:rPr>
                <w:b w:val="0"/>
                <w:bCs w:val="0"/>
              </w:rPr>
              <w:t>Jaunas institūcijas nav jāveido. Esošās institūcijas nav jāreorganizē.</w:t>
            </w:r>
          </w:p>
        </w:tc>
      </w:tr>
      <w:tr w:rsidR="00AD2C14" w:rsidRPr="00FB41DC" w14:paraId="3E2664EE" w14:textId="77777777" w:rsidTr="008B4B9F">
        <w:trPr>
          <w:trHeight w:val="1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CA50D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</w:pPr>
            <w:r>
              <w:t>3</w:t>
            </w:r>
            <w:r w:rsidRPr="00FB41DC"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4CB46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71752" w14:textId="77777777" w:rsidR="00AD2C14" w:rsidRPr="00FB41DC" w:rsidRDefault="00AD2C14" w:rsidP="00544C6C">
            <w:pPr>
              <w:pStyle w:val="naiskr"/>
              <w:spacing w:before="0" w:after="0"/>
              <w:ind w:left="57" w:right="57"/>
            </w:pPr>
            <w:r>
              <w:t>Nav</w:t>
            </w:r>
          </w:p>
        </w:tc>
      </w:tr>
    </w:tbl>
    <w:p w14:paraId="61FAC484" w14:textId="77777777" w:rsidR="00AD2C14" w:rsidRDefault="00AD2C14" w:rsidP="00AD2C14">
      <w:pPr>
        <w:pStyle w:val="naisf"/>
        <w:spacing w:before="0" w:after="0"/>
        <w:ind w:firstLine="374"/>
        <w:rPr>
          <w:b/>
        </w:rPr>
      </w:pPr>
    </w:p>
    <w:p w14:paraId="6C51F5C9" w14:textId="77777777" w:rsidR="00AD2C14" w:rsidRPr="00ED433D" w:rsidRDefault="00AD2C14" w:rsidP="00AD2C14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D433D">
        <w:rPr>
          <w:rFonts w:ascii="Times New Roman" w:hAnsi="Times New Roman"/>
          <w:sz w:val="24"/>
          <w:szCs w:val="24"/>
        </w:rPr>
        <w:t xml:space="preserve">Vides aizsardzības un </w:t>
      </w:r>
    </w:p>
    <w:p w14:paraId="1F4F0733" w14:textId="3FAAC333" w:rsidR="00AD2C14" w:rsidRDefault="00AD2C14" w:rsidP="00AD2C14">
      <w:r>
        <w:t>reģionālā</w:t>
      </w:r>
      <w:r w:rsidR="00544C6C">
        <w:t>s attīstības ministrs</w:t>
      </w:r>
      <w:r w:rsidR="00544C6C">
        <w:tab/>
      </w:r>
      <w:r w:rsidR="00544C6C">
        <w:tab/>
      </w:r>
      <w:r w:rsidR="00544C6C">
        <w:tab/>
      </w:r>
      <w:r w:rsidR="00544C6C">
        <w:tab/>
      </w:r>
      <w:r w:rsidR="00544C6C">
        <w:tab/>
        <w:t>Juris </w:t>
      </w:r>
      <w:r>
        <w:t>Pūce</w:t>
      </w:r>
    </w:p>
    <w:p w14:paraId="35D3E7A6" w14:textId="77777777" w:rsidR="00AD2C14" w:rsidRDefault="00AD2C14" w:rsidP="00AD2C14"/>
    <w:p w14:paraId="1D6AA705" w14:textId="77777777" w:rsidR="00AD2C14" w:rsidRPr="00ED433D" w:rsidRDefault="00AD2C14" w:rsidP="00AD2C14"/>
    <w:p w14:paraId="1F962AE2" w14:textId="77777777" w:rsidR="00AD2C14" w:rsidRDefault="00AD2C14" w:rsidP="00AD2C14">
      <w:pPr>
        <w:rPr>
          <w:sz w:val="20"/>
          <w:szCs w:val="20"/>
        </w:rPr>
      </w:pPr>
      <w:r w:rsidRPr="00055928">
        <w:rPr>
          <w:sz w:val="20"/>
          <w:szCs w:val="20"/>
        </w:rPr>
        <w:t>Doniņa</w:t>
      </w:r>
      <w:r>
        <w:rPr>
          <w:sz w:val="20"/>
          <w:szCs w:val="20"/>
        </w:rPr>
        <w:t xml:space="preserve"> </w:t>
      </w:r>
      <w:r w:rsidRPr="00055928">
        <w:rPr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055928">
          <w:rPr>
            <w:sz w:val="20"/>
            <w:szCs w:val="20"/>
          </w:rPr>
          <w:t>7026515</w:t>
        </w:r>
      </w:smartTag>
    </w:p>
    <w:p w14:paraId="20808CEC" w14:textId="0A420155" w:rsidR="0059243D" w:rsidRPr="00544C6C" w:rsidRDefault="00544C6C">
      <w:pPr>
        <w:rPr>
          <w:sz w:val="20"/>
          <w:szCs w:val="20"/>
        </w:rPr>
      </w:pPr>
      <w:hyperlink r:id="rId9" w:history="1">
        <w:r w:rsidRPr="008B358E">
          <w:rPr>
            <w:rStyle w:val="Hyperlink"/>
            <w:sz w:val="20"/>
            <w:szCs w:val="20"/>
          </w:rPr>
          <w:t>Ilze.Donina@varam.gov.lv</w:t>
        </w:r>
      </w:hyperlink>
    </w:p>
    <w:sectPr w:rsidR="0059243D" w:rsidRPr="00544C6C" w:rsidSect="00544C6C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B4F6" w14:textId="77777777" w:rsidR="00544C6C" w:rsidRDefault="00544C6C" w:rsidP="00AD2C14">
      <w:r>
        <w:separator/>
      </w:r>
    </w:p>
  </w:endnote>
  <w:endnote w:type="continuationSeparator" w:id="0">
    <w:p w14:paraId="2C39C7D7" w14:textId="77777777" w:rsidR="00544C6C" w:rsidRDefault="00544C6C" w:rsidP="00AD2C14">
      <w:r>
        <w:continuationSeparator/>
      </w:r>
    </w:p>
  </w:endnote>
  <w:endnote w:type="continuationNotice" w:id="1">
    <w:p w14:paraId="490026DC" w14:textId="77777777" w:rsidR="00B56955" w:rsidRDefault="00B56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AB1C" w14:textId="40898DD4" w:rsidR="00544C6C" w:rsidRPr="00627155" w:rsidRDefault="00544C6C" w:rsidP="00627155">
    <w:pPr>
      <w:jc w:val="both"/>
    </w:pPr>
    <w:r w:rsidRPr="00A81BC9">
      <w:rPr>
        <w:sz w:val="20"/>
        <w:szCs w:val="20"/>
      </w:rPr>
      <w:t>VARAMAnot_</w:t>
    </w:r>
    <w:r>
      <w:rPr>
        <w:sz w:val="20"/>
        <w:szCs w:val="20"/>
      </w:rPr>
      <w:t>12121</w:t>
    </w:r>
    <w:r w:rsidRPr="00A81BC9">
      <w:rPr>
        <w:sz w:val="20"/>
        <w:szCs w:val="20"/>
      </w:rPr>
      <w:t>9</w:t>
    </w:r>
    <w:r w:rsidRPr="000B0353">
      <w:rPr>
        <w:sz w:val="20"/>
        <w:szCs w:val="20"/>
      </w:rPr>
      <w:t>_groz</w:t>
    </w:r>
    <w:r w:rsidRPr="00362895">
      <w:rPr>
        <w:sz w:val="20"/>
        <w:szCs w:val="20"/>
      </w:rPr>
      <w:t>302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D302" w14:textId="04F8895B" w:rsidR="00544C6C" w:rsidRPr="00627155" w:rsidRDefault="00544C6C" w:rsidP="00627155">
    <w:pPr>
      <w:jc w:val="both"/>
    </w:pPr>
    <w:r>
      <w:rPr>
        <w:sz w:val="20"/>
        <w:szCs w:val="20"/>
      </w:rPr>
      <w:t>VARAMAnot_121219_groz302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6C91" w14:textId="77777777" w:rsidR="00544C6C" w:rsidRDefault="00544C6C" w:rsidP="00AD2C14">
      <w:r>
        <w:separator/>
      </w:r>
    </w:p>
  </w:footnote>
  <w:footnote w:type="continuationSeparator" w:id="0">
    <w:p w14:paraId="1624FB04" w14:textId="77777777" w:rsidR="00544C6C" w:rsidRDefault="00544C6C" w:rsidP="00AD2C14">
      <w:r>
        <w:continuationSeparator/>
      </w:r>
    </w:p>
  </w:footnote>
  <w:footnote w:type="continuationNotice" w:id="1">
    <w:p w14:paraId="5460C670" w14:textId="77777777" w:rsidR="00B56955" w:rsidRDefault="00B56955"/>
  </w:footnote>
  <w:footnote w:id="2">
    <w:p w14:paraId="4D258435" w14:textId="577F21ED" w:rsidR="00544C6C" w:rsidRDefault="00544C6C" w:rsidP="00AD2C14">
      <w:pPr>
        <w:pStyle w:val="FootnoteText"/>
      </w:pPr>
      <w:r>
        <w:rPr>
          <w:rStyle w:val="FootnoteReference"/>
        </w:rPr>
        <w:footnoteRef/>
      </w:r>
      <w:r>
        <w:t xml:space="preserve"> VARAM tīmekļvietnes sadaļa “Sabiedrības līdzdalība: </w:t>
      </w:r>
      <w:hyperlink r:id="rId1" w:history="1">
        <w:r w:rsidRPr="00243718">
          <w:rPr>
            <w:rStyle w:val="Hyperlink"/>
          </w:rPr>
          <w:t>http://www.varam.gov.lv/lat/likumdosana/normativo_aktu_projekti/normativo_aktu_projekti_vides_aizsardzibas_joma/?doc=27666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09B8" w14:textId="77777777" w:rsidR="00544C6C" w:rsidRDefault="00544C6C">
    <w:pPr>
      <w:pStyle w:val="Header"/>
    </w:pPr>
    <w:r w:rsidRPr="00013525">
      <w:rPr>
        <w:rStyle w:val="PageNumber"/>
      </w:rPr>
      <w:tab/>
      <w:t xml:space="preserve"> </w:t>
    </w:r>
    <w:r w:rsidRPr="00013525">
      <w:rPr>
        <w:rStyle w:val="PageNumber"/>
      </w:rPr>
      <w:fldChar w:fldCharType="begin"/>
    </w:r>
    <w:r w:rsidRPr="00013525">
      <w:rPr>
        <w:rStyle w:val="PageNumber"/>
      </w:rPr>
      <w:instrText xml:space="preserve"> PAGE </w:instrText>
    </w:r>
    <w:r w:rsidRPr="00013525">
      <w:rPr>
        <w:rStyle w:val="PageNumber"/>
      </w:rPr>
      <w:fldChar w:fldCharType="separate"/>
    </w:r>
    <w:r w:rsidR="007701BE">
      <w:rPr>
        <w:rStyle w:val="PageNumber"/>
        <w:noProof/>
      </w:rPr>
      <w:t>6</w:t>
    </w:r>
    <w:r w:rsidRPr="00013525"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06"/>
    <w:multiLevelType w:val="hybridMultilevel"/>
    <w:tmpl w:val="C7B850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2F28"/>
    <w:multiLevelType w:val="hybridMultilevel"/>
    <w:tmpl w:val="77C677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0E6C"/>
    <w:multiLevelType w:val="hybridMultilevel"/>
    <w:tmpl w:val="314C9062"/>
    <w:lvl w:ilvl="0" w:tplc="D278D32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A0312A5"/>
    <w:multiLevelType w:val="hybridMultilevel"/>
    <w:tmpl w:val="0F0CA9F0"/>
    <w:lvl w:ilvl="0" w:tplc="07664D7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14"/>
    <w:rsid w:val="000B0353"/>
    <w:rsid w:val="00157E85"/>
    <w:rsid w:val="001615FE"/>
    <w:rsid w:val="001A7E2C"/>
    <w:rsid w:val="001F6D50"/>
    <w:rsid w:val="00202AAA"/>
    <w:rsid w:val="00234856"/>
    <w:rsid w:val="002664A6"/>
    <w:rsid w:val="00293C82"/>
    <w:rsid w:val="002E6F56"/>
    <w:rsid w:val="00332043"/>
    <w:rsid w:val="00362895"/>
    <w:rsid w:val="00364C0C"/>
    <w:rsid w:val="003A6C8B"/>
    <w:rsid w:val="003B0794"/>
    <w:rsid w:val="003B6497"/>
    <w:rsid w:val="003C6706"/>
    <w:rsid w:val="00425B55"/>
    <w:rsid w:val="00463521"/>
    <w:rsid w:val="004927D2"/>
    <w:rsid w:val="004B0446"/>
    <w:rsid w:val="004B76E8"/>
    <w:rsid w:val="004C2F5B"/>
    <w:rsid w:val="00544C6C"/>
    <w:rsid w:val="00591482"/>
    <w:rsid w:val="0059243D"/>
    <w:rsid w:val="005B06C6"/>
    <w:rsid w:val="005C5F73"/>
    <w:rsid w:val="005E38A8"/>
    <w:rsid w:val="006123D6"/>
    <w:rsid w:val="00627155"/>
    <w:rsid w:val="00642AB1"/>
    <w:rsid w:val="006616A9"/>
    <w:rsid w:val="00666246"/>
    <w:rsid w:val="007550AE"/>
    <w:rsid w:val="007676F8"/>
    <w:rsid w:val="007701BE"/>
    <w:rsid w:val="007C0D58"/>
    <w:rsid w:val="007D1AFA"/>
    <w:rsid w:val="0083201D"/>
    <w:rsid w:val="008646D4"/>
    <w:rsid w:val="00865F1A"/>
    <w:rsid w:val="0089218C"/>
    <w:rsid w:val="008B4B9F"/>
    <w:rsid w:val="008B5D25"/>
    <w:rsid w:val="008E290A"/>
    <w:rsid w:val="00903AB4"/>
    <w:rsid w:val="00941C8A"/>
    <w:rsid w:val="00942483"/>
    <w:rsid w:val="00942777"/>
    <w:rsid w:val="00950F79"/>
    <w:rsid w:val="00963B4F"/>
    <w:rsid w:val="00966E64"/>
    <w:rsid w:val="00990ABA"/>
    <w:rsid w:val="009C57D9"/>
    <w:rsid w:val="009D56E5"/>
    <w:rsid w:val="009F45F7"/>
    <w:rsid w:val="009F592F"/>
    <w:rsid w:val="00A40B2C"/>
    <w:rsid w:val="00A5602E"/>
    <w:rsid w:val="00A66E84"/>
    <w:rsid w:val="00A81BC9"/>
    <w:rsid w:val="00AD2C14"/>
    <w:rsid w:val="00B3397E"/>
    <w:rsid w:val="00B45B8F"/>
    <w:rsid w:val="00B56955"/>
    <w:rsid w:val="00BE3D30"/>
    <w:rsid w:val="00C826E1"/>
    <w:rsid w:val="00C852E3"/>
    <w:rsid w:val="00D05BB4"/>
    <w:rsid w:val="00D93D7D"/>
    <w:rsid w:val="00DD3B9D"/>
    <w:rsid w:val="00E210D0"/>
    <w:rsid w:val="00E71963"/>
    <w:rsid w:val="00E92A7E"/>
    <w:rsid w:val="00F00E9F"/>
    <w:rsid w:val="00F27E62"/>
    <w:rsid w:val="00F32284"/>
    <w:rsid w:val="00F54689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2FF2027"/>
  <w15:chartTrackingRefBased/>
  <w15:docId w15:val="{99475491-0181-46B7-AE95-53A4F714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2C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D2C14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AD2C14"/>
  </w:style>
  <w:style w:type="character" w:styleId="Hyperlink">
    <w:name w:val="Hyperlink"/>
    <w:rsid w:val="00AD2C14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AD2C1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D2C14"/>
    <w:pPr>
      <w:spacing w:before="75" w:after="75"/>
    </w:pPr>
  </w:style>
  <w:style w:type="paragraph" w:styleId="Title">
    <w:name w:val="Title"/>
    <w:basedOn w:val="Normal"/>
    <w:link w:val="TitleChar"/>
    <w:qFormat/>
    <w:rsid w:val="00AD2C1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D2C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c">
    <w:name w:val="naisc"/>
    <w:basedOn w:val="Normal"/>
    <w:rsid w:val="00AD2C14"/>
    <w:pPr>
      <w:spacing w:before="75" w:after="75"/>
      <w:jc w:val="center"/>
    </w:pPr>
  </w:style>
  <w:style w:type="character" w:styleId="Strong">
    <w:name w:val="Strong"/>
    <w:uiPriority w:val="22"/>
    <w:qFormat/>
    <w:rsid w:val="00AD2C14"/>
    <w:rPr>
      <w:b/>
      <w:bCs/>
    </w:rPr>
  </w:style>
  <w:style w:type="paragraph" w:customStyle="1" w:styleId="tv2161">
    <w:name w:val="tv2161"/>
    <w:basedOn w:val="Normal"/>
    <w:rsid w:val="00AD2C14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customStyle="1" w:styleId="tv2131">
    <w:name w:val="tv2131"/>
    <w:basedOn w:val="Normal"/>
    <w:rsid w:val="00AD2C14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D2C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2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C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D2C14"/>
    <w:rPr>
      <w:vertAlign w:val="superscript"/>
    </w:rPr>
  </w:style>
  <w:style w:type="paragraph" w:styleId="ListParagraph">
    <w:name w:val="List Paragraph"/>
    <w:basedOn w:val="Normal"/>
    <w:qFormat/>
    <w:rsid w:val="00AD2C14"/>
    <w:pPr>
      <w:ind w:left="720"/>
      <w:contextualSpacing/>
    </w:pPr>
  </w:style>
  <w:style w:type="paragraph" w:customStyle="1" w:styleId="tv213">
    <w:name w:val="tv213"/>
    <w:basedOn w:val="Normal"/>
    <w:rsid w:val="00AD2C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21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35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52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C5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F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F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ormal1">
    <w:name w:val="Normal1"/>
    <w:basedOn w:val="Normal"/>
    <w:rsid w:val="002664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Donina@vara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am.gov.lv/lat/likumdosana/normativo_aktu_projekti/normativo_aktu_projekti_vides_aizsardzibas_joma/?doc=27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C06D-3864-4335-A753-BF820088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2011. gada 19. aprīļa noteikumos Nr. 302 “Noteikumi par atkritumu klasifikatoru un īpašībām, kuras padara atkritumus bīstamus”” sākotnējās ietekmes novērtējuma ziņojums (anotācija)</vt:lpstr>
    </vt:vector>
  </TitlesOfParts>
  <Company>VARAM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2011. gada 19. aprīļa noteikumos Nr. 302 “Noteikumi par atkritumu klasifikatoru un īpašībām, kuras padara atkritumus bīstamus”” sākotnējās ietekmes novērtējuma ziņojums (anotācija)</dc:title>
  <dc:subject>sākotnējās ietekmes novērtējuma ziņojums (anotācija)</dc:subject>
  <dc:creator>Ilze Doniņa</dc:creator>
  <cp:keywords/>
  <dc:description>67026515, ilze.donina@varam.gov.lv</dc:description>
  <cp:lastModifiedBy>Marta Ošleja</cp:lastModifiedBy>
  <cp:revision>4</cp:revision>
  <dcterms:created xsi:type="dcterms:W3CDTF">2019-12-18T08:46:00Z</dcterms:created>
  <dcterms:modified xsi:type="dcterms:W3CDTF">2019-12-23T10:47:00Z</dcterms:modified>
</cp:coreProperties>
</file>