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40572" w14:textId="77777777" w:rsidR="000D02B5" w:rsidRPr="00950C39" w:rsidRDefault="003B410F" w:rsidP="00F13713">
      <w:pPr>
        <w:pStyle w:val="naislab"/>
        <w:spacing w:before="0" w:after="120"/>
        <w:jc w:val="center"/>
        <w:outlineLvl w:val="0"/>
        <w:rPr>
          <w:b/>
          <w:sz w:val="28"/>
          <w:szCs w:val="28"/>
        </w:rPr>
      </w:pPr>
      <w:r w:rsidRPr="00950C39">
        <w:rPr>
          <w:b/>
          <w:sz w:val="28"/>
          <w:szCs w:val="28"/>
        </w:rPr>
        <w:t xml:space="preserve">Likumprojekta </w:t>
      </w:r>
      <w:r w:rsidR="00FD45F2" w:rsidRPr="00950C39">
        <w:rPr>
          <w:b/>
          <w:sz w:val="28"/>
          <w:szCs w:val="28"/>
        </w:rPr>
        <w:t>“</w:t>
      </w:r>
      <w:r w:rsidR="00F33395" w:rsidRPr="00950C39">
        <w:rPr>
          <w:b/>
          <w:sz w:val="28"/>
          <w:szCs w:val="28"/>
        </w:rPr>
        <w:t>Grozījum</w:t>
      </w:r>
      <w:r w:rsidR="00680BD7" w:rsidRPr="00950C39">
        <w:rPr>
          <w:b/>
          <w:sz w:val="28"/>
          <w:szCs w:val="28"/>
        </w:rPr>
        <w:t>i</w:t>
      </w:r>
      <w:r w:rsidR="00F33395" w:rsidRPr="00950C39">
        <w:rPr>
          <w:b/>
          <w:sz w:val="28"/>
          <w:szCs w:val="28"/>
        </w:rPr>
        <w:t xml:space="preserve"> </w:t>
      </w:r>
      <w:r w:rsidR="0098274D" w:rsidRPr="00950C39">
        <w:rPr>
          <w:b/>
          <w:sz w:val="28"/>
          <w:szCs w:val="28"/>
        </w:rPr>
        <w:t xml:space="preserve">likumā </w:t>
      </w:r>
      <w:r w:rsidR="00C14D07" w:rsidRPr="00950C39">
        <w:rPr>
          <w:b/>
          <w:bCs/>
          <w:sz w:val="28"/>
          <w:szCs w:val="28"/>
        </w:rPr>
        <w:t>“</w:t>
      </w:r>
      <w:r w:rsidR="0098274D" w:rsidRPr="00950C39">
        <w:rPr>
          <w:b/>
          <w:sz w:val="28"/>
          <w:szCs w:val="28"/>
        </w:rPr>
        <w:t>Par radiācijas drošību un kodoldrošību””</w:t>
      </w:r>
      <w:r w:rsidR="000D02B5" w:rsidRPr="00950C39">
        <w:rPr>
          <w:b/>
          <w:sz w:val="28"/>
          <w:szCs w:val="28"/>
        </w:rPr>
        <w:t xml:space="preserve"> sākotnējās ietekmes novērtējuma ziņojums (anotācija)</w:t>
      </w:r>
    </w:p>
    <w:p w14:paraId="2BD1DCF4" w14:textId="77777777" w:rsidR="002E4345" w:rsidRPr="00950C39" w:rsidRDefault="002E4345" w:rsidP="00F13713">
      <w:pPr>
        <w:pStyle w:val="naislab"/>
        <w:spacing w:before="0" w:after="120"/>
        <w:jc w:val="center"/>
        <w:outlineLvl w:val="0"/>
        <w:rPr>
          <w:b/>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371"/>
      </w:tblGrid>
      <w:tr w:rsidR="0082486E" w:rsidRPr="00950C39" w14:paraId="494BE908" w14:textId="77777777" w:rsidTr="00E23CE7">
        <w:tc>
          <w:tcPr>
            <w:tcW w:w="9640" w:type="dxa"/>
            <w:gridSpan w:val="2"/>
            <w:shd w:val="clear" w:color="auto" w:fill="auto"/>
          </w:tcPr>
          <w:p w14:paraId="2D163DC1" w14:textId="77777777" w:rsidR="0082486E" w:rsidRPr="00950C39" w:rsidRDefault="0082486E" w:rsidP="00E23CE7">
            <w:pPr>
              <w:jc w:val="center"/>
              <w:rPr>
                <w:b/>
                <w:bCs/>
                <w:sz w:val="28"/>
                <w:szCs w:val="28"/>
              </w:rPr>
            </w:pPr>
            <w:r w:rsidRPr="00950C39">
              <w:rPr>
                <w:b/>
                <w:bCs/>
                <w:iCs/>
                <w:sz w:val="28"/>
                <w:szCs w:val="28"/>
              </w:rPr>
              <w:t>Tiesību akta projekta anotācijas kopsavilkums</w:t>
            </w:r>
          </w:p>
        </w:tc>
      </w:tr>
      <w:tr w:rsidR="00950C39" w:rsidRPr="00950C39" w14:paraId="31542836" w14:textId="77777777" w:rsidTr="00E23CE7">
        <w:tc>
          <w:tcPr>
            <w:tcW w:w="2269" w:type="dxa"/>
            <w:shd w:val="clear" w:color="auto" w:fill="auto"/>
          </w:tcPr>
          <w:p w14:paraId="0037C289" w14:textId="77777777" w:rsidR="0082486E" w:rsidRPr="00950C39" w:rsidRDefault="0082486E" w:rsidP="00E23CE7">
            <w:pPr>
              <w:rPr>
                <w:bCs/>
                <w:sz w:val="28"/>
                <w:szCs w:val="28"/>
              </w:rPr>
            </w:pPr>
            <w:r w:rsidRPr="00950C39">
              <w:rPr>
                <w:iCs/>
                <w:sz w:val="28"/>
                <w:szCs w:val="28"/>
              </w:rPr>
              <w:t xml:space="preserve">Mērķis, risinājums un projekta spēkā stāšanās laiks </w:t>
            </w:r>
            <w:r w:rsidRPr="00950C39">
              <w:rPr>
                <w:sz w:val="28"/>
                <w:szCs w:val="28"/>
              </w:rPr>
              <w:t>(500 zīmes bez atstarpēm)</w:t>
            </w:r>
          </w:p>
        </w:tc>
        <w:tc>
          <w:tcPr>
            <w:tcW w:w="7371" w:type="dxa"/>
            <w:shd w:val="clear" w:color="auto" w:fill="auto"/>
          </w:tcPr>
          <w:p w14:paraId="762EA116" w14:textId="0E7A4C6F" w:rsidR="00E95C6C" w:rsidRDefault="0082486E" w:rsidP="00FD653A">
            <w:pPr>
              <w:spacing w:after="240"/>
              <w:jc w:val="both"/>
              <w:rPr>
                <w:iCs/>
                <w:sz w:val="28"/>
                <w:szCs w:val="28"/>
              </w:rPr>
            </w:pPr>
            <w:r w:rsidRPr="00950C39">
              <w:rPr>
                <w:bCs/>
                <w:sz w:val="28"/>
                <w:szCs w:val="28"/>
              </w:rPr>
              <w:t>Ar likumprojektu “Grozījumi likumā “Par radiācijas dro</w:t>
            </w:r>
            <w:r w:rsidR="00387DD9" w:rsidRPr="00950C39">
              <w:rPr>
                <w:bCs/>
                <w:sz w:val="28"/>
                <w:szCs w:val="28"/>
              </w:rPr>
              <w:t>šību un kodoldrošību”” (turpmāk – </w:t>
            </w:r>
            <w:r w:rsidR="00E95C6C">
              <w:rPr>
                <w:bCs/>
                <w:sz w:val="28"/>
                <w:szCs w:val="28"/>
              </w:rPr>
              <w:t>L</w:t>
            </w:r>
            <w:r w:rsidRPr="00950C39">
              <w:rPr>
                <w:bCs/>
                <w:sz w:val="28"/>
                <w:szCs w:val="28"/>
              </w:rPr>
              <w:t>ikumprojekts) tiek pārņemtas Latvijas Administratī</w:t>
            </w:r>
            <w:r w:rsidR="00387DD9" w:rsidRPr="00950C39">
              <w:rPr>
                <w:bCs/>
                <w:sz w:val="28"/>
                <w:szCs w:val="28"/>
              </w:rPr>
              <w:t>v</w:t>
            </w:r>
            <w:r w:rsidR="00BB127F">
              <w:rPr>
                <w:bCs/>
                <w:sz w:val="28"/>
                <w:szCs w:val="28"/>
              </w:rPr>
              <w:t>o</w:t>
            </w:r>
            <w:r w:rsidR="00387DD9" w:rsidRPr="00950C39">
              <w:rPr>
                <w:bCs/>
                <w:sz w:val="28"/>
                <w:szCs w:val="28"/>
              </w:rPr>
              <w:t xml:space="preserve"> pārkāpumu kodeksā (turpmāk </w:t>
            </w:r>
            <w:r w:rsidR="007F26A2" w:rsidRPr="00950C39">
              <w:rPr>
                <w:bCs/>
                <w:sz w:val="28"/>
                <w:szCs w:val="28"/>
              </w:rPr>
              <w:t>–</w:t>
            </w:r>
            <w:r w:rsidR="00BB127F">
              <w:rPr>
                <w:bCs/>
                <w:sz w:val="28"/>
                <w:szCs w:val="28"/>
              </w:rPr>
              <w:t xml:space="preserve"> </w:t>
            </w:r>
            <w:r w:rsidRPr="00950C39">
              <w:rPr>
                <w:bCs/>
                <w:sz w:val="28"/>
                <w:szCs w:val="28"/>
              </w:rPr>
              <w:t xml:space="preserve">LAPK) esošās tiesību normas </w:t>
            </w:r>
            <w:r w:rsidR="00B26DFD" w:rsidRPr="00950C39">
              <w:rPr>
                <w:bCs/>
                <w:sz w:val="28"/>
                <w:szCs w:val="28"/>
              </w:rPr>
              <w:t>radiācijas drošības un kodoldrošības</w:t>
            </w:r>
            <w:r w:rsidRPr="00950C39">
              <w:rPr>
                <w:bCs/>
                <w:sz w:val="28"/>
                <w:szCs w:val="28"/>
              </w:rPr>
              <w:t xml:space="preserve"> jomā</w:t>
            </w:r>
            <w:r w:rsidR="00B26DFD" w:rsidRPr="00950C39">
              <w:rPr>
                <w:bCs/>
                <w:sz w:val="28"/>
                <w:szCs w:val="28"/>
              </w:rPr>
              <w:t>.</w:t>
            </w:r>
            <w:r w:rsidR="00F7097B" w:rsidRPr="00950C39">
              <w:rPr>
                <w:bCs/>
                <w:sz w:val="28"/>
                <w:szCs w:val="28"/>
              </w:rPr>
              <w:t xml:space="preserve"> </w:t>
            </w:r>
            <w:r w:rsidR="00F7097B" w:rsidRPr="00950C39">
              <w:rPr>
                <w:iCs/>
                <w:sz w:val="28"/>
                <w:szCs w:val="28"/>
              </w:rPr>
              <w:t>Kompetence administratīvo pārkāpumu piemērošanai tiek noteikta Valsts vides dienestam</w:t>
            </w:r>
            <w:r w:rsidR="00635B06">
              <w:rPr>
                <w:iCs/>
                <w:sz w:val="28"/>
                <w:szCs w:val="28"/>
              </w:rPr>
              <w:t>,</w:t>
            </w:r>
            <w:r w:rsidR="00FE78D4" w:rsidRPr="00950C39">
              <w:rPr>
                <w:iCs/>
                <w:sz w:val="28"/>
                <w:szCs w:val="28"/>
              </w:rPr>
              <w:t xml:space="preserve"> Patērētāju tiesību aizsardzības centram</w:t>
            </w:r>
            <w:r w:rsidR="009A7611" w:rsidRPr="00950C39">
              <w:rPr>
                <w:iCs/>
                <w:sz w:val="28"/>
                <w:szCs w:val="28"/>
              </w:rPr>
              <w:t xml:space="preserve">, Pārtikas </w:t>
            </w:r>
            <w:r w:rsidR="0004338B">
              <w:rPr>
                <w:iCs/>
                <w:sz w:val="28"/>
                <w:szCs w:val="28"/>
              </w:rPr>
              <w:t xml:space="preserve">un </w:t>
            </w:r>
            <w:r w:rsidR="0022354B" w:rsidRPr="00950C39">
              <w:rPr>
                <w:iCs/>
                <w:sz w:val="28"/>
                <w:szCs w:val="28"/>
              </w:rPr>
              <w:t>veterināraja</w:t>
            </w:r>
            <w:r w:rsidR="009A7611" w:rsidRPr="00950C39">
              <w:rPr>
                <w:iCs/>
                <w:sz w:val="28"/>
                <w:szCs w:val="28"/>
              </w:rPr>
              <w:t>m dienestam, Ves</w:t>
            </w:r>
            <w:r w:rsidR="00C24D32" w:rsidRPr="00950C39">
              <w:rPr>
                <w:iCs/>
                <w:sz w:val="28"/>
                <w:szCs w:val="28"/>
              </w:rPr>
              <w:t>elības</w:t>
            </w:r>
            <w:r w:rsidR="00100BBC" w:rsidRPr="00950C39">
              <w:rPr>
                <w:iCs/>
                <w:sz w:val="28"/>
                <w:szCs w:val="28"/>
              </w:rPr>
              <w:t xml:space="preserve"> inspekcijai</w:t>
            </w:r>
            <w:r w:rsidR="00E33368">
              <w:rPr>
                <w:iCs/>
                <w:sz w:val="28"/>
                <w:szCs w:val="28"/>
              </w:rPr>
              <w:t xml:space="preserve">, </w:t>
            </w:r>
            <w:r w:rsidR="00C24D32" w:rsidRPr="00950C39">
              <w:rPr>
                <w:iCs/>
                <w:sz w:val="28"/>
                <w:szCs w:val="28"/>
              </w:rPr>
              <w:t>Valsts ieņēmumu dienest</w:t>
            </w:r>
            <w:r w:rsidR="00391F22" w:rsidRPr="00950C39">
              <w:rPr>
                <w:iCs/>
                <w:sz w:val="28"/>
                <w:szCs w:val="28"/>
              </w:rPr>
              <w:t>am</w:t>
            </w:r>
            <w:r w:rsidR="0001582F" w:rsidRPr="00950C39">
              <w:rPr>
                <w:iCs/>
                <w:sz w:val="28"/>
                <w:szCs w:val="28"/>
              </w:rPr>
              <w:t>.</w:t>
            </w:r>
          </w:p>
          <w:p w14:paraId="75E6C659" w14:textId="77777777" w:rsidR="0082486E" w:rsidRPr="00950C39" w:rsidRDefault="0082486E" w:rsidP="00E95C6C">
            <w:pPr>
              <w:jc w:val="both"/>
              <w:rPr>
                <w:sz w:val="28"/>
                <w:szCs w:val="28"/>
              </w:rPr>
            </w:pPr>
            <w:r w:rsidRPr="00950C39">
              <w:rPr>
                <w:sz w:val="28"/>
                <w:szCs w:val="28"/>
              </w:rPr>
              <w:t xml:space="preserve">Likumprojekts stāsies spēkā vienlaikus ar </w:t>
            </w:r>
            <w:r w:rsidR="00F86388" w:rsidRPr="00950C39">
              <w:rPr>
                <w:sz w:val="28"/>
                <w:szCs w:val="28"/>
              </w:rPr>
              <w:t>Administratīvās atbildības</w:t>
            </w:r>
            <w:r w:rsidRPr="00950C39">
              <w:rPr>
                <w:sz w:val="28"/>
                <w:szCs w:val="28"/>
              </w:rPr>
              <w:t xml:space="preserve"> likumu</w:t>
            </w:r>
            <w:r w:rsidR="00F14D90" w:rsidRPr="00950C39">
              <w:rPr>
                <w:sz w:val="28"/>
                <w:szCs w:val="28"/>
              </w:rPr>
              <w:t>.</w:t>
            </w:r>
          </w:p>
        </w:tc>
      </w:tr>
    </w:tbl>
    <w:p w14:paraId="04977E68" w14:textId="77777777" w:rsidR="0082486E" w:rsidRPr="00950C39" w:rsidRDefault="0082486E" w:rsidP="003B54C2">
      <w:pPr>
        <w:pStyle w:val="naislab"/>
        <w:spacing w:before="0" w:after="0"/>
        <w:jc w:val="center"/>
        <w:outlineLvl w:val="0"/>
        <w:rPr>
          <w:b/>
          <w:sz w:val="28"/>
          <w:szCs w:val="28"/>
        </w:rPr>
      </w:pPr>
    </w:p>
    <w:tbl>
      <w:tblPr>
        <w:tblpPr w:leftFromText="180" w:rightFromText="180" w:vertAnchor="text" w:horzAnchor="margin" w:tblpXSpec="center" w:tblpY="149"/>
        <w:tblW w:w="53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1844"/>
        <w:gridCol w:w="7370"/>
      </w:tblGrid>
      <w:tr w:rsidR="000D02B5" w:rsidRPr="00950C39" w14:paraId="1AE09786" w14:textId="77777777" w:rsidTr="0044177F">
        <w:tc>
          <w:tcPr>
            <w:tcW w:w="5000" w:type="pct"/>
            <w:gridSpan w:val="3"/>
            <w:vAlign w:val="center"/>
          </w:tcPr>
          <w:p w14:paraId="42D906A4" w14:textId="77777777" w:rsidR="000D02B5" w:rsidRPr="00950C39" w:rsidRDefault="000D02B5" w:rsidP="00F13713">
            <w:pPr>
              <w:pStyle w:val="naisnod"/>
              <w:spacing w:before="0" w:after="120"/>
              <w:rPr>
                <w:sz w:val="28"/>
                <w:szCs w:val="28"/>
              </w:rPr>
            </w:pPr>
            <w:r w:rsidRPr="00950C39">
              <w:rPr>
                <w:sz w:val="28"/>
                <w:szCs w:val="28"/>
              </w:rPr>
              <w:t>I.</w:t>
            </w:r>
            <w:r w:rsidR="00676169" w:rsidRPr="00950C39">
              <w:rPr>
                <w:sz w:val="28"/>
                <w:szCs w:val="28"/>
              </w:rPr>
              <w:t> </w:t>
            </w:r>
            <w:r w:rsidRPr="00950C39">
              <w:rPr>
                <w:sz w:val="28"/>
                <w:szCs w:val="28"/>
              </w:rPr>
              <w:t>Tiesību akta projekta izstrādes nepieciešamība</w:t>
            </w:r>
          </w:p>
        </w:tc>
      </w:tr>
      <w:tr w:rsidR="000D02B5" w:rsidRPr="00950C39" w14:paraId="4C691DAA" w14:textId="77777777" w:rsidTr="00584C91">
        <w:trPr>
          <w:trHeight w:val="630"/>
        </w:trPr>
        <w:tc>
          <w:tcPr>
            <w:tcW w:w="223" w:type="pct"/>
          </w:tcPr>
          <w:p w14:paraId="3521B045" w14:textId="77777777" w:rsidR="000D02B5" w:rsidRPr="00950C39" w:rsidRDefault="000D02B5" w:rsidP="00F13713">
            <w:pPr>
              <w:pStyle w:val="naiskr"/>
              <w:spacing w:before="0" w:after="120"/>
              <w:rPr>
                <w:sz w:val="28"/>
                <w:szCs w:val="28"/>
              </w:rPr>
            </w:pPr>
            <w:r w:rsidRPr="00950C39">
              <w:rPr>
                <w:sz w:val="28"/>
                <w:szCs w:val="28"/>
              </w:rPr>
              <w:t>1.</w:t>
            </w:r>
          </w:p>
        </w:tc>
        <w:tc>
          <w:tcPr>
            <w:tcW w:w="956" w:type="pct"/>
          </w:tcPr>
          <w:p w14:paraId="68741092" w14:textId="77777777" w:rsidR="000D02B5" w:rsidRPr="00950C39" w:rsidRDefault="000D02B5" w:rsidP="00F13713">
            <w:pPr>
              <w:pStyle w:val="naiskr"/>
              <w:spacing w:before="0" w:after="120"/>
              <w:ind w:hanging="10"/>
              <w:rPr>
                <w:sz w:val="28"/>
                <w:szCs w:val="28"/>
              </w:rPr>
            </w:pPr>
            <w:r w:rsidRPr="00950C39">
              <w:rPr>
                <w:sz w:val="28"/>
                <w:szCs w:val="28"/>
              </w:rPr>
              <w:t>Pamatojums</w:t>
            </w:r>
          </w:p>
        </w:tc>
        <w:tc>
          <w:tcPr>
            <w:tcW w:w="3822" w:type="pct"/>
          </w:tcPr>
          <w:p w14:paraId="47AC9225" w14:textId="77777777" w:rsidR="00E95C6C" w:rsidRDefault="00414D69" w:rsidP="00E95C6C">
            <w:pPr>
              <w:pStyle w:val="naiskr"/>
              <w:spacing w:before="0" w:after="120"/>
              <w:ind w:left="124" w:right="145"/>
              <w:jc w:val="both"/>
              <w:rPr>
                <w:sz w:val="28"/>
                <w:szCs w:val="28"/>
              </w:rPr>
            </w:pPr>
            <w:r w:rsidRPr="00950C39">
              <w:rPr>
                <w:bCs/>
                <w:sz w:val="28"/>
                <w:szCs w:val="28"/>
              </w:rPr>
              <w:t xml:space="preserve">Ministru kabineta </w:t>
            </w:r>
            <w:r w:rsidRPr="00950C39">
              <w:rPr>
                <w:sz w:val="28"/>
                <w:szCs w:val="28"/>
              </w:rPr>
              <w:t xml:space="preserve">2014. gada 22. aprīļa </w:t>
            </w:r>
            <w:r w:rsidRPr="00950C39">
              <w:rPr>
                <w:bCs/>
                <w:sz w:val="28"/>
                <w:szCs w:val="28"/>
              </w:rPr>
              <w:t>sēdes protokola</w:t>
            </w:r>
            <w:r w:rsidRPr="00950C39">
              <w:rPr>
                <w:sz w:val="28"/>
                <w:szCs w:val="28"/>
              </w:rPr>
              <w:t xml:space="preserve"> Nr. 24 26. §</w:t>
            </w:r>
            <w:r w:rsidRPr="00950C39">
              <w:rPr>
                <w:bCs/>
                <w:sz w:val="28"/>
                <w:szCs w:val="28"/>
              </w:rPr>
              <w:t xml:space="preserve"> </w:t>
            </w:r>
            <w:r w:rsidRPr="00950C39">
              <w:rPr>
                <w:sz w:val="28"/>
                <w:szCs w:val="28"/>
              </w:rPr>
              <w:t>“Informatīvais ziņojums “Nozaru administratīvo pārkāpumu kodifikācija</w:t>
            </w:r>
            <w:r w:rsidR="00E95C6C">
              <w:rPr>
                <w:sz w:val="28"/>
                <w:szCs w:val="28"/>
              </w:rPr>
              <w:t>s ieviešanas sistēma”” 2. punkts.</w:t>
            </w:r>
          </w:p>
          <w:p w14:paraId="426F7EDE" w14:textId="77777777" w:rsidR="00E95C6C" w:rsidRDefault="00414D69" w:rsidP="00E95C6C">
            <w:pPr>
              <w:pStyle w:val="naiskr"/>
              <w:spacing w:before="0" w:after="120"/>
              <w:ind w:left="124" w:right="145"/>
              <w:jc w:val="both"/>
              <w:rPr>
                <w:sz w:val="28"/>
                <w:szCs w:val="28"/>
              </w:rPr>
            </w:pPr>
            <w:r w:rsidRPr="00950C39">
              <w:rPr>
                <w:sz w:val="28"/>
                <w:szCs w:val="28"/>
              </w:rPr>
              <w:t>Ministru kabineta 2018. gada 18. decembra sēde</w:t>
            </w:r>
            <w:r w:rsidR="00BB127F">
              <w:rPr>
                <w:sz w:val="28"/>
                <w:szCs w:val="28"/>
              </w:rPr>
              <w:t>s</w:t>
            </w:r>
            <w:r w:rsidRPr="00950C39">
              <w:rPr>
                <w:sz w:val="28"/>
                <w:szCs w:val="28"/>
              </w:rPr>
              <w:t xml:space="preserve"> protokola Nr. 60 98. §</w:t>
            </w:r>
            <w:r w:rsidRPr="00950C39">
              <w:rPr>
                <w:bCs/>
                <w:sz w:val="28"/>
                <w:szCs w:val="28"/>
              </w:rPr>
              <w:t xml:space="preserve"> </w:t>
            </w:r>
            <w:r w:rsidRPr="00950C39">
              <w:rPr>
                <w:sz w:val="28"/>
                <w:szCs w:val="28"/>
              </w:rPr>
              <w:t>“Informatīvais ziņojums “Nozaru administratīvo pārkāpumu kodifikācijas ieviešanas</w:t>
            </w:r>
            <w:r w:rsidR="00E95C6C">
              <w:rPr>
                <w:sz w:val="28"/>
                <w:szCs w:val="28"/>
              </w:rPr>
              <w:t xml:space="preserve"> sistēmas īstenošana”” 4. punkts.</w:t>
            </w:r>
          </w:p>
          <w:p w14:paraId="6AA38638" w14:textId="77777777" w:rsidR="00970361" w:rsidRDefault="00414D69" w:rsidP="00E95C6C">
            <w:pPr>
              <w:pStyle w:val="naiskr"/>
              <w:spacing w:before="0" w:after="120"/>
              <w:ind w:left="124" w:right="145"/>
              <w:jc w:val="both"/>
              <w:rPr>
                <w:sz w:val="28"/>
                <w:szCs w:val="28"/>
              </w:rPr>
            </w:pPr>
            <w:r w:rsidRPr="00950C39">
              <w:rPr>
                <w:sz w:val="28"/>
                <w:szCs w:val="28"/>
              </w:rPr>
              <w:t>Valsts sekretāru sanāksmes 2019. gada 6. jūnija protokola Nr. 22 45. § “Par nozaru administratīvo pārkāpumu kodifikācijas likumprojektu virzību” 2. punkt</w:t>
            </w:r>
            <w:r w:rsidR="00E95C6C">
              <w:rPr>
                <w:sz w:val="28"/>
                <w:szCs w:val="28"/>
              </w:rPr>
              <w:t>s.</w:t>
            </w:r>
          </w:p>
          <w:p w14:paraId="4A62D3EE" w14:textId="12C85D05" w:rsidR="002F5DCC" w:rsidRPr="00950C39" w:rsidRDefault="002F5DCC" w:rsidP="00E95C6C">
            <w:pPr>
              <w:pStyle w:val="naiskr"/>
              <w:spacing w:before="0" w:after="120"/>
              <w:ind w:left="124" w:right="145"/>
              <w:jc w:val="both"/>
              <w:rPr>
                <w:sz w:val="28"/>
                <w:szCs w:val="28"/>
              </w:rPr>
            </w:pPr>
            <w:r w:rsidRPr="002F5DCC">
              <w:rPr>
                <w:sz w:val="28"/>
                <w:szCs w:val="28"/>
              </w:rPr>
              <w:t>Ministru kabineta 2019. gada 26. novembra sēdes protokola Nr. 55 38. § “Likumprojekts “Grozījumi Administratīvās atbildības likumā””</w:t>
            </w:r>
            <w:r>
              <w:rPr>
                <w:sz w:val="28"/>
                <w:szCs w:val="28"/>
              </w:rPr>
              <w:t xml:space="preserve"> 4. punkts.</w:t>
            </w:r>
          </w:p>
        </w:tc>
      </w:tr>
      <w:tr w:rsidR="00A63A63" w:rsidRPr="00950C39" w14:paraId="057018F8" w14:textId="77777777" w:rsidTr="00693E48">
        <w:trPr>
          <w:trHeight w:val="630"/>
        </w:trPr>
        <w:tc>
          <w:tcPr>
            <w:tcW w:w="223" w:type="pct"/>
          </w:tcPr>
          <w:p w14:paraId="77A3D22E" w14:textId="77777777" w:rsidR="00A63A63" w:rsidRPr="00950C39" w:rsidRDefault="00A63A63" w:rsidP="00F13713">
            <w:pPr>
              <w:pStyle w:val="naiskr"/>
              <w:spacing w:before="0" w:after="120"/>
              <w:rPr>
                <w:sz w:val="28"/>
                <w:szCs w:val="28"/>
              </w:rPr>
            </w:pPr>
            <w:r w:rsidRPr="00950C39">
              <w:rPr>
                <w:sz w:val="28"/>
                <w:szCs w:val="28"/>
              </w:rPr>
              <w:t>2.</w:t>
            </w:r>
          </w:p>
        </w:tc>
        <w:tc>
          <w:tcPr>
            <w:tcW w:w="956" w:type="pct"/>
            <w:tcBorders>
              <w:bottom w:val="single" w:sz="4" w:space="0" w:color="auto"/>
            </w:tcBorders>
          </w:tcPr>
          <w:p w14:paraId="62C31D3A" w14:textId="77777777" w:rsidR="00A63A63" w:rsidRPr="00950C39" w:rsidRDefault="00A63A63" w:rsidP="00F13713">
            <w:pPr>
              <w:pStyle w:val="naiskr"/>
              <w:spacing w:before="0" w:after="120"/>
              <w:ind w:hanging="10"/>
              <w:rPr>
                <w:sz w:val="28"/>
                <w:szCs w:val="28"/>
              </w:rPr>
            </w:pPr>
            <w:r w:rsidRPr="00950C39">
              <w:rPr>
                <w:sz w:val="28"/>
                <w:szCs w:val="28"/>
              </w:rPr>
              <w:t>Pašreizējā situācija un problēmas, kuru risināšanai tiesību akta projekts izstrādāts, tiesiskā regulējuma mērķis un būtība</w:t>
            </w:r>
          </w:p>
        </w:tc>
        <w:tc>
          <w:tcPr>
            <w:tcW w:w="3822" w:type="pct"/>
            <w:tcBorders>
              <w:bottom w:val="single" w:sz="4" w:space="0" w:color="auto"/>
            </w:tcBorders>
          </w:tcPr>
          <w:p w14:paraId="72453746" w14:textId="77777777" w:rsidR="006B715D" w:rsidRPr="00950C39" w:rsidRDefault="00667B4B" w:rsidP="006B715D">
            <w:pPr>
              <w:pStyle w:val="FootnoteText"/>
              <w:spacing w:after="120"/>
              <w:ind w:left="122" w:right="180"/>
              <w:jc w:val="both"/>
              <w:rPr>
                <w:sz w:val="28"/>
                <w:szCs w:val="28"/>
              </w:rPr>
            </w:pPr>
            <w:r w:rsidRPr="00950C39">
              <w:rPr>
                <w:sz w:val="28"/>
                <w:szCs w:val="28"/>
              </w:rPr>
              <w:t>Ministru kabineta 2014. gada 22. aprīļa sēdes protokollēmuma Nr. 24 26. § “Informatīvais ziņojums “Nozaru administratīvo pārkāpumu kodifikācija</w:t>
            </w:r>
            <w:bookmarkStart w:id="0" w:name="_GoBack"/>
            <w:bookmarkEnd w:id="0"/>
            <w:r w:rsidRPr="00950C39">
              <w:rPr>
                <w:sz w:val="28"/>
                <w:szCs w:val="28"/>
              </w:rPr>
              <w:t>s ieviešanas sistēma”” (turpmāk – Protokollēmums) 2.1.</w:t>
            </w:r>
            <w:r w:rsidR="0001582F" w:rsidRPr="00950C39">
              <w:rPr>
                <w:sz w:val="28"/>
                <w:szCs w:val="28"/>
              </w:rPr>
              <w:t> </w:t>
            </w:r>
            <w:r w:rsidRPr="00950C39">
              <w:rPr>
                <w:sz w:val="28"/>
                <w:szCs w:val="28"/>
              </w:rPr>
              <w:t>apakšpunkts noteic, ka</w:t>
            </w:r>
            <w:r w:rsidR="007107CE" w:rsidRPr="00950C39">
              <w:rPr>
                <w:sz w:val="28"/>
                <w:szCs w:val="28"/>
              </w:rPr>
              <w:t xml:space="preserve"> </w:t>
            </w:r>
            <w:r w:rsidR="006B715D" w:rsidRPr="00950C39">
              <w:rPr>
                <w:sz w:val="28"/>
                <w:szCs w:val="28"/>
              </w:rPr>
              <w:t xml:space="preserve">informatīvā ziņojuma 1. pielikumā minētajām ministrijām ir pienākums to kompetencē esošajos nozares likumos izstrādāt grozījumus, lai tajos tiktu ietverti administratīvie pārkāpumi un kompetentās iestādes par administratīvo sodu piemērošanu, pamatojoties uz to, ka LAPK zaudēs spēku. </w:t>
            </w:r>
          </w:p>
          <w:p w14:paraId="64666646" w14:textId="77777777" w:rsidR="006B715D" w:rsidRPr="00950C39" w:rsidRDefault="006B715D" w:rsidP="006B715D">
            <w:pPr>
              <w:pStyle w:val="FootnoteText"/>
              <w:spacing w:after="120"/>
              <w:ind w:left="122" w:right="180"/>
              <w:jc w:val="both"/>
              <w:rPr>
                <w:sz w:val="28"/>
                <w:szCs w:val="28"/>
              </w:rPr>
            </w:pPr>
            <w:r w:rsidRPr="00950C39">
              <w:rPr>
                <w:sz w:val="28"/>
                <w:szCs w:val="28"/>
              </w:rPr>
              <w:t xml:space="preserve">Saskaņā ar Ministru kabineta 2013. gada 4. februāra rīkojuma Nr. 38 “Par Administratīvo sodu sistēmas attīstības koncepciju” 1. punktu, atbalstīti Administratīvo sodu sistēmas attīstības koncepcijas kopsavilkumā ietvertie risinājumi, t.sk., </w:t>
            </w:r>
            <w:r w:rsidRPr="00950C39">
              <w:rPr>
                <w:sz w:val="28"/>
                <w:szCs w:val="28"/>
              </w:rPr>
              <w:lastRenderedPageBreak/>
              <w:t>paredzot nozaru kodifikāciju.</w:t>
            </w:r>
          </w:p>
          <w:p w14:paraId="476E705C" w14:textId="77777777" w:rsidR="000301EE" w:rsidRPr="00950C39" w:rsidRDefault="000301EE" w:rsidP="00623DD7">
            <w:pPr>
              <w:spacing w:after="120"/>
              <w:ind w:left="111"/>
              <w:jc w:val="both"/>
              <w:rPr>
                <w:b/>
                <w:bCs/>
                <w:sz w:val="28"/>
                <w:szCs w:val="28"/>
                <w:u w:val="single"/>
              </w:rPr>
            </w:pPr>
            <w:r w:rsidRPr="00950C39">
              <w:rPr>
                <w:b/>
                <w:bCs/>
                <w:sz w:val="28"/>
                <w:szCs w:val="28"/>
                <w:u w:val="single"/>
              </w:rPr>
              <w:t>Administratīvā atbildība un soda sankcijas</w:t>
            </w:r>
          </w:p>
          <w:p w14:paraId="72D94698" w14:textId="0915AD96" w:rsidR="00531F7C" w:rsidRPr="00522B4B" w:rsidRDefault="00D9190E" w:rsidP="00000310">
            <w:pPr>
              <w:tabs>
                <w:tab w:val="left" w:pos="284"/>
              </w:tabs>
              <w:spacing w:after="240"/>
              <w:ind w:left="122" w:right="141"/>
              <w:jc w:val="both"/>
              <w:rPr>
                <w:sz w:val="28"/>
                <w:szCs w:val="28"/>
              </w:rPr>
            </w:pPr>
            <w:r w:rsidRPr="00950C39">
              <w:rPr>
                <w:sz w:val="28"/>
                <w:szCs w:val="28"/>
              </w:rPr>
              <w:t>L</w:t>
            </w:r>
            <w:r w:rsidR="007A0672" w:rsidRPr="00950C39">
              <w:rPr>
                <w:sz w:val="28"/>
                <w:szCs w:val="28"/>
              </w:rPr>
              <w:t>ikumprojekt</w:t>
            </w:r>
            <w:r w:rsidRPr="00950C39">
              <w:rPr>
                <w:sz w:val="28"/>
                <w:szCs w:val="28"/>
              </w:rPr>
              <w:t>s paredz</w:t>
            </w:r>
            <w:r w:rsidR="00531F7C" w:rsidRPr="00950C39">
              <w:rPr>
                <w:sz w:val="28"/>
                <w:szCs w:val="28"/>
              </w:rPr>
              <w:t xml:space="preserve"> administratīvo atbildību par noteiktiem </w:t>
            </w:r>
            <w:r w:rsidR="00285770" w:rsidRPr="00950C39">
              <w:rPr>
                <w:sz w:val="28"/>
                <w:szCs w:val="28"/>
              </w:rPr>
              <w:t>Likuma</w:t>
            </w:r>
            <w:r w:rsidR="00531F7C" w:rsidRPr="00950C39">
              <w:rPr>
                <w:sz w:val="28"/>
                <w:szCs w:val="28"/>
              </w:rPr>
              <w:t xml:space="preserve"> “Par radiācijas drošību un kodoldrošību” (turpmāk – Likums) </w:t>
            </w:r>
            <w:r w:rsidR="00285770" w:rsidRPr="00950C39">
              <w:rPr>
                <w:sz w:val="28"/>
                <w:szCs w:val="28"/>
              </w:rPr>
              <w:t>p</w:t>
            </w:r>
            <w:r w:rsidRPr="00950C39">
              <w:rPr>
                <w:sz w:val="28"/>
                <w:szCs w:val="28"/>
              </w:rPr>
              <w:t xml:space="preserve">ārkāpumiem. </w:t>
            </w:r>
            <w:r w:rsidR="00531F7C" w:rsidRPr="00950C39">
              <w:rPr>
                <w:sz w:val="28"/>
                <w:szCs w:val="28"/>
              </w:rPr>
              <w:t>Likuma VII</w:t>
            </w:r>
            <w:r w:rsidRPr="00950C39">
              <w:rPr>
                <w:sz w:val="28"/>
                <w:szCs w:val="28"/>
              </w:rPr>
              <w:t>I nodaļas nosaukums mainīts no “</w:t>
            </w:r>
            <w:r w:rsidR="00531F7C" w:rsidRPr="00950C39">
              <w:rPr>
                <w:sz w:val="28"/>
                <w:szCs w:val="28"/>
              </w:rPr>
              <w:t>Atbildība par pārkāpumiem</w:t>
            </w:r>
            <w:r w:rsidRPr="00950C39">
              <w:rPr>
                <w:sz w:val="28"/>
                <w:szCs w:val="28"/>
              </w:rPr>
              <w:t>”</w:t>
            </w:r>
            <w:r w:rsidR="00531F7C" w:rsidRPr="00950C39">
              <w:rPr>
                <w:sz w:val="28"/>
                <w:szCs w:val="28"/>
              </w:rPr>
              <w:t xml:space="preserve"> uz “Prasības zaudējumu un kodolkaitējuma atlīdzināšanai un nelikumīgi izmantoto jonizējošā staroj</w:t>
            </w:r>
            <w:r w:rsidR="00E95C6C">
              <w:rPr>
                <w:sz w:val="28"/>
                <w:szCs w:val="28"/>
              </w:rPr>
              <w:t>uma avotu apsaimniekošanai” un L</w:t>
            </w:r>
            <w:r w:rsidR="00531F7C" w:rsidRPr="00950C39">
              <w:rPr>
                <w:sz w:val="28"/>
                <w:szCs w:val="28"/>
              </w:rPr>
              <w:t xml:space="preserve">ikumprojekts papildina </w:t>
            </w:r>
            <w:r w:rsidR="00BB127F">
              <w:rPr>
                <w:sz w:val="28"/>
                <w:szCs w:val="28"/>
              </w:rPr>
              <w:t>L</w:t>
            </w:r>
            <w:r w:rsidR="00531F7C" w:rsidRPr="00950C39">
              <w:rPr>
                <w:sz w:val="28"/>
                <w:szCs w:val="28"/>
              </w:rPr>
              <w:t xml:space="preserve">ikumu ar jaunu IX nodaļu “Administratīvie pārkāpumi radiācijas drošības un kodoldrošības jomā un kompetence administratīvā pārkāpuma procesā”. </w:t>
            </w:r>
            <w:r w:rsidR="00B119F1" w:rsidRPr="00522B4B">
              <w:rPr>
                <w:sz w:val="28"/>
                <w:szCs w:val="28"/>
              </w:rPr>
              <w:t>Likumprojekts paredz papildināt Likuma 3. pantu ar jaunu daļu par preču ražotāju, izplatītāju un importētāju atbildību saistībā ar jonizējošo starojuma līmeni precēs. Ievērojot šo normu, iestādes piemēros administratīvo atbildību preces ražotājam, izplatītājam un importētājam.</w:t>
            </w:r>
          </w:p>
          <w:p w14:paraId="147638DF" w14:textId="69FED03F" w:rsidR="00D93D52" w:rsidRDefault="00E95C6C" w:rsidP="00000310">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82" w:right="141" w:firstLine="0"/>
              <w:rPr>
                <w:rFonts w:eastAsia="Calibri"/>
                <w:bCs/>
                <w:sz w:val="28"/>
                <w:szCs w:val="28"/>
                <w:lang w:val="lv-LV" w:eastAsia="lv-LV"/>
              </w:rPr>
            </w:pPr>
            <w:r w:rsidRPr="00522B4B">
              <w:rPr>
                <w:sz w:val="28"/>
                <w:szCs w:val="28"/>
                <w:lang w:val="lv-LV"/>
              </w:rPr>
              <w:t>Turklāt L</w:t>
            </w:r>
            <w:r w:rsidR="00D9190E" w:rsidRPr="00522B4B">
              <w:rPr>
                <w:sz w:val="28"/>
                <w:szCs w:val="28"/>
                <w:lang w:val="lv-LV"/>
              </w:rPr>
              <w:t xml:space="preserve">ikumprojekts nosaka valsts </w:t>
            </w:r>
            <w:r w:rsidR="00FD653A" w:rsidRPr="00522B4B">
              <w:rPr>
                <w:sz w:val="28"/>
                <w:szCs w:val="28"/>
                <w:lang w:val="lv-LV"/>
              </w:rPr>
              <w:t xml:space="preserve">iestāžu </w:t>
            </w:r>
            <w:r w:rsidR="00D9190E" w:rsidRPr="00522B4B">
              <w:rPr>
                <w:sz w:val="28"/>
                <w:szCs w:val="28"/>
                <w:lang w:val="lv-LV"/>
              </w:rPr>
              <w:t>kompetenci attiecībā uz noteiktām jomām</w:t>
            </w:r>
            <w:r w:rsidR="00D9190E" w:rsidRPr="00522B4B">
              <w:rPr>
                <w:rFonts w:eastAsia="Calibri"/>
                <w:bCs/>
                <w:sz w:val="28"/>
                <w:szCs w:val="28"/>
                <w:lang w:val="lv-LV" w:eastAsia="lv-LV"/>
              </w:rPr>
              <w:t xml:space="preserve"> </w:t>
            </w:r>
            <w:r w:rsidR="00D210C4" w:rsidRPr="00522B4B">
              <w:rPr>
                <w:rFonts w:eastAsia="Calibri"/>
                <w:bCs/>
                <w:sz w:val="28"/>
                <w:szCs w:val="28"/>
                <w:lang w:val="lv-LV" w:eastAsia="lv-LV"/>
              </w:rPr>
              <w:t xml:space="preserve">sodu piemērošanā un </w:t>
            </w:r>
            <w:r w:rsidR="00D9190E" w:rsidRPr="00522B4B">
              <w:rPr>
                <w:rFonts w:eastAsia="Calibri"/>
                <w:bCs/>
                <w:sz w:val="28"/>
                <w:szCs w:val="28"/>
                <w:lang w:val="lv-LV" w:eastAsia="lv-LV"/>
              </w:rPr>
              <w:t xml:space="preserve">paredz, ka administratīvo atbildību piemēros šādas atbildīgās </w:t>
            </w:r>
            <w:r w:rsidR="0004338B" w:rsidRPr="00522B4B">
              <w:rPr>
                <w:rFonts w:eastAsia="Calibri"/>
                <w:bCs/>
                <w:sz w:val="28"/>
                <w:szCs w:val="28"/>
                <w:lang w:val="lv-LV" w:eastAsia="lv-LV"/>
              </w:rPr>
              <w:t>iestādes –Valsts vides dienests (turpmāk – VVD)</w:t>
            </w:r>
            <w:r w:rsidR="00D9190E" w:rsidRPr="00522B4B">
              <w:rPr>
                <w:rFonts w:eastAsia="Calibri"/>
                <w:bCs/>
                <w:sz w:val="28"/>
                <w:szCs w:val="28"/>
                <w:lang w:val="lv-LV" w:eastAsia="lv-LV"/>
              </w:rPr>
              <w:t>, Pārtikas un veterinārais dienests</w:t>
            </w:r>
            <w:r w:rsidR="0004338B" w:rsidRPr="00522B4B">
              <w:rPr>
                <w:rFonts w:eastAsia="Calibri"/>
                <w:bCs/>
                <w:sz w:val="28"/>
                <w:szCs w:val="28"/>
                <w:lang w:val="lv-LV" w:eastAsia="lv-LV"/>
              </w:rPr>
              <w:t xml:space="preserve"> (turpmāk – PVD)</w:t>
            </w:r>
            <w:r w:rsidR="00D9190E" w:rsidRPr="00522B4B">
              <w:rPr>
                <w:rFonts w:eastAsia="Calibri"/>
                <w:bCs/>
                <w:sz w:val="28"/>
                <w:szCs w:val="28"/>
                <w:lang w:val="lv-LV" w:eastAsia="lv-LV"/>
              </w:rPr>
              <w:t>, Valsts ieņēmumu dienests</w:t>
            </w:r>
            <w:r w:rsidR="0004338B" w:rsidRPr="00522B4B">
              <w:rPr>
                <w:rFonts w:eastAsia="Calibri"/>
                <w:bCs/>
                <w:sz w:val="28"/>
                <w:szCs w:val="28"/>
                <w:lang w:val="lv-LV" w:eastAsia="lv-LV"/>
              </w:rPr>
              <w:t xml:space="preserve"> (turpmāk – VID)</w:t>
            </w:r>
            <w:r w:rsidR="00D9190E" w:rsidRPr="00522B4B">
              <w:rPr>
                <w:rFonts w:eastAsia="Calibri"/>
                <w:bCs/>
                <w:sz w:val="28"/>
                <w:szCs w:val="28"/>
                <w:lang w:val="lv-LV" w:eastAsia="lv-LV"/>
              </w:rPr>
              <w:t>, Patērētāju</w:t>
            </w:r>
            <w:r w:rsidR="00D9190E" w:rsidRPr="00950C39">
              <w:rPr>
                <w:rFonts w:eastAsia="Calibri"/>
                <w:bCs/>
                <w:sz w:val="28"/>
                <w:szCs w:val="28"/>
                <w:lang w:val="lv-LV" w:eastAsia="lv-LV"/>
              </w:rPr>
              <w:t xml:space="preserve"> tiesību aizsardzības centrs </w:t>
            </w:r>
            <w:r w:rsidR="0004338B">
              <w:rPr>
                <w:rFonts w:eastAsia="Calibri"/>
                <w:bCs/>
                <w:sz w:val="28"/>
                <w:szCs w:val="28"/>
                <w:lang w:val="lv-LV" w:eastAsia="lv-LV"/>
              </w:rPr>
              <w:t xml:space="preserve">(turpmāk – PTAC) </w:t>
            </w:r>
            <w:r w:rsidR="00D9190E" w:rsidRPr="00950C39">
              <w:rPr>
                <w:rFonts w:eastAsia="Calibri"/>
                <w:bCs/>
                <w:sz w:val="28"/>
                <w:szCs w:val="28"/>
                <w:lang w:val="lv-LV" w:eastAsia="lv-LV"/>
              </w:rPr>
              <w:t xml:space="preserve">un </w:t>
            </w:r>
            <w:r w:rsidR="00D210C4" w:rsidRPr="00950C39">
              <w:rPr>
                <w:rFonts w:eastAsia="Calibri"/>
                <w:bCs/>
                <w:sz w:val="28"/>
                <w:szCs w:val="28"/>
                <w:lang w:val="lv-LV" w:eastAsia="lv-LV"/>
              </w:rPr>
              <w:t>Vesel</w:t>
            </w:r>
            <w:r w:rsidR="003A3C4E">
              <w:rPr>
                <w:rFonts w:eastAsia="Calibri"/>
                <w:bCs/>
                <w:sz w:val="28"/>
                <w:szCs w:val="28"/>
                <w:lang w:val="lv-LV" w:eastAsia="lv-LV"/>
              </w:rPr>
              <w:t>ības inspekcija</w:t>
            </w:r>
            <w:r w:rsidR="0004338B">
              <w:rPr>
                <w:rFonts w:eastAsia="Calibri"/>
                <w:bCs/>
                <w:sz w:val="28"/>
                <w:szCs w:val="28"/>
                <w:lang w:val="lv-LV" w:eastAsia="lv-LV"/>
              </w:rPr>
              <w:t xml:space="preserve"> (turpmāk – VI)</w:t>
            </w:r>
            <w:r w:rsidR="00D9190E" w:rsidRPr="00950C39">
              <w:rPr>
                <w:rFonts w:eastAsia="Calibri"/>
                <w:bCs/>
                <w:sz w:val="28"/>
                <w:szCs w:val="28"/>
                <w:lang w:val="lv-LV" w:eastAsia="lv-LV"/>
              </w:rPr>
              <w:t>.</w:t>
            </w:r>
            <w:r w:rsidR="00D210C4" w:rsidRPr="00950C39">
              <w:rPr>
                <w:rFonts w:eastAsia="Calibri"/>
                <w:bCs/>
                <w:sz w:val="28"/>
                <w:szCs w:val="28"/>
                <w:lang w:val="lv-LV" w:eastAsia="lv-LV"/>
              </w:rPr>
              <w:t xml:space="preserve"> </w:t>
            </w:r>
          </w:p>
          <w:p w14:paraId="16707C09" w14:textId="77777777" w:rsidR="006275BF" w:rsidRPr="00950C39" w:rsidRDefault="00531F7C" w:rsidP="006275BF">
            <w:pPr>
              <w:pStyle w:val="naiskr"/>
              <w:spacing w:before="0" w:after="0"/>
              <w:ind w:left="124" w:right="145"/>
              <w:jc w:val="both"/>
              <w:rPr>
                <w:sz w:val="28"/>
                <w:szCs w:val="28"/>
              </w:rPr>
            </w:pPr>
            <w:r w:rsidRPr="00950C39">
              <w:rPr>
                <w:sz w:val="28"/>
                <w:szCs w:val="28"/>
              </w:rPr>
              <w:t xml:space="preserve">Pašlaik esošais administratīvās atbildības regulējums attiecībā uz </w:t>
            </w:r>
            <w:r w:rsidRPr="00950C39">
              <w:rPr>
                <w:bCs/>
                <w:sz w:val="28"/>
                <w:szCs w:val="28"/>
              </w:rPr>
              <w:t>radiācijas drošību un kodoldrošību regulējošo normatīvo aktu pārkāpšanu</w:t>
            </w:r>
            <w:r w:rsidRPr="00950C39">
              <w:rPr>
                <w:sz w:val="28"/>
                <w:szCs w:val="28"/>
              </w:rPr>
              <w:t xml:space="preserve"> ir ietverts LAPK 87.</w:t>
            </w:r>
            <w:r w:rsidRPr="00950C39">
              <w:rPr>
                <w:sz w:val="28"/>
                <w:szCs w:val="28"/>
                <w:vertAlign w:val="superscript"/>
              </w:rPr>
              <w:t>1</w:t>
            </w:r>
            <w:r w:rsidRPr="00950C39">
              <w:rPr>
                <w:sz w:val="28"/>
                <w:szCs w:val="28"/>
              </w:rPr>
              <w:t> pantā un LAPK 166.</w:t>
            </w:r>
            <w:r w:rsidRPr="00950C39">
              <w:rPr>
                <w:sz w:val="28"/>
                <w:szCs w:val="28"/>
                <w:vertAlign w:val="superscript"/>
              </w:rPr>
              <w:t>10</w:t>
            </w:r>
            <w:r w:rsidRPr="00950C39">
              <w:rPr>
                <w:sz w:val="28"/>
                <w:szCs w:val="28"/>
              </w:rPr>
              <w:t> pantā.</w:t>
            </w:r>
          </w:p>
          <w:p w14:paraId="74532182" w14:textId="77777777" w:rsidR="0003719D" w:rsidRPr="00950C39" w:rsidRDefault="0003719D" w:rsidP="006275BF">
            <w:pPr>
              <w:pStyle w:val="naiskr"/>
              <w:spacing w:before="0" w:after="0"/>
              <w:ind w:left="124" w:right="145"/>
              <w:jc w:val="both"/>
              <w:rPr>
                <w:bCs/>
                <w:sz w:val="28"/>
                <w:szCs w:val="28"/>
              </w:rPr>
            </w:pPr>
          </w:p>
          <w:p w14:paraId="343979EE" w14:textId="3463745C" w:rsidR="00134CC8" w:rsidRPr="00950C39" w:rsidRDefault="00134CC8" w:rsidP="00134CC8">
            <w:pPr>
              <w:pStyle w:val="FootnoteText"/>
              <w:spacing w:after="120"/>
              <w:ind w:left="122" w:right="180"/>
              <w:jc w:val="both"/>
              <w:rPr>
                <w:sz w:val="28"/>
                <w:szCs w:val="28"/>
              </w:rPr>
            </w:pPr>
            <w:r w:rsidRPr="00950C39">
              <w:rPr>
                <w:b/>
                <w:sz w:val="28"/>
                <w:szCs w:val="28"/>
                <w:u w:val="single"/>
              </w:rPr>
              <w:t xml:space="preserve">Likumprojekta </w:t>
            </w:r>
            <w:r w:rsidR="001D2D02" w:rsidRPr="001D2D02">
              <w:rPr>
                <w:b/>
                <w:sz w:val="28"/>
                <w:szCs w:val="28"/>
                <w:u w:val="single"/>
              </w:rPr>
              <w:t>3. </w:t>
            </w:r>
            <w:r w:rsidR="001D2D02">
              <w:rPr>
                <w:b/>
                <w:sz w:val="28"/>
                <w:szCs w:val="28"/>
                <w:u w:val="single"/>
              </w:rPr>
              <w:t>pantā iekļautā L</w:t>
            </w:r>
            <w:r w:rsidR="001D2D02" w:rsidRPr="001D2D02">
              <w:rPr>
                <w:b/>
                <w:sz w:val="28"/>
                <w:szCs w:val="28"/>
                <w:u w:val="single"/>
              </w:rPr>
              <w:t>ikuma 31. panta pirmās daļas redakcija </w:t>
            </w:r>
            <w:r w:rsidRPr="00950C39">
              <w:rPr>
                <w:b/>
                <w:sz w:val="28"/>
                <w:szCs w:val="28"/>
                <w:u w:val="single"/>
              </w:rPr>
              <w:t>pārņem</w:t>
            </w:r>
            <w:r w:rsidRPr="00950C39">
              <w:rPr>
                <w:sz w:val="28"/>
                <w:szCs w:val="28"/>
              </w:rPr>
              <w:t xml:space="preserve"> </w:t>
            </w:r>
            <w:r w:rsidRPr="00950C39">
              <w:rPr>
                <w:bCs/>
                <w:sz w:val="28"/>
                <w:szCs w:val="28"/>
              </w:rPr>
              <w:t>LAPK 87.</w:t>
            </w:r>
            <w:r w:rsidRPr="00950C39">
              <w:rPr>
                <w:bCs/>
                <w:sz w:val="28"/>
                <w:szCs w:val="28"/>
                <w:vertAlign w:val="superscript"/>
              </w:rPr>
              <w:t>1</w:t>
            </w:r>
            <w:r w:rsidRPr="00950C39">
              <w:rPr>
                <w:bCs/>
                <w:sz w:val="28"/>
                <w:szCs w:val="28"/>
              </w:rPr>
              <w:t> panta pirmo daļu,</w:t>
            </w:r>
            <w:r w:rsidRPr="00950C39">
              <w:rPr>
                <w:sz w:val="28"/>
                <w:szCs w:val="28"/>
              </w:rPr>
              <w:t xml:space="preserve"> nosakot administratīvo atbildību operatoriem (Likuma 1. panta 6. apakšpunkta izpratnē) par radiācijas drošības un kodoldrošības normatīvo aktu prasību neievērošanu attiecībā uz personu aizsardzību pret jonizējošo starojumu. </w:t>
            </w:r>
            <w:r w:rsidR="00AF2F80">
              <w:rPr>
                <w:bCs/>
                <w:sz w:val="28"/>
                <w:szCs w:val="28"/>
              </w:rPr>
              <w:t>A</w:t>
            </w:r>
            <w:r w:rsidRPr="00950C39">
              <w:rPr>
                <w:bCs/>
                <w:sz w:val="28"/>
                <w:szCs w:val="28"/>
              </w:rPr>
              <w:t>dministratīvā atbildība</w:t>
            </w:r>
            <w:r w:rsidR="00AF2F80">
              <w:rPr>
                <w:bCs/>
                <w:sz w:val="28"/>
                <w:szCs w:val="28"/>
              </w:rPr>
              <w:t xml:space="preserve"> par minētajām darbībām</w:t>
            </w:r>
            <w:r w:rsidRPr="00950C39">
              <w:rPr>
                <w:bCs/>
                <w:sz w:val="28"/>
                <w:szCs w:val="28"/>
              </w:rPr>
              <w:t xml:space="preserve"> paredzēta Likuma 3. panta trešajā daļā, 13. panta trešajā un 3.</w:t>
            </w:r>
            <w:r w:rsidRPr="00950C39">
              <w:rPr>
                <w:bCs/>
                <w:sz w:val="28"/>
                <w:szCs w:val="28"/>
                <w:vertAlign w:val="superscript"/>
              </w:rPr>
              <w:t>1</w:t>
            </w:r>
            <w:r w:rsidR="00AF2F80">
              <w:rPr>
                <w:bCs/>
                <w:sz w:val="28"/>
                <w:szCs w:val="28"/>
              </w:rPr>
              <w:t> </w:t>
            </w:r>
            <w:r w:rsidRPr="00950C39">
              <w:rPr>
                <w:bCs/>
                <w:sz w:val="28"/>
                <w:szCs w:val="28"/>
              </w:rPr>
              <w:t xml:space="preserve">daļā, 14. panta otrajā daļā, 15. panta pirmajā daļā un 17. panta pirmajā un otrajā daļā minēto prasību neievērošanu, kā arī par </w:t>
            </w:r>
            <w:r w:rsidR="009B2EFC" w:rsidRPr="00950C39">
              <w:rPr>
                <w:bCs/>
                <w:sz w:val="28"/>
                <w:szCs w:val="28"/>
              </w:rPr>
              <w:t xml:space="preserve"> M</w:t>
            </w:r>
            <w:r w:rsidR="009B2EFC">
              <w:rPr>
                <w:bCs/>
                <w:sz w:val="28"/>
                <w:szCs w:val="28"/>
              </w:rPr>
              <w:t xml:space="preserve">inistru kabineta 2002. gada 9. aprīļa </w:t>
            </w:r>
            <w:r w:rsidR="009B2EFC" w:rsidRPr="00950C39">
              <w:rPr>
                <w:bCs/>
                <w:sz w:val="28"/>
                <w:szCs w:val="28"/>
              </w:rPr>
              <w:t xml:space="preserve">noteikumu Nr. 149 “Noteikumi par aizsardzību pret jonizējošo starojumu” (turpmāk – </w:t>
            </w:r>
            <w:r w:rsidRPr="00950C39">
              <w:rPr>
                <w:bCs/>
                <w:sz w:val="28"/>
                <w:szCs w:val="28"/>
              </w:rPr>
              <w:t>MK noteikum</w:t>
            </w:r>
            <w:r w:rsidR="009B2EFC">
              <w:rPr>
                <w:bCs/>
                <w:sz w:val="28"/>
                <w:szCs w:val="28"/>
              </w:rPr>
              <w:t>i</w:t>
            </w:r>
            <w:r w:rsidRPr="00950C39">
              <w:rPr>
                <w:bCs/>
                <w:sz w:val="28"/>
                <w:szCs w:val="28"/>
              </w:rPr>
              <w:t xml:space="preserve"> Nr. 149</w:t>
            </w:r>
            <w:r w:rsidR="009B2EFC">
              <w:rPr>
                <w:bCs/>
                <w:sz w:val="28"/>
                <w:szCs w:val="28"/>
              </w:rPr>
              <w:t>)</w:t>
            </w:r>
            <w:r w:rsidRPr="00950C39">
              <w:rPr>
                <w:bCs/>
                <w:sz w:val="28"/>
                <w:szCs w:val="28"/>
              </w:rPr>
              <w:t xml:space="preserve"> 14., 43., 44., 62., 63., 65. un 73. punktā</w:t>
            </w:r>
            <w:r w:rsidRPr="00950C39">
              <w:rPr>
                <w:sz w:val="28"/>
                <w:szCs w:val="28"/>
              </w:rPr>
              <w:t xml:space="preserve">, Ministru kabineta 2013. gada 12. novembra </w:t>
            </w:r>
            <w:r w:rsidRPr="00950C39">
              <w:rPr>
                <w:sz w:val="28"/>
                <w:szCs w:val="28"/>
              </w:rPr>
              <w:lastRenderedPageBreak/>
              <w:t xml:space="preserve">noteikumi Nr. 1284 “Darbinieku apstarošanas kontroles un uzskaites kārtība” 3., 7., 9. un 10. punktā, Ministru kabineta 2014. gada 19. augusta noteikumi Nr. 482 “Noteikumi par aizsardzību pret jonizējošo starojumu medicīniskajā apstarošanā” </w:t>
            </w:r>
            <w:r w:rsidR="00D06B79">
              <w:rPr>
                <w:sz w:val="28"/>
                <w:szCs w:val="28"/>
              </w:rPr>
              <w:t xml:space="preserve">(turpmāk – MK noteikumi Nr. 482) </w:t>
            </w:r>
            <w:r w:rsidRPr="00950C39">
              <w:rPr>
                <w:sz w:val="28"/>
                <w:szCs w:val="28"/>
              </w:rPr>
              <w:t>7., 14., 20., 44. un 45. punktā minēto prasību neievērošanu.</w:t>
            </w:r>
          </w:p>
          <w:p w14:paraId="1C076320" w14:textId="77777777" w:rsidR="00134CC8" w:rsidRPr="00950C39" w:rsidRDefault="00134CC8" w:rsidP="00134CC8">
            <w:pPr>
              <w:pStyle w:val="FootnoteText"/>
              <w:spacing w:after="120"/>
              <w:ind w:left="122" w:right="180"/>
              <w:jc w:val="both"/>
              <w:rPr>
                <w:sz w:val="28"/>
                <w:szCs w:val="28"/>
              </w:rPr>
            </w:pPr>
            <w:r w:rsidRPr="00950C39">
              <w:rPr>
                <w:bCs/>
                <w:sz w:val="28"/>
                <w:szCs w:val="28"/>
              </w:rPr>
              <w:t xml:space="preserve">Ievērojot </w:t>
            </w:r>
            <w:r w:rsidR="00D06B79">
              <w:rPr>
                <w:bCs/>
                <w:sz w:val="28"/>
                <w:szCs w:val="28"/>
              </w:rPr>
              <w:t>Likumā,</w:t>
            </w:r>
            <w:r w:rsidRPr="00950C39">
              <w:rPr>
                <w:bCs/>
                <w:sz w:val="28"/>
                <w:szCs w:val="28"/>
              </w:rPr>
              <w:t xml:space="preserve"> </w:t>
            </w:r>
            <w:r w:rsidR="00D06B79">
              <w:rPr>
                <w:sz w:val="28"/>
                <w:szCs w:val="28"/>
              </w:rPr>
              <w:t>MK noteikumos Nr. 149 un MK noteikumos Nr. 482</w:t>
            </w:r>
            <w:r w:rsidRPr="00950C39">
              <w:rPr>
                <w:sz w:val="28"/>
                <w:szCs w:val="28"/>
              </w:rPr>
              <w:t xml:space="preserve"> lietotos terminus, par personām tiek uzskatīti darbinieki, iedzīvotāji vai pacienti.</w:t>
            </w:r>
          </w:p>
          <w:p w14:paraId="627276EC" w14:textId="77777777" w:rsidR="00134CC8" w:rsidRPr="00950C39" w:rsidRDefault="00134CC8" w:rsidP="00134CC8">
            <w:pPr>
              <w:pStyle w:val="FootnoteText"/>
              <w:spacing w:after="120"/>
              <w:ind w:left="122" w:right="180"/>
              <w:jc w:val="both"/>
              <w:rPr>
                <w:sz w:val="28"/>
                <w:szCs w:val="28"/>
              </w:rPr>
            </w:pPr>
            <w:r w:rsidRPr="00950C39">
              <w:rPr>
                <w:sz w:val="28"/>
                <w:szCs w:val="28"/>
              </w:rPr>
              <w:t>Piemērojamā sankcija papildināta ar brīdinājumu, naudas soda apmērs sag</w:t>
            </w:r>
            <w:r w:rsidR="00E95C6C">
              <w:rPr>
                <w:sz w:val="28"/>
                <w:szCs w:val="28"/>
              </w:rPr>
              <w:t>labāts esošā apmērā. Brīdinājuma</w:t>
            </w:r>
            <w:r w:rsidRPr="00950C39">
              <w:rPr>
                <w:sz w:val="28"/>
                <w:szCs w:val="28"/>
              </w:rPr>
              <w:t xml:space="preserve"> </w:t>
            </w:r>
            <w:r w:rsidR="00E95C6C">
              <w:rPr>
                <w:sz w:val="28"/>
                <w:szCs w:val="28"/>
              </w:rPr>
              <w:t>piemērošana iespējama</w:t>
            </w:r>
            <w:r w:rsidRPr="00950C39">
              <w:rPr>
                <w:sz w:val="28"/>
                <w:szCs w:val="28"/>
              </w:rPr>
              <w:t xml:space="preserve"> gadījumā, kad konstatēts, ka nav ievērotas radiācijas drošības un kodoldrošības normatīvo aktu prasības, bet tas konkrētajā situācij</w:t>
            </w:r>
            <w:r w:rsidR="00BB127F">
              <w:rPr>
                <w:sz w:val="28"/>
                <w:szCs w:val="28"/>
              </w:rPr>
              <w:t>ā</w:t>
            </w:r>
            <w:r w:rsidRPr="00950C39">
              <w:rPr>
                <w:sz w:val="28"/>
                <w:szCs w:val="28"/>
              </w:rPr>
              <w:t xml:space="preserve"> nerada </w:t>
            </w:r>
            <w:r w:rsidR="00EB67A0">
              <w:rPr>
                <w:sz w:val="28"/>
                <w:szCs w:val="28"/>
              </w:rPr>
              <w:t xml:space="preserve">un nevar radīt </w:t>
            </w:r>
            <w:r w:rsidRPr="00950C39">
              <w:rPr>
                <w:sz w:val="28"/>
                <w:szCs w:val="28"/>
              </w:rPr>
              <w:t>kaitējumu personai (piemēram, nav savlaicīgi aizpildīta individuālā dozu uzskaites grāmatiņa, savlaicīgi nav veikta radiācijas drošības instruktāža).</w:t>
            </w:r>
          </w:p>
          <w:p w14:paraId="5C4933B1" w14:textId="599B78F3" w:rsidR="00134CC8" w:rsidRPr="00950C39" w:rsidRDefault="00134CC8" w:rsidP="00E95C6C">
            <w:pPr>
              <w:pStyle w:val="FootnoteText"/>
              <w:spacing w:after="120"/>
              <w:ind w:left="122" w:right="180"/>
              <w:jc w:val="both"/>
              <w:rPr>
                <w:bCs/>
                <w:sz w:val="28"/>
                <w:szCs w:val="28"/>
                <w:shd w:val="clear" w:color="auto" w:fill="FFFFFF"/>
              </w:rPr>
            </w:pPr>
            <w:r w:rsidRPr="00950C39">
              <w:rPr>
                <w:b/>
                <w:sz w:val="28"/>
                <w:szCs w:val="28"/>
                <w:u w:val="single"/>
              </w:rPr>
              <w:t xml:space="preserve">Likumprojekta </w:t>
            </w:r>
            <w:r w:rsidR="001D2D02" w:rsidRPr="001D2D02">
              <w:rPr>
                <w:b/>
                <w:sz w:val="28"/>
                <w:szCs w:val="28"/>
                <w:u w:val="single"/>
              </w:rPr>
              <w:t>3. </w:t>
            </w:r>
            <w:r w:rsidR="001D2D02">
              <w:rPr>
                <w:b/>
                <w:sz w:val="28"/>
                <w:szCs w:val="28"/>
                <w:u w:val="single"/>
              </w:rPr>
              <w:t>pantā iekļautā L</w:t>
            </w:r>
            <w:r w:rsidR="001D2D02" w:rsidRPr="001D2D02">
              <w:rPr>
                <w:b/>
                <w:sz w:val="28"/>
                <w:szCs w:val="28"/>
                <w:u w:val="single"/>
              </w:rPr>
              <w:t xml:space="preserve">ikuma </w:t>
            </w:r>
            <w:r w:rsidRPr="00950C39">
              <w:rPr>
                <w:b/>
                <w:sz w:val="28"/>
                <w:szCs w:val="28"/>
                <w:u w:val="single"/>
              </w:rPr>
              <w:t>31. panta otrā</w:t>
            </w:r>
            <w:r w:rsidR="001D2D02">
              <w:rPr>
                <w:b/>
                <w:sz w:val="28"/>
                <w:szCs w:val="28"/>
                <w:u w:val="single"/>
              </w:rPr>
              <w:t>s</w:t>
            </w:r>
            <w:r w:rsidRPr="00950C39">
              <w:rPr>
                <w:b/>
                <w:sz w:val="28"/>
                <w:szCs w:val="28"/>
                <w:u w:val="single"/>
              </w:rPr>
              <w:t xml:space="preserve"> daļa</w:t>
            </w:r>
            <w:r w:rsidR="001D2D02">
              <w:rPr>
                <w:b/>
                <w:sz w:val="28"/>
                <w:szCs w:val="28"/>
                <w:u w:val="single"/>
              </w:rPr>
              <w:t>s redakcija</w:t>
            </w:r>
            <w:r w:rsidRPr="00950C39">
              <w:rPr>
                <w:b/>
                <w:sz w:val="28"/>
                <w:szCs w:val="28"/>
                <w:u w:val="single"/>
              </w:rPr>
              <w:t xml:space="preserve"> pārņem</w:t>
            </w:r>
            <w:r w:rsidRPr="00950C39">
              <w:rPr>
                <w:sz w:val="28"/>
                <w:szCs w:val="28"/>
              </w:rPr>
              <w:t xml:space="preserve"> </w:t>
            </w:r>
          </w:p>
          <w:p w14:paraId="7F510615" w14:textId="77777777" w:rsidR="00134CC8" w:rsidRPr="00950C39" w:rsidRDefault="00134CC8" w:rsidP="00134CC8">
            <w:pPr>
              <w:pStyle w:val="FootnoteText"/>
              <w:spacing w:after="120"/>
              <w:ind w:left="122" w:right="180"/>
              <w:jc w:val="both"/>
              <w:rPr>
                <w:bCs/>
                <w:sz w:val="28"/>
                <w:szCs w:val="28"/>
              </w:rPr>
            </w:pPr>
            <w:r w:rsidRPr="00950C39">
              <w:rPr>
                <w:bCs/>
                <w:sz w:val="28"/>
                <w:szCs w:val="28"/>
              </w:rPr>
              <w:t>1) LAPK 87.</w:t>
            </w:r>
            <w:r w:rsidRPr="00950C39">
              <w:rPr>
                <w:bCs/>
                <w:sz w:val="28"/>
                <w:szCs w:val="28"/>
                <w:vertAlign w:val="superscript"/>
              </w:rPr>
              <w:t>1</w:t>
            </w:r>
            <w:r w:rsidRPr="00950C39">
              <w:rPr>
                <w:bCs/>
                <w:sz w:val="28"/>
                <w:szCs w:val="28"/>
              </w:rPr>
              <w:t> panta trešo daļu, nosakot administratīvo atbildību par vides piesārņošanu ar radioaktīvajām vielām, pārsniedzot noteiktos normatīvus vai pārkāpjot noteiktos ierobežojumus.</w:t>
            </w:r>
          </w:p>
          <w:p w14:paraId="62634C56" w14:textId="77777777" w:rsidR="00134CC8" w:rsidRPr="00950C39" w:rsidRDefault="00134CC8" w:rsidP="00134CC8">
            <w:pPr>
              <w:pStyle w:val="FootnoteText"/>
              <w:spacing w:after="120"/>
              <w:ind w:left="122" w:right="180"/>
              <w:jc w:val="both"/>
              <w:rPr>
                <w:bCs/>
                <w:sz w:val="28"/>
                <w:szCs w:val="28"/>
              </w:rPr>
            </w:pPr>
            <w:r w:rsidRPr="00950C39">
              <w:rPr>
                <w:bCs/>
                <w:sz w:val="28"/>
                <w:szCs w:val="28"/>
              </w:rPr>
              <w:t>2) LAPK 87.</w:t>
            </w:r>
            <w:r w:rsidRPr="00950C39">
              <w:rPr>
                <w:bCs/>
                <w:sz w:val="28"/>
                <w:szCs w:val="28"/>
                <w:vertAlign w:val="superscript"/>
              </w:rPr>
              <w:t>1</w:t>
            </w:r>
            <w:r w:rsidRPr="00950C39">
              <w:rPr>
                <w:bCs/>
                <w:sz w:val="28"/>
                <w:szCs w:val="28"/>
              </w:rPr>
              <w:t> panta astoto daļu, nosakot administratīvo atbildību par Baltijas jūras Latvijas Republikas ekonomiskās zonas ūdeņu, teritoriālo un iekšējo jūras ūdeņu (arī jūras ostu akvatoriju un upju grīvu) piesārņošanu ar radioaktīvajām vielām no kuģiem un citiem peldošiem līdzekļiem, no mākslīgām salām un citām konstrukcijām, kā arī no gaisakuģiem.</w:t>
            </w:r>
          </w:p>
          <w:p w14:paraId="16747110" w14:textId="6673AA90" w:rsidR="00134CC8" w:rsidRPr="00950C39" w:rsidRDefault="00134CC8" w:rsidP="00134CC8">
            <w:pPr>
              <w:pStyle w:val="FootnoteText"/>
              <w:spacing w:after="120"/>
              <w:ind w:left="122" w:right="180"/>
              <w:jc w:val="both"/>
              <w:rPr>
                <w:bCs/>
                <w:sz w:val="28"/>
                <w:szCs w:val="28"/>
                <w:shd w:val="clear" w:color="auto" w:fill="FFFFFF"/>
              </w:rPr>
            </w:pPr>
            <w:r w:rsidRPr="00950C39">
              <w:rPr>
                <w:bCs/>
                <w:sz w:val="28"/>
                <w:szCs w:val="28"/>
                <w:shd w:val="clear" w:color="auto" w:fill="FFFFFF"/>
              </w:rPr>
              <w:t>Šī administratīvā atbildība paredzēta, ja operators</w:t>
            </w:r>
            <w:r w:rsidRPr="00950C39">
              <w:rPr>
                <w:sz w:val="28"/>
                <w:szCs w:val="28"/>
              </w:rPr>
              <w:t xml:space="preserve"> piesārņo vidi ar radioaktīvajām vielām vai par Latvijas jūras ūdeņu (arī jūras ostu akvatoriju un upju grīvu) piesārņošanu ar radioaktīvajām vielām, neievērojot </w:t>
            </w:r>
            <w:r w:rsidRPr="00950C39">
              <w:rPr>
                <w:bCs/>
                <w:sz w:val="28"/>
                <w:szCs w:val="28"/>
                <w:shd w:val="clear" w:color="auto" w:fill="FFFFFF"/>
              </w:rPr>
              <w:t xml:space="preserve">Likuma 3. panta trešajā daļā noteikto, kā arī MK noteikumu Nr. 149 108.1. apakšpunktā un 10. pielikumā noteiktās prasības. Atbilstoši </w:t>
            </w:r>
            <w:r w:rsidR="00003C1B" w:rsidRPr="00950C39">
              <w:rPr>
                <w:bCs/>
                <w:sz w:val="28"/>
                <w:szCs w:val="28"/>
              </w:rPr>
              <w:t xml:space="preserve"> </w:t>
            </w:r>
            <w:r w:rsidR="0049189E">
              <w:rPr>
                <w:bCs/>
                <w:sz w:val="28"/>
                <w:szCs w:val="28"/>
              </w:rPr>
              <w:t>Ministru kabineta 2015. gada </w:t>
            </w:r>
            <w:r w:rsidR="00003C1B" w:rsidRPr="00950C39">
              <w:rPr>
                <w:bCs/>
                <w:sz w:val="28"/>
                <w:szCs w:val="28"/>
              </w:rPr>
              <w:t>22. decembra noteikumu Nr. 752 “Kārtība, kādā licencē un reģistrē darbības ar jonizējošā starojuma avotiem”</w:t>
            </w:r>
            <w:r w:rsidR="00003C1B">
              <w:rPr>
                <w:bCs/>
                <w:sz w:val="28"/>
                <w:szCs w:val="28"/>
              </w:rPr>
              <w:t xml:space="preserve"> (turpmāk – </w:t>
            </w:r>
            <w:r w:rsidRPr="00950C39">
              <w:rPr>
                <w:bCs/>
                <w:sz w:val="28"/>
                <w:szCs w:val="28"/>
              </w:rPr>
              <w:t>MK noteikum</w:t>
            </w:r>
            <w:r w:rsidR="00003C1B">
              <w:rPr>
                <w:bCs/>
                <w:sz w:val="28"/>
                <w:szCs w:val="28"/>
              </w:rPr>
              <w:t>i</w:t>
            </w:r>
            <w:r w:rsidRPr="00950C39">
              <w:rPr>
                <w:bCs/>
                <w:sz w:val="28"/>
                <w:szCs w:val="28"/>
              </w:rPr>
              <w:t xml:space="preserve"> Nr. 752</w:t>
            </w:r>
            <w:r w:rsidR="00003C1B">
              <w:rPr>
                <w:bCs/>
                <w:sz w:val="28"/>
                <w:szCs w:val="28"/>
              </w:rPr>
              <w:t>)</w:t>
            </w:r>
            <w:r w:rsidRPr="00950C39">
              <w:rPr>
                <w:bCs/>
                <w:sz w:val="28"/>
                <w:szCs w:val="28"/>
              </w:rPr>
              <w:t xml:space="preserve"> </w:t>
            </w:r>
            <w:r w:rsidRPr="00950C39">
              <w:rPr>
                <w:bCs/>
                <w:sz w:val="28"/>
                <w:szCs w:val="28"/>
                <w:shd w:val="clear" w:color="auto" w:fill="FFFFFF"/>
              </w:rPr>
              <w:t>29.6. apakšpunktam</w:t>
            </w:r>
            <w:r w:rsidR="00CE540B">
              <w:rPr>
                <w:bCs/>
                <w:sz w:val="28"/>
                <w:szCs w:val="28"/>
                <w:shd w:val="clear" w:color="auto" w:fill="FFFFFF"/>
              </w:rPr>
              <w:t>,</w:t>
            </w:r>
            <w:r w:rsidRPr="00950C39">
              <w:rPr>
                <w:bCs/>
                <w:sz w:val="28"/>
                <w:szCs w:val="28"/>
                <w:shd w:val="clear" w:color="auto" w:fill="FFFFFF"/>
              </w:rPr>
              <w:t xml:space="preserve"> VVD RDC licencē un reģistrācijas apliecībā norāda ierobežojumus darbībām ar </w:t>
            </w:r>
            <w:r w:rsidRPr="00950C39">
              <w:rPr>
                <w:bCs/>
                <w:sz w:val="28"/>
                <w:szCs w:val="28"/>
                <w:shd w:val="clear" w:color="auto" w:fill="FFFFFF"/>
              </w:rPr>
              <w:lastRenderedPageBreak/>
              <w:t>jonizējošā starojuma avotiem.</w:t>
            </w:r>
          </w:p>
          <w:p w14:paraId="0C2222EC" w14:textId="77777777" w:rsidR="00134CC8" w:rsidRPr="00950C39" w:rsidRDefault="00E95C6C" w:rsidP="00134CC8">
            <w:pPr>
              <w:pStyle w:val="FootnoteText"/>
              <w:spacing w:after="120"/>
              <w:ind w:left="122" w:right="180"/>
              <w:jc w:val="both"/>
              <w:rPr>
                <w:bCs/>
                <w:sz w:val="28"/>
                <w:szCs w:val="28"/>
                <w:shd w:val="clear" w:color="auto" w:fill="FFFFFF"/>
              </w:rPr>
            </w:pPr>
            <w:r>
              <w:rPr>
                <w:bCs/>
                <w:sz w:val="28"/>
                <w:szCs w:val="28"/>
                <w:shd w:val="clear" w:color="auto" w:fill="FFFFFF"/>
              </w:rPr>
              <w:t>Termins “vide” šī L</w:t>
            </w:r>
            <w:r w:rsidR="00134CC8" w:rsidRPr="00950C39">
              <w:rPr>
                <w:bCs/>
                <w:sz w:val="28"/>
                <w:szCs w:val="28"/>
                <w:shd w:val="clear" w:color="auto" w:fill="FFFFFF"/>
              </w:rPr>
              <w:t xml:space="preserve">ikumprojekta izpratnē tiek lietots, ievērojot Vides aizsardzības likuma 1. panta 17. punktā noteikto termina definīciju, lai precizētu piemērojamā administratīvā soda ietvaru attiecībā uz vides kvalitātes saglabāšanu no kaitējuma, ko var izraisīt radiācija. </w:t>
            </w:r>
          </w:p>
          <w:p w14:paraId="14A25C61" w14:textId="18BD3852" w:rsidR="004B5AD5" w:rsidRPr="00950C39" w:rsidRDefault="004B5AD5" w:rsidP="004B5AD5">
            <w:pPr>
              <w:pStyle w:val="FootnoteText"/>
              <w:spacing w:after="120"/>
              <w:ind w:left="122" w:right="180"/>
              <w:jc w:val="both"/>
              <w:rPr>
                <w:sz w:val="28"/>
                <w:szCs w:val="28"/>
              </w:rPr>
            </w:pPr>
            <w:r w:rsidRPr="00950C39">
              <w:rPr>
                <w:b/>
                <w:sz w:val="28"/>
                <w:szCs w:val="28"/>
                <w:u w:val="single"/>
              </w:rPr>
              <w:t xml:space="preserve">Likumprojekta </w:t>
            </w:r>
            <w:r w:rsidR="001D2D02" w:rsidRPr="001D2D02">
              <w:rPr>
                <w:b/>
                <w:sz w:val="28"/>
                <w:szCs w:val="28"/>
                <w:u w:val="single"/>
              </w:rPr>
              <w:t>3. </w:t>
            </w:r>
            <w:r w:rsidR="001D2D02">
              <w:rPr>
                <w:b/>
                <w:sz w:val="28"/>
                <w:szCs w:val="28"/>
                <w:u w:val="single"/>
              </w:rPr>
              <w:t>pantā iekļautā L</w:t>
            </w:r>
            <w:r w:rsidR="001D2D02" w:rsidRPr="001D2D02">
              <w:rPr>
                <w:b/>
                <w:sz w:val="28"/>
                <w:szCs w:val="28"/>
                <w:u w:val="single"/>
              </w:rPr>
              <w:t xml:space="preserve">ikuma </w:t>
            </w:r>
            <w:r w:rsidRPr="00950C39">
              <w:rPr>
                <w:b/>
                <w:sz w:val="28"/>
                <w:szCs w:val="28"/>
                <w:u w:val="single"/>
              </w:rPr>
              <w:t xml:space="preserve">31. panta </w:t>
            </w:r>
            <w:r w:rsidR="004F6226">
              <w:rPr>
                <w:b/>
                <w:sz w:val="28"/>
                <w:szCs w:val="28"/>
                <w:u w:val="single"/>
              </w:rPr>
              <w:t>trešā</w:t>
            </w:r>
            <w:r w:rsidR="001D2D02">
              <w:rPr>
                <w:b/>
                <w:sz w:val="28"/>
                <w:szCs w:val="28"/>
                <w:u w:val="single"/>
              </w:rPr>
              <w:t>s</w:t>
            </w:r>
            <w:r w:rsidRPr="00950C39">
              <w:rPr>
                <w:b/>
                <w:sz w:val="28"/>
                <w:szCs w:val="28"/>
                <w:u w:val="single"/>
              </w:rPr>
              <w:t xml:space="preserve"> daļa</w:t>
            </w:r>
            <w:r w:rsidR="001D2D02">
              <w:rPr>
                <w:b/>
                <w:sz w:val="28"/>
                <w:szCs w:val="28"/>
                <w:u w:val="single"/>
              </w:rPr>
              <w:t>s redakcija</w:t>
            </w:r>
            <w:r w:rsidRPr="00950C39">
              <w:rPr>
                <w:b/>
                <w:sz w:val="28"/>
                <w:szCs w:val="28"/>
                <w:u w:val="single"/>
              </w:rPr>
              <w:t xml:space="preserve"> pārņem</w:t>
            </w:r>
            <w:r w:rsidRPr="00950C39">
              <w:rPr>
                <w:sz w:val="28"/>
                <w:szCs w:val="28"/>
              </w:rPr>
              <w:t xml:space="preserve"> LAPK 87.</w:t>
            </w:r>
            <w:r w:rsidRPr="00950C39">
              <w:rPr>
                <w:sz w:val="28"/>
                <w:szCs w:val="28"/>
                <w:vertAlign w:val="superscript"/>
              </w:rPr>
              <w:t>1</w:t>
            </w:r>
            <w:r w:rsidRPr="00950C39">
              <w:rPr>
                <w:sz w:val="28"/>
                <w:szCs w:val="28"/>
              </w:rPr>
              <w:t> panta otro daļu, nosakot operatoriem administratīvo atbildību par neziņošanu Likuma 14. panta otrās daļas 3. punktā noteiktajai institūcijai (</w:t>
            </w:r>
            <w:r w:rsidR="004766C8" w:rsidRPr="00950C39">
              <w:rPr>
                <w:sz w:val="28"/>
                <w:szCs w:val="28"/>
              </w:rPr>
              <w:t xml:space="preserve">konkrēti, </w:t>
            </w:r>
            <w:r w:rsidRPr="00950C39">
              <w:rPr>
                <w:sz w:val="28"/>
                <w:szCs w:val="28"/>
              </w:rPr>
              <w:t xml:space="preserve">VVD </w:t>
            </w:r>
            <w:r w:rsidR="0061453A">
              <w:rPr>
                <w:sz w:val="28"/>
                <w:szCs w:val="28"/>
              </w:rPr>
              <w:t>Radiācijas drošības centrs (turpmāk – RDC)</w:t>
            </w:r>
            <w:r w:rsidRPr="00950C39">
              <w:rPr>
                <w:sz w:val="28"/>
                <w:szCs w:val="28"/>
              </w:rPr>
              <w:t>) par avāriju, ja tā saistīta ar jonizējošā starojuma avotiem, vai par šādas avārijas slēpšanu.</w:t>
            </w:r>
          </w:p>
          <w:p w14:paraId="33BEA1E6" w14:textId="77777777" w:rsidR="004B5AD5" w:rsidRPr="00950C39" w:rsidRDefault="004B5AD5" w:rsidP="004B5AD5">
            <w:pPr>
              <w:pStyle w:val="FootnoteText"/>
              <w:spacing w:after="120"/>
              <w:ind w:left="122" w:right="180"/>
              <w:jc w:val="both"/>
              <w:rPr>
                <w:sz w:val="28"/>
                <w:szCs w:val="28"/>
              </w:rPr>
            </w:pPr>
            <w:r w:rsidRPr="00950C39">
              <w:rPr>
                <w:bCs/>
                <w:sz w:val="28"/>
                <w:szCs w:val="28"/>
              </w:rPr>
              <w:t>Šī administratīvā atbildība paredzēta par</w:t>
            </w:r>
            <w:r w:rsidRPr="00950C39">
              <w:rPr>
                <w:sz w:val="28"/>
                <w:szCs w:val="28"/>
              </w:rPr>
              <w:t xml:space="preserve"> Likuma 14. panta otrās daļas 3. punktā un 16. panta pirmajā daļā, kā arī Ministru kabineta 2003. gada 8. aprīļa noteikumu Nr. 152 “Prasības attiecībā uz sagatavotību radiācijas avārijai un rīcību šādas avārijas gadījumā” (turpmāk – MK noteikumi Nr. 152) 56. un 57. punktā </w:t>
            </w:r>
            <w:r w:rsidRPr="00950C39">
              <w:rPr>
                <w:bCs/>
                <w:sz w:val="28"/>
                <w:szCs w:val="28"/>
                <w:shd w:val="clear" w:color="auto" w:fill="FFFFFF"/>
              </w:rPr>
              <w:t>noteikto prasību neievērošanu</w:t>
            </w:r>
            <w:r w:rsidRPr="00950C39">
              <w:rPr>
                <w:sz w:val="28"/>
                <w:szCs w:val="28"/>
              </w:rPr>
              <w:t>.</w:t>
            </w:r>
          </w:p>
          <w:p w14:paraId="3355B1EC" w14:textId="77777777" w:rsidR="004B5AD5" w:rsidRDefault="004B5AD5" w:rsidP="004B5AD5">
            <w:pPr>
              <w:pStyle w:val="FootnoteText"/>
              <w:spacing w:after="120"/>
              <w:ind w:left="122" w:right="180"/>
              <w:jc w:val="both"/>
              <w:rPr>
                <w:sz w:val="28"/>
                <w:szCs w:val="28"/>
              </w:rPr>
            </w:pPr>
            <w:r w:rsidRPr="00950C39">
              <w:rPr>
                <w:sz w:val="28"/>
                <w:szCs w:val="28"/>
              </w:rPr>
              <w:t>Piemērojamo sankciju apmērs tiek saglabāts esošā apmērā.</w:t>
            </w:r>
          </w:p>
          <w:p w14:paraId="79977B81" w14:textId="4971CFAE" w:rsidR="004F6226" w:rsidRPr="00522B4B" w:rsidRDefault="004F6226" w:rsidP="004F6226">
            <w:pPr>
              <w:pStyle w:val="FootnoteText"/>
              <w:spacing w:after="120"/>
              <w:ind w:left="122" w:right="180"/>
              <w:jc w:val="both"/>
              <w:rPr>
                <w:sz w:val="28"/>
                <w:szCs w:val="28"/>
              </w:rPr>
            </w:pPr>
            <w:r w:rsidRPr="00950C39">
              <w:rPr>
                <w:b/>
                <w:sz w:val="28"/>
                <w:szCs w:val="28"/>
                <w:u w:val="single"/>
              </w:rPr>
              <w:t xml:space="preserve">Likumprojekta </w:t>
            </w:r>
            <w:r w:rsidR="001D2D02" w:rsidRPr="001D2D02">
              <w:rPr>
                <w:b/>
                <w:sz w:val="28"/>
                <w:szCs w:val="28"/>
                <w:u w:val="single"/>
              </w:rPr>
              <w:t>3. </w:t>
            </w:r>
            <w:r w:rsidR="001D2D02">
              <w:rPr>
                <w:b/>
                <w:sz w:val="28"/>
                <w:szCs w:val="28"/>
                <w:u w:val="single"/>
              </w:rPr>
              <w:t>pantā iekļautā L</w:t>
            </w:r>
            <w:r w:rsidR="001D2D02" w:rsidRPr="001D2D02">
              <w:rPr>
                <w:b/>
                <w:sz w:val="28"/>
                <w:szCs w:val="28"/>
                <w:u w:val="single"/>
              </w:rPr>
              <w:t xml:space="preserve">ikuma </w:t>
            </w:r>
            <w:r w:rsidRPr="00950C39">
              <w:rPr>
                <w:b/>
                <w:sz w:val="28"/>
                <w:szCs w:val="28"/>
                <w:u w:val="single"/>
              </w:rPr>
              <w:t xml:space="preserve">31. panta </w:t>
            </w:r>
            <w:r>
              <w:rPr>
                <w:b/>
                <w:sz w:val="28"/>
                <w:szCs w:val="28"/>
                <w:u w:val="single"/>
              </w:rPr>
              <w:t>ceturtā</w:t>
            </w:r>
            <w:r w:rsidR="001D2D02">
              <w:rPr>
                <w:b/>
                <w:sz w:val="28"/>
                <w:szCs w:val="28"/>
                <w:u w:val="single"/>
              </w:rPr>
              <w:t>s</w:t>
            </w:r>
            <w:r w:rsidRPr="00950C39">
              <w:rPr>
                <w:b/>
                <w:sz w:val="28"/>
                <w:szCs w:val="28"/>
                <w:u w:val="single"/>
              </w:rPr>
              <w:t xml:space="preserve"> daļa</w:t>
            </w:r>
            <w:r w:rsidR="001D2D02">
              <w:rPr>
                <w:b/>
                <w:sz w:val="28"/>
                <w:szCs w:val="28"/>
                <w:u w:val="single"/>
              </w:rPr>
              <w:t>s redakcija</w:t>
            </w:r>
            <w:r w:rsidRPr="00950C39">
              <w:rPr>
                <w:b/>
                <w:sz w:val="28"/>
                <w:szCs w:val="28"/>
                <w:u w:val="single"/>
              </w:rPr>
              <w:t xml:space="preserve"> pārņem </w:t>
            </w:r>
            <w:r w:rsidRPr="00950C39">
              <w:rPr>
                <w:sz w:val="28"/>
                <w:szCs w:val="28"/>
              </w:rPr>
              <w:t>LAPK 166.</w:t>
            </w:r>
            <w:r w:rsidRPr="00950C39">
              <w:rPr>
                <w:sz w:val="28"/>
                <w:szCs w:val="28"/>
                <w:vertAlign w:val="superscript"/>
              </w:rPr>
              <w:t>10</w:t>
            </w:r>
            <w:r w:rsidRPr="00950C39">
              <w:rPr>
                <w:sz w:val="28"/>
                <w:szCs w:val="28"/>
              </w:rPr>
              <w:t xml:space="preserve"> pantu, nosakot administratīvo atbildību par tādu preču, </w:t>
            </w:r>
            <w:r w:rsidRPr="004F6226">
              <w:rPr>
                <w:sz w:val="28"/>
                <w:szCs w:val="28"/>
              </w:rPr>
              <w:t xml:space="preserve">laišanu </w:t>
            </w:r>
            <w:r w:rsidRPr="00522B4B">
              <w:rPr>
                <w:sz w:val="28"/>
                <w:szCs w:val="28"/>
              </w:rPr>
              <w:t>tirgū, piedāvāšanu vai pārdošanu</w:t>
            </w:r>
            <w:r w:rsidRPr="00522B4B">
              <w:rPr>
                <w:bCs/>
                <w:sz w:val="28"/>
                <w:szCs w:val="28"/>
              </w:rPr>
              <w:t xml:space="preserve">, par kurām ir pamatotas aizdomas, ka tās </w:t>
            </w:r>
            <w:r w:rsidRPr="00522B4B">
              <w:rPr>
                <w:sz w:val="28"/>
                <w:szCs w:val="28"/>
              </w:rPr>
              <w:t>satur neatļautas radioaktīvās vielas</w:t>
            </w:r>
            <w:r w:rsidR="000E0023" w:rsidRPr="00522B4B">
              <w:rPr>
                <w:sz w:val="28"/>
                <w:szCs w:val="28"/>
              </w:rPr>
              <w:t xml:space="preserve"> vai</w:t>
            </w:r>
            <w:r w:rsidRPr="00522B4B">
              <w:rPr>
                <w:sz w:val="28"/>
                <w:szCs w:val="28"/>
              </w:rPr>
              <w:t xml:space="preserve"> radioaktivitātes līmenis tajās pārsniedz normatīvajos aktos noteiktās normas.</w:t>
            </w:r>
            <w:r w:rsidR="00000310" w:rsidRPr="00522B4B">
              <w:rPr>
                <w:sz w:val="28"/>
                <w:szCs w:val="28"/>
              </w:rPr>
              <w:t xml:space="preserve"> </w:t>
            </w:r>
          </w:p>
          <w:p w14:paraId="02044701" w14:textId="028CBC74" w:rsidR="00CC1779" w:rsidRPr="00522B4B" w:rsidRDefault="00B119F1" w:rsidP="004F6226">
            <w:pPr>
              <w:pStyle w:val="FootnoteText"/>
              <w:spacing w:after="120"/>
              <w:ind w:left="122" w:right="180"/>
              <w:jc w:val="both"/>
              <w:rPr>
                <w:sz w:val="28"/>
                <w:szCs w:val="28"/>
              </w:rPr>
            </w:pPr>
            <w:r w:rsidRPr="00522B4B">
              <w:rPr>
                <w:sz w:val="28"/>
                <w:szCs w:val="28"/>
              </w:rPr>
              <w:t>Pašreiz MK noteikumos Nr.</w:t>
            </w:r>
            <w:r w:rsidR="000D659D">
              <w:rPr>
                <w:sz w:val="28"/>
                <w:szCs w:val="28"/>
              </w:rPr>
              <w:t> </w:t>
            </w:r>
            <w:r w:rsidRPr="00522B4B">
              <w:rPr>
                <w:sz w:val="28"/>
                <w:szCs w:val="28"/>
              </w:rPr>
              <w:t xml:space="preserve">149 ir noteiktas tās preču grupas, kurām nevar tikt pievienotas radioaktīvas vielas vai tās nevar tikt apstarotas, radot precēs radionuklīdus, ievērojot </w:t>
            </w:r>
            <w:r w:rsidR="000D659D">
              <w:rPr>
                <w:sz w:val="28"/>
                <w:szCs w:val="28"/>
              </w:rPr>
              <w:t>Eiropas Savienības</w:t>
            </w:r>
            <w:r w:rsidR="000D659D" w:rsidRPr="00522B4B">
              <w:rPr>
                <w:sz w:val="28"/>
                <w:szCs w:val="28"/>
              </w:rPr>
              <w:t xml:space="preserve"> </w:t>
            </w:r>
            <w:r w:rsidRPr="00522B4B">
              <w:rPr>
                <w:sz w:val="28"/>
                <w:szCs w:val="28"/>
              </w:rPr>
              <w:t>regulējumu</w:t>
            </w:r>
            <w:r w:rsidR="007208FA">
              <w:rPr>
                <w:sz w:val="28"/>
                <w:szCs w:val="28"/>
              </w:rPr>
              <w:t xml:space="preserve"> radiācijas drošības un kodoldrošības jomā</w:t>
            </w:r>
            <w:r w:rsidRPr="00522B4B">
              <w:rPr>
                <w:sz w:val="28"/>
                <w:szCs w:val="28"/>
              </w:rPr>
              <w:t xml:space="preserve">. Vienlaikus normatīvajos aktos nav noteikts citās preču grupās pieļaujamais radioaktivitātes līmenis, kā arī turpmāk nebūs iespējams to noteikt visām preču grupām objektīvu iemeslu dēļ. Arī </w:t>
            </w:r>
            <w:r w:rsidR="00333949" w:rsidRPr="00E818FA">
              <w:rPr>
                <w:sz w:val="28"/>
                <w:szCs w:val="28"/>
              </w:rPr>
              <w:t xml:space="preserve">Padomes 2013. gada 5. decembra direktīva 2013/59/Euratom, ar ko nosaka drošības pamatstandartus aizsardzībai pret jonizējošā starojuma radītajiem draudiem un atceļ Direktīvu 89/618/Euratom, Direktīvu 90/641/Euratom, Direktīvu 96/29/Euratom, Direktīvu 97/43/Euratom un Direktīvu 2003/122/Euratom (turpmāk </w:t>
            </w:r>
            <w:r w:rsidR="00333949">
              <w:rPr>
                <w:sz w:val="28"/>
                <w:szCs w:val="28"/>
              </w:rPr>
              <w:t>–</w:t>
            </w:r>
            <w:r w:rsidR="00333949" w:rsidRPr="00E818FA">
              <w:rPr>
                <w:sz w:val="28"/>
                <w:szCs w:val="28"/>
              </w:rPr>
              <w:t xml:space="preserve"> </w:t>
            </w:r>
            <w:r w:rsidR="00333949" w:rsidRPr="00522B4B">
              <w:rPr>
                <w:sz w:val="28"/>
                <w:szCs w:val="28"/>
              </w:rPr>
              <w:t>direktīva 2013/59/E</w:t>
            </w:r>
            <w:r w:rsidRPr="00522B4B">
              <w:rPr>
                <w:sz w:val="28"/>
                <w:szCs w:val="28"/>
              </w:rPr>
              <w:t>uratom</w:t>
            </w:r>
            <w:r w:rsidR="00333949">
              <w:rPr>
                <w:sz w:val="28"/>
                <w:szCs w:val="28"/>
              </w:rPr>
              <w:t>)</w:t>
            </w:r>
            <w:r w:rsidRPr="00522B4B">
              <w:rPr>
                <w:sz w:val="28"/>
                <w:szCs w:val="28"/>
              </w:rPr>
              <w:t xml:space="preserve"> un citu valstu  tiesību akti nenosaka radioaktivitātes pieļaujamo līmeni visām precēm. Ievērojot minēto, tām precēm, kurām nav iespējams noteikt konkrētu pieļaujamo radioaktivitātes līmeni, piemēro nosacījumus attiecībā uz pieļaujamiem limitiem iedzīvotājiem gadā, veicot novērtēšanu, kādu dozu no konkrētās preces saņems iedzīvotājs. Ja būs aizdomas ar radiācijas drošības risku attiecībā uz konkrētu preci, riska novērtējumu iedzīvotājiem veiks RDC, pamatojoties uz preces paredzamo lietošanu un iedzīvotāja paredzamo saskari ar preci, un sagatavos atzinumu iestādei, kura veic preču kontroli. Plānots arī papildināt normatīvos aktus radiācijas drošības jomā ar detalizētāku regulējumu par preču drošumu, arī pieļaujamos jonizējošā starojuma līmeņus.</w:t>
            </w:r>
          </w:p>
          <w:p w14:paraId="4369FCB9" w14:textId="6B56F348" w:rsidR="004F6226" w:rsidRPr="00522B4B" w:rsidRDefault="00EF1D3C" w:rsidP="004F6226">
            <w:pPr>
              <w:pStyle w:val="FootnoteText"/>
              <w:spacing w:after="120"/>
              <w:ind w:left="122" w:right="180"/>
              <w:jc w:val="both"/>
              <w:rPr>
                <w:sz w:val="28"/>
                <w:szCs w:val="28"/>
              </w:rPr>
            </w:pPr>
            <w:r w:rsidRPr="00522B4B">
              <w:rPr>
                <w:sz w:val="28"/>
                <w:szCs w:val="28"/>
              </w:rPr>
              <w:t>A</w:t>
            </w:r>
            <w:r w:rsidR="004F6226" w:rsidRPr="00522B4B">
              <w:rPr>
                <w:sz w:val="28"/>
                <w:szCs w:val="28"/>
              </w:rPr>
              <w:t>dministratīvā atbildība paredzēta par MK noteikumu Nr. 149 3., 43. </w:t>
            </w:r>
            <w:r w:rsidR="004F6226" w:rsidRPr="000D659D">
              <w:rPr>
                <w:sz w:val="28"/>
                <w:szCs w:val="28"/>
              </w:rPr>
              <w:t>punktā un 8.4.</w:t>
            </w:r>
            <w:r w:rsidR="004F6226" w:rsidRPr="00522B4B">
              <w:rPr>
                <w:sz w:val="28"/>
                <w:szCs w:val="28"/>
              </w:rPr>
              <w:t xml:space="preserve"> nodaļā noteikto prasību neievērošanu</w:t>
            </w:r>
            <w:r w:rsidR="001F0B97" w:rsidRPr="00522B4B">
              <w:rPr>
                <w:sz w:val="28"/>
                <w:szCs w:val="28"/>
              </w:rPr>
              <w:t>, kā arī MK noteikumos</w:t>
            </w:r>
            <w:r w:rsidR="007208FA">
              <w:rPr>
                <w:sz w:val="28"/>
                <w:szCs w:val="28"/>
              </w:rPr>
              <w:t xml:space="preserve"> Nr. 149</w:t>
            </w:r>
            <w:r w:rsidR="001F0B97" w:rsidRPr="00522B4B">
              <w:rPr>
                <w:sz w:val="28"/>
                <w:szCs w:val="28"/>
              </w:rPr>
              <w:t xml:space="preserve"> jau minētās prasības tiks papildinātas</w:t>
            </w:r>
            <w:r w:rsidR="004F6226" w:rsidRPr="00522B4B">
              <w:rPr>
                <w:sz w:val="28"/>
                <w:szCs w:val="28"/>
              </w:rPr>
              <w:t>.</w:t>
            </w:r>
          </w:p>
          <w:p w14:paraId="54111E98" w14:textId="76654959" w:rsidR="004F6226" w:rsidRPr="00522B4B" w:rsidRDefault="004F6226" w:rsidP="004F6226">
            <w:pPr>
              <w:pStyle w:val="FootnoteText"/>
              <w:spacing w:after="120"/>
              <w:ind w:left="122" w:right="180"/>
              <w:jc w:val="both"/>
              <w:rPr>
                <w:sz w:val="28"/>
                <w:szCs w:val="28"/>
              </w:rPr>
            </w:pPr>
            <w:r w:rsidRPr="00522B4B">
              <w:rPr>
                <w:sz w:val="28"/>
                <w:szCs w:val="28"/>
              </w:rPr>
              <w:t>Piemērojamo sankciju apmērs tiek saglabāts esošā apmērā fiziskajām personām no septiņām līdz simt četrdesmit naudas soda vienībām un samazināts juridiskajām personām – no trīsdesmit līdz divi tūkstoši astoņsimt naudas soda vienībām.</w:t>
            </w:r>
          </w:p>
          <w:p w14:paraId="2FCFA1CF" w14:textId="17FA3663" w:rsidR="00715A53" w:rsidRPr="00522B4B" w:rsidRDefault="004F6226" w:rsidP="0092759D">
            <w:pPr>
              <w:pStyle w:val="BodyTextIndent"/>
              <w:tabs>
                <w:tab w:val="left" w:pos="1440"/>
                <w:tab w:val="left" w:pos="2160"/>
                <w:tab w:val="left" w:pos="2880"/>
                <w:tab w:val="left" w:pos="3600"/>
                <w:tab w:val="left" w:pos="4320"/>
                <w:tab w:val="left" w:pos="5040"/>
                <w:tab w:val="left" w:pos="5760"/>
                <w:tab w:val="left" w:pos="6480"/>
                <w:tab w:val="left" w:pos="7229"/>
                <w:tab w:val="left" w:pos="7920"/>
                <w:tab w:val="left" w:pos="8640"/>
                <w:tab w:val="left" w:pos="9360"/>
                <w:tab w:val="left" w:pos="10080"/>
              </w:tabs>
              <w:spacing w:after="240"/>
              <w:ind w:left="82" w:right="141" w:firstLine="0"/>
              <w:rPr>
                <w:sz w:val="28"/>
                <w:szCs w:val="28"/>
                <w:lang w:val="lv-LV"/>
              </w:rPr>
            </w:pPr>
            <w:r w:rsidRPr="00522B4B">
              <w:rPr>
                <w:sz w:val="28"/>
                <w:szCs w:val="28"/>
                <w:lang w:val="lv-LV"/>
              </w:rPr>
              <w:t xml:space="preserve">Atbilstoši Likumprojekta </w:t>
            </w:r>
            <w:r w:rsidR="00A93316" w:rsidRPr="00522B4B">
              <w:rPr>
                <w:sz w:val="28"/>
                <w:szCs w:val="28"/>
                <w:lang w:val="lv-LV"/>
              </w:rPr>
              <w:t>3</w:t>
            </w:r>
            <w:r w:rsidRPr="00522B4B">
              <w:rPr>
                <w:sz w:val="28"/>
                <w:szCs w:val="28"/>
                <w:lang w:val="lv-LV"/>
              </w:rPr>
              <w:t>. pant</w:t>
            </w:r>
            <w:r w:rsidR="007208FA">
              <w:rPr>
                <w:sz w:val="28"/>
                <w:szCs w:val="28"/>
                <w:lang w:val="lv-LV"/>
              </w:rPr>
              <w:t>ā iekļautā Likuma 32. panta otrajā daļā</w:t>
            </w:r>
            <w:r w:rsidRPr="00522B4B">
              <w:rPr>
                <w:sz w:val="28"/>
                <w:szCs w:val="28"/>
                <w:lang w:val="lv-LV"/>
              </w:rPr>
              <w:t xml:space="preserve"> noteiktajam, ja būs pamatotas aizdomas (piemēram, saņemta informācija no citām valstīm), ka precēs radioaktivitātes līmenis neatbilst normatīvo aktu par aizsardzību pret jonizējošo starojumu prasībām</w:t>
            </w:r>
            <w:r w:rsidR="00715A53" w:rsidRPr="00522B4B">
              <w:rPr>
                <w:sz w:val="28"/>
                <w:szCs w:val="28"/>
                <w:lang w:val="lv-LV" w:eastAsia="lv-LV"/>
              </w:rPr>
              <w:t>,</w:t>
            </w:r>
            <w:r w:rsidR="00715A53" w:rsidRPr="00522B4B">
              <w:rPr>
                <w:sz w:val="28"/>
                <w:szCs w:val="28"/>
                <w:lang w:val="lv-LV"/>
              </w:rPr>
              <w:t xml:space="preserve"> </w:t>
            </w:r>
            <w:r w:rsidR="00A12274" w:rsidRPr="00522B4B">
              <w:rPr>
                <w:sz w:val="28"/>
                <w:szCs w:val="28"/>
                <w:lang w:val="lv-LV"/>
              </w:rPr>
              <w:t xml:space="preserve">Likumprojekta </w:t>
            </w:r>
            <w:r w:rsidR="00A93316" w:rsidRPr="00522B4B">
              <w:rPr>
                <w:sz w:val="28"/>
                <w:szCs w:val="28"/>
                <w:lang w:val="lv-LV"/>
              </w:rPr>
              <w:t>3</w:t>
            </w:r>
            <w:r w:rsidR="00A12274" w:rsidRPr="00522B4B">
              <w:rPr>
                <w:sz w:val="28"/>
                <w:szCs w:val="28"/>
                <w:lang w:val="lv-LV"/>
              </w:rPr>
              <w:t xml:space="preserve">. pantā izteiktā Likuma 32. panta otrajā daļā minētās iestādes </w:t>
            </w:r>
            <w:r w:rsidR="00234D0F" w:rsidRPr="00522B4B">
              <w:rPr>
                <w:sz w:val="28"/>
                <w:szCs w:val="28"/>
                <w:lang w:val="lv-LV"/>
              </w:rPr>
              <w:t xml:space="preserve">nodrošinās šo preču kontroli un </w:t>
            </w:r>
            <w:r w:rsidR="00A12274" w:rsidRPr="00522B4B">
              <w:rPr>
                <w:sz w:val="28"/>
                <w:szCs w:val="28"/>
                <w:lang w:val="lv-LV"/>
              </w:rPr>
              <w:t>veiks administratīv</w:t>
            </w:r>
            <w:r w:rsidR="00CA1AC5" w:rsidRPr="00522B4B">
              <w:rPr>
                <w:sz w:val="28"/>
                <w:szCs w:val="28"/>
                <w:lang w:val="lv-LV"/>
              </w:rPr>
              <w:t>ā pārkāpuma</w:t>
            </w:r>
            <w:r w:rsidR="00A12274" w:rsidRPr="00522B4B">
              <w:rPr>
                <w:sz w:val="28"/>
                <w:szCs w:val="28"/>
                <w:lang w:val="lv-LV"/>
              </w:rPr>
              <w:t xml:space="preserve"> procesu</w:t>
            </w:r>
            <w:r w:rsidRPr="00522B4B">
              <w:rPr>
                <w:sz w:val="28"/>
                <w:szCs w:val="28"/>
                <w:lang w:val="lv-LV"/>
              </w:rPr>
              <w:t>.</w:t>
            </w:r>
          </w:p>
          <w:p w14:paraId="4B7F4DF4" w14:textId="60FDB4C6" w:rsidR="004F6226" w:rsidRPr="00522B4B" w:rsidRDefault="00CA1AC5" w:rsidP="004F6226">
            <w:pPr>
              <w:pStyle w:val="BodyTextIndent"/>
              <w:tabs>
                <w:tab w:val="left" w:pos="1440"/>
                <w:tab w:val="left" w:pos="2160"/>
                <w:tab w:val="left" w:pos="2880"/>
                <w:tab w:val="left" w:pos="3600"/>
                <w:tab w:val="left" w:pos="4320"/>
                <w:tab w:val="left" w:pos="5040"/>
                <w:tab w:val="left" w:pos="5760"/>
                <w:tab w:val="left" w:pos="6480"/>
                <w:tab w:val="left" w:pos="7229"/>
                <w:tab w:val="left" w:pos="7920"/>
                <w:tab w:val="left" w:pos="8640"/>
                <w:tab w:val="left" w:pos="9360"/>
                <w:tab w:val="left" w:pos="10080"/>
              </w:tabs>
              <w:spacing w:after="240"/>
              <w:ind w:left="82" w:right="141" w:firstLine="0"/>
              <w:rPr>
                <w:rFonts w:eastAsia="Calibri"/>
                <w:bCs/>
                <w:sz w:val="28"/>
                <w:szCs w:val="28"/>
                <w:lang w:val="lv-LV" w:eastAsia="lv-LV"/>
              </w:rPr>
            </w:pPr>
            <w:r w:rsidRPr="00522B4B">
              <w:rPr>
                <w:sz w:val="28"/>
                <w:szCs w:val="28"/>
                <w:lang w:val="lv-LV"/>
              </w:rPr>
              <w:t>Administratīvā pārkāpuma</w:t>
            </w:r>
            <w:r w:rsidR="0092759D" w:rsidRPr="00522B4B">
              <w:rPr>
                <w:sz w:val="28"/>
                <w:szCs w:val="28"/>
                <w:lang w:val="lv-LV"/>
              </w:rPr>
              <w:t xml:space="preserve"> procesu </w:t>
            </w:r>
            <w:r w:rsidR="00A93316" w:rsidRPr="00522B4B">
              <w:rPr>
                <w:sz w:val="28"/>
                <w:szCs w:val="28"/>
                <w:lang w:val="lv-LV"/>
              </w:rPr>
              <w:t>veiks</w:t>
            </w:r>
            <w:r w:rsidR="0092759D" w:rsidRPr="00522B4B">
              <w:rPr>
                <w:sz w:val="28"/>
                <w:szCs w:val="28"/>
                <w:lang w:val="lv-LV"/>
              </w:rPr>
              <w:t xml:space="preserve"> sekojošas iestādes</w:t>
            </w:r>
            <w:r w:rsidR="0067106D" w:rsidRPr="00522B4B">
              <w:rPr>
                <w:sz w:val="28"/>
                <w:szCs w:val="28"/>
                <w:lang w:val="lv-LV"/>
              </w:rPr>
              <w:t xml:space="preserve"> (turpmāk</w:t>
            </w:r>
            <w:r w:rsidR="008A339C">
              <w:rPr>
                <w:sz w:val="28"/>
                <w:szCs w:val="28"/>
                <w:lang w:val="lv-LV"/>
              </w:rPr>
              <w:t xml:space="preserve"> katra no minētajām</w:t>
            </w:r>
            <w:r w:rsidR="0067106D" w:rsidRPr="00522B4B">
              <w:rPr>
                <w:sz w:val="28"/>
                <w:szCs w:val="28"/>
                <w:lang w:val="lv-LV"/>
              </w:rPr>
              <w:t xml:space="preserve"> – </w:t>
            </w:r>
            <w:r w:rsidR="00675A1E">
              <w:rPr>
                <w:sz w:val="28"/>
                <w:szCs w:val="28"/>
                <w:lang w:val="lv-LV"/>
              </w:rPr>
              <w:t>I</w:t>
            </w:r>
            <w:r w:rsidR="0067106D" w:rsidRPr="00522B4B">
              <w:rPr>
                <w:sz w:val="28"/>
                <w:szCs w:val="28"/>
                <w:lang w:val="lv-LV"/>
              </w:rPr>
              <w:t>estāde):</w:t>
            </w:r>
            <w:r w:rsidR="004F6226" w:rsidRPr="00522B4B">
              <w:rPr>
                <w:sz w:val="28"/>
                <w:szCs w:val="28"/>
                <w:lang w:val="lv-LV"/>
              </w:rPr>
              <w:t xml:space="preserve"> </w:t>
            </w:r>
            <w:r w:rsidR="00E33368" w:rsidRPr="00522B4B">
              <w:rPr>
                <w:sz w:val="28"/>
                <w:szCs w:val="28"/>
                <w:lang w:val="lv-LV"/>
              </w:rPr>
              <w:t>1)</w:t>
            </w:r>
            <w:r w:rsidR="00A93316" w:rsidRPr="00522B4B">
              <w:rPr>
                <w:sz w:val="28"/>
                <w:szCs w:val="28"/>
                <w:lang w:val="lv-LV"/>
              </w:rPr>
              <w:t> </w:t>
            </w:r>
            <w:r w:rsidR="00E33368" w:rsidRPr="00522B4B">
              <w:rPr>
                <w:sz w:val="28"/>
                <w:szCs w:val="28"/>
                <w:lang w:val="lv-LV"/>
              </w:rPr>
              <w:t xml:space="preserve">PVD – pārtikas un dzīvnieku barības aprites jomā; </w:t>
            </w:r>
            <w:r w:rsidR="00E33368" w:rsidRPr="00522B4B">
              <w:rPr>
                <w:rFonts w:eastAsia="Calibri"/>
                <w:bCs/>
                <w:sz w:val="28"/>
                <w:szCs w:val="28"/>
                <w:lang w:val="lv-LV" w:eastAsia="lv-LV"/>
              </w:rPr>
              <w:t>2) VI – kosmētikas līdzekļu drošuma un ķīmisko vielu, maisījumu un biocīdu jomā;</w:t>
            </w:r>
            <w:r w:rsidR="00E33368" w:rsidRPr="00522B4B">
              <w:rPr>
                <w:sz w:val="28"/>
                <w:szCs w:val="28"/>
                <w:lang w:val="lv-LV"/>
              </w:rPr>
              <w:t xml:space="preserve"> 3) </w:t>
            </w:r>
            <w:r w:rsidR="0004504D" w:rsidRPr="00522B4B">
              <w:rPr>
                <w:sz w:val="28"/>
                <w:szCs w:val="28"/>
                <w:lang w:val="lv-LV"/>
              </w:rPr>
              <w:t>VID</w:t>
            </w:r>
            <w:r w:rsidR="00E33368" w:rsidRPr="00522B4B">
              <w:rPr>
                <w:sz w:val="28"/>
                <w:szCs w:val="28"/>
                <w:lang w:val="lv-LV"/>
              </w:rPr>
              <w:t xml:space="preserve"> </w:t>
            </w:r>
            <w:r w:rsidR="0004504D" w:rsidRPr="00522B4B">
              <w:rPr>
                <w:sz w:val="28"/>
                <w:szCs w:val="28"/>
                <w:lang w:val="lv-LV"/>
              </w:rPr>
              <w:t xml:space="preserve">– </w:t>
            </w:r>
            <w:r w:rsidR="00E33368" w:rsidRPr="00522B4B">
              <w:rPr>
                <w:sz w:val="28"/>
                <w:szCs w:val="28"/>
                <w:lang w:val="lv-LV"/>
              </w:rPr>
              <w:t xml:space="preserve">dārgmetālu, dārgakmeņu un to izstrādājumu aprites </w:t>
            </w:r>
            <w:r w:rsidR="00E33368" w:rsidRPr="00522B4B">
              <w:rPr>
                <w:rFonts w:eastAsia="Calibri"/>
                <w:bCs/>
                <w:sz w:val="28"/>
                <w:szCs w:val="28"/>
                <w:lang w:val="lv-LV" w:eastAsia="lv-LV"/>
              </w:rPr>
              <w:t xml:space="preserve">jomā; </w:t>
            </w:r>
            <w:r w:rsidR="00E33368" w:rsidRPr="00522B4B">
              <w:rPr>
                <w:sz w:val="28"/>
                <w:szCs w:val="28"/>
                <w:lang w:val="lv-LV"/>
              </w:rPr>
              <w:t>4</w:t>
            </w:r>
            <w:r w:rsidR="004F6226" w:rsidRPr="00522B4B">
              <w:rPr>
                <w:sz w:val="28"/>
                <w:szCs w:val="28"/>
                <w:lang w:val="lv-LV"/>
              </w:rPr>
              <w:t>) PTAC –  būvmateriālu, būvizstrādājumu</w:t>
            </w:r>
            <w:r w:rsidR="00A93316" w:rsidRPr="00522B4B">
              <w:rPr>
                <w:sz w:val="28"/>
                <w:szCs w:val="28"/>
                <w:lang w:val="lv-LV"/>
              </w:rPr>
              <w:t>,</w:t>
            </w:r>
            <w:r w:rsidR="004F6226" w:rsidRPr="00522B4B">
              <w:rPr>
                <w:sz w:val="28"/>
                <w:szCs w:val="28"/>
                <w:lang w:val="lv-LV"/>
              </w:rPr>
              <w:t xml:space="preserve"> </w:t>
            </w:r>
            <w:r w:rsidR="00A93316" w:rsidRPr="00522B4B">
              <w:rPr>
                <w:sz w:val="28"/>
                <w:szCs w:val="28"/>
                <w:lang w:val="lv-LV"/>
              </w:rPr>
              <w:t>kā arī tādu preču jomā, kas domātas patērētājiem vai ko paredzamos apstākļos varētu lietot patērētāji, atbilstoši Patērētāju tiesību centra kompetencei</w:t>
            </w:r>
            <w:r w:rsidR="0067106D" w:rsidRPr="00522B4B">
              <w:rPr>
                <w:sz w:val="28"/>
                <w:szCs w:val="28"/>
                <w:lang w:val="lv-LV"/>
              </w:rPr>
              <w:t>.</w:t>
            </w:r>
          </w:p>
          <w:p w14:paraId="6DDE559E" w14:textId="2FF036D3" w:rsidR="0004504D" w:rsidRPr="00522B4B" w:rsidRDefault="00201B24" w:rsidP="00EA6BA0">
            <w:pPr>
              <w:pStyle w:val="BodyTextIndent"/>
              <w:tabs>
                <w:tab w:val="left" w:pos="1440"/>
                <w:tab w:val="left" w:pos="2160"/>
                <w:tab w:val="left" w:pos="2880"/>
                <w:tab w:val="left" w:pos="3600"/>
                <w:tab w:val="left" w:pos="4320"/>
                <w:tab w:val="left" w:pos="5040"/>
                <w:tab w:val="left" w:pos="5760"/>
                <w:tab w:val="left" w:pos="6480"/>
                <w:tab w:val="left" w:pos="7229"/>
                <w:tab w:val="left" w:pos="7920"/>
                <w:tab w:val="left" w:pos="8640"/>
                <w:tab w:val="left" w:pos="9360"/>
                <w:tab w:val="left" w:pos="10080"/>
              </w:tabs>
              <w:spacing w:after="240"/>
              <w:ind w:left="82" w:right="141" w:firstLine="0"/>
              <w:rPr>
                <w:sz w:val="28"/>
                <w:szCs w:val="28"/>
                <w:lang w:val="lv-LV"/>
              </w:rPr>
            </w:pPr>
            <w:r w:rsidRPr="00522B4B">
              <w:rPr>
                <w:rFonts w:eastAsia="Calibri"/>
                <w:bCs/>
                <w:sz w:val="28"/>
                <w:szCs w:val="28"/>
                <w:lang w:val="lv-LV" w:eastAsia="lv-LV"/>
              </w:rPr>
              <w:t>A</w:t>
            </w:r>
            <w:r w:rsidR="00E33368" w:rsidRPr="00522B4B">
              <w:rPr>
                <w:rFonts w:eastAsia="Calibri"/>
                <w:bCs/>
                <w:sz w:val="28"/>
                <w:szCs w:val="28"/>
                <w:lang w:val="lv-LV" w:eastAsia="lv-LV"/>
              </w:rPr>
              <w:t xml:space="preserve">ttiecībā uz </w:t>
            </w:r>
            <w:r w:rsidR="00E33368" w:rsidRPr="00522B4B">
              <w:rPr>
                <w:sz w:val="28"/>
                <w:szCs w:val="28"/>
                <w:lang w:val="lv-LV"/>
              </w:rPr>
              <w:t xml:space="preserve">dārgmetālu, dārgakmeņu un to izstrādājumu jomu </w:t>
            </w:r>
            <w:r w:rsidR="00CA1AC5" w:rsidRPr="00522B4B">
              <w:rPr>
                <w:sz w:val="28"/>
                <w:szCs w:val="28"/>
                <w:lang w:val="lv-LV"/>
              </w:rPr>
              <w:t>administratīvā pārkāpuma</w:t>
            </w:r>
            <w:r w:rsidR="008B21F0" w:rsidRPr="00522B4B">
              <w:rPr>
                <w:sz w:val="28"/>
                <w:szCs w:val="28"/>
                <w:lang w:val="lv-LV"/>
              </w:rPr>
              <w:t xml:space="preserve"> procesu veiks </w:t>
            </w:r>
            <w:r w:rsidR="0004504D" w:rsidRPr="00522B4B">
              <w:rPr>
                <w:sz w:val="28"/>
                <w:szCs w:val="28"/>
                <w:lang w:val="lv-LV"/>
              </w:rPr>
              <w:t>VID</w:t>
            </w:r>
            <w:r w:rsidR="005F165E" w:rsidRPr="00522B4B">
              <w:rPr>
                <w:sz w:val="28"/>
                <w:szCs w:val="28"/>
                <w:lang w:val="lv-LV"/>
              </w:rPr>
              <w:t xml:space="preserve">. </w:t>
            </w:r>
            <w:r w:rsidRPr="00522B4B">
              <w:rPr>
                <w:sz w:val="28"/>
                <w:szCs w:val="28"/>
                <w:lang w:val="lv-LV"/>
              </w:rPr>
              <w:t>Administratīvās atbildības likuma (</w:t>
            </w:r>
            <w:r w:rsidRPr="008C0F10">
              <w:rPr>
                <w:sz w:val="28"/>
                <w:szCs w:val="28"/>
                <w:lang w:val="lv-LV"/>
              </w:rPr>
              <w:t xml:space="preserve">spēkā no 2020. gada 1. jūlija) </w:t>
            </w:r>
            <w:r w:rsidR="00695AA8" w:rsidRPr="00522B4B">
              <w:rPr>
                <w:sz w:val="28"/>
                <w:szCs w:val="28"/>
                <w:lang w:val="lv-LV"/>
              </w:rPr>
              <w:t>93. panta ceturtā daļa paredz: “</w:t>
            </w:r>
            <w:r w:rsidRPr="00522B4B">
              <w:rPr>
                <w:sz w:val="28"/>
                <w:szCs w:val="28"/>
                <w:lang w:val="lv-LV"/>
              </w:rPr>
              <w:t>Ziņas par faktiem, kuras amatpersonas ieguvušas, </w:t>
            </w:r>
            <w:r w:rsidRPr="007208FA">
              <w:rPr>
                <w:sz w:val="28"/>
                <w:szCs w:val="28"/>
                <w:lang w:val="lv-LV"/>
              </w:rPr>
              <w:t>īstenojot likumā noteiktās kontroles un uzraudzības funkcijas</w:t>
            </w:r>
            <w:r w:rsidRPr="00522B4B">
              <w:rPr>
                <w:sz w:val="28"/>
                <w:szCs w:val="28"/>
                <w:lang w:val="lv-LV"/>
              </w:rPr>
              <w:t>, ir pieļaujams izmantot kā pierādījumus ad</w:t>
            </w:r>
            <w:r w:rsidR="00695AA8" w:rsidRPr="00522B4B">
              <w:rPr>
                <w:sz w:val="28"/>
                <w:szCs w:val="28"/>
                <w:lang w:val="lv-LV"/>
              </w:rPr>
              <w:t>ministratīvā pārkāpuma procesā.</w:t>
            </w:r>
            <w:r w:rsidR="001F3BD5">
              <w:rPr>
                <w:sz w:val="28"/>
                <w:szCs w:val="28"/>
                <w:lang w:val="lv-LV"/>
              </w:rPr>
              <w:t>”</w:t>
            </w:r>
            <w:r w:rsidRPr="00522B4B">
              <w:rPr>
                <w:sz w:val="28"/>
                <w:szCs w:val="28"/>
                <w:lang w:val="lv-LV"/>
              </w:rPr>
              <w:t xml:space="preserve"> Ja ir ievērota speciālajā likumā noteiktā amatpersonas kompetence ziņu iegūšanā, šīs ziņas var izmantot administratīvā pārkāpuma procesā bez papildu procesuālo darbību veikšanas.</w:t>
            </w:r>
            <w:r w:rsidR="00695AA8" w:rsidRPr="00522B4B">
              <w:rPr>
                <w:sz w:val="28"/>
                <w:szCs w:val="28"/>
                <w:lang w:val="lv-LV"/>
              </w:rPr>
              <w:t xml:space="preserve"> </w:t>
            </w:r>
            <w:r w:rsidR="00675A1E" w:rsidRPr="00522B4B">
              <w:rPr>
                <w:sz w:val="28"/>
                <w:szCs w:val="28"/>
                <w:lang w:val="lv-LV"/>
              </w:rPr>
              <w:t>Likum</w:t>
            </w:r>
            <w:r w:rsidR="00675A1E">
              <w:rPr>
                <w:sz w:val="28"/>
                <w:szCs w:val="28"/>
                <w:lang w:val="lv-LV"/>
              </w:rPr>
              <w:t>a</w:t>
            </w:r>
            <w:r w:rsidR="00695AA8" w:rsidRPr="00522B4B">
              <w:rPr>
                <w:sz w:val="28"/>
                <w:szCs w:val="28"/>
                <w:lang w:val="lv-LV"/>
              </w:rPr>
              <w:t xml:space="preserve"> “Par valsts proves uzraudzību” 15. panta ceturtā daļa</w:t>
            </w:r>
            <w:r w:rsidR="00675A1E">
              <w:rPr>
                <w:sz w:val="28"/>
                <w:szCs w:val="28"/>
                <w:lang w:val="lv-LV"/>
              </w:rPr>
              <w:t xml:space="preserve"> (likuma “Grozījumi likumā “Par valsts proves uzraudzību” redakcijā, kas pieņemta 2019. gada 17. oktobrī, bet stāsies spēkā vienlaikus ar</w:t>
            </w:r>
            <w:r w:rsidR="00675A1E" w:rsidRPr="00675A1E">
              <w:rPr>
                <w:sz w:val="28"/>
                <w:szCs w:val="28"/>
                <w:lang w:val="lv-LV"/>
              </w:rPr>
              <w:t xml:space="preserve"> Administratīvās atbildības likumu</w:t>
            </w:r>
            <w:r w:rsidR="00675A1E">
              <w:rPr>
                <w:sz w:val="28"/>
                <w:szCs w:val="28"/>
                <w:lang w:val="lv-LV"/>
              </w:rPr>
              <w:t>)</w:t>
            </w:r>
            <w:r w:rsidR="00695AA8" w:rsidRPr="00522B4B">
              <w:rPr>
                <w:sz w:val="28"/>
                <w:szCs w:val="28"/>
                <w:lang w:val="lv-LV"/>
              </w:rPr>
              <w:t xml:space="preserve"> paredz, ja VSIA “Latvijas Proves birojs” konstatē normatīvo aktu pārkāpumus, materiālus par veikto pārbaudi tas nosūta VID administratīvā pārkāpuma procesa uzsākšanai.</w:t>
            </w:r>
          </w:p>
          <w:p w14:paraId="05876F49" w14:textId="4BECD758" w:rsidR="00715A53" w:rsidRPr="00522B4B" w:rsidRDefault="00B964A6" w:rsidP="00D2669D">
            <w:pPr>
              <w:pStyle w:val="BodyTextIndent"/>
              <w:tabs>
                <w:tab w:val="left" w:pos="1440"/>
                <w:tab w:val="left" w:pos="2160"/>
                <w:tab w:val="left" w:pos="2880"/>
                <w:tab w:val="left" w:pos="3600"/>
                <w:tab w:val="left" w:pos="4320"/>
                <w:tab w:val="left" w:pos="5040"/>
                <w:tab w:val="left" w:pos="5760"/>
                <w:tab w:val="left" w:pos="6480"/>
                <w:tab w:val="left" w:pos="7229"/>
                <w:tab w:val="left" w:pos="7920"/>
                <w:tab w:val="left" w:pos="8640"/>
                <w:tab w:val="left" w:pos="9360"/>
                <w:tab w:val="left" w:pos="10080"/>
              </w:tabs>
              <w:spacing w:after="240"/>
              <w:ind w:left="141" w:right="141" w:firstLine="0"/>
              <w:rPr>
                <w:rFonts w:eastAsia="Calibri"/>
                <w:bCs/>
                <w:sz w:val="28"/>
                <w:szCs w:val="28"/>
                <w:lang w:val="lv-LV" w:eastAsia="lv-LV"/>
              </w:rPr>
            </w:pPr>
            <w:r w:rsidRPr="00522B4B">
              <w:rPr>
                <w:rFonts w:eastAsia="Calibri"/>
                <w:bCs/>
                <w:sz w:val="28"/>
                <w:szCs w:val="28"/>
                <w:lang w:val="lv-LV" w:eastAsia="lv-LV"/>
              </w:rPr>
              <w:t xml:space="preserve">Iestāde, </w:t>
            </w:r>
            <w:r w:rsidR="004F6226" w:rsidRPr="00522B4B">
              <w:rPr>
                <w:rFonts w:eastAsia="Calibri"/>
                <w:bCs/>
                <w:sz w:val="28"/>
                <w:szCs w:val="28"/>
                <w:lang w:val="lv-LV" w:eastAsia="lv-LV"/>
              </w:rPr>
              <w:t xml:space="preserve">izskatot saņemto informāciju par preci, sadarbosies ar VVD RDC, lai </w:t>
            </w:r>
            <w:r w:rsidR="00D054D9" w:rsidRPr="00522B4B">
              <w:rPr>
                <w:rFonts w:eastAsia="Calibri"/>
                <w:bCs/>
                <w:sz w:val="28"/>
                <w:szCs w:val="28"/>
                <w:lang w:val="lv-LV" w:eastAsia="lv-LV"/>
              </w:rPr>
              <w:t>tiktu izvērtēti iespējamie riski</w:t>
            </w:r>
            <w:r w:rsidR="004F6226" w:rsidRPr="00522B4B">
              <w:rPr>
                <w:rFonts w:eastAsia="Calibri"/>
                <w:bCs/>
                <w:sz w:val="28"/>
                <w:szCs w:val="28"/>
                <w:lang w:val="lv-LV" w:eastAsia="lv-LV"/>
              </w:rPr>
              <w:t xml:space="preserve">. </w:t>
            </w:r>
            <w:r w:rsidR="00715A53" w:rsidRPr="00522B4B">
              <w:rPr>
                <w:rFonts w:eastAsia="Calibri"/>
                <w:bCs/>
                <w:sz w:val="28"/>
                <w:szCs w:val="28"/>
                <w:lang w:val="lv-LV" w:eastAsia="lv-LV"/>
              </w:rPr>
              <w:t>Gadījumā, ja tiks saņemta informācija par aizdomām par kādas preces drošumu, RDC izvērtēs katras konkrētās preces drošumu atbilstoši pastāvošajiem normatīvajiem aktiem</w:t>
            </w:r>
            <w:r w:rsidR="00675A1E">
              <w:rPr>
                <w:rFonts w:eastAsia="Calibri"/>
                <w:bCs/>
                <w:sz w:val="28"/>
                <w:szCs w:val="28"/>
                <w:lang w:val="lv-LV" w:eastAsia="lv-LV"/>
              </w:rPr>
              <w:t xml:space="preserve"> radiācijas drošības un kodoldrošības jomā</w:t>
            </w:r>
            <w:r w:rsidR="00715A53" w:rsidRPr="00522B4B">
              <w:rPr>
                <w:rFonts w:eastAsia="Calibri"/>
                <w:bCs/>
                <w:sz w:val="28"/>
                <w:szCs w:val="28"/>
                <w:lang w:val="lv-LV" w:eastAsia="lv-LV"/>
              </w:rPr>
              <w:t xml:space="preserve"> un sniegs </w:t>
            </w:r>
            <w:r w:rsidR="0067106D" w:rsidRPr="00522B4B">
              <w:rPr>
                <w:rFonts w:eastAsia="Calibri"/>
                <w:bCs/>
                <w:sz w:val="28"/>
                <w:szCs w:val="28"/>
                <w:lang w:val="lv-LV" w:eastAsia="lv-LV"/>
              </w:rPr>
              <w:t>I</w:t>
            </w:r>
            <w:r w:rsidR="00715A53" w:rsidRPr="00522B4B">
              <w:rPr>
                <w:rFonts w:eastAsia="Calibri"/>
                <w:bCs/>
                <w:sz w:val="28"/>
                <w:szCs w:val="28"/>
                <w:lang w:val="lv-LV" w:eastAsia="lv-LV"/>
              </w:rPr>
              <w:t>estādei atzinumu ar norādēm par turpmāk nepieciešamām darbībām, tai skaitā preces izņemšanu no tirgus.</w:t>
            </w:r>
          </w:p>
          <w:p w14:paraId="5EE7AA0D" w14:textId="589057C1" w:rsidR="008355DD" w:rsidRPr="00522B4B" w:rsidRDefault="008355DD" w:rsidP="008355DD">
            <w:pPr>
              <w:pStyle w:val="BodyTextIndent"/>
              <w:tabs>
                <w:tab w:val="left" w:pos="1440"/>
                <w:tab w:val="left" w:pos="2160"/>
                <w:tab w:val="left" w:pos="2880"/>
                <w:tab w:val="left" w:pos="3600"/>
                <w:tab w:val="left" w:pos="4320"/>
                <w:tab w:val="left" w:pos="5040"/>
                <w:tab w:val="left" w:pos="5760"/>
                <w:tab w:val="left" w:pos="6480"/>
                <w:tab w:val="left" w:pos="7229"/>
                <w:tab w:val="left" w:pos="7920"/>
                <w:tab w:val="left" w:pos="8640"/>
                <w:tab w:val="left" w:pos="9360"/>
                <w:tab w:val="left" w:pos="10080"/>
              </w:tabs>
              <w:spacing w:after="240"/>
              <w:ind w:left="141" w:right="141" w:firstLine="0"/>
              <w:rPr>
                <w:rFonts w:eastAsia="Calibri"/>
                <w:bCs/>
                <w:sz w:val="28"/>
                <w:szCs w:val="28"/>
                <w:lang w:val="lv-LV" w:eastAsia="lv-LV"/>
              </w:rPr>
            </w:pPr>
            <w:r w:rsidRPr="00522B4B">
              <w:rPr>
                <w:rFonts w:eastAsia="Calibri"/>
                <w:bCs/>
                <w:sz w:val="28"/>
                <w:szCs w:val="28"/>
                <w:lang w:val="lv-LV" w:eastAsia="lv-LV"/>
              </w:rPr>
              <w:t xml:space="preserve">RDC katrā konkrētā gadījumā vērtēs preču drošumu, tai skaitā veiks aprēķinus par preces izraisīto efektīvo jonizējošā starojuma dozu un sniegs </w:t>
            </w:r>
            <w:r w:rsidR="0004435D" w:rsidRPr="00522B4B">
              <w:rPr>
                <w:rFonts w:eastAsia="Calibri"/>
                <w:bCs/>
                <w:sz w:val="28"/>
                <w:szCs w:val="28"/>
                <w:lang w:val="lv-LV" w:eastAsia="lv-LV"/>
              </w:rPr>
              <w:t>I</w:t>
            </w:r>
            <w:r w:rsidRPr="00522B4B">
              <w:rPr>
                <w:rFonts w:eastAsia="Calibri"/>
                <w:bCs/>
                <w:sz w:val="28"/>
                <w:szCs w:val="28"/>
                <w:lang w:val="lv-LV" w:eastAsia="lv-LV"/>
              </w:rPr>
              <w:t>estādei atzinumu.</w:t>
            </w:r>
          </w:p>
          <w:p w14:paraId="787397B3" w14:textId="3483776F" w:rsidR="004F6226" w:rsidRPr="00100E65" w:rsidRDefault="008355DD" w:rsidP="008355DD">
            <w:pPr>
              <w:pStyle w:val="BodyTextIndent"/>
              <w:tabs>
                <w:tab w:val="left" w:pos="1440"/>
                <w:tab w:val="left" w:pos="2160"/>
                <w:tab w:val="left" w:pos="2880"/>
                <w:tab w:val="left" w:pos="3600"/>
                <w:tab w:val="left" w:pos="4320"/>
                <w:tab w:val="left" w:pos="5040"/>
                <w:tab w:val="left" w:pos="5760"/>
                <w:tab w:val="left" w:pos="6480"/>
                <w:tab w:val="left" w:pos="7229"/>
                <w:tab w:val="left" w:pos="7920"/>
                <w:tab w:val="left" w:pos="8640"/>
                <w:tab w:val="left" w:pos="9360"/>
                <w:tab w:val="left" w:pos="10080"/>
              </w:tabs>
              <w:spacing w:after="240"/>
              <w:ind w:left="82" w:right="141" w:firstLine="0"/>
              <w:rPr>
                <w:rFonts w:eastAsia="Calibri"/>
                <w:bCs/>
                <w:sz w:val="28"/>
                <w:szCs w:val="28"/>
                <w:lang w:val="lv-LV" w:eastAsia="lv-LV"/>
              </w:rPr>
            </w:pPr>
            <w:r>
              <w:rPr>
                <w:rFonts w:eastAsia="Calibri"/>
                <w:bCs/>
                <w:sz w:val="28"/>
                <w:szCs w:val="28"/>
                <w:lang w:val="lv-LV" w:eastAsia="lv-LV"/>
              </w:rPr>
              <w:t>Gadījumā</w:t>
            </w:r>
            <w:r w:rsidR="004F6226" w:rsidRPr="00100E65">
              <w:rPr>
                <w:rFonts w:eastAsia="Calibri"/>
                <w:bCs/>
                <w:sz w:val="28"/>
                <w:szCs w:val="28"/>
                <w:lang w:val="lv-LV" w:eastAsia="lv-LV"/>
              </w:rPr>
              <w:t xml:space="preserve">, ja </w:t>
            </w:r>
            <w:r w:rsidR="0004435D">
              <w:rPr>
                <w:rFonts w:eastAsia="Calibri"/>
                <w:bCs/>
                <w:sz w:val="28"/>
                <w:szCs w:val="28"/>
                <w:lang w:val="lv-LV" w:eastAsia="lv-LV"/>
              </w:rPr>
              <w:t>I</w:t>
            </w:r>
            <w:r w:rsidR="004F6226" w:rsidRPr="00100E65">
              <w:rPr>
                <w:rFonts w:eastAsia="Calibri"/>
                <w:bCs/>
                <w:sz w:val="28"/>
                <w:szCs w:val="28"/>
                <w:lang w:val="lv-LV" w:eastAsia="lv-LV"/>
              </w:rPr>
              <w:t>estāde saņems inform</w:t>
            </w:r>
            <w:r>
              <w:rPr>
                <w:rFonts w:eastAsia="Calibri"/>
                <w:bCs/>
                <w:sz w:val="28"/>
                <w:szCs w:val="28"/>
                <w:lang w:val="lv-LV" w:eastAsia="lv-LV"/>
              </w:rPr>
              <w:t>āciju</w:t>
            </w:r>
            <w:r w:rsidR="004F6226" w:rsidRPr="00100E65">
              <w:rPr>
                <w:rFonts w:eastAsia="Calibri"/>
                <w:bCs/>
                <w:sz w:val="28"/>
                <w:szCs w:val="28"/>
                <w:lang w:val="lv-LV" w:eastAsia="lv-LV"/>
              </w:rPr>
              <w:t xml:space="preserve"> </w:t>
            </w:r>
            <w:r>
              <w:rPr>
                <w:rFonts w:eastAsia="Calibri"/>
                <w:bCs/>
                <w:sz w:val="28"/>
                <w:szCs w:val="28"/>
                <w:lang w:val="lv-LV" w:eastAsia="lv-LV"/>
              </w:rPr>
              <w:t>par aizdomām</w:t>
            </w:r>
            <w:r w:rsidR="004F6226" w:rsidRPr="00100E65">
              <w:rPr>
                <w:rFonts w:eastAsia="Calibri"/>
                <w:bCs/>
                <w:sz w:val="28"/>
                <w:szCs w:val="28"/>
                <w:lang w:val="lv-LV" w:eastAsia="lv-LV"/>
              </w:rPr>
              <w:t>, ka prece var saturēt radioaktīvās vielas</w:t>
            </w:r>
            <w:r w:rsidR="00043177">
              <w:rPr>
                <w:rFonts w:eastAsia="Calibri"/>
                <w:bCs/>
                <w:sz w:val="28"/>
                <w:szCs w:val="28"/>
                <w:lang w:val="lv-LV" w:eastAsia="lv-LV"/>
              </w:rPr>
              <w:t>, kuru radioaktivitāte pārsniedz</w:t>
            </w:r>
            <w:r>
              <w:rPr>
                <w:rFonts w:eastAsia="Calibri"/>
                <w:bCs/>
                <w:sz w:val="28"/>
                <w:szCs w:val="28"/>
                <w:lang w:val="lv-LV" w:eastAsia="lv-LV"/>
              </w:rPr>
              <w:t xml:space="preserve"> </w:t>
            </w:r>
            <w:r w:rsidR="00043177">
              <w:rPr>
                <w:rFonts w:eastAsia="Calibri"/>
                <w:bCs/>
                <w:sz w:val="28"/>
                <w:szCs w:val="28"/>
                <w:lang w:val="lv-LV" w:eastAsia="lv-LV"/>
              </w:rPr>
              <w:t>noteiktu līmeni</w:t>
            </w:r>
            <w:r w:rsidR="004F6226" w:rsidRPr="00100E65">
              <w:rPr>
                <w:rFonts w:eastAsia="Calibri"/>
                <w:bCs/>
                <w:sz w:val="28"/>
                <w:szCs w:val="28"/>
                <w:lang w:val="lv-LV" w:eastAsia="lv-LV"/>
              </w:rPr>
              <w:t xml:space="preserve">, </w:t>
            </w:r>
            <w:r w:rsidR="00054656">
              <w:rPr>
                <w:rFonts w:eastAsia="Calibri"/>
                <w:bCs/>
                <w:sz w:val="28"/>
                <w:szCs w:val="28"/>
                <w:lang w:val="lv-LV" w:eastAsia="lv-LV"/>
              </w:rPr>
              <w:t>I</w:t>
            </w:r>
            <w:r w:rsidR="004F6226" w:rsidRPr="00100E65">
              <w:rPr>
                <w:rFonts w:eastAsia="Calibri"/>
                <w:bCs/>
                <w:sz w:val="28"/>
                <w:szCs w:val="28"/>
                <w:lang w:val="lv-LV" w:eastAsia="lv-LV"/>
              </w:rPr>
              <w:t xml:space="preserve">estāde </w:t>
            </w:r>
            <w:r>
              <w:rPr>
                <w:rFonts w:eastAsia="Calibri"/>
                <w:bCs/>
                <w:sz w:val="28"/>
                <w:szCs w:val="28"/>
                <w:lang w:val="lv-LV" w:eastAsia="lv-LV"/>
              </w:rPr>
              <w:t>informēs par to RDC un lūgs RDC sniegt atzinumu.</w:t>
            </w:r>
            <w:r w:rsidR="004F6226" w:rsidRPr="00100E65">
              <w:rPr>
                <w:rFonts w:eastAsia="Calibri"/>
                <w:bCs/>
                <w:sz w:val="28"/>
                <w:szCs w:val="28"/>
                <w:lang w:val="lv-LV" w:eastAsia="lv-LV"/>
              </w:rPr>
              <w:t xml:space="preserve"> </w:t>
            </w:r>
            <w:r w:rsidR="00054656">
              <w:rPr>
                <w:rFonts w:eastAsia="Calibri"/>
                <w:bCs/>
                <w:sz w:val="28"/>
                <w:szCs w:val="28"/>
                <w:lang w:val="lv-LV" w:eastAsia="lv-LV"/>
              </w:rPr>
              <w:t>I</w:t>
            </w:r>
            <w:r>
              <w:rPr>
                <w:rFonts w:eastAsia="Calibri"/>
                <w:bCs/>
                <w:sz w:val="28"/>
                <w:szCs w:val="28"/>
                <w:lang w:val="lv-LV" w:eastAsia="lv-LV"/>
              </w:rPr>
              <w:t xml:space="preserve">estāde sadarbosies ar </w:t>
            </w:r>
            <w:r w:rsidR="004F6226" w:rsidRPr="00100E65">
              <w:rPr>
                <w:rFonts w:eastAsia="Calibri"/>
                <w:bCs/>
                <w:sz w:val="28"/>
                <w:szCs w:val="28"/>
                <w:lang w:val="lv-LV" w:eastAsia="lv-LV"/>
              </w:rPr>
              <w:t xml:space="preserve">RDC, lai izvērtētu situāciju (arī konkrētajā tirdzniecības vietā) un RDC varētu apkopot nepieciešamo informāciju atzinuma sagatavošanai. </w:t>
            </w:r>
          </w:p>
          <w:p w14:paraId="058FAC36" w14:textId="641FE7A6" w:rsidR="004F6226" w:rsidRPr="00100E65" w:rsidRDefault="004F6226" w:rsidP="004F6226">
            <w:pPr>
              <w:pStyle w:val="BodyTextIndent"/>
              <w:tabs>
                <w:tab w:val="left" w:pos="1440"/>
                <w:tab w:val="left" w:pos="2160"/>
                <w:tab w:val="left" w:pos="2880"/>
                <w:tab w:val="left" w:pos="3600"/>
                <w:tab w:val="left" w:pos="4320"/>
                <w:tab w:val="left" w:pos="5040"/>
                <w:tab w:val="left" w:pos="5760"/>
                <w:tab w:val="left" w:pos="6480"/>
                <w:tab w:val="left" w:pos="7229"/>
                <w:tab w:val="left" w:pos="7920"/>
                <w:tab w:val="left" w:pos="8640"/>
                <w:tab w:val="left" w:pos="9360"/>
                <w:tab w:val="left" w:pos="10080"/>
              </w:tabs>
              <w:spacing w:after="240"/>
              <w:ind w:left="82" w:right="141" w:firstLine="0"/>
              <w:rPr>
                <w:rFonts w:eastAsia="Calibri"/>
                <w:bCs/>
                <w:sz w:val="28"/>
                <w:szCs w:val="28"/>
                <w:lang w:val="lv-LV" w:eastAsia="lv-LV"/>
              </w:rPr>
            </w:pPr>
            <w:r w:rsidRPr="00100E65">
              <w:rPr>
                <w:rFonts w:eastAsia="Calibri"/>
                <w:bCs/>
                <w:sz w:val="28"/>
                <w:szCs w:val="28"/>
                <w:lang w:val="lv-LV" w:eastAsia="lv-LV"/>
              </w:rPr>
              <w:t>Savukārt</w:t>
            </w:r>
            <w:r w:rsidR="0061453A">
              <w:rPr>
                <w:rFonts w:eastAsia="Calibri"/>
                <w:bCs/>
                <w:sz w:val="28"/>
                <w:szCs w:val="28"/>
                <w:lang w:val="lv-LV" w:eastAsia="lv-LV"/>
              </w:rPr>
              <w:t>, ja RDC saņems informāciju par aizdomām attiecībā uz nepieļaujamo radioaktīvo piesārņojumu precē,</w:t>
            </w:r>
            <w:r w:rsidRPr="00100E65">
              <w:rPr>
                <w:rFonts w:eastAsia="Calibri"/>
                <w:bCs/>
                <w:sz w:val="28"/>
                <w:szCs w:val="28"/>
                <w:lang w:val="lv-LV" w:eastAsia="lv-LV"/>
              </w:rPr>
              <w:t xml:space="preserve"> RDC informēs attiecīgo </w:t>
            </w:r>
            <w:r w:rsidR="00054656">
              <w:rPr>
                <w:rFonts w:eastAsia="Calibri"/>
                <w:bCs/>
                <w:sz w:val="28"/>
                <w:szCs w:val="28"/>
                <w:lang w:val="lv-LV" w:eastAsia="lv-LV"/>
              </w:rPr>
              <w:t>I</w:t>
            </w:r>
            <w:r w:rsidRPr="00100E65">
              <w:rPr>
                <w:rFonts w:eastAsia="Calibri"/>
                <w:bCs/>
                <w:sz w:val="28"/>
                <w:szCs w:val="28"/>
                <w:lang w:val="lv-LV" w:eastAsia="lv-LV"/>
              </w:rPr>
              <w:t xml:space="preserve">estādi, lai </w:t>
            </w:r>
            <w:r w:rsidR="00A12E5D">
              <w:rPr>
                <w:rFonts w:eastAsia="Calibri"/>
                <w:bCs/>
                <w:sz w:val="28"/>
                <w:szCs w:val="28"/>
                <w:lang w:val="lv-LV" w:eastAsia="lv-LV"/>
              </w:rPr>
              <w:t>I</w:t>
            </w:r>
            <w:r w:rsidRPr="00100E65">
              <w:rPr>
                <w:rFonts w:eastAsia="Calibri"/>
                <w:bCs/>
                <w:sz w:val="28"/>
                <w:szCs w:val="28"/>
                <w:lang w:val="lv-LV" w:eastAsia="lv-LV"/>
              </w:rPr>
              <w:t xml:space="preserve">estāde uzsāktu kontroles procesu. Vienlaikus RDC atbilstoši </w:t>
            </w:r>
            <w:r w:rsidR="00A12E5D">
              <w:rPr>
                <w:rFonts w:eastAsia="Calibri"/>
                <w:bCs/>
                <w:sz w:val="28"/>
                <w:szCs w:val="28"/>
                <w:lang w:val="lv-LV" w:eastAsia="lv-LV"/>
              </w:rPr>
              <w:t>I</w:t>
            </w:r>
            <w:r w:rsidRPr="00100E65">
              <w:rPr>
                <w:rFonts w:eastAsia="Calibri"/>
                <w:bCs/>
                <w:sz w:val="28"/>
                <w:szCs w:val="28"/>
                <w:lang w:val="lv-LV" w:eastAsia="lv-LV"/>
              </w:rPr>
              <w:t xml:space="preserve">estādes </w:t>
            </w:r>
            <w:r w:rsidR="0061453A">
              <w:rPr>
                <w:rFonts w:eastAsia="Calibri"/>
                <w:bCs/>
                <w:sz w:val="28"/>
                <w:szCs w:val="28"/>
                <w:lang w:val="lv-LV" w:eastAsia="lv-LV"/>
              </w:rPr>
              <w:t>pieprasījumam</w:t>
            </w:r>
            <w:r w:rsidRPr="00100E65">
              <w:rPr>
                <w:rFonts w:eastAsia="Calibri"/>
                <w:bCs/>
                <w:sz w:val="28"/>
                <w:szCs w:val="28"/>
                <w:lang w:val="lv-LV" w:eastAsia="lv-LV"/>
              </w:rPr>
              <w:t xml:space="preserve"> piedalīsies situācijas izvērtēšanā (arī tirdzniecības vietā) un apkopos nepieciešamo informācij</w:t>
            </w:r>
            <w:r>
              <w:rPr>
                <w:rFonts w:eastAsia="Calibri"/>
                <w:bCs/>
                <w:sz w:val="28"/>
                <w:szCs w:val="28"/>
                <w:lang w:val="lv-LV" w:eastAsia="lv-LV"/>
              </w:rPr>
              <w:t>u</w:t>
            </w:r>
            <w:r w:rsidRPr="00100E65">
              <w:rPr>
                <w:rFonts w:eastAsia="Calibri"/>
                <w:bCs/>
                <w:sz w:val="28"/>
                <w:szCs w:val="28"/>
                <w:lang w:val="lv-LV" w:eastAsia="lv-LV"/>
              </w:rPr>
              <w:t xml:space="preserve"> atzinuma sagatavošanai.</w:t>
            </w:r>
          </w:p>
          <w:p w14:paraId="73CE4298" w14:textId="77777777" w:rsidR="004F6226" w:rsidRPr="00100E65" w:rsidRDefault="004F6226" w:rsidP="004F6226">
            <w:pPr>
              <w:pStyle w:val="BodyTextIndent"/>
              <w:tabs>
                <w:tab w:val="left" w:pos="1440"/>
                <w:tab w:val="left" w:pos="2160"/>
                <w:tab w:val="left" w:pos="2880"/>
                <w:tab w:val="left" w:pos="3600"/>
                <w:tab w:val="left" w:pos="4320"/>
                <w:tab w:val="left" w:pos="5040"/>
                <w:tab w:val="left" w:pos="5760"/>
                <w:tab w:val="left" w:pos="6480"/>
                <w:tab w:val="left" w:pos="7229"/>
                <w:tab w:val="left" w:pos="7920"/>
                <w:tab w:val="left" w:pos="8640"/>
                <w:tab w:val="left" w:pos="9360"/>
                <w:tab w:val="left" w:pos="10080"/>
              </w:tabs>
              <w:spacing w:after="240"/>
              <w:ind w:left="82" w:right="141" w:firstLine="0"/>
              <w:rPr>
                <w:rFonts w:eastAsia="Calibri"/>
                <w:bCs/>
                <w:sz w:val="28"/>
                <w:szCs w:val="28"/>
                <w:lang w:val="lv-LV" w:eastAsia="lv-LV"/>
              </w:rPr>
            </w:pPr>
            <w:r w:rsidRPr="00100E65">
              <w:rPr>
                <w:rFonts w:eastAsia="Calibri"/>
                <w:bCs/>
                <w:sz w:val="28"/>
                <w:szCs w:val="28"/>
                <w:lang w:val="lv-LV" w:eastAsia="lv-LV"/>
              </w:rPr>
              <w:t>RDC situācijas izvērtēšanā veiks sākotnējos jonizējošā starojuma mērījumus konkrētai precei, iepazīsies ar informāciju par preci, tā</w:t>
            </w:r>
            <w:r w:rsidR="0061453A">
              <w:rPr>
                <w:rFonts w:eastAsia="Calibri"/>
                <w:bCs/>
                <w:sz w:val="28"/>
                <w:szCs w:val="28"/>
                <w:lang w:val="lv-LV" w:eastAsia="lv-LV"/>
              </w:rPr>
              <w:t>s</w:t>
            </w:r>
            <w:r w:rsidRPr="00100E65">
              <w:rPr>
                <w:rFonts w:eastAsia="Calibri"/>
                <w:bCs/>
                <w:sz w:val="28"/>
                <w:szCs w:val="28"/>
                <w:lang w:val="lv-LV" w:eastAsia="lv-LV"/>
              </w:rPr>
              <w:t xml:space="preserve"> ražotāju, kā arī veiks citas  atzinuma sagatavošanai nepieciešamās darbības. </w:t>
            </w:r>
          </w:p>
          <w:p w14:paraId="4ADDBD26" w14:textId="3706BD32" w:rsidR="004F6226" w:rsidRPr="00100E65" w:rsidRDefault="004F6226" w:rsidP="004F6226">
            <w:pPr>
              <w:pStyle w:val="BodyTextIndent"/>
              <w:tabs>
                <w:tab w:val="left" w:pos="1440"/>
                <w:tab w:val="left" w:pos="2160"/>
                <w:tab w:val="left" w:pos="2880"/>
                <w:tab w:val="left" w:pos="3600"/>
                <w:tab w:val="left" w:pos="4320"/>
                <w:tab w:val="left" w:pos="5040"/>
                <w:tab w:val="left" w:pos="5760"/>
                <w:tab w:val="left" w:pos="6480"/>
                <w:tab w:val="left" w:pos="7229"/>
                <w:tab w:val="left" w:pos="7920"/>
                <w:tab w:val="left" w:pos="8640"/>
                <w:tab w:val="left" w:pos="9360"/>
                <w:tab w:val="left" w:pos="10080"/>
              </w:tabs>
              <w:spacing w:after="240"/>
              <w:ind w:left="141" w:right="141" w:firstLine="0"/>
              <w:rPr>
                <w:sz w:val="28"/>
                <w:szCs w:val="28"/>
                <w:lang w:val="lv-LV" w:eastAsia="lv-LV"/>
              </w:rPr>
            </w:pPr>
            <w:r w:rsidRPr="00100E65">
              <w:rPr>
                <w:rFonts w:eastAsia="Calibri"/>
                <w:bCs/>
                <w:sz w:val="28"/>
                <w:szCs w:val="28"/>
                <w:lang w:val="lv-LV" w:eastAsia="lv-LV"/>
              </w:rPr>
              <w:t>Nepieciešamības gadījumā</w:t>
            </w:r>
            <w:r w:rsidR="00784ADF">
              <w:rPr>
                <w:rFonts w:eastAsia="Calibri"/>
                <w:bCs/>
                <w:sz w:val="28"/>
                <w:szCs w:val="28"/>
                <w:lang w:val="lv-LV" w:eastAsia="lv-LV"/>
              </w:rPr>
              <w:t xml:space="preserve"> I</w:t>
            </w:r>
            <w:r w:rsidRPr="00100E65">
              <w:rPr>
                <w:rFonts w:eastAsia="Calibri"/>
                <w:bCs/>
                <w:sz w:val="28"/>
                <w:szCs w:val="28"/>
                <w:lang w:val="lv-LV" w:eastAsia="lv-LV"/>
              </w:rPr>
              <w:t xml:space="preserve">estāde vērsīsies pie konkrētās preces </w:t>
            </w:r>
            <w:r w:rsidR="00784ADF">
              <w:rPr>
                <w:rFonts w:eastAsia="Calibri"/>
                <w:bCs/>
                <w:sz w:val="28"/>
                <w:szCs w:val="28"/>
                <w:lang w:val="lv-LV" w:eastAsia="lv-LV"/>
              </w:rPr>
              <w:t xml:space="preserve">ražotāja, importētāja vai </w:t>
            </w:r>
            <w:r w:rsidRPr="00100E65">
              <w:rPr>
                <w:rFonts w:eastAsia="Calibri"/>
                <w:bCs/>
                <w:sz w:val="28"/>
                <w:szCs w:val="28"/>
                <w:lang w:val="lv-LV" w:eastAsia="lv-LV"/>
              </w:rPr>
              <w:t>izplatītāja, lai iegūtu informāciju par preces izgatavošanas nosacījumiem</w:t>
            </w:r>
            <w:r w:rsidR="001F0B97">
              <w:rPr>
                <w:rFonts w:eastAsia="Calibri"/>
                <w:bCs/>
                <w:sz w:val="28"/>
                <w:szCs w:val="28"/>
                <w:lang w:val="lv-LV" w:eastAsia="lv-LV"/>
              </w:rPr>
              <w:t xml:space="preserve"> saskaņā ar normatīvajiem aktiem par preču un pakalpojumu drošumu</w:t>
            </w:r>
            <w:r w:rsidRPr="00100E65">
              <w:rPr>
                <w:rFonts w:eastAsia="Calibri"/>
                <w:bCs/>
                <w:sz w:val="28"/>
                <w:szCs w:val="28"/>
                <w:lang w:val="lv-LV" w:eastAsia="lv-LV"/>
              </w:rPr>
              <w:t>. RDC nepieciešamības gadījumā palīdzēs sagatavot informācijas pieprasījumu.</w:t>
            </w:r>
          </w:p>
          <w:p w14:paraId="37AE456E" w14:textId="1895049A" w:rsidR="0061453A" w:rsidRDefault="004F6226" w:rsidP="004F6226">
            <w:pPr>
              <w:pStyle w:val="BodyTextIndent"/>
              <w:tabs>
                <w:tab w:val="left" w:pos="1440"/>
                <w:tab w:val="left" w:pos="2160"/>
                <w:tab w:val="left" w:pos="2880"/>
                <w:tab w:val="left" w:pos="3600"/>
                <w:tab w:val="left" w:pos="4320"/>
                <w:tab w:val="left" w:pos="5040"/>
                <w:tab w:val="left" w:pos="5760"/>
                <w:tab w:val="left" w:pos="6480"/>
                <w:tab w:val="left" w:pos="7229"/>
                <w:tab w:val="left" w:pos="7920"/>
                <w:tab w:val="left" w:pos="8640"/>
                <w:tab w:val="left" w:pos="9360"/>
                <w:tab w:val="left" w:pos="10080"/>
              </w:tabs>
              <w:spacing w:after="240"/>
              <w:ind w:left="141" w:right="141" w:firstLine="0"/>
              <w:rPr>
                <w:rFonts w:eastAsia="Calibri"/>
                <w:bCs/>
                <w:sz w:val="28"/>
                <w:szCs w:val="28"/>
                <w:lang w:val="lv-LV" w:eastAsia="lv-LV"/>
              </w:rPr>
            </w:pPr>
            <w:r w:rsidRPr="00861A16">
              <w:rPr>
                <w:rFonts w:eastAsia="Calibri"/>
                <w:bCs/>
                <w:sz w:val="28"/>
                <w:szCs w:val="28"/>
                <w:lang w:val="lv-LV" w:eastAsia="lv-LV"/>
              </w:rPr>
              <w:t xml:space="preserve">Lai pārliecinātos par preces drošumu, </w:t>
            </w:r>
            <w:r w:rsidR="007631FE">
              <w:rPr>
                <w:rFonts w:eastAsia="Calibri"/>
                <w:bCs/>
                <w:sz w:val="28"/>
                <w:szCs w:val="28"/>
                <w:lang w:val="lv-LV" w:eastAsia="lv-LV"/>
              </w:rPr>
              <w:t>I</w:t>
            </w:r>
            <w:r w:rsidRPr="00861A16">
              <w:rPr>
                <w:rFonts w:eastAsia="Calibri"/>
                <w:bCs/>
                <w:sz w:val="28"/>
                <w:szCs w:val="28"/>
                <w:lang w:val="lv-LV" w:eastAsia="lv-LV"/>
              </w:rPr>
              <w:t>estāde organizē</w:t>
            </w:r>
            <w:r w:rsidR="00B95258">
              <w:rPr>
                <w:rFonts w:eastAsia="Calibri"/>
                <w:bCs/>
                <w:sz w:val="28"/>
                <w:szCs w:val="28"/>
                <w:lang w:val="lv-LV" w:eastAsia="lv-LV"/>
              </w:rPr>
              <w:t>s</w:t>
            </w:r>
            <w:r w:rsidRPr="00861A16">
              <w:rPr>
                <w:rFonts w:eastAsia="Calibri"/>
                <w:bCs/>
                <w:sz w:val="28"/>
                <w:szCs w:val="28"/>
                <w:lang w:val="lv-LV" w:eastAsia="lv-LV"/>
              </w:rPr>
              <w:t xml:space="preserve"> preču parauga nogādāšanu laboratorisku radioaktivitātes mērījumu veikšanai. RDC</w:t>
            </w:r>
            <w:r w:rsidRPr="00100E65">
              <w:rPr>
                <w:rFonts w:eastAsia="Calibri"/>
                <w:bCs/>
                <w:sz w:val="28"/>
                <w:szCs w:val="28"/>
                <w:lang w:val="lv-LV" w:eastAsia="lv-LV"/>
              </w:rPr>
              <w:t xml:space="preserve"> sniegs informāciju, kāda veida radionuklīdu radioaktivitātes mērījumi ir jāpieprasa.</w:t>
            </w:r>
          </w:p>
          <w:p w14:paraId="33AA52A5" w14:textId="3801125A" w:rsidR="004F6226" w:rsidRPr="00100E65" w:rsidRDefault="004F6226" w:rsidP="004F6226">
            <w:pPr>
              <w:pStyle w:val="BodyTextIndent"/>
              <w:tabs>
                <w:tab w:val="left" w:pos="1440"/>
                <w:tab w:val="left" w:pos="2160"/>
                <w:tab w:val="left" w:pos="2880"/>
                <w:tab w:val="left" w:pos="3600"/>
                <w:tab w:val="left" w:pos="4320"/>
                <w:tab w:val="left" w:pos="5040"/>
                <w:tab w:val="left" w:pos="5760"/>
                <w:tab w:val="left" w:pos="6480"/>
                <w:tab w:val="left" w:pos="7229"/>
                <w:tab w:val="left" w:pos="7920"/>
                <w:tab w:val="left" w:pos="8640"/>
                <w:tab w:val="left" w:pos="9360"/>
                <w:tab w:val="left" w:pos="10080"/>
              </w:tabs>
              <w:spacing w:after="240"/>
              <w:ind w:left="141" w:right="141" w:firstLine="0"/>
              <w:rPr>
                <w:rFonts w:eastAsia="Calibri"/>
                <w:bCs/>
                <w:sz w:val="28"/>
                <w:szCs w:val="28"/>
                <w:lang w:val="lv-LV" w:eastAsia="lv-LV"/>
              </w:rPr>
            </w:pPr>
            <w:r w:rsidRPr="00100E65">
              <w:rPr>
                <w:rFonts w:eastAsia="Calibri"/>
                <w:bCs/>
                <w:sz w:val="28"/>
                <w:szCs w:val="28"/>
                <w:lang w:val="lv-LV" w:eastAsia="lv-LV"/>
              </w:rPr>
              <w:t xml:space="preserve">Pēc laboratorisko mērījumu rezultātu saņemšanas un situācijas izvērtēšanas RDC sagatavos atzinumu par preces drošumu un iesniegs attiecīgajai </w:t>
            </w:r>
            <w:r w:rsidR="007631FE">
              <w:rPr>
                <w:rFonts w:eastAsia="Calibri"/>
                <w:bCs/>
                <w:sz w:val="28"/>
                <w:szCs w:val="28"/>
                <w:lang w:val="lv-LV" w:eastAsia="lv-LV"/>
              </w:rPr>
              <w:t>I</w:t>
            </w:r>
            <w:r w:rsidRPr="00100E65">
              <w:rPr>
                <w:rFonts w:eastAsia="Calibri"/>
                <w:bCs/>
                <w:sz w:val="28"/>
                <w:szCs w:val="28"/>
                <w:lang w:val="lv-LV" w:eastAsia="lv-LV"/>
              </w:rPr>
              <w:t>estādei.</w:t>
            </w:r>
            <w:r>
              <w:rPr>
                <w:rFonts w:eastAsia="Calibri"/>
                <w:bCs/>
                <w:sz w:val="28"/>
                <w:szCs w:val="28"/>
                <w:lang w:val="lv-LV" w:eastAsia="lv-LV"/>
              </w:rPr>
              <w:t xml:space="preserve"> </w:t>
            </w:r>
            <w:r w:rsidR="007631FE">
              <w:rPr>
                <w:rFonts w:eastAsia="Calibri"/>
                <w:bCs/>
                <w:sz w:val="28"/>
                <w:szCs w:val="28"/>
                <w:lang w:val="lv-LV" w:eastAsia="lv-LV"/>
              </w:rPr>
              <w:t>I</w:t>
            </w:r>
            <w:r w:rsidRPr="00BE02D5">
              <w:rPr>
                <w:rFonts w:eastAsia="Calibri"/>
                <w:bCs/>
                <w:sz w:val="28"/>
                <w:szCs w:val="28"/>
                <w:lang w:val="lv-LV" w:eastAsia="lv-LV"/>
              </w:rPr>
              <w:t xml:space="preserve">estāde turpinās preču kontroles procesu un veiks administratīvā pārkāpuma procesu, </w:t>
            </w:r>
            <w:r w:rsidR="0061453A">
              <w:rPr>
                <w:rFonts w:eastAsia="Calibri"/>
                <w:bCs/>
                <w:sz w:val="28"/>
                <w:szCs w:val="28"/>
                <w:lang w:val="lv-LV" w:eastAsia="lv-LV"/>
              </w:rPr>
              <w:t>balstoties uz</w:t>
            </w:r>
            <w:r w:rsidRPr="00BE02D5">
              <w:rPr>
                <w:rFonts w:eastAsia="Calibri"/>
                <w:bCs/>
                <w:sz w:val="28"/>
                <w:szCs w:val="28"/>
                <w:lang w:val="lv-LV" w:eastAsia="lv-LV"/>
              </w:rPr>
              <w:t xml:space="preserve"> RDC </w:t>
            </w:r>
            <w:r w:rsidR="0061453A">
              <w:rPr>
                <w:rFonts w:eastAsia="Calibri"/>
                <w:bCs/>
                <w:sz w:val="28"/>
                <w:szCs w:val="28"/>
                <w:lang w:val="lv-LV" w:eastAsia="lv-LV"/>
              </w:rPr>
              <w:t>atzinumu</w:t>
            </w:r>
            <w:r w:rsidRPr="00BE02D5">
              <w:rPr>
                <w:rFonts w:eastAsia="Calibri"/>
                <w:bCs/>
                <w:sz w:val="28"/>
                <w:szCs w:val="28"/>
                <w:lang w:val="lv-LV" w:eastAsia="lv-LV"/>
              </w:rPr>
              <w:t>.</w:t>
            </w:r>
          </w:p>
          <w:p w14:paraId="28315AEF" w14:textId="15E8FDCD" w:rsidR="004F6226" w:rsidRPr="008A2386" w:rsidRDefault="004F6226" w:rsidP="004F6226">
            <w:pPr>
              <w:pStyle w:val="BodyTextIndent"/>
              <w:ind w:left="141" w:right="141" w:firstLine="0"/>
              <w:rPr>
                <w:sz w:val="28"/>
                <w:szCs w:val="28"/>
                <w:lang w:val="lv-LV"/>
              </w:rPr>
            </w:pPr>
            <w:r w:rsidRPr="00100E65">
              <w:rPr>
                <w:sz w:val="28"/>
                <w:szCs w:val="28"/>
                <w:lang w:val="lv-LV"/>
              </w:rPr>
              <w:t>Ja nepieciešams, preces laboratorisku pārbaudi</w:t>
            </w:r>
            <w:r w:rsidR="00CD7D40">
              <w:rPr>
                <w:sz w:val="28"/>
                <w:szCs w:val="28"/>
                <w:lang w:val="lv-LV"/>
              </w:rPr>
              <w:t xml:space="preserve"> I</w:t>
            </w:r>
            <w:r w:rsidR="0061453A">
              <w:rPr>
                <w:sz w:val="28"/>
                <w:szCs w:val="28"/>
                <w:lang w:val="lv-LV"/>
              </w:rPr>
              <w:t>estāde var veikt</w:t>
            </w:r>
            <w:r w:rsidR="00CD7D40">
              <w:rPr>
                <w:sz w:val="28"/>
                <w:szCs w:val="28"/>
                <w:lang w:val="lv-LV"/>
              </w:rPr>
              <w:t>,</w:t>
            </w:r>
            <w:r w:rsidRPr="00100E65">
              <w:rPr>
                <w:sz w:val="28"/>
                <w:szCs w:val="28"/>
                <w:lang w:val="lv-LV"/>
              </w:rPr>
              <w:t xml:space="preserve"> izmantojot valsts sabiedrības ar ierobežotu atbildību “Latvijas Vides, ģeoloģijas un meteoroloģijas centrs” (turpmāk – LVĢMC) akreditētās laboratorijas pakalpojumus. Pārtikas preces radioaktivitātes laboratorisku pārbaudi iespējams veikt Pārtikas drošības, dzīvnieku </w:t>
            </w:r>
            <w:r w:rsidRPr="00BE02D5">
              <w:rPr>
                <w:sz w:val="28"/>
                <w:szCs w:val="28"/>
                <w:lang w:val="lv-LV"/>
              </w:rPr>
              <w:t xml:space="preserve">veselības un vides zinātniskā institūtā “BIOR”. Preces radioaktivitāti var pārbaudīt tikai ar laboratorisku pārbaudi. </w:t>
            </w:r>
            <w:r w:rsidRPr="00BE02D5">
              <w:rPr>
                <w:bCs/>
                <w:sz w:val="28"/>
                <w:szCs w:val="28"/>
                <w:lang w:val="lv-LV"/>
              </w:rPr>
              <w:t>RDC nav akreditēts veikt preču radiācijas līmeņa pārbaudi, to var veikt tikai akreditētas laboratorijas</w:t>
            </w:r>
            <w:r w:rsidRPr="00BE02D5">
              <w:rPr>
                <w:sz w:val="28"/>
                <w:szCs w:val="28"/>
                <w:lang w:val="lv-LV"/>
              </w:rPr>
              <w:t>. Gadījumā, ja pārbaudes rezultātā ir konstatēts, ka prece</w:t>
            </w:r>
            <w:r w:rsidR="0061453A">
              <w:rPr>
                <w:sz w:val="28"/>
                <w:szCs w:val="28"/>
                <w:lang w:val="lv-LV"/>
              </w:rPr>
              <w:t xml:space="preserve">s </w:t>
            </w:r>
            <w:r w:rsidR="005D72E4">
              <w:rPr>
                <w:sz w:val="28"/>
                <w:szCs w:val="28"/>
                <w:lang w:val="lv-LV"/>
              </w:rPr>
              <w:t>radioaktivitāte</w:t>
            </w:r>
            <w:r w:rsidR="0061453A">
              <w:rPr>
                <w:sz w:val="28"/>
                <w:szCs w:val="28"/>
                <w:lang w:val="lv-LV"/>
              </w:rPr>
              <w:t xml:space="preserve"> pārsniedz pieļaujamās robežas</w:t>
            </w:r>
            <w:r w:rsidRPr="00BE02D5">
              <w:rPr>
                <w:sz w:val="28"/>
                <w:szCs w:val="28"/>
                <w:lang w:val="lv-LV"/>
              </w:rPr>
              <w:t xml:space="preserve">, VVD RDC </w:t>
            </w:r>
            <w:r w:rsidR="0061453A">
              <w:rPr>
                <w:sz w:val="28"/>
                <w:szCs w:val="28"/>
                <w:lang w:val="lv-LV"/>
              </w:rPr>
              <w:t>sniegs</w:t>
            </w:r>
            <w:r w:rsidRPr="00BE02D5">
              <w:rPr>
                <w:sz w:val="28"/>
                <w:szCs w:val="28"/>
                <w:lang w:val="lv-LV"/>
              </w:rPr>
              <w:t xml:space="preserve"> atzinumu</w:t>
            </w:r>
            <w:r w:rsidR="00CD7D40">
              <w:rPr>
                <w:sz w:val="28"/>
                <w:szCs w:val="28"/>
                <w:lang w:val="lv-LV"/>
              </w:rPr>
              <w:t xml:space="preserve"> </w:t>
            </w:r>
            <w:r w:rsidR="00CD7D40" w:rsidRPr="00675A1E">
              <w:rPr>
                <w:sz w:val="28"/>
                <w:szCs w:val="28"/>
                <w:lang w:val="lv-LV"/>
              </w:rPr>
              <w:t>par preces drošumu</w:t>
            </w:r>
            <w:r w:rsidRPr="00BE02D5">
              <w:rPr>
                <w:sz w:val="28"/>
                <w:szCs w:val="28"/>
                <w:lang w:val="lv-LV"/>
              </w:rPr>
              <w:t xml:space="preserve">, kurā </w:t>
            </w:r>
            <w:r w:rsidR="0061453A">
              <w:rPr>
                <w:sz w:val="28"/>
                <w:szCs w:val="28"/>
                <w:lang w:val="lv-LV"/>
              </w:rPr>
              <w:t>tiks</w:t>
            </w:r>
            <w:r w:rsidRPr="00BE02D5">
              <w:rPr>
                <w:sz w:val="28"/>
                <w:szCs w:val="28"/>
                <w:lang w:val="lv-LV"/>
              </w:rPr>
              <w:t xml:space="preserve"> norādīta informācija</w:t>
            </w:r>
            <w:r w:rsidRPr="008A2386">
              <w:rPr>
                <w:sz w:val="28"/>
                <w:szCs w:val="28"/>
                <w:lang w:val="lv-LV"/>
              </w:rPr>
              <w:t xml:space="preserve"> par preces radiācijas drošības prasību novērtējumu un ietekmi uz cilvēka veselību un dzīvību</w:t>
            </w:r>
            <w:r w:rsidR="0061453A">
              <w:rPr>
                <w:sz w:val="28"/>
                <w:szCs w:val="28"/>
                <w:lang w:val="lv-LV"/>
              </w:rPr>
              <w:t>, kā arī uz turpmāko rīcību attiecībā uz preces atstāšanu vai izņemšanu no tirgus</w:t>
            </w:r>
            <w:r w:rsidRPr="008A2386">
              <w:rPr>
                <w:sz w:val="28"/>
                <w:szCs w:val="28"/>
                <w:lang w:val="lv-LV"/>
              </w:rPr>
              <w:t xml:space="preserve">. </w:t>
            </w:r>
            <w:r w:rsidR="0061453A">
              <w:rPr>
                <w:sz w:val="28"/>
                <w:szCs w:val="28"/>
                <w:lang w:val="lv-LV"/>
              </w:rPr>
              <w:t xml:space="preserve">Balstoties uz šo atzinumu, </w:t>
            </w:r>
            <w:r w:rsidR="00CD7D40">
              <w:rPr>
                <w:sz w:val="28"/>
                <w:szCs w:val="28"/>
                <w:lang w:val="lv-LV"/>
              </w:rPr>
              <w:t>I</w:t>
            </w:r>
            <w:r w:rsidR="0061453A">
              <w:rPr>
                <w:sz w:val="28"/>
                <w:szCs w:val="28"/>
                <w:lang w:val="lv-LV"/>
              </w:rPr>
              <w:t xml:space="preserve">estāde pieņems lēmumu par preces atstāšanu vai izņemšanu no tirgus. </w:t>
            </w:r>
            <w:r w:rsidRPr="008A2386">
              <w:rPr>
                <w:sz w:val="28"/>
                <w:szCs w:val="28"/>
                <w:lang w:val="lv-LV"/>
              </w:rPr>
              <w:t xml:space="preserve">Pēc </w:t>
            </w:r>
            <w:r w:rsidR="00052F43">
              <w:rPr>
                <w:sz w:val="28"/>
                <w:szCs w:val="28"/>
                <w:lang w:val="lv-LV"/>
              </w:rPr>
              <w:t>I</w:t>
            </w:r>
            <w:r w:rsidRPr="008A2386">
              <w:rPr>
                <w:sz w:val="28"/>
                <w:szCs w:val="28"/>
                <w:lang w:val="lv-LV"/>
              </w:rPr>
              <w:t xml:space="preserve">estādes lēmuma prece tiks izņemta no tirgus vai arī, ja radioaktīvais piesārņojums būs augsts, tad LVĢMC preci nogādās uz radioaktīvo atkritumu glabātavu “Radons”. </w:t>
            </w:r>
          </w:p>
          <w:p w14:paraId="087A583F" w14:textId="575F2AAA" w:rsidR="004F6226" w:rsidRDefault="004F6226" w:rsidP="004F6226">
            <w:pPr>
              <w:pStyle w:val="FootnoteText"/>
              <w:spacing w:before="240" w:after="120"/>
              <w:ind w:left="122" w:right="180"/>
              <w:jc w:val="both"/>
              <w:rPr>
                <w:sz w:val="28"/>
                <w:szCs w:val="28"/>
              </w:rPr>
            </w:pPr>
            <w:r w:rsidRPr="00100E65">
              <w:rPr>
                <w:sz w:val="28"/>
                <w:szCs w:val="28"/>
              </w:rPr>
              <w:t>Atbilstoši Preču un pakalpojumu drošuma likuma 15. panta pirmajai daļai izdevumus par preces vai</w:t>
            </w:r>
            <w:r w:rsidRPr="00950C39">
              <w:rPr>
                <w:sz w:val="28"/>
                <w:szCs w:val="28"/>
              </w:rPr>
              <w:t xml:space="preserve"> pakalpojuma laboratorisku vai cita veida ekspertīzi sedz tirgus uzraudzības iestāde</w:t>
            </w:r>
            <w:r w:rsidR="00CD7D40">
              <w:rPr>
                <w:sz w:val="28"/>
                <w:szCs w:val="28"/>
              </w:rPr>
              <w:t xml:space="preserve"> (</w:t>
            </w:r>
            <w:r w:rsidR="00052F43">
              <w:rPr>
                <w:sz w:val="28"/>
                <w:szCs w:val="28"/>
              </w:rPr>
              <w:t xml:space="preserve">Likumprojekta izpratnē – </w:t>
            </w:r>
            <w:r w:rsidR="00CD7D40">
              <w:rPr>
                <w:sz w:val="28"/>
                <w:szCs w:val="28"/>
              </w:rPr>
              <w:t>Iestāde)</w:t>
            </w:r>
            <w:r w:rsidRPr="00950C39">
              <w:rPr>
                <w:sz w:val="28"/>
                <w:szCs w:val="28"/>
              </w:rPr>
              <w:t xml:space="preserve">. </w:t>
            </w:r>
            <w:r w:rsidR="008A339C">
              <w:rPr>
                <w:sz w:val="28"/>
                <w:szCs w:val="28"/>
              </w:rPr>
              <w:t>Minētā panta otrā daļa noteic – j</w:t>
            </w:r>
            <w:r w:rsidRPr="00950C39">
              <w:rPr>
                <w:sz w:val="28"/>
                <w:szCs w:val="28"/>
              </w:rPr>
              <w:t>a</w:t>
            </w:r>
            <w:r w:rsidR="008A339C">
              <w:rPr>
                <w:sz w:val="28"/>
                <w:szCs w:val="28"/>
              </w:rPr>
              <w:t xml:space="preserve"> </w:t>
            </w:r>
            <w:r w:rsidRPr="00950C39">
              <w:rPr>
                <w:sz w:val="28"/>
                <w:szCs w:val="28"/>
              </w:rPr>
              <w:t xml:space="preserve">konstatēts, ka prece neatbilst drošuma prasībām, izdevumus par </w:t>
            </w:r>
            <w:r w:rsidR="00A14004">
              <w:rPr>
                <w:sz w:val="28"/>
                <w:szCs w:val="28"/>
              </w:rPr>
              <w:t>ekspertīzi un par kontrolpirkumos</w:t>
            </w:r>
            <w:r w:rsidRPr="00950C39">
              <w:rPr>
                <w:sz w:val="28"/>
                <w:szCs w:val="28"/>
              </w:rPr>
              <w:t xml:space="preserve"> samaksāto naudas summu atlīdzina</w:t>
            </w:r>
            <w:r w:rsidR="00A14004">
              <w:rPr>
                <w:sz w:val="28"/>
                <w:szCs w:val="28"/>
              </w:rPr>
              <w:t xml:space="preserve"> preces</w:t>
            </w:r>
            <w:r w:rsidRPr="00950C39">
              <w:rPr>
                <w:sz w:val="28"/>
                <w:szCs w:val="28"/>
              </w:rPr>
              <w:t xml:space="preserve"> ražotājs, izplatītājs vai importētājs.</w:t>
            </w:r>
          </w:p>
          <w:p w14:paraId="58981F0F" w14:textId="265D545A" w:rsidR="004F6226" w:rsidRPr="008E516D" w:rsidRDefault="004F6226" w:rsidP="004F6226">
            <w:pPr>
              <w:pStyle w:val="FootnoteText"/>
              <w:spacing w:after="120"/>
              <w:ind w:left="122" w:right="180"/>
              <w:jc w:val="both"/>
              <w:rPr>
                <w:sz w:val="28"/>
                <w:szCs w:val="28"/>
              </w:rPr>
            </w:pPr>
            <w:r w:rsidRPr="008E516D">
              <w:rPr>
                <w:sz w:val="28"/>
                <w:szCs w:val="28"/>
              </w:rPr>
              <w:t xml:space="preserve">Ja lēmums par administratīvo pārkāpumu tiek pārsūdzēts, RDC sniedz atbalstu </w:t>
            </w:r>
            <w:r w:rsidR="00CD7D40">
              <w:rPr>
                <w:sz w:val="28"/>
                <w:szCs w:val="28"/>
              </w:rPr>
              <w:t>I</w:t>
            </w:r>
            <w:r w:rsidRPr="008E516D">
              <w:rPr>
                <w:sz w:val="28"/>
                <w:szCs w:val="28"/>
              </w:rPr>
              <w:t xml:space="preserve">estādei tiesvedības procesā attiecībā uz jautājumiem par radiācijas drošības prasību novērtējumu. </w:t>
            </w:r>
          </w:p>
          <w:p w14:paraId="5EEC68CD" w14:textId="436350B0" w:rsidR="004F6226" w:rsidRDefault="004F6226" w:rsidP="004C3083">
            <w:pPr>
              <w:pStyle w:val="FootnoteText"/>
              <w:spacing w:after="120"/>
              <w:ind w:left="122" w:right="180"/>
              <w:jc w:val="both"/>
              <w:rPr>
                <w:sz w:val="28"/>
                <w:szCs w:val="28"/>
              </w:rPr>
            </w:pPr>
            <w:r w:rsidRPr="008E516D">
              <w:rPr>
                <w:sz w:val="28"/>
                <w:szCs w:val="28"/>
              </w:rPr>
              <w:t>Lai ieviestu Direktīvas 2013/59/</w:t>
            </w:r>
            <w:r w:rsidR="00675A1E" w:rsidRPr="008E516D">
              <w:rPr>
                <w:sz w:val="28"/>
                <w:szCs w:val="28"/>
              </w:rPr>
              <w:t>E</w:t>
            </w:r>
            <w:r w:rsidR="00675A1E">
              <w:rPr>
                <w:sz w:val="28"/>
                <w:szCs w:val="28"/>
              </w:rPr>
              <w:t>uratom</w:t>
            </w:r>
            <w:r w:rsidR="00675A1E" w:rsidRPr="008E516D">
              <w:rPr>
                <w:sz w:val="28"/>
                <w:szCs w:val="28"/>
              </w:rPr>
              <w:t xml:space="preserve"> </w:t>
            </w:r>
            <w:r w:rsidRPr="008E516D">
              <w:rPr>
                <w:sz w:val="28"/>
                <w:szCs w:val="28"/>
              </w:rPr>
              <w:t>prasības plānots izstrādāt MK noteikumu Nr. 149 grozījumus, kuros papildus tiks ietverts regulējums papildus preču grupām, kā arī skaidrojums terminam “patēriņa preces”.</w:t>
            </w:r>
          </w:p>
          <w:p w14:paraId="51A58628" w14:textId="076BCABA" w:rsidR="00B119F1" w:rsidRPr="00522B4B" w:rsidRDefault="00B119F1" w:rsidP="00B119F1">
            <w:pPr>
              <w:pStyle w:val="FootnoteText"/>
              <w:spacing w:after="120"/>
              <w:ind w:left="122" w:right="180"/>
              <w:jc w:val="both"/>
              <w:rPr>
                <w:sz w:val="28"/>
                <w:szCs w:val="28"/>
              </w:rPr>
            </w:pPr>
            <w:r w:rsidRPr="00522B4B">
              <w:rPr>
                <w:sz w:val="28"/>
                <w:szCs w:val="28"/>
              </w:rPr>
              <w:t xml:space="preserve">Līdz šim pārkāpumi attiecībā uz radioaktīvo piesārņojumu tirgū ievietotajām precēm nav konstatēti un attiecīgi administratīvie sodi atbilstoši </w:t>
            </w:r>
            <w:r w:rsidRPr="00522B4B">
              <w:t xml:space="preserve"> </w:t>
            </w:r>
            <w:r w:rsidRPr="00522B4B">
              <w:rPr>
                <w:sz w:val="28"/>
                <w:szCs w:val="28"/>
              </w:rPr>
              <w:t>LAPK 166.</w:t>
            </w:r>
            <w:r w:rsidRPr="00522B4B">
              <w:rPr>
                <w:sz w:val="28"/>
                <w:szCs w:val="28"/>
                <w:vertAlign w:val="superscript"/>
              </w:rPr>
              <w:t>10</w:t>
            </w:r>
            <w:r w:rsidRPr="00522B4B">
              <w:rPr>
                <w:sz w:val="28"/>
                <w:szCs w:val="28"/>
              </w:rPr>
              <w:t xml:space="preserve"> pantam</w:t>
            </w:r>
            <w:r w:rsidRPr="00522B4B" w:rsidDel="003B1154">
              <w:rPr>
                <w:sz w:val="28"/>
                <w:szCs w:val="28"/>
              </w:rPr>
              <w:t xml:space="preserve"> </w:t>
            </w:r>
            <w:r w:rsidRPr="00522B4B">
              <w:rPr>
                <w:sz w:val="28"/>
                <w:szCs w:val="28"/>
              </w:rPr>
              <w:t>šajā jomā nav piemēroti.</w:t>
            </w:r>
          </w:p>
          <w:p w14:paraId="5618907C" w14:textId="77777777" w:rsidR="00B119F1" w:rsidRPr="00522B4B" w:rsidRDefault="00B119F1" w:rsidP="00B119F1">
            <w:pPr>
              <w:pStyle w:val="FootnoteText"/>
              <w:spacing w:after="120"/>
              <w:ind w:left="122" w:right="180"/>
              <w:jc w:val="both"/>
              <w:rPr>
                <w:sz w:val="28"/>
                <w:szCs w:val="28"/>
              </w:rPr>
            </w:pPr>
            <w:r w:rsidRPr="00522B4B">
              <w:rPr>
                <w:sz w:val="28"/>
                <w:szCs w:val="28"/>
              </w:rPr>
              <w:t>Kārtība par jonizējošā starojuma kontroli precēs tiks noteikta MK noteikumos Nr. 149, kuri pašlaik ir izstrādes procesā. Plānots, ka minētie grozījumi MK noteikumos Nr. 149 tiks izstrādāti 2021. gada 1. janvārim.</w:t>
            </w:r>
          </w:p>
          <w:p w14:paraId="1AB0B8B8" w14:textId="290BA267" w:rsidR="004B5AD5" w:rsidRPr="00950C39" w:rsidRDefault="004C3083" w:rsidP="004B5AD5">
            <w:pPr>
              <w:pStyle w:val="FootnoteText"/>
              <w:spacing w:after="120"/>
              <w:ind w:left="122" w:right="180"/>
              <w:jc w:val="both"/>
              <w:rPr>
                <w:sz w:val="28"/>
                <w:szCs w:val="28"/>
              </w:rPr>
            </w:pPr>
            <w:r>
              <w:rPr>
                <w:b/>
                <w:sz w:val="28"/>
                <w:szCs w:val="28"/>
                <w:u w:val="single"/>
              </w:rPr>
              <w:t xml:space="preserve">Likumprojekta </w:t>
            </w:r>
            <w:r w:rsidR="001D2D02" w:rsidRPr="001D2D02">
              <w:rPr>
                <w:b/>
                <w:sz w:val="28"/>
                <w:szCs w:val="28"/>
                <w:u w:val="single"/>
              </w:rPr>
              <w:t>3. </w:t>
            </w:r>
            <w:r w:rsidR="001D2D02">
              <w:rPr>
                <w:b/>
                <w:sz w:val="28"/>
                <w:szCs w:val="28"/>
                <w:u w:val="single"/>
              </w:rPr>
              <w:t>pantā iekļautā L</w:t>
            </w:r>
            <w:r w:rsidR="001D2D02" w:rsidRPr="001D2D02">
              <w:rPr>
                <w:b/>
                <w:sz w:val="28"/>
                <w:szCs w:val="28"/>
                <w:u w:val="single"/>
              </w:rPr>
              <w:t xml:space="preserve">ikuma </w:t>
            </w:r>
            <w:r>
              <w:rPr>
                <w:b/>
                <w:sz w:val="28"/>
                <w:szCs w:val="28"/>
                <w:u w:val="single"/>
              </w:rPr>
              <w:t>31. panta piektā</w:t>
            </w:r>
            <w:r w:rsidR="001D2D02">
              <w:rPr>
                <w:b/>
                <w:sz w:val="28"/>
                <w:szCs w:val="28"/>
                <w:u w:val="single"/>
              </w:rPr>
              <w:t>s</w:t>
            </w:r>
            <w:r w:rsidR="004B5AD5" w:rsidRPr="00950C39">
              <w:rPr>
                <w:b/>
                <w:sz w:val="28"/>
                <w:szCs w:val="28"/>
                <w:u w:val="single"/>
              </w:rPr>
              <w:t xml:space="preserve"> daļa</w:t>
            </w:r>
            <w:r w:rsidR="001D2D02">
              <w:rPr>
                <w:b/>
                <w:sz w:val="28"/>
                <w:szCs w:val="28"/>
                <w:u w:val="single"/>
              </w:rPr>
              <w:t>s redakcija</w:t>
            </w:r>
            <w:r w:rsidR="004B5AD5" w:rsidRPr="00950C39">
              <w:rPr>
                <w:b/>
                <w:sz w:val="28"/>
                <w:szCs w:val="28"/>
                <w:u w:val="single"/>
              </w:rPr>
              <w:t xml:space="preserve"> pārņem </w:t>
            </w:r>
            <w:r w:rsidR="004B5AD5" w:rsidRPr="00950C39">
              <w:rPr>
                <w:bCs/>
                <w:sz w:val="28"/>
                <w:szCs w:val="28"/>
              </w:rPr>
              <w:t>LAPK 87.</w:t>
            </w:r>
            <w:r w:rsidR="004B5AD5" w:rsidRPr="00950C39">
              <w:rPr>
                <w:bCs/>
                <w:sz w:val="28"/>
                <w:szCs w:val="28"/>
                <w:vertAlign w:val="superscript"/>
              </w:rPr>
              <w:t>1</w:t>
            </w:r>
            <w:r w:rsidR="004B5AD5" w:rsidRPr="00950C39">
              <w:rPr>
                <w:bCs/>
                <w:sz w:val="28"/>
                <w:szCs w:val="28"/>
              </w:rPr>
              <w:t> panta desmito daļu,</w:t>
            </w:r>
            <w:r w:rsidR="004B5AD5" w:rsidRPr="00950C39">
              <w:rPr>
                <w:sz w:val="28"/>
                <w:szCs w:val="28"/>
              </w:rPr>
              <w:t xml:space="preserve"> nosakot administratīvo atbildību</w:t>
            </w:r>
            <w:r w:rsidR="004B5AD5" w:rsidRPr="00950C39">
              <w:rPr>
                <w:bCs/>
                <w:sz w:val="28"/>
                <w:szCs w:val="28"/>
              </w:rPr>
              <w:t xml:space="preserve"> </w:t>
            </w:r>
            <w:r w:rsidR="004B5AD5" w:rsidRPr="00950C39">
              <w:rPr>
                <w:sz w:val="28"/>
                <w:szCs w:val="28"/>
              </w:rPr>
              <w:t>par darbību veikšanu ar jonizējošā starojuma avotiem bez licences vai reģistrācijas</w:t>
            </w:r>
            <w:r w:rsidR="004B5AD5" w:rsidRPr="00950C39">
              <w:rPr>
                <w:bCs/>
                <w:sz w:val="28"/>
                <w:szCs w:val="28"/>
              </w:rPr>
              <w:t xml:space="preserve">. Šī administratīvā atbildība paredzēta par </w:t>
            </w:r>
            <w:r w:rsidR="00D30D80" w:rsidRPr="00950C39">
              <w:rPr>
                <w:bCs/>
                <w:sz w:val="28"/>
                <w:szCs w:val="28"/>
              </w:rPr>
              <w:t>L</w:t>
            </w:r>
            <w:r w:rsidR="004B5AD5" w:rsidRPr="00950C39">
              <w:rPr>
                <w:bCs/>
                <w:sz w:val="28"/>
                <w:szCs w:val="28"/>
              </w:rPr>
              <w:t>ikuma</w:t>
            </w:r>
            <w:r w:rsidR="00D30D80" w:rsidRPr="00950C39">
              <w:rPr>
                <w:bCs/>
                <w:sz w:val="28"/>
                <w:szCs w:val="28"/>
              </w:rPr>
              <w:t xml:space="preserve"> </w:t>
            </w:r>
            <w:r w:rsidR="004B5AD5" w:rsidRPr="00950C39">
              <w:rPr>
                <w:bCs/>
                <w:sz w:val="28"/>
                <w:szCs w:val="28"/>
              </w:rPr>
              <w:t>11. panta pirmā</w:t>
            </w:r>
            <w:r>
              <w:rPr>
                <w:bCs/>
                <w:sz w:val="28"/>
                <w:szCs w:val="28"/>
              </w:rPr>
              <w:t>s</w:t>
            </w:r>
            <w:r w:rsidR="004B5AD5" w:rsidRPr="00950C39">
              <w:rPr>
                <w:bCs/>
                <w:sz w:val="28"/>
                <w:szCs w:val="28"/>
              </w:rPr>
              <w:t xml:space="preserve"> daļa</w:t>
            </w:r>
            <w:r>
              <w:rPr>
                <w:bCs/>
                <w:sz w:val="28"/>
                <w:szCs w:val="28"/>
              </w:rPr>
              <w:t>s</w:t>
            </w:r>
            <w:r w:rsidR="004B5AD5" w:rsidRPr="00950C39">
              <w:rPr>
                <w:bCs/>
                <w:sz w:val="28"/>
                <w:szCs w:val="28"/>
              </w:rPr>
              <w:t xml:space="preserve"> un par </w:t>
            </w:r>
            <w:r w:rsidR="00675A1E">
              <w:rPr>
                <w:bCs/>
                <w:sz w:val="28"/>
                <w:szCs w:val="28"/>
              </w:rPr>
              <w:t>MK noteikumu Nr. 752</w:t>
            </w:r>
            <w:r w:rsidR="004B5AD5" w:rsidRPr="00950C39">
              <w:rPr>
                <w:bCs/>
                <w:sz w:val="28"/>
                <w:szCs w:val="28"/>
              </w:rPr>
              <w:t xml:space="preserve"> 5</w:t>
            </w:r>
            <w:r w:rsidR="004B5AD5" w:rsidRPr="00A51143">
              <w:rPr>
                <w:bCs/>
                <w:sz w:val="28"/>
                <w:szCs w:val="28"/>
              </w:rPr>
              <w:t>.</w:t>
            </w:r>
            <w:r w:rsidR="008D0F39" w:rsidRPr="00A51143">
              <w:rPr>
                <w:bCs/>
                <w:sz w:val="28"/>
                <w:szCs w:val="28"/>
              </w:rPr>
              <w:t> punktā</w:t>
            </w:r>
            <w:r w:rsidR="004B5AD5" w:rsidRPr="00A51143">
              <w:rPr>
                <w:bCs/>
                <w:sz w:val="28"/>
                <w:szCs w:val="28"/>
              </w:rPr>
              <w:t xml:space="preserve"> noteikto</w:t>
            </w:r>
            <w:r w:rsidR="004B5AD5" w:rsidRPr="00950C39">
              <w:rPr>
                <w:bCs/>
                <w:sz w:val="28"/>
                <w:szCs w:val="28"/>
              </w:rPr>
              <w:t xml:space="preserve"> prasību pārkāpšanu. Ja RDC aptur licences vai reģistrācijas darbību attiecībā uz darbībām ar vienu vai vairākiem jonizējošā starojuma avotiem, tad atbilstoši licences vai reģistrēšanas nosacījumiem operators var veikt darbības ar citu jonizējošā starojuma avotu, kura darbība nav apturēta.</w:t>
            </w:r>
          </w:p>
          <w:p w14:paraId="08AB2AE9" w14:textId="77777777" w:rsidR="004B5AD5" w:rsidRPr="00950C39" w:rsidRDefault="004B5AD5" w:rsidP="004B5AD5">
            <w:pPr>
              <w:pStyle w:val="FootnoteText"/>
              <w:spacing w:after="120"/>
              <w:ind w:left="122" w:right="180"/>
              <w:jc w:val="both"/>
              <w:rPr>
                <w:bCs/>
                <w:sz w:val="28"/>
                <w:szCs w:val="28"/>
              </w:rPr>
            </w:pPr>
            <w:r w:rsidRPr="00950C39">
              <w:rPr>
                <w:bCs/>
                <w:sz w:val="28"/>
                <w:szCs w:val="28"/>
              </w:rPr>
              <w:t xml:space="preserve">Piemērojamo sankciju apmērs tiek saglabāts esošā apmērā. </w:t>
            </w:r>
          </w:p>
          <w:p w14:paraId="2999EBBC" w14:textId="1138097A" w:rsidR="0003719D" w:rsidRPr="00950C39" w:rsidRDefault="0003719D" w:rsidP="0003719D">
            <w:pPr>
              <w:pStyle w:val="tv213"/>
              <w:spacing w:before="0" w:beforeAutospacing="0" w:after="120" w:afterAutospacing="0"/>
              <w:ind w:left="122" w:right="161"/>
              <w:jc w:val="both"/>
              <w:rPr>
                <w:b/>
                <w:sz w:val="28"/>
                <w:szCs w:val="28"/>
                <w:u w:val="single"/>
                <w:lang w:val="lv-LV"/>
              </w:rPr>
            </w:pPr>
            <w:r w:rsidRPr="00950C39">
              <w:rPr>
                <w:b/>
                <w:sz w:val="28"/>
                <w:szCs w:val="28"/>
                <w:u w:val="single"/>
                <w:lang w:val="lv-LV"/>
              </w:rPr>
              <w:t xml:space="preserve">Likumprojekta </w:t>
            </w:r>
            <w:r w:rsidR="001D2D02" w:rsidRPr="00E818FA">
              <w:rPr>
                <w:b/>
                <w:sz w:val="28"/>
                <w:szCs w:val="28"/>
                <w:u w:val="single"/>
                <w:lang w:val="lv-LV"/>
              </w:rPr>
              <w:t>3</w:t>
            </w:r>
            <w:r w:rsidR="001D2D02" w:rsidRPr="001D2D02">
              <w:rPr>
                <w:b/>
                <w:sz w:val="28"/>
                <w:szCs w:val="28"/>
                <w:u w:val="single"/>
                <w:lang w:val="lv-LV"/>
              </w:rPr>
              <w:t>. pantā iekļautā Likuma</w:t>
            </w:r>
            <w:r w:rsidR="001D2D02" w:rsidRPr="00E818FA">
              <w:rPr>
                <w:b/>
                <w:sz w:val="28"/>
                <w:szCs w:val="28"/>
                <w:u w:val="single"/>
                <w:lang w:val="lv-LV"/>
              </w:rPr>
              <w:t xml:space="preserve"> </w:t>
            </w:r>
            <w:r w:rsidRPr="00950C39">
              <w:rPr>
                <w:b/>
                <w:sz w:val="28"/>
                <w:szCs w:val="28"/>
                <w:u w:val="single"/>
                <w:lang w:val="lv-LV"/>
              </w:rPr>
              <w:t xml:space="preserve">31. panta </w:t>
            </w:r>
            <w:r w:rsidR="004C3083">
              <w:rPr>
                <w:b/>
                <w:sz w:val="28"/>
                <w:szCs w:val="28"/>
                <w:u w:val="single"/>
                <w:lang w:val="lv-LV"/>
              </w:rPr>
              <w:t>sestā</w:t>
            </w:r>
            <w:r w:rsidR="001D2D02">
              <w:rPr>
                <w:b/>
                <w:sz w:val="28"/>
                <w:szCs w:val="28"/>
                <w:u w:val="single"/>
                <w:lang w:val="lv-LV"/>
              </w:rPr>
              <w:t>s</w:t>
            </w:r>
            <w:r w:rsidRPr="00950C39">
              <w:rPr>
                <w:b/>
                <w:sz w:val="28"/>
                <w:szCs w:val="28"/>
                <w:u w:val="single"/>
                <w:lang w:val="lv-LV"/>
              </w:rPr>
              <w:t xml:space="preserve"> daļa</w:t>
            </w:r>
            <w:r w:rsidR="001D2D02">
              <w:rPr>
                <w:b/>
                <w:sz w:val="28"/>
                <w:szCs w:val="28"/>
                <w:u w:val="single"/>
                <w:lang w:val="lv-LV"/>
              </w:rPr>
              <w:t>s redakcija</w:t>
            </w:r>
            <w:r w:rsidRPr="00950C39">
              <w:rPr>
                <w:b/>
                <w:sz w:val="28"/>
                <w:szCs w:val="28"/>
                <w:u w:val="single"/>
                <w:lang w:val="lv-LV"/>
              </w:rPr>
              <w:t xml:space="preserve"> pārņem</w:t>
            </w:r>
            <w:r w:rsidRPr="00950C39">
              <w:rPr>
                <w:b/>
                <w:sz w:val="28"/>
                <w:szCs w:val="28"/>
                <w:lang w:val="lv-LV"/>
              </w:rPr>
              <w:t xml:space="preserve"> </w:t>
            </w:r>
            <w:r w:rsidRPr="00950C39">
              <w:rPr>
                <w:bCs/>
                <w:sz w:val="28"/>
                <w:szCs w:val="28"/>
                <w:lang w:val="lv-LV"/>
              </w:rPr>
              <w:t>LAPK 87.</w:t>
            </w:r>
            <w:r w:rsidRPr="00950C39">
              <w:rPr>
                <w:bCs/>
                <w:sz w:val="28"/>
                <w:szCs w:val="28"/>
                <w:vertAlign w:val="superscript"/>
                <w:lang w:val="lv-LV"/>
              </w:rPr>
              <w:t>1</w:t>
            </w:r>
            <w:r w:rsidRPr="00950C39">
              <w:rPr>
                <w:bCs/>
                <w:sz w:val="28"/>
                <w:szCs w:val="28"/>
                <w:lang w:val="lv-LV"/>
              </w:rPr>
              <w:t> panta piekto un sesto daļu</w:t>
            </w:r>
            <w:r w:rsidRPr="00950C39">
              <w:rPr>
                <w:sz w:val="28"/>
                <w:szCs w:val="28"/>
                <w:lang w:val="lv-LV"/>
              </w:rPr>
              <w:t>, nosakot operatoriem administratīvo atbildību par darbību ar radioaktīvajiem atkritumiem un radioaktīvo vielu pārvadāšanas, iekraušanas un izkraušanas noteikumu pārkāpšanu, par radioaktīvo vielu kravu atstāšanu bez uzraudzības transportlīdzekļos, kā arī par radioaktīvo vielu nodošanu bagāžā vai bagāžas glabātavās.</w:t>
            </w:r>
          </w:p>
          <w:p w14:paraId="10F562E4" w14:textId="77777777" w:rsidR="0003719D" w:rsidRPr="00950C39" w:rsidRDefault="0003719D" w:rsidP="0003719D">
            <w:pPr>
              <w:pStyle w:val="tv213"/>
              <w:spacing w:before="0" w:beforeAutospacing="0" w:after="120" w:afterAutospacing="0"/>
              <w:ind w:left="122" w:right="161"/>
              <w:jc w:val="both"/>
              <w:rPr>
                <w:sz w:val="28"/>
                <w:szCs w:val="28"/>
                <w:shd w:val="clear" w:color="auto" w:fill="FFFFFF"/>
                <w:lang w:val="lv-LV"/>
              </w:rPr>
            </w:pPr>
            <w:r w:rsidRPr="00950C39">
              <w:rPr>
                <w:bCs/>
                <w:sz w:val="28"/>
                <w:szCs w:val="28"/>
                <w:lang w:val="lv-LV"/>
              </w:rPr>
              <w:t>Šī administratīvā atbildība paredzēta par</w:t>
            </w:r>
            <w:r w:rsidRPr="00950C39">
              <w:rPr>
                <w:sz w:val="28"/>
                <w:szCs w:val="28"/>
                <w:lang w:val="lv-LV"/>
              </w:rPr>
              <w:t xml:space="preserve"> Likuma 27. pantā pirmās daļas, kā arī par Ministru kabineta 2002. gada 19. marta noteikumu Nr. 129</w:t>
            </w:r>
            <w:r w:rsidRPr="00950C39">
              <w:rPr>
                <w:b/>
                <w:sz w:val="28"/>
                <w:szCs w:val="28"/>
                <w:shd w:val="clear" w:color="auto" w:fill="FFFFFF"/>
                <w:lang w:val="lv-LV"/>
              </w:rPr>
              <w:t xml:space="preserve"> </w:t>
            </w:r>
            <w:r w:rsidRPr="00950C39">
              <w:rPr>
                <w:sz w:val="28"/>
                <w:szCs w:val="28"/>
                <w:shd w:val="clear" w:color="auto" w:fill="FFFFFF"/>
                <w:lang w:val="lv-LV"/>
              </w:rPr>
              <w:t xml:space="preserve">“Prasības darbībām ar radioaktīvajiem atkritumiem un ar </w:t>
            </w:r>
            <w:r w:rsidRPr="00950C39">
              <w:rPr>
                <w:sz w:val="28"/>
                <w:szCs w:val="28"/>
                <w:lang w:val="lv-LV"/>
              </w:rPr>
              <w:t>tiem saistītajiem materiāliem” (turpmāk – MK noteikumi Nr. 129) 13., 15.-17., 19., 21., 34.-38., 43.-46., 48., 52., 108. punktā un Ministru kabineta 2001. gada 3. jūlija noteikumi Nr. 307 “Noteikumi par aizsardzību pret jonizējošo starojumu, transportējot radioaktīvos materiālus” 10., 17.,  23., 24., 56. un 97. punktā noteikto prasību neievērošanu.</w:t>
            </w:r>
          </w:p>
          <w:p w14:paraId="30DF8545" w14:textId="77777777" w:rsidR="0003719D" w:rsidRDefault="0003719D" w:rsidP="0003719D">
            <w:pPr>
              <w:pStyle w:val="FootnoteText"/>
              <w:spacing w:after="120"/>
              <w:ind w:left="122" w:right="180"/>
              <w:jc w:val="both"/>
              <w:rPr>
                <w:sz w:val="28"/>
                <w:szCs w:val="28"/>
              </w:rPr>
            </w:pPr>
            <w:r w:rsidRPr="00950C39">
              <w:rPr>
                <w:sz w:val="28"/>
                <w:szCs w:val="28"/>
              </w:rPr>
              <w:t>Piemērojamo sankciju apmērs tiek saglabāts esošā apmērā.</w:t>
            </w:r>
          </w:p>
          <w:p w14:paraId="0A0863A3" w14:textId="18E63B1C" w:rsidR="00642CF6" w:rsidRDefault="00642CF6" w:rsidP="00642CF6">
            <w:pPr>
              <w:pStyle w:val="FootnoteText"/>
              <w:spacing w:after="120"/>
              <w:ind w:left="122" w:right="180"/>
              <w:jc w:val="both"/>
              <w:rPr>
                <w:sz w:val="28"/>
                <w:szCs w:val="28"/>
              </w:rPr>
            </w:pPr>
            <w:r>
              <w:rPr>
                <w:b/>
                <w:sz w:val="28"/>
                <w:szCs w:val="28"/>
                <w:u w:val="single"/>
              </w:rPr>
              <w:t xml:space="preserve">Likumprojekta </w:t>
            </w:r>
            <w:r w:rsidR="001D2D02" w:rsidRPr="001D2D02">
              <w:rPr>
                <w:b/>
                <w:sz w:val="28"/>
                <w:szCs w:val="28"/>
                <w:u w:val="single"/>
              </w:rPr>
              <w:t>3. </w:t>
            </w:r>
            <w:r w:rsidR="001D2D02">
              <w:rPr>
                <w:b/>
                <w:sz w:val="28"/>
                <w:szCs w:val="28"/>
                <w:u w:val="single"/>
              </w:rPr>
              <w:t>pantā iekļautā L</w:t>
            </w:r>
            <w:r w:rsidR="001D2D02" w:rsidRPr="001D2D02">
              <w:rPr>
                <w:b/>
                <w:sz w:val="28"/>
                <w:szCs w:val="28"/>
                <w:u w:val="single"/>
              </w:rPr>
              <w:t xml:space="preserve">ikuma </w:t>
            </w:r>
            <w:r>
              <w:rPr>
                <w:b/>
                <w:sz w:val="28"/>
                <w:szCs w:val="28"/>
                <w:u w:val="single"/>
              </w:rPr>
              <w:t>31. panta septītā</w:t>
            </w:r>
            <w:r w:rsidR="001D2D02">
              <w:rPr>
                <w:b/>
                <w:sz w:val="28"/>
                <w:szCs w:val="28"/>
                <w:u w:val="single"/>
              </w:rPr>
              <w:t>s</w:t>
            </w:r>
            <w:r>
              <w:rPr>
                <w:b/>
                <w:sz w:val="28"/>
                <w:szCs w:val="28"/>
                <w:u w:val="single"/>
              </w:rPr>
              <w:t xml:space="preserve"> daļa</w:t>
            </w:r>
            <w:r w:rsidR="001D2D02">
              <w:rPr>
                <w:b/>
                <w:sz w:val="28"/>
                <w:szCs w:val="28"/>
                <w:u w:val="single"/>
              </w:rPr>
              <w:t>s redakcija</w:t>
            </w:r>
            <w:r>
              <w:rPr>
                <w:b/>
                <w:sz w:val="28"/>
                <w:szCs w:val="28"/>
                <w:u w:val="single"/>
              </w:rPr>
              <w:t xml:space="preserve"> pārņem</w:t>
            </w:r>
            <w:r>
              <w:rPr>
                <w:sz w:val="28"/>
                <w:szCs w:val="28"/>
              </w:rPr>
              <w:t xml:space="preserve"> LAPK 87.</w:t>
            </w:r>
            <w:r>
              <w:rPr>
                <w:sz w:val="28"/>
                <w:szCs w:val="28"/>
                <w:vertAlign w:val="superscript"/>
              </w:rPr>
              <w:t>1</w:t>
            </w:r>
            <w:r>
              <w:rPr>
                <w:sz w:val="28"/>
                <w:szCs w:val="28"/>
              </w:rPr>
              <w:t> panta ceturto un devīto daļu, nosakot juridiskām personām administratīvo atbildību par neziņošanu VVD RDC par radioaktīvo vielu izplūdi (novadīšanu) vidē, kā arī par vides informācijas slēpšanu vai tās atspoguļošanu maldinošā veidā, par neziņošanu tuvākās ostas administrācijai par Latvijas jūras ūdeņu (arī jūras ostu akvatoriju un upju grīvu) piesārņošanu ar radioaktīvajām vielām no peldošiem līdzekļiem un citām konstrukcijām, kā arī no gaisakuģiem.</w:t>
            </w:r>
          </w:p>
          <w:p w14:paraId="7EE32732" w14:textId="77777777" w:rsidR="00642CF6" w:rsidRDefault="00642CF6" w:rsidP="00642CF6">
            <w:pPr>
              <w:pStyle w:val="FootnoteText"/>
              <w:spacing w:after="120"/>
              <w:ind w:left="122" w:right="180"/>
              <w:jc w:val="both"/>
              <w:rPr>
                <w:bCs/>
                <w:sz w:val="28"/>
                <w:szCs w:val="28"/>
              </w:rPr>
            </w:pPr>
            <w:r>
              <w:rPr>
                <w:bCs/>
                <w:sz w:val="28"/>
                <w:szCs w:val="28"/>
              </w:rPr>
              <w:t>Šī administratīvā atbildība paredzēta par Likuma 6. panta pirmajā daļā, 14. panta otrās daļas 3. punktā un 16. panta pirmajā daļā noteikto prasību neievērošanu attiecībā uz radiācijas jomu.</w:t>
            </w:r>
          </w:p>
          <w:p w14:paraId="6B63B833" w14:textId="77777777" w:rsidR="00642CF6" w:rsidRDefault="00642CF6" w:rsidP="00642CF6">
            <w:pPr>
              <w:pStyle w:val="FootnoteText"/>
              <w:spacing w:after="120"/>
              <w:ind w:left="122" w:right="180"/>
              <w:jc w:val="both"/>
              <w:rPr>
                <w:bCs/>
                <w:sz w:val="28"/>
                <w:szCs w:val="28"/>
                <w:shd w:val="clear" w:color="auto" w:fill="FFFFFF"/>
              </w:rPr>
            </w:pPr>
            <w:r>
              <w:rPr>
                <w:sz w:val="28"/>
                <w:szCs w:val="28"/>
              </w:rPr>
              <w:t xml:space="preserve">Termins “Latvijas jūras ūdeņi” šā likumprojekta izpratnē tiek lietots, ievērojot </w:t>
            </w:r>
            <w:r>
              <w:rPr>
                <w:bCs/>
                <w:sz w:val="28"/>
                <w:szCs w:val="28"/>
                <w:shd w:val="clear" w:color="auto" w:fill="FFFFFF"/>
              </w:rPr>
              <w:t>Jūras vides aizsardzības un pārvaldības likuma 1. panta trešajā punktā</w:t>
            </w:r>
            <w:r>
              <w:rPr>
                <w:sz w:val="28"/>
                <w:szCs w:val="28"/>
              </w:rPr>
              <w:t xml:space="preserve"> noteikto, </w:t>
            </w:r>
            <w:r>
              <w:rPr>
                <w:bCs/>
                <w:sz w:val="28"/>
                <w:szCs w:val="28"/>
                <w:shd w:val="clear" w:color="auto" w:fill="FFFFFF"/>
              </w:rPr>
              <w:t xml:space="preserve">lai precizētu piemērojamā administratīvā soda ietvaru attiecībā uz Latvijas jūras vides aizsardzību no kaitējuma, ko var izraisīt radiācija. </w:t>
            </w:r>
          </w:p>
          <w:p w14:paraId="007E1C4F" w14:textId="77777777" w:rsidR="00F77EB0" w:rsidRDefault="00642CF6" w:rsidP="00F77EB0">
            <w:pPr>
              <w:pStyle w:val="FootnoteText"/>
              <w:spacing w:after="120"/>
              <w:ind w:left="141" w:right="180"/>
              <w:jc w:val="both"/>
              <w:rPr>
                <w:sz w:val="28"/>
                <w:szCs w:val="28"/>
              </w:rPr>
            </w:pPr>
            <w:r>
              <w:rPr>
                <w:sz w:val="28"/>
                <w:szCs w:val="28"/>
              </w:rPr>
              <w:t>Piemērojamo sankciju apmērs tiek saglabāts esošā apmērā, precizējot administratīvo atbildību juridiskām personām.</w:t>
            </w:r>
          </w:p>
          <w:p w14:paraId="473A4C6C" w14:textId="0110A9D1" w:rsidR="007C06C5" w:rsidRPr="00950C39" w:rsidRDefault="007C06C5" w:rsidP="00F77EB0">
            <w:pPr>
              <w:pStyle w:val="FootnoteText"/>
              <w:spacing w:after="120"/>
              <w:ind w:left="141" w:right="180"/>
              <w:jc w:val="both"/>
              <w:rPr>
                <w:sz w:val="28"/>
                <w:szCs w:val="28"/>
              </w:rPr>
            </w:pPr>
            <w:r w:rsidRPr="00950C39">
              <w:rPr>
                <w:b/>
                <w:sz w:val="28"/>
                <w:szCs w:val="28"/>
                <w:u w:val="single"/>
              </w:rPr>
              <w:t>Līdz šim piemērotie sodi par esošajām LAPK normām</w:t>
            </w:r>
          </w:p>
          <w:p w14:paraId="22929378" w14:textId="77777777" w:rsidR="009B07F3" w:rsidRPr="00950C39" w:rsidRDefault="007C06C5" w:rsidP="009B07F3">
            <w:pPr>
              <w:pStyle w:val="naiskr"/>
              <w:spacing w:before="0" w:after="120"/>
              <w:ind w:left="124" w:right="161"/>
              <w:jc w:val="both"/>
              <w:rPr>
                <w:sz w:val="28"/>
                <w:szCs w:val="28"/>
              </w:rPr>
            </w:pPr>
            <w:r w:rsidRPr="00950C39">
              <w:rPr>
                <w:sz w:val="28"/>
                <w:szCs w:val="28"/>
              </w:rPr>
              <w:t>VVD RDC piemērojis šādus sodus:</w:t>
            </w:r>
          </w:p>
          <w:tbl>
            <w:tblPr>
              <w:tblW w:w="6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1151"/>
              <w:gridCol w:w="1151"/>
              <w:gridCol w:w="1151"/>
              <w:gridCol w:w="1151"/>
              <w:gridCol w:w="1151"/>
            </w:tblGrid>
            <w:tr w:rsidR="00B119F1" w:rsidRPr="00950C39" w14:paraId="02D93710" w14:textId="1877867C" w:rsidTr="00B119F1">
              <w:trPr>
                <w:trHeight w:val="523"/>
                <w:jc w:val="center"/>
              </w:trPr>
              <w:tc>
                <w:tcPr>
                  <w:tcW w:w="1159" w:type="dxa"/>
                  <w:shd w:val="clear" w:color="auto" w:fill="auto"/>
                </w:tcPr>
                <w:p w14:paraId="6C3019F7" w14:textId="77777777" w:rsidR="00B119F1" w:rsidRPr="00950C39" w:rsidRDefault="00B119F1" w:rsidP="002F5DCC">
                  <w:pPr>
                    <w:framePr w:hSpace="180" w:wrap="around" w:vAnchor="text" w:hAnchor="margin" w:xAlign="center" w:y="149"/>
                    <w:rPr>
                      <w:b/>
                      <w:sz w:val="22"/>
                      <w:szCs w:val="28"/>
                    </w:rPr>
                  </w:pPr>
                  <w:r w:rsidRPr="00950C39">
                    <w:rPr>
                      <w:b/>
                      <w:sz w:val="22"/>
                      <w:szCs w:val="28"/>
                    </w:rPr>
                    <w:t>LAPK pants</w:t>
                  </w:r>
                </w:p>
              </w:tc>
              <w:tc>
                <w:tcPr>
                  <w:tcW w:w="1151" w:type="dxa"/>
                  <w:shd w:val="clear" w:color="auto" w:fill="auto"/>
                </w:tcPr>
                <w:p w14:paraId="04927D2F" w14:textId="3C62D886" w:rsidR="00B119F1" w:rsidRPr="00950C39" w:rsidRDefault="00B119F1" w:rsidP="002F5DCC">
                  <w:pPr>
                    <w:framePr w:hSpace="180" w:wrap="around" w:vAnchor="text" w:hAnchor="margin" w:xAlign="center" w:y="149"/>
                    <w:jc w:val="center"/>
                    <w:rPr>
                      <w:b/>
                      <w:szCs w:val="28"/>
                    </w:rPr>
                  </w:pPr>
                  <w:r>
                    <w:rPr>
                      <w:b/>
                      <w:szCs w:val="28"/>
                    </w:rPr>
                    <w:t>2019. gads</w:t>
                  </w:r>
                </w:p>
              </w:tc>
              <w:tc>
                <w:tcPr>
                  <w:tcW w:w="1151" w:type="dxa"/>
                </w:tcPr>
                <w:p w14:paraId="74737509" w14:textId="77777777" w:rsidR="00B119F1" w:rsidRPr="00950C39" w:rsidRDefault="00B119F1" w:rsidP="002F5DCC">
                  <w:pPr>
                    <w:framePr w:hSpace="180" w:wrap="around" w:vAnchor="text" w:hAnchor="margin" w:xAlign="center" w:y="149"/>
                    <w:jc w:val="center"/>
                    <w:rPr>
                      <w:b/>
                      <w:szCs w:val="28"/>
                    </w:rPr>
                  </w:pPr>
                  <w:r w:rsidRPr="00950C39">
                    <w:rPr>
                      <w:b/>
                      <w:szCs w:val="28"/>
                    </w:rPr>
                    <w:t>2018.</w:t>
                  </w:r>
                </w:p>
                <w:p w14:paraId="3C6F0416" w14:textId="0C5DE1AB" w:rsidR="00B119F1" w:rsidRPr="00950C39" w:rsidRDefault="00B119F1" w:rsidP="002F5DCC">
                  <w:pPr>
                    <w:framePr w:hSpace="180" w:wrap="around" w:vAnchor="text" w:hAnchor="margin" w:xAlign="center" w:y="149"/>
                    <w:jc w:val="center"/>
                    <w:rPr>
                      <w:b/>
                      <w:szCs w:val="28"/>
                    </w:rPr>
                  </w:pPr>
                  <w:r w:rsidRPr="00950C39">
                    <w:rPr>
                      <w:b/>
                      <w:szCs w:val="28"/>
                    </w:rPr>
                    <w:t>gads</w:t>
                  </w:r>
                </w:p>
              </w:tc>
              <w:tc>
                <w:tcPr>
                  <w:tcW w:w="1151" w:type="dxa"/>
                </w:tcPr>
                <w:p w14:paraId="08A7194B" w14:textId="77777777" w:rsidR="00B119F1" w:rsidRPr="00950C39" w:rsidRDefault="00B119F1" w:rsidP="002F5DCC">
                  <w:pPr>
                    <w:framePr w:hSpace="180" w:wrap="around" w:vAnchor="text" w:hAnchor="margin" w:xAlign="center" w:y="149"/>
                    <w:jc w:val="center"/>
                    <w:rPr>
                      <w:b/>
                      <w:szCs w:val="28"/>
                    </w:rPr>
                  </w:pPr>
                  <w:r w:rsidRPr="00950C39">
                    <w:rPr>
                      <w:b/>
                      <w:szCs w:val="28"/>
                    </w:rPr>
                    <w:t>2017.</w:t>
                  </w:r>
                </w:p>
                <w:p w14:paraId="09FC8CF2" w14:textId="0D820041" w:rsidR="00B119F1" w:rsidRPr="00950C39" w:rsidRDefault="00B119F1" w:rsidP="002F5DCC">
                  <w:pPr>
                    <w:framePr w:hSpace="180" w:wrap="around" w:vAnchor="text" w:hAnchor="margin" w:xAlign="center" w:y="149"/>
                    <w:jc w:val="center"/>
                    <w:rPr>
                      <w:b/>
                      <w:szCs w:val="28"/>
                    </w:rPr>
                  </w:pPr>
                  <w:r w:rsidRPr="00950C39">
                    <w:rPr>
                      <w:b/>
                      <w:szCs w:val="28"/>
                    </w:rPr>
                    <w:t>gads</w:t>
                  </w:r>
                </w:p>
              </w:tc>
              <w:tc>
                <w:tcPr>
                  <w:tcW w:w="1151" w:type="dxa"/>
                </w:tcPr>
                <w:p w14:paraId="4F508552" w14:textId="77777777" w:rsidR="00B119F1" w:rsidRPr="00950C39" w:rsidRDefault="00B119F1" w:rsidP="002F5DCC">
                  <w:pPr>
                    <w:framePr w:hSpace="180" w:wrap="around" w:vAnchor="text" w:hAnchor="margin" w:xAlign="center" w:y="149"/>
                    <w:jc w:val="center"/>
                    <w:rPr>
                      <w:b/>
                      <w:szCs w:val="28"/>
                    </w:rPr>
                  </w:pPr>
                  <w:r w:rsidRPr="00950C39">
                    <w:rPr>
                      <w:b/>
                      <w:szCs w:val="28"/>
                    </w:rPr>
                    <w:t>2016.</w:t>
                  </w:r>
                </w:p>
                <w:p w14:paraId="38B7E84C" w14:textId="5F176E1C" w:rsidR="00B119F1" w:rsidRPr="00950C39" w:rsidRDefault="00B119F1" w:rsidP="002F5DCC">
                  <w:pPr>
                    <w:framePr w:hSpace="180" w:wrap="around" w:vAnchor="text" w:hAnchor="margin" w:xAlign="center" w:y="149"/>
                    <w:jc w:val="center"/>
                    <w:rPr>
                      <w:b/>
                      <w:szCs w:val="28"/>
                    </w:rPr>
                  </w:pPr>
                  <w:r w:rsidRPr="00950C39">
                    <w:rPr>
                      <w:b/>
                      <w:szCs w:val="28"/>
                    </w:rPr>
                    <w:t>gads</w:t>
                  </w:r>
                </w:p>
              </w:tc>
              <w:tc>
                <w:tcPr>
                  <w:tcW w:w="1151" w:type="dxa"/>
                </w:tcPr>
                <w:p w14:paraId="20E8016A" w14:textId="77777777" w:rsidR="00B119F1" w:rsidRPr="00950C39" w:rsidRDefault="00B119F1" w:rsidP="002F5DCC">
                  <w:pPr>
                    <w:framePr w:hSpace="180" w:wrap="around" w:vAnchor="text" w:hAnchor="margin" w:xAlign="center" w:y="149"/>
                    <w:jc w:val="center"/>
                    <w:rPr>
                      <w:b/>
                      <w:szCs w:val="28"/>
                    </w:rPr>
                  </w:pPr>
                  <w:r w:rsidRPr="00950C39">
                    <w:rPr>
                      <w:b/>
                      <w:szCs w:val="28"/>
                    </w:rPr>
                    <w:t>2015.</w:t>
                  </w:r>
                </w:p>
                <w:p w14:paraId="025770EC" w14:textId="7F8AFFCB" w:rsidR="00B119F1" w:rsidRPr="00950C39" w:rsidRDefault="00B119F1" w:rsidP="002F5DCC">
                  <w:pPr>
                    <w:framePr w:hSpace="180" w:wrap="around" w:vAnchor="text" w:hAnchor="margin" w:xAlign="center" w:y="149"/>
                    <w:jc w:val="center"/>
                    <w:rPr>
                      <w:b/>
                      <w:szCs w:val="28"/>
                    </w:rPr>
                  </w:pPr>
                  <w:r w:rsidRPr="00950C39">
                    <w:rPr>
                      <w:b/>
                      <w:szCs w:val="28"/>
                    </w:rPr>
                    <w:t>gads</w:t>
                  </w:r>
                </w:p>
              </w:tc>
            </w:tr>
            <w:tr w:rsidR="00B119F1" w:rsidRPr="00950C39" w14:paraId="4E0CF8BB" w14:textId="6F93C1E2" w:rsidTr="00B119F1">
              <w:trPr>
                <w:trHeight w:val="1524"/>
                <w:jc w:val="center"/>
              </w:trPr>
              <w:tc>
                <w:tcPr>
                  <w:tcW w:w="1159" w:type="dxa"/>
                  <w:shd w:val="clear" w:color="auto" w:fill="auto"/>
                </w:tcPr>
                <w:p w14:paraId="6222231F" w14:textId="77777777" w:rsidR="00B119F1" w:rsidRPr="00950C39" w:rsidRDefault="00B119F1" w:rsidP="002F5DCC">
                  <w:pPr>
                    <w:framePr w:hSpace="180" w:wrap="around" w:vAnchor="text" w:hAnchor="margin" w:xAlign="center" w:y="149"/>
                    <w:rPr>
                      <w:sz w:val="22"/>
                      <w:szCs w:val="28"/>
                    </w:rPr>
                  </w:pPr>
                  <w:r w:rsidRPr="00950C39">
                    <w:rPr>
                      <w:sz w:val="22"/>
                      <w:szCs w:val="28"/>
                    </w:rPr>
                    <w:t xml:space="preserve">LAPK </w:t>
                  </w:r>
                </w:p>
                <w:p w14:paraId="52AA52F3" w14:textId="77777777" w:rsidR="00B119F1" w:rsidRPr="00950C39" w:rsidRDefault="00B119F1" w:rsidP="002F5DCC">
                  <w:pPr>
                    <w:framePr w:hSpace="180" w:wrap="around" w:vAnchor="text" w:hAnchor="margin" w:xAlign="center" w:y="149"/>
                    <w:rPr>
                      <w:sz w:val="22"/>
                      <w:szCs w:val="28"/>
                    </w:rPr>
                  </w:pPr>
                  <w:r w:rsidRPr="00950C39">
                    <w:rPr>
                      <w:bCs/>
                      <w:sz w:val="22"/>
                      <w:szCs w:val="28"/>
                    </w:rPr>
                    <w:t>87.</w:t>
                  </w:r>
                  <w:r w:rsidRPr="00950C39">
                    <w:rPr>
                      <w:bCs/>
                      <w:sz w:val="22"/>
                      <w:szCs w:val="28"/>
                      <w:vertAlign w:val="superscript"/>
                    </w:rPr>
                    <w:t>1</w:t>
                  </w:r>
                  <w:r w:rsidRPr="00950C39">
                    <w:rPr>
                      <w:bCs/>
                      <w:sz w:val="22"/>
                      <w:szCs w:val="28"/>
                    </w:rPr>
                    <w:t> panta 1. daļa</w:t>
                  </w:r>
                </w:p>
              </w:tc>
              <w:tc>
                <w:tcPr>
                  <w:tcW w:w="1151" w:type="dxa"/>
                  <w:shd w:val="clear" w:color="auto" w:fill="auto"/>
                </w:tcPr>
                <w:p w14:paraId="074A723B" w14:textId="31E2A675" w:rsidR="00B119F1" w:rsidRPr="00950C39" w:rsidRDefault="00B119F1" w:rsidP="002F5DCC">
                  <w:pPr>
                    <w:framePr w:hSpace="180" w:wrap="around" w:vAnchor="text" w:hAnchor="margin" w:xAlign="center" w:y="149"/>
                    <w:jc w:val="center"/>
                    <w:rPr>
                      <w:sz w:val="22"/>
                      <w:szCs w:val="28"/>
                    </w:rPr>
                  </w:pPr>
                  <w:r w:rsidRPr="00950C39">
                    <w:rPr>
                      <w:sz w:val="22"/>
                      <w:szCs w:val="28"/>
                    </w:rPr>
                    <w:t>1 protokols  administratīvo</w:t>
                  </w:r>
                  <w:r>
                    <w:rPr>
                      <w:sz w:val="22"/>
                      <w:szCs w:val="28"/>
                    </w:rPr>
                    <w:t xml:space="preserve"> pārkāpumu lietā (210</w:t>
                  </w:r>
                  <w:r w:rsidRPr="00950C39">
                    <w:rPr>
                      <w:sz w:val="22"/>
                      <w:szCs w:val="28"/>
                    </w:rPr>
                    <w:t> </w:t>
                  </w:r>
                  <w:r w:rsidRPr="00950C39">
                    <w:rPr>
                      <w:i/>
                      <w:sz w:val="22"/>
                      <w:szCs w:val="28"/>
                    </w:rPr>
                    <w:t>euro</w:t>
                  </w:r>
                  <w:r w:rsidRPr="00950C39">
                    <w:rPr>
                      <w:sz w:val="22"/>
                      <w:szCs w:val="28"/>
                    </w:rPr>
                    <w:t>)</w:t>
                  </w:r>
                </w:p>
              </w:tc>
              <w:tc>
                <w:tcPr>
                  <w:tcW w:w="1151" w:type="dxa"/>
                </w:tcPr>
                <w:p w14:paraId="1281E521" w14:textId="1284091B" w:rsidR="00B119F1" w:rsidRPr="00950C39" w:rsidRDefault="00B119F1" w:rsidP="002F5DCC">
                  <w:pPr>
                    <w:framePr w:hSpace="180" w:wrap="around" w:vAnchor="text" w:hAnchor="margin" w:xAlign="center" w:y="149"/>
                    <w:jc w:val="center"/>
                    <w:rPr>
                      <w:sz w:val="22"/>
                      <w:szCs w:val="28"/>
                    </w:rPr>
                  </w:pPr>
                  <w:r w:rsidRPr="00950C39">
                    <w:rPr>
                      <w:sz w:val="22"/>
                      <w:szCs w:val="28"/>
                    </w:rPr>
                    <w:t>1 protokols  administratīvo pārkāpumu lietā (133 </w:t>
                  </w:r>
                  <w:r w:rsidRPr="00950C39">
                    <w:rPr>
                      <w:i/>
                      <w:sz w:val="22"/>
                      <w:szCs w:val="28"/>
                    </w:rPr>
                    <w:t>euro</w:t>
                  </w:r>
                  <w:r w:rsidRPr="00950C39">
                    <w:rPr>
                      <w:sz w:val="22"/>
                      <w:szCs w:val="28"/>
                    </w:rPr>
                    <w:t>)</w:t>
                  </w:r>
                </w:p>
              </w:tc>
              <w:tc>
                <w:tcPr>
                  <w:tcW w:w="1151" w:type="dxa"/>
                </w:tcPr>
                <w:p w14:paraId="1C3FEE4B" w14:textId="6E5E1C1C" w:rsidR="00B119F1" w:rsidRPr="00950C39" w:rsidRDefault="00B119F1" w:rsidP="002F5DCC">
                  <w:pPr>
                    <w:framePr w:hSpace="180" w:wrap="around" w:vAnchor="text" w:hAnchor="margin" w:xAlign="center" w:y="149"/>
                    <w:jc w:val="center"/>
                    <w:rPr>
                      <w:sz w:val="22"/>
                      <w:szCs w:val="28"/>
                    </w:rPr>
                  </w:pPr>
                  <w:r w:rsidRPr="00950C39">
                    <w:rPr>
                      <w:sz w:val="22"/>
                      <w:szCs w:val="28"/>
                    </w:rPr>
                    <w:t xml:space="preserve">2 protokoli  administratīvo pārkāpumu lietās (kopsumma 140 </w:t>
                  </w:r>
                  <w:r w:rsidRPr="00950C39">
                    <w:rPr>
                      <w:i/>
                      <w:sz w:val="22"/>
                      <w:szCs w:val="28"/>
                    </w:rPr>
                    <w:t>euro</w:t>
                  </w:r>
                  <w:r w:rsidRPr="00950C39">
                    <w:rPr>
                      <w:sz w:val="22"/>
                      <w:szCs w:val="28"/>
                    </w:rPr>
                    <w:t>)</w:t>
                  </w:r>
                </w:p>
              </w:tc>
              <w:tc>
                <w:tcPr>
                  <w:tcW w:w="1151" w:type="dxa"/>
                </w:tcPr>
                <w:p w14:paraId="5BA57BC6" w14:textId="2B694D11" w:rsidR="00B119F1" w:rsidRPr="00950C39" w:rsidRDefault="00B119F1" w:rsidP="002F5DCC">
                  <w:pPr>
                    <w:framePr w:hSpace="180" w:wrap="around" w:vAnchor="text" w:hAnchor="margin" w:xAlign="center" w:y="149"/>
                    <w:jc w:val="center"/>
                    <w:rPr>
                      <w:sz w:val="22"/>
                      <w:szCs w:val="28"/>
                    </w:rPr>
                  </w:pPr>
                  <w:r w:rsidRPr="00950C39">
                    <w:rPr>
                      <w:sz w:val="22"/>
                      <w:szCs w:val="28"/>
                    </w:rPr>
                    <w:t>1 protokols  administratīvo pārkāpumu lietā (70 </w:t>
                  </w:r>
                  <w:r w:rsidRPr="00950C39">
                    <w:rPr>
                      <w:i/>
                      <w:sz w:val="22"/>
                      <w:szCs w:val="28"/>
                    </w:rPr>
                    <w:t>euro</w:t>
                  </w:r>
                  <w:r w:rsidRPr="00950C39">
                    <w:rPr>
                      <w:sz w:val="22"/>
                      <w:szCs w:val="28"/>
                    </w:rPr>
                    <w:t>)</w:t>
                  </w:r>
                </w:p>
              </w:tc>
              <w:tc>
                <w:tcPr>
                  <w:tcW w:w="1151" w:type="dxa"/>
                </w:tcPr>
                <w:p w14:paraId="768A5489" w14:textId="01BE586D" w:rsidR="00B119F1" w:rsidRPr="00950C39" w:rsidRDefault="00B119F1" w:rsidP="002F5DCC">
                  <w:pPr>
                    <w:framePr w:hSpace="180" w:wrap="around" w:vAnchor="text" w:hAnchor="margin" w:xAlign="center" w:y="149"/>
                    <w:jc w:val="center"/>
                    <w:rPr>
                      <w:sz w:val="22"/>
                      <w:szCs w:val="28"/>
                    </w:rPr>
                  </w:pPr>
                  <w:r w:rsidRPr="00950C39">
                    <w:rPr>
                      <w:sz w:val="22"/>
                      <w:szCs w:val="28"/>
                    </w:rPr>
                    <w:t>3 protokoli  administratīvo pārkāpu-mu lietās (kop-summa 220</w:t>
                  </w:r>
                  <w:r w:rsidRPr="00950C39">
                    <w:rPr>
                      <w:i/>
                      <w:sz w:val="22"/>
                      <w:szCs w:val="28"/>
                    </w:rPr>
                    <w:t>euro</w:t>
                  </w:r>
                  <w:r w:rsidRPr="00950C39">
                    <w:rPr>
                      <w:sz w:val="22"/>
                      <w:szCs w:val="28"/>
                    </w:rPr>
                    <w:t>)</w:t>
                  </w:r>
                </w:p>
              </w:tc>
            </w:tr>
            <w:tr w:rsidR="00B119F1" w:rsidRPr="00950C39" w14:paraId="6BC658B0" w14:textId="33DA0468" w:rsidTr="00B119F1">
              <w:trPr>
                <w:trHeight w:val="1235"/>
                <w:jc w:val="center"/>
              </w:trPr>
              <w:tc>
                <w:tcPr>
                  <w:tcW w:w="1159" w:type="dxa"/>
                  <w:shd w:val="clear" w:color="auto" w:fill="auto"/>
                </w:tcPr>
                <w:p w14:paraId="62AEF9B8" w14:textId="77777777" w:rsidR="00B119F1" w:rsidRPr="00950C39" w:rsidRDefault="00B119F1" w:rsidP="002F5DCC">
                  <w:pPr>
                    <w:framePr w:hSpace="180" w:wrap="around" w:vAnchor="text" w:hAnchor="margin" w:xAlign="center" w:y="149"/>
                    <w:rPr>
                      <w:sz w:val="22"/>
                      <w:szCs w:val="28"/>
                    </w:rPr>
                  </w:pPr>
                  <w:r w:rsidRPr="00950C39">
                    <w:rPr>
                      <w:sz w:val="22"/>
                      <w:szCs w:val="28"/>
                    </w:rPr>
                    <w:t xml:space="preserve">LAPK </w:t>
                  </w:r>
                  <w:r w:rsidRPr="00950C39">
                    <w:rPr>
                      <w:bCs/>
                      <w:sz w:val="22"/>
                      <w:szCs w:val="28"/>
                    </w:rPr>
                    <w:t>87.</w:t>
                  </w:r>
                  <w:r w:rsidRPr="00950C39">
                    <w:rPr>
                      <w:bCs/>
                      <w:sz w:val="22"/>
                      <w:szCs w:val="28"/>
                      <w:vertAlign w:val="superscript"/>
                    </w:rPr>
                    <w:t>1</w:t>
                  </w:r>
                  <w:r w:rsidRPr="00950C39">
                    <w:rPr>
                      <w:bCs/>
                      <w:sz w:val="22"/>
                      <w:szCs w:val="28"/>
                    </w:rPr>
                    <w:t> panta 10. daļa</w:t>
                  </w:r>
                </w:p>
              </w:tc>
              <w:tc>
                <w:tcPr>
                  <w:tcW w:w="1151" w:type="dxa"/>
                  <w:shd w:val="clear" w:color="auto" w:fill="auto"/>
                </w:tcPr>
                <w:p w14:paraId="2E8CD4A4" w14:textId="217E135E" w:rsidR="00B119F1" w:rsidRPr="00950C39" w:rsidRDefault="00B119F1" w:rsidP="002F5DCC">
                  <w:pPr>
                    <w:framePr w:hSpace="180" w:wrap="around" w:vAnchor="text" w:hAnchor="margin" w:xAlign="center" w:y="149"/>
                    <w:jc w:val="center"/>
                    <w:rPr>
                      <w:sz w:val="22"/>
                      <w:szCs w:val="28"/>
                    </w:rPr>
                  </w:pPr>
                  <w:r>
                    <w:rPr>
                      <w:sz w:val="22"/>
                      <w:szCs w:val="28"/>
                    </w:rPr>
                    <w:t xml:space="preserve">6 </w:t>
                  </w:r>
                  <w:r w:rsidRPr="00950C39">
                    <w:rPr>
                      <w:sz w:val="22"/>
                      <w:szCs w:val="28"/>
                    </w:rPr>
                    <w:t xml:space="preserve"> protokoli  administratīvo</w:t>
                  </w:r>
                  <w:r>
                    <w:rPr>
                      <w:sz w:val="22"/>
                      <w:szCs w:val="28"/>
                    </w:rPr>
                    <w:t xml:space="preserve"> pārkāpumu lietās (kopsumma 1505</w:t>
                  </w:r>
                  <w:r w:rsidRPr="00950C39">
                    <w:rPr>
                      <w:sz w:val="22"/>
                      <w:szCs w:val="28"/>
                    </w:rPr>
                    <w:t xml:space="preserve"> </w:t>
                  </w:r>
                  <w:r w:rsidRPr="00950C39">
                    <w:rPr>
                      <w:i/>
                      <w:sz w:val="22"/>
                      <w:szCs w:val="28"/>
                    </w:rPr>
                    <w:t>euro</w:t>
                  </w:r>
                  <w:r w:rsidRPr="00950C39">
                    <w:rPr>
                      <w:sz w:val="22"/>
                      <w:szCs w:val="28"/>
                    </w:rPr>
                    <w:t>)</w:t>
                  </w:r>
                </w:p>
              </w:tc>
              <w:tc>
                <w:tcPr>
                  <w:tcW w:w="1151" w:type="dxa"/>
                </w:tcPr>
                <w:p w14:paraId="4DE7CE57" w14:textId="7E52F981" w:rsidR="00B119F1" w:rsidRPr="00950C39" w:rsidRDefault="00B119F1" w:rsidP="002F5DCC">
                  <w:pPr>
                    <w:framePr w:hSpace="180" w:wrap="around" w:vAnchor="text" w:hAnchor="margin" w:xAlign="center" w:y="149"/>
                    <w:jc w:val="center"/>
                    <w:rPr>
                      <w:sz w:val="22"/>
                      <w:szCs w:val="28"/>
                    </w:rPr>
                  </w:pPr>
                  <w:r w:rsidRPr="00950C39">
                    <w:rPr>
                      <w:sz w:val="22"/>
                      <w:szCs w:val="28"/>
                    </w:rPr>
                    <w:t xml:space="preserve">4 protokoli  administratīvo pārkāpumu lietās (kopsumma 945 </w:t>
                  </w:r>
                  <w:r w:rsidRPr="00950C39">
                    <w:rPr>
                      <w:i/>
                      <w:sz w:val="22"/>
                      <w:szCs w:val="28"/>
                    </w:rPr>
                    <w:t>euro</w:t>
                  </w:r>
                  <w:r w:rsidRPr="00950C39">
                    <w:rPr>
                      <w:sz w:val="22"/>
                      <w:szCs w:val="28"/>
                    </w:rPr>
                    <w:t>)</w:t>
                  </w:r>
                </w:p>
              </w:tc>
              <w:tc>
                <w:tcPr>
                  <w:tcW w:w="1151" w:type="dxa"/>
                </w:tcPr>
                <w:p w14:paraId="50E3C129" w14:textId="503AB4A3" w:rsidR="00B119F1" w:rsidRPr="00950C39" w:rsidRDefault="00B119F1" w:rsidP="002F5DCC">
                  <w:pPr>
                    <w:framePr w:hSpace="180" w:wrap="around" w:vAnchor="text" w:hAnchor="margin" w:xAlign="center" w:y="149"/>
                    <w:jc w:val="center"/>
                    <w:rPr>
                      <w:sz w:val="22"/>
                      <w:szCs w:val="28"/>
                    </w:rPr>
                  </w:pPr>
                  <w:r w:rsidRPr="00950C39">
                    <w:rPr>
                      <w:sz w:val="22"/>
                      <w:szCs w:val="28"/>
                    </w:rPr>
                    <w:t xml:space="preserve">2 protokoli  administratīvo pārkāpumu lietās (kopsumma 300 </w:t>
                  </w:r>
                  <w:r w:rsidRPr="00950C39">
                    <w:rPr>
                      <w:i/>
                      <w:sz w:val="22"/>
                      <w:szCs w:val="28"/>
                    </w:rPr>
                    <w:t>euro</w:t>
                  </w:r>
                  <w:r w:rsidRPr="00950C39">
                    <w:rPr>
                      <w:sz w:val="22"/>
                      <w:szCs w:val="28"/>
                    </w:rPr>
                    <w:t>)</w:t>
                  </w:r>
                </w:p>
              </w:tc>
              <w:tc>
                <w:tcPr>
                  <w:tcW w:w="1151" w:type="dxa"/>
                </w:tcPr>
                <w:p w14:paraId="4C762EC4" w14:textId="7730BBD6" w:rsidR="00B119F1" w:rsidRPr="00950C39" w:rsidRDefault="00B119F1" w:rsidP="002F5DCC">
                  <w:pPr>
                    <w:framePr w:hSpace="180" w:wrap="around" w:vAnchor="text" w:hAnchor="margin" w:xAlign="center" w:y="149"/>
                    <w:jc w:val="center"/>
                    <w:rPr>
                      <w:sz w:val="22"/>
                      <w:szCs w:val="28"/>
                    </w:rPr>
                  </w:pPr>
                  <w:r w:rsidRPr="00950C39">
                    <w:rPr>
                      <w:sz w:val="22"/>
                      <w:szCs w:val="28"/>
                    </w:rPr>
                    <w:t xml:space="preserve">2 protokoli  administratīvo pārkāpumu lietās (kopsumma 390 </w:t>
                  </w:r>
                  <w:r w:rsidRPr="00950C39">
                    <w:rPr>
                      <w:i/>
                      <w:sz w:val="22"/>
                      <w:szCs w:val="28"/>
                    </w:rPr>
                    <w:t>euro</w:t>
                  </w:r>
                  <w:r w:rsidRPr="00950C39">
                    <w:rPr>
                      <w:sz w:val="22"/>
                      <w:szCs w:val="28"/>
                    </w:rPr>
                    <w:t>)</w:t>
                  </w:r>
                </w:p>
              </w:tc>
              <w:tc>
                <w:tcPr>
                  <w:tcW w:w="1151" w:type="dxa"/>
                </w:tcPr>
                <w:p w14:paraId="6CECEC1E" w14:textId="23A2ECCA" w:rsidR="00B119F1" w:rsidRPr="00950C39" w:rsidRDefault="00B119F1" w:rsidP="002F5DCC">
                  <w:pPr>
                    <w:framePr w:hSpace="180" w:wrap="around" w:vAnchor="text" w:hAnchor="margin" w:xAlign="center" w:y="149"/>
                    <w:jc w:val="center"/>
                    <w:rPr>
                      <w:sz w:val="22"/>
                      <w:szCs w:val="28"/>
                    </w:rPr>
                  </w:pPr>
                  <w:r w:rsidRPr="00950C39">
                    <w:rPr>
                      <w:sz w:val="22"/>
                      <w:szCs w:val="28"/>
                    </w:rPr>
                    <w:t>2 protokoli  administratīvo pārkāpu-mu lietās (kop-summa 280</w:t>
                  </w:r>
                  <w:r w:rsidRPr="00950C39">
                    <w:rPr>
                      <w:i/>
                      <w:sz w:val="22"/>
                      <w:szCs w:val="28"/>
                    </w:rPr>
                    <w:t>euro</w:t>
                  </w:r>
                  <w:r w:rsidRPr="00950C39">
                    <w:rPr>
                      <w:sz w:val="22"/>
                      <w:szCs w:val="28"/>
                    </w:rPr>
                    <w:t>)</w:t>
                  </w:r>
                </w:p>
              </w:tc>
            </w:tr>
          </w:tbl>
          <w:p w14:paraId="33455239" w14:textId="77777777" w:rsidR="007C06C5" w:rsidRPr="00950C39" w:rsidRDefault="007C06C5" w:rsidP="0044438D">
            <w:pPr>
              <w:pStyle w:val="naiskr"/>
              <w:spacing w:before="0" w:after="120"/>
              <w:ind w:right="161"/>
              <w:jc w:val="both"/>
              <w:rPr>
                <w:sz w:val="28"/>
                <w:szCs w:val="28"/>
              </w:rPr>
            </w:pPr>
          </w:p>
        </w:tc>
      </w:tr>
      <w:tr w:rsidR="00A63A63" w:rsidRPr="00950C39" w14:paraId="20FD2796" w14:textId="77777777" w:rsidTr="00693E48">
        <w:trPr>
          <w:trHeight w:val="630"/>
        </w:trPr>
        <w:tc>
          <w:tcPr>
            <w:tcW w:w="223" w:type="pct"/>
          </w:tcPr>
          <w:p w14:paraId="387AA7C7" w14:textId="77777777" w:rsidR="00A63A63" w:rsidRPr="00950C39" w:rsidRDefault="00A63A63" w:rsidP="00F13713">
            <w:pPr>
              <w:pStyle w:val="naiskr"/>
              <w:spacing w:before="0" w:after="120"/>
              <w:rPr>
                <w:sz w:val="28"/>
                <w:szCs w:val="28"/>
              </w:rPr>
            </w:pPr>
            <w:r w:rsidRPr="00950C39">
              <w:rPr>
                <w:sz w:val="28"/>
                <w:szCs w:val="28"/>
              </w:rPr>
              <w:lastRenderedPageBreak/>
              <w:t>3.</w:t>
            </w:r>
          </w:p>
        </w:tc>
        <w:tc>
          <w:tcPr>
            <w:tcW w:w="956" w:type="pct"/>
            <w:tcBorders>
              <w:bottom w:val="single" w:sz="4" w:space="0" w:color="auto"/>
            </w:tcBorders>
          </w:tcPr>
          <w:p w14:paraId="54835449" w14:textId="77777777" w:rsidR="00A63A63" w:rsidRPr="00950C39" w:rsidRDefault="00551E73" w:rsidP="0097692A">
            <w:pPr>
              <w:pStyle w:val="naiskr"/>
              <w:spacing w:before="0" w:after="0"/>
              <w:ind w:hanging="10"/>
              <w:rPr>
                <w:sz w:val="28"/>
                <w:szCs w:val="28"/>
              </w:rPr>
            </w:pPr>
            <w:r w:rsidRPr="00950C39">
              <w:rPr>
                <w:sz w:val="28"/>
                <w:szCs w:val="28"/>
              </w:rPr>
              <w:t>Projekta izstrādē iesaistītās institūcijas un publiskas personas kapitālsabiedrības</w:t>
            </w:r>
          </w:p>
        </w:tc>
        <w:tc>
          <w:tcPr>
            <w:tcW w:w="3822" w:type="pct"/>
            <w:tcBorders>
              <w:bottom w:val="single" w:sz="4" w:space="0" w:color="auto"/>
            </w:tcBorders>
          </w:tcPr>
          <w:p w14:paraId="4D4549F0" w14:textId="77777777" w:rsidR="00551E73" w:rsidRDefault="00A63A63" w:rsidP="00CA5099">
            <w:pPr>
              <w:pStyle w:val="naiskr"/>
              <w:spacing w:before="0" w:after="120"/>
              <w:ind w:left="124" w:right="180"/>
              <w:jc w:val="both"/>
              <w:rPr>
                <w:iCs/>
                <w:sz w:val="28"/>
                <w:szCs w:val="28"/>
              </w:rPr>
            </w:pPr>
            <w:r w:rsidRPr="00950C39">
              <w:rPr>
                <w:iCs/>
                <w:sz w:val="28"/>
                <w:szCs w:val="28"/>
              </w:rPr>
              <w:t>V</w:t>
            </w:r>
            <w:r w:rsidR="00CA5099" w:rsidRPr="00950C39">
              <w:rPr>
                <w:iCs/>
                <w:sz w:val="28"/>
                <w:szCs w:val="28"/>
              </w:rPr>
              <w:t xml:space="preserve">ides aizsardzības un reģionālās attīstības ministrija (turpmāk – VARAM), </w:t>
            </w:r>
            <w:r w:rsidR="0055614A" w:rsidRPr="00950C39">
              <w:rPr>
                <w:iCs/>
                <w:sz w:val="28"/>
                <w:szCs w:val="28"/>
              </w:rPr>
              <w:t>RD</w:t>
            </w:r>
            <w:r w:rsidR="008A74A1" w:rsidRPr="00950C39">
              <w:rPr>
                <w:iCs/>
                <w:sz w:val="28"/>
                <w:szCs w:val="28"/>
              </w:rPr>
              <w:t>C.</w:t>
            </w:r>
          </w:p>
          <w:p w14:paraId="04829790" w14:textId="6C15A259" w:rsidR="003A065A" w:rsidRPr="00950C39" w:rsidRDefault="001972C7" w:rsidP="00D656DB">
            <w:pPr>
              <w:pStyle w:val="naiskr"/>
              <w:spacing w:before="0" w:after="120"/>
              <w:ind w:left="124" w:right="180"/>
              <w:jc w:val="both"/>
              <w:rPr>
                <w:iCs/>
                <w:sz w:val="28"/>
                <w:szCs w:val="28"/>
              </w:rPr>
            </w:pPr>
            <w:r>
              <w:rPr>
                <w:iCs/>
                <w:sz w:val="28"/>
                <w:szCs w:val="28"/>
              </w:rPr>
              <w:t xml:space="preserve">Papildus Likumprojekta izstrādē iesaistītas sekojošas institūcijas: </w:t>
            </w:r>
            <w:r>
              <w:rPr>
                <w:rFonts w:eastAsia="Calibri"/>
                <w:bCs/>
                <w:sz w:val="28"/>
                <w:szCs w:val="28"/>
              </w:rPr>
              <w:t xml:space="preserve"> PTAC, </w:t>
            </w:r>
            <w:r w:rsidR="001A2AE2">
              <w:rPr>
                <w:rFonts w:eastAsia="Calibri"/>
                <w:bCs/>
                <w:sz w:val="28"/>
                <w:szCs w:val="28"/>
              </w:rPr>
              <w:t xml:space="preserve">Ekonomikas ministrija, </w:t>
            </w:r>
            <w:r>
              <w:rPr>
                <w:rFonts w:eastAsia="Calibri"/>
                <w:bCs/>
                <w:sz w:val="28"/>
                <w:szCs w:val="28"/>
              </w:rPr>
              <w:t xml:space="preserve">PVD, VI, </w:t>
            </w:r>
          </w:p>
        </w:tc>
      </w:tr>
      <w:tr w:rsidR="00A63A63" w:rsidRPr="00950C39" w14:paraId="3E72D33A" w14:textId="77777777" w:rsidTr="00693E48">
        <w:trPr>
          <w:trHeight w:val="75"/>
        </w:trPr>
        <w:tc>
          <w:tcPr>
            <w:tcW w:w="223" w:type="pct"/>
          </w:tcPr>
          <w:p w14:paraId="2AE468C8" w14:textId="77777777" w:rsidR="00A63A63" w:rsidRPr="00950C39" w:rsidRDefault="00A63A63" w:rsidP="00F13713">
            <w:pPr>
              <w:pStyle w:val="naiskr"/>
              <w:spacing w:before="0" w:after="120"/>
              <w:rPr>
                <w:sz w:val="28"/>
                <w:szCs w:val="28"/>
              </w:rPr>
            </w:pPr>
            <w:r w:rsidRPr="00950C39">
              <w:rPr>
                <w:sz w:val="28"/>
                <w:szCs w:val="28"/>
              </w:rPr>
              <w:t>4.</w:t>
            </w:r>
          </w:p>
        </w:tc>
        <w:tc>
          <w:tcPr>
            <w:tcW w:w="956" w:type="pct"/>
            <w:tcBorders>
              <w:top w:val="single" w:sz="4" w:space="0" w:color="auto"/>
            </w:tcBorders>
          </w:tcPr>
          <w:p w14:paraId="1794787B" w14:textId="77777777" w:rsidR="00A63A63" w:rsidRPr="00950C39" w:rsidRDefault="00A63A63" w:rsidP="00F13713">
            <w:pPr>
              <w:pStyle w:val="naiskr"/>
              <w:spacing w:before="0" w:after="120"/>
              <w:ind w:hanging="10"/>
              <w:rPr>
                <w:sz w:val="28"/>
                <w:szCs w:val="28"/>
              </w:rPr>
            </w:pPr>
            <w:r w:rsidRPr="00950C39">
              <w:rPr>
                <w:sz w:val="28"/>
                <w:szCs w:val="28"/>
              </w:rPr>
              <w:t>Cita informācija</w:t>
            </w:r>
          </w:p>
        </w:tc>
        <w:tc>
          <w:tcPr>
            <w:tcW w:w="3822" w:type="pct"/>
            <w:tcBorders>
              <w:top w:val="single" w:sz="4" w:space="0" w:color="auto"/>
            </w:tcBorders>
          </w:tcPr>
          <w:p w14:paraId="35DEC686" w14:textId="77777777" w:rsidR="00A60F72" w:rsidRPr="00950C39" w:rsidRDefault="00577241" w:rsidP="003800FB">
            <w:pPr>
              <w:pStyle w:val="naiskr"/>
              <w:spacing w:before="0" w:after="120"/>
              <w:ind w:right="145"/>
              <w:jc w:val="both"/>
              <w:rPr>
                <w:sz w:val="28"/>
                <w:szCs w:val="28"/>
              </w:rPr>
            </w:pPr>
            <w:r w:rsidRPr="00950C39">
              <w:rPr>
                <w:sz w:val="28"/>
                <w:szCs w:val="28"/>
              </w:rPr>
              <w:t xml:space="preserve"> </w:t>
            </w:r>
            <w:r w:rsidR="003800FB" w:rsidRPr="00950C39">
              <w:rPr>
                <w:sz w:val="28"/>
                <w:szCs w:val="28"/>
              </w:rPr>
              <w:t>Nav.</w:t>
            </w:r>
          </w:p>
        </w:tc>
      </w:tr>
    </w:tbl>
    <w:p w14:paraId="561E3C06" w14:textId="77777777" w:rsidR="000D02B5" w:rsidRPr="00950C39" w:rsidRDefault="000D02B5" w:rsidP="00F13713">
      <w:pPr>
        <w:pStyle w:val="naisf"/>
        <w:spacing w:before="0" w:after="120"/>
        <w:rPr>
          <w:sz w:val="28"/>
          <w:szCs w:val="28"/>
        </w:rPr>
      </w:pPr>
    </w:p>
    <w:tbl>
      <w:tblPr>
        <w:tblW w:w="5273" w:type="pct"/>
        <w:tblInd w:w="-24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413"/>
        <w:gridCol w:w="3191"/>
        <w:gridCol w:w="6026"/>
      </w:tblGrid>
      <w:tr w:rsidR="003A6607" w:rsidRPr="00950C39" w14:paraId="680B8886" w14:textId="77777777" w:rsidTr="007B738D">
        <w:trPr>
          <w:trHeight w:val="555"/>
        </w:trPr>
        <w:tc>
          <w:tcPr>
            <w:tcW w:w="5000" w:type="pct"/>
            <w:gridSpan w:val="3"/>
            <w:tcBorders>
              <w:top w:val="outset" w:sz="6" w:space="0" w:color="414142"/>
              <w:bottom w:val="outset" w:sz="6" w:space="0" w:color="414142"/>
            </w:tcBorders>
            <w:vAlign w:val="center"/>
          </w:tcPr>
          <w:p w14:paraId="60F197DB" w14:textId="77777777" w:rsidR="003A6607" w:rsidRPr="00950C39" w:rsidRDefault="003A6607" w:rsidP="00F13713">
            <w:pPr>
              <w:pStyle w:val="NoSpacing"/>
              <w:spacing w:after="120"/>
              <w:jc w:val="center"/>
              <w:rPr>
                <w:rFonts w:ascii="Times New Roman" w:hAnsi="Times New Roman"/>
                <w:b/>
                <w:sz w:val="28"/>
                <w:szCs w:val="28"/>
                <w:lang w:eastAsia="lv-LV"/>
              </w:rPr>
            </w:pPr>
            <w:r w:rsidRPr="00950C39">
              <w:rPr>
                <w:rFonts w:ascii="Times New Roman" w:hAnsi="Times New Roman"/>
                <w:b/>
                <w:sz w:val="28"/>
                <w:szCs w:val="28"/>
                <w:lang w:eastAsia="lv-LV"/>
              </w:rPr>
              <w:t>II.</w:t>
            </w:r>
            <w:r w:rsidR="00676169" w:rsidRPr="00950C39">
              <w:rPr>
                <w:rFonts w:ascii="Times New Roman" w:hAnsi="Times New Roman"/>
                <w:b/>
                <w:sz w:val="28"/>
                <w:szCs w:val="28"/>
                <w:lang w:eastAsia="lv-LV"/>
              </w:rPr>
              <w:t> </w:t>
            </w:r>
            <w:r w:rsidRPr="00950C39">
              <w:rPr>
                <w:rFonts w:ascii="Times New Roman" w:hAnsi="Times New Roman"/>
                <w:b/>
                <w:sz w:val="28"/>
                <w:szCs w:val="28"/>
                <w:lang w:eastAsia="lv-LV"/>
              </w:rPr>
              <w:t>Tiesību akta projekta ietekme uz sabiedrību, tautsaimniecības attīstību un</w:t>
            </w:r>
          </w:p>
          <w:p w14:paraId="2F5B990E" w14:textId="77777777" w:rsidR="003A6607" w:rsidRPr="00950C39" w:rsidRDefault="003A6607" w:rsidP="00F13713">
            <w:pPr>
              <w:pStyle w:val="NoSpacing"/>
              <w:spacing w:after="120"/>
              <w:jc w:val="center"/>
              <w:rPr>
                <w:rFonts w:ascii="Times New Roman" w:hAnsi="Times New Roman"/>
                <w:sz w:val="28"/>
                <w:szCs w:val="28"/>
                <w:lang w:eastAsia="lv-LV"/>
              </w:rPr>
            </w:pPr>
            <w:r w:rsidRPr="00950C39">
              <w:rPr>
                <w:rFonts w:ascii="Times New Roman" w:hAnsi="Times New Roman"/>
                <w:b/>
                <w:sz w:val="28"/>
                <w:szCs w:val="28"/>
                <w:lang w:eastAsia="lv-LV"/>
              </w:rPr>
              <w:t>administratīvo slogu</w:t>
            </w:r>
          </w:p>
        </w:tc>
      </w:tr>
      <w:tr w:rsidR="003A6607" w:rsidRPr="00950C39" w14:paraId="4F4A46BA" w14:textId="77777777" w:rsidTr="007B738D">
        <w:trPr>
          <w:trHeight w:val="465"/>
        </w:trPr>
        <w:tc>
          <w:tcPr>
            <w:tcW w:w="214" w:type="pct"/>
            <w:tcBorders>
              <w:top w:val="outset" w:sz="6" w:space="0" w:color="414142"/>
              <w:bottom w:val="outset" w:sz="6" w:space="0" w:color="414142"/>
              <w:right w:val="outset" w:sz="6" w:space="0" w:color="414142"/>
            </w:tcBorders>
          </w:tcPr>
          <w:p w14:paraId="1D815FBD" w14:textId="77777777" w:rsidR="003A6607" w:rsidRPr="00950C39" w:rsidRDefault="003A6607" w:rsidP="00F13713">
            <w:pPr>
              <w:spacing w:after="120"/>
              <w:jc w:val="center"/>
              <w:rPr>
                <w:sz w:val="28"/>
                <w:szCs w:val="28"/>
              </w:rPr>
            </w:pPr>
            <w:r w:rsidRPr="00950C39">
              <w:rPr>
                <w:sz w:val="28"/>
                <w:szCs w:val="28"/>
              </w:rPr>
              <w:t>1.</w:t>
            </w:r>
          </w:p>
        </w:tc>
        <w:tc>
          <w:tcPr>
            <w:tcW w:w="1657" w:type="pct"/>
            <w:tcBorders>
              <w:top w:val="outset" w:sz="6" w:space="0" w:color="414142"/>
              <w:left w:val="outset" w:sz="6" w:space="0" w:color="414142"/>
              <w:bottom w:val="outset" w:sz="6" w:space="0" w:color="414142"/>
              <w:right w:val="outset" w:sz="6" w:space="0" w:color="414142"/>
            </w:tcBorders>
          </w:tcPr>
          <w:p w14:paraId="07428E16" w14:textId="77777777" w:rsidR="003A6607" w:rsidRPr="00950C39" w:rsidRDefault="003A6607" w:rsidP="00F13713">
            <w:pPr>
              <w:spacing w:after="120"/>
              <w:jc w:val="both"/>
              <w:rPr>
                <w:sz w:val="28"/>
                <w:szCs w:val="28"/>
              </w:rPr>
            </w:pPr>
            <w:r w:rsidRPr="00950C39">
              <w:rPr>
                <w:sz w:val="28"/>
                <w:szCs w:val="28"/>
              </w:rPr>
              <w:t>Sabiedrības mērķgrupas, kuras tiesiskais regulējums ietekmē vai varētu ietekmēt</w:t>
            </w:r>
          </w:p>
        </w:tc>
        <w:tc>
          <w:tcPr>
            <w:tcW w:w="3129" w:type="pct"/>
            <w:tcBorders>
              <w:top w:val="outset" w:sz="6" w:space="0" w:color="414142"/>
              <w:left w:val="outset" w:sz="6" w:space="0" w:color="414142"/>
              <w:bottom w:val="outset" w:sz="6" w:space="0" w:color="414142"/>
            </w:tcBorders>
          </w:tcPr>
          <w:p w14:paraId="1F518CDA" w14:textId="77777777" w:rsidR="003A6607" w:rsidRPr="00950C39" w:rsidRDefault="007730DA" w:rsidP="007730DA">
            <w:pPr>
              <w:ind w:left="45"/>
              <w:jc w:val="both"/>
              <w:rPr>
                <w:sz w:val="28"/>
                <w:szCs w:val="28"/>
              </w:rPr>
            </w:pPr>
            <w:r w:rsidRPr="00950C39">
              <w:rPr>
                <w:sz w:val="28"/>
                <w:szCs w:val="28"/>
              </w:rPr>
              <w:t xml:space="preserve">Likumprojektā ietvertais regulējums attiecas uz: </w:t>
            </w:r>
            <w:r w:rsidR="003A6607" w:rsidRPr="00950C39">
              <w:rPr>
                <w:sz w:val="28"/>
                <w:szCs w:val="28"/>
              </w:rPr>
              <w:t>1)</w:t>
            </w:r>
            <w:r w:rsidR="008C195A" w:rsidRPr="00950C39">
              <w:rPr>
                <w:sz w:val="28"/>
                <w:szCs w:val="28"/>
              </w:rPr>
              <w:t> </w:t>
            </w:r>
            <w:r w:rsidR="00387272" w:rsidRPr="00950C39">
              <w:rPr>
                <w:sz w:val="28"/>
                <w:szCs w:val="28"/>
              </w:rPr>
              <w:t>operatori</w:t>
            </w:r>
            <w:r w:rsidR="005C06A0" w:rsidRPr="00950C39">
              <w:rPr>
                <w:sz w:val="28"/>
                <w:szCs w:val="28"/>
              </w:rPr>
              <w:t>em</w:t>
            </w:r>
            <w:r w:rsidR="003A6607" w:rsidRPr="00950C39">
              <w:rPr>
                <w:sz w:val="28"/>
                <w:szCs w:val="28"/>
              </w:rPr>
              <w:t>, k</w:t>
            </w:r>
            <w:r w:rsidR="007B0871" w:rsidRPr="00950C39">
              <w:rPr>
                <w:sz w:val="28"/>
                <w:szCs w:val="28"/>
              </w:rPr>
              <w:t>as</w:t>
            </w:r>
            <w:r w:rsidR="003A6607" w:rsidRPr="00950C39">
              <w:rPr>
                <w:sz w:val="28"/>
                <w:szCs w:val="28"/>
              </w:rPr>
              <w:t xml:space="preserve"> veic darbības ar jonizējošā starojuma avotiem (</w:t>
            </w:r>
            <w:r w:rsidR="00387272" w:rsidRPr="00950C39">
              <w:rPr>
                <w:sz w:val="28"/>
                <w:szCs w:val="28"/>
              </w:rPr>
              <w:t>juridiskas un fiziskas personas</w:t>
            </w:r>
            <w:r w:rsidR="003A6607" w:rsidRPr="00950C39">
              <w:rPr>
                <w:sz w:val="28"/>
                <w:szCs w:val="28"/>
              </w:rPr>
              <w:t>);</w:t>
            </w:r>
          </w:p>
          <w:p w14:paraId="16955D24" w14:textId="77777777" w:rsidR="003A6607" w:rsidRPr="00950C39" w:rsidRDefault="003A6607" w:rsidP="007730DA">
            <w:pPr>
              <w:ind w:left="45"/>
              <w:jc w:val="both"/>
              <w:rPr>
                <w:sz w:val="28"/>
                <w:szCs w:val="28"/>
              </w:rPr>
            </w:pPr>
            <w:r w:rsidRPr="00950C39">
              <w:rPr>
                <w:sz w:val="28"/>
                <w:szCs w:val="28"/>
              </w:rPr>
              <w:t>2)</w:t>
            </w:r>
            <w:r w:rsidR="008C195A" w:rsidRPr="00950C39">
              <w:rPr>
                <w:sz w:val="28"/>
                <w:szCs w:val="28"/>
              </w:rPr>
              <w:t> d</w:t>
            </w:r>
            <w:r w:rsidRPr="00950C39">
              <w:rPr>
                <w:sz w:val="28"/>
                <w:szCs w:val="28"/>
              </w:rPr>
              <w:t>arbinieki</w:t>
            </w:r>
            <w:r w:rsidR="005C06A0" w:rsidRPr="00950C39">
              <w:rPr>
                <w:sz w:val="28"/>
                <w:szCs w:val="28"/>
              </w:rPr>
              <w:t>em</w:t>
            </w:r>
            <w:r w:rsidRPr="00950C39">
              <w:rPr>
                <w:sz w:val="28"/>
                <w:szCs w:val="28"/>
              </w:rPr>
              <w:t>, kas strādā ar jonizējošajiem starojuma avotiem;</w:t>
            </w:r>
          </w:p>
          <w:p w14:paraId="7B22EEAA" w14:textId="6579C0FB" w:rsidR="007335D0" w:rsidRPr="00950C39" w:rsidRDefault="003A6607" w:rsidP="007904A1">
            <w:pPr>
              <w:ind w:left="45"/>
              <w:jc w:val="both"/>
              <w:rPr>
                <w:sz w:val="28"/>
                <w:szCs w:val="28"/>
              </w:rPr>
            </w:pPr>
            <w:r w:rsidRPr="00950C39">
              <w:rPr>
                <w:sz w:val="28"/>
                <w:szCs w:val="28"/>
              </w:rPr>
              <w:t>3)</w:t>
            </w:r>
            <w:r w:rsidR="008C195A" w:rsidRPr="00950C39">
              <w:rPr>
                <w:sz w:val="28"/>
                <w:szCs w:val="28"/>
              </w:rPr>
              <w:t> </w:t>
            </w:r>
            <w:r w:rsidR="004C3083">
              <w:rPr>
                <w:sz w:val="28"/>
                <w:szCs w:val="28"/>
              </w:rPr>
              <w:t>VVD, PTAC, PVD, VI, VID;</w:t>
            </w:r>
          </w:p>
          <w:p w14:paraId="062ADFA1" w14:textId="77777777" w:rsidR="00391F22" w:rsidRPr="00950C39" w:rsidRDefault="00391F22" w:rsidP="00100E65">
            <w:pPr>
              <w:ind w:left="45"/>
              <w:jc w:val="both"/>
              <w:rPr>
                <w:sz w:val="28"/>
                <w:szCs w:val="28"/>
              </w:rPr>
            </w:pPr>
            <w:r w:rsidRPr="00950C39">
              <w:rPr>
                <w:sz w:val="28"/>
                <w:szCs w:val="28"/>
              </w:rPr>
              <w:t>4)</w:t>
            </w:r>
            <w:r w:rsidR="008264D6">
              <w:rPr>
                <w:sz w:val="28"/>
                <w:szCs w:val="28"/>
              </w:rPr>
              <w:t xml:space="preserve"> </w:t>
            </w:r>
            <w:r w:rsidR="008264D6" w:rsidRPr="00950C39">
              <w:rPr>
                <w:sz w:val="28"/>
                <w:szCs w:val="28"/>
              </w:rPr>
              <w:t>iedzīvotājiem</w:t>
            </w:r>
            <w:r w:rsidR="008264D6">
              <w:rPr>
                <w:sz w:val="28"/>
                <w:szCs w:val="28"/>
              </w:rPr>
              <w:t>.</w:t>
            </w:r>
          </w:p>
          <w:p w14:paraId="35D1DE4F" w14:textId="77777777" w:rsidR="007502F3" w:rsidRPr="00950C39" w:rsidRDefault="007502F3" w:rsidP="007904A1">
            <w:pPr>
              <w:ind w:left="45"/>
              <w:jc w:val="both"/>
              <w:rPr>
                <w:sz w:val="28"/>
                <w:szCs w:val="28"/>
              </w:rPr>
            </w:pPr>
          </w:p>
        </w:tc>
      </w:tr>
      <w:tr w:rsidR="003A6607" w:rsidRPr="00950C39" w14:paraId="4102C4FD" w14:textId="77777777" w:rsidTr="007B738D">
        <w:trPr>
          <w:trHeight w:val="510"/>
        </w:trPr>
        <w:tc>
          <w:tcPr>
            <w:tcW w:w="214" w:type="pct"/>
            <w:tcBorders>
              <w:top w:val="outset" w:sz="6" w:space="0" w:color="414142"/>
              <w:bottom w:val="outset" w:sz="6" w:space="0" w:color="414142"/>
              <w:right w:val="outset" w:sz="6" w:space="0" w:color="414142"/>
            </w:tcBorders>
          </w:tcPr>
          <w:p w14:paraId="6F883917" w14:textId="77777777" w:rsidR="003A6607" w:rsidRPr="00950C39" w:rsidRDefault="003A6607" w:rsidP="00F13713">
            <w:pPr>
              <w:spacing w:after="120"/>
              <w:jc w:val="center"/>
              <w:rPr>
                <w:sz w:val="28"/>
                <w:szCs w:val="28"/>
              </w:rPr>
            </w:pPr>
            <w:r w:rsidRPr="00950C39">
              <w:rPr>
                <w:sz w:val="28"/>
                <w:szCs w:val="28"/>
              </w:rPr>
              <w:t>2.</w:t>
            </w:r>
          </w:p>
        </w:tc>
        <w:tc>
          <w:tcPr>
            <w:tcW w:w="1657" w:type="pct"/>
            <w:tcBorders>
              <w:top w:val="outset" w:sz="6" w:space="0" w:color="414142"/>
              <w:left w:val="outset" w:sz="6" w:space="0" w:color="414142"/>
              <w:bottom w:val="outset" w:sz="6" w:space="0" w:color="414142"/>
              <w:right w:val="outset" w:sz="6" w:space="0" w:color="414142"/>
            </w:tcBorders>
          </w:tcPr>
          <w:p w14:paraId="58031A4B" w14:textId="77777777" w:rsidR="003A6607" w:rsidRPr="00950C39" w:rsidRDefault="003A6607" w:rsidP="00F13713">
            <w:pPr>
              <w:spacing w:after="120"/>
              <w:ind w:right="33"/>
              <w:jc w:val="both"/>
              <w:rPr>
                <w:sz w:val="28"/>
                <w:szCs w:val="28"/>
              </w:rPr>
            </w:pPr>
            <w:r w:rsidRPr="00950C39">
              <w:rPr>
                <w:sz w:val="28"/>
                <w:szCs w:val="28"/>
              </w:rPr>
              <w:t>Tiesiskā regulējuma ietekme uz tautsaimniecību un administratīvo slogu</w:t>
            </w:r>
          </w:p>
        </w:tc>
        <w:tc>
          <w:tcPr>
            <w:tcW w:w="3129" w:type="pct"/>
            <w:tcBorders>
              <w:top w:val="outset" w:sz="6" w:space="0" w:color="414142"/>
              <w:left w:val="outset" w:sz="6" w:space="0" w:color="414142"/>
              <w:bottom w:val="outset" w:sz="6" w:space="0" w:color="414142"/>
            </w:tcBorders>
          </w:tcPr>
          <w:p w14:paraId="0A14A1AA" w14:textId="77777777" w:rsidR="004F7213" w:rsidRPr="00950C39" w:rsidRDefault="004F7213" w:rsidP="004F7213">
            <w:pPr>
              <w:pStyle w:val="naiskr"/>
              <w:spacing w:before="0" w:after="120"/>
              <w:jc w:val="both"/>
              <w:rPr>
                <w:i/>
                <w:sz w:val="28"/>
              </w:rPr>
            </w:pPr>
            <w:r w:rsidRPr="00950C39">
              <w:rPr>
                <w:i/>
                <w:sz w:val="28"/>
              </w:rPr>
              <w:t>Par likumprojekta ietekmi uz vidi</w:t>
            </w:r>
          </w:p>
          <w:p w14:paraId="548AB83F" w14:textId="77777777" w:rsidR="004F7213" w:rsidRPr="00950C39" w:rsidRDefault="004F7213" w:rsidP="004F7213">
            <w:pPr>
              <w:pStyle w:val="naiskr"/>
              <w:spacing w:before="0" w:after="120"/>
              <w:ind w:left="62"/>
              <w:jc w:val="both"/>
              <w:rPr>
                <w:sz w:val="28"/>
              </w:rPr>
            </w:pPr>
            <w:r w:rsidRPr="00950C39">
              <w:rPr>
                <w:sz w:val="28"/>
              </w:rPr>
              <w:t>Paredzam</w:t>
            </w:r>
            <w:r w:rsidR="00E95C6C">
              <w:rPr>
                <w:sz w:val="28"/>
              </w:rPr>
              <w:t>s, ka L</w:t>
            </w:r>
            <w:r w:rsidRPr="00950C39">
              <w:rPr>
                <w:sz w:val="28"/>
              </w:rPr>
              <w:t xml:space="preserve">ikumprojekts pozitīvi ietekmēs vidi, </w:t>
            </w:r>
            <w:r w:rsidR="00C865A7" w:rsidRPr="00950C39">
              <w:rPr>
                <w:sz w:val="28"/>
              </w:rPr>
              <w:t>neradot papildus kaitējumu.</w:t>
            </w:r>
          </w:p>
          <w:p w14:paraId="68CB1948" w14:textId="77777777" w:rsidR="004F7213" w:rsidRPr="00950C39" w:rsidRDefault="004F7213" w:rsidP="004F7213">
            <w:pPr>
              <w:pStyle w:val="naiskr"/>
              <w:spacing w:before="0" w:after="120"/>
              <w:jc w:val="both"/>
              <w:rPr>
                <w:i/>
                <w:sz w:val="28"/>
              </w:rPr>
            </w:pPr>
            <w:r w:rsidRPr="00950C39">
              <w:rPr>
                <w:i/>
                <w:sz w:val="28"/>
              </w:rPr>
              <w:t>Par likumprojekta ietekmi uz veselību</w:t>
            </w:r>
          </w:p>
          <w:p w14:paraId="5295DB89" w14:textId="77777777" w:rsidR="00DA3B96" w:rsidRPr="00950C39" w:rsidRDefault="00DA3B96" w:rsidP="004F7213">
            <w:pPr>
              <w:pStyle w:val="naiskr"/>
              <w:spacing w:before="0" w:after="120"/>
              <w:ind w:left="62"/>
              <w:jc w:val="both"/>
              <w:rPr>
                <w:sz w:val="28"/>
              </w:rPr>
            </w:pPr>
            <w:r w:rsidRPr="00950C39">
              <w:rPr>
                <w:sz w:val="28"/>
              </w:rPr>
              <w:t>Likumprojektā ie</w:t>
            </w:r>
            <w:r w:rsidR="008264D6">
              <w:rPr>
                <w:sz w:val="28"/>
              </w:rPr>
              <w:t>t</w:t>
            </w:r>
            <w:r w:rsidRPr="00950C39">
              <w:rPr>
                <w:sz w:val="28"/>
              </w:rPr>
              <w:t>v</w:t>
            </w:r>
            <w:r w:rsidR="008264D6">
              <w:rPr>
                <w:sz w:val="28"/>
              </w:rPr>
              <w:t>e</w:t>
            </w:r>
            <w:r w:rsidRPr="00950C39">
              <w:rPr>
                <w:sz w:val="28"/>
              </w:rPr>
              <w:t>rtās prasības neparedz negatīvu ietekmi uz cilvēka veselību.</w:t>
            </w:r>
          </w:p>
          <w:p w14:paraId="5A1404B0" w14:textId="77777777" w:rsidR="004F7213" w:rsidRPr="00950C39" w:rsidRDefault="002007CF" w:rsidP="004F7213">
            <w:pPr>
              <w:pStyle w:val="naiskr"/>
              <w:spacing w:before="0" w:after="120"/>
              <w:ind w:left="62"/>
              <w:jc w:val="both"/>
              <w:rPr>
                <w:i/>
                <w:sz w:val="28"/>
              </w:rPr>
            </w:pPr>
            <w:r w:rsidRPr="00950C39">
              <w:rPr>
                <w:i/>
                <w:sz w:val="28"/>
              </w:rPr>
              <w:t>Par likum</w:t>
            </w:r>
            <w:r w:rsidR="004F7213" w:rsidRPr="00950C39">
              <w:rPr>
                <w:i/>
                <w:sz w:val="28"/>
              </w:rPr>
              <w:t>projekta ietekmi uz uzņēmējdarbības vidi</w:t>
            </w:r>
          </w:p>
          <w:p w14:paraId="4D04BFAF" w14:textId="77777777" w:rsidR="004F7213" w:rsidRPr="00950C39" w:rsidRDefault="002007CF" w:rsidP="004F7213">
            <w:pPr>
              <w:spacing w:after="120"/>
              <w:ind w:left="45"/>
              <w:jc w:val="both"/>
              <w:rPr>
                <w:sz w:val="28"/>
              </w:rPr>
            </w:pPr>
            <w:r w:rsidRPr="00950C39">
              <w:rPr>
                <w:sz w:val="28"/>
              </w:rPr>
              <w:t>Likump</w:t>
            </w:r>
            <w:r w:rsidR="004F7213" w:rsidRPr="00950C39">
              <w:rPr>
                <w:sz w:val="28"/>
              </w:rPr>
              <w:t xml:space="preserve">rojekts </w:t>
            </w:r>
            <w:r w:rsidR="00D31DDB" w:rsidRPr="00950C39">
              <w:rPr>
                <w:sz w:val="28"/>
              </w:rPr>
              <w:t xml:space="preserve">būtisku </w:t>
            </w:r>
            <w:r w:rsidR="004F7213" w:rsidRPr="00950C39">
              <w:rPr>
                <w:sz w:val="28"/>
              </w:rPr>
              <w:t>ietekm</w:t>
            </w:r>
            <w:r w:rsidR="00D31DDB" w:rsidRPr="00950C39">
              <w:rPr>
                <w:sz w:val="28"/>
              </w:rPr>
              <w:t>i uz</w:t>
            </w:r>
            <w:r w:rsidR="004F7213" w:rsidRPr="00950C39">
              <w:rPr>
                <w:sz w:val="28"/>
              </w:rPr>
              <w:t xml:space="preserve"> uzņēmējdarbības vidi</w:t>
            </w:r>
            <w:r w:rsidR="00D31DDB" w:rsidRPr="00950C39">
              <w:rPr>
                <w:sz w:val="28"/>
              </w:rPr>
              <w:t xml:space="preserve"> neradīs</w:t>
            </w:r>
            <w:r w:rsidR="004F7213" w:rsidRPr="00950C39">
              <w:rPr>
                <w:sz w:val="28"/>
              </w:rPr>
              <w:t xml:space="preserve">. </w:t>
            </w:r>
            <w:r w:rsidR="00D31DDB" w:rsidRPr="00950C39">
              <w:rPr>
                <w:sz w:val="28"/>
              </w:rPr>
              <w:t>Neskatoties uz to, ka naudas soda apmērs netiek palielināts salīdzinājumā ar</w:t>
            </w:r>
            <w:r w:rsidR="00E95C6C">
              <w:rPr>
                <w:sz w:val="28"/>
              </w:rPr>
              <w:t xml:space="preserve"> LAPK esošajiem soda apmēriem, L</w:t>
            </w:r>
            <w:r w:rsidR="00D31DDB" w:rsidRPr="00950C39">
              <w:rPr>
                <w:sz w:val="28"/>
              </w:rPr>
              <w:t>ikumprojektā paredzēts, ka atsevišķos gadījumos sākotnēji v</w:t>
            </w:r>
            <w:r w:rsidR="008264D6">
              <w:rPr>
                <w:sz w:val="28"/>
              </w:rPr>
              <w:t>a</w:t>
            </w:r>
            <w:r w:rsidR="00D31DDB" w:rsidRPr="00950C39">
              <w:rPr>
                <w:sz w:val="28"/>
              </w:rPr>
              <w:t xml:space="preserve">rētu tikt piemērots brīdinājums, piemēram, gadījumā, kad konstatēts, ka nav ievērotas radiācijas drošības un kodoldrošības normatīvo aktu prasības, bet tas konkrētajā situācija nerada </w:t>
            </w:r>
            <w:r w:rsidR="004C3083">
              <w:rPr>
                <w:sz w:val="28"/>
              </w:rPr>
              <w:t xml:space="preserve">un nevar radīt </w:t>
            </w:r>
            <w:r w:rsidR="00D31DDB" w:rsidRPr="00950C39">
              <w:rPr>
                <w:sz w:val="28"/>
              </w:rPr>
              <w:t>kaitējumu personai (piemēram, nav savlaicīgi aizpildīta individuālā dozu uzskaites grāmatiņa, savlaicīgi nav veikta radiācijas drošības instruktāža).</w:t>
            </w:r>
          </w:p>
          <w:p w14:paraId="4A3A7E0E" w14:textId="77777777" w:rsidR="003A6607" w:rsidRPr="00950C39" w:rsidRDefault="002007CF" w:rsidP="002E4E11">
            <w:pPr>
              <w:spacing w:after="120"/>
              <w:jc w:val="both"/>
              <w:rPr>
                <w:sz w:val="28"/>
                <w:szCs w:val="28"/>
              </w:rPr>
            </w:pPr>
            <w:r w:rsidRPr="00950C39">
              <w:rPr>
                <w:sz w:val="28"/>
                <w:szCs w:val="28"/>
              </w:rPr>
              <w:t>Likumprojektā iekļautais</w:t>
            </w:r>
            <w:r w:rsidR="00B72A1C" w:rsidRPr="00950C39">
              <w:rPr>
                <w:sz w:val="28"/>
                <w:szCs w:val="28"/>
              </w:rPr>
              <w:t xml:space="preserve"> tiesiskais regulējums nemainīs tiesības, pienākumus un veicamās darbības sabiedrības grupām un institūcijām.</w:t>
            </w:r>
          </w:p>
        </w:tc>
      </w:tr>
      <w:tr w:rsidR="00F966C1" w:rsidRPr="00950C39" w14:paraId="433C1598" w14:textId="77777777" w:rsidTr="007B738D">
        <w:trPr>
          <w:trHeight w:val="510"/>
        </w:trPr>
        <w:tc>
          <w:tcPr>
            <w:tcW w:w="214" w:type="pct"/>
            <w:tcBorders>
              <w:top w:val="outset" w:sz="6" w:space="0" w:color="414142"/>
              <w:bottom w:val="single" w:sz="4" w:space="0" w:color="auto"/>
              <w:right w:val="outset" w:sz="6" w:space="0" w:color="414142"/>
            </w:tcBorders>
          </w:tcPr>
          <w:p w14:paraId="224BF8F3" w14:textId="77777777" w:rsidR="00F966C1" w:rsidRPr="00950C39" w:rsidRDefault="00F966C1" w:rsidP="00F966C1">
            <w:pPr>
              <w:spacing w:after="120"/>
              <w:jc w:val="center"/>
              <w:rPr>
                <w:sz w:val="28"/>
                <w:szCs w:val="28"/>
              </w:rPr>
            </w:pPr>
            <w:r w:rsidRPr="00950C39">
              <w:rPr>
                <w:sz w:val="28"/>
                <w:szCs w:val="28"/>
              </w:rPr>
              <w:t>3.</w:t>
            </w:r>
          </w:p>
        </w:tc>
        <w:tc>
          <w:tcPr>
            <w:tcW w:w="1657" w:type="pct"/>
            <w:tcBorders>
              <w:top w:val="outset" w:sz="6" w:space="0" w:color="414142"/>
              <w:left w:val="outset" w:sz="6" w:space="0" w:color="414142"/>
              <w:bottom w:val="single" w:sz="4" w:space="0" w:color="auto"/>
              <w:right w:val="outset" w:sz="6" w:space="0" w:color="414142"/>
            </w:tcBorders>
          </w:tcPr>
          <w:p w14:paraId="579A505A" w14:textId="77777777" w:rsidR="00F966C1" w:rsidRPr="00950C39" w:rsidRDefault="00F966C1" w:rsidP="00F966C1">
            <w:pPr>
              <w:spacing w:after="120"/>
              <w:ind w:left="45"/>
              <w:jc w:val="both"/>
              <w:rPr>
                <w:sz w:val="28"/>
              </w:rPr>
            </w:pPr>
            <w:r w:rsidRPr="00950C39">
              <w:rPr>
                <w:sz w:val="28"/>
              </w:rPr>
              <w:t>Administratīvo izmaksu monetārs novērtējums</w:t>
            </w:r>
          </w:p>
        </w:tc>
        <w:tc>
          <w:tcPr>
            <w:tcW w:w="3129" w:type="pct"/>
            <w:tcBorders>
              <w:top w:val="outset" w:sz="6" w:space="0" w:color="414142"/>
              <w:left w:val="outset" w:sz="6" w:space="0" w:color="414142"/>
              <w:bottom w:val="single" w:sz="4" w:space="0" w:color="auto"/>
            </w:tcBorders>
          </w:tcPr>
          <w:p w14:paraId="560970E0" w14:textId="77777777" w:rsidR="00F966C1" w:rsidRPr="00950C39" w:rsidRDefault="00F966C1" w:rsidP="00F966C1">
            <w:pPr>
              <w:ind w:left="45"/>
              <w:rPr>
                <w:sz w:val="28"/>
              </w:rPr>
            </w:pPr>
            <w:r w:rsidRPr="00950C39">
              <w:rPr>
                <w:sz w:val="28"/>
              </w:rPr>
              <w:t>Projekts šo jomu neskar.</w:t>
            </w:r>
          </w:p>
        </w:tc>
      </w:tr>
      <w:tr w:rsidR="00F966C1" w:rsidRPr="00950C39" w14:paraId="6CA04EAA" w14:textId="77777777" w:rsidTr="007B738D">
        <w:trPr>
          <w:trHeight w:val="510"/>
        </w:trPr>
        <w:tc>
          <w:tcPr>
            <w:tcW w:w="214" w:type="pct"/>
            <w:tcBorders>
              <w:top w:val="outset" w:sz="6" w:space="0" w:color="414142"/>
              <w:bottom w:val="single" w:sz="4" w:space="0" w:color="auto"/>
              <w:right w:val="outset" w:sz="6" w:space="0" w:color="414142"/>
            </w:tcBorders>
          </w:tcPr>
          <w:p w14:paraId="73154859" w14:textId="77777777" w:rsidR="00F966C1" w:rsidRPr="00950C39" w:rsidRDefault="00F966C1" w:rsidP="00F966C1">
            <w:pPr>
              <w:spacing w:after="120"/>
              <w:jc w:val="center"/>
              <w:rPr>
                <w:sz w:val="28"/>
                <w:szCs w:val="28"/>
              </w:rPr>
            </w:pPr>
            <w:r w:rsidRPr="00950C39">
              <w:rPr>
                <w:sz w:val="28"/>
                <w:szCs w:val="28"/>
              </w:rPr>
              <w:t>4.</w:t>
            </w:r>
          </w:p>
        </w:tc>
        <w:tc>
          <w:tcPr>
            <w:tcW w:w="1657" w:type="pct"/>
            <w:tcBorders>
              <w:top w:val="outset" w:sz="6" w:space="0" w:color="414142"/>
              <w:left w:val="outset" w:sz="6" w:space="0" w:color="414142"/>
              <w:bottom w:val="single" w:sz="4" w:space="0" w:color="auto"/>
              <w:right w:val="outset" w:sz="6" w:space="0" w:color="414142"/>
            </w:tcBorders>
          </w:tcPr>
          <w:p w14:paraId="12858043" w14:textId="77777777" w:rsidR="00F966C1" w:rsidRPr="00950C39" w:rsidRDefault="00F966C1" w:rsidP="00F966C1">
            <w:pPr>
              <w:spacing w:after="120"/>
              <w:ind w:left="45"/>
              <w:jc w:val="both"/>
              <w:rPr>
                <w:sz w:val="28"/>
              </w:rPr>
            </w:pPr>
            <w:r w:rsidRPr="00950C39">
              <w:rPr>
                <w:sz w:val="28"/>
              </w:rPr>
              <w:t>Atbilstības izmaksu monetārs novērtējums</w:t>
            </w:r>
          </w:p>
        </w:tc>
        <w:tc>
          <w:tcPr>
            <w:tcW w:w="3129" w:type="pct"/>
            <w:tcBorders>
              <w:top w:val="outset" w:sz="6" w:space="0" w:color="414142"/>
              <w:left w:val="outset" w:sz="6" w:space="0" w:color="414142"/>
              <w:bottom w:val="single" w:sz="4" w:space="0" w:color="auto"/>
            </w:tcBorders>
          </w:tcPr>
          <w:p w14:paraId="26963C9E" w14:textId="77777777" w:rsidR="00F966C1" w:rsidRPr="00950C39" w:rsidRDefault="00F966C1" w:rsidP="00F966C1">
            <w:pPr>
              <w:ind w:left="45"/>
              <w:rPr>
                <w:sz w:val="28"/>
              </w:rPr>
            </w:pPr>
            <w:r w:rsidRPr="00950C39">
              <w:rPr>
                <w:sz w:val="28"/>
              </w:rPr>
              <w:t>Projekts šo jomu neskar.</w:t>
            </w:r>
          </w:p>
        </w:tc>
      </w:tr>
      <w:tr w:rsidR="00950C39" w:rsidRPr="00950C39" w14:paraId="68C8E6E1" w14:textId="77777777" w:rsidTr="007B738D">
        <w:trPr>
          <w:trHeight w:val="345"/>
        </w:trPr>
        <w:tc>
          <w:tcPr>
            <w:tcW w:w="214" w:type="pct"/>
            <w:tcBorders>
              <w:top w:val="single" w:sz="4" w:space="0" w:color="auto"/>
              <w:left w:val="single" w:sz="4" w:space="0" w:color="auto"/>
              <w:bottom w:val="single" w:sz="4" w:space="0" w:color="auto"/>
              <w:right w:val="single" w:sz="4" w:space="0" w:color="auto"/>
            </w:tcBorders>
          </w:tcPr>
          <w:p w14:paraId="5CF6C4B8" w14:textId="77777777" w:rsidR="003A6607" w:rsidRPr="00950C39" w:rsidRDefault="00072826" w:rsidP="00F13713">
            <w:pPr>
              <w:spacing w:after="120"/>
              <w:jc w:val="center"/>
              <w:rPr>
                <w:sz w:val="28"/>
                <w:szCs w:val="28"/>
              </w:rPr>
            </w:pPr>
            <w:r w:rsidRPr="00950C39">
              <w:rPr>
                <w:sz w:val="28"/>
                <w:szCs w:val="28"/>
              </w:rPr>
              <w:t>5.</w:t>
            </w:r>
          </w:p>
        </w:tc>
        <w:tc>
          <w:tcPr>
            <w:tcW w:w="1657" w:type="pct"/>
            <w:tcBorders>
              <w:top w:val="single" w:sz="4" w:space="0" w:color="auto"/>
              <w:left w:val="single" w:sz="4" w:space="0" w:color="auto"/>
              <w:bottom w:val="single" w:sz="4" w:space="0" w:color="auto"/>
              <w:right w:val="single" w:sz="4" w:space="0" w:color="auto"/>
            </w:tcBorders>
          </w:tcPr>
          <w:p w14:paraId="01E5B584" w14:textId="77777777" w:rsidR="003A6607" w:rsidRPr="00950C39" w:rsidRDefault="003A6607" w:rsidP="00F13713">
            <w:pPr>
              <w:spacing w:after="120"/>
              <w:rPr>
                <w:sz w:val="28"/>
                <w:szCs w:val="28"/>
              </w:rPr>
            </w:pPr>
            <w:r w:rsidRPr="00950C39">
              <w:rPr>
                <w:sz w:val="28"/>
                <w:szCs w:val="28"/>
              </w:rPr>
              <w:t>Cita informācija</w:t>
            </w:r>
          </w:p>
        </w:tc>
        <w:tc>
          <w:tcPr>
            <w:tcW w:w="3129" w:type="pct"/>
            <w:tcBorders>
              <w:top w:val="single" w:sz="4" w:space="0" w:color="auto"/>
              <w:left w:val="single" w:sz="4" w:space="0" w:color="auto"/>
              <w:bottom w:val="single" w:sz="4" w:space="0" w:color="auto"/>
              <w:right w:val="single" w:sz="4" w:space="0" w:color="auto"/>
            </w:tcBorders>
          </w:tcPr>
          <w:p w14:paraId="6471474B" w14:textId="77777777" w:rsidR="003A6607" w:rsidRPr="00950C39" w:rsidRDefault="00F854D7" w:rsidP="008A3E06">
            <w:pPr>
              <w:spacing w:after="120"/>
              <w:jc w:val="both"/>
              <w:rPr>
                <w:sz w:val="28"/>
                <w:szCs w:val="28"/>
              </w:rPr>
            </w:pPr>
            <w:r w:rsidRPr="00950C39">
              <w:rPr>
                <w:iCs/>
                <w:sz w:val="28"/>
                <w:szCs w:val="28"/>
              </w:rPr>
              <w:t>Likumprojekts skatīts Tieslietu ministrijas izveidotajā Latvijas Administratīvo pārkāpumu kodeksa pastāvīgās darba grupas 2019.</w:t>
            </w:r>
            <w:r w:rsidR="008264D6">
              <w:rPr>
                <w:iCs/>
                <w:sz w:val="28"/>
                <w:szCs w:val="28"/>
              </w:rPr>
              <w:t> </w:t>
            </w:r>
            <w:r w:rsidRPr="00950C39">
              <w:rPr>
                <w:iCs/>
                <w:sz w:val="28"/>
                <w:szCs w:val="28"/>
              </w:rPr>
              <w:t>gada 13.</w:t>
            </w:r>
            <w:r w:rsidR="008A3E06">
              <w:rPr>
                <w:iCs/>
                <w:sz w:val="28"/>
                <w:szCs w:val="28"/>
              </w:rPr>
              <w:t> </w:t>
            </w:r>
            <w:r w:rsidRPr="00950C39">
              <w:rPr>
                <w:iCs/>
                <w:sz w:val="28"/>
                <w:szCs w:val="28"/>
              </w:rPr>
              <w:t xml:space="preserve">jūnija sēdē. Likumprojekts un anotācija precizēta atbilstoši darba grupas sēdē izteiktajiem ieteikumiem. </w:t>
            </w:r>
          </w:p>
        </w:tc>
      </w:tr>
    </w:tbl>
    <w:p w14:paraId="7E4E4663" w14:textId="77777777" w:rsidR="003A6607" w:rsidRPr="00950C39" w:rsidRDefault="003A6607" w:rsidP="00F13713">
      <w:pPr>
        <w:pStyle w:val="naisf"/>
        <w:spacing w:before="0" w:after="120"/>
        <w:ind w:firstLine="0"/>
        <w:rPr>
          <w:iCs/>
          <w:sz w:val="28"/>
          <w:szCs w:val="28"/>
        </w:rPr>
      </w:pPr>
    </w:p>
    <w:tbl>
      <w:tblPr>
        <w:tblW w:w="5300" w:type="pct"/>
        <w:tblInd w:w="-15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30" w:type="dxa"/>
          <w:left w:w="29" w:type="dxa"/>
          <w:bottom w:w="30" w:type="dxa"/>
          <w:right w:w="30" w:type="dxa"/>
        </w:tblCellMar>
        <w:tblLook w:val="04A0" w:firstRow="1" w:lastRow="0" w:firstColumn="1" w:lastColumn="0" w:noHBand="0" w:noVBand="1"/>
      </w:tblPr>
      <w:tblGrid>
        <w:gridCol w:w="1483"/>
        <w:gridCol w:w="1249"/>
        <w:gridCol w:w="1134"/>
        <w:gridCol w:w="1134"/>
        <w:gridCol w:w="1134"/>
        <w:gridCol w:w="1134"/>
        <w:gridCol w:w="1134"/>
        <w:gridCol w:w="1276"/>
      </w:tblGrid>
      <w:tr w:rsidR="00CF2172" w:rsidRPr="00CF2172" w14:paraId="4461DF71" w14:textId="77777777" w:rsidTr="00CF2172">
        <w:tc>
          <w:tcPr>
            <w:tcW w:w="9677" w:type="dxa"/>
            <w:gridSpan w:val="8"/>
            <w:tcBorders>
              <w:top w:val="outset" w:sz="6" w:space="0" w:color="000000"/>
              <w:left w:val="outset" w:sz="6" w:space="0" w:color="000000"/>
              <w:bottom w:val="outset" w:sz="6" w:space="0" w:color="000000"/>
              <w:right w:val="outset" w:sz="6" w:space="0" w:color="000000"/>
            </w:tcBorders>
            <w:shd w:val="clear" w:color="auto" w:fill="auto"/>
            <w:vAlign w:val="center"/>
          </w:tcPr>
          <w:p w14:paraId="1BEF3F73" w14:textId="77777777" w:rsidR="00CF2172" w:rsidRPr="00CF2172" w:rsidRDefault="00CF2172" w:rsidP="002717DA">
            <w:pPr>
              <w:jc w:val="center"/>
              <w:rPr>
                <w:b/>
                <w:bCs/>
                <w:iCs/>
                <w:sz w:val="28"/>
                <w:szCs w:val="28"/>
              </w:rPr>
            </w:pPr>
            <w:r w:rsidRPr="00CF2172">
              <w:rPr>
                <w:b/>
                <w:bCs/>
                <w:iCs/>
                <w:sz w:val="28"/>
                <w:szCs w:val="28"/>
              </w:rPr>
              <w:t>III. Tiesību akta projekta ietekme uz valsts budžetu un pašvaldību budžetiem</w:t>
            </w:r>
          </w:p>
        </w:tc>
      </w:tr>
      <w:tr w:rsidR="00CF2172" w:rsidRPr="00CF2172" w14:paraId="5F000D94" w14:textId="77777777" w:rsidTr="00CF2172">
        <w:trPr>
          <w:trHeight w:val="421"/>
        </w:trPr>
        <w:tc>
          <w:tcPr>
            <w:tcW w:w="1482"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79C5C285" w14:textId="77777777" w:rsidR="00CF2172" w:rsidRPr="00CF2172" w:rsidRDefault="00CF2172" w:rsidP="00CF2172">
            <w:pPr>
              <w:jc w:val="center"/>
              <w:rPr>
                <w:iCs/>
                <w:sz w:val="28"/>
                <w:szCs w:val="28"/>
              </w:rPr>
            </w:pPr>
            <w:r w:rsidRPr="00CF2172">
              <w:rPr>
                <w:iCs/>
                <w:sz w:val="28"/>
                <w:szCs w:val="28"/>
              </w:rPr>
              <w:t>Rādītāji</w:t>
            </w:r>
          </w:p>
        </w:tc>
        <w:tc>
          <w:tcPr>
            <w:tcW w:w="2383" w:type="dxa"/>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32C46BAB" w14:textId="77777777" w:rsidR="00CF2172" w:rsidRPr="00CF2172" w:rsidRDefault="00CF2172" w:rsidP="00CF2172">
            <w:pPr>
              <w:jc w:val="center"/>
              <w:rPr>
                <w:iCs/>
                <w:sz w:val="28"/>
                <w:szCs w:val="28"/>
                <w:lang w:val="en-US"/>
              </w:rPr>
            </w:pPr>
            <w:r w:rsidRPr="00CF2172">
              <w:rPr>
                <w:iCs/>
                <w:sz w:val="28"/>
                <w:szCs w:val="28"/>
                <w:lang w:val="en-US"/>
              </w:rPr>
              <w:t>2020. gads</w:t>
            </w:r>
          </w:p>
        </w:tc>
        <w:tc>
          <w:tcPr>
            <w:tcW w:w="5812" w:type="dxa"/>
            <w:gridSpan w:val="5"/>
            <w:tcBorders>
              <w:top w:val="outset" w:sz="6" w:space="0" w:color="000000"/>
              <w:left w:val="outset" w:sz="6" w:space="0" w:color="000000"/>
              <w:bottom w:val="outset" w:sz="6" w:space="0" w:color="000000"/>
              <w:right w:val="outset" w:sz="6" w:space="0" w:color="000000"/>
            </w:tcBorders>
            <w:shd w:val="clear" w:color="auto" w:fill="auto"/>
            <w:vAlign w:val="center"/>
          </w:tcPr>
          <w:p w14:paraId="346342A2" w14:textId="77777777" w:rsidR="00CF2172" w:rsidRPr="00CF2172" w:rsidRDefault="00CF2172" w:rsidP="00CF2172">
            <w:pPr>
              <w:jc w:val="center"/>
              <w:rPr>
                <w:iCs/>
                <w:sz w:val="28"/>
                <w:szCs w:val="28"/>
                <w:lang w:val="en-US"/>
              </w:rPr>
            </w:pPr>
            <w:r w:rsidRPr="00CF2172">
              <w:rPr>
                <w:iCs/>
                <w:sz w:val="28"/>
                <w:szCs w:val="28"/>
              </w:rPr>
              <w:t>Turpmākie trīs gadi</w:t>
            </w:r>
            <w:r w:rsidRPr="00CF2172">
              <w:rPr>
                <w:iCs/>
                <w:sz w:val="28"/>
                <w:szCs w:val="28"/>
                <w:lang w:val="en-US"/>
              </w:rPr>
              <w:t xml:space="preserve"> (</w:t>
            </w:r>
            <w:r w:rsidRPr="00CF2172">
              <w:rPr>
                <w:i/>
                <w:iCs/>
                <w:sz w:val="28"/>
                <w:szCs w:val="28"/>
                <w:lang w:val="en-US"/>
              </w:rPr>
              <w:t>euro</w:t>
            </w:r>
            <w:r w:rsidRPr="00CF2172">
              <w:rPr>
                <w:iCs/>
                <w:sz w:val="28"/>
                <w:szCs w:val="28"/>
                <w:lang w:val="en-US"/>
              </w:rPr>
              <w:t>)</w:t>
            </w:r>
          </w:p>
        </w:tc>
      </w:tr>
      <w:tr w:rsidR="00CF2172" w:rsidRPr="00CF2172" w14:paraId="3D918264" w14:textId="77777777" w:rsidTr="00CF2172">
        <w:tc>
          <w:tcPr>
            <w:tcW w:w="1482"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2015C09B" w14:textId="77777777" w:rsidR="00CF2172" w:rsidRPr="00CF2172" w:rsidRDefault="00CF2172" w:rsidP="00CF2172">
            <w:pPr>
              <w:jc w:val="center"/>
              <w:rPr>
                <w:iCs/>
                <w:sz w:val="23"/>
                <w:szCs w:val="23"/>
                <w:lang w:val="en-US"/>
              </w:rPr>
            </w:pPr>
          </w:p>
        </w:tc>
        <w:tc>
          <w:tcPr>
            <w:tcW w:w="2383" w:type="dxa"/>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14:paraId="7D8ACBFA" w14:textId="77777777" w:rsidR="00CF2172" w:rsidRPr="00CF2172" w:rsidRDefault="00CF2172" w:rsidP="00CF2172">
            <w:pPr>
              <w:jc w:val="center"/>
              <w:rPr>
                <w:iCs/>
                <w:sz w:val="28"/>
                <w:szCs w:val="28"/>
                <w:lang w:val="en-US"/>
              </w:rPr>
            </w:pPr>
          </w:p>
        </w:tc>
        <w:tc>
          <w:tcPr>
            <w:tcW w:w="226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50C03593" w14:textId="77777777" w:rsidR="00CF2172" w:rsidRPr="00CF2172" w:rsidRDefault="00CF2172" w:rsidP="00CF2172">
            <w:pPr>
              <w:jc w:val="center"/>
              <w:rPr>
                <w:iCs/>
                <w:sz w:val="28"/>
                <w:szCs w:val="28"/>
                <w:lang w:val="en-US"/>
              </w:rPr>
            </w:pPr>
            <w:r w:rsidRPr="00CF2172">
              <w:rPr>
                <w:iCs/>
                <w:sz w:val="28"/>
                <w:szCs w:val="28"/>
                <w:lang w:val="en-US"/>
              </w:rPr>
              <w:t>2021</w:t>
            </w:r>
          </w:p>
        </w:tc>
        <w:tc>
          <w:tcPr>
            <w:tcW w:w="226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78D416B3" w14:textId="77777777" w:rsidR="00CF2172" w:rsidRPr="00CF2172" w:rsidRDefault="00CF2172" w:rsidP="00CF2172">
            <w:pPr>
              <w:jc w:val="center"/>
              <w:rPr>
                <w:iCs/>
                <w:sz w:val="28"/>
                <w:szCs w:val="28"/>
                <w:lang w:val="en-US"/>
              </w:rPr>
            </w:pPr>
            <w:r w:rsidRPr="00CF2172">
              <w:rPr>
                <w:iCs/>
                <w:sz w:val="28"/>
                <w:szCs w:val="28"/>
                <w:lang w:val="en-US"/>
              </w:rPr>
              <w:t>2022</w:t>
            </w:r>
          </w:p>
        </w:tc>
        <w:tc>
          <w:tcPr>
            <w:tcW w:w="12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B77CA1C" w14:textId="77777777" w:rsidR="00CF2172" w:rsidRPr="00CF2172" w:rsidRDefault="00CF2172" w:rsidP="00CF2172">
            <w:pPr>
              <w:jc w:val="center"/>
              <w:rPr>
                <w:iCs/>
                <w:sz w:val="28"/>
                <w:szCs w:val="28"/>
                <w:lang w:val="en-US"/>
              </w:rPr>
            </w:pPr>
            <w:r w:rsidRPr="00CF2172">
              <w:rPr>
                <w:iCs/>
                <w:sz w:val="28"/>
                <w:szCs w:val="28"/>
                <w:lang w:val="en-US"/>
              </w:rPr>
              <w:t>2023</w:t>
            </w:r>
          </w:p>
        </w:tc>
      </w:tr>
      <w:tr w:rsidR="00CF2172" w:rsidRPr="00CF2172" w14:paraId="340C0B32" w14:textId="77777777" w:rsidTr="00CF2172">
        <w:tc>
          <w:tcPr>
            <w:tcW w:w="1482"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124417AA" w14:textId="77777777" w:rsidR="00CF2172" w:rsidRPr="00CF2172" w:rsidRDefault="00CF2172" w:rsidP="002717DA">
            <w:pPr>
              <w:rPr>
                <w:iCs/>
                <w:sz w:val="23"/>
                <w:szCs w:val="23"/>
                <w:lang w:val="en-US"/>
              </w:rPr>
            </w:pPr>
          </w:p>
        </w:tc>
        <w:tc>
          <w:tcPr>
            <w:tcW w:w="124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94C865C" w14:textId="77777777" w:rsidR="00CF2172" w:rsidRPr="00CF2172" w:rsidRDefault="00CF2172" w:rsidP="002717DA">
            <w:pPr>
              <w:rPr>
                <w:iCs/>
                <w:sz w:val="23"/>
                <w:szCs w:val="23"/>
              </w:rPr>
            </w:pPr>
            <w:r w:rsidRPr="00CF2172">
              <w:rPr>
                <w:iCs/>
                <w:sz w:val="23"/>
                <w:szCs w:val="23"/>
              </w:rPr>
              <w:t>saskaņā ar valsts budžetu kārtējam gadam</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7CB5AB3" w14:textId="77777777" w:rsidR="00CF2172" w:rsidRPr="00CF2172" w:rsidRDefault="00CF2172" w:rsidP="002717DA">
            <w:pPr>
              <w:rPr>
                <w:iCs/>
                <w:sz w:val="23"/>
                <w:szCs w:val="23"/>
              </w:rPr>
            </w:pPr>
            <w:r w:rsidRPr="00CF2172">
              <w:rPr>
                <w:iCs/>
                <w:sz w:val="23"/>
                <w:szCs w:val="23"/>
              </w:rPr>
              <w:t>izmaiņas kārtējā gadā, salīdzinot ar valsts budžetu kārtējam gadam</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F6378B7" w14:textId="77777777" w:rsidR="00CF2172" w:rsidRPr="00CF2172" w:rsidRDefault="00CF2172" w:rsidP="002717DA">
            <w:pPr>
              <w:rPr>
                <w:iCs/>
                <w:sz w:val="23"/>
                <w:szCs w:val="23"/>
                <w:lang w:val="sv-SE"/>
              </w:rPr>
            </w:pPr>
            <w:r w:rsidRPr="00CF2172">
              <w:rPr>
                <w:iCs/>
                <w:sz w:val="23"/>
                <w:szCs w:val="23"/>
                <w:lang w:val="sv-SE"/>
              </w:rPr>
              <w:t>saskaņā ar vidēja termiņa budžeta ietvaru</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61AEFB4" w14:textId="7070D783" w:rsidR="00CF2172" w:rsidRPr="00CF2172" w:rsidRDefault="00CF2172" w:rsidP="002717DA">
            <w:pPr>
              <w:rPr>
                <w:iCs/>
                <w:sz w:val="23"/>
                <w:szCs w:val="23"/>
                <w:lang w:val="sv-SE"/>
              </w:rPr>
            </w:pPr>
            <w:r w:rsidRPr="00CF2172">
              <w:rPr>
                <w:iCs/>
                <w:sz w:val="23"/>
                <w:szCs w:val="23"/>
                <w:lang w:val="sv-SE"/>
              </w:rPr>
              <w:t>izmaiņas, salīdzinot ar vid</w:t>
            </w:r>
            <w:r w:rsidR="006775C0">
              <w:rPr>
                <w:iCs/>
                <w:sz w:val="23"/>
                <w:szCs w:val="23"/>
                <w:lang w:val="sv-SE"/>
              </w:rPr>
              <w:t>ēja termiņa budžeta ietvaru 2021</w:t>
            </w:r>
            <w:r w:rsidRPr="00CF2172">
              <w:rPr>
                <w:iCs/>
                <w:sz w:val="23"/>
                <w:szCs w:val="23"/>
                <w:lang w:val="sv-SE"/>
              </w:rPr>
              <w:t>. gadam</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26AA388" w14:textId="77777777" w:rsidR="00CF2172" w:rsidRPr="00CF2172" w:rsidRDefault="00CF2172" w:rsidP="002717DA">
            <w:pPr>
              <w:rPr>
                <w:iCs/>
                <w:sz w:val="23"/>
                <w:szCs w:val="23"/>
                <w:lang w:val="sv-SE"/>
              </w:rPr>
            </w:pPr>
            <w:r w:rsidRPr="00CF2172">
              <w:rPr>
                <w:iCs/>
                <w:sz w:val="23"/>
                <w:szCs w:val="23"/>
                <w:lang w:val="sv-SE"/>
              </w:rPr>
              <w:t>saskaņā ar vidēja termiņa budžeta ietvaru</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0107BC4" w14:textId="4A9393B5" w:rsidR="00CF2172" w:rsidRPr="00CF2172" w:rsidRDefault="00CF2172" w:rsidP="002717DA">
            <w:pPr>
              <w:rPr>
                <w:iCs/>
                <w:sz w:val="23"/>
                <w:szCs w:val="23"/>
                <w:lang w:val="sv-SE"/>
              </w:rPr>
            </w:pPr>
            <w:r w:rsidRPr="00CF2172">
              <w:rPr>
                <w:iCs/>
                <w:sz w:val="23"/>
                <w:szCs w:val="23"/>
                <w:lang w:val="sv-SE"/>
              </w:rPr>
              <w:t>izmaiņas, salīdzinot ar vid</w:t>
            </w:r>
            <w:r w:rsidR="006775C0">
              <w:rPr>
                <w:iCs/>
                <w:sz w:val="23"/>
                <w:szCs w:val="23"/>
                <w:lang w:val="sv-SE"/>
              </w:rPr>
              <w:t>ēja termiņa budžeta ietvaru 2022</w:t>
            </w:r>
            <w:r w:rsidRPr="00CF2172">
              <w:rPr>
                <w:iCs/>
                <w:sz w:val="23"/>
                <w:szCs w:val="23"/>
                <w:lang w:val="sv-SE"/>
              </w:rPr>
              <w:t>. gadam</w:t>
            </w:r>
          </w:p>
        </w:tc>
        <w:tc>
          <w:tcPr>
            <w:tcW w:w="12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368BC49" w14:textId="16AE1143" w:rsidR="00CF2172" w:rsidRPr="00CF2172" w:rsidRDefault="00CF2172" w:rsidP="002717DA">
            <w:pPr>
              <w:rPr>
                <w:iCs/>
                <w:sz w:val="23"/>
                <w:szCs w:val="23"/>
                <w:lang w:val="sv-SE"/>
              </w:rPr>
            </w:pPr>
            <w:r w:rsidRPr="00CF2172">
              <w:rPr>
                <w:iCs/>
                <w:sz w:val="23"/>
                <w:szCs w:val="23"/>
                <w:lang w:val="sv-SE"/>
              </w:rPr>
              <w:t>izmaiņas, salīdzinot ar vid</w:t>
            </w:r>
            <w:r w:rsidR="006775C0">
              <w:rPr>
                <w:iCs/>
                <w:sz w:val="23"/>
                <w:szCs w:val="23"/>
                <w:lang w:val="sv-SE"/>
              </w:rPr>
              <w:t>ēja termiņa budžeta ietvaru 2023</w:t>
            </w:r>
            <w:r w:rsidRPr="00CF2172">
              <w:rPr>
                <w:iCs/>
                <w:sz w:val="23"/>
                <w:szCs w:val="23"/>
                <w:lang w:val="sv-SE"/>
              </w:rPr>
              <w:t>. gadam</w:t>
            </w:r>
          </w:p>
        </w:tc>
      </w:tr>
      <w:tr w:rsidR="00CF2172" w:rsidRPr="00CF2172" w14:paraId="42B08A2F" w14:textId="77777777" w:rsidTr="00CF2172">
        <w:tc>
          <w:tcPr>
            <w:tcW w:w="148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D165A05" w14:textId="77777777" w:rsidR="00CF2172" w:rsidRPr="00CF2172" w:rsidRDefault="00CF2172" w:rsidP="00CF2172">
            <w:pPr>
              <w:jc w:val="center"/>
              <w:rPr>
                <w:iCs/>
                <w:sz w:val="23"/>
                <w:szCs w:val="23"/>
                <w:lang w:val="en-US"/>
              </w:rPr>
            </w:pPr>
            <w:r w:rsidRPr="00CF2172">
              <w:rPr>
                <w:iCs/>
                <w:sz w:val="23"/>
                <w:szCs w:val="23"/>
                <w:lang w:val="en-US"/>
              </w:rPr>
              <w:t>1</w:t>
            </w:r>
          </w:p>
        </w:tc>
        <w:tc>
          <w:tcPr>
            <w:tcW w:w="124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D8845CF" w14:textId="77777777" w:rsidR="00CF2172" w:rsidRPr="00CF2172" w:rsidRDefault="00CF2172" w:rsidP="00CF2172">
            <w:pPr>
              <w:jc w:val="center"/>
              <w:rPr>
                <w:iCs/>
                <w:sz w:val="23"/>
                <w:szCs w:val="23"/>
                <w:lang w:val="en-US"/>
              </w:rPr>
            </w:pPr>
            <w:r w:rsidRPr="00CF2172">
              <w:rPr>
                <w:iCs/>
                <w:sz w:val="23"/>
                <w:szCs w:val="23"/>
                <w:lang w:val="en-US"/>
              </w:rPr>
              <w:t>2</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FEB07CB" w14:textId="77777777" w:rsidR="00CF2172" w:rsidRPr="00CF2172" w:rsidRDefault="00CF2172" w:rsidP="00CF2172">
            <w:pPr>
              <w:jc w:val="center"/>
              <w:rPr>
                <w:iCs/>
                <w:sz w:val="23"/>
                <w:szCs w:val="23"/>
                <w:lang w:val="en-US"/>
              </w:rPr>
            </w:pPr>
            <w:r w:rsidRPr="00CF2172">
              <w:rPr>
                <w:iCs/>
                <w:sz w:val="23"/>
                <w:szCs w:val="23"/>
                <w:lang w:val="en-US"/>
              </w:rPr>
              <w:t>3</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696B850" w14:textId="77777777" w:rsidR="00CF2172" w:rsidRPr="00CF2172" w:rsidRDefault="00CF2172" w:rsidP="00CF2172">
            <w:pPr>
              <w:jc w:val="center"/>
              <w:rPr>
                <w:iCs/>
                <w:sz w:val="23"/>
                <w:szCs w:val="23"/>
                <w:lang w:val="en-US"/>
              </w:rPr>
            </w:pPr>
            <w:r w:rsidRPr="00CF2172">
              <w:rPr>
                <w:iCs/>
                <w:sz w:val="23"/>
                <w:szCs w:val="23"/>
                <w:lang w:val="en-US"/>
              </w:rPr>
              <w:t>4</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F298611" w14:textId="77777777" w:rsidR="00CF2172" w:rsidRPr="00CF2172" w:rsidRDefault="00CF2172" w:rsidP="00CF2172">
            <w:pPr>
              <w:jc w:val="center"/>
              <w:rPr>
                <w:iCs/>
                <w:sz w:val="23"/>
                <w:szCs w:val="23"/>
                <w:lang w:val="en-US"/>
              </w:rPr>
            </w:pPr>
            <w:r w:rsidRPr="00CF2172">
              <w:rPr>
                <w:iCs/>
                <w:sz w:val="23"/>
                <w:szCs w:val="23"/>
                <w:lang w:val="en-US"/>
              </w:rPr>
              <w:t>5</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7090C12" w14:textId="77777777" w:rsidR="00CF2172" w:rsidRPr="00CF2172" w:rsidRDefault="00CF2172" w:rsidP="00CF2172">
            <w:pPr>
              <w:jc w:val="center"/>
              <w:rPr>
                <w:iCs/>
                <w:sz w:val="23"/>
                <w:szCs w:val="23"/>
                <w:lang w:val="en-US"/>
              </w:rPr>
            </w:pPr>
            <w:r w:rsidRPr="00CF2172">
              <w:rPr>
                <w:iCs/>
                <w:sz w:val="23"/>
                <w:szCs w:val="23"/>
                <w:lang w:val="en-US"/>
              </w:rPr>
              <w:t>6</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120FCD5" w14:textId="77777777" w:rsidR="00CF2172" w:rsidRPr="00CF2172" w:rsidRDefault="00CF2172" w:rsidP="00CF2172">
            <w:pPr>
              <w:jc w:val="center"/>
              <w:rPr>
                <w:iCs/>
                <w:sz w:val="23"/>
                <w:szCs w:val="23"/>
                <w:lang w:val="en-US"/>
              </w:rPr>
            </w:pPr>
            <w:r w:rsidRPr="00CF2172">
              <w:rPr>
                <w:iCs/>
                <w:sz w:val="23"/>
                <w:szCs w:val="23"/>
                <w:lang w:val="en-US"/>
              </w:rPr>
              <w:t>7</w:t>
            </w:r>
          </w:p>
        </w:tc>
        <w:tc>
          <w:tcPr>
            <w:tcW w:w="12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9905F9B" w14:textId="77777777" w:rsidR="00CF2172" w:rsidRPr="00CF2172" w:rsidRDefault="00CF2172" w:rsidP="00CF2172">
            <w:pPr>
              <w:jc w:val="center"/>
              <w:rPr>
                <w:iCs/>
                <w:sz w:val="23"/>
                <w:szCs w:val="23"/>
                <w:lang w:val="en-US"/>
              </w:rPr>
            </w:pPr>
            <w:r w:rsidRPr="00CF2172">
              <w:rPr>
                <w:iCs/>
                <w:sz w:val="23"/>
                <w:szCs w:val="23"/>
                <w:lang w:val="en-US"/>
              </w:rPr>
              <w:t>8</w:t>
            </w:r>
          </w:p>
        </w:tc>
      </w:tr>
      <w:tr w:rsidR="00CF2172" w:rsidRPr="00CF2172" w14:paraId="2DAF83FC" w14:textId="77777777" w:rsidTr="00CF2172">
        <w:tc>
          <w:tcPr>
            <w:tcW w:w="1482" w:type="dxa"/>
            <w:tcBorders>
              <w:top w:val="outset" w:sz="6" w:space="0" w:color="000000"/>
              <w:left w:val="outset" w:sz="6" w:space="0" w:color="000000"/>
              <w:bottom w:val="outset" w:sz="6" w:space="0" w:color="000000"/>
              <w:right w:val="outset" w:sz="6" w:space="0" w:color="000000"/>
            </w:tcBorders>
            <w:shd w:val="clear" w:color="auto" w:fill="auto"/>
          </w:tcPr>
          <w:p w14:paraId="09B214DB" w14:textId="77777777" w:rsidR="00CF2172" w:rsidRPr="00CF2172" w:rsidRDefault="00CF2172" w:rsidP="002717DA">
            <w:pPr>
              <w:rPr>
                <w:iCs/>
                <w:sz w:val="28"/>
                <w:szCs w:val="28"/>
              </w:rPr>
            </w:pPr>
            <w:r w:rsidRPr="00CF2172">
              <w:rPr>
                <w:iCs/>
                <w:sz w:val="28"/>
                <w:szCs w:val="28"/>
              </w:rPr>
              <w:t>1. Budžeta ieņēmumi</w:t>
            </w:r>
          </w:p>
        </w:tc>
        <w:tc>
          <w:tcPr>
            <w:tcW w:w="124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FD6B8A1" w14:textId="77777777" w:rsidR="00CF2172" w:rsidRPr="00CF2172" w:rsidRDefault="00CF2172" w:rsidP="002717DA">
            <w:pPr>
              <w:rPr>
                <w:iCs/>
                <w:sz w:val="23"/>
                <w:szCs w:val="23"/>
                <w:lang w:val="en-US"/>
              </w:rPr>
            </w:pPr>
            <w:r w:rsidRPr="00CF2172">
              <w:rPr>
                <w:sz w:val="23"/>
                <w:szCs w:val="23"/>
              </w:rPr>
              <w:t>Nav precīzi aprēķināms</w:t>
            </w: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14:paraId="3B75AC44" w14:textId="77777777" w:rsidR="00CF2172" w:rsidRPr="00CF2172" w:rsidRDefault="00CF2172" w:rsidP="002717DA">
            <w:pPr>
              <w:rPr>
                <w:iCs/>
                <w:sz w:val="23"/>
                <w:szCs w:val="23"/>
                <w:lang w:val="en-US"/>
              </w:rPr>
            </w:pPr>
            <w:r w:rsidRPr="00CF2172">
              <w:rPr>
                <w:sz w:val="23"/>
                <w:szCs w:val="23"/>
              </w:rPr>
              <w:t>Nav precīzi aprēķināms</w:t>
            </w: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14:paraId="2C5E73E3" w14:textId="77777777" w:rsidR="00CF2172" w:rsidRPr="00CF2172" w:rsidRDefault="00CF2172" w:rsidP="002717DA">
            <w:pPr>
              <w:rPr>
                <w:iCs/>
                <w:sz w:val="23"/>
                <w:szCs w:val="23"/>
                <w:lang w:val="en-US"/>
              </w:rPr>
            </w:pPr>
            <w:r w:rsidRPr="00CF2172">
              <w:rPr>
                <w:sz w:val="23"/>
                <w:szCs w:val="23"/>
              </w:rPr>
              <w:t>Nav precīzi aprēķināms</w:t>
            </w: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14:paraId="3E90945F" w14:textId="77777777" w:rsidR="00CF2172" w:rsidRPr="00CF2172" w:rsidRDefault="00CF2172" w:rsidP="002717DA">
            <w:pPr>
              <w:rPr>
                <w:iCs/>
                <w:sz w:val="23"/>
                <w:szCs w:val="23"/>
                <w:lang w:val="en-US"/>
              </w:rPr>
            </w:pPr>
            <w:r w:rsidRPr="00CF2172">
              <w:rPr>
                <w:sz w:val="23"/>
                <w:szCs w:val="23"/>
              </w:rPr>
              <w:t>Nav precīzi aprēķināms</w:t>
            </w: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14:paraId="4B98D03C" w14:textId="77777777" w:rsidR="00CF2172" w:rsidRPr="00CF2172" w:rsidRDefault="00CF2172" w:rsidP="002717DA">
            <w:pPr>
              <w:rPr>
                <w:iCs/>
                <w:sz w:val="23"/>
                <w:szCs w:val="23"/>
                <w:lang w:val="en-US"/>
              </w:rPr>
            </w:pPr>
            <w:r w:rsidRPr="00CF2172">
              <w:rPr>
                <w:sz w:val="23"/>
                <w:szCs w:val="23"/>
              </w:rPr>
              <w:t>Nav precīzi aprēķināms</w:t>
            </w: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14:paraId="407971D4" w14:textId="77777777" w:rsidR="00CF2172" w:rsidRPr="00CF2172" w:rsidRDefault="00CF2172" w:rsidP="002717DA">
            <w:pPr>
              <w:rPr>
                <w:iCs/>
                <w:sz w:val="23"/>
                <w:szCs w:val="23"/>
                <w:lang w:val="en-US"/>
              </w:rPr>
            </w:pPr>
            <w:r w:rsidRPr="00CF2172">
              <w:rPr>
                <w:sz w:val="23"/>
                <w:szCs w:val="23"/>
              </w:rPr>
              <w:t>Nav precīzi aprēķināms</w:t>
            </w:r>
          </w:p>
        </w:tc>
        <w:tc>
          <w:tcPr>
            <w:tcW w:w="1276" w:type="dxa"/>
            <w:tcBorders>
              <w:top w:val="outset" w:sz="6" w:space="0" w:color="000000"/>
              <w:left w:val="outset" w:sz="6" w:space="0" w:color="000000"/>
              <w:bottom w:val="outset" w:sz="6" w:space="0" w:color="000000"/>
              <w:right w:val="outset" w:sz="6" w:space="0" w:color="000000"/>
            </w:tcBorders>
            <w:shd w:val="clear" w:color="auto" w:fill="auto"/>
          </w:tcPr>
          <w:p w14:paraId="0E10984D" w14:textId="77777777" w:rsidR="00CF2172" w:rsidRPr="00CF2172" w:rsidRDefault="00CF2172" w:rsidP="002717DA">
            <w:pPr>
              <w:rPr>
                <w:iCs/>
                <w:sz w:val="23"/>
                <w:szCs w:val="23"/>
                <w:lang w:val="en-US"/>
              </w:rPr>
            </w:pPr>
            <w:r w:rsidRPr="00CF2172">
              <w:rPr>
                <w:iCs/>
                <w:sz w:val="23"/>
                <w:szCs w:val="23"/>
                <w:lang w:val="en-US"/>
              </w:rPr>
              <w:t> </w:t>
            </w:r>
            <w:r w:rsidRPr="00CF2172">
              <w:rPr>
                <w:sz w:val="23"/>
                <w:szCs w:val="23"/>
              </w:rPr>
              <w:t>Nav precīzi aprēķināms</w:t>
            </w:r>
          </w:p>
        </w:tc>
      </w:tr>
      <w:tr w:rsidR="00CF2172" w:rsidRPr="00CF2172" w14:paraId="1AE9C16E" w14:textId="77777777" w:rsidTr="00CF2172">
        <w:tc>
          <w:tcPr>
            <w:tcW w:w="1482" w:type="dxa"/>
            <w:tcBorders>
              <w:top w:val="outset" w:sz="6" w:space="0" w:color="000000"/>
              <w:left w:val="outset" w:sz="6" w:space="0" w:color="000000"/>
              <w:bottom w:val="outset" w:sz="6" w:space="0" w:color="000000"/>
              <w:right w:val="outset" w:sz="6" w:space="0" w:color="000000"/>
            </w:tcBorders>
            <w:shd w:val="clear" w:color="auto" w:fill="auto"/>
          </w:tcPr>
          <w:p w14:paraId="4167355C" w14:textId="77777777" w:rsidR="00CF2172" w:rsidRPr="00CF2172" w:rsidRDefault="00CF2172" w:rsidP="002717DA">
            <w:pPr>
              <w:rPr>
                <w:iCs/>
                <w:sz w:val="28"/>
                <w:szCs w:val="28"/>
              </w:rPr>
            </w:pPr>
            <w:r w:rsidRPr="00CF2172">
              <w:rPr>
                <w:iCs/>
                <w:sz w:val="28"/>
                <w:szCs w:val="28"/>
              </w:rPr>
              <w:t>1.1. valsts pamatbudžets, tai skaitā ieņēmumi no maksas pakalpojumiem un citi pašu ieņēmumi</w:t>
            </w:r>
          </w:p>
        </w:tc>
        <w:tc>
          <w:tcPr>
            <w:tcW w:w="1249" w:type="dxa"/>
            <w:tcBorders>
              <w:top w:val="outset" w:sz="6" w:space="0" w:color="000000"/>
              <w:left w:val="outset" w:sz="6" w:space="0" w:color="000000"/>
              <w:bottom w:val="outset" w:sz="6" w:space="0" w:color="000000"/>
              <w:right w:val="outset" w:sz="6" w:space="0" w:color="000000"/>
            </w:tcBorders>
            <w:shd w:val="clear" w:color="auto" w:fill="auto"/>
          </w:tcPr>
          <w:p w14:paraId="2F76E9F5" w14:textId="77777777" w:rsidR="00CF2172" w:rsidRPr="00CF2172" w:rsidRDefault="00CF2172" w:rsidP="002717DA">
            <w:pPr>
              <w:rPr>
                <w:iCs/>
                <w:sz w:val="23"/>
                <w:szCs w:val="23"/>
                <w:lang w:val="en-US"/>
              </w:rPr>
            </w:pPr>
            <w:r w:rsidRPr="00CF2172">
              <w:rPr>
                <w:iCs/>
                <w:sz w:val="23"/>
                <w:szCs w:val="23"/>
                <w:lang w:val="en-US"/>
              </w:rPr>
              <w:t> </w:t>
            </w:r>
            <w:r w:rsidRPr="00CF2172">
              <w:rPr>
                <w:sz w:val="23"/>
                <w:szCs w:val="23"/>
              </w:rPr>
              <w:t>Nav precīzi aprēķināms</w:t>
            </w: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14:paraId="7FFA262E" w14:textId="77777777" w:rsidR="00CF2172" w:rsidRPr="00CF2172" w:rsidRDefault="00CF2172" w:rsidP="002717DA">
            <w:pPr>
              <w:rPr>
                <w:iCs/>
                <w:sz w:val="23"/>
                <w:szCs w:val="23"/>
                <w:lang w:val="en-US"/>
              </w:rPr>
            </w:pPr>
            <w:r w:rsidRPr="00CF2172">
              <w:rPr>
                <w:sz w:val="23"/>
                <w:szCs w:val="23"/>
              </w:rPr>
              <w:t>Nav precīzi aprēķināms</w:t>
            </w: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14:paraId="3A97AC2C" w14:textId="77777777" w:rsidR="00CF2172" w:rsidRPr="00CF2172" w:rsidRDefault="00CF2172" w:rsidP="002717DA">
            <w:pPr>
              <w:rPr>
                <w:iCs/>
                <w:sz w:val="23"/>
                <w:szCs w:val="23"/>
                <w:lang w:val="en-US"/>
              </w:rPr>
            </w:pPr>
            <w:r w:rsidRPr="00CF2172">
              <w:rPr>
                <w:sz w:val="23"/>
                <w:szCs w:val="23"/>
              </w:rPr>
              <w:t>Nav precīzi aprēķināms</w:t>
            </w: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14:paraId="67B4D864" w14:textId="77777777" w:rsidR="00CF2172" w:rsidRPr="00CF2172" w:rsidRDefault="00CF2172" w:rsidP="002717DA">
            <w:pPr>
              <w:rPr>
                <w:iCs/>
                <w:sz w:val="23"/>
                <w:szCs w:val="23"/>
                <w:lang w:val="en-US"/>
              </w:rPr>
            </w:pPr>
            <w:r w:rsidRPr="00CF2172">
              <w:rPr>
                <w:sz w:val="23"/>
                <w:szCs w:val="23"/>
              </w:rPr>
              <w:t>Nav precīzi aprēķināms</w:t>
            </w: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14:paraId="1FDE6E50" w14:textId="77777777" w:rsidR="00CF2172" w:rsidRPr="00CF2172" w:rsidRDefault="00CF2172" w:rsidP="002717DA">
            <w:pPr>
              <w:rPr>
                <w:iCs/>
                <w:sz w:val="23"/>
                <w:szCs w:val="23"/>
                <w:lang w:val="en-US"/>
              </w:rPr>
            </w:pPr>
            <w:r w:rsidRPr="00CF2172">
              <w:rPr>
                <w:sz w:val="23"/>
                <w:szCs w:val="23"/>
              </w:rPr>
              <w:t>Nav precīzi aprēķināms</w:t>
            </w: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14:paraId="333AC1D0" w14:textId="77777777" w:rsidR="00CF2172" w:rsidRPr="00CF2172" w:rsidRDefault="00CF2172" w:rsidP="002717DA">
            <w:pPr>
              <w:rPr>
                <w:iCs/>
                <w:sz w:val="23"/>
                <w:szCs w:val="23"/>
                <w:lang w:val="en-US"/>
              </w:rPr>
            </w:pPr>
            <w:r w:rsidRPr="00CF2172">
              <w:rPr>
                <w:sz w:val="23"/>
                <w:szCs w:val="23"/>
              </w:rPr>
              <w:t>Nav precīzi aprēķināms</w:t>
            </w:r>
          </w:p>
        </w:tc>
        <w:tc>
          <w:tcPr>
            <w:tcW w:w="1276" w:type="dxa"/>
            <w:tcBorders>
              <w:top w:val="outset" w:sz="6" w:space="0" w:color="000000"/>
              <w:left w:val="outset" w:sz="6" w:space="0" w:color="000000"/>
              <w:bottom w:val="outset" w:sz="6" w:space="0" w:color="000000"/>
              <w:right w:val="outset" w:sz="6" w:space="0" w:color="000000"/>
            </w:tcBorders>
            <w:shd w:val="clear" w:color="auto" w:fill="auto"/>
          </w:tcPr>
          <w:p w14:paraId="702A1EBA" w14:textId="77777777" w:rsidR="00CF2172" w:rsidRPr="00CF2172" w:rsidRDefault="00CF2172" w:rsidP="002717DA">
            <w:pPr>
              <w:rPr>
                <w:iCs/>
                <w:sz w:val="23"/>
                <w:szCs w:val="23"/>
                <w:lang w:val="en-US"/>
              </w:rPr>
            </w:pPr>
            <w:r w:rsidRPr="00CF2172">
              <w:rPr>
                <w:iCs/>
                <w:sz w:val="23"/>
                <w:szCs w:val="23"/>
                <w:lang w:val="en-US"/>
              </w:rPr>
              <w:t> </w:t>
            </w:r>
            <w:r w:rsidRPr="00CF2172">
              <w:rPr>
                <w:sz w:val="23"/>
                <w:szCs w:val="23"/>
              </w:rPr>
              <w:t>Nav precīzi aprēķināms</w:t>
            </w:r>
          </w:p>
        </w:tc>
      </w:tr>
      <w:tr w:rsidR="00CF2172" w:rsidRPr="00CF2172" w14:paraId="514B22DB" w14:textId="77777777" w:rsidTr="00CF2172">
        <w:tc>
          <w:tcPr>
            <w:tcW w:w="1482" w:type="dxa"/>
            <w:tcBorders>
              <w:top w:val="outset" w:sz="6" w:space="0" w:color="000000"/>
              <w:left w:val="outset" w:sz="6" w:space="0" w:color="000000"/>
              <w:bottom w:val="outset" w:sz="6" w:space="0" w:color="000000"/>
              <w:right w:val="outset" w:sz="6" w:space="0" w:color="000000"/>
            </w:tcBorders>
            <w:shd w:val="clear" w:color="auto" w:fill="auto"/>
          </w:tcPr>
          <w:p w14:paraId="14AE562E" w14:textId="77777777" w:rsidR="00CF2172" w:rsidRPr="00CF2172" w:rsidRDefault="00CF2172" w:rsidP="002717DA">
            <w:pPr>
              <w:rPr>
                <w:iCs/>
                <w:sz w:val="28"/>
                <w:szCs w:val="28"/>
              </w:rPr>
            </w:pPr>
            <w:r w:rsidRPr="00CF2172">
              <w:rPr>
                <w:iCs/>
                <w:sz w:val="28"/>
                <w:szCs w:val="28"/>
              </w:rPr>
              <w:t>1.2. valsts speciālais budžets</w:t>
            </w:r>
          </w:p>
        </w:tc>
        <w:tc>
          <w:tcPr>
            <w:tcW w:w="124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F2CE58B"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86F0698"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65CF439"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712040D"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9323C4B"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73FCD5B" w14:textId="77777777" w:rsidR="00CF2172" w:rsidRPr="00CF2172" w:rsidRDefault="00CF2172" w:rsidP="002717DA">
            <w:pPr>
              <w:rPr>
                <w:iCs/>
                <w:sz w:val="23"/>
                <w:szCs w:val="23"/>
                <w:lang w:val="en-US"/>
              </w:rPr>
            </w:pPr>
            <w:r w:rsidRPr="00CF2172">
              <w:rPr>
                <w:iCs/>
                <w:sz w:val="23"/>
                <w:szCs w:val="23"/>
                <w:lang w:val="en-US"/>
              </w:rPr>
              <w:t>0 </w:t>
            </w:r>
          </w:p>
        </w:tc>
        <w:tc>
          <w:tcPr>
            <w:tcW w:w="12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5B5FA2C" w14:textId="77777777" w:rsidR="00CF2172" w:rsidRPr="00CF2172" w:rsidRDefault="00CF2172" w:rsidP="002717DA">
            <w:pPr>
              <w:rPr>
                <w:iCs/>
                <w:sz w:val="23"/>
                <w:szCs w:val="23"/>
                <w:lang w:val="en-US"/>
              </w:rPr>
            </w:pPr>
            <w:r w:rsidRPr="00CF2172">
              <w:rPr>
                <w:iCs/>
                <w:sz w:val="23"/>
                <w:szCs w:val="23"/>
                <w:lang w:val="en-US"/>
              </w:rPr>
              <w:t> 0</w:t>
            </w:r>
          </w:p>
        </w:tc>
      </w:tr>
      <w:tr w:rsidR="00CF2172" w:rsidRPr="00CF2172" w14:paraId="31AD4999" w14:textId="77777777" w:rsidTr="00CF2172">
        <w:tc>
          <w:tcPr>
            <w:tcW w:w="1482" w:type="dxa"/>
            <w:tcBorders>
              <w:top w:val="outset" w:sz="6" w:space="0" w:color="000000"/>
              <w:left w:val="outset" w:sz="6" w:space="0" w:color="000000"/>
              <w:bottom w:val="outset" w:sz="6" w:space="0" w:color="000000"/>
              <w:right w:val="outset" w:sz="6" w:space="0" w:color="000000"/>
            </w:tcBorders>
            <w:shd w:val="clear" w:color="auto" w:fill="auto"/>
          </w:tcPr>
          <w:p w14:paraId="4A85003A" w14:textId="77777777" w:rsidR="00CF2172" w:rsidRPr="00CF2172" w:rsidRDefault="00CF2172" w:rsidP="002717DA">
            <w:pPr>
              <w:rPr>
                <w:iCs/>
                <w:sz w:val="28"/>
                <w:szCs w:val="28"/>
              </w:rPr>
            </w:pPr>
            <w:r w:rsidRPr="00CF2172">
              <w:rPr>
                <w:iCs/>
                <w:sz w:val="28"/>
                <w:szCs w:val="28"/>
              </w:rPr>
              <w:t>1.3. pašvaldību budžets</w:t>
            </w:r>
          </w:p>
        </w:tc>
        <w:tc>
          <w:tcPr>
            <w:tcW w:w="124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B6694A6"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9618D81"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E7E689B"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27FB483"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83CD3E5"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099A48C" w14:textId="77777777" w:rsidR="00CF2172" w:rsidRPr="00CF2172" w:rsidRDefault="00CF2172" w:rsidP="002717DA">
            <w:pPr>
              <w:rPr>
                <w:iCs/>
                <w:sz w:val="23"/>
                <w:szCs w:val="23"/>
                <w:lang w:val="en-US"/>
              </w:rPr>
            </w:pPr>
            <w:r w:rsidRPr="00CF2172">
              <w:rPr>
                <w:iCs/>
                <w:sz w:val="23"/>
                <w:szCs w:val="23"/>
                <w:lang w:val="en-US"/>
              </w:rPr>
              <w:t> 0</w:t>
            </w:r>
          </w:p>
        </w:tc>
        <w:tc>
          <w:tcPr>
            <w:tcW w:w="12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14A7D14" w14:textId="77777777" w:rsidR="00CF2172" w:rsidRPr="00CF2172" w:rsidRDefault="00CF2172" w:rsidP="002717DA">
            <w:pPr>
              <w:rPr>
                <w:iCs/>
                <w:sz w:val="23"/>
                <w:szCs w:val="23"/>
                <w:lang w:val="en-US"/>
              </w:rPr>
            </w:pPr>
            <w:r w:rsidRPr="00CF2172">
              <w:rPr>
                <w:iCs/>
                <w:sz w:val="23"/>
                <w:szCs w:val="23"/>
                <w:lang w:val="en-US"/>
              </w:rPr>
              <w:t> 0</w:t>
            </w:r>
          </w:p>
        </w:tc>
      </w:tr>
      <w:tr w:rsidR="00CF2172" w:rsidRPr="00CF2172" w14:paraId="3F3C8367" w14:textId="77777777" w:rsidTr="00CF2172">
        <w:tc>
          <w:tcPr>
            <w:tcW w:w="1482" w:type="dxa"/>
            <w:tcBorders>
              <w:top w:val="outset" w:sz="6" w:space="0" w:color="000000"/>
              <w:left w:val="outset" w:sz="6" w:space="0" w:color="000000"/>
              <w:bottom w:val="outset" w:sz="6" w:space="0" w:color="000000"/>
              <w:right w:val="outset" w:sz="6" w:space="0" w:color="000000"/>
            </w:tcBorders>
            <w:shd w:val="clear" w:color="auto" w:fill="auto"/>
          </w:tcPr>
          <w:p w14:paraId="5FED4A8C" w14:textId="77777777" w:rsidR="00CF2172" w:rsidRPr="00CF2172" w:rsidRDefault="00CF2172" w:rsidP="002717DA">
            <w:pPr>
              <w:rPr>
                <w:iCs/>
                <w:sz w:val="28"/>
                <w:szCs w:val="28"/>
              </w:rPr>
            </w:pPr>
            <w:r w:rsidRPr="00CF2172">
              <w:rPr>
                <w:iCs/>
                <w:sz w:val="28"/>
                <w:szCs w:val="28"/>
              </w:rPr>
              <w:t>2. Budžeta izdevumi</w:t>
            </w:r>
          </w:p>
        </w:tc>
        <w:tc>
          <w:tcPr>
            <w:tcW w:w="124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D51C024"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444F268"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41444A4"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89A1EA6"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B967C54"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72C7AEF" w14:textId="77777777" w:rsidR="00CF2172" w:rsidRPr="00CF2172" w:rsidRDefault="00CF2172" w:rsidP="002717DA">
            <w:pPr>
              <w:rPr>
                <w:iCs/>
                <w:sz w:val="23"/>
                <w:szCs w:val="23"/>
                <w:lang w:val="en-US"/>
              </w:rPr>
            </w:pPr>
            <w:r w:rsidRPr="00CF2172">
              <w:rPr>
                <w:iCs/>
                <w:sz w:val="23"/>
                <w:szCs w:val="23"/>
                <w:lang w:val="en-US"/>
              </w:rPr>
              <w:t> 0</w:t>
            </w:r>
          </w:p>
        </w:tc>
        <w:tc>
          <w:tcPr>
            <w:tcW w:w="12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074E331" w14:textId="77777777" w:rsidR="00CF2172" w:rsidRPr="00CF2172" w:rsidRDefault="00CF2172" w:rsidP="002717DA">
            <w:pPr>
              <w:rPr>
                <w:iCs/>
                <w:sz w:val="23"/>
                <w:szCs w:val="23"/>
                <w:lang w:val="en-US"/>
              </w:rPr>
            </w:pPr>
            <w:r w:rsidRPr="00CF2172">
              <w:rPr>
                <w:iCs/>
                <w:sz w:val="23"/>
                <w:szCs w:val="23"/>
                <w:lang w:val="en-US"/>
              </w:rPr>
              <w:t> 0</w:t>
            </w:r>
          </w:p>
        </w:tc>
      </w:tr>
      <w:tr w:rsidR="00CF2172" w:rsidRPr="00CF2172" w14:paraId="3334F459" w14:textId="77777777" w:rsidTr="00CF2172">
        <w:tc>
          <w:tcPr>
            <w:tcW w:w="1482" w:type="dxa"/>
            <w:tcBorders>
              <w:top w:val="outset" w:sz="6" w:space="0" w:color="000000"/>
              <w:left w:val="outset" w:sz="6" w:space="0" w:color="000000"/>
              <w:bottom w:val="outset" w:sz="6" w:space="0" w:color="000000"/>
              <w:right w:val="outset" w:sz="6" w:space="0" w:color="000000"/>
            </w:tcBorders>
            <w:shd w:val="clear" w:color="auto" w:fill="auto"/>
          </w:tcPr>
          <w:p w14:paraId="0F89CD87" w14:textId="77777777" w:rsidR="00CF2172" w:rsidRPr="00CF2172" w:rsidRDefault="00CF2172" w:rsidP="002717DA">
            <w:pPr>
              <w:rPr>
                <w:iCs/>
                <w:sz w:val="28"/>
                <w:szCs w:val="28"/>
              </w:rPr>
            </w:pPr>
            <w:r w:rsidRPr="00CF2172">
              <w:rPr>
                <w:iCs/>
                <w:sz w:val="28"/>
                <w:szCs w:val="28"/>
              </w:rPr>
              <w:t>2.1. valsts pamatbudžets</w:t>
            </w:r>
          </w:p>
        </w:tc>
        <w:tc>
          <w:tcPr>
            <w:tcW w:w="124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49E75FB"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E20F207"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0F1DA33"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94CA055"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BAFB37E"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E85E814" w14:textId="77777777" w:rsidR="00CF2172" w:rsidRPr="00CF2172" w:rsidRDefault="00CF2172" w:rsidP="002717DA">
            <w:pPr>
              <w:rPr>
                <w:iCs/>
                <w:sz w:val="23"/>
                <w:szCs w:val="23"/>
                <w:lang w:val="en-US"/>
              </w:rPr>
            </w:pPr>
            <w:r w:rsidRPr="00CF2172">
              <w:rPr>
                <w:iCs/>
                <w:sz w:val="23"/>
                <w:szCs w:val="23"/>
                <w:lang w:val="en-US"/>
              </w:rPr>
              <w:t> 0</w:t>
            </w:r>
          </w:p>
        </w:tc>
        <w:tc>
          <w:tcPr>
            <w:tcW w:w="12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225121F" w14:textId="77777777" w:rsidR="00CF2172" w:rsidRPr="00CF2172" w:rsidRDefault="00CF2172" w:rsidP="002717DA">
            <w:pPr>
              <w:rPr>
                <w:iCs/>
                <w:sz w:val="23"/>
                <w:szCs w:val="23"/>
                <w:lang w:val="en-US"/>
              </w:rPr>
            </w:pPr>
            <w:r w:rsidRPr="00CF2172">
              <w:rPr>
                <w:iCs/>
                <w:sz w:val="23"/>
                <w:szCs w:val="23"/>
                <w:lang w:val="en-US"/>
              </w:rPr>
              <w:t> 0</w:t>
            </w:r>
          </w:p>
        </w:tc>
      </w:tr>
      <w:tr w:rsidR="00CF2172" w:rsidRPr="00CF2172" w14:paraId="6E76A56B" w14:textId="77777777" w:rsidTr="00CF2172">
        <w:tc>
          <w:tcPr>
            <w:tcW w:w="1482" w:type="dxa"/>
            <w:tcBorders>
              <w:top w:val="outset" w:sz="6" w:space="0" w:color="000000"/>
              <w:left w:val="outset" w:sz="6" w:space="0" w:color="000000"/>
              <w:bottom w:val="outset" w:sz="6" w:space="0" w:color="000000"/>
              <w:right w:val="outset" w:sz="6" w:space="0" w:color="000000"/>
            </w:tcBorders>
            <w:shd w:val="clear" w:color="auto" w:fill="auto"/>
          </w:tcPr>
          <w:p w14:paraId="118EBFF2" w14:textId="77777777" w:rsidR="00CF2172" w:rsidRPr="00CF2172" w:rsidRDefault="00CF2172" w:rsidP="002717DA">
            <w:pPr>
              <w:rPr>
                <w:iCs/>
                <w:sz w:val="28"/>
                <w:szCs w:val="28"/>
              </w:rPr>
            </w:pPr>
            <w:r w:rsidRPr="00CF2172">
              <w:rPr>
                <w:iCs/>
                <w:sz w:val="28"/>
                <w:szCs w:val="28"/>
              </w:rPr>
              <w:t>2.2. valsts speciālais budžets</w:t>
            </w:r>
          </w:p>
        </w:tc>
        <w:tc>
          <w:tcPr>
            <w:tcW w:w="124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C665093"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C2DF0F0"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98129B7"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B2A1524"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879E0BF"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6AFAA9F" w14:textId="77777777" w:rsidR="00CF2172" w:rsidRPr="00CF2172" w:rsidRDefault="00CF2172" w:rsidP="002717DA">
            <w:pPr>
              <w:rPr>
                <w:iCs/>
                <w:sz w:val="23"/>
                <w:szCs w:val="23"/>
                <w:lang w:val="en-US"/>
              </w:rPr>
            </w:pPr>
            <w:r w:rsidRPr="00CF2172">
              <w:rPr>
                <w:iCs/>
                <w:sz w:val="23"/>
                <w:szCs w:val="23"/>
                <w:lang w:val="en-US"/>
              </w:rPr>
              <w:t> 0</w:t>
            </w:r>
          </w:p>
        </w:tc>
        <w:tc>
          <w:tcPr>
            <w:tcW w:w="12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C31682E" w14:textId="77777777" w:rsidR="00CF2172" w:rsidRPr="00CF2172" w:rsidRDefault="00CF2172" w:rsidP="002717DA">
            <w:pPr>
              <w:rPr>
                <w:iCs/>
                <w:sz w:val="23"/>
                <w:szCs w:val="23"/>
                <w:lang w:val="en-US"/>
              </w:rPr>
            </w:pPr>
            <w:r w:rsidRPr="00CF2172">
              <w:rPr>
                <w:iCs/>
                <w:sz w:val="23"/>
                <w:szCs w:val="23"/>
                <w:lang w:val="en-US"/>
              </w:rPr>
              <w:t> 0</w:t>
            </w:r>
          </w:p>
        </w:tc>
      </w:tr>
      <w:tr w:rsidR="00CF2172" w:rsidRPr="00CF2172" w14:paraId="4ED39721" w14:textId="77777777" w:rsidTr="00CF2172">
        <w:tc>
          <w:tcPr>
            <w:tcW w:w="1482" w:type="dxa"/>
            <w:tcBorders>
              <w:top w:val="outset" w:sz="6" w:space="0" w:color="000000"/>
              <w:left w:val="outset" w:sz="6" w:space="0" w:color="000000"/>
              <w:bottom w:val="outset" w:sz="6" w:space="0" w:color="000000"/>
              <w:right w:val="outset" w:sz="6" w:space="0" w:color="000000"/>
            </w:tcBorders>
            <w:shd w:val="clear" w:color="auto" w:fill="auto"/>
          </w:tcPr>
          <w:p w14:paraId="58B4EB9C" w14:textId="77777777" w:rsidR="00CF2172" w:rsidRPr="00CF2172" w:rsidRDefault="00CF2172" w:rsidP="002717DA">
            <w:pPr>
              <w:rPr>
                <w:iCs/>
                <w:sz w:val="28"/>
                <w:szCs w:val="28"/>
              </w:rPr>
            </w:pPr>
            <w:r w:rsidRPr="00CF2172">
              <w:rPr>
                <w:iCs/>
                <w:sz w:val="28"/>
                <w:szCs w:val="28"/>
              </w:rPr>
              <w:t>2.3. pašvaldību budžets</w:t>
            </w:r>
          </w:p>
        </w:tc>
        <w:tc>
          <w:tcPr>
            <w:tcW w:w="124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FBFB5AF"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8A9D7A2"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6C2529E"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7E85F65"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8A0AA64"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6B58C2E" w14:textId="77777777" w:rsidR="00CF2172" w:rsidRPr="00CF2172" w:rsidRDefault="00CF2172" w:rsidP="002717DA">
            <w:pPr>
              <w:rPr>
                <w:iCs/>
                <w:sz w:val="23"/>
                <w:szCs w:val="23"/>
                <w:lang w:val="en-US"/>
              </w:rPr>
            </w:pPr>
            <w:r w:rsidRPr="00CF2172">
              <w:rPr>
                <w:iCs/>
                <w:sz w:val="23"/>
                <w:szCs w:val="23"/>
                <w:lang w:val="en-US"/>
              </w:rPr>
              <w:t> 0</w:t>
            </w:r>
          </w:p>
        </w:tc>
        <w:tc>
          <w:tcPr>
            <w:tcW w:w="12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DCF8FFC" w14:textId="77777777" w:rsidR="00CF2172" w:rsidRPr="00CF2172" w:rsidRDefault="00CF2172" w:rsidP="002717DA">
            <w:pPr>
              <w:rPr>
                <w:iCs/>
                <w:sz w:val="23"/>
                <w:szCs w:val="23"/>
                <w:lang w:val="en-US"/>
              </w:rPr>
            </w:pPr>
            <w:r w:rsidRPr="00CF2172">
              <w:rPr>
                <w:iCs/>
                <w:sz w:val="23"/>
                <w:szCs w:val="23"/>
                <w:lang w:val="en-US"/>
              </w:rPr>
              <w:t> 0</w:t>
            </w:r>
          </w:p>
        </w:tc>
      </w:tr>
      <w:tr w:rsidR="00CF2172" w:rsidRPr="00CF2172" w14:paraId="77DD1FB1" w14:textId="77777777" w:rsidTr="00CF2172">
        <w:tc>
          <w:tcPr>
            <w:tcW w:w="1482" w:type="dxa"/>
            <w:tcBorders>
              <w:top w:val="outset" w:sz="6" w:space="0" w:color="000000"/>
              <w:left w:val="outset" w:sz="6" w:space="0" w:color="000000"/>
              <w:bottom w:val="outset" w:sz="6" w:space="0" w:color="000000"/>
              <w:right w:val="outset" w:sz="6" w:space="0" w:color="000000"/>
            </w:tcBorders>
            <w:shd w:val="clear" w:color="auto" w:fill="auto"/>
          </w:tcPr>
          <w:p w14:paraId="2659AC13" w14:textId="77777777" w:rsidR="00CF2172" w:rsidRPr="00CF2172" w:rsidRDefault="00CF2172" w:rsidP="002717DA">
            <w:pPr>
              <w:rPr>
                <w:iCs/>
                <w:sz w:val="28"/>
                <w:szCs w:val="28"/>
              </w:rPr>
            </w:pPr>
            <w:r w:rsidRPr="00CF2172">
              <w:rPr>
                <w:iCs/>
                <w:sz w:val="28"/>
                <w:szCs w:val="28"/>
              </w:rPr>
              <w:t>3. Finansiālā ietekme</w:t>
            </w:r>
          </w:p>
        </w:tc>
        <w:tc>
          <w:tcPr>
            <w:tcW w:w="124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92B1BA2" w14:textId="77777777" w:rsidR="00CF2172" w:rsidRPr="00CF2172" w:rsidRDefault="00CF2172" w:rsidP="002717DA">
            <w:pPr>
              <w:rPr>
                <w:iCs/>
                <w:sz w:val="23"/>
                <w:szCs w:val="23"/>
                <w:lang w:val="en-US"/>
              </w:rPr>
            </w:pPr>
            <w:r w:rsidRPr="00CF2172">
              <w:rPr>
                <w:sz w:val="23"/>
                <w:szCs w:val="23"/>
              </w:rPr>
              <w:t>Nav precīzi aprēķināms</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5D001AC" w14:textId="77777777" w:rsidR="00CF2172" w:rsidRPr="00CF2172" w:rsidRDefault="00CF2172" w:rsidP="002717DA">
            <w:pPr>
              <w:rPr>
                <w:iCs/>
                <w:sz w:val="23"/>
                <w:szCs w:val="23"/>
                <w:lang w:val="en-US"/>
              </w:rPr>
            </w:pPr>
            <w:r w:rsidRPr="00CF2172">
              <w:rPr>
                <w:iCs/>
                <w:sz w:val="23"/>
                <w:szCs w:val="23"/>
                <w:lang w:val="en-US"/>
              </w:rPr>
              <w:t> </w:t>
            </w:r>
            <w:r w:rsidRPr="00CF2172">
              <w:rPr>
                <w:sz w:val="23"/>
                <w:szCs w:val="23"/>
              </w:rPr>
              <w:t>Nav precīzi aprēķināms</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7DD0BEE" w14:textId="77777777" w:rsidR="00CF2172" w:rsidRPr="00CF2172" w:rsidRDefault="00CF2172" w:rsidP="002717DA">
            <w:pPr>
              <w:rPr>
                <w:iCs/>
                <w:sz w:val="23"/>
                <w:szCs w:val="23"/>
                <w:lang w:val="en-US"/>
              </w:rPr>
            </w:pPr>
            <w:r w:rsidRPr="00CF2172">
              <w:rPr>
                <w:iCs/>
                <w:sz w:val="23"/>
                <w:szCs w:val="23"/>
                <w:lang w:val="en-US"/>
              </w:rPr>
              <w:t> </w:t>
            </w:r>
            <w:r w:rsidRPr="00CF2172">
              <w:rPr>
                <w:sz w:val="23"/>
                <w:szCs w:val="23"/>
              </w:rPr>
              <w:t>Nav precīzi aprēķināms</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61FB19A" w14:textId="77777777" w:rsidR="00CF2172" w:rsidRPr="00CF2172" w:rsidRDefault="00CF2172" w:rsidP="002717DA">
            <w:pPr>
              <w:rPr>
                <w:iCs/>
                <w:sz w:val="23"/>
                <w:szCs w:val="23"/>
                <w:lang w:val="en-US"/>
              </w:rPr>
            </w:pPr>
            <w:r w:rsidRPr="00CF2172">
              <w:rPr>
                <w:iCs/>
                <w:sz w:val="23"/>
                <w:szCs w:val="23"/>
                <w:lang w:val="en-US"/>
              </w:rPr>
              <w:t> </w:t>
            </w:r>
            <w:r w:rsidRPr="00CF2172">
              <w:rPr>
                <w:sz w:val="23"/>
                <w:szCs w:val="23"/>
              </w:rPr>
              <w:t>Nav precīzi aprēķināms</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8ED62CC" w14:textId="77777777" w:rsidR="00CF2172" w:rsidRPr="00CF2172" w:rsidRDefault="00CF2172" w:rsidP="002717DA">
            <w:pPr>
              <w:rPr>
                <w:iCs/>
                <w:sz w:val="23"/>
                <w:szCs w:val="23"/>
                <w:lang w:val="en-US"/>
              </w:rPr>
            </w:pPr>
            <w:r w:rsidRPr="00CF2172">
              <w:rPr>
                <w:iCs/>
                <w:sz w:val="23"/>
                <w:szCs w:val="23"/>
                <w:lang w:val="en-US"/>
              </w:rPr>
              <w:t> </w:t>
            </w:r>
            <w:r w:rsidRPr="00CF2172">
              <w:rPr>
                <w:sz w:val="23"/>
                <w:szCs w:val="23"/>
              </w:rPr>
              <w:t>Nav precīzi aprēķināms</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5F3FDB6" w14:textId="77777777" w:rsidR="00CF2172" w:rsidRPr="00CF2172" w:rsidRDefault="00CF2172" w:rsidP="002717DA">
            <w:pPr>
              <w:rPr>
                <w:iCs/>
                <w:sz w:val="23"/>
                <w:szCs w:val="23"/>
                <w:lang w:val="en-US"/>
              </w:rPr>
            </w:pPr>
            <w:r w:rsidRPr="00CF2172">
              <w:rPr>
                <w:iCs/>
                <w:sz w:val="23"/>
                <w:szCs w:val="23"/>
                <w:lang w:val="en-US"/>
              </w:rPr>
              <w:t> </w:t>
            </w:r>
            <w:r w:rsidRPr="00CF2172">
              <w:rPr>
                <w:sz w:val="23"/>
                <w:szCs w:val="23"/>
              </w:rPr>
              <w:t>Nav precīzi aprēķināms</w:t>
            </w:r>
          </w:p>
        </w:tc>
        <w:tc>
          <w:tcPr>
            <w:tcW w:w="12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C58DB2C" w14:textId="77777777" w:rsidR="00CF2172" w:rsidRPr="00CF2172" w:rsidRDefault="00CF2172" w:rsidP="002717DA">
            <w:pPr>
              <w:rPr>
                <w:iCs/>
                <w:sz w:val="23"/>
                <w:szCs w:val="23"/>
                <w:lang w:val="en-US"/>
              </w:rPr>
            </w:pPr>
            <w:r w:rsidRPr="00CF2172">
              <w:rPr>
                <w:iCs/>
                <w:sz w:val="23"/>
                <w:szCs w:val="23"/>
                <w:lang w:val="en-US"/>
              </w:rPr>
              <w:t> </w:t>
            </w:r>
            <w:r w:rsidRPr="00CF2172">
              <w:rPr>
                <w:sz w:val="23"/>
                <w:szCs w:val="23"/>
              </w:rPr>
              <w:t>Nav precīzi aprēķināms</w:t>
            </w:r>
          </w:p>
        </w:tc>
      </w:tr>
      <w:tr w:rsidR="00CF2172" w:rsidRPr="00CF2172" w14:paraId="24146A73" w14:textId="77777777" w:rsidTr="00CF2172">
        <w:tc>
          <w:tcPr>
            <w:tcW w:w="1482" w:type="dxa"/>
            <w:tcBorders>
              <w:top w:val="outset" w:sz="6" w:space="0" w:color="000000"/>
              <w:left w:val="outset" w:sz="6" w:space="0" w:color="000000"/>
              <w:bottom w:val="outset" w:sz="6" w:space="0" w:color="000000"/>
              <w:right w:val="outset" w:sz="6" w:space="0" w:color="000000"/>
            </w:tcBorders>
            <w:shd w:val="clear" w:color="auto" w:fill="auto"/>
          </w:tcPr>
          <w:p w14:paraId="7915BB1D" w14:textId="77777777" w:rsidR="00CF2172" w:rsidRPr="00CF2172" w:rsidRDefault="00CF2172" w:rsidP="002717DA">
            <w:pPr>
              <w:rPr>
                <w:iCs/>
                <w:sz w:val="28"/>
                <w:szCs w:val="28"/>
              </w:rPr>
            </w:pPr>
            <w:r w:rsidRPr="00CF2172">
              <w:rPr>
                <w:iCs/>
                <w:sz w:val="28"/>
                <w:szCs w:val="28"/>
              </w:rPr>
              <w:t>3.1. valsts pamatbudžets</w:t>
            </w:r>
          </w:p>
        </w:tc>
        <w:tc>
          <w:tcPr>
            <w:tcW w:w="124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1B84471" w14:textId="77777777" w:rsidR="00CF2172" w:rsidRPr="00CF2172" w:rsidRDefault="00CF2172" w:rsidP="002717DA">
            <w:pPr>
              <w:rPr>
                <w:iCs/>
                <w:sz w:val="23"/>
                <w:szCs w:val="23"/>
                <w:lang w:val="en-US"/>
              </w:rPr>
            </w:pPr>
            <w:r w:rsidRPr="00CF2172">
              <w:rPr>
                <w:iCs/>
                <w:sz w:val="23"/>
                <w:szCs w:val="23"/>
                <w:lang w:val="en-US"/>
              </w:rPr>
              <w:t> </w:t>
            </w:r>
            <w:r w:rsidRPr="00CF2172">
              <w:rPr>
                <w:sz w:val="23"/>
                <w:szCs w:val="23"/>
              </w:rPr>
              <w:t>Nav precīzi aprēķināms</w:t>
            </w: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14:paraId="25267519" w14:textId="77777777" w:rsidR="00CF2172" w:rsidRPr="00CF2172" w:rsidRDefault="00CF2172" w:rsidP="002717DA">
            <w:pPr>
              <w:rPr>
                <w:iCs/>
                <w:sz w:val="23"/>
                <w:szCs w:val="23"/>
                <w:lang w:val="en-US"/>
              </w:rPr>
            </w:pPr>
            <w:r w:rsidRPr="00CF2172">
              <w:rPr>
                <w:sz w:val="23"/>
                <w:szCs w:val="23"/>
              </w:rPr>
              <w:t>Nav precīzi aprēķināms</w:t>
            </w: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14:paraId="4F6715F3" w14:textId="77777777" w:rsidR="00CF2172" w:rsidRPr="00CF2172" w:rsidRDefault="00CF2172" w:rsidP="002717DA">
            <w:pPr>
              <w:rPr>
                <w:iCs/>
                <w:sz w:val="23"/>
                <w:szCs w:val="23"/>
                <w:lang w:val="en-US"/>
              </w:rPr>
            </w:pPr>
            <w:r w:rsidRPr="00CF2172">
              <w:rPr>
                <w:sz w:val="23"/>
                <w:szCs w:val="23"/>
              </w:rPr>
              <w:t>Nav precīzi aprēķināms</w:t>
            </w: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14:paraId="40C1EB43" w14:textId="77777777" w:rsidR="00CF2172" w:rsidRPr="00CF2172" w:rsidRDefault="00CF2172" w:rsidP="002717DA">
            <w:pPr>
              <w:rPr>
                <w:iCs/>
                <w:sz w:val="23"/>
                <w:szCs w:val="23"/>
                <w:lang w:val="en-US"/>
              </w:rPr>
            </w:pPr>
            <w:r w:rsidRPr="00CF2172">
              <w:rPr>
                <w:sz w:val="23"/>
                <w:szCs w:val="23"/>
              </w:rPr>
              <w:t>Nav precīzi aprēķināms</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A6B36F7" w14:textId="77777777" w:rsidR="00CF2172" w:rsidRPr="00CF2172" w:rsidRDefault="00CF2172" w:rsidP="002717DA">
            <w:pPr>
              <w:rPr>
                <w:iCs/>
                <w:sz w:val="23"/>
                <w:szCs w:val="23"/>
                <w:lang w:val="en-US"/>
              </w:rPr>
            </w:pPr>
            <w:r w:rsidRPr="00CF2172">
              <w:rPr>
                <w:iCs/>
                <w:sz w:val="23"/>
                <w:szCs w:val="23"/>
                <w:lang w:val="en-US"/>
              </w:rPr>
              <w:t> </w:t>
            </w:r>
            <w:r w:rsidRPr="00CF2172">
              <w:rPr>
                <w:sz w:val="23"/>
                <w:szCs w:val="23"/>
              </w:rPr>
              <w:t>Nav precīzi aprēķināms</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E288277" w14:textId="77777777" w:rsidR="00CF2172" w:rsidRPr="00CF2172" w:rsidRDefault="00CF2172" w:rsidP="002717DA">
            <w:pPr>
              <w:rPr>
                <w:iCs/>
                <w:sz w:val="23"/>
                <w:szCs w:val="23"/>
                <w:lang w:val="en-US"/>
              </w:rPr>
            </w:pPr>
            <w:r w:rsidRPr="00CF2172">
              <w:rPr>
                <w:sz w:val="23"/>
                <w:szCs w:val="23"/>
              </w:rPr>
              <w:t>Nav precīzi aprēķināms</w:t>
            </w:r>
          </w:p>
        </w:tc>
        <w:tc>
          <w:tcPr>
            <w:tcW w:w="12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321D5D0" w14:textId="77777777" w:rsidR="00CF2172" w:rsidRPr="00CF2172" w:rsidRDefault="00CF2172" w:rsidP="002717DA">
            <w:pPr>
              <w:rPr>
                <w:iCs/>
                <w:sz w:val="23"/>
                <w:szCs w:val="23"/>
                <w:lang w:val="en-US"/>
              </w:rPr>
            </w:pPr>
            <w:r w:rsidRPr="00CF2172">
              <w:rPr>
                <w:iCs/>
                <w:sz w:val="23"/>
                <w:szCs w:val="23"/>
                <w:lang w:val="en-US"/>
              </w:rPr>
              <w:t> </w:t>
            </w:r>
            <w:r w:rsidRPr="00CF2172">
              <w:rPr>
                <w:sz w:val="23"/>
                <w:szCs w:val="23"/>
              </w:rPr>
              <w:t>Nav precīzi aprēķināms</w:t>
            </w:r>
          </w:p>
        </w:tc>
      </w:tr>
      <w:tr w:rsidR="00CF2172" w:rsidRPr="00CF2172" w14:paraId="1BEBB5A5" w14:textId="77777777" w:rsidTr="00CF2172">
        <w:tc>
          <w:tcPr>
            <w:tcW w:w="1482" w:type="dxa"/>
            <w:tcBorders>
              <w:top w:val="outset" w:sz="6" w:space="0" w:color="000000"/>
              <w:left w:val="outset" w:sz="6" w:space="0" w:color="000000"/>
              <w:bottom w:val="outset" w:sz="6" w:space="0" w:color="000000"/>
              <w:right w:val="outset" w:sz="6" w:space="0" w:color="000000"/>
            </w:tcBorders>
            <w:shd w:val="clear" w:color="auto" w:fill="auto"/>
          </w:tcPr>
          <w:p w14:paraId="3E44881B" w14:textId="77777777" w:rsidR="00CF2172" w:rsidRPr="00CF2172" w:rsidRDefault="00CF2172" w:rsidP="002717DA">
            <w:pPr>
              <w:rPr>
                <w:iCs/>
                <w:sz w:val="28"/>
                <w:szCs w:val="28"/>
              </w:rPr>
            </w:pPr>
            <w:r w:rsidRPr="00CF2172">
              <w:rPr>
                <w:iCs/>
                <w:sz w:val="28"/>
                <w:szCs w:val="28"/>
              </w:rPr>
              <w:t>3.2. speciālais budžets</w:t>
            </w:r>
          </w:p>
        </w:tc>
        <w:tc>
          <w:tcPr>
            <w:tcW w:w="124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62654D7"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7919E8F"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87CC7B6" w14:textId="77777777" w:rsidR="00CF2172" w:rsidRPr="00CF2172" w:rsidRDefault="00CF2172" w:rsidP="002717DA">
            <w:pPr>
              <w:rPr>
                <w:iCs/>
                <w:sz w:val="23"/>
                <w:szCs w:val="23"/>
                <w:lang w:val="en-US"/>
              </w:rPr>
            </w:pPr>
            <w:r w:rsidRPr="00CF2172">
              <w:rPr>
                <w:iCs/>
                <w:sz w:val="23"/>
                <w:szCs w:val="23"/>
                <w:lang w:val="en-US"/>
              </w:rPr>
              <w:t>0 </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606834F"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2E840A6"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304D6B4" w14:textId="77777777" w:rsidR="00CF2172" w:rsidRPr="00CF2172" w:rsidRDefault="00CF2172" w:rsidP="002717DA">
            <w:pPr>
              <w:rPr>
                <w:iCs/>
                <w:sz w:val="23"/>
                <w:szCs w:val="23"/>
                <w:lang w:val="en-US"/>
              </w:rPr>
            </w:pPr>
            <w:r w:rsidRPr="00CF2172">
              <w:rPr>
                <w:iCs/>
                <w:sz w:val="23"/>
                <w:szCs w:val="23"/>
                <w:lang w:val="en-US"/>
              </w:rPr>
              <w:t>0 </w:t>
            </w:r>
          </w:p>
        </w:tc>
        <w:tc>
          <w:tcPr>
            <w:tcW w:w="12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BAD8C4A" w14:textId="77777777" w:rsidR="00CF2172" w:rsidRPr="00CF2172" w:rsidRDefault="00CF2172" w:rsidP="002717DA">
            <w:pPr>
              <w:rPr>
                <w:iCs/>
                <w:sz w:val="23"/>
                <w:szCs w:val="23"/>
                <w:lang w:val="en-US"/>
              </w:rPr>
            </w:pPr>
            <w:r w:rsidRPr="00CF2172">
              <w:rPr>
                <w:iCs/>
                <w:sz w:val="23"/>
                <w:szCs w:val="23"/>
                <w:lang w:val="en-US"/>
              </w:rPr>
              <w:t> 0</w:t>
            </w:r>
          </w:p>
        </w:tc>
      </w:tr>
      <w:tr w:rsidR="00CF2172" w:rsidRPr="00CF2172" w14:paraId="35102095" w14:textId="77777777" w:rsidTr="00CF2172">
        <w:tc>
          <w:tcPr>
            <w:tcW w:w="1482" w:type="dxa"/>
            <w:tcBorders>
              <w:top w:val="outset" w:sz="6" w:space="0" w:color="000000"/>
              <w:left w:val="outset" w:sz="6" w:space="0" w:color="000000"/>
              <w:bottom w:val="outset" w:sz="6" w:space="0" w:color="000000"/>
              <w:right w:val="outset" w:sz="6" w:space="0" w:color="000000"/>
            </w:tcBorders>
            <w:shd w:val="clear" w:color="auto" w:fill="auto"/>
          </w:tcPr>
          <w:p w14:paraId="3CA44EB6" w14:textId="77777777" w:rsidR="00CF2172" w:rsidRPr="00CF2172" w:rsidRDefault="00CF2172" w:rsidP="002717DA">
            <w:pPr>
              <w:rPr>
                <w:iCs/>
                <w:sz w:val="28"/>
                <w:szCs w:val="28"/>
              </w:rPr>
            </w:pPr>
            <w:r w:rsidRPr="00CF2172">
              <w:rPr>
                <w:iCs/>
                <w:sz w:val="28"/>
                <w:szCs w:val="28"/>
              </w:rPr>
              <w:t>3.3. pašvaldību budžets</w:t>
            </w:r>
          </w:p>
        </w:tc>
        <w:tc>
          <w:tcPr>
            <w:tcW w:w="124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66C78CF"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A6344C4"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D51C316"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4B5D917"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F5626BE" w14:textId="77777777" w:rsidR="00CF2172" w:rsidRPr="00CF2172" w:rsidRDefault="00CF2172" w:rsidP="002717DA">
            <w:pPr>
              <w:rPr>
                <w:iCs/>
                <w:sz w:val="23"/>
                <w:szCs w:val="23"/>
                <w:lang w:val="en-US"/>
              </w:rPr>
            </w:pPr>
            <w:r w:rsidRPr="00CF2172">
              <w:rPr>
                <w:iCs/>
                <w:sz w:val="23"/>
                <w:szCs w:val="23"/>
                <w:lang w:val="en-US"/>
              </w:rPr>
              <w:t> 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7190345" w14:textId="77777777" w:rsidR="00CF2172" w:rsidRPr="00CF2172" w:rsidRDefault="00CF2172" w:rsidP="002717DA">
            <w:pPr>
              <w:rPr>
                <w:iCs/>
                <w:sz w:val="23"/>
                <w:szCs w:val="23"/>
                <w:lang w:val="en-US"/>
              </w:rPr>
            </w:pPr>
            <w:r w:rsidRPr="00CF2172">
              <w:rPr>
                <w:iCs/>
                <w:sz w:val="23"/>
                <w:szCs w:val="23"/>
                <w:lang w:val="en-US"/>
              </w:rPr>
              <w:t> 0</w:t>
            </w:r>
          </w:p>
        </w:tc>
        <w:tc>
          <w:tcPr>
            <w:tcW w:w="12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59F230B" w14:textId="77777777" w:rsidR="00CF2172" w:rsidRPr="00CF2172" w:rsidRDefault="00CF2172" w:rsidP="002717DA">
            <w:pPr>
              <w:rPr>
                <w:iCs/>
                <w:sz w:val="23"/>
                <w:szCs w:val="23"/>
                <w:lang w:val="en-US"/>
              </w:rPr>
            </w:pPr>
            <w:r w:rsidRPr="00CF2172">
              <w:rPr>
                <w:iCs/>
                <w:sz w:val="23"/>
                <w:szCs w:val="23"/>
                <w:lang w:val="en-US"/>
              </w:rPr>
              <w:t> 0</w:t>
            </w:r>
          </w:p>
        </w:tc>
      </w:tr>
      <w:tr w:rsidR="00CF2172" w:rsidRPr="00CF2172" w14:paraId="4FFE1901" w14:textId="77777777" w:rsidTr="00CF2172">
        <w:tc>
          <w:tcPr>
            <w:tcW w:w="1482" w:type="dxa"/>
            <w:tcBorders>
              <w:top w:val="outset" w:sz="6" w:space="0" w:color="000000"/>
              <w:left w:val="outset" w:sz="6" w:space="0" w:color="000000"/>
              <w:bottom w:val="outset" w:sz="6" w:space="0" w:color="000000"/>
              <w:right w:val="outset" w:sz="6" w:space="0" w:color="000000"/>
            </w:tcBorders>
            <w:shd w:val="clear" w:color="auto" w:fill="auto"/>
          </w:tcPr>
          <w:p w14:paraId="46BEC7D3" w14:textId="77777777" w:rsidR="00CF2172" w:rsidRPr="00CF2172" w:rsidRDefault="00CF2172" w:rsidP="002717DA">
            <w:pPr>
              <w:rPr>
                <w:iCs/>
                <w:sz w:val="28"/>
                <w:szCs w:val="28"/>
              </w:rPr>
            </w:pPr>
            <w:r w:rsidRPr="00CF2172">
              <w:rPr>
                <w:iCs/>
                <w:sz w:val="28"/>
                <w:szCs w:val="28"/>
              </w:rPr>
              <w:t>4. Finanšu līdzekļi papildu izdevumu finansēšanai (kompensējošu izdevumu samazinājumu norāda ar "+" zīmi)</w:t>
            </w:r>
          </w:p>
        </w:tc>
        <w:tc>
          <w:tcPr>
            <w:tcW w:w="124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004BF5F" w14:textId="77777777" w:rsidR="00CF2172" w:rsidRPr="00CF2172" w:rsidRDefault="00CF2172" w:rsidP="002717DA">
            <w:pPr>
              <w:jc w:val="center"/>
              <w:rPr>
                <w:iCs/>
                <w:sz w:val="23"/>
                <w:szCs w:val="23"/>
              </w:rPr>
            </w:pPr>
            <w:r w:rsidRPr="00CF2172">
              <w:rPr>
                <w:iCs/>
                <w:sz w:val="23"/>
                <w:szCs w:val="23"/>
              </w:rPr>
              <w:t>X</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12E718E" w14:textId="77777777" w:rsidR="00CF2172" w:rsidRPr="00CF2172" w:rsidRDefault="00CF2172" w:rsidP="002717DA">
            <w:pPr>
              <w:jc w:val="center"/>
              <w:rPr>
                <w:iCs/>
                <w:sz w:val="23"/>
                <w:szCs w:val="23"/>
                <w:lang w:val="en-US"/>
              </w:rPr>
            </w:pP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DC750D2" w14:textId="77777777" w:rsidR="00CF2172" w:rsidRPr="00CF2172" w:rsidRDefault="00CF2172" w:rsidP="002717DA">
            <w:pPr>
              <w:jc w:val="center"/>
              <w:rPr>
                <w:iCs/>
                <w:sz w:val="23"/>
                <w:szCs w:val="23"/>
                <w:lang w:val="en-US"/>
              </w:rPr>
            </w:pPr>
            <w:r w:rsidRPr="00CF2172">
              <w:rPr>
                <w:iCs/>
                <w:sz w:val="23"/>
                <w:szCs w:val="23"/>
                <w:lang w:val="en-US"/>
              </w:rPr>
              <w:t>X</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2744210" w14:textId="77777777" w:rsidR="00CF2172" w:rsidRPr="00CF2172" w:rsidRDefault="00CF2172" w:rsidP="002717DA">
            <w:pPr>
              <w:jc w:val="center"/>
              <w:rPr>
                <w:iCs/>
                <w:sz w:val="23"/>
                <w:szCs w:val="23"/>
                <w:lang w:val="en-US"/>
              </w:rPr>
            </w:pP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1171503" w14:textId="77777777" w:rsidR="00CF2172" w:rsidRPr="00CF2172" w:rsidRDefault="00CF2172" w:rsidP="002717DA">
            <w:pPr>
              <w:jc w:val="center"/>
              <w:rPr>
                <w:iCs/>
                <w:sz w:val="23"/>
                <w:szCs w:val="23"/>
                <w:lang w:val="en-US"/>
              </w:rPr>
            </w:pPr>
            <w:r w:rsidRPr="00CF2172">
              <w:rPr>
                <w:iCs/>
                <w:sz w:val="23"/>
                <w:szCs w:val="23"/>
                <w:lang w:val="en-US"/>
              </w:rPr>
              <w:t>X</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D8DEC95" w14:textId="77777777" w:rsidR="00CF2172" w:rsidRPr="00CF2172" w:rsidRDefault="00CF2172" w:rsidP="002717DA">
            <w:pPr>
              <w:rPr>
                <w:iCs/>
                <w:sz w:val="23"/>
                <w:szCs w:val="23"/>
                <w:lang w:val="en-US"/>
              </w:rPr>
            </w:pPr>
            <w:r w:rsidRPr="00CF2172">
              <w:rPr>
                <w:iCs/>
                <w:sz w:val="23"/>
                <w:szCs w:val="23"/>
                <w:lang w:val="en-US"/>
              </w:rPr>
              <w:t> </w:t>
            </w:r>
          </w:p>
        </w:tc>
        <w:tc>
          <w:tcPr>
            <w:tcW w:w="12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8B9EE77" w14:textId="77777777" w:rsidR="00CF2172" w:rsidRPr="00CF2172" w:rsidRDefault="00CF2172" w:rsidP="002717DA">
            <w:pPr>
              <w:rPr>
                <w:iCs/>
                <w:sz w:val="23"/>
                <w:szCs w:val="23"/>
                <w:lang w:val="en-US"/>
              </w:rPr>
            </w:pPr>
            <w:r w:rsidRPr="00CF2172">
              <w:rPr>
                <w:iCs/>
                <w:sz w:val="23"/>
                <w:szCs w:val="23"/>
                <w:lang w:val="en-US"/>
              </w:rPr>
              <w:t> </w:t>
            </w:r>
          </w:p>
        </w:tc>
      </w:tr>
      <w:tr w:rsidR="00CF2172" w:rsidRPr="00CF2172" w14:paraId="1C51B708" w14:textId="77777777" w:rsidTr="00CF2172">
        <w:tc>
          <w:tcPr>
            <w:tcW w:w="1482" w:type="dxa"/>
            <w:tcBorders>
              <w:top w:val="outset" w:sz="6" w:space="0" w:color="000000"/>
              <w:left w:val="outset" w:sz="6" w:space="0" w:color="000000"/>
              <w:bottom w:val="outset" w:sz="6" w:space="0" w:color="000000"/>
              <w:right w:val="outset" w:sz="6" w:space="0" w:color="000000"/>
            </w:tcBorders>
            <w:shd w:val="clear" w:color="auto" w:fill="auto"/>
          </w:tcPr>
          <w:p w14:paraId="62122A08" w14:textId="77777777" w:rsidR="00CF2172" w:rsidRPr="00CF2172" w:rsidRDefault="00CF2172" w:rsidP="002717DA">
            <w:pPr>
              <w:rPr>
                <w:iCs/>
                <w:sz w:val="28"/>
                <w:szCs w:val="28"/>
              </w:rPr>
            </w:pPr>
            <w:r w:rsidRPr="00CF2172">
              <w:rPr>
                <w:iCs/>
                <w:sz w:val="28"/>
                <w:szCs w:val="28"/>
              </w:rPr>
              <w:t>5. Precizēta finansiālā ietekme</w:t>
            </w:r>
          </w:p>
        </w:tc>
        <w:tc>
          <w:tcPr>
            <w:tcW w:w="1249"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6DE3599B" w14:textId="77777777" w:rsidR="00CF2172" w:rsidRPr="00CF2172" w:rsidRDefault="00CF2172" w:rsidP="002717DA">
            <w:pPr>
              <w:jc w:val="center"/>
              <w:rPr>
                <w:iCs/>
                <w:sz w:val="23"/>
                <w:szCs w:val="23"/>
                <w:lang w:val="en-US"/>
              </w:rPr>
            </w:pPr>
          </w:p>
          <w:p w14:paraId="45F1944E" w14:textId="77777777" w:rsidR="00CF2172" w:rsidRPr="00CF2172" w:rsidRDefault="00CF2172" w:rsidP="002717DA">
            <w:pPr>
              <w:jc w:val="center"/>
              <w:rPr>
                <w:iCs/>
                <w:sz w:val="23"/>
                <w:szCs w:val="23"/>
              </w:rPr>
            </w:pPr>
          </w:p>
          <w:p w14:paraId="5FD35E0F" w14:textId="77777777" w:rsidR="00CF2172" w:rsidRPr="00CF2172" w:rsidRDefault="00CF2172" w:rsidP="002717DA">
            <w:pPr>
              <w:jc w:val="center"/>
              <w:rPr>
                <w:iCs/>
                <w:sz w:val="23"/>
                <w:szCs w:val="23"/>
              </w:rPr>
            </w:pPr>
          </w:p>
          <w:p w14:paraId="4ACC4A9A" w14:textId="77777777" w:rsidR="00CF2172" w:rsidRPr="00CF2172" w:rsidRDefault="00CF2172" w:rsidP="002717DA">
            <w:pPr>
              <w:jc w:val="center"/>
              <w:rPr>
                <w:iCs/>
                <w:sz w:val="23"/>
                <w:szCs w:val="23"/>
              </w:rPr>
            </w:pPr>
          </w:p>
          <w:p w14:paraId="1A56D807" w14:textId="77777777" w:rsidR="00CF2172" w:rsidRPr="00CF2172" w:rsidRDefault="00CF2172" w:rsidP="002717DA">
            <w:pPr>
              <w:jc w:val="center"/>
              <w:rPr>
                <w:iCs/>
                <w:sz w:val="23"/>
                <w:szCs w:val="23"/>
              </w:rPr>
            </w:pPr>
          </w:p>
          <w:p w14:paraId="10AA5578" w14:textId="77777777" w:rsidR="00CF2172" w:rsidRPr="00CF2172" w:rsidRDefault="00CF2172" w:rsidP="002717DA">
            <w:pPr>
              <w:jc w:val="center"/>
              <w:rPr>
                <w:iCs/>
                <w:sz w:val="23"/>
                <w:szCs w:val="23"/>
              </w:rPr>
            </w:pPr>
            <w:r w:rsidRPr="00CF2172">
              <w:rPr>
                <w:iCs/>
                <w:sz w:val="23"/>
                <w:szCs w:val="23"/>
              </w:rPr>
              <w:t>X</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19D96A9" w14:textId="77777777" w:rsidR="00CF2172" w:rsidRPr="00CF2172" w:rsidRDefault="00CF2172" w:rsidP="002717DA">
            <w:pPr>
              <w:rPr>
                <w:iCs/>
                <w:sz w:val="23"/>
                <w:szCs w:val="23"/>
                <w:lang w:val="en-US"/>
              </w:rPr>
            </w:pPr>
            <w:r w:rsidRPr="00CF2172">
              <w:rPr>
                <w:sz w:val="23"/>
                <w:szCs w:val="23"/>
              </w:rPr>
              <w:t>Nav precīzi aprēķināms</w:t>
            </w:r>
          </w:p>
        </w:tc>
        <w:tc>
          <w:tcPr>
            <w:tcW w:w="1134"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45A9C8D5" w14:textId="77777777" w:rsidR="00CF2172" w:rsidRPr="00CF2172" w:rsidRDefault="00CF2172" w:rsidP="002717DA">
            <w:pPr>
              <w:jc w:val="center"/>
              <w:rPr>
                <w:iCs/>
                <w:sz w:val="23"/>
                <w:szCs w:val="23"/>
                <w:lang w:val="en-US"/>
              </w:rPr>
            </w:pPr>
          </w:p>
          <w:p w14:paraId="1D8A5B8A" w14:textId="77777777" w:rsidR="00CF2172" w:rsidRPr="00CF2172" w:rsidRDefault="00CF2172" w:rsidP="002717DA">
            <w:pPr>
              <w:jc w:val="center"/>
              <w:rPr>
                <w:iCs/>
                <w:sz w:val="23"/>
                <w:szCs w:val="23"/>
                <w:lang w:val="en-US"/>
              </w:rPr>
            </w:pPr>
          </w:p>
          <w:p w14:paraId="5FE66D89" w14:textId="77777777" w:rsidR="00CF2172" w:rsidRPr="00CF2172" w:rsidRDefault="00CF2172" w:rsidP="002717DA">
            <w:pPr>
              <w:jc w:val="center"/>
              <w:rPr>
                <w:iCs/>
                <w:sz w:val="23"/>
                <w:szCs w:val="23"/>
                <w:lang w:val="en-US"/>
              </w:rPr>
            </w:pPr>
          </w:p>
          <w:p w14:paraId="260507A6" w14:textId="77777777" w:rsidR="00CF2172" w:rsidRPr="00CF2172" w:rsidRDefault="00CF2172" w:rsidP="002717DA">
            <w:pPr>
              <w:jc w:val="center"/>
              <w:rPr>
                <w:iCs/>
                <w:sz w:val="23"/>
                <w:szCs w:val="23"/>
                <w:lang w:val="en-US"/>
              </w:rPr>
            </w:pPr>
          </w:p>
          <w:p w14:paraId="2A032DD8" w14:textId="77777777" w:rsidR="00CF2172" w:rsidRPr="00CF2172" w:rsidRDefault="00CF2172" w:rsidP="002717DA">
            <w:pPr>
              <w:jc w:val="center"/>
              <w:rPr>
                <w:iCs/>
                <w:sz w:val="23"/>
                <w:szCs w:val="23"/>
                <w:lang w:val="en-US"/>
              </w:rPr>
            </w:pPr>
          </w:p>
          <w:p w14:paraId="57027655" w14:textId="77777777" w:rsidR="00CF2172" w:rsidRPr="00CF2172" w:rsidRDefault="00CF2172" w:rsidP="002717DA">
            <w:pPr>
              <w:jc w:val="center"/>
              <w:rPr>
                <w:iCs/>
                <w:sz w:val="23"/>
                <w:szCs w:val="23"/>
                <w:lang w:val="en-US"/>
              </w:rPr>
            </w:pPr>
            <w:r w:rsidRPr="00CF2172">
              <w:rPr>
                <w:iCs/>
                <w:sz w:val="23"/>
                <w:szCs w:val="23"/>
                <w:lang w:val="en-US"/>
              </w:rPr>
              <w:t>X</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48283EE" w14:textId="77777777" w:rsidR="00CF2172" w:rsidRPr="00CF2172" w:rsidRDefault="00CF2172" w:rsidP="002717DA">
            <w:pPr>
              <w:rPr>
                <w:iCs/>
                <w:sz w:val="23"/>
                <w:szCs w:val="23"/>
                <w:lang w:val="en-US"/>
              </w:rPr>
            </w:pPr>
            <w:r w:rsidRPr="00CF2172">
              <w:rPr>
                <w:sz w:val="23"/>
                <w:szCs w:val="23"/>
              </w:rPr>
              <w:t>Nav precīzi aprēķināms</w:t>
            </w:r>
          </w:p>
        </w:tc>
        <w:tc>
          <w:tcPr>
            <w:tcW w:w="1134"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6E0C0E43" w14:textId="77777777" w:rsidR="00CF2172" w:rsidRPr="00CF2172" w:rsidRDefault="00CF2172" w:rsidP="002717DA">
            <w:pPr>
              <w:jc w:val="center"/>
              <w:rPr>
                <w:iCs/>
                <w:sz w:val="23"/>
                <w:szCs w:val="23"/>
                <w:lang w:val="en-US"/>
              </w:rPr>
            </w:pPr>
          </w:p>
          <w:p w14:paraId="5F8C0125" w14:textId="77777777" w:rsidR="00CF2172" w:rsidRPr="00CF2172" w:rsidRDefault="00CF2172" w:rsidP="002717DA">
            <w:pPr>
              <w:jc w:val="center"/>
              <w:rPr>
                <w:iCs/>
                <w:sz w:val="23"/>
                <w:szCs w:val="23"/>
                <w:lang w:val="en-US"/>
              </w:rPr>
            </w:pPr>
          </w:p>
          <w:p w14:paraId="1914DC5C" w14:textId="77777777" w:rsidR="00CF2172" w:rsidRPr="00CF2172" w:rsidRDefault="00CF2172" w:rsidP="002717DA">
            <w:pPr>
              <w:jc w:val="center"/>
              <w:rPr>
                <w:iCs/>
                <w:sz w:val="23"/>
                <w:szCs w:val="23"/>
                <w:lang w:val="en-US"/>
              </w:rPr>
            </w:pPr>
          </w:p>
          <w:p w14:paraId="505668D2" w14:textId="77777777" w:rsidR="00CF2172" w:rsidRPr="00CF2172" w:rsidRDefault="00CF2172" w:rsidP="002717DA">
            <w:pPr>
              <w:jc w:val="center"/>
              <w:rPr>
                <w:iCs/>
                <w:sz w:val="23"/>
                <w:szCs w:val="23"/>
                <w:lang w:val="en-US"/>
              </w:rPr>
            </w:pPr>
          </w:p>
          <w:p w14:paraId="1E00315C" w14:textId="77777777" w:rsidR="00CF2172" w:rsidRPr="00CF2172" w:rsidRDefault="00CF2172" w:rsidP="002717DA">
            <w:pPr>
              <w:jc w:val="center"/>
              <w:rPr>
                <w:iCs/>
                <w:sz w:val="23"/>
                <w:szCs w:val="23"/>
                <w:lang w:val="en-US"/>
              </w:rPr>
            </w:pPr>
          </w:p>
          <w:p w14:paraId="08724D93" w14:textId="77777777" w:rsidR="00CF2172" w:rsidRPr="00CF2172" w:rsidRDefault="00CF2172" w:rsidP="002717DA">
            <w:pPr>
              <w:jc w:val="center"/>
              <w:rPr>
                <w:iCs/>
                <w:sz w:val="23"/>
                <w:szCs w:val="23"/>
                <w:lang w:val="en-US"/>
              </w:rPr>
            </w:pPr>
            <w:r w:rsidRPr="00CF2172">
              <w:rPr>
                <w:iCs/>
                <w:sz w:val="23"/>
                <w:szCs w:val="23"/>
                <w:lang w:val="en-US"/>
              </w:rPr>
              <w:t>X</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416A7E4" w14:textId="77777777" w:rsidR="00CF2172" w:rsidRPr="00CF2172" w:rsidRDefault="00CF2172" w:rsidP="002717DA">
            <w:pPr>
              <w:rPr>
                <w:iCs/>
                <w:sz w:val="23"/>
                <w:szCs w:val="23"/>
                <w:lang w:val="en-US"/>
              </w:rPr>
            </w:pPr>
            <w:r w:rsidRPr="00CF2172">
              <w:rPr>
                <w:iCs/>
                <w:sz w:val="23"/>
                <w:szCs w:val="23"/>
                <w:lang w:val="en-US"/>
              </w:rPr>
              <w:t> </w:t>
            </w:r>
            <w:r w:rsidRPr="00CF2172">
              <w:rPr>
                <w:sz w:val="23"/>
                <w:szCs w:val="23"/>
              </w:rPr>
              <w:t>Nav precīzi aprēķināms</w:t>
            </w:r>
          </w:p>
        </w:tc>
        <w:tc>
          <w:tcPr>
            <w:tcW w:w="12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433A51B" w14:textId="77777777" w:rsidR="00CF2172" w:rsidRPr="00CF2172" w:rsidRDefault="00CF2172" w:rsidP="002717DA">
            <w:pPr>
              <w:rPr>
                <w:iCs/>
                <w:sz w:val="23"/>
                <w:szCs w:val="23"/>
                <w:lang w:val="en-US"/>
              </w:rPr>
            </w:pPr>
            <w:r w:rsidRPr="00CF2172">
              <w:rPr>
                <w:iCs/>
                <w:sz w:val="23"/>
                <w:szCs w:val="23"/>
                <w:lang w:val="en-US"/>
              </w:rPr>
              <w:t> </w:t>
            </w:r>
            <w:r w:rsidRPr="00CF2172">
              <w:rPr>
                <w:sz w:val="23"/>
                <w:szCs w:val="23"/>
              </w:rPr>
              <w:t>Nav precīzi aprēķināms</w:t>
            </w:r>
          </w:p>
        </w:tc>
      </w:tr>
      <w:tr w:rsidR="00CF2172" w:rsidRPr="00CF2172" w14:paraId="28D5A31C" w14:textId="77777777" w:rsidTr="00CF2172">
        <w:tc>
          <w:tcPr>
            <w:tcW w:w="1482" w:type="dxa"/>
            <w:tcBorders>
              <w:top w:val="outset" w:sz="6" w:space="0" w:color="000000"/>
              <w:left w:val="outset" w:sz="6" w:space="0" w:color="000000"/>
              <w:bottom w:val="outset" w:sz="6" w:space="0" w:color="000000"/>
              <w:right w:val="outset" w:sz="6" w:space="0" w:color="000000"/>
            </w:tcBorders>
            <w:shd w:val="clear" w:color="auto" w:fill="auto"/>
          </w:tcPr>
          <w:p w14:paraId="05E7668E" w14:textId="77777777" w:rsidR="00CF2172" w:rsidRPr="00CF2172" w:rsidRDefault="00CF2172" w:rsidP="002717DA">
            <w:pPr>
              <w:rPr>
                <w:iCs/>
                <w:sz w:val="28"/>
                <w:szCs w:val="28"/>
              </w:rPr>
            </w:pPr>
            <w:r w:rsidRPr="00CF2172">
              <w:rPr>
                <w:iCs/>
                <w:sz w:val="28"/>
                <w:szCs w:val="28"/>
              </w:rPr>
              <w:t>5.1. valsts pamatbudžets</w:t>
            </w:r>
          </w:p>
        </w:tc>
        <w:tc>
          <w:tcPr>
            <w:tcW w:w="1249"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1956155A" w14:textId="77777777" w:rsidR="00CF2172" w:rsidRPr="00CF2172" w:rsidRDefault="00CF2172" w:rsidP="002717DA">
            <w:pPr>
              <w:rPr>
                <w:iCs/>
                <w:sz w:val="23"/>
                <w:szCs w:val="23"/>
                <w:lang w:val="en-US"/>
              </w:rPr>
            </w:pP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67DE747" w14:textId="77777777" w:rsidR="00CF2172" w:rsidRPr="00CF2172" w:rsidRDefault="00CF2172" w:rsidP="002717DA">
            <w:pPr>
              <w:rPr>
                <w:iCs/>
                <w:sz w:val="23"/>
                <w:szCs w:val="23"/>
                <w:lang w:val="en-US"/>
              </w:rPr>
            </w:pPr>
            <w:r w:rsidRPr="00CF2172">
              <w:rPr>
                <w:sz w:val="23"/>
                <w:szCs w:val="23"/>
              </w:rPr>
              <w:t>Nav precīzi aprēķināms</w:t>
            </w:r>
          </w:p>
        </w:tc>
        <w:tc>
          <w:tcPr>
            <w:tcW w:w="113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771E5081" w14:textId="77777777" w:rsidR="00CF2172" w:rsidRPr="00CF2172" w:rsidRDefault="00CF2172" w:rsidP="002717DA">
            <w:pPr>
              <w:rPr>
                <w:iCs/>
                <w:sz w:val="23"/>
                <w:szCs w:val="23"/>
                <w:lang w:val="en-US"/>
              </w:rPr>
            </w:pP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1034A2A" w14:textId="77777777" w:rsidR="00CF2172" w:rsidRPr="00CF2172" w:rsidRDefault="00CF2172" w:rsidP="002717DA">
            <w:pPr>
              <w:rPr>
                <w:iCs/>
                <w:sz w:val="23"/>
                <w:szCs w:val="23"/>
                <w:lang w:val="en-US"/>
              </w:rPr>
            </w:pPr>
            <w:r w:rsidRPr="00CF2172">
              <w:rPr>
                <w:sz w:val="23"/>
                <w:szCs w:val="23"/>
              </w:rPr>
              <w:t>Nav precīzi aprēķināms</w:t>
            </w:r>
          </w:p>
        </w:tc>
        <w:tc>
          <w:tcPr>
            <w:tcW w:w="113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56411D46" w14:textId="77777777" w:rsidR="00CF2172" w:rsidRPr="00CF2172" w:rsidRDefault="00CF2172" w:rsidP="002717DA">
            <w:pPr>
              <w:rPr>
                <w:iCs/>
                <w:sz w:val="23"/>
                <w:szCs w:val="23"/>
                <w:lang w:val="en-US"/>
              </w:rPr>
            </w:pP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B0CF57A" w14:textId="77777777" w:rsidR="00CF2172" w:rsidRPr="00CF2172" w:rsidRDefault="00CF2172" w:rsidP="002717DA">
            <w:pPr>
              <w:rPr>
                <w:iCs/>
                <w:sz w:val="23"/>
                <w:szCs w:val="23"/>
                <w:lang w:val="en-US"/>
              </w:rPr>
            </w:pPr>
            <w:r w:rsidRPr="00CF2172">
              <w:rPr>
                <w:sz w:val="23"/>
                <w:szCs w:val="23"/>
              </w:rPr>
              <w:t>Nav precīzi aprēķināms</w:t>
            </w:r>
          </w:p>
        </w:tc>
        <w:tc>
          <w:tcPr>
            <w:tcW w:w="12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B320423" w14:textId="77777777" w:rsidR="00CF2172" w:rsidRPr="00CF2172" w:rsidRDefault="00CF2172" w:rsidP="002717DA">
            <w:pPr>
              <w:rPr>
                <w:iCs/>
                <w:sz w:val="23"/>
                <w:szCs w:val="23"/>
                <w:lang w:val="en-US"/>
              </w:rPr>
            </w:pPr>
            <w:r w:rsidRPr="00CF2172">
              <w:rPr>
                <w:sz w:val="23"/>
                <w:szCs w:val="23"/>
              </w:rPr>
              <w:t>Nav precīzi aprēķināms</w:t>
            </w:r>
          </w:p>
        </w:tc>
      </w:tr>
      <w:tr w:rsidR="00CF2172" w:rsidRPr="00CF2172" w14:paraId="25E1B11D" w14:textId="77777777" w:rsidTr="00CF2172">
        <w:tc>
          <w:tcPr>
            <w:tcW w:w="1482" w:type="dxa"/>
            <w:tcBorders>
              <w:top w:val="outset" w:sz="6" w:space="0" w:color="000000"/>
              <w:left w:val="outset" w:sz="6" w:space="0" w:color="000000"/>
              <w:bottom w:val="outset" w:sz="6" w:space="0" w:color="000000"/>
              <w:right w:val="outset" w:sz="6" w:space="0" w:color="000000"/>
            </w:tcBorders>
            <w:shd w:val="clear" w:color="auto" w:fill="auto"/>
          </w:tcPr>
          <w:p w14:paraId="26DF2E55" w14:textId="77777777" w:rsidR="00CF2172" w:rsidRPr="00CF2172" w:rsidRDefault="00CF2172" w:rsidP="002717DA">
            <w:pPr>
              <w:rPr>
                <w:iCs/>
                <w:sz w:val="28"/>
                <w:szCs w:val="28"/>
              </w:rPr>
            </w:pPr>
            <w:r w:rsidRPr="00CF2172">
              <w:rPr>
                <w:iCs/>
                <w:sz w:val="28"/>
                <w:szCs w:val="28"/>
              </w:rPr>
              <w:t>5.2. speciālais budžets</w:t>
            </w:r>
          </w:p>
        </w:tc>
        <w:tc>
          <w:tcPr>
            <w:tcW w:w="1249"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5B013F74" w14:textId="77777777" w:rsidR="00CF2172" w:rsidRPr="00CF2172" w:rsidRDefault="00CF2172" w:rsidP="002717DA">
            <w:pPr>
              <w:rPr>
                <w:iCs/>
                <w:sz w:val="23"/>
                <w:szCs w:val="23"/>
                <w:lang w:val="en-US"/>
              </w:rPr>
            </w:pP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9EC3768" w14:textId="77777777" w:rsidR="00CF2172" w:rsidRPr="00CF2172" w:rsidRDefault="00CF2172" w:rsidP="002717DA">
            <w:pPr>
              <w:rPr>
                <w:iCs/>
                <w:sz w:val="23"/>
                <w:szCs w:val="23"/>
                <w:lang w:val="en-US"/>
              </w:rPr>
            </w:pPr>
            <w:r w:rsidRPr="00CF2172">
              <w:rPr>
                <w:iCs/>
                <w:sz w:val="23"/>
                <w:szCs w:val="23"/>
                <w:lang w:val="en-US"/>
              </w:rPr>
              <w:t> 0</w:t>
            </w:r>
          </w:p>
        </w:tc>
        <w:tc>
          <w:tcPr>
            <w:tcW w:w="113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56166AB2" w14:textId="77777777" w:rsidR="00CF2172" w:rsidRPr="00CF2172" w:rsidRDefault="00CF2172" w:rsidP="002717DA">
            <w:pPr>
              <w:rPr>
                <w:iCs/>
                <w:sz w:val="23"/>
                <w:szCs w:val="23"/>
                <w:lang w:val="en-US"/>
              </w:rPr>
            </w:pP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508074E" w14:textId="77777777" w:rsidR="00CF2172" w:rsidRPr="00CF2172" w:rsidRDefault="00CF2172" w:rsidP="002717DA">
            <w:pPr>
              <w:rPr>
                <w:iCs/>
                <w:sz w:val="23"/>
                <w:szCs w:val="23"/>
                <w:lang w:val="en-US"/>
              </w:rPr>
            </w:pPr>
            <w:r w:rsidRPr="00CF2172">
              <w:rPr>
                <w:iCs/>
                <w:sz w:val="23"/>
                <w:szCs w:val="23"/>
                <w:lang w:val="en-US"/>
              </w:rPr>
              <w:t> 0</w:t>
            </w:r>
          </w:p>
        </w:tc>
        <w:tc>
          <w:tcPr>
            <w:tcW w:w="113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100D109C" w14:textId="77777777" w:rsidR="00CF2172" w:rsidRPr="00CF2172" w:rsidRDefault="00CF2172" w:rsidP="002717DA">
            <w:pPr>
              <w:rPr>
                <w:iCs/>
                <w:sz w:val="23"/>
                <w:szCs w:val="23"/>
                <w:lang w:val="en-US"/>
              </w:rPr>
            </w:pP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042D8E8" w14:textId="77777777" w:rsidR="00CF2172" w:rsidRPr="00CF2172" w:rsidRDefault="00CF2172" w:rsidP="002717DA">
            <w:pPr>
              <w:rPr>
                <w:iCs/>
                <w:sz w:val="23"/>
                <w:szCs w:val="23"/>
                <w:lang w:val="en-US"/>
              </w:rPr>
            </w:pPr>
            <w:r w:rsidRPr="00CF2172">
              <w:rPr>
                <w:iCs/>
                <w:sz w:val="23"/>
                <w:szCs w:val="23"/>
                <w:lang w:val="en-US"/>
              </w:rPr>
              <w:t> 0</w:t>
            </w:r>
          </w:p>
        </w:tc>
        <w:tc>
          <w:tcPr>
            <w:tcW w:w="12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F882ADF" w14:textId="77777777" w:rsidR="00CF2172" w:rsidRPr="00CF2172" w:rsidRDefault="00CF2172" w:rsidP="002717DA">
            <w:pPr>
              <w:rPr>
                <w:iCs/>
                <w:sz w:val="23"/>
                <w:szCs w:val="23"/>
                <w:lang w:val="en-US"/>
              </w:rPr>
            </w:pPr>
            <w:r w:rsidRPr="00CF2172">
              <w:rPr>
                <w:iCs/>
                <w:sz w:val="23"/>
                <w:szCs w:val="23"/>
                <w:lang w:val="en-US"/>
              </w:rPr>
              <w:t> 0</w:t>
            </w:r>
          </w:p>
        </w:tc>
      </w:tr>
      <w:tr w:rsidR="00CF2172" w:rsidRPr="00CF2172" w14:paraId="26C7FF0D" w14:textId="77777777" w:rsidTr="00CF2172">
        <w:tc>
          <w:tcPr>
            <w:tcW w:w="1482" w:type="dxa"/>
            <w:tcBorders>
              <w:top w:val="outset" w:sz="6" w:space="0" w:color="000000"/>
              <w:left w:val="outset" w:sz="6" w:space="0" w:color="000000"/>
              <w:bottom w:val="outset" w:sz="6" w:space="0" w:color="000000"/>
              <w:right w:val="outset" w:sz="6" w:space="0" w:color="000000"/>
            </w:tcBorders>
            <w:shd w:val="clear" w:color="auto" w:fill="auto"/>
          </w:tcPr>
          <w:p w14:paraId="5E546200" w14:textId="77777777" w:rsidR="00CF2172" w:rsidRPr="00CF2172" w:rsidRDefault="00CF2172" w:rsidP="002717DA">
            <w:pPr>
              <w:rPr>
                <w:iCs/>
                <w:sz w:val="28"/>
                <w:szCs w:val="28"/>
              </w:rPr>
            </w:pPr>
            <w:r w:rsidRPr="00CF2172">
              <w:rPr>
                <w:iCs/>
                <w:sz w:val="28"/>
                <w:szCs w:val="28"/>
              </w:rPr>
              <w:t>5.3. pašvaldību budžets</w:t>
            </w:r>
          </w:p>
        </w:tc>
        <w:tc>
          <w:tcPr>
            <w:tcW w:w="1249"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66408A3E" w14:textId="77777777" w:rsidR="00CF2172" w:rsidRPr="00CF2172" w:rsidRDefault="00CF2172" w:rsidP="002717DA">
            <w:pPr>
              <w:rPr>
                <w:iCs/>
                <w:sz w:val="23"/>
                <w:szCs w:val="23"/>
                <w:lang w:val="en-US"/>
              </w:rPr>
            </w:pP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5044A1C" w14:textId="77777777" w:rsidR="00CF2172" w:rsidRPr="00CF2172" w:rsidRDefault="00CF2172" w:rsidP="002717DA">
            <w:pPr>
              <w:rPr>
                <w:iCs/>
                <w:sz w:val="23"/>
                <w:szCs w:val="23"/>
                <w:lang w:val="en-US"/>
              </w:rPr>
            </w:pPr>
            <w:r w:rsidRPr="00CF2172">
              <w:rPr>
                <w:iCs/>
                <w:sz w:val="23"/>
                <w:szCs w:val="23"/>
                <w:lang w:val="en-US"/>
              </w:rPr>
              <w:t> 0</w:t>
            </w:r>
          </w:p>
        </w:tc>
        <w:tc>
          <w:tcPr>
            <w:tcW w:w="113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209BE8FE" w14:textId="77777777" w:rsidR="00CF2172" w:rsidRPr="00CF2172" w:rsidRDefault="00CF2172" w:rsidP="002717DA">
            <w:pPr>
              <w:rPr>
                <w:iCs/>
                <w:sz w:val="23"/>
                <w:szCs w:val="23"/>
                <w:lang w:val="en-US"/>
              </w:rPr>
            </w:pP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846236E" w14:textId="77777777" w:rsidR="00CF2172" w:rsidRPr="00CF2172" w:rsidRDefault="00CF2172" w:rsidP="002717DA">
            <w:pPr>
              <w:rPr>
                <w:iCs/>
                <w:sz w:val="23"/>
                <w:szCs w:val="23"/>
                <w:lang w:val="en-US"/>
              </w:rPr>
            </w:pPr>
            <w:r w:rsidRPr="00CF2172">
              <w:rPr>
                <w:iCs/>
                <w:sz w:val="23"/>
                <w:szCs w:val="23"/>
                <w:lang w:val="en-US"/>
              </w:rPr>
              <w:t> 0</w:t>
            </w:r>
          </w:p>
        </w:tc>
        <w:tc>
          <w:tcPr>
            <w:tcW w:w="113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55C9ED8E" w14:textId="77777777" w:rsidR="00CF2172" w:rsidRPr="00CF2172" w:rsidRDefault="00CF2172" w:rsidP="002717DA">
            <w:pPr>
              <w:rPr>
                <w:iCs/>
                <w:sz w:val="23"/>
                <w:szCs w:val="23"/>
                <w:lang w:val="en-US"/>
              </w:rPr>
            </w:pP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EAB3C13" w14:textId="77777777" w:rsidR="00CF2172" w:rsidRPr="00CF2172" w:rsidRDefault="00CF2172" w:rsidP="002717DA">
            <w:pPr>
              <w:rPr>
                <w:iCs/>
                <w:sz w:val="23"/>
                <w:szCs w:val="23"/>
                <w:lang w:val="en-US"/>
              </w:rPr>
            </w:pPr>
            <w:r w:rsidRPr="00CF2172">
              <w:rPr>
                <w:iCs/>
                <w:sz w:val="23"/>
                <w:szCs w:val="23"/>
                <w:lang w:val="en-US"/>
              </w:rPr>
              <w:t> 0</w:t>
            </w:r>
          </w:p>
        </w:tc>
        <w:tc>
          <w:tcPr>
            <w:tcW w:w="12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A2C766D" w14:textId="77777777" w:rsidR="00CF2172" w:rsidRPr="00CF2172" w:rsidRDefault="00CF2172" w:rsidP="002717DA">
            <w:pPr>
              <w:rPr>
                <w:iCs/>
                <w:sz w:val="23"/>
                <w:szCs w:val="23"/>
                <w:lang w:val="en-US"/>
              </w:rPr>
            </w:pPr>
            <w:r w:rsidRPr="00CF2172">
              <w:rPr>
                <w:iCs/>
                <w:sz w:val="23"/>
                <w:szCs w:val="23"/>
                <w:lang w:val="en-US"/>
              </w:rPr>
              <w:t> 0</w:t>
            </w:r>
          </w:p>
        </w:tc>
      </w:tr>
      <w:tr w:rsidR="00CF2172" w:rsidRPr="00CF2172" w14:paraId="4E2D3F32" w14:textId="77777777" w:rsidTr="00CF2172">
        <w:tc>
          <w:tcPr>
            <w:tcW w:w="1482" w:type="dxa"/>
            <w:tcBorders>
              <w:top w:val="outset" w:sz="6" w:space="0" w:color="000000"/>
              <w:left w:val="outset" w:sz="6" w:space="0" w:color="000000"/>
              <w:bottom w:val="outset" w:sz="6" w:space="0" w:color="000000"/>
              <w:right w:val="outset" w:sz="6" w:space="0" w:color="000000"/>
            </w:tcBorders>
            <w:shd w:val="clear" w:color="auto" w:fill="auto"/>
          </w:tcPr>
          <w:p w14:paraId="61906C30" w14:textId="77777777" w:rsidR="00CF2172" w:rsidRPr="00CF2172" w:rsidRDefault="00CF2172" w:rsidP="002717DA">
            <w:pPr>
              <w:rPr>
                <w:iCs/>
                <w:sz w:val="28"/>
                <w:szCs w:val="28"/>
              </w:rPr>
            </w:pPr>
            <w:r w:rsidRPr="00CF2172">
              <w:rPr>
                <w:iCs/>
                <w:sz w:val="28"/>
                <w:szCs w:val="28"/>
              </w:rPr>
              <w:t>6. Detalizēts ieņēmumu un izdevumu aprēķins (ja nepieciešams, detalizētu ieņēmumu un izdevumu aprēķinu var pievienot anotācijas pielikumā)</w:t>
            </w:r>
          </w:p>
        </w:tc>
        <w:tc>
          <w:tcPr>
            <w:tcW w:w="8195" w:type="dxa"/>
            <w:gridSpan w:val="7"/>
            <w:vMerge w:val="restart"/>
            <w:tcBorders>
              <w:top w:val="outset" w:sz="6" w:space="0" w:color="000000"/>
              <w:left w:val="outset" w:sz="6" w:space="0" w:color="000000"/>
              <w:bottom w:val="outset" w:sz="6" w:space="0" w:color="000000"/>
              <w:right w:val="outset" w:sz="6" w:space="0" w:color="000000"/>
            </w:tcBorders>
            <w:shd w:val="clear" w:color="auto" w:fill="auto"/>
          </w:tcPr>
          <w:p w14:paraId="7C935ECD" w14:textId="536BA09F" w:rsidR="00CF2172" w:rsidRPr="00CF2172" w:rsidRDefault="00CF2172" w:rsidP="002717DA">
            <w:pPr>
              <w:pStyle w:val="FootnoteText"/>
              <w:jc w:val="both"/>
              <w:rPr>
                <w:sz w:val="28"/>
                <w:szCs w:val="28"/>
              </w:rPr>
            </w:pPr>
            <w:r w:rsidRPr="00CF2172">
              <w:rPr>
                <w:sz w:val="28"/>
                <w:szCs w:val="28"/>
              </w:rPr>
              <w:t>VVD sniedz pārskatu par konstatēto pārkāpumu skaitu un piemēroto soda naudas apmēru pēc LAPK. Minētā informācija ir pieejama VVD tīmekļvietnē</w:t>
            </w:r>
            <w:r w:rsidR="00333949">
              <w:rPr>
                <w:rStyle w:val="FootnoteReference"/>
                <w:color w:val="0000FF"/>
                <w:sz w:val="28"/>
                <w:szCs w:val="28"/>
                <w:u w:val="single"/>
              </w:rPr>
              <w:footnoteReference w:id="2"/>
            </w:r>
            <w:r w:rsidRPr="00CF2172">
              <w:rPr>
                <w:sz w:val="28"/>
                <w:szCs w:val="28"/>
              </w:rPr>
              <w:t xml:space="preserve">. </w:t>
            </w:r>
          </w:p>
          <w:p w14:paraId="3CA8D7DB" w14:textId="77777777" w:rsidR="00CF2172" w:rsidRPr="00CF2172" w:rsidRDefault="00CF2172" w:rsidP="002717DA">
            <w:pPr>
              <w:pStyle w:val="FootnoteText"/>
              <w:ind w:left="122" w:right="180"/>
              <w:jc w:val="both"/>
              <w:rPr>
                <w:sz w:val="28"/>
                <w:szCs w:val="28"/>
              </w:rPr>
            </w:pPr>
          </w:p>
          <w:p w14:paraId="346DD04A" w14:textId="77777777" w:rsidR="00CF2172" w:rsidRPr="00CF2172" w:rsidRDefault="00CF2172" w:rsidP="002717DA">
            <w:pPr>
              <w:spacing w:after="120"/>
              <w:jc w:val="both"/>
              <w:rPr>
                <w:i/>
                <w:sz w:val="28"/>
                <w:szCs w:val="28"/>
              </w:rPr>
            </w:pPr>
            <w:r w:rsidRPr="00CF2172">
              <w:rPr>
                <w:i/>
                <w:sz w:val="28"/>
                <w:szCs w:val="28"/>
              </w:rPr>
              <w:t>Statistika</w:t>
            </w:r>
          </w:p>
          <w:p w14:paraId="73DC77A7" w14:textId="3CB44AE7" w:rsidR="00CF2172" w:rsidRPr="00CF2172" w:rsidRDefault="00CF2172" w:rsidP="002717DA">
            <w:pPr>
              <w:spacing w:after="120"/>
              <w:jc w:val="both"/>
              <w:rPr>
                <w:sz w:val="28"/>
                <w:szCs w:val="28"/>
              </w:rPr>
            </w:pPr>
            <w:r w:rsidRPr="00CF2172">
              <w:rPr>
                <w:sz w:val="28"/>
                <w:szCs w:val="28"/>
              </w:rPr>
              <w:t>VVD</w:t>
            </w:r>
            <w:r>
              <w:rPr>
                <w:b/>
                <w:sz w:val="28"/>
                <w:szCs w:val="28"/>
              </w:rPr>
              <w:t xml:space="preserve"> 2016</w:t>
            </w:r>
            <w:r w:rsidRPr="00CF2172">
              <w:rPr>
                <w:b/>
                <w:sz w:val="28"/>
                <w:szCs w:val="28"/>
              </w:rPr>
              <w:t>. gadā</w:t>
            </w:r>
            <w:r>
              <w:rPr>
                <w:sz w:val="28"/>
                <w:szCs w:val="28"/>
              </w:rPr>
              <w:t xml:space="preserve"> konstatēja </w:t>
            </w:r>
            <w:r w:rsidR="001E26EA">
              <w:rPr>
                <w:sz w:val="28"/>
                <w:szCs w:val="28"/>
              </w:rPr>
              <w:t>trīs</w:t>
            </w:r>
            <w:r w:rsidR="001E26EA" w:rsidRPr="00CF2172">
              <w:rPr>
                <w:sz w:val="28"/>
                <w:szCs w:val="28"/>
              </w:rPr>
              <w:t xml:space="preserve"> </w:t>
            </w:r>
            <w:r w:rsidRPr="00CF2172">
              <w:rPr>
                <w:sz w:val="28"/>
                <w:szCs w:val="28"/>
              </w:rPr>
              <w:t xml:space="preserve">pārkāpumus un kopējais piemēroto soda naudu apmērs ir </w:t>
            </w:r>
            <w:r>
              <w:rPr>
                <w:bCs/>
                <w:sz w:val="28"/>
                <w:szCs w:val="28"/>
              </w:rPr>
              <w:t>460</w:t>
            </w:r>
            <w:r w:rsidRPr="00CF2172">
              <w:rPr>
                <w:sz w:val="28"/>
                <w:szCs w:val="28"/>
              </w:rPr>
              <w:t xml:space="preserve"> </w:t>
            </w:r>
            <w:r w:rsidRPr="00CF2172">
              <w:rPr>
                <w:i/>
                <w:sz w:val="28"/>
                <w:szCs w:val="28"/>
              </w:rPr>
              <w:t>euro.</w:t>
            </w:r>
          </w:p>
          <w:p w14:paraId="6BE73A86" w14:textId="025ECC59" w:rsidR="00CF2172" w:rsidRPr="00CF2172" w:rsidRDefault="00CF2172" w:rsidP="002717DA">
            <w:pPr>
              <w:spacing w:after="120"/>
              <w:jc w:val="both"/>
              <w:rPr>
                <w:sz w:val="28"/>
                <w:szCs w:val="28"/>
              </w:rPr>
            </w:pPr>
            <w:r w:rsidRPr="00CF2172">
              <w:rPr>
                <w:sz w:val="28"/>
                <w:szCs w:val="28"/>
              </w:rPr>
              <w:t>VVD</w:t>
            </w:r>
            <w:r w:rsidRPr="00CF2172">
              <w:rPr>
                <w:b/>
                <w:sz w:val="28"/>
                <w:szCs w:val="28"/>
              </w:rPr>
              <w:t xml:space="preserve"> 2017. gadā</w:t>
            </w:r>
            <w:r>
              <w:rPr>
                <w:sz w:val="28"/>
                <w:szCs w:val="28"/>
              </w:rPr>
              <w:t xml:space="preserve"> konstatēja </w:t>
            </w:r>
            <w:r w:rsidR="001E26EA">
              <w:rPr>
                <w:sz w:val="28"/>
                <w:szCs w:val="28"/>
              </w:rPr>
              <w:t>četrus</w:t>
            </w:r>
            <w:r w:rsidR="001E26EA" w:rsidRPr="00CF2172">
              <w:rPr>
                <w:sz w:val="28"/>
                <w:szCs w:val="28"/>
              </w:rPr>
              <w:t xml:space="preserve"> </w:t>
            </w:r>
            <w:r w:rsidRPr="00CF2172">
              <w:rPr>
                <w:sz w:val="28"/>
                <w:szCs w:val="28"/>
              </w:rPr>
              <w:t xml:space="preserve">pārkāpumus un kopējais piemēroto soda naudu apmērs ir </w:t>
            </w:r>
            <w:r>
              <w:rPr>
                <w:bCs/>
                <w:sz w:val="28"/>
                <w:szCs w:val="28"/>
              </w:rPr>
              <w:t>440</w:t>
            </w:r>
            <w:r w:rsidRPr="00CF2172">
              <w:rPr>
                <w:sz w:val="28"/>
                <w:szCs w:val="28"/>
              </w:rPr>
              <w:t xml:space="preserve"> </w:t>
            </w:r>
            <w:r w:rsidRPr="00CF2172">
              <w:rPr>
                <w:i/>
                <w:sz w:val="28"/>
                <w:szCs w:val="28"/>
              </w:rPr>
              <w:t>euro.</w:t>
            </w:r>
          </w:p>
          <w:p w14:paraId="20BD266F" w14:textId="600C7056" w:rsidR="00CF2172" w:rsidRDefault="00CF2172" w:rsidP="002717DA">
            <w:pPr>
              <w:spacing w:after="120"/>
              <w:jc w:val="both"/>
              <w:rPr>
                <w:i/>
                <w:sz w:val="28"/>
                <w:szCs w:val="28"/>
              </w:rPr>
            </w:pPr>
            <w:r w:rsidRPr="00CF2172">
              <w:rPr>
                <w:sz w:val="28"/>
                <w:szCs w:val="28"/>
              </w:rPr>
              <w:t>VVD</w:t>
            </w:r>
            <w:r>
              <w:rPr>
                <w:b/>
                <w:sz w:val="28"/>
                <w:szCs w:val="28"/>
              </w:rPr>
              <w:t xml:space="preserve"> 2018</w:t>
            </w:r>
            <w:r w:rsidRPr="00CF2172">
              <w:rPr>
                <w:b/>
                <w:sz w:val="28"/>
                <w:szCs w:val="28"/>
              </w:rPr>
              <w:t>. gadā</w:t>
            </w:r>
            <w:r>
              <w:rPr>
                <w:sz w:val="28"/>
                <w:szCs w:val="28"/>
              </w:rPr>
              <w:t xml:space="preserve"> konstatēja </w:t>
            </w:r>
            <w:r w:rsidR="001E26EA">
              <w:rPr>
                <w:sz w:val="28"/>
                <w:szCs w:val="28"/>
              </w:rPr>
              <w:t>piecus</w:t>
            </w:r>
            <w:r w:rsidR="001E26EA" w:rsidRPr="00CF2172">
              <w:rPr>
                <w:sz w:val="28"/>
                <w:szCs w:val="28"/>
              </w:rPr>
              <w:t xml:space="preserve"> </w:t>
            </w:r>
            <w:r w:rsidRPr="00CF2172">
              <w:rPr>
                <w:sz w:val="28"/>
                <w:szCs w:val="28"/>
              </w:rPr>
              <w:t xml:space="preserve">pārkāpumus un kopējais piemēroto soda naudu apmērs ir </w:t>
            </w:r>
            <w:r>
              <w:rPr>
                <w:sz w:val="28"/>
                <w:szCs w:val="28"/>
              </w:rPr>
              <w:t>1078</w:t>
            </w:r>
            <w:r w:rsidRPr="00CF2172">
              <w:rPr>
                <w:sz w:val="28"/>
                <w:szCs w:val="28"/>
              </w:rPr>
              <w:t xml:space="preserve"> </w:t>
            </w:r>
            <w:r w:rsidRPr="00CF2172">
              <w:rPr>
                <w:i/>
                <w:sz w:val="28"/>
                <w:szCs w:val="28"/>
              </w:rPr>
              <w:t>euro.</w:t>
            </w:r>
          </w:p>
          <w:p w14:paraId="36E4BDD7" w14:textId="6E21D1D4" w:rsidR="00AE1DAF" w:rsidRPr="00CF2172" w:rsidRDefault="00AE1DAF" w:rsidP="002717DA">
            <w:pPr>
              <w:spacing w:after="120"/>
              <w:jc w:val="both"/>
              <w:rPr>
                <w:sz w:val="28"/>
                <w:szCs w:val="28"/>
              </w:rPr>
            </w:pPr>
            <w:r w:rsidRPr="00CF2172">
              <w:rPr>
                <w:sz w:val="28"/>
                <w:szCs w:val="28"/>
              </w:rPr>
              <w:t>VVD</w:t>
            </w:r>
            <w:r>
              <w:rPr>
                <w:b/>
                <w:sz w:val="28"/>
                <w:szCs w:val="28"/>
              </w:rPr>
              <w:t xml:space="preserve"> 2019</w:t>
            </w:r>
            <w:r w:rsidRPr="00CF2172">
              <w:rPr>
                <w:b/>
                <w:sz w:val="28"/>
                <w:szCs w:val="28"/>
              </w:rPr>
              <w:t>. gadā</w:t>
            </w:r>
            <w:r>
              <w:rPr>
                <w:sz w:val="28"/>
                <w:szCs w:val="28"/>
              </w:rPr>
              <w:t xml:space="preserve"> konstatēja </w:t>
            </w:r>
            <w:r w:rsidR="001E26EA">
              <w:rPr>
                <w:sz w:val="28"/>
                <w:szCs w:val="28"/>
              </w:rPr>
              <w:t>septiņus</w:t>
            </w:r>
            <w:r w:rsidR="001E26EA" w:rsidRPr="00CF2172">
              <w:rPr>
                <w:sz w:val="28"/>
                <w:szCs w:val="28"/>
              </w:rPr>
              <w:t xml:space="preserve"> </w:t>
            </w:r>
            <w:r w:rsidRPr="00CF2172">
              <w:rPr>
                <w:sz w:val="28"/>
                <w:szCs w:val="28"/>
              </w:rPr>
              <w:t xml:space="preserve">pārkāpumus un kopējais piemēroto soda naudu apmērs ir </w:t>
            </w:r>
            <w:r>
              <w:rPr>
                <w:sz w:val="28"/>
                <w:szCs w:val="28"/>
              </w:rPr>
              <w:t>1715</w:t>
            </w:r>
            <w:r w:rsidRPr="00CF2172">
              <w:rPr>
                <w:sz w:val="28"/>
                <w:szCs w:val="28"/>
              </w:rPr>
              <w:t xml:space="preserve"> </w:t>
            </w:r>
            <w:r w:rsidRPr="00CF2172">
              <w:rPr>
                <w:i/>
                <w:sz w:val="28"/>
                <w:szCs w:val="28"/>
              </w:rPr>
              <w:t>euro.</w:t>
            </w:r>
          </w:p>
          <w:p w14:paraId="13783EA1" w14:textId="77777777" w:rsidR="00CF2172" w:rsidRDefault="00CF2172" w:rsidP="002717DA">
            <w:pPr>
              <w:spacing w:after="120"/>
              <w:jc w:val="both"/>
              <w:rPr>
                <w:i/>
                <w:sz w:val="28"/>
                <w:szCs w:val="28"/>
              </w:rPr>
            </w:pPr>
          </w:p>
          <w:p w14:paraId="070752DA" w14:textId="77777777" w:rsidR="00CF2172" w:rsidRPr="00CF2172" w:rsidRDefault="00CF2172" w:rsidP="002717DA">
            <w:pPr>
              <w:spacing w:after="120"/>
              <w:jc w:val="both"/>
              <w:rPr>
                <w:i/>
                <w:sz w:val="28"/>
                <w:szCs w:val="28"/>
              </w:rPr>
            </w:pPr>
            <w:r w:rsidRPr="00CF2172">
              <w:rPr>
                <w:i/>
                <w:sz w:val="28"/>
                <w:szCs w:val="28"/>
              </w:rPr>
              <w:t>Secinājumi</w:t>
            </w:r>
          </w:p>
          <w:p w14:paraId="3F0216B0" w14:textId="427CD0DD" w:rsidR="00CF2172" w:rsidRPr="00CF2172" w:rsidRDefault="000C53DC" w:rsidP="0049189E">
            <w:pPr>
              <w:jc w:val="both"/>
              <w:rPr>
                <w:sz w:val="28"/>
                <w:szCs w:val="28"/>
              </w:rPr>
            </w:pPr>
            <w:r w:rsidRPr="000C53DC">
              <w:rPr>
                <w:iCs/>
                <w:sz w:val="28"/>
                <w:szCs w:val="28"/>
              </w:rPr>
              <w:t>Saskaņā ar anotācijas I sadaļas 2. punktā norādīto informāciju, radiācijas drošības un kodoldrošības jomā sodi par regulējošo normatīvo aktu pārkāpšanu tika piemēroti saistībā</w:t>
            </w:r>
            <w:r w:rsidRPr="000C53DC">
              <w:rPr>
                <w:sz w:val="28"/>
                <w:szCs w:val="28"/>
              </w:rPr>
              <w:t xml:space="preserve"> ar LAPK 8</w:t>
            </w:r>
            <w:r w:rsidR="0049189E">
              <w:rPr>
                <w:sz w:val="28"/>
                <w:szCs w:val="28"/>
              </w:rPr>
              <w:t>7</w:t>
            </w:r>
            <w:r w:rsidRPr="000C53DC">
              <w:rPr>
                <w:sz w:val="28"/>
                <w:szCs w:val="28"/>
              </w:rPr>
              <w:t>.</w:t>
            </w:r>
            <w:r w:rsidRPr="000C53DC">
              <w:rPr>
                <w:sz w:val="28"/>
                <w:szCs w:val="28"/>
                <w:vertAlign w:val="superscript"/>
              </w:rPr>
              <w:t>1</w:t>
            </w:r>
            <w:r w:rsidR="0049189E">
              <w:rPr>
                <w:sz w:val="28"/>
                <w:szCs w:val="28"/>
              </w:rPr>
              <w:t> panta pirmo un desmito daļu</w:t>
            </w:r>
            <w:r w:rsidRPr="000C53DC">
              <w:rPr>
                <w:sz w:val="28"/>
                <w:szCs w:val="28"/>
              </w:rPr>
              <w:t xml:space="preserve">. </w:t>
            </w:r>
            <w:r w:rsidR="00CF2172" w:rsidRPr="00CF2172">
              <w:rPr>
                <w:sz w:val="28"/>
                <w:szCs w:val="28"/>
              </w:rPr>
              <w:t>Netiek prog</w:t>
            </w:r>
            <w:r w:rsidR="00CF2172">
              <w:rPr>
                <w:sz w:val="28"/>
                <w:szCs w:val="28"/>
              </w:rPr>
              <w:t>nozēts ievērojams pieaugums soda</w:t>
            </w:r>
            <w:r w:rsidR="00CF2172" w:rsidRPr="00CF2172">
              <w:rPr>
                <w:sz w:val="28"/>
                <w:szCs w:val="28"/>
              </w:rPr>
              <w:t xml:space="preserve"> sankciju piemērošanā un soda naudas apmērā. Katrs pārkāpums </w:t>
            </w:r>
            <w:r>
              <w:rPr>
                <w:sz w:val="28"/>
                <w:szCs w:val="28"/>
              </w:rPr>
              <w:t>radiācijas drošības un kodoldrošības</w:t>
            </w:r>
            <w:r w:rsidR="00CF2172" w:rsidRPr="00CF2172">
              <w:rPr>
                <w:sz w:val="28"/>
                <w:szCs w:val="28"/>
              </w:rPr>
              <w:t xml:space="preserve"> jomā ir izvērtējams un var būt atšķirīgs, jo atšķira</w:t>
            </w:r>
            <w:r>
              <w:rPr>
                <w:sz w:val="28"/>
                <w:szCs w:val="28"/>
              </w:rPr>
              <w:t>s pārkāpuma izdarīšanas apstākļi</w:t>
            </w:r>
            <w:r w:rsidR="00CF2172" w:rsidRPr="00CF2172">
              <w:rPr>
                <w:sz w:val="28"/>
                <w:szCs w:val="28"/>
              </w:rPr>
              <w:t>, kurus ņem vērā, nosakot piemērojamo soda apmēru.</w:t>
            </w:r>
          </w:p>
        </w:tc>
      </w:tr>
      <w:tr w:rsidR="00CF2172" w:rsidRPr="00CF2172" w14:paraId="442ACE90" w14:textId="77777777" w:rsidTr="00CF2172">
        <w:tc>
          <w:tcPr>
            <w:tcW w:w="1482" w:type="dxa"/>
            <w:tcBorders>
              <w:top w:val="outset" w:sz="6" w:space="0" w:color="000000"/>
              <w:left w:val="outset" w:sz="6" w:space="0" w:color="000000"/>
              <w:bottom w:val="outset" w:sz="6" w:space="0" w:color="000000"/>
              <w:right w:val="outset" w:sz="6" w:space="0" w:color="000000"/>
            </w:tcBorders>
            <w:shd w:val="clear" w:color="auto" w:fill="auto"/>
          </w:tcPr>
          <w:p w14:paraId="38DE322A" w14:textId="77777777" w:rsidR="00CF2172" w:rsidRPr="00CF2172" w:rsidRDefault="00CF2172" w:rsidP="002717DA">
            <w:pPr>
              <w:rPr>
                <w:iCs/>
                <w:sz w:val="28"/>
                <w:szCs w:val="28"/>
              </w:rPr>
            </w:pPr>
            <w:r w:rsidRPr="00CF2172">
              <w:rPr>
                <w:iCs/>
                <w:sz w:val="28"/>
                <w:szCs w:val="28"/>
              </w:rPr>
              <w:t>6.1. detalizēts ieņēmumu aprēķins</w:t>
            </w:r>
          </w:p>
        </w:tc>
        <w:tc>
          <w:tcPr>
            <w:tcW w:w="8195" w:type="dxa"/>
            <w:gridSpan w:val="7"/>
            <w:vMerge/>
            <w:tcBorders>
              <w:top w:val="outset" w:sz="6" w:space="0" w:color="000000"/>
              <w:left w:val="outset" w:sz="6" w:space="0" w:color="000000"/>
              <w:bottom w:val="outset" w:sz="6" w:space="0" w:color="000000"/>
              <w:right w:val="outset" w:sz="6" w:space="0" w:color="000000"/>
            </w:tcBorders>
            <w:shd w:val="clear" w:color="auto" w:fill="auto"/>
            <w:vAlign w:val="center"/>
          </w:tcPr>
          <w:p w14:paraId="3F37364C" w14:textId="77777777" w:rsidR="00CF2172" w:rsidRPr="00CF2172" w:rsidRDefault="00CF2172" w:rsidP="002717DA">
            <w:pPr>
              <w:rPr>
                <w:iCs/>
                <w:sz w:val="28"/>
                <w:szCs w:val="28"/>
                <w:lang w:val="en-US"/>
              </w:rPr>
            </w:pPr>
          </w:p>
        </w:tc>
      </w:tr>
      <w:tr w:rsidR="00CF2172" w:rsidRPr="00CF2172" w14:paraId="32F879F9" w14:textId="77777777" w:rsidTr="00CF2172">
        <w:tc>
          <w:tcPr>
            <w:tcW w:w="1482" w:type="dxa"/>
            <w:tcBorders>
              <w:top w:val="outset" w:sz="6" w:space="0" w:color="000000"/>
              <w:left w:val="outset" w:sz="6" w:space="0" w:color="000000"/>
              <w:bottom w:val="outset" w:sz="6" w:space="0" w:color="000000"/>
              <w:right w:val="outset" w:sz="6" w:space="0" w:color="000000"/>
            </w:tcBorders>
            <w:shd w:val="clear" w:color="auto" w:fill="auto"/>
          </w:tcPr>
          <w:p w14:paraId="394332B2" w14:textId="77777777" w:rsidR="00CF2172" w:rsidRPr="00CF2172" w:rsidRDefault="00CF2172" w:rsidP="002717DA">
            <w:pPr>
              <w:rPr>
                <w:iCs/>
                <w:sz w:val="28"/>
                <w:szCs w:val="28"/>
              </w:rPr>
            </w:pPr>
            <w:r w:rsidRPr="00CF2172">
              <w:rPr>
                <w:iCs/>
                <w:sz w:val="28"/>
                <w:szCs w:val="28"/>
              </w:rPr>
              <w:t>6.2. detalizēts izdevumu aprēķins</w:t>
            </w:r>
          </w:p>
        </w:tc>
        <w:tc>
          <w:tcPr>
            <w:tcW w:w="8195" w:type="dxa"/>
            <w:gridSpan w:val="7"/>
            <w:vMerge/>
            <w:tcBorders>
              <w:top w:val="outset" w:sz="6" w:space="0" w:color="000000"/>
              <w:left w:val="outset" w:sz="6" w:space="0" w:color="000000"/>
              <w:bottom w:val="outset" w:sz="6" w:space="0" w:color="000000"/>
              <w:right w:val="outset" w:sz="6" w:space="0" w:color="000000"/>
            </w:tcBorders>
            <w:shd w:val="clear" w:color="auto" w:fill="auto"/>
            <w:vAlign w:val="center"/>
          </w:tcPr>
          <w:p w14:paraId="61FC9BF9" w14:textId="77777777" w:rsidR="00CF2172" w:rsidRPr="00CF2172" w:rsidRDefault="00CF2172" w:rsidP="002717DA">
            <w:pPr>
              <w:rPr>
                <w:iCs/>
                <w:sz w:val="28"/>
                <w:szCs w:val="28"/>
                <w:lang w:val="en-US"/>
              </w:rPr>
            </w:pPr>
          </w:p>
        </w:tc>
      </w:tr>
      <w:tr w:rsidR="00CF2172" w:rsidRPr="00CF2172" w14:paraId="61248791" w14:textId="77777777" w:rsidTr="00CF2172">
        <w:tc>
          <w:tcPr>
            <w:tcW w:w="1482" w:type="dxa"/>
            <w:tcBorders>
              <w:top w:val="outset" w:sz="6" w:space="0" w:color="000000"/>
              <w:left w:val="outset" w:sz="6" w:space="0" w:color="000000"/>
              <w:bottom w:val="outset" w:sz="6" w:space="0" w:color="000000"/>
              <w:right w:val="outset" w:sz="6" w:space="0" w:color="000000"/>
            </w:tcBorders>
            <w:shd w:val="clear" w:color="auto" w:fill="auto"/>
          </w:tcPr>
          <w:p w14:paraId="016C091F" w14:textId="77777777" w:rsidR="00CF2172" w:rsidRPr="00CF2172" w:rsidRDefault="00CF2172" w:rsidP="002717DA">
            <w:pPr>
              <w:rPr>
                <w:iCs/>
                <w:sz w:val="28"/>
                <w:szCs w:val="28"/>
              </w:rPr>
            </w:pPr>
            <w:r w:rsidRPr="00CF2172">
              <w:rPr>
                <w:iCs/>
                <w:sz w:val="28"/>
                <w:szCs w:val="28"/>
              </w:rPr>
              <w:t>7. Amata vietu skaita izmaiņas</w:t>
            </w:r>
          </w:p>
        </w:tc>
        <w:tc>
          <w:tcPr>
            <w:tcW w:w="8195" w:type="dxa"/>
            <w:gridSpan w:val="7"/>
            <w:tcBorders>
              <w:top w:val="outset" w:sz="6" w:space="0" w:color="000000"/>
              <w:left w:val="outset" w:sz="6" w:space="0" w:color="000000"/>
              <w:bottom w:val="outset" w:sz="6" w:space="0" w:color="000000"/>
              <w:right w:val="outset" w:sz="6" w:space="0" w:color="000000"/>
            </w:tcBorders>
            <w:shd w:val="clear" w:color="auto" w:fill="auto"/>
          </w:tcPr>
          <w:p w14:paraId="28A69E90" w14:textId="77777777" w:rsidR="00CF2172" w:rsidRPr="00CF2172" w:rsidRDefault="00CF2172" w:rsidP="002717DA">
            <w:pPr>
              <w:rPr>
                <w:iCs/>
                <w:sz w:val="28"/>
                <w:szCs w:val="28"/>
              </w:rPr>
            </w:pPr>
            <w:r w:rsidRPr="00CF2172">
              <w:rPr>
                <w:iCs/>
                <w:sz w:val="28"/>
                <w:szCs w:val="28"/>
              </w:rPr>
              <w:t>Nav plānotas amata vietu skaita izmaiņas</w:t>
            </w:r>
            <w:r w:rsidR="00272392">
              <w:rPr>
                <w:iCs/>
                <w:sz w:val="28"/>
                <w:szCs w:val="28"/>
              </w:rPr>
              <w:t>.</w:t>
            </w:r>
          </w:p>
          <w:p w14:paraId="1B1DCBEA" w14:textId="77777777" w:rsidR="00CF2172" w:rsidRPr="00CF2172" w:rsidRDefault="00CF2172" w:rsidP="002717DA">
            <w:pPr>
              <w:rPr>
                <w:iCs/>
                <w:sz w:val="28"/>
                <w:szCs w:val="28"/>
              </w:rPr>
            </w:pPr>
          </w:p>
        </w:tc>
      </w:tr>
      <w:tr w:rsidR="00CF2172" w:rsidRPr="00CF2172" w14:paraId="65913002" w14:textId="77777777" w:rsidTr="00CF2172">
        <w:tc>
          <w:tcPr>
            <w:tcW w:w="1482" w:type="dxa"/>
            <w:tcBorders>
              <w:top w:val="outset" w:sz="6" w:space="0" w:color="000000"/>
              <w:left w:val="outset" w:sz="6" w:space="0" w:color="000000"/>
              <w:bottom w:val="outset" w:sz="6" w:space="0" w:color="000000"/>
              <w:right w:val="outset" w:sz="6" w:space="0" w:color="000000"/>
            </w:tcBorders>
            <w:shd w:val="clear" w:color="auto" w:fill="auto"/>
          </w:tcPr>
          <w:p w14:paraId="5171A6AB" w14:textId="77777777" w:rsidR="00CF2172" w:rsidRPr="00CF2172" w:rsidRDefault="00CF2172" w:rsidP="002717DA">
            <w:pPr>
              <w:rPr>
                <w:iCs/>
                <w:sz w:val="28"/>
                <w:szCs w:val="28"/>
                <w:lang w:val="en-US"/>
              </w:rPr>
            </w:pPr>
            <w:r w:rsidRPr="00CF2172">
              <w:rPr>
                <w:iCs/>
                <w:sz w:val="28"/>
                <w:szCs w:val="28"/>
                <w:lang w:val="en-US"/>
              </w:rPr>
              <w:t xml:space="preserve">8. </w:t>
            </w:r>
            <w:r w:rsidRPr="00CF2172">
              <w:rPr>
                <w:iCs/>
                <w:sz w:val="28"/>
                <w:szCs w:val="28"/>
              </w:rPr>
              <w:t>Cita informācija</w:t>
            </w:r>
          </w:p>
        </w:tc>
        <w:tc>
          <w:tcPr>
            <w:tcW w:w="8195" w:type="dxa"/>
            <w:gridSpan w:val="7"/>
            <w:tcBorders>
              <w:top w:val="outset" w:sz="6" w:space="0" w:color="000000"/>
              <w:left w:val="outset" w:sz="6" w:space="0" w:color="000000"/>
              <w:bottom w:val="outset" w:sz="6" w:space="0" w:color="000000"/>
              <w:right w:val="outset" w:sz="6" w:space="0" w:color="000000"/>
            </w:tcBorders>
            <w:shd w:val="clear" w:color="auto" w:fill="auto"/>
          </w:tcPr>
          <w:p w14:paraId="1013E051" w14:textId="77777777" w:rsidR="00CF2172" w:rsidRPr="00CF2172" w:rsidRDefault="00CF2172" w:rsidP="002717DA">
            <w:pPr>
              <w:rPr>
                <w:iCs/>
                <w:sz w:val="28"/>
                <w:szCs w:val="28"/>
                <w:lang w:val="en-US"/>
              </w:rPr>
            </w:pPr>
            <w:r w:rsidRPr="00CF2172">
              <w:rPr>
                <w:sz w:val="28"/>
                <w:szCs w:val="28"/>
              </w:rPr>
              <w:t>Nav.</w:t>
            </w:r>
          </w:p>
        </w:tc>
      </w:tr>
    </w:tbl>
    <w:p w14:paraId="29DFF376" w14:textId="77777777" w:rsidR="00CF2172" w:rsidRPr="00950C39" w:rsidRDefault="00CF2172" w:rsidP="00F13713">
      <w:pPr>
        <w:pStyle w:val="naisf"/>
        <w:spacing w:before="0" w:after="120"/>
        <w:ind w:firstLine="0"/>
        <w:rPr>
          <w:iCs/>
          <w:sz w:val="28"/>
          <w:szCs w:val="28"/>
        </w:rPr>
      </w:pPr>
    </w:p>
    <w:tbl>
      <w:tblPr>
        <w:tblW w:w="5286" w:type="pct"/>
        <w:tblInd w:w="-26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
        <w:gridCol w:w="527"/>
        <w:gridCol w:w="3465"/>
        <w:gridCol w:w="5626"/>
        <w:gridCol w:w="27"/>
      </w:tblGrid>
      <w:tr w:rsidR="006439C8" w:rsidRPr="00950C39" w14:paraId="7C5F6177" w14:textId="77777777" w:rsidTr="006439C8">
        <w:trPr>
          <w:gridBefore w:val="1"/>
          <w:wBefore w:w="4" w:type="pct"/>
        </w:trPr>
        <w:tc>
          <w:tcPr>
            <w:tcW w:w="4996" w:type="pct"/>
            <w:gridSpan w:val="4"/>
            <w:tcBorders>
              <w:top w:val="single" w:sz="6" w:space="0" w:color="auto"/>
              <w:left w:val="single" w:sz="6" w:space="0" w:color="auto"/>
              <w:bottom w:val="outset" w:sz="6" w:space="0" w:color="auto"/>
              <w:right w:val="single" w:sz="4" w:space="0" w:color="auto"/>
            </w:tcBorders>
            <w:hideMark/>
          </w:tcPr>
          <w:p w14:paraId="0F8BAC58" w14:textId="77777777" w:rsidR="009B48AC" w:rsidRPr="00950C39" w:rsidRDefault="009B48AC" w:rsidP="00C96269">
            <w:pPr>
              <w:spacing w:before="100" w:beforeAutospacing="1" w:after="100" w:afterAutospacing="1"/>
              <w:jc w:val="center"/>
              <w:rPr>
                <w:sz w:val="28"/>
                <w:szCs w:val="28"/>
              </w:rPr>
            </w:pPr>
            <w:r w:rsidRPr="00950C39">
              <w:rPr>
                <w:b/>
                <w:bCs/>
                <w:sz w:val="28"/>
                <w:szCs w:val="28"/>
              </w:rPr>
              <w:t>IV. Tiesību akta projekta ietekme uz spēkā esošo tiesību normu sistēmu</w:t>
            </w:r>
          </w:p>
        </w:tc>
      </w:tr>
      <w:tr w:rsidR="00301FA2" w:rsidRPr="00950C39" w14:paraId="02181992" w14:textId="77777777" w:rsidTr="00301FA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4" w:type="pct"/>
          <w:jc w:val="center"/>
        </w:trPr>
        <w:tc>
          <w:tcPr>
            <w:tcW w:w="277" w:type="pct"/>
            <w:gridSpan w:val="2"/>
          </w:tcPr>
          <w:p w14:paraId="722B0697" w14:textId="77777777" w:rsidR="00301FA2" w:rsidRPr="00950C39" w:rsidRDefault="00301FA2" w:rsidP="00301FA2">
            <w:pPr>
              <w:pStyle w:val="naisf"/>
              <w:tabs>
                <w:tab w:val="left" w:pos="4644"/>
              </w:tabs>
              <w:spacing w:before="0" w:after="120"/>
              <w:ind w:firstLine="0"/>
              <w:jc w:val="center"/>
              <w:rPr>
                <w:sz w:val="28"/>
                <w:szCs w:val="28"/>
              </w:rPr>
            </w:pPr>
            <w:r>
              <w:rPr>
                <w:sz w:val="28"/>
                <w:szCs w:val="28"/>
              </w:rPr>
              <w:t>1.</w:t>
            </w:r>
          </w:p>
        </w:tc>
        <w:tc>
          <w:tcPr>
            <w:tcW w:w="1795" w:type="pct"/>
          </w:tcPr>
          <w:p w14:paraId="77A8D280" w14:textId="77777777" w:rsidR="00301FA2" w:rsidRPr="00950C39" w:rsidRDefault="00301FA2" w:rsidP="00301FA2">
            <w:pPr>
              <w:pStyle w:val="naisf"/>
              <w:tabs>
                <w:tab w:val="left" w:pos="4644"/>
              </w:tabs>
              <w:spacing w:before="0" w:after="120"/>
              <w:ind w:firstLine="0"/>
              <w:jc w:val="left"/>
              <w:rPr>
                <w:sz w:val="28"/>
                <w:szCs w:val="28"/>
              </w:rPr>
            </w:pPr>
            <w:r>
              <w:rPr>
                <w:sz w:val="28"/>
                <w:szCs w:val="28"/>
              </w:rPr>
              <w:t>Saistītie tiesību aktu projekti</w:t>
            </w:r>
          </w:p>
        </w:tc>
        <w:tc>
          <w:tcPr>
            <w:tcW w:w="2914" w:type="pct"/>
          </w:tcPr>
          <w:p w14:paraId="22A07E40" w14:textId="56F6075D" w:rsidR="00301FA2" w:rsidRPr="00950C39" w:rsidRDefault="000819DE" w:rsidP="00EB67A0">
            <w:pPr>
              <w:pStyle w:val="naisf"/>
              <w:tabs>
                <w:tab w:val="left" w:pos="4644"/>
              </w:tabs>
              <w:spacing w:before="0" w:after="120"/>
              <w:ind w:firstLine="0"/>
              <w:rPr>
                <w:sz w:val="28"/>
                <w:szCs w:val="28"/>
              </w:rPr>
            </w:pPr>
            <w:r>
              <w:rPr>
                <w:iCs/>
                <w:sz w:val="28"/>
                <w:szCs w:val="28"/>
              </w:rPr>
              <w:t>Grozījumi MK noteikumos Nr. 149, lai pārskatītu pašlaik noteiktās prasības attiecībā uz pieļaujamo radioaktīvo piesārņojumu precēs, kā arī lai noteiktu preču kontroles kārtību saistībā ar radioaktīvo piesārņojumu precēs.</w:t>
            </w:r>
          </w:p>
        </w:tc>
      </w:tr>
      <w:tr w:rsidR="00301FA2" w:rsidRPr="00950C39" w14:paraId="7A8A8A62" w14:textId="77777777" w:rsidTr="00301FA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4" w:type="pct"/>
          <w:jc w:val="center"/>
        </w:trPr>
        <w:tc>
          <w:tcPr>
            <w:tcW w:w="277" w:type="pct"/>
            <w:gridSpan w:val="2"/>
          </w:tcPr>
          <w:p w14:paraId="7199B1FB" w14:textId="77777777" w:rsidR="00301FA2" w:rsidRPr="00950C39" w:rsidDel="00635B06" w:rsidRDefault="00301FA2" w:rsidP="00620FAB">
            <w:pPr>
              <w:pStyle w:val="naisf"/>
              <w:tabs>
                <w:tab w:val="left" w:pos="4644"/>
              </w:tabs>
              <w:spacing w:before="0" w:after="120"/>
              <w:ind w:firstLine="0"/>
              <w:jc w:val="center"/>
              <w:rPr>
                <w:iCs/>
                <w:sz w:val="28"/>
                <w:szCs w:val="28"/>
              </w:rPr>
            </w:pPr>
            <w:r>
              <w:rPr>
                <w:iCs/>
                <w:sz w:val="28"/>
                <w:szCs w:val="28"/>
              </w:rPr>
              <w:t>2.</w:t>
            </w:r>
          </w:p>
        </w:tc>
        <w:tc>
          <w:tcPr>
            <w:tcW w:w="1795" w:type="pct"/>
          </w:tcPr>
          <w:p w14:paraId="304DD004" w14:textId="77777777" w:rsidR="00301FA2" w:rsidRPr="00950C39" w:rsidDel="00635B06" w:rsidRDefault="00301FA2" w:rsidP="00301FA2">
            <w:pPr>
              <w:pStyle w:val="naisf"/>
              <w:tabs>
                <w:tab w:val="left" w:pos="4644"/>
              </w:tabs>
              <w:spacing w:before="0" w:after="120"/>
              <w:ind w:firstLine="0"/>
              <w:jc w:val="left"/>
              <w:rPr>
                <w:iCs/>
                <w:sz w:val="28"/>
                <w:szCs w:val="28"/>
              </w:rPr>
            </w:pPr>
            <w:r>
              <w:rPr>
                <w:iCs/>
                <w:sz w:val="28"/>
                <w:szCs w:val="28"/>
              </w:rPr>
              <w:t>Atbildīgā institūcija</w:t>
            </w:r>
          </w:p>
        </w:tc>
        <w:tc>
          <w:tcPr>
            <w:tcW w:w="2914" w:type="pct"/>
          </w:tcPr>
          <w:p w14:paraId="3431EE2A" w14:textId="77777777" w:rsidR="00301FA2" w:rsidRPr="00950C39" w:rsidDel="00635B06" w:rsidRDefault="00BE02D5" w:rsidP="00301FA2">
            <w:pPr>
              <w:pStyle w:val="naisf"/>
              <w:tabs>
                <w:tab w:val="left" w:pos="4644"/>
              </w:tabs>
              <w:spacing w:before="0" w:after="120"/>
              <w:ind w:firstLine="0"/>
              <w:rPr>
                <w:iCs/>
                <w:sz w:val="28"/>
                <w:szCs w:val="28"/>
              </w:rPr>
            </w:pPr>
            <w:r>
              <w:rPr>
                <w:iCs/>
                <w:sz w:val="28"/>
                <w:szCs w:val="28"/>
              </w:rPr>
              <w:t>VARAM</w:t>
            </w:r>
          </w:p>
        </w:tc>
      </w:tr>
      <w:tr w:rsidR="00301FA2" w:rsidRPr="00950C39" w14:paraId="5FAECBB6" w14:textId="77777777" w:rsidTr="00301FA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4" w:type="pct"/>
          <w:jc w:val="center"/>
        </w:trPr>
        <w:tc>
          <w:tcPr>
            <w:tcW w:w="277" w:type="pct"/>
            <w:gridSpan w:val="2"/>
          </w:tcPr>
          <w:p w14:paraId="2FEBDC98" w14:textId="77777777" w:rsidR="00301FA2" w:rsidRPr="00950C39" w:rsidDel="00635B06" w:rsidRDefault="00301FA2" w:rsidP="00620FAB">
            <w:pPr>
              <w:pStyle w:val="naisf"/>
              <w:tabs>
                <w:tab w:val="left" w:pos="4644"/>
              </w:tabs>
              <w:spacing w:before="0" w:after="120"/>
              <w:ind w:firstLine="0"/>
              <w:jc w:val="center"/>
              <w:rPr>
                <w:iCs/>
                <w:sz w:val="28"/>
                <w:szCs w:val="28"/>
              </w:rPr>
            </w:pPr>
            <w:r>
              <w:rPr>
                <w:iCs/>
                <w:sz w:val="28"/>
                <w:szCs w:val="28"/>
              </w:rPr>
              <w:t>3.</w:t>
            </w:r>
          </w:p>
        </w:tc>
        <w:tc>
          <w:tcPr>
            <w:tcW w:w="1795" w:type="pct"/>
          </w:tcPr>
          <w:p w14:paraId="067A8AF7" w14:textId="77777777" w:rsidR="00301FA2" w:rsidRPr="00950C39" w:rsidDel="00635B06" w:rsidRDefault="00301FA2" w:rsidP="00301FA2">
            <w:pPr>
              <w:pStyle w:val="naisf"/>
              <w:tabs>
                <w:tab w:val="left" w:pos="4644"/>
              </w:tabs>
              <w:spacing w:before="0" w:after="120"/>
              <w:ind w:firstLine="0"/>
              <w:jc w:val="left"/>
              <w:rPr>
                <w:iCs/>
                <w:sz w:val="28"/>
                <w:szCs w:val="28"/>
              </w:rPr>
            </w:pPr>
            <w:r>
              <w:rPr>
                <w:iCs/>
                <w:sz w:val="28"/>
                <w:szCs w:val="28"/>
              </w:rPr>
              <w:t>Cita informācija</w:t>
            </w:r>
          </w:p>
        </w:tc>
        <w:tc>
          <w:tcPr>
            <w:tcW w:w="2914" w:type="pct"/>
          </w:tcPr>
          <w:p w14:paraId="2631CDBE" w14:textId="77777777" w:rsidR="00301FA2" w:rsidRPr="00950C39" w:rsidDel="00635B06" w:rsidRDefault="00301FA2" w:rsidP="00301FA2">
            <w:pPr>
              <w:pStyle w:val="naisf"/>
              <w:tabs>
                <w:tab w:val="left" w:pos="4644"/>
              </w:tabs>
              <w:spacing w:before="0" w:after="120"/>
              <w:ind w:firstLine="0"/>
              <w:rPr>
                <w:iCs/>
                <w:sz w:val="28"/>
                <w:szCs w:val="28"/>
              </w:rPr>
            </w:pPr>
            <w:r>
              <w:rPr>
                <w:iCs/>
                <w:sz w:val="28"/>
                <w:szCs w:val="28"/>
              </w:rPr>
              <w:t>Nav.</w:t>
            </w:r>
          </w:p>
        </w:tc>
      </w:tr>
    </w:tbl>
    <w:p w14:paraId="4FC9EF37" w14:textId="77777777" w:rsidR="006F4F80" w:rsidRPr="00950C39" w:rsidRDefault="006F4F80" w:rsidP="00041EFF">
      <w:pPr>
        <w:pStyle w:val="naisf"/>
        <w:spacing w:before="0" w:after="120"/>
        <w:ind w:firstLine="0"/>
        <w:rPr>
          <w:b/>
          <w:sz w:val="28"/>
          <w:szCs w:val="28"/>
        </w:rPr>
      </w:pPr>
    </w:p>
    <w:tbl>
      <w:tblPr>
        <w:tblW w:w="9659"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659"/>
      </w:tblGrid>
      <w:tr w:rsidR="000B2FD4" w:rsidRPr="00950C39" w14:paraId="206A3E83" w14:textId="77777777" w:rsidTr="00CA19DA">
        <w:trPr>
          <w:jc w:val="center"/>
        </w:trPr>
        <w:tc>
          <w:tcPr>
            <w:tcW w:w="9659" w:type="dxa"/>
            <w:tcBorders>
              <w:top w:val="single" w:sz="4" w:space="0" w:color="auto"/>
              <w:left w:val="single" w:sz="4" w:space="0" w:color="auto"/>
              <w:bottom w:val="single" w:sz="4" w:space="0" w:color="auto"/>
              <w:right w:val="single" w:sz="4" w:space="0" w:color="auto"/>
            </w:tcBorders>
          </w:tcPr>
          <w:p w14:paraId="10EAF29D" w14:textId="77777777" w:rsidR="000B2FD4" w:rsidRPr="00950C39" w:rsidRDefault="000B2FD4" w:rsidP="00CA19DA">
            <w:pPr>
              <w:jc w:val="center"/>
              <w:rPr>
                <w:b/>
                <w:sz w:val="28"/>
                <w:szCs w:val="28"/>
              </w:rPr>
            </w:pPr>
            <w:r w:rsidRPr="00950C39">
              <w:rPr>
                <w:b/>
                <w:sz w:val="28"/>
                <w:szCs w:val="28"/>
              </w:rPr>
              <w:t>V. Tiesību akta projekta atbilstība Latvijas Republikas starptautiskajām saistībām</w:t>
            </w:r>
          </w:p>
        </w:tc>
      </w:tr>
      <w:tr w:rsidR="000B2FD4" w:rsidRPr="00950C39" w14:paraId="6C4E76C9" w14:textId="77777777" w:rsidTr="00CA1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9659" w:type="dxa"/>
          </w:tcPr>
          <w:p w14:paraId="26ECFA63" w14:textId="77777777" w:rsidR="000B2FD4" w:rsidRPr="00950C39" w:rsidRDefault="000B2FD4" w:rsidP="00CA19DA">
            <w:pPr>
              <w:pStyle w:val="naisf"/>
              <w:tabs>
                <w:tab w:val="left" w:pos="4644"/>
              </w:tabs>
              <w:spacing w:before="0" w:after="120"/>
              <w:ind w:firstLine="0"/>
              <w:jc w:val="center"/>
              <w:rPr>
                <w:sz w:val="28"/>
                <w:szCs w:val="28"/>
              </w:rPr>
            </w:pPr>
            <w:r w:rsidRPr="00950C39">
              <w:rPr>
                <w:iCs/>
                <w:sz w:val="28"/>
                <w:szCs w:val="28"/>
              </w:rPr>
              <w:t>Projekts šo jomu neskar.</w:t>
            </w:r>
          </w:p>
        </w:tc>
      </w:tr>
    </w:tbl>
    <w:p w14:paraId="19300085" w14:textId="77777777" w:rsidR="000B2FD4" w:rsidRPr="00950C39" w:rsidRDefault="000B2FD4" w:rsidP="00A47B61">
      <w:pPr>
        <w:pStyle w:val="naisf"/>
        <w:spacing w:before="0" w:after="120"/>
        <w:ind w:firstLine="0"/>
        <w:rPr>
          <w:b/>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6946"/>
      </w:tblGrid>
      <w:tr w:rsidR="006F4F80" w:rsidRPr="00950C39" w14:paraId="091986B1" w14:textId="77777777" w:rsidTr="00B11822">
        <w:tc>
          <w:tcPr>
            <w:tcW w:w="9640" w:type="dxa"/>
            <w:gridSpan w:val="3"/>
            <w:shd w:val="clear" w:color="auto" w:fill="auto"/>
          </w:tcPr>
          <w:p w14:paraId="6190BFC3" w14:textId="77777777" w:rsidR="006F4F80" w:rsidRPr="00950C39" w:rsidRDefault="006F4F80" w:rsidP="00F13713">
            <w:pPr>
              <w:pStyle w:val="naisf"/>
              <w:spacing w:before="0" w:after="120"/>
              <w:ind w:firstLine="0"/>
              <w:jc w:val="center"/>
              <w:rPr>
                <w:b/>
                <w:iCs/>
                <w:sz w:val="28"/>
                <w:szCs w:val="28"/>
              </w:rPr>
            </w:pPr>
            <w:r w:rsidRPr="00950C39">
              <w:rPr>
                <w:b/>
                <w:iCs/>
                <w:sz w:val="28"/>
                <w:szCs w:val="28"/>
              </w:rPr>
              <w:t>VI.</w:t>
            </w:r>
            <w:r w:rsidR="00676169" w:rsidRPr="00950C39">
              <w:rPr>
                <w:b/>
                <w:iCs/>
                <w:sz w:val="28"/>
                <w:szCs w:val="28"/>
              </w:rPr>
              <w:t> </w:t>
            </w:r>
            <w:r w:rsidRPr="00950C39">
              <w:rPr>
                <w:b/>
                <w:iCs/>
                <w:sz w:val="28"/>
                <w:szCs w:val="28"/>
              </w:rPr>
              <w:t>Sabiedrības līdzdalība un šīs līdzdalības rezultāti</w:t>
            </w:r>
          </w:p>
        </w:tc>
      </w:tr>
      <w:tr w:rsidR="007F08BD" w:rsidRPr="00950C39" w14:paraId="09D55C85" w14:textId="77777777" w:rsidTr="00344598">
        <w:tc>
          <w:tcPr>
            <w:tcW w:w="426" w:type="dxa"/>
            <w:shd w:val="clear" w:color="auto" w:fill="auto"/>
          </w:tcPr>
          <w:p w14:paraId="3350E887" w14:textId="77777777" w:rsidR="007F08BD" w:rsidRPr="00950C39" w:rsidRDefault="007F08BD" w:rsidP="00F13713">
            <w:pPr>
              <w:pStyle w:val="naisf"/>
              <w:spacing w:before="0" w:after="120"/>
              <w:ind w:firstLine="0"/>
              <w:jc w:val="left"/>
              <w:rPr>
                <w:iCs/>
                <w:sz w:val="28"/>
                <w:szCs w:val="28"/>
              </w:rPr>
            </w:pPr>
            <w:r w:rsidRPr="00950C39">
              <w:rPr>
                <w:iCs/>
                <w:sz w:val="28"/>
                <w:szCs w:val="28"/>
              </w:rPr>
              <w:t>1.</w:t>
            </w:r>
          </w:p>
        </w:tc>
        <w:tc>
          <w:tcPr>
            <w:tcW w:w="2268" w:type="dxa"/>
            <w:shd w:val="clear" w:color="auto" w:fill="auto"/>
          </w:tcPr>
          <w:p w14:paraId="41F54DAC" w14:textId="77777777" w:rsidR="007F08BD" w:rsidRPr="00950C39" w:rsidRDefault="00B20E75" w:rsidP="00F13713">
            <w:pPr>
              <w:pStyle w:val="naisf"/>
              <w:spacing w:before="0" w:after="120"/>
              <w:ind w:firstLine="0"/>
              <w:jc w:val="left"/>
              <w:rPr>
                <w:iCs/>
                <w:sz w:val="28"/>
                <w:szCs w:val="28"/>
              </w:rPr>
            </w:pPr>
            <w:r w:rsidRPr="00950C39">
              <w:rPr>
                <w:sz w:val="28"/>
                <w:szCs w:val="28"/>
              </w:rPr>
              <w:t>Plānotās s</w:t>
            </w:r>
            <w:r w:rsidR="007F08BD" w:rsidRPr="00950C39">
              <w:rPr>
                <w:sz w:val="28"/>
                <w:szCs w:val="28"/>
              </w:rPr>
              <w:t xml:space="preserve">abiedrības </w:t>
            </w:r>
            <w:r w:rsidRPr="00950C39">
              <w:rPr>
                <w:sz w:val="28"/>
                <w:szCs w:val="28"/>
              </w:rPr>
              <w:t>līdzdalības un komunikācijas aktivitātes saistībā ar projektu</w:t>
            </w:r>
          </w:p>
        </w:tc>
        <w:tc>
          <w:tcPr>
            <w:tcW w:w="6946" w:type="dxa"/>
            <w:shd w:val="clear" w:color="auto" w:fill="auto"/>
          </w:tcPr>
          <w:p w14:paraId="7AB19606" w14:textId="77777777" w:rsidR="006C472B" w:rsidRPr="00950C39" w:rsidRDefault="000E5902" w:rsidP="00F13713">
            <w:pPr>
              <w:pStyle w:val="naisf"/>
              <w:spacing w:before="0" w:after="120"/>
              <w:ind w:firstLine="0"/>
              <w:rPr>
                <w:sz w:val="28"/>
                <w:szCs w:val="28"/>
              </w:rPr>
            </w:pPr>
            <w:r w:rsidRPr="00950C39">
              <w:rPr>
                <w:sz w:val="28"/>
                <w:szCs w:val="28"/>
              </w:rPr>
              <w:t>Sabiedrības līdzdalība tik</w:t>
            </w:r>
            <w:r w:rsidR="00743938">
              <w:rPr>
                <w:sz w:val="28"/>
                <w:szCs w:val="28"/>
              </w:rPr>
              <w:t>a</w:t>
            </w:r>
            <w:r w:rsidRPr="00950C39">
              <w:rPr>
                <w:sz w:val="28"/>
                <w:szCs w:val="28"/>
              </w:rPr>
              <w:t xml:space="preserve"> nodrošināta atb</w:t>
            </w:r>
            <w:r w:rsidR="0055570F" w:rsidRPr="00950C39">
              <w:rPr>
                <w:sz w:val="28"/>
                <w:szCs w:val="28"/>
              </w:rPr>
              <w:t>ilstoši Ministru kabineta 2009. gada 25. augusta noteikumiem Nr. </w:t>
            </w:r>
            <w:r w:rsidRPr="00950C39">
              <w:rPr>
                <w:sz w:val="28"/>
                <w:szCs w:val="28"/>
              </w:rPr>
              <w:t>970 “Sabiedrības līdzdalības kārtība attīstības plānošanas procesā”</w:t>
            </w:r>
            <w:r w:rsidR="00221469" w:rsidRPr="00950C39">
              <w:t xml:space="preserve"> </w:t>
            </w:r>
            <w:r w:rsidR="00221469" w:rsidRPr="00950C39">
              <w:rPr>
                <w:sz w:val="28"/>
                <w:szCs w:val="28"/>
              </w:rPr>
              <w:t>7.4.</w:t>
            </w:r>
            <w:r w:rsidR="00221469" w:rsidRPr="00950C39">
              <w:rPr>
                <w:sz w:val="28"/>
                <w:szCs w:val="28"/>
                <w:vertAlign w:val="superscript"/>
              </w:rPr>
              <w:t>1</w:t>
            </w:r>
            <w:r w:rsidR="00221469" w:rsidRPr="00950C39">
              <w:rPr>
                <w:sz w:val="28"/>
                <w:szCs w:val="28"/>
              </w:rPr>
              <w:t> apakšpunktam</w:t>
            </w:r>
            <w:r w:rsidRPr="00950C39">
              <w:rPr>
                <w:sz w:val="28"/>
                <w:szCs w:val="28"/>
              </w:rPr>
              <w:t xml:space="preserve">. Ieinteresētajām personām </w:t>
            </w:r>
            <w:r w:rsidR="00743938">
              <w:rPr>
                <w:sz w:val="28"/>
                <w:szCs w:val="28"/>
              </w:rPr>
              <w:t>bija iespēja izmantot</w:t>
            </w:r>
            <w:r w:rsidRPr="00950C39">
              <w:rPr>
                <w:sz w:val="28"/>
                <w:szCs w:val="28"/>
              </w:rPr>
              <w:t xml:space="preserve"> tiesības izteikt viedokli un sniegt rakstiskus priekšlikumus.</w:t>
            </w:r>
          </w:p>
        </w:tc>
      </w:tr>
      <w:tr w:rsidR="007F08BD" w:rsidRPr="00950C39" w14:paraId="3ECEFB5E" w14:textId="77777777" w:rsidTr="00344598">
        <w:tc>
          <w:tcPr>
            <w:tcW w:w="426" w:type="dxa"/>
            <w:shd w:val="clear" w:color="auto" w:fill="auto"/>
          </w:tcPr>
          <w:p w14:paraId="594B0300" w14:textId="77777777" w:rsidR="007F08BD" w:rsidRPr="00950C39" w:rsidDel="007F08BD" w:rsidRDefault="007F08BD" w:rsidP="00F13713">
            <w:pPr>
              <w:pStyle w:val="naisf"/>
              <w:spacing w:before="0" w:after="120"/>
              <w:ind w:firstLine="0"/>
              <w:jc w:val="left"/>
              <w:rPr>
                <w:iCs/>
                <w:sz w:val="28"/>
                <w:szCs w:val="28"/>
              </w:rPr>
            </w:pPr>
            <w:r w:rsidRPr="00950C39">
              <w:rPr>
                <w:iCs/>
                <w:sz w:val="28"/>
                <w:szCs w:val="28"/>
              </w:rPr>
              <w:t>2.</w:t>
            </w:r>
          </w:p>
        </w:tc>
        <w:tc>
          <w:tcPr>
            <w:tcW w:w="2268" w:type="dxa"/>
            <w:shd w:val="clear" w:color="auto" w:fill="auto"/>
          </w:tcPr>
          <w:p w14:paraId="2DBF090B" w14:textId="77777777" w:rsidR="007F08BD" w:rsidRPr="00950C39" w:rsidRDefault="007F08BD" w:rsidP="00F13713">
            <w:pPr>
              <w:pStyle w:val="naisf"/>
              <w:spacing w:before="0" w:after="120"/>
              <w:ind w:firstLine="0"/>
              <w:jc w:val="left"/>
              <w:rPr>
                <w:iCs/>
                <w:sz w:val="28"/>
                <w:szCs w:val="28"/>
              </w:rPr>
            </w:pPr>
            <w:r w:rsidRPr="00950C39">
              <w:rPr>
                <w:sz w:val="28"/>
                <w:szCs w:val="28"/>
              </w:rPr>
              <w:t>Sabiedrības līdzdalība projekta izstrādē</w:t>
            </w:r>
          </w:p>
        </w:tc>
        <w:tc>
          <w:tcPr>
            <w:tcW w:w="6946" w:type="dxa"/>
            <w:shd w:val="clear" w:color="auto" w:fill="auto"/>
          </w:tcPr>
          <w:p w14:paraId="14CAB002" w14:textId="0FEFDAEC" w:rsidR="000D1218" w:rsidRPr="00950C39" w:rsidRDefault="00D2276B" w:rsidP="0049189E">
            <w:pPr>
              <w:pStyle w:val="naisf"/>
              <w:spacing w:before="0" w:after="120"/>
              <w:ind w:firstLine="0"/>
              <w:rPr>
                <w:sz w:val="28"/>
                <w:szCs w:val="28"/>
              </w:rPr>
            </w:pPr>
            <w:r w:rsidRPr="00950C39">
              <w:rPr>
                <w:sz w:val="28"/>
                <w:szCs w:val="28"/>
              </w:rPr>
              <w:t xml:space="preserve">Likumprojekts un tā anotācija </w:t>
            </w:r>
            <w:r w:rsidR="00743938">
              <w:rPr>
                <w:sz w:val="28"/>
                <w:szCs w:val="28"/>
              </w:rPr>
              <w:t xml:space="preserve">2019. gada 28. novembrī </w:t>
            </w:r>
            <w:r w:rsidRPr="00950C39">
              <w:rPr>
                <w:sz w:val="28"/>
                <w:szCs w:val="28"/>
              </w:rPr>
              <w:t>ievietot</w:t>
            </w:r>
            <w:r w:rsidR="00743938">
              <w:rPr>
                <w:sz w:val="28"/>
                <w:szCs w:val="28"/>
              </w:rPr>
              <w:t>i</w:t>
            </w:r>
            <w:r w:rsidRPr="00950C39">
              <w:rPr>
                <w:sz w:val="28"/>
                <w:szCs w:val="28"/>
              </w:rPr>
              <w:t xml:space="preserve"> VARAM tīmekļvietnes</w:t>
            </w:r>
            <w:r w:rsidR="00743938">
              <w:rPr>
                <w:sz w:val="28"/>
                <w:szCs w:val="28"/>
              </w:rPr>
              <w:t xml:space="preserve"> </w:t>
            </w:r>
            <w:r w:rsidRPr="00950C39">
              <w:rPr>
                <w:sz w:val="28"/>
                <w:szCs w:val="28"/>
              </w:rPr>
              <w:t>sadaļā “Sabiedrības līdzdalība”.</w:t>
            </w:r>
            <w:r w:rsidR="00743938">
              <w:rPr>
                <w:sz w:val="28"/>
                <w:szCs w:val="28"/>
              </w:rPr>
              <w:t xml:space="preserve"> Informācija par sabiedrības iespējām līdzdarboties Likumprojekta izstrādē 2019. gada 29. novembrī publicēta Valsts kancelejas tīmekļa vietnē.</w:t>
            </w:r>
          </w:p>
        </w:tc>
      </w:tr>
      <w:tr w:rsidR="007F08BD" w:rsidRPr="00950C39" w14:paraId="0608AF23" w14:textId="77777777" w:rsidTr="00344598">
        <w:tc>
          <w:tcPr>
            <w:tcW w:w="426" w:type="dxa"/>
            <w:shd w:val="clear" w:color="auto" w:fill="auto"/>
          </w:tcPr>
          <w:p w14:paraId="258E194B" w14:textId="77777777" w:rsidR="007F08BD" w:rsidRPr="00950C39" w:rsidDel="007F08BD" w:rsidRDefault="007F08BD" w:rsidP="00F13713">
            <w:pPr>
              <w:pStyle w:val="naisf"/>
              <w:spacing w:before="0" w:after="120"/>
              <w:ind w:firstLine="0"/>
              <w:jc w:val="left"/>
              <w:rPr>
                <w:iCs/>
                <w:sz w:val="28"/>
                <w:szCs w:val="28"/>
              </w:rPr>
            </w:pPr>
            <w:r w:rsidRPr="00950C39">
              <w:rPr>
                <w:iCs/>
                <w:sz w:val="28"/>
                <w:szCs w:val="28"/>
              </w:rPr>
              <w:t>3.</w:t>
            </w:r>
          </w:p>
        </w:tc>
        <w:tc>
          <w:tcPr>
            <w:tcW w:w="2268" w:type="dxa"/>
            <w:shd w:val="clear" w:color="auto" w:fill="auto"/>
          </w:tcPr>
          <w:p w14:paraId="576D2B69" w14:textId="77777777" w:rsidR="007F08BD" w:rsidRPr="00950C39" w:rsidRDefault="007F08BD" w:rsidP="00F13713">
            <w:pPr>
              <w:pStyle w:val="naisf"/>
              <w:spacing w:before="0" w:after="120"/>
              <w:ind w:firstLine="0"/>
              <w:jc w:val="left"/>
              <w:rPr>
                <w:iCs/>
                <w:sz w:val="28"/>
                <w:szCs w:val="28"/>
              </w:rPr>
            </w:pPr>
            <w:r w:rsidRPr="00950C39">
              <w:rPr>
                <w:sz w:val="28"/>
                <w:szCs w:val="28"/>
              </w:rPr>
              <w:t>Sabiedrības līdzdalības rezultāti</w:t>
            </w:r>
          </w:p>
        </w:tc>
        <w:tc>
          <w:tcPr>
            <w:tcW w:w="6946" w:type="dxa"/>
            <w:shd w:val="clear" w:color="auto" w:fill="auto"/>
          </w:tcPr>
          <w:p w14:paraId="12273AD5" w14:textId="77777777" w:rsidR="00B20E75" w:rsidRPr="00950C39" w:rsidRDefault="001972C7" w:rsidP="00F13713">
            <w:pPr>
              <w:pStyle w:val="naisf"/>
              <w:spacing w:before="0" w:after="120"/>
              <w:ind w:firstLine="0"/>
              <w:rPr>
                <w:iCs/>
                <w:sz w:val="28"/>
                <w:szCs w:val="28"/>
              </w:rPr>
            </w:pPr>
            <w:r>
              <w:rPr>
                <w:sz w:val="28"/>
                <w:szCs w:val="28"/>
              </w:rPr>
              <w:t>Priekšlikumi netika saņemti.</w:t>
            </w:r>
          </w:p>
        </w:tc>
      </w:tr>
      <w:tr w:rsidR="007F08BD" w:rsidRPr="00950C39" w14:paraId="05017502" w14:textId="77777777" w:rsidTr="00344598">
        <w:tc>
          <w:tcPr>
            <w:tcW w:w="426" w:type="dxa"/>
            <w:shd w:val="clear" w:color="auto" w:fill="auto"/>
          </w:tcPr>
          <w:p w14:paraId="16337635" w14:textId="77777777" w:rsidR="007F08BD" w:rsidRPr="00950C39" w:rsidDel="007F08BD" w:rsidRDefault="00B20E75" w:rsidP="00F13713">
            <w:pPr>
              <w:pStyle w:val="naisf"/>
              <w:spacing w:before="0" w:after="120"/>
              <w:ind w:firstLine="0"/>
              <w:jc w:val="left"/>
              <w:rPr>
                <w:iCs/>
                <w:sz w:val="28"/>
                <w:szCs w:val="28"/>
              </w:rPr>
            </w:pPr>
            <w:r w:rsidRPr="00950C39">
              <w:rPr>
                <w:iCs/>
                <w:sz w:val="28"/>
                <w:szCs w:val="28"/>
              </w:rPr>
              <w:t>4</w:t>
            </w:r>
            <w:r w:rsidR="007F08BD" w:rsidRPr="00950C39">
              <w:rPr>
                <w:iCs/>
                <w:sz w:val="28"/>
                <w:szCs w:val="28"/>
              </w:rPr>
              <w:t>.</w:t>
            </w:r>
          </w:p>
        </w:tc>
        <w:tc>
          <w:tcPr>
            <w:tcW w:w="2268" w:type="dxa"/>
            <w:shd w:val="clear" w:color="auto" w:fill="auto"/>
          </w:tcPr>
          <w:p w14:paraId="4F4A9456" w14:textId="77777777" w:rsidR="007F08BD" w:rsidRPr="00950C39" w:rsidRDefault="007F08BD" w:rsidP="00F13713">
            <w:pPr>
              <w:pStyle w:val="naisf"/>
              <w:spacing w:before="0" w:after="120"/>
              <w:ind w:firstLine="0"/>
              <w:jc w:val="left"/>
              <w:rPr>
                <w:iCs/>
                <w:sz w:val="28"/>
                <w:szCs w:val="28"/>
              </w:rPr>
            </w:pPr>
            <w:r w:rsidRPr="00950C39">
              <w:rPr>
                <w:sz w:val="28"/>
                <w:szCs w:val="28"/>
              </w:rPr>
              <w:t>Cita informācija</w:t>
            </w:r>
          </w:p>
        </w:tc>
        <w:tc>
          <w:tcPr>
            <w:tcW w:w="6946" w:type="dxa"/>
            <w:shd w:val="clear" w:color="auto" w:fill="auto"/>
          </w:tcPr>
          <w:p w14:paraId="7B299336" w14:textId="77777777" w:rsidR="007F08BD" w:rsidRPr="00950C39" w:rsidRDefault="00380D9D" w:rsidP="00F13713">
            <w:pPr>
              <w:pStyle w:val="naisf"/>
              <w:spacing w:before="0" w:after="120"/>
              <w:ind w:firstLine="0"/>
              <w:jc w:val="left"/>
              <w:rPr>
                <w:iCs/>
                <w:sz w:val="28"/>
                <w:szCs w:val="28"/>
              </w:rPr>
            </w:pPr>
            <w:r w:rsidRPr="00950C39">
              <w:rPr>
                <w:iCs/>
                <w:sz w:val="28"/>
                <w:szCs w:val="28"/>
              </w:rPr>
              <w:t>Nav</w:t>
            </w:r>
          </w:p>
        </w:tc>
      </w:tr>
    </w:tbl>
    <w:p w14:paraId="23F280E8" w14:textId="77777777" w:rsidR="00E375B5" w:rsidRDefault="00E375B5" w:rsidP="00F13713">
      <w:pPr>
        <w:pStyle w:val="naisf"/>
        <w:spacing w:before="0" w:after="120"/>
        <w:ind w:firstLine="0"/>
        <w:rPr>
          <w:b/>
          <w:sz w:val="28"/>
          <w:szCs w:val="28"/>
        </w:rPr>
      </w:pPr>
    </w:p>
    <w:p w14:paraId="567BFCB5" w14:textId="77777777" w:rsidR="004175DB" w:rsidRPr="00950C39" w:rsidRDefault="004175DB" w:rsidP="00F13713">
      <w:pPr>
        <w:pStyle w:val="naisf"/>
        <w:spacing w:before="0" w:after="120"/>
        <w:ind w:firstLine="0"/>
        <w:rPr>
          <w:b/>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570"/>
        <w:gridCol w:w="4584"/>
      </w:tblGrid>
      <w:tr w:rsidR="006F4F80" w:rsidRPr="00950C39" w14:paraId="4951BB24" w14:textId="77777777" w:rsidTr="00B20E75">
        <w:tc>
          <w:tcPr>
            <w:tcW w:w="9640" w:type="dxa"/>
            <w:gridSpan w:val="3"/>
            <w:shd w:val="clear" w:color="auto" w:fill="auto"/>
          </w:tcPr>
          <w:p w14:paraId="2947FA15" w14:textId="77777777" w:rsidR="006F4F80" w:rsidRPr="00950C39" w:rsidRDefault="006F4F80" w:rsidP="00F13713">
            <w:pPr>
              <w:pStyle w:val="naisf"/>
              <w:spacing w:before="0" w:after="120"/>
              <w:ind w:firstLine="0"/>
              <w:jc w:val="center"/>
              <w:rPr>
                <w:b/>
                <w:iCs/>
                <w:sz w:val="28"/>
                <w:szCs w:val="28"/>
              </w:rPr>
            </w:pPr>
            <w:r w:rsidRPr="00950C39">
              <w:rPr>
                <w:b/>
                <w:iCs/>
                <w:sz w:val="28"/>
                <w:szCs w:val="28"/>
              </w:rPr>
              <w:t>VII.</w:t>
            </w:r>
            <w:r w:rsidR="00676169" w:rsidRPr="00950C39">
              <w:rPr>
                <w:b/>
                <w:iCs/>
                <w:sz w:val="28"/>
                <w:szCs w:val="28"/>
              </w:rPr>
              <w:t> </w:t>
            </w:r>
            <w:r w:rsidRPr="00950C39">
              <w:rPr>
                <w:b/>
                <w:iCs/>
                <w:sz w:val="28"/>
                <w:szCs w:val="28"/>
              </w:rPr>
              <w:t>Tiesību akta projekta izpildes nodrošināšana un tās ietekme uz institūcijām</w:t>
            </w:r>
          </w:p>
        </w:tc>
      </w:tr>
      <w:tr w:rsidR="00F809B1" w:rsidRPr="00950C39" w14:paraId="5B2CE5B4" w14:textId="77777777" w:rsidTr="00DA4D0D">
        <w:tblPrEx>
          <w:jc w:val="center"/>
          <w:tblInd w:w="0" w:type="dxa"/>
          <w:tblCellMar>
            <w:top w:w="28" w:type="dxa"/>
            <w:left w:w="28" w:type="dxa"/>
            <w:bottom w:w="28" w:type="dxa"/>
            <w:right w:w="28" w:type="dxa"/>
          </w:tblCellMar>
          <w:tblLook w:val="0000" w:firstRow="0" w:lastRow="0" w:firstColumn="0" w:lastColumn="0" w:noHBand="0" w:noVBand="0"/>
        </w:tblPrEx>
        <w:trPr>
          <w:trHeight w:val="427"/>
          <w:jc w:val="center"/>
        </w:trPr>
        <w:tc>
          <w:tcPr>
            <w:tcW w:w="486" w:type="dxa"/>
            <w:tcMar>
              <w:top w:w="57" w:type="dxa"/>
              <w:left w:w="57" w:type="dxa"/>
              <w:bottom w:w="57" w:type="dxa"/>
              <w:right w:w="57" w:type="dxa"/>
            </w:tcMar>
          </w:tcPr>
          <w:p w14:paraId="5F8520CE" w14:textId="77777777" w:rsidR="00F809B1" w:rsidRPr="00950C39" w:rsidRDefault="00F809B1" w:rsidP="00F13713">
            <w:pPr>
              <w:pStyle w:val="naisnod"/>
              <w:spacing w:before="0" w:after="120"/>
              <w:ind w:left="57" w:right="57"/>
              <w:jc w:val="left"/>
              <w:rPr>
                <w:b w:val="0"/>
                <w:sz w:val="28"/>
                <w:szCs w:val="28"/>
              </w:rPr>
            </w:pPr>
            <w:r w:rsidRPr="00950C39">
              <w:rPr>
                <w:b w:val="0"/>
                <w:sz w:val="28"/>
                <w:szCs w:val="28"/>
              </w:rPr>
              <w:t>1.</w:t>
            </w:r>
          </w:p>
        </w:tc>
        <w:tc>
          <w:tcPr>
            <w:tcW w:w="4570" w:type="dxa"/>
            <w:tcMar>
              <w:top w:w="57" w:type="dxa"/>
              <w:left w:w="57" w:type="dxa"/>
              <w:bottom w:w="57" w:type="dxa"/>
              <w:right w:w="57" w:type="dxa"/>
            </w:tcMar>
          </w:tcPr>
          <w:p w14:paraId="114858AE" w14:textId="77777777" w:rsidR="00F809B1" w:rsidRPr="00950C39" w:rsidRDefault="00F809B1" w:rsidP="00F13713">
            <w:pPr>
              <w:pStyle w:val="naisf"/>
              <w:spacing w:before="0" w:after="120"/>
              <w:ind w:left="57" w:right="57" w:firstLine="0"/>
              <w:jc w:val="left"/>
              <w:rPr>
                <w:sz w:val="28"/>
                <w:szCs w:val="28"/>
              </w:rPr>
            </w:pPr>
            <w:r w:rsidRPr="00950C39">
              <w:rPr>
                <w:sz w:val="28"/>
                <w:szCs w:val="28"/>
              </w:rPr>
              <w:t xml:space="preserve">Projekta izpildē iesaistītās institūcijas </w:t>
            </w:r>
          </w:p>
        </w:tc>
        <w:tc>
          <w:tcPr>
            <w:tcW w:w="4418" w:type="dxa"/>
            <w:tcMar>
              <w:top w:w="57" w:type="dxa"/>
              <w:left w:w="57" w:type="dxa"/>
              <w:bottom w:w="57" w:type="dxa"/>
              <w:right w:w="57" w:type="dxa"/>
            </w:tcMar>
          </w:tcPr>
          <w:p w14:paraId="1F7EB686" w14:textId="77777777" w:rsidR="00F809B1" w:rsidRPr="00950C39" w:rsidRDefault="00F809B1" w:rsidP="005A63F4">
            <w:pPr>
              <w:pStyle w:val="naisc"/>
              <w:spacing w:before="0" w:after="120"/>
              <w:jc w:val="both"/>
              <w:rPr>
                <w:sz w:val="28"/>
                <w:szCs w:val="28"/>
              </w:rPr>
            </w:pPr>
            <w:r w:rsidRPr="00950C39">
              <w:rPr>
                <w:sz w:val="28"/>
                <w:szCs w:val="28"/>
              </w:rPr>
              <w:t xml:space="preserve">VARAM, </w:t>
            </w:r>
            <w:r w:rsidR="008264D6">
              <w:rPr>
                <w:sz w:val="28"/>
                <w:szCs w:val="28"/>
              </w:rPr>
              <w:t>VVD</w:t>
            </w:r>
            <w:r w:rsidR="005D3429" w:rsidRPr="00950C39">
              <w:rPr>
                <w:sz w:val="28"/>
                <w:szCs w:val="28"/>
              </w:rPr>
              <w:t xml:space="preserve">, </w:t>
            </w:r>
            <w:r w:rsidR="008264D6">
              <w:rPr>
                <w:sz w:val="28"/>
                <w:szCs w:val="28"/>
              </w:rPr>
              <w:t>PTAC</w:t>
            </w:r>
            <w:r w:rsidR="005D3429" w:rsidRPr="00950C39">
              <w:rPr>
                <w:sz w:val="28"/>
                <w:szCs w:val="28"/>
              </w:rPr>
              <w:t xml:space="preserve">, </w:t>
            </w:r>
            <w:r w:rsidR="008264D6">
              <w:rPr>
                <w:sz w:val="28"/>
                <w:szCs w:val="28"/>
              </w:rPr>
              <w:t>PVD</w:t>
            </w:r>
            <w:r w:rsidR="005D3429" w:rsidRPr="00950C39">
              <w:rPr>
                <w:sz w:val="28"/>
                <w:szCs w:val="28"/>
              </w:rPr>
              <w:t xml:space="preserve">, </w:t>
            </w:r>
            <w:r w:rsidR="008264D6">
              <w:rPr>
                <w:sz w:val="28"/>
                <w:szCs w:val="28"/>
              </w:rPr>
              <w:t>VI</w:t>
            </w:r>
            <w:r w:rsidR="007108DD" w:rsidRPr="00950C39">
              <w:rPr>
                <w:sz w:val="28"/>
                <w:szCs w:val="28"/>
              </w:rPr>
              <w:t xml:space="preserve"> </w:t>
            </w:r>
            <w:r w:rsidR="005D3429" w:rsidRPr="00950C39">
              <w:rPr>
                <w:sz w:val="28"/>
                <w:szCs w:val="28"/>
              </w:rPr>
              <w:t xml:space="preserve">un </w:t>
            </w:r>
            <w:r w:rsidR="005A63F4">
              <w:rPr>
                <w:sz w:val="28"/>
                <w:szCs w:val="28"/>
              </w:rPr>
              <w:t>VID</w:t>
            </w:r>
            <w:r w:rsidR="00584EDA" w:rsidRPr="00950C39">
              <w:rPr>
                <w:sz w:val="28"/>
                <w:szCs w:val="28"/>
              </w:rPr>
              <w:t>.</w:t>
            </w:r>
            <w:r w:rsidRPr="00950C39">
              <w:rPr>
                <w:sz w:val="28"/>
                <w:szCs w:val="28"/>
              </w:rPr>
              <w:t xml:space="preserve"> </w:t>
            </w:r>
          </w:p>
        </w:tc>
      </w:tr>
      <w:tr w:rsidR="00950C39" w:rsidRPr="00950C39" w14:paraId="23C29657" w14:textId="77777777" w:rsidTr="00DA4D0D">
        <w:tblPrEx>
          <w:jc w:val="center"/>
          <w:tblInd w:w="0" w:type="dxa"/>
          <w:tblCellMar>
            <w:top w:w="28" w:type="dxa"/>
            <w:left w:w="28" w:type="dxa"/>
            <w:bottom w:w="28" w:type="dxa"/>
            <w:right w:w="28" w:type="dxa"/>
          </w:tblCellMar>
          <w:tblLook w:val="0000" w:firstRow="0" w:lastRow="0" w:firstColumn="0" w:lastColumn="0" w:noHBand="0" w:noVBand="0"/>
        </w:tblPrEx>
        <w:trPr>
          <w:trHeight w:val="463"/>
          <w:jc w:val="center"/>
        </w:trPr>
        <w:tc>
          <w:tcPr>
            <w:tcW w:w="486" w:type="dxa"/>
            <w:tcMar>
              <w:top w:w="57" w:type="dxa"/>
              <w:left w:w="57" w:type="dxa"/>
              <w:bottom w:w="57" w:type="dxa"/>
              <w:right w:w="57" w:type="dxa"/>
            </w:tcMar>
          </w:tcPr>
          <w:p w14:paraId="64751EFA" w14:textId="77777777" w:rsidR="00F809B1" w:rsidRPr="00950C39" w:rsidRDefault="00F809B1" w:rsidP="00F13713">
            <w:pPr>
              <w:pStyle w:val="naisnod"/>
              <w:spacing w:before="0" w:after="120"/>
              <w:ind w:left="57" w:right="57"/>
              <w:jc w:val="left"/>
              <w:rPr>
                <w:b w:val="0"/>
                <w:sz w:val="28"/>
                <w:szCs w:val="28"/>
              </w:rPr>
            </w:pPr>
            <w:r w:rsidRPr="00950C39">
              <w:rPr>
                <w:b w:val="0"/>
                <w:sz w:val="28"/>
                <w:szCs w:val="28"/>
              </w:rPr>
              <w:t>2.</w:t>
            </w:r>
          </w:p>
        </w:tc>
        <w:tc>
          <w:tcPr>
            <w:tcW w:w="4570" w:type="dxa"/>
            <w:tcMar>
              <w:top w:w="57" w:type="dxa"/>
              <w:left w:w="57" w:type="dxa"/>
              <w:bottom w:w="57" w:type="dxa"/>
              <w:right w:w="57" w:type="dxa"/>
            </w:tcMar>
          </w:tcPr>
          <w:p w14:paraId="7C324EEF" w14:textId="77777777" w:rsidR="00F809B1" w:rsidRPr="00950C39" w:rsidRDefault="00F809B1" w:rsidP="00F13713">
            <w:pPr>
              <w:pStyle w:val="naisf"/>
              <w:spacing w:before="0" w:after="120"/>
              <w:ind w:left="57" w:right="57" w:firstLine="0"/>
              <w:jc w:val="left"/>
              <w:rPr>
                <w:sz w:val="28"/>
                <w:szCs w:val="28"/>
              </w:rPr>
            </w:pPr>
            <w:r w:rsidRPr="00950C39">
              <w:rPr>
                <w:sz w:val="28"/>
                <w:szCs w:val="28"/>
              </w:rPr>
              <w:t>Projekta izpildes ietekme uz pārvaldes funkcijām un institucionālo struktūru</w:t>
            </w:r>
          </w:p>
        </w:tc>
        <w:tc>
          <w:tcPr>
            <w:tcW w:w="4418" w:type="dxa"/>
            <w:tcMar>
              <w:top w:w="57" w:type="dxa"/>
              <w:left w:w="57" w:type="dxa"/>
              <w:bottom w:w="57" w:type="dxa"/>
              <w:right w:w="57" w:type="dxa"/>
            </w:tcMar>
          </w:tcPr>
          <w:p w14:paraId="310B192B" w14:textId="77777777" w:rsidR="009819D9" w:rsidRPr="00950C39" w:rsidRDefault="009819D9" w:rsidP="004C3083">
            <w:pPr>
              <w:pStyle w:val="naisnod"/>
              <w:spacing w:before="0" w:after="120"/>
              <w:ind w:right="57"/>
              <w:jc w:val="both"/>
              <w:rPr>
                <w:b w:val="0"/>
                <w:sz w:val="28"/>
                <w:szCs w:val="28"/>
              </w:rPr>
            </w:pPr>
            <w:r w:rsidRPr="00950C39">
              <w:rPr>
                <w:b w:val="0"/>
                <w:sz w:val="28"/>
                <w:szCs w:val="28"/>
              </w:rPr>
              <w:t>Likumprojekts neparedz jaunu institūciju izveidi, likvidāciju vai reorganizāciju.</w:t>
            </w:r>
          </w:p>
          <w:p w14:paraId="11D1414B" w14:textId="77777777" w:rsidR="000D1218" w:rsidRPr="00950C39" w:rsidRDefault="000D1218" w:rsidP="00522B4B">
            <w:pPr>
              <w:pStyle w:val="naisnod"/>
              <w:spacing w:before="0" w:after="0"/>
              <w:ind w:right="57"/>
              <w:jc w:val="both"/>
              <w:rPr>
                <w:b w:val="0"/>
                <w:sz w:val="28"/>
                <w:szCs w:val="28"/>
              </w:rPr>
            </w:pPr>
            <w:r w:rsidRPr="00950C39">
              <w:rPr>
                <w:b w:val="0"/>
                <w:sz w:val="28"/>
                <w:szCs w:val="28"/>
              </w:rPr>
              <w:t>Ar Likumpr</w:t>
            </w:r>
            <w:r w:rsidR="00DF7D0B" w:rsidRPr="00950C39">
              <w:rPr>
                <w:b w:val="0"/>
                <w:sz w:val="28"/>
                <w:szCs w:val="28"/>
              </w:rPr>
              <w:t xml:space="preserve">ojektu noteiktais pienākums </w:t>
            </w:r>
            <w:r w:rsidR="008264D6">
              <w:rPr>
                <w:b w:val="0"/>
                <w:sz w:val="28"/>
                <w:szCs w:val="28"/>
              </w:rPr>
              <w:t>VVD</w:t>
            </w:r>
            <w:r w:rsidR="00330AA7" w:rsidRPr="00950C39">
              <w:rPr>
                <w:b w:val="0"/>
                <w:sz w:val="28"/>
                <w:szCs w:val="28"/>
              </w:rPr>
              <w:t xml:space="preserve">, </w:t>
            </w:r>
            <w:r w:rsidR="008264D6">
              <w:rPr>
                <w:b w:val="0"/>
                <w:sz w:val="28"/>
                <w:szCs w:val="28"/>
              </w:rPr>
              <w:t>PTAC</w:t>
            </w:r>
            <w:r w:rsidR="00330AA7" w:rsidRPr="00950C39">
              <w:rPr>
                <w:b w:val="0"/>
                <w:sz w:val="28"/>
                <w:szCs w:val="28"/>
              </w:rPr>
              <w:t xml:space="preserve">, </w:t>
            </w:r>
            <w:r w:rsidR="008264D6">
              <w:rPr>
                <w:b w:val="0"/>
                <w:sz w:val="28"/>
                <w:szCs w:val="28"/>
              </w:rPr>
              <w:t>PVD</w:t>
            </w:r>
            <w:r w:rsidR="00330AA7" w:rsidRPr="00950C39">
              <w:rPr>
                <w:b w:val="0"/>
                <w:sz w:val="28"/>
                <w:szCs w:val="28"/>
              </w:rPr>
              <w:t xml:space="preserve">, </w:t>
            </w:r>
            <w:r w:rsidR="008264D6">
              <w:rPr>
                <w:b w:val="0"/>
                <w:sz w:val="28"/>
                <w:szCs w:val="28"/>
              </w:rPr>
              <w:t>VI</w:t>
            </w:r>
            <w:r w:rsidR="00330AA7" w:rsidRPr="00950C39">
              <w:rPr>
                <w:b w:val="0"/>
                <w:sz w:val="28"/>
                <w:szCs w:val="28"/>
              </w:rPr>
              <w:t xml:space="preserve"> un </w:t>
            </w:r>
            <w:r w:rsidR="008264D6">
              <w:rPr>
                <w:b w:val="0"/>
                <w:sz w:val="28"/>
                <w:szCs w:val="28"/>
              </w:rPr>
              <w:t>VID</w:t>
            </w:r>
            <w:r w:rsidRPr="00950C39">
              <w:rPr>
                <w:b w:val="0"/>
                <w:sz w:val="28"/>
                <w:szCs w:val="28"/>
              </w:rPr>
              <w:t xml:space="preserve"> izskatīt administratīvo pārkāpumu lietas radiācijas drošības un kodoldrošības jomā tiks īstenots esošo resursu ietvaros.</w:t>
            </w:r>
          </w:p>
        </w:tc>
      </w:tr>
      <w:tr w:rsidR="00F809B1" w:rsidRPr="00950C39" w14:paraId="7F10313D" w14:textId="77777777" w:rsidTr="003B54C2">
        <w:tblPrEx>
          <w:jc w:val="center"/>
          <w:tblInd w:w="0" w:type="dxa"/>
          <w:tblCellMar>
            <w:top w:w="28" w:type="dxa"/>
            <w:left w:w="28" w:type="dxa"/>
            <w:bottom w:w="28" w:type="dxa"/>
            <w:right w:w="28" w:type="dxa"/>
          </w:tblCellMar>
          <w:tblLook w:val="0000" w:firstRow="0" w:lastRow="0" w:firstColumn="0" w:lastColumn="0" w:noHBand="0" w:noVBand="0"/>
        </w:tblPrEx>
        <w:trPr>
          <w:trHeight w:val="252"/>
          <w:jc w:val="center"/>
        </w:trPr>
        <w:tc>
          <w:tcPr>
            <w:tcW w:w="486" w:type="dxa"/>
            <w:tcMar>
              <w:top w:w="57" w:type="dxa"/>
              <w:left w:w="57" w:type="dxa"/>
              <w:bottom w:w="57" w:type="dxa"/>
              <w:right w:w="57" w:type="dxa"/>
            </w:tcMar>
          </w:tcPr>
          <w:p w14:paraId="7B0E5501" w14:textId="77777777" w:rsidR="00F809B1" w:rsidRPr="00950C39" w:rsidRDefault="00F809B1" w:rsidP="00522B4B">
            <w:pPr>
              <w:pStyle w:val="naiskr"/>
              <w:spacing w:before="0" w:after="0"/>
              <w:ind w:left="57" w:right="57"/>
              <w:rPr>
                <w:sz w:val="28"/>
                <w:szCs w:val="28"/>
              </w:rPr>
            </w:pPr>
            <w:r w:rsidRPr="00950C39">
              <w:rPr>
                <w:sz w:val="28"/>
                <w:szCs w:val="28"/>
              </w:rPr>
              <w:t>3.</w:t>
            </w:r>
          </w:p>
        </w:tc>
        <w:tc>
          <w:tcPr>
            <w:tcW w:w="4570" w:type="dxa"/>
            <w:tcMar>
              <w:top w:w="57" w:type="dxa"/>
              <w:left w:w="57" w:type="dxa"/>
              <w:bottom w:w="57" w:type="dxa"/>
              <w:right w:w="57" w:type="dxa"/>
            </w:tcMar>
          </w:tcPr>
          <w:p w14:paraId="6FDFF98D" w14:textId="77777777" w:rsidR="00F809B1" w:rsidRPr="00950C39" w:rsidRDefault="00F809B1" w:rsidP="00522B4B">
            <w:pPr>
              <w:pStyle w:val="naiskr"/>
              <w:spacing w:before="0" w:after="0"/>
              <w:ind w:left="57" w:right="57"/>
              <w:rPr>
                <w:sz w:val="28"/>
                <w:szCs w:val="28"/>
              </w:rPr>
            </w:pPr>
            <w:r w:rsidRPr="00950C39">
              <w:rPr>
                <w:sz w:val="28"/>
                <w:szCs w:val="28"/>
              </w:rPr>
              <w:t>Cita informācija</w:t>
            </w:r>
          </w:p>
        </w:tc>
        <w:tc>
          <w:tcPr>
            <w:tcW w:w="4418" w:type="dxa"/>
            <w:tcMar>
              <w:top w:w="57" w:type="dxa"/>
              <w:left w:w="57" w:type="dxa"/>
              <w:bottom w:w="57" w:type="dxa"/>
              <w:right w:w="57" w:type="dxa"/>
            </w:tcMar>
          </w:tcPr>
          <w:p w14:paraId="7E758F87" w14:textId="77777777" w:rsidR="00F809B1" w:rsidRPr="00950C39" w:rsidRDefault="00FD7A69" w:rsidP="00522B4B">
            <w:pPr>
              <w:pStyle w:val="naiskr"/>
              <w:spacing w:before="0" w:after="0"/>
              <w:ind w:left="57" w:right="57"/>
              <w:rPr>
                <w:sz w:val="28"/>
                <w:szCs w:val="28"/>
              </w:rPr>
            </w:pPr>
            <w:r w:rsidRPr="00950C39">
              <w:rPr>
                <w:sz w:val="28"/>
                <w:szCs w:val="28"/>
              </w:rPr>
              <w:t>Nav</w:t>
            </w:r>
          </w:p>
        </w:tc>
      </w:tr>
    </w:tbl>
    <w:p w14:paraId="2B3DF376" w14:textId="77777777" w:rsidR="00620C1B" w:rsidRPr="00950C39" w:rsidRDefault="00620C1B" w:rsidP="000A0BE1">
      <w:pPr>
        <w:contextualSpacing/>
        <w:jc w:val="both"/>
        <w:rPr>
          <w:sz w:val="28"/>
          <w:szCs w:val="28"/>
        </w:rPr>
      </w:pPr>
    </w:p>
    <w:p w14:paraId="02B1CAEA" w14:textId="77777777" w:rsidR="00620C1B" w:rsidRPr="00950C39" w:rsidRDefault="00620C1B" w:rsidP="00BE02D5">
      <w:pPr>
        <w:contextualSpacing/>
        <w:jc w:val="both"/>
        <w:rPr>
          <w:sz w:val="28"/>
          <w:szCs w:val="28"/>
        </w:rPr>
      </w:pPr>
      <w:r w:rsidRPr="00950C39">
        <w:rPr>
          <w:sz w:val="28"/>
          <w:szCs w:val="28"/>
        </w:rPr>
        <w:t xml:space="preserve">Vides aizsardzības un </w:t>
      </w:r>
    </w:p>
    <w:p w14:paraId="79C22CB3" w14:textId="77777777" w:rsidR="00620C1B" w:rsidRPr="00950C39" w:rsidRDefault="00620C1B" w:rsidP="00BE02D5">
      <w:pPr>
        <w:contextualSpacing/>
        <w:jc w:val="both"/>
        <w:rPr>
          <w:sz w:val="28"/>
          <w:szCs w:val="28"/>
        </w:rPr>
      </w:pPr>
      <w:r w:rsidRPr="00950C39">
        <w:rPr>
          <w:sz w:val="28"/>
          <w:szCs w:val="28"/>
        </w:rPr>
        <w:t>reģionālās attīstības ministrs</w:t>
      </w:r>
      <w:r w:rsidRPr="00950C39">
        <w:rPr>
          <w:sz w:val="28"/>
          <w:szCs w:val="28"/>
        </w:rPr>
        <w:tab/>
      </w:r>
      <w:r w:rsidRPr="00950C39">
        <w:rPr>
          <w:sz w:val="28"/>
          <w:szCs w:val="28"/>
        </w:rPr>
        <w:tab/>
      </w:r>
      <w:r w:rsidRPr="00950C39">
        <w:rPr>
          <w:sz w:val="28"/>
          <w:szCs w:val="28"/>
        </w:rPr>
        <w:tab/>
      </w:r>
      <w:r w:rsidRPr="00950C39">
        <w:rPr>
          <w:sz w:val="28"/>
          <w:szCs w:val="28"/>
        </w:rPr>
        <w:tab/>
      </w:r>
      <w:r w:rsidRPr="00950C39">
        <w:rPr>
          <w:sz w:val="28"/>
          <w:szCs w:val="28"/>
        </w:rPr>
        <w:tab/>
      </w:r>
      <w:r w:rsidR="00651E39" w:rsidRPr="00950C39">
        <w:rPr>
          <w:sz w:val="28"/>
          <w:szCs w:val="28"/>
        </w:rPr>
        <w:t>Juris </w:t>
      </w:r>
      <w:r w:rsidR="00655AB0" w:rsidRPr="00950C39">
        <w:rPr>
          <w:sz w:val="28"/>
          <w:szCs w:val="28"/>
        </w:rPr>
        <w:t>Pūce</w:t>
      </w:r>
    </w:p>
    <w:p w14:paraId="2939C9FD" w14:textId="77777777" w:rsidR="00620C1B" w:rsidRDefault="00620C1B" w:rsidP="00BE02D5">
      <w:pPr>
        <w:contextualSpacing/>
        <w:jc w:val="both"/>
        <w:rPr>
          <w:sz w:val="28"/>
          <w:szCs w:val="28"/>
        </w:rPr>
      </w:pPr>
    </w:p>
    <w:p w14:paraId="2906BC2A" w14:textId="77777777" w:rsidR="00620C1B" w:rsidRPr="00344598" w:rsidRDefault="00DC23D8" w:rsidP="00BE02D5">
      <w:pPr>
        <w:jc w:val="both"/>
        <w:rPr>
          <w:i/>
          <w:sz w:val="20"/>
          <w:szCs w:val="20"/>
        </w:rPr>
      </w:pPr>
      <w:r w:rsidRPr="00344598">
        <w:rPr>
          <w:i/>
          <w:sz w:val="20"/>
          <w:szCs w:val="20"/>
        </w:rPr>
        <w:t>Bal</w:t>
      </w:r>
      <w:r w:rsidR="002E0858" w:rsidRPr="00344598">
        <w:rPr>
          <w:i/>
          <w:sz w:val="20"/>
          <w:szCs w:val="20"/>
        </w:rPr>
        <w:t>ka</w:t>
      </w:r>
      <w:r w:rsidRPr="00344598">
        <w:rPr>
          <w:i/>
          <w:sz w:val="20"/>
          <w:szCs w:val="20"/>
        </w:rPr>
        <w:t xml:space="preserve"> 67026</w:t>
      </w:r>
      <w:r w:rsidR="002E0858" w:rsidRPr="00344598">
        <w:rPr>
          <w:i/>
          <w:sz w:val="20"/>
          <w:szCs w:val="20"/>
        </w:rPr>
        <w:t>916</w:t>
      </w:r>
    </w:p>
    <w:p w14:paraId="026D5527" w14:textId="77777777" w:rsidR="00950C39" w:rsidRPr="00F523A3" w:rsidRDefault="002F5DCC" w:rsidP="00BE02D5">
      <w:pPr>
        <w:jc w:val="both"/>
        <w:rPr>
          <w:rStyle w:val="Hyperlink"/>
        </w:rPr>
      </w:pPr>
      <w:hyperlink r:id="rId8" w:history="1">
        <w:r w:rsidR="002E0858" w:rsidRPr="00F523A3">
          <w:rPr>
            <w:rStyle w:val="Hyperlink"/>
            <w:i/>
            <w:sz w:val="20"/>
            <w:szCs w:val="20"/>
          </w:rPr>
          <w:t>sandija.balka@varam.gov.lv</w:t>
        </w:r>
      </w:hyperlink>
    </w:p>
    <w:p w14:paraId="37686DFE" w14:textId="77777777" w:rsidR="00620C1B" w:rsidRPr="00344598" w:rsidRDefault="00620C1B" w:rsidP="00BE02D5">
      <w:pPr>
        <w:jc w:val="both"/>
        <w:rPr>
          <w:i/>
          <w:sz w:val="20"/>
          <w:szCs w:val="20"/>
        </w:rPr>
      </w:pPr>
      <w:r w:rsidRPr="00344598">
        <w:rPr>
          <w:i/>
          <w:sz w:val="20"/>
          <w:szCs w:val="20"/>
        </w:rPr>
        <w:t>Šatrovska 67084305</w:t>
      </w:r>
    </w:p>
    <w:p w14:paraId="3C50854A" w14:textId="5F18B523" w:rsidR="001519A4" w:rsidRDefault="002F5DCC" w:rsidP="00BE02D5">
      <w:pPr>
        <w:jc w:val="both"/>
        <w:rPr>
          <w:rStyle w:val="Hyperlink"/>
          <w:i/>
          <w:color w:val="auto"/>
          <w:sz w:val="20"/>
          <w:szCs w:val="20"/>
        </w:rPr>
      </w:pPr>
      <w:hyperlink r:id="rId9" w:history="1">
        <w:r w:rsidR="00092C64" w:rsidRPr="00B119F1">
          <w:rPr>
            <w:rStyle w:val="Hyperlink"/>
            <w:i/>
            <w:sz w:val="20"/>
            <w:szCs w:val="20"/>
          </w:rPr>
          <w:t>dace.satrovska@vvd.gov.lv</w:t>
        </w:r>
      </w:hyperlink>
    </w:p>
    <w:p w14:paraId="78163475" w14:textId="77777777" w:rsidR="008264D6" w:rsidRDefault="008264D6" w:rsidP="00BE02D5">
      <w:pPr>
        <w:jc w:val="both"/>
        <w:rPr>
          <w:rStyle w:val="Hyperlink"/>
          <w:i/>
          <w:color w:val="auto"/>
          <w:sz w:val="20"/>
          <w:szCs w:val="20"/>
        </w:rPr>
      </w:pPr>
      <w:r>
        <w:rPr>
          <w:rStyle w:val="Hyperlink"/>
          <w:i/>
          <w:color w:val="auto"/>
          <w:sz w:val="20"/>
          <w:szCs w:val="20"/>
        </w:rPr>
        <w:t>Slaidiņa, 67026487</w:t>
      </w:r>
    </w:p>
    <w:p w14:paraId="06E75EC6" w14:textId="77777777" w:rsidR="008264D6" w:rsidRPr="00F523A3" w:rsidRDefault="008264D6" w:rsidP="00BE02D5">
      <w:pPr>
        <w:jc w:val="both"/>
        <w:rPr>
          <w:rStyle w:val="Hyperlink"/>
        </w:rPr>
      </w:pPr>
      <w:r w:rsidRPr="00F523A3">
        <w:rPr>
          <w:rStyle w:val="Hyperlink"/>
          <w:i/>
          <w:sz w:val="20"/>
          <w:szCs w:val="20"/>
        </w:rPr>
        <w:t>natalija.slaidina@varam.gov.lv</w:t>
      </w:r>
    </w:p>
    <w:sectPr w:rsidR="008264D6" w:rsidRPr="00F523A3" w:rsidSect="00711A33">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CAF97" w14:textId="77777777" w:rsidR="002F5DCC" w:rsidRDefault="002F5DCC">
      <w:r>
        <w:separator/>
      </w:r>
    </w:p>
  </w:endnote>
  <w:endnote w:type="continuationSeparator" w:id="0">
    <w:p w14:paraId="7D20871C" w14:textId="77777777" w:rsidR="002F5DCC" w:rsidRDefault="002F5DCC">
      <w:r>
        <w:continuationSeparator/>
      </w:r>
    </w:p>
  </w:endnote>
  <w:endnote w:type="continuationNotice" w:id="1">
    <w:p w14:paraId="79855769" w14:textId="77777777" w:rsidR="002F5DCC" w:rsidRDefault="002F5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MFNG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96AB7" w14:textId="7FAE4C1F" w:rsidR="002F5DCC" w:rsidRPr="000175E0" w:rsidRDefault="002F5DCC" w:rsidP="00527D64">
    <w:pPr>
      <w:pStyle w:val="Footer"/>
      <w:jc w:val="both"/>
    </w:pPr>
    <w:r>
      <w:rPr>
        <w:noProof/>
      </w:rPr>
      <w:fldChar w:fldCharType="begin"/>
    </w:r>
    <w:r>
      <w:rPr>
        <w:noProof/>
      </w:rPr>
      <w:instrText xml:space="preserve"> FILENAME </w:instrText>
    </w:r>
    <w:r>
      <w:rPr>
        <w:noProof/>
      </w:rPr>
      <w:fldChar w:fldCharType="separate"/>
    </w:r>
    <w:r>
      <w:rPr>
        <w:noProof/>
      </w:rPr>
      <w:t>VARAMAnot_28012020_Groz_RDL_LAPK</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4A881" w14:textId="5CAB50E6" w:rsidR="002F5DCC" w:rsidRPr="00693E48" w:rsidRDefault="002F5DCC" w:rsidP="00923D2A">
    <w:pPr>
      <w:pStyle w:val="Footer"/>
      <w:jc w:val="both"/>
    </w:pPr>
    <w:r>
      <w:rPr>
        <w:noProof/>
      </w:rPr>
      <w:fldChar w:fldCharType="begin"/>
    </w:r>
    <w:r>
      <w:rPr>
        <w:noProof/>
      </w:rPr>
      <w:instrText xml:space="preserve"> FILENAME </w:instrText>
    </w:r>
    <w:r>
      <w:rPr>
        <w:noProof/>
      </w:rPr>
      <w:fldChar w:fldCharType="separate"/>
    </w:r>
    <w:r>
      <w:rPr>
        <w:noProof/>
      </w:rPr>
      <w:t>VARAMAnot_28</w:t>
    </w:r>
    <w:r w:rsidRPr="00693E48">
      <w:rPr>
        <w:noProof/>
      </w:rPr>
      <w:t>012020_Groz_RDL_LAPK</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F6923" w14:textId="77777777" w:rsidR="002F5DCC" w:rsidRDefault="002F5DCC">
      <w:r>
        <w:separator/>
      </w:r>
    </w:p>
  </w:footnote>
  <w:footnote w:type="continuationSeparator" w:id="0">
    <w:p w14:paraId="2DEE9822" w14:textId="77777777" w:rsidR="002F5DCC" w:rsidRDefault="002F5DCC">
      <w:r>
        <w:continuationSeparator/>
      </w:r>
    </w:p>
  </w:footnote>
  <w:footnote w:type="continuationNotice" w:id="1">
    <w:p w14:paraId="352458BD" w14:textId="77777777" w:rsidR="002F5DCC" w:rsidRDefault="002F5DCC"/>
  </w:footnote>
  <w:footnote w:id="2">
    <w:p w14:paraId="50C27197" w14:textId="43FA1E45" w:rsidR="002F5DCC" w:rsidRDefault="002F5DCC">
      <w:pPr>
        <w:pStyle w:val="FootnoteText"/>
      </w:pPr>
      <w:r>
        <w:rPr>
          <w:rStyle w:val="FootnoteReference"/>
        </w:rPr>
        <w:footnoteRef/>
      </w:r>
      <w:r>
        <w:t xml:space="preserve"> Skat. </w:t>
      </w:r>
      <w:hyperlink r:id="rId1">
        <w:r w:rsidRPr="00E818FA">
          <w:rPr>
            <w:rStyle w:val="Internetasaite"/>
            <w:szCs w:val="28"/>
          </w:rPr>
          <w:t>http://www.vvd.gov.lv/publikacijas-un-statistika/statistikas-dati/</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5ADFB" w14:textId="77777777" w:rsidR="002F5DCC" w:rsidRDefault="002F5DCC" w:rsidP="000D02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403712" w14:textId="77777777" w:rsidR="002F5DCC" w:rsidRDefault="002F5D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A11FE" w14:textId="77777777" w:rsidR="002F5DCC" w:rsidRDefault="002F5DCC" w:rsidP="000D02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5B37">
      <w:rPr>
        <w:rStyle w:val="PageNumber"/>
        <w:noProof/>
      </w:rPr>
      <w:t>2</w:t>
    </w:r>
    <w:r>
      <w:rPr>
        <w:rStyle w:val="PageNumber"/>
      </w:rPr>
      <w:fldChar w:fldCharType="end"/>
    </w:r>
  </w:p>
  <w:p w14:paraId="09A12833" w14:textId="77777777" w:rsidR="002F5DCC" w:rsidRPr="000175E0" w:rsidRDefault="002F5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AE0"/>
    <w:multiLevelType w:val="hybridMultilevel"/>
    <w:tmpl w:val="0DE4250C"/>
    <w:lvl w:ilvl="0" w:tplc="92BA874C">
      <w:start w:val="1"/>
      <w:numFmt w:val="decimal"/>
      <w:lvlText w:val="%1)"/>
      <w:lvlJc w:val="left"/>
      <w:pPr>
        <w:tabs>
          <w:tab w:val="num" w:pos="1410"/>
        </w:tabs>
        <w:ind w:left="1410" w:hanging="87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 w15:restartNumberingAfterBreak="0">
    <w:nsid w:val="00E86EC2"/>
    <w:multiLevelType w:val="hybridMultilevel"/>
    <w:tmpl w:val="A3B86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A51A57"/>
    <w:multiLevelType w:val="hybridMultilevel"/>
    <w:tmpl w:val="690207FE"/>
    <w:lvl w:ilvl="0" w:tplc="BBD2FD90">
      <w:start w:val="1"/>
      <w:numFmt w:val="bullet"/>
      <w:lvlText w:val=""/>
      <w:lvlJc w:val="left"/>
      <w:pPr>
        <w:ind w:left="802" w:hanging="360"/>
      </w:pPr>
      <w:rPr>
        <w:rFonts w:ascii="Symbol" w:hAnsi="Symbol" w:hint="default"/>
      </w:rPr>
    </w:lvl>
    <w:lvl w:ilvl="1" w:tplc="04260003" w:tentative="1">
      <w:start w:val="1"/>
      <w:numFmt w:val="bullet"/>
      <w:lvlText w:val="o"/>
      <w:lvlJc w:val="left"/>
      <w:pPr>
        <w:ind w:left="1522" w:hanging="360"/>
      </w:pPr>
      <w:rPr>
        <w:rFonts w:ascii="Courier New" w:hAnsi="Courier New" w:cs="Courier New" w:hint="default"/>
      </w:rPr>
    </w:lvl>
    <w:lvl w:ilvl="2" w:tplc="04260005" w:tentative="1">
      <w:start w:val="1"/>
      <w:numFmt w:val="bullet"/>
      <w:lvlText w:val=""/>
      <w:lvlJc w:val="left"/>
      <w:pPr>
        <w:ind w:left="2242" w:hanging="360"/>
      </w:pPr>
      <w:rPr>
        <w:rFonts w:ascii="Wingdings" w:hAnsi="Wingdings" w:hint="default"/>
      </w:rPr>
    </w:lvl>
    <w:lvl w:ilvl="3" w:tplc="04260001" w:tentative="1">
      <w:start w:val="1"/>
      <w:numFmt w:val="bullet"/>
      <w:lvlText w:val=""/>
      <w:lvlJc w:val="left"/>
      <w:pPr>
        <w:ind w:left="2962" w:hanging="360"/>
      </w:pPr>
      <w:rPr>
        <w:rFonts w:ascii="Symbol" w:hAnsi="Symbol" w:hint="default"/>
      </w:rPr>
    </w:lvl>
    <w:lvl w:ilvl="4" w:tplc="04260003" w:tentative="1">
      <w:start w:val="1"/>
      <w:numFmt w:val="bullet"/>
      <w:lvlText w:val="o"/>
      <w:lvlJc w:val="left"/>
      <w:pPr>
        <w:ind w:left="3682" w:hanging="360"/>
      </w:pPr>
      <w:rPr>
        <w:rFonts w:ascii="Courier New" w:hAnsi="Courier New" w:cs="Courier New" w:hint="default"/>
      </w:rPr>
    </w:lvl>
    <w:lvl w:ilvl="5" w:tplc="04260005" w:tentative="1">
      <w:start w:val="1"/>
      <w:numFmt w:val="bullet"/>
      <w:lvlText w:val=""/>
      <w:lvlJc w:val="left"/>
      <w:pPr>
        <w:ind w:left="4402" w:hanging="360"/>
      </w:pPr>
      <w:rPr>
        <w:rFonts w:ascii="Wingdings" w:hAnsi="Wingdings" w:hint="default"/>
      </w:rPr>
    </w:lvl>
    <w:lvl w:ilvl="6" w:tplc="04260001" w:tentative="1">
      <w:start w:val="1"/>
      <w:numFmt w:val="bullet"/>
      <w:lvlText w:val=""/>
      <w:lvlJc w:val="left"/>
      <w:pPr>
        <w:ind w:left="5122" w:hanging="360"/>
      </w:pPr>
      <w:rPr>
        <w:rFonts w:ascii="Symbol" w:hAnsi="Symbol" w:hint="default"/>
      </w:rPr>
    </w:lvl>
    <w:lvl w:ilvl="7" w:tplc="04260003" w:tentative="1">
      <w:start w:val="1"/>
      <w:numFmt w:val="bullet"/>
      <w:lvlText w:val="o"/>
      <w:lvlJc w:val="left"/>
      <w:pPr>
        <w:ind w:left="5842" w:hanging="360"/>
      </w:pPr>
      <w:rPr>
        <w:rFonts w:ascii="Courier New" w:hAnsi="Courier New" w:cs="Courier New" w:hint="default"/>
      </w:rPr>
    </w:lvl>
    <w:lvl w:ilvl="8" w:tplc="04260005" w:tentative="1">
      <w:start w:val="1"/>
      <w:numFmt w:val="bullet"/>
      <w:lvlText w:val=""/>
      <w:lvlJc w:val="left"/>
      <w:pPr>
        <w:ind w:left="6562" w:hanging="360"/>
      </w:pPr>
      <w:rPr>
        <w:rFonts w:ascii="Wingdings" w:hAnsi="Wingdings" w:hint="default"/>
      </w:rPr>
    </w:lvl>
  </w:abstractNum>
  <w:abstractNum w:abstractNumId="3" w15:restartNumberingAfterBreak="0">
    <w:nsid w:val="23553A98"/>
    <w:multiLevelType w:val="hybridMultilevel"/>
    <w:tmpl w:val="4C26DFAE"/>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4" w15:restartNumberingAfterBreak="0">
    <w:nsid w:val="247013B0"/>
    <w:multiLevelType w:val="hybridMultilevel"/>
    <w:tmpl w:val="77EAE38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66D2234"/>
    <w:multiLevelType w:val="hybridMultilevel"/>
    <w:tmpl w:val="B358EB3E"/>
    <w:lvl w:ilvl="0" w:tplc="04260011">
      <w:start w:val="1"/>
      <w:numFmt w:val="decimal"/>
      <w:lvlText w:val="%1)"/>
      <w:lvlJc w:val="left"/>
      <w:pPr>
        <w:ind w:left="1210" w:hanging="360"/>
      </w:pPr>
    </w:lvl>
    <w:lvl w:ilvl="1" w:tplc="04260019">
      <w:start w:val="1"/>
      <w:numFmt w:val="lowerLetter"/>
      <w:lvlText w:val="%2."/>
      <w:lvlJc w:val="left"/>
      <w:pPr>
        <w:ind w:left="1930" w:hanging="360"/>
      </w:pPr>
    </w:lvl>
    <w:lvl w:ilvl="2" w:tplc="0426001B">
      <w:start w:val="1"/>
      <w:numFmt w:val="lowerRoman"/>
      <w:lvlText w:val="%3."/>
      <w:lvlJc w:val="right"/>
      <w:pPr>
        <w:ind w:left="2650" w:hanging="180"/>
      </w:pPr>
    </w:lvl>
    <w:lvl w:ilvl="3" w:tplc="0426000F">
      <w:start w:val="1"/>
      <w:numFmt w:val="decimal"/>
      <w:lvlText w:val="%4."/>
      <w:lvlJc w:val="left"/>
      <w:pPr>
        <w:ind w:left="3370" w:hanging="360"/>
      </w:pPr>
    </w:lvl>
    <w:lvl w:ilvl="4" w:tplc="04260019">
      <w:start w:val="1"/>
      <w:numFmt w:val="lowerLetter"/>
      <w:lvlText w:val="%5."/>
      <w:lvlJc w:val="left"/>
      <w:pPr>
        <w:ind w:left="4090" w:hanging="360"/>
      </w:pPr>
    </w:lvl>
    <w:lvl w:ilvl="5" w:tplc="0426001B">
      <w:start w:val="1"/>
      <w:numFmt w:val="lowerRoman"/>
      <w:lvlText w:val="%6."/>
      <w:lvlJc w:val="right"/>
      <w:pPr>
        <w:ind w:left="4810" w:hanging="180"/>
      </w:pPr>
    </w:lvl>
    <w:lvl w:ilvl="6" w:tplc="0426000F">
      <w:start w:val="1"/>
      <w:numFmt w:val="decimal"/>
      <w:lvlText w:val="%7."/>
      <w:lvlJc w:val="left"/>
      <w:pPr>
        <w:ind w:left="5530" w:hanging="360"/>
      </w:pPr>
    </w:lvl>
    <w:lvl w:ilvl="7" w:tplc="04260019">
      <w:start w:val="1"/>
      <w:numFmt w:val="lowerLetter"/>
      <w:lvlText w:val="%8."/>
      <w:lvlJc w:val="left"/>
      <w:pPr>
        <w:ind w:left="6250" w:hanging="360"/>
      </w:pPr>
    </w:lvl>
    <w:lvl w:ilvl="8" w:tplc="0426001B">
      <w:start w:val="1"/>
      <w:numFmt w:val="lowerRoman"/>
      <w:lvlText w:val="%9."/>
      <w:lvlJc w:val="right"/>
      <w:pPr>
        <w:ind w:left="6970" w:hanging="180"/>
      </w:pPr>
    </w:lvl>
  </w:abstractNum>
  <w:abstractNum w:abstractNumId="6" w15:restartNumberingAfterBreak="0">
    <w:nsid w:val="385F49CD"/>
    <w:multiLevelType w:val="hybridMultilevel"/>
    <w:tmpl w:val="D0B6913A"/>
    <w:lvl w:ilvl="0" w:tplc="40A433CE">
      <w:start w:val="1"/>
      <w:numFmt w:val="decimal"/>
      <w:lvlText w:val="%1."/>
      <w:lvlJc w:val="left"/>
      <w:pPr>
        <w:ind w:left="502" w:hanging="360"/>
      </w:pPr>
      <w:rPr>
        <w:rFonts w:hint="default"/>
        <w:color w:val="FF000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15:restartNumberingAfterBreak="0">
    <w:nsid w:val="3F776A22"/>
    <w:multiLevelType w:val="hybridMultilevel"/>
    <w:tmpl w:val="06BCD024"/>
    <w:lvl w:ilvl="0" w:tplc="03A2A3EC">
      <w:start w:val="1"/>
      <w:numFmt w:val="decimal"/>
      <w:lvlText w:val="%1)"/>
      <w:lvlJc w:val="left"/>
      <w:pPr>
        <w:ind w:left="484" w:hanging="360"/>
      </w:pPr>
      <w:rPr>
        <w:rFonts w:hint="default"/>
      </w:rPr>
    </w:lvl>
    <w:lvl w:ilvl="1" w:tplc="04260019" w:tentative="1">
      <w:start w:val="1"/>
      <w:numFmt w:val="lowerLetter"/>
      <w:lvlText w:val="%2."/>
      <w:lvlJc w:val="left"/>
      <w:pPr>
        <w:ind w:left="1204" w:hanging="360"/>
      </w:pPr>
    </w:lvl>
    <w:lvl w:ilvl="2" w:tplc="0426001B" w:tentative="1">
      <w:start w:val="1"/>
      <w:numFmt w:val="lowerRoman"/>
      <w:lvlText w:val="%3."/>
      <w:lvlJc w:val="right"/>
      <w:pPr>
        <w:ind w:left="1924" w:hanging="180"/>
      </w:pPr>
    </w:lvl>
    <w:lvl w:ilvl="3" w:tplc="0426000F" w:tentative="1">
      <w:start w:val="1"/>
      <w:numFmt w:val="decimal"/>
      <w:lvlText w:val="%4."/>
      <w:lvlJc w:val="left"/>
      <w:pPr>
        <w:ind w:left="2644" w:hanging="360"/>
      </w:pPr>
    </w:lvl>
    <w:lvl w:ilvl="4" w:tplc="04260019" w:tentative="1">
      <w:start w:val="1"/>
      <w:numFmt w:val="lowerLetter"/>
      <w:lvlText w:val="%5."/>
      <w:lvlJc w:val="left"/>
      <w:pPr>
        <w:ind w:left="3364" w:hanging="360"/>
      </w:pPr>
    </w:lvl>
    <w:lvl w:ilvl="5" w:tplc="0426001B" w:tentative="1">
      <w:start w:val="1"/>
      <w:numFmt w:val="lowerRoman"/>
      <w:lvlText w:val="%6."/>
      <w:lvlJc w:val="right"/>
      <w:pPr>
        <w:ind w:left="4084" w:hanging="180"/>
      </w:pPr>
    </w:lvl>
    <w:lvl w:ilvl="6" w:tplc="0426000F" w:tentative="1">
      <w:start w:val="1"/>
      <w:numFmt w:val="decimal"/>
      <w:lvlText w:val="%7."/>
      <w:lvlJc w:val="left"/>
      <w:pPr>
        <w:ind w:left="4804" w:hanging="360"/>
      </w:pPr>
    </w:lvl>
    <w:lvl w:ilvl="7" w:tplc="04260019" w:tentative="1">
      <w:start w:val="1"/>
      <w:numFmt w:val="lowerLetter"/>
      <w:lvlText w:val="%8."/>
      <w:lvlJc w:val="left"/>
      <w:pPr>
        <w:ind w:left="5524" w:hanging="360"/>
      </w:pPr>
    </w:lvl>
    <w:lvl w:ilvl="8" w:tplc="0426001B" w:tentative="1">
      <w:start w:val="1"/>
      <w:numFmt w:val="lowerRoman"/>
      <w:lvlText w:val="%9."/>
      <w:lvlJc w:val="right"/>
      <w:pPr>
        <w:ind w:left="6244" w:hanging="180"/>
      </w:pPr>
    </w:lvl>
  </w:abstractNum>
  <w:abstractNum w:abstractNumId="8" w15:restartNumberingAfterBreak="0">
    <w:nsid w:val="47111568"/>
    <w:multiLevelType w:val="hybridMultilevel"/>
    <w:tmpl w:val="FC8E9D50"/>
    <w:lvl w:ilvl="0" w:tplc="BBD2FD90">
      <w:start w:val="1"/>
      <w:numFmt w:val="bullet"/>
      <w:lvlText w:val=""/>
      <w:lvlJc w:val="left"/>
      <w:pPr>
        <w:ind w:left="802" w:hanging="360"/>
      </w:pPr>
      <w:rPr>
        <w:rFonts w:ascii="Symbol" w:hAnsi="Symbol" w:hint="default"/>
      </w:rPr>
    </w:lvl>
    <w:lvl w:ilvl="1" w:tplc="04260003" w:tentative="1">
      <w:start w:val="1"/>
      <w:numFmt w:val="bullet"/>
      <w:lvlText w:val="o"/>
      <w:lvlJc w:val="left"/>
      <w:pPr>
        <w:ind w:left="1522" w:hanging="360"/>
      </w:pPr>
      <w:rPr>
        <w:rFonts w:ascii="Courier New" w:hAnsi="Courier New" w:cs="Courier New" w:hint="default"/>
      </w:rPr>
    </w:lvl>
    <w:lvl w:ilvl="2" w:tplc="04260005" w:tentative="1">
      <w:start w:val="1"/>
      <w:numFmt w:val="bullet"/>
      <w:lvlText w:val=""/>
      <w:lvlJc w:val="left"/>
      <w:pPr>
        <w:ind w:left="2242" w:hanging="360"/>
      </w:pPr>
      <w:rPr>
        <w:rFonts w:ascii="Wingdings" w:hAnsi="Wingdings" w:hint="default"/>
      </w:rPr>
    </w:lvl>
    <w:lvl w:ilvl="3" w:tplc="04260001" w:tentative="1">
      <w:start w:val="1"/>
      <w:numFmt w:val="bullet"/>
      <w:lvlText w:val=""/>
      <w:lvlJc w:val="left"/>
      <w:pPr>
        <w:ind w:left="2962" w:hanging="360"/>
      </w:pPr>
      <w:rPr>
        <w:rFonts w:ascii="Symbol" w:hAnsi="Symbol" w:hint="default"/>
      </w:rPr>
    </w:lvl>
    <w:lvl w:ilvl="4" w:tplc="04260003" w:tentative="1">
      <w:start w:val="1"/>
      <w:numFmt w:val="bullet"/>
      <w:lvlText w:val="o"/>
      <w:lvlJc w:val="left"/>
      <w:pPr>
        <w:ind w:left="3682" w:hanging="360"/>
      </w:pPr>
      <w:rPr>
        <w:rFonts w:ascii="Courier New" w:hAnsi="Courier New" w:cs="Courier New" w:hint="default"/>
      </w:rPr>
    </w:lvl>
    <w:lvl w:ilvl="5" w:tplc="04260005" w:tentative="1">
      <w:start w:val="1"/>
      <w:numFmt w:val="bullet"/>
      <w:lvlText w:val=""/>
      <w:lvlJc w:val="left"/>
      <w:pPr>
        <w:ind w:left="4402" w:hanging="360"/>
      </w:pPr>
      <w:rPr>
        <w:rFonts w:ascii="Wingdings" w:hAnsi="Wingdings" w:hint="default"/>
      </w:rPr>
    </w:lvl>
    <w:lvl w:ilvl="6" w:tplc="04260001" w:tentative="1">
      <w:start w:val="1"/>
      <w:numFmt w:val="bullet"/>
      <w:lvlText w:val=""/>
      <w:lvlJc w:val="left"/>
      <w:pPr>
        <w:ind w:left="5122" w:hanging="360"/>
      </w:pPr>
      <w:rPr>
        <w:rFonts w:ascii="Symbol" w:hAnsi="Symbol" w:hint="default"/>
      </w:rPr>
    </w:lvl>
    <w:lvl w:ilvl="7" w:tplc="04260003" w:tentative="1">
      <w:start w:val="1"/>
      <w:numFmt w:val="bullet"/>
      <w:lvlText w:val="o"/>
      <w:lvlJc w:val="left"/>
      <w:pPr>
        <w:ind w:left="5842" w:hanging="360"/>
      </w:pPr>
      <w:rPr>
        <w:rFonts w:ascii="Courier New" w:hAnsi="Courier New" w:cs="Courier New" w:hint="default"/>
      </w:rPr>
    </w:lvl>
    <w:lvl w:ilvl="8" w:tplc="04260005" w:tentative="1">
      <w:start w:val="1"/>
      <w:numFmt w:val="bullet"/>
      <w:lvlText w:val=""/>
      <w:lvlJc w:val="left"/>
      <w:pPr>
        <w:ind w:left="6562" w:hanging="360"/>
      </w:pPr>
      <w:rPr>
        <w:rFonts w:ascii="Wingdings" w:hAnsi="Wingdings" w:hint="default"/>
      </w:rPr>
    </w:lvl>
  </w:abstractNum>
  <w:abstractNum w:abstractNumId="9" w15:restartNumberingAfterBreak="0">
    <w:nsid w:val="5D4B5ECF"/>
    <w:multiLevelType w:val="hybridMultilevel"/>
    <w:tmpl w:val="4F721F8A"/>
    <w:lvl w:ilvl="0" w:tplc="6B2C0B72">
      <w:start w:val="20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66837B43"/>
    <w:multiLevelType w:val="hybridMultilevel"/>
    <w:tmpl w:val="FA0E8A3E"/>
    <w:lvl w:ilvl="0" w:tplc="43DA5DC0">
      <w:start w:val="1"/>
      <w:numFmt w:val="decimal"/>
      <w:lvlText w:val="%1)"/>
      <w:lvlJc w:val="left"/>
      <w:pPr>
        <w:tabs>
          <w:tab w:val="num" w:pos="420"/>
        </w:tabs>
        <w:ind w:left="420" w:hanging="360"/>
      </w:pPr>
      <w:rPr>
        <w:rFonts w:hint="default"/>
        <w:sz w:val="24"/>
      </w:rPr>
    </w:lvl>
    <w:lvl w:ilvl="1" w:tplc="04260019" w:tentative="1">
      <w:start w:val="1"/>
      <w:numFmt w:val="lowerLetter"/>
      <w:lvlText w:val="%2."/>
      <w:lvlJc w:val="left"/>
      <w:pPr>
        <w:tabs>
          <w:tab w:val="num" w:pos="1140"/>
        </w:tabs>
        <w:ind w:left="1140" w:hanging="360"/>
      </w:pPr>
    </w:lvl>
    <w:lvl w:ilvl="2" w:tplc="0426001B" w:tentative="1">
      <w:start w:val="1"/>
      <w:numFmt w:val="lowerRoman"/>
      <w:lvlText w:val="%3."/>
      <w:lvlJc w:val="right"/>
      <w:pPr>
        <w:tabs>
          <w:tab w:val="num" w:pos="1860"/>
        </w:tabs>
        <w:ind w:left="1860" w:hanging="180"/>
      </w:pPr>
    </w:lvl>
    <w:lvl w:ilvl="3" w:tplc="0426000F" w:tentative="1">
      <w:start w:val="1"/>
      <w:numFmt w:val="decimal"/>
      <w:lvlText w:val="%4."/>
      <w:lvlJc w:val="left"/>
      <w:pPr>
        <w:tabs>
          <w:tab w:val="num" w:pos="2580"/>
        </w:tabs>
        <w:ind w:left="2580" w:hanging="360"/>
      </w:pPr>
    </w:lvl>
    <w:lvl w:ilvl="4" w:tplc="04260019" w:tentative="1">
      <w:start w:val="1"/>
      <w:numFmt w:val="lowerLetter"/>
      <w:lvlText w:val="%5."/>
      <w:lvlJc w:val="left"/>
      <w:pPr>
        <w:tabs>
          <w:tab w:val="num" w:pos="3300"/>
        </w:tabs>
        <w:ind w:left="3300" w:hanging="360"/>
      </w:pPr>
    </w:lvl>
    <w:lvl w:ilvl="5" w:tplc="0426001B" w:tentative="1">
      <w:start w:val="1"/>
      <w:numFmt w:val="lowerRoman"/>
      <w:lvlText w:val="%6."/>
      <w:lvlJc w:val="right"/>
      <w:pPr>
        <w:tabs>
          <w:tab w:val="num" w:pos="4020"/>
        </w:tabs>
        <w:ind w:left="4020" w:hanging="180"/>
      </w:pPr>
    </w:lvl>
    <w:lvl w:ilvl="6" w:tplc="0426000F" w:tentative="1">
      <w:start w:val="1"/>
      <w:numFmt w:val="decimal"/>
      <w:lvlText w:val="%7."/>
      <w:lvlJc w:val="left"/>
      <w:pPr>
        <w:tabs>
          <w:tab w:val="num" w:pos="4740"/>
        </w:tabs>
        <w:ind w:left="4740" w:hanging="360"/>
      </w:pPr>
    </w:lvl>
    <w:lvl w:ilvl="7" w:tplc="04260019" w:tentative="1">
      <w:start w:val="1"/>
      <w:numFmt w:val="lowerLetter"/>
      <w:lvlText w:val="%8."/>
      <w:lvlJc w:val="left"/>
      <w:pPr>
        <w:tabs>
          <w:tab w:val="num" w:pos="5460"/>
        </w:tabs>
        <w:ind w:left="5460" w:hanging="360"/>
      </w:pPr>
    </w:lvl>
    <w:lvl w:ilvl="8" w:tplc="0426001B" w:tentative="1">
      <w:start w:val="1"/>
      <w:numFmt w:val="lowerRoman"/>
      <w:lvlText w:val="%9."/>
      <w:lvlJc w:val="right"/>
      <w:pPr>
        <w:tabs>
          <w:tab w:val="num" w:pos="6180"/>
        </w:tabs>
        <w:ind w:left="6180" w:hanging="180"/>
      </w:pPr>
    </w:lvl>
  </w:abstractNum>
  <w:abstractNum w:abstractNumId="11" w15:restartNumberingAfterBreak="0">
    <w:nsid w:val="69936766"/>
    <w:multiLevelType w:val="hybridMultilevel"/>
    <w:tmpl w:val="B8D69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CDC7835"/>
    <w:multiLevelType w:val="hybridMultilevel"/>
    <w:tmpl w:val="C8B0BD72"/>
    <w:lvl w:ilvl="0" w:tplc="A9743064">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3" w15:restartNumberingAfterBreak="0">
    <w:nsid w:val="75627F43"/>
    <w:multiLevelType w:val="hybridMultilevel"/>
    <w:tmpl w:val="1F66ECB6"/>
    <w:lvl w:ilvl="0" w:tplc="BBD2FD90">
      <w:start w:val="1"/>
      <w:numFmt w:val="bullet"/>
      <w:lvlText w:val=""/>
      <w:lvlJc w:val="left"/>
      <w:pPr>
        <w:ind w:left="1286" w:hanging="360"/>
      </w:pPr>
      <w:rPr>
        <w:rFonts w:ascii="Symbol" w:hAnsi="Symbol" w:hint="default"/>
      </w:rPr>
    </w:lvl>
    <w:lvl w:ilvl="1" w:tplc="04260003" w:tentative="1">
      <w:start w:val="1"/>
      <w:numFmt w:val="bullet"/>
      <w:lvlText w:val="o"/>
      <w:lvlJc w:val="left"/>
      <w:pPr>
        <w:ind w:left="2006" w:hanging="360"/>
      </w:pPr>
      <w:rPr>
        <w:rFonts w:ascii="Courier New" w:hAnsi="Courier New" w:cs="Courier New" w:hint="default"/>
      </w:rPr>
    </w:lvl>
    <w:lvl w:ilvl="2" w:tplc="04260005" w:tentative="1">
      <w:start w:val="1"/>
      <w:numFmt w:val="bullet"/>
      <w:lvlText w:val=""/>
      <w:lvlJc w:val="left"/>
      <w:pPr>
        <w:ind w:left="2726" w:hanging="360"/>
      </w:pPr>
      <w:rPr>
        <w:rFonts w:ascii="Wingdings" w:hAnsi="Wingdings" w:hint="default"/>
      </w:rPr>
    </w:lvl>
    <w:lvl w:ilvl="3" w:tplc="04260001" w:tentative="1">
      <w:start w:val="1"/>
      <w:numFmt w:val="bullet"/>
      <w:lvlText w:val=""/>
      <w:lvlJc w:val="left"/>
      <w:pPr>
        <w:ind w:left="3446" w:hanging="360"/>
      </w:pPr>
      <w:rPr>
        <w:rFonts w:ascii="Symbol" w:hAnsi="Symbol" w:hint="default"/>
      </w:rPr>
    </w:lvl>
    <w:lvl w:ilvl="4" w:tplc="04260003" w:tentative="1">
      <w:start w:val="1"/>
      <w:numFmt w:val="bullet"/>
      <w:lvlText w:val="o"/>
      <w:lvlJc w:val="left"/>
      <w:pPr>
        <w:ind w:left="4166" w:hanging="360"/>
      </w:pPr>
      <w:rPr>
        <w:rFonts w:ascii="Courier New" w:hAnsi="Courier New" w:cs="Courier New" w:hint="default"/>
      </w:rPr>
    </w:lvl>
    <w:lvl w:ilvl="5" w:tplc="04260005" w:tentative="1">
      <w:start w:val="1"/>
      <w:numFmt w:val="bullet"/>
      <w:lvlText w:val=""/>
      <w:lvlJc w:val="left"/>
      <w:pPr>
        <w:ind w:left="4886" w:hanging="360"/>
      </w:pPr>
      <w:rPr>
        <w:rFonts w:ascii="Wingdings" w:hAnsi="Wingdings" w:hint="default"/>
      </w:rPr>
    </w:lvl>
    <w:lvl w:ilvl="6" w:tplc="04260001" w:tentative="1">
      <w:start w:val="1"/>
      <w:numFmt w:val="bullet"/>
      <w:lvlText w:val=""/>
      <w:lvlJc w:val="left"/>
      <w:pPr>
        <w:ind w:left="5606" w:hanging="360"/>
      </w:pPr>
      <w:rPr>
        <w:rFonts w:ascii="Symbol" w:hAnsi="Symbol" w:hint="default"/>
      </w:rPr>
    </w:lvl>
    <w:lvl w:ilvl="7" w:tplc="04260003" w:tentative="1">
      <w:start w:val="1"/>
      <w:numFmt w:val="bullet"/>
      <w:lvlText w:val="o"/>
      <w:lvlJc w:val="left"/>
      <w:pPr>
        <w:ind w:left="6326" w:hanging="360"/>
      </w:pPr>
      <w:rPr>
        <w:rFonts w:ascii="Courier New" w:hAnsi="Courier New" w:cs="Courier New" w:hint="default"/>
      </w:rPr>
    </w:lvl>
    <w:lvl w:ilvl="8" w:tplc="04260005" w:tentative="1">
      <w:start w:val="1"/>
      <w:numFmt w:val="bullet"/>
      <w:lvlText w:val=""/>
      <w:lvlJc w:val="left"/>
      <w:pPr>
        <w:ind w:left="7046" w:hanging="360"/>
      </w:pPr>
      <w:rPr>
        <w:rFonts w:ascii="Wingdings" w:hAnsi="Wingdings" w:hint="default"/>
      </w:rPr>
    </w:lvl>
  </w:abstractNum>
  <w:abstractNum w:abstractNumId="14" w15:restartNumberingAfterBreak="0">
    <w:nsid w:val="770A0627"/>
    <w:multiLevelType w:val="hybridMultilevel"/>
    <w:tmpl w:val="8B4A3B32"/>
    <w:lvl w:ilvl="0" w:tplc="04260011">
      <w:start w:val="1"/>
      <w:numFmt w:val="decimal"/>
      <w:lvlText w:val="%1)"/>
      <w:lvlJc w:val="left"/>
      <w:pPr>
        <w:tabs>
          <w:tab w:val="num" w:pos="900"/>
        </w:tabs>
        <w:ind w:left="900" w:hanging="360"/>
      </w:p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num w:numId="1">
    <w:abstractNumId w:val="10"/>
  </w:num>
  <w:num w:numId="2">
    <w:abstractNumId w:val="0"/>
  </w:num>
  <w:num w:numId="3">
    <w:abstractNumId w:val="14"/>
  </w:num>
  <w:num w:numId="4">
    <w:abstractNumId w:val="7"/>
  </w:num>
  <w:num w:numId="5">
    <w:abstractNumId w:val="6"/>
  </w:num>
  <w:num w:numId="6">
    <w:abstractNumId w:val="3"/>
  </w:num>
  <w:num w:numId="7">
    <w:abstractNumId w:val="1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11"/>
  </w:num>
  <w:num w:numId="12">
    <w:abstractNumId w:val="4"/>
  </w:num>
  <w:num w:numId="13">
    <w:abstractNumId w:val="8"/>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02B5"/>
    <w:rsid w:val="00000310"/>
    <w:rsid w:val="00001B5A"/>
    <w:rsid w:val="0000230D"/>
    <w:rsid w:val="00003C1B"/>
    <w:rsid w:val="00003C31"/>
    <w:rsid w:val="00003F51"/>
    <w:rsid w:val="00004355"/>
    <w:rsid w:val="00006405"/>
    <w:rsid w:val="000078CA"/>
    <w:rsid w:val="00010964"/>
    <w:rsid w:val="00011014"/>
    <w:rsid w:val="0001272F"/>
    <w:rsid w:val="0001305F"/>
    <w:rsid w:val="0001311C"/>
    <w:rsid w:val="0001464D"/>
    <w:rsid w:val="00014CF0"/>
    <w:rsid w:val="0001582F"/>
    <w:rsid w:val="000165AD"/>
    <w:rsid w:val="000175E0"/>
    <w:rsid w:val="000200D9"/>
    <w:rsid w:val="00020356"/>
    <w:rsid w:val="00024856"/>
    <w:rsid w:val="000252D8"/>
    <w:rsid w:val="00026781"/>
    <w:rsid w:val="0002728A"/>
    <w:rsid w:val="0002754E"/>
    <w:rsid w:val="000301EE"/>
    <w:rsid w:val="000333B4"/>
    <w:rsid w:val="00034752"/>
    <w:rsid w:val="00035361"/>
    <w:rsid w:val="0003556B"/>
    <w:rsid w:val="0003655A"/>
    <w:rsid w:val="0003719D"/>
    <w:rsid w:val="00037CC1"/>
    <w:rsid w:val="00041795"/>
    <w:rsid w:val="00041EFF"/>
    <w:rsid w:val="0004308A"/>
    <w:rsid w:val="00043177"/>
    <w:rsid w:val="0004338B"/>
    <w:rsid w:val="0004348B"/>
    <w:rsid w:val="0004435D"/>
    <w:rsid w:val="000449C2"/>
    <w:rsid w:val="0004504D"/>
    <w:rsid w:val="0004653B"/>
    <w:rsid w:val="00050CC7"/>
    <w:rsid w:val="00052F43"/>
    <w:rsid w:val="00054656"/>
    <w:rsid w:val="00057488"/>
    <w:rsid w:val="00062222"/>
    <w:rsid w:val="0006292B"/>
    <w:rsid w:val="0006732F"/>
    <w:rsid w:val="00067FD3"/>
    <w:rsid w:val="00072826"/>
    <w:rsid w:val="00073677"/>
    <w:rsid w:val="000738D3"/>
    <w:rsid w:val="0007528D"/>
    <w:rsid w:val="00075762"/>
    <w:rsid w:val="00076D58"/>
    <w:rsid w:val="000819DE"/>
    <w:rsid w:val="00081C90"/>
    <w:rsid w:val="000820FD"/>
    <w:rsid w:val="00082366"/>
    <w:rsid w:val="0008371D"/>
    <w:rsid w:val="0008716B"/>
    <w:rsid w:val="000875DA"/>
    <w:rsid w:val="000908F6"/>
    <w:rsid w:val="00092449"/>
    <w:rsid w:val="00092C64"/>
    <w:rsid w:val="00093896"/>
    <w:rsid w:val="00094159"/>
    <w:rsid w:val="000941B0"/>
    <w:rsid w:val="000959FA"/>
    <w:rsid w:val="000965EE"/>
    <w:rsid w:val="000A0835"/>
    <w:rsid w:val="000A0B62"/>
    <w:rsid w:val="000A0BE1"/>
    <w:rsid w:val="000A249A"/>
    <w:rsid w:val="000A3D07"/>
    <w:rsid w:val="000A479B"/>
    <w:rsid w:val="000B0BE0"/>
    <w:rsid w:val="000B11E1"/>
    <w:rsid w:val="000B2FD4"/>
    <w:rsid w:val="000B4321"/>
    <w:rsid w:val="000B5001"/>
    <w:rsid w:val="000C1761"/>
    <w:rsid w:val="000C34C9"/>
    <w:rsid w:val="000C45F3"/>
    <w:rsid w:val="000C4896"/>
    <w:rsid w:val="000C4A85"/>
    <w:rsid w:val="000C53DC"/>
    <w:rsid w:val="000C56DE"/>
    <w:rsid w:val="000C75D4"/>
    <w:rsid w:val="000C771A"/>
    <w:rsid w:val="000D02B5"/>
    <w:rsid w:val="000D1218"/>
    <w:rsid w:val="000D2F8C"/>
    <w:rsid w:val="000D3387"/>
    <w:rsid w:val="000D659D"/>
    <w:rsid w:val="000D766A"/>
    <w:rsid w:val="000E0023"/>
    <w:rsid w:val="000E068F"/>
    <w:rsid w:val="000E1376"/>
    <w:rsid w:val="000E3B1C"/>
    <w:rsid w:val="000E43BA"/>
    <w:rsid w:val="000E5891"/>
    <w:rsid w:val="000E5902"/>
    <w:rsid w:val="000E599A"/>
    <w:rsid w:val="000E7062"/>
    <w:rsid w:val="000E7448"/>
    <w:rsid w:val="000E7538"/>
    <w:rsid w:val="000F0F3A"/>
    <w:rsid w:val="000F1162"/>
    <w:rsid w:val="000F1B16"/>
    <w:rsid w:val="000F3EB2"/>
    <w:rsid w:val="000F4902"/>
    <w:rsid w:val="000F5760"/>
    <w:rsid w:val="000F6CB4"/>
    <w:rsid w:val="000F7711"/>
    <w:rsid w:val="000F7CEF"/>
    <w:rsid w:val="001000DE"/>
    <w:rsid w:val="001001BE"/>
    <w:rsid w:val="00100BBC"/>
    <w:rsid w:val="00100E65"/>
    <w:rsid w:val="00102699"/>
    <w:rsid w:val="00104036"/>
    <w:rsid w:val="001050FA"/>
    <w:rsid w:val="001053AF"/>
    <w:rsid w:val="00105768"/>
    <w:rsid w:val="00106494"/>
    <w:rsid w:val="00106B2A"/>
    <w:rsid w:val="001071CC"/>
    <w:rsid w:val="00107B05"/>
    <w:rsid w:val="001103F3"/>
    <w:rsid w:val="001121EE"/>
    <w:rsid w:val="001147AF"/>
    <w:rsid w:val="00114F79"/>
    <w:rsid w:val="00115484"/>
    <w:rsid w:val="00115EE5"/>
    <w:rsid w:val="00116735"/>
    <w:rsid w:val="001228C1"/>
    <w:rsid w:val="00122942"/>
    <w:rsid w:val="0012391C"/>
    <w:rsid w:val="00123AAC"/>
    <w:rsid w:val="00124824"/>
    <w:rsid w:val="00126B9E"/>
    <w:rsid w:val="00127289"/>
    <w:rsid w:val="00130686"/>
    <w:rsid w:val="00134BA2"/>
    <w:rsid w:val="00134CC8"/>
    <w:rsid w:val="0013548C"/>
    <w:rsid w:val="00136A37"/>
    <w:rsid w:val="00137E81"/>
    <w:rsid w:val="00141993"/>
    <w:rsid w:val="001440CA"/>
    <w:rsid w:val="0014427F"/>
    <w:rsid w:val="0014492F"/>
    <w:rsid w:val="0014674F"/>
    <w:rsid w:val="00147876"/>
    <w:rsid w:val="00147E60"/>
    <w:rsid w:val="00150712"/>
    <w:rsid w:val="00150BA7"/>
    <w:rsid w:val="00150E59"/>
    <w:rsid w:val="001519A4"/>
    <w:rsid w:val="00154596"/>
    <w:rsid w:val="001574B0"/>
    <w:rsid w:val="00160A9F"/>
    <w:rsid w:val="00161585"/>
    <w:rsid w:val="00161BDE"/>
    <w:rsid w:val="00163CB8"/>
    <w:rsid w:val="00165548"/>
    <w:rsid w:val="00165FB4"/>
    <w:rsid w:val="0016782F"/>
    <w:rsid w:val="0016794A"/>
    <w:rsid w:val="00167F26"/>
    <w:rsid w:val="001702A0"/>
    <w:rsid w:val="00172FD0"/>
    <w:rsid w:val="001731B6"/>
    <w:rsid w:val="001740E2"/>
    <w:rsid w:val="00174A38"/>
    <w:rsid w:val="001768DB"/>
    <w:rsid w:val="00180DDE"/>
    <w:rsid w:val="00180F3E"/>
    <w:rsid w:val="00181193"/>
    <w:rsid w:val="00182141"/>
    <w:rsid w:val="00182D53"/>
    <w:rsid w:val="00182D84"/>
    <w:rsid w:val="00183517"/>
    <w:rsid w:val="0018645F"/>
    <w:rsid w:val="00187036"/>
    <w:rsid w:val="00187959"/>
    <w:rsid w:val="00187F0D"/>
    <w:rsid w:val="0019005A"/>
    <w:rsid w:val="00192802"/>
    <w:rsid w:val="001949DB"/>
    <w:rsid w:val="00194EC2"/>
    <w:rsid w:val="00195038"/>
    <w:rsid w:val="00195634"/>
    <w:rsid w:val="0019577C"/>
    <w:rsid w:val="00196D50"/>
    <w:rsid w:val="001971A6"/>
    <w:rsid w:val="001972C7"/>
    <w:rsid w:val="00197905"/>
    <w:rsid w:val="001A2AE2"/>
    <w:rsid w:val="001A58A5"/>
    <w:rsid w:val="001A5C44"/>
    <w:rsid w:val="001A686D"/>
    <w:rsid w:val="001A6E50"/>
    <w:rsid w:val="001A707E"/>
    <w:rsid w:val="001A7C1C"/>
    <w:rsid w:val="001B1B7D"/>
    <w:rsid w:val="001B42D1"/>
    <w:rsid w:val="001B43A9"/>
    <w:rsid w:val="001B46D2"/>
    <w:rsid w:val="001B4905"/>
    <w:rsid w:val="001B5BD9"/>
    <w:rsid w:val="001B6BF8"/>
    <w:rsid w:val="001B71BB"/>
    <w:rsid w:val="001C0864"/>
    <w:rsid w:val="001C62D3"/>
    <w:rsid w:val="001C6CA7"/>
    <w:rsid w:val="001D09C9"/>
    <w:rsid w:val="001D2BAA"/>
    <w:rsid w:val="001D2D02"/>
    <w:rsid w:val="001D33E0"/>
    <w:rsid w:val="001D3E79"/>
    <w:rsid w:val="001D426C"/>
    <w:rsid w:val="001D45A1"/>
    <w:rsid w:val="001D5BD2"/>
    <w:rsid w:val="001D6411"/>
    <w:rsid w:val="001E0C38"/>
    <w:rsid w:val="001E0CDC"/>
    <w:rsid w:val="001E10EC"/>
    <w:rsid w:val="001E118C"/>
    <w:rsid w:val="001E25CB"/>
    <w:rsid w:val="001E26EA"/>
    <w:rsid w:val="001E2FA7"/>
    <w:rsid w:val="001E3E91"/>
    <w:rsid w:val="001F0B97"/>
    <w:rsid w:val="001F0C53"/>
    <w:rsid w:val="001F18FE"/>
    <w:rsid w:val="001F23CD"/>
    <w:rsid w:val="001F2FA9"/>
    <w:rsid w:val="001F31B3"/>
    <w:rsid w:val="001F3BD5"/>
    <w:rsid w:val="001F51C8"/>
    <w:rsid w:val="001F5678"/>
    <w:rsid w:val="001F5875"/>
    <w:rsid w:val="001F5EA4"/>
    <w:rsid w:val="001F689C"/>
    <w:rsid w:val="001F7A6C"/>
    <w:rsid w:val="001F7C1F"/>
    <w:rsid w:val="002007CF"/>
    <w:rsid w:val="00201B24"/>
    <w:rsid w:val="00202739"/>
    <w:rsid w:val="00203C52"/>
    <w:rsid w:val="00205B3B"/>
    <w:rsid w:val="00206443"/>
    <w:rsid w:val="0021458B"/>
    <w:rsid w:val="00214F88"/>
    <w:rsid w:val="00216516"/>
    <w:rsid w:val="00217030"/>
    <w:rsid w:val="00217565"/>
    <w:rsid w:val="0021756F"/>
    <w:rsid w:val="002179EC"/>
    <w:rsid w:val="00217C23"/>
    <w:rsid w:val="00221469"/>
    <w:rsid w:val="00222424"/>
    <w:rsid w:val="00222BAA"/>
    <w:rsid w:val="0022354B"/>
    <w:rsid w:val="002263E8"/>
    <w:rsid w:val="00226A0B"/>
    <w:rsid w:val="00227B93"/>
    <w:rsid w:val="0023011B"/>
    <w:rsid w:val="00230784"/>
    <w:rsid w:val="00231933"/>
    <w:rsid w:val="0023250E"/>
    <w:rsid w:val="00232A60"/>
    <w:rsid w:val="00234983"/>
    <w:rsid w:val="00234D0F"/>
    <w:rsid w:val="0023552B"/>
    <w:rsid w:val="00235923"/>
    <w:rsid w:val="00236EF0"/>
    <w:rsid w:val="00237995"/>
    <w:rsid w:val="00237EEC"/>
    <w:rsid w:val="00242382"/>
    <w:rsid w:val="00242954"/>
    <w:rsid w:val="0024481B"/>
    <w:rsid w:val="00247E41"/>
    <w:rsid w:val="00252044"/>
    <w:rsid w:val="002521A9"/>
    <w:rsid w:val="00252C3C"/>
    <w:rsid w:val="00252E5D"/>
    <w:rsid w:val="002531AA"/>
    <w:rsid w:val="00255EB4"/>
    <w:rsid w:val="00256D1F"/>
    <w:rsid w:val="00257B8B"/>
    <w:rsid w:val="00260791"/>
    <w:rsid w:val="00260BD8"/>
    <w:rsid w:val="00260DA6"/>
    <w:rsid w:val="002610BB"/>
    <w:rsid w:val="002627E5"/>
    <w:rsid w:val="00264033"/>
    <w:rsid w:val="00266EC0"/>
    <w:rsid w:val="00270D55"/>
    <w:rsid w:val="002717DA"/>
    <w:rsid w:val="00272392"/>
    <w:rsid w:val="00272A8B"/>
    <w:rsid w:val="00272D9C"/>
    <w:rsid w:val="0027453F"/>
    <w:rsid w:val="00277B52"/>
    <w:rsid w:val="00280AA0"/>
    <w:rsid w:val="00281F6D"/>
    <w:rsid w:val="002824AE"/>
    <w:rsid w:val="002826CE"/>
    <w:rsid w:val="00282946"/>
    <w:rsid w:val="00283551"/>
    <w:rsid w:val="00284129"/>
    <w:rsid w:val="0028445A"/>
    <w:rsid w:val="00285604"/>
    <w:rsid w:val="00285770"/>
    <w:rsid w:val="00287506"/>
    <w:rsid w:val="00287E08"/>
    <w:rsid w:val="00291AE5"/>
    <w:rsid w:val="0029237D"/>
    <w:rsid w:val="00292C85"/>
    <w:rsid w:val="00293ED5"/>
    <w:rsid w:val="0029447C"/>
    <w:rsid w:val="0029472C"/>
    <w:rsid w:val="002A049C"/>
    <w:rsid w:val="002A31A3"/>
    <w:rsid w:val="002B01C2"/>
    <w:rsid w:val="002B15C5"/>
    <w:rsid w:val="002B1F72"/>
    <w:rsid w:val="002B3E80"/>
    <w:rsid w:val="002B3F45"/>
    <w:rsid w:val="002B61A5"/>
    <w:rsid w:val="002B7218"/>
    <w:rsid w:val="002C2E76"/>
    <w:rsid w:val="002C3899"/>
    <w:rsid w:val="002C4072"/>
    <w:rsid w:val="002C4F89"/>
    <w:rsid w:val="002D1E75"/>
    <w:rsid w:val="002D2FA1"/>
    <w:rsid w:val="002D35B6"/>
    <w:rsid w:val="002D4B43"/>
    <w:rsid w:val="002D5788"/>
    <w:rsid w:val="002D5A42"/>
    <w:rsid w:val="002D5F74"/>
    <w:rsid w:val="002D5FEF"/>
    <w:rsid w:val="002D6F9F"/>
    <w:rsid w:val="002E0858"/>
    <w:rsid w:val="002E4345"/>
    <w:rsid w:val="002E4E11"/>
    <w:rsid w:val="002F0BFB"/>
    <w:rsid w:val="002F1B19"/>
    <w:rsid w:val="002F2377"/>
    <w:rsid w:val="002F25AE"/>
    <w:rsid w:val="002F4D9E"/>
    <w:rsid w:val="002F5DCC"/>
    <w:rsid w:val="00301FA2"/>
    <w:rsid w:val="00302403"/>
    <w:rsid w:val="00302C4E"/>
    <w:rsid w:val="0030453F"/>
    <w:rsid w:val="00307D44"/>
    <w:rsid w:val="00312EC2"/>
    <w:rsid w:val="00312F78"/>
    <w:rsid w:val="0031434F"/>
    <w:rsid w:val="003156C7"/>
    <w:rsid w:val="0031641B"/>
    <w:rsid w:val="00317F29"/>
    <w:rsid w:val="00320DD0"/>
    <w:rsid w:val="0032140B"/>
    <w:rsid w:val="0032259B"/>
    <w:rsid w:val="003226CF"/>
    <w:rsid w:val="003227E5"/>
    <w:rsid w:val="00323A6D"/>
    <w:rsid w:val="00323F4E"/>
    <w:rsid w:val="00325922"/>
    <w:rsid w:val="00325C40"/>
    <w:rsid w:val="00326ADC"/>
    <w:rsid w:val="00326CAD"/>
    <w:rsid w:val="003271EB"/>
    <w:rsid w:val="00330AA7"/>
    <w:rsid w:val="00330B0B"/>
    <w:rsid w:val="003327BE"/>
    <w:rsid w:val="00333574"/>
    <w:rsid w:val="00333949"/>
    <w:rsid w:val="00333C57"/>
    <w:rsid w:val="00335F2A"/>
    <w:rsid w:val="00335FBD"/>
    <w:rsid w:val="00336BEB"/>
    <w:rsid w:val="00336F13"/>
    <w:rsid w:val="00341A1D"/>
    <w:rsid w:val="00342277"/>
    <w:rsid w:val="00344598"/>
    <w:rsid w:val="00344DAE"/>
    <w:rsid w:val="00344F5C"/>
    <w:rsid w:val="003451CC"/>
    <w:rsid w:val="00346CCE"/>
    <w:rsid w:val="00346EA3"/>
    <w:rsid w:val="00346FE2"/>
    <w:rsid w:val="00351F83"/>
    <w:rsid w:val="003526B5"/>
    <w:rsid w:val="00352CF1"/>
    <w:rsid w:val="00355471"/>
    <w:rsid w:val="00356169"/>
    <w:rsid w:val="003578AE"/>
    <w:rsid w:val="00360730"/>
    <w:rsid w:val="003607BD"/>
    <w:rsid w:val="00362E8E"/>
    <w:rsid w:val="00363C0C"/>
    <w:rsid w:val="00364048"/>
    <w:rsid w:val="0037445B"/>
    <w:rsid w:val="00375101"/>
    <w:rsid w:val="003800FB"/>
    <w:rsid w:val="00380D9D"/>
    <w:rsid w:val="0038237D"/>
    <w:rsid w:val="00382481"/>
    <w:rsid w:val="00382A0C"/>
    <w:rsid w:val="00387272"/>
    <w:rsid w:val="003873AC"/>
    <w:rsid w:val="00387DD9"/>
    <w:rsid w:val="00390AE5"/>
    <w:rsid w:val="003912C4"/>
    <w:rsid w:val="00391F22"/>
    <w:rsid w:val="00392D6E"/>
    <w:rsid w:val="00392E6D"/>
    <w:rsid w:val="00393AE8"/>
    <w:rsid w:val="00393D59"/>
    <w:rsid w:val="003949B9"/>
    <w:rsid w:val="00394A1D"/>
    <w:rsid w:val="003A065A"/>
    <w:rsid w:val="003A27C4"/>
    <w:rsid w:val="003A3458"/>
    <w:rsid w:val="003A3C4E"/>
    <w:rsid w:val="003A43F4"/>
    <w:rsid w:val="003A4C88"/>
    <w:rsid w:val="003A6607"/>
    <w:rsid w:val="003A68D4"/>
    <w:rsid w:val="003A74F6"/>
    <w:rsid w:val="003B1154"/>
    <w:rsid w:val="003B27AA"/>
    <w:rsid w:val="003B283C"/>
    <w:rsid w:val="003B3D51"/>
    <w:rsid w:val="003B410F"/>
    <w:rsid w:val="003B54C2"/>
    <w:rsid w:val="003B5B37"/>
    <w:rsid w:val="003C00F3"/>
    <w:rsid w:val="003C0C63"/>
    <w:rsid w:val="003C1DB7"/>
    <w:rsid w:val="003C2123"/>
    <w:rsid w:val="003C452B"/>
    <w:rsid w:val="003C7D62"/>
    <w:rsid w:val="003D0162"/>
    <w:rsid w:val="003D27FC"/>
    <w:rsid w:val="003D4AF5"/>
    <w:rsid w:val="003D60DB"/>
    <w:rsid w:val="003D6F1B"/>
    <w:rsid w:val="003D7E3D"/>
    <w:rsid w:val="003D7E85"/>
    <w:rsid w:val="003E152C"/>
    <w:rsid w:val="003E1644"/>
    <w:rsid w:val="003E2D64"/>
    <w:rsid w:val="003E6D7C"/>
    <w:rsid w:val="003F10F6"/>
    <w:rsid w:val="003F20E9"/>
    <w:rsid w:val="003F21E3"/>
    <w:rsid w:val="003F38DD"/>
    <w:rsid w:val="003F3D05"/>
    <w:rsid w:val="003F5710"/>
    <w:rsid w:val="003F65B5"/>
    <w:rsid w:val="003F7106"/>
    <w:rsid w:val="00402427"/>
    <w:rsid w:val="00403B8C"/>
    <w:rsid w:val="00403F16"/>
    <w:rsid w:val="004045B1"/>
    <w:rsid w:val="0040472E"/>
    <w:rsid w:val="00405F73"/>
    <w:rsid w:val="00406F82"/>
    <w:rsid w:val="00407128"/>
    <w:rsid w:val="00410477"/>
    <w:rsid w:val="004118A2"/>
    <w:rsid w:val="00411B28"/>
    <w:rsid w:val="00411C64"/>
    <w:rsid w:val="00412030"/>
    <w:rsid w:val="0041456D"/>
    <w:rsid w:val="00414D69"/>
    <w:rsid w:val="0041729E"/>
    <w:rsid w:val="004175DB"/>
    <w:rsid w:val="004203CD"/>
    <w:rsid w:val="0042041E"/>
    <w:rsid w:val="00420437"/>
    <w:rsid w:val="00420DB5"/>
    <w:rsid w:val="00420F22"/>
    <w:rsid w:val="004222A1"/>
    <w:rsid w:val="004227D9"/>
    <w:rsid w:val="00423419"/>
    <w:rsid w:val="0042438D"/>
    <w:rsid w:val="00424F6C"/>
    <w:rsid w:val="00425117"/>
    <w:rsid w:val="004267B4"/>
    <w:rsid w:val="00427EAE"/>
    <w:rsid w:val="00433933"/>
    <w:rsid w:val="0043413F"/>
    <w:rsid w:val="0043545E"/>
    <w:rsid w:val="00436492"/>
    <w:rsid w:val="0043690A"/>
    <w:rsid w:val="004371BB"/>
    <w:rsid w:val="004374FA"/>
    <w:rsid w:val="00441510"/>
    <w:rsid w:val="0044177F"/>
    <w:rsid w:val="00441948"/>
    <w:rsid w:val="004419F3"/>
    <w:rsid w:val="00442B3C"/>
    <w:rsid w:val="00442CCB"/>
    <w:rsid w:val="00443136"/>
    <w:rsid w:val="004433D0"/>
    <w:rsid w:val="0044438D"/>
    <w:rsid w:val="00444BB9"/>
    <w:rsid w:val="00445151"/>
    <w:rsid w:val="00446760"/>
    <w:rsid w:val="004478C1"/>
    <w:rsid w:val="00452CCF"/>
    <w:rsid w:val="00455F3C"/>
    <w:rsid w:val="00457994"/>
    <w:rsid w:val="00460577"/>
    <w:rsid w:val="0046084E"/>
    <w:rsid w:val="00461A7A"/>
    <w:rsid w:val="00461EDE"/>
    <w:rsid w:val="004630E5"/>
    <w:rsid w:val="00464057"/>
    <w:rsid w:val="00464C6B"/>
    <w:rsid w:val="00465EBD"/>
    <w:rsid w:val="00466006"/>
    <w:rsid w:val="00470873"/>
    <w:rsid w:val="00470AAD"/>
    <w:rsid w:val="004727DD"/>
    <w:rsid w:val="00474934"/>
    <w:rsid w:val="00474D12"/>
    <w:rsid w:val="00476174"/>
    <w:rsid w:val="00476187"/>
    <w:rsid w:val="004766C8"/>
    <w:rsid w:val="00480764"/>
    <w:rsid w:val="00481F0C"/>
    <w:rsid w:val="00485905"/>
    <w:rsid w:val="00486021"/>
    <w:rsid w:val="00491097"/>
    <w:rsid w:val="00491285"/>
    <w:rsid w:val="0049189E"/>
    <w:rsid w:val="004928B9"/>
    <w:rsid w:val="0049531F"/>
    <w:rsid w:val="004979FE"/>
    <w:rsid w:val="004A1BEB"/>
    <w:rsid w:val="004A299E"/>
    <w:rsid w:val="004A2E0D"/>
    <w:rsid w:val="004A3301"/>
    <w:rsid w:val="004A3952"/>
    <w:rsid w:val="004A472F"/>
    <w:rsid w:val="004A50F3"/>
    <w:rsid w:val="004A6611"/>
    <w:rsid w:val="004A754B"/>
    <w:rsid w:val="004A7E70"/>
    <w:rsid w:val="004B14CA"/>
    <w:rsid w:val="004B1897"/>
    <w:rsid w:val="004B21D5"/>
    <w:rsid w:val="004B2297"/>
    <w:rsid w:val="004B2CC6"/>
    <w:rsid w:val="004B308A"/>
    <w:rsid w:val="004B361E"/>
    <w:rsid w:val="004B5AD5"/>
    <w:rsid w:val="004B66A5"/>
    <w:rsid w:val="004B736A"/>
    <w:rsid w:val="004B7F29"/>
    <w:rsid w:val="004C18FC"/>
    <w:rsid w:val="004C3083"/>
    <w:rsid w:val="004C3846"/>
    <w:rsid w:val="004C40A2"/>
    <w:rsid w:val="004C68B1"/>
    <w:rsid w:val="004C76EA"/>
    <w:rsid w:val="004C779B"/>
    <w:rsid w:val="004D1389"/>
    <w:rsid w:val="004D3FA5"/>
    <w:rsid w:val="004E00CD"/>
    <w:rsid w:val="004E0906"/>
    <w:rsid w:val="004E0935"/>
    <w:rsid w:val="004E17B2"/>
    <w:rsid w:val="004E1948"/>
    <w:rsid w:val="004E2462"/>
    <w:rsid w:val="004E3747"/>
    <w:rsid w:val="004E4B02"/>
    <w:rsid w:val="004E66B6"/>
    <w:rsid w:val="004E6947"/>
    <w:rsid w:val="004F1314"/>
    <w:rsid w:val="004F15F6"/>
    <w:rsid w:val="004F1CE0"/>
    <w:rsid w:val="004F1FB1"/>
    <w:rsid w:val="004F2FCC"/>
    <w:rsid w:val="004F57FF"/>
    <w:rsid w:val="004F6226"/>
    <w:rsid w:val="004F7213"/>
    <w:rsid w:val="004F729F"/>
    <w:rsid w:val="004F7879"/>
    <w:rsid w:val="00501B0C"/>
    <w:rsid w:val="00501D31"/>
    <w:rsid w:val="00503365"/>
    <w:rsid w:val="00503CA2"/>
    <w:rsid w:val="005065CC"/>
    <w:rsid w:val="00506E19"/>
    <w:rsid w:val="00507122"/>
    <w:rsid w:val="00507E8B"/>
    <w:rsid w:val="00511BB4"/>
    <w:rsid w:val="005143FF"/>
    <w:rsid w:val="005214A5"/>
    <w:rsid w:val="0052277A"/>
    <w:rsid w:val="00522B4B"/>
    <w:rsid w:val="005243C1"/>
    <w:rsid w:val="00525F09"/>
    <w:rsid w:val="00527311"/>
    <w:rsid w:val="00527D64"/>
    <w:rsid w:val="00530092"/>
    <w:rsid w:val="00531395"/>
    <w:rsid w:val="005318C9"/>
    <w:rsid w:val="00531F7C"/>
    <w:rsid w:val="00534867"/>
    <w:rsid w:val="0053621D"/>
    <w:rsid w:val="00536458"/>
    <w:rsid w:val="00537B8F"/>
    <w:rsid w:val="005432CC"/>
    <w:rsid w:val="00543D23"/>
    <w:rsid w:val="00543EF7"/>
    <w:rsid w:val="005443C9"/>
    <w:rsid w:val="005444A7"/>
    <w:rsid w:val="005460C7"/>
    <w:rsid w:val="00546B02"/>
    <w:rsid w:val="005474CB"/>
    <w:rsid w:val="00547AAB"/>
    <w:rsid w:val="0055128E"/>
    <w:rsid w:val="005514A5"/>
    <w:rsid w:val="00551E73"/>
    <w:rsid w:val="005527CA"/>
    <w:rsid w:val="00553EBB"/>
    <w:rsid w:val="0055570F"/>
    <w:rsid w:val="0055614A"/>
    <w:rsid w:val="00560299"/>
    <w:rsid w:val="005653ED"/>
    <w:rsid w:val="005654A4"/>
    <w:rsid w:val="0056616F"/>
    <w:rsid w:val="00566D52"/>
    <w:rsid w:val="00571FD0"/>
    <w:rsid w:val="00573D03"/>
    <w:rsid w:val="0057442A"/>
    <w:rsid w:val="00574E17"/>
    <w:rsid w:val="00577157"/>
    <w:rsid w:val="00577241"/>
    <w:rsid w:val="0058217B"/>
    <w:rsid w:val="00582C61"/>
    <w:rsid w:val="00582CC8"/>
    <w:rsid w:val="005843E6"/>
    <w:rsid w:val="00584C91"/>
    <w:rsid w:val="00584EDA"/>
    <w:rsid w:val="005854EC"/>
    <w:rsid w:val="0058744F"/>
    <w:rsid w:val="0059252E"/>
    <w:rsid w:val="00593FC4"/>
    <w:rsid w:val="005941BE"/>
    <w:rsid w:val="00594A70"/>
    <w:rsid w:val="00594D96"/>
    <w:rsid w:val="00594DA8"/>
    <w:rsid w:val="005958D5"/>
    <w:rsid w:val="005A0A39"/>
    <w:rsid w:val="005A13BD"/>
    <w:rsid w:val="005A32C2"/>
    <w:rsid w:val="005A63F4"/>
    <w:rsid w:val="005A6721"/>
    <w:rsid w:val="005A67AD"/>
    <w:rsid w:val="005B01A6"/>
    <w:rsid w:val="005B2463"/>
    <w:rsid w:val="005B27A8"/>
    <w:rsid w:val="005B40B7"/>
    <w:rsid w:val="005B7BA6"/>
    <w:rsid w:val="005C06A0"/>
    <w:rsid w:val="005C0A43"/>
    <w:rsid w:val="005C0CBF"/>
    <w:rsid w:val="005C1B47"/>
    <w:rsid w:val="005C254B"/>
    <w:rsid w:val="005C2EA9"/>
    <w:rsid w:val="005C610E"/>
    <w:rsid w:val="005D27FA"/>
    <w:rsid w:val="005D2F06"/>
    <w:rsid w:val="005D3429"/>
    <w:rsid w:val="005D3BF3"/>
    <w:rsid w:val="005D3FA7"/>
    <w:rsid w:val="005D4C27"/>
    <w:rsid w:val="005D59B3"/>
    <w:rsid w:val="005D63A6"/>
    <w:rsid w:val="005D6848"/>
    <w:rsid w:val="005D72E4"/>
    <w:rsid w:val="005D73CF"/>
    <w:rsid w:val="005D7E17"/>
    <w:rsid w:val="005E04DC"/>
    <w:rsid w:val="005E4CB1"/>
    <w:rsid w:val="005E4F2B"/>
    <w:rsid w:val="005E56B1"/>
    <w:rsid w:val="005E62BF"/>
    <w:rsid w:val="005E7594"/>
    <w:rsid w:val="005F0224"/>
    <w:rsid w:val="005F0AB9"/>
    <w:rsid w:val="005F1464"/>
    <w:rsid w:val="005F165E"/>
    <w:rsid w:val="005F1CF3"/>
    <w:rsid w:val="005F2C98"/>
    <w:rsid w:val="005F420A"/>
    <w:rsid w:val="005F5477"/>
    <w:rsid w:val="005F5542"/>
    <w:rsid w:val="005F6C7A"/>
    <w:rsid w:val="00600555"/>
    <w:rsid w:val="00601830"/>
    <w:rsid w:val="00606741"/>
    <w:rsid w:val="006069CF"/>
    <w:rsid w:val="006069DB"/>
    <w:rsid w:val="00607C89"/>
    <w:rsid w:val="0061081B"/>
    <w:rsid w:val="0061092F"/>
    <w:rsid w:val="006116F6"/>
    <w:rsid w:val="00613D0D"/>
    <w:rsid w:val="00613E09"/>
    <w:rsid w:val="006141BC"/>
    <w:rsid w:val="0061453A"/>
    <w:rsid w:val="006146BE"/>
    <w:rsid w:val="00614927"/>
    <w:rsid w:val="00617F48"/>
    <w:rsid w:val="00620C1B"/>
    <w:rsid w:val="00620CC0"/>
    <w:rsid w:val="00620FAB"/>
    <w:rsid w:val="00621070"/>
    <w:rsid w:val="0062143E"/>
    <w:rsid w:val="00621845"/>
    <w:rsid w:val="00622A94"/>
    <w:rsid w:val="00622CA0"/>
    <w:rsid w:val="00623DD7"/>
    <w:rsid w:val="00624BA0"/>
    <w:rsid w:val="0062724B"/>
    <w:rsid w:val="006275BF"/>
    <w:rsid w:val="006319AC"/>
    <w:rsid w:val="006325E1"/>
    <w:rsid w:val="00632D0E"/>
    <w:rsid w:val="00633F7C"/>
    <w:rsid w:val="00635A0E"/>
    <w:rsid w:val="00635B06"/>
    <w:rsid w:val="006362E7"/>
    <w:rsid w:val="00636770"/>
    <w:rsid w:val="006369EE"/>
    <w:rsid w:val="00641213"/>
    <w:rsid w:val="00641D4C"/>
    <w:rsid w:val="00642CF6"/>
    <w:rsid w:val="006439C8"/>
    <w:rsid w:val="006447B4"/>
    <w:rsid w:val="0064496E"/>
    <w:rsid w:val="00645D5D"/>
    <w:rsid w:val="00647200"/>
    <w:rsid w:val="00651E39"/>
    <w:rsid w:val="00651F69"/>
    <w:rsid w:val="006525D2"/>
    <w:rsid w:val="00653335"/>
    <w:rsid w:val="0065389B"/>
    <w:rsid w:val="00653B3C"/>
    <w:rsid w:val="006547B5"/>
    <w:rsid w:val="00655AB0"/>
    <w:rsid w:val="006567B4"/>
    <w:rsid w:val="00657DBB"/>
    <w:rsid w:val="00657E92"/>
    <w:rsid w:val="006621AB"/>
    <w:rsid w:val="00663D88"/>
    <w:rsid w:val="00664D46"/>
    <w:rsid w:val="006666BB"/>
    <w:rsid w:val="00666A7E"/>
    <w:rsid w:val="00667B4B"/>
    <w:rsid w:val="006700DF"/>
    <w:rsid w:val="00670E49"/>
    <w:rsid w:val="0067106D"/>
    <w:rsid w:val="006710CA"/>
    <w:rsid w:val="00671C27"/>
    <w:rsid w:val="00671FC3"/>
    <w:rsid w:val="00674DFA"/>
    <w:rsid w:val="00674F27"/>
    <w:rsid w:val="00675A1E"/>
    <w:rsid w:val="00675C64"/>
    <w:rsid w:val="00676169"/>
    <w:rsid w:val="006775C0"/>
    <w:rsid w:val="00677BE7"/>
    <w:rsid w:val="00677EB6"/>
    <w:rsid w:val="00680BD7"/>
    <w:rsid w:val="00682601"/>
    <w:rsid w:val="0068270B"/>
    <w:rsid w:val="00682D72"/>
    <w:rsid w:val="00684211"/>
    <w:rsid w:val="0068469D"/>
    <w:rsid w:val="00684823"/>
    <w:rsid w:val="0068503A"/>
    <w:rsid w:val="006851AF"/>
    <w:rsid w:val="00686D63"/>
    <w:rsid w:val="006876CC"/>
    <w:rsid w:val="00690D79"/>
    <w:rsid w:val="00693E48"/>
    <w:rsid w:val="00695AA8"/>
    <w:rsid w:val="00695DAF"/>
    <w:rsid w:val="00697A5F"/>
    <w:rsid w:val="00697EA3"/>
    <w:rsid w:val="00697FF2"/>
    <w:rsid w:val="006A005B"/>
    <w:rsid w:val="006A0DCD"/>
    <w:rsid w:val="006A314A"/>
    <w:rsid w:val="006A3886"/>
    <w:rsid w:val="006A52CC"/>
    <w:rsid w:val="006A5D0B"/>
    <w:rsid w:val="006B02CF"/>
    <w:rsid w:val="006B2853"/>
    <w:rsid w:val="006B333D"/>
    <w:rsid w:val="006B35D2"/>
    <w:rsid w:val="006B47AA"/>
    <w:rsid w:val="006B5EE6"/>
    <w:rsid w:val="006B711E"/>
    <w:rsid w:val="006B715D"/>
    <w:rsid w:val="006B77CE"/>
    <w:rsid w:val="006B7A3C"/>
    <w:rsid w:val="006C2420"/>
    <w:rsid w:val="006C42BB"/>
    <w:rsid w:val="006C472B"/>
    <w:rsid w:val="006C4A66"/>
    <w:rsid w:val="006C5423"/>
    <w:rsid w:val="006C5491"/>
    <w:rsid w:val="006C6504"/>
    <w:rsid w:val="006D0332"/>
    <w:rsid w:val="006D3295"/>
    <w:rsid w:val="006D437C"/>
    <w:rsid w:val="006D6665"/>
    <w:rsid w:val="006D6719"/>
    <w:rsid w:val="006D6E8D"/>
    <w:rsid w:val="006D74A1"/>
    <w:rsid w:val="006E05CD"/>
    <w:rsid w:val="006E0B29"/>
    <w:rsid w:val="006E1FC5"/>
    <w:rsid w:val="006E2BA9"/>
    <w:rsid w:val="006E2CE3"/>
    <w:rsid w:val="006E3EB9"/>
    <w:rsid w:val="006E7920"/>
    <w:rsid w:val="006F06D2"/>
    <w:rsid w:val="006F15B4"/>
    <w:rsid w:val="006F191E"/>
    <w:rsid w:val="006F4F80"/>
    <w:rsid w:val="006F6776"/>
    <w:rsid w:val="006F686A"/>
    <w:rsid w:val="006F6941"/>
    <w:rsid w:val="006F7B5F"/>
    <w:rsid w:val="006F7BC0"/>
    <w:rsid w:val="00702434"/>
    <w:rsid w:val="00702D2B"/>
    <w:rsid w:val="00703B24"/>
    <w:rsid w:val="00704863"/>
    <w:rsid w:val="00704F64"/>
    <w:rsid w:val="00705994"/>
    <w:rsid w:val="00705995"/>
    <w:rsid w:val="007106AB"/>
    <w:rsid w:val="007107CE"/>
    <w:rsid w:val="007108DD"/>
    <w:rsid w:val="00711236"/>
    <w:rsid w:val="00711A33"/>
    <w:rsid w:val="00714C75"/>
    <w:rsid w:val="00715A53"/>
    <w:rsid w:val="007208FA"/>
    <w:rsid w:val="00721C9F"/>
    <w:rsid w:val="00722A14"/>
    <w:rsid w:val="00722C88"/>
    <w:rsid w:val="00723808"/>
    <w:rsid w:val="007246C9"/>
    <w:rsid w:val="007254D2"/>
    <w:rsid w:val="007265BC"/>
    <w:rsid w:val="00732312"/>
    <w:rsid w:val="007335D0"/>
    <w:rsid w:val="00733B58"/>
    <w:rsid w:val="00734457"/>
    <w:rsid w:val="00734D73"/>
    <w:rsid w:val="0073769D"/>
    <w:rsid w:val="0074224C"/>
    <w:rsid w:val="00742930"/>
    <w:rsid w:val="00743265"/>
    <w:rsid w:val="00743799"/>
    <w:rsid w:val="00743938"/>
    <w:rsid w:val="00743D8B"/>
    <w:rsid w:val="00747EF0"/>
    <w:rsid w:val="007502F3"/>
    <w:rsid w:val="00750C1C"/>
    <w:rsid w:val="00751C81"/>
    <w:rsid w:val="00751C9D"/>
    <w:rsid w:val="00751F12"/>
    <w:rsid w:val="007545E6"/>
    <w:rsid w:val="0075705D"/>
    <w:rsid w:val="0075745D"/>
    <w:rsid w:val="00757F20"/>
    <w:rsid w:val="00762E11"/>
    <w:rsid w:val="00762F98"/>
    <w:rsid w:val="007631FE"/>
    <w:rsid w:val="00764854"/>
    <w:rsid w:val="00765DBE"/>
    <w:rsid w:val="00767031"/>
    <w:rsid w:val="00770661"/>
    <w:rsid w:val="007706C4"/>
    <w:rsid w:val="007721F0"/>
    <w:rsid w:val="007730DA"/>
    <w:rsid w:val="00775002"/>
    <w:rsid w:val="00775109"/>
    <w:rsid w:val="00777610"/>
    <w:rsid w:val="007822DD"/>
    <w:rsid w:val="00784ADF"/>
    <w:rsid w:val="00786B9E"/>
    <w:rsid w:val="00787F6D"/>
    <w:rsid w:val="007904A1"/>
    <w:rsid w:val="0079221F"/>
    <w:rsid w:val="007936C4"/>
    <w:rsid w:val="00795FA4"/>
    <w:rsid w:val="00797A27"/>
    <w:rsid w:val="007A0672"/>
    <w:rsid w:val="007A0828"/>
    <w:rsid w:val="007A1D56"/>
    <w:rsid w:val="007A24F1"/>
    <w:rsid w:val="007A30B2"/>
    <w:rsid w:val="007A57CE"/>
    <w:rsid w:val="007A57D6"/>
    <w:rsid w:val="007A6565"/>
    <w:rsid w:val="007A7FDE"/>
    <w:rsid w:val="007B0871"/>
    <w:rsid w:val="007B196A"/>
    <w:rsid w:val="007B27A5"/>
    <w:rsid w:val="007B362C"/>
    <w:rsid w:val="007B3ADD"/>
    <w:rsid w:val="007B43C0"/>
    <w:rsid w:val="007B4428"/>
    <w:rsid w:val="007B4EC0"/>
    <w:rsid w:val="007B62F7"/>
    <w:rsid w:val="007B738D"/>
    <w:rsid w:val="007C05D7"/>
    <w:rsid w:val="007C06C5"/>
    <w:rsid w:val="007C0B86"/>
    <w:rsid w:val="007C1CE7"/>
    <w:rsid w:val="007C455A"/>
    <w:rsid w:val="007C59C4"/>
    <w:rsid w:val="007C6CBC"/>
    <w:rsid w:val="007D0479"/>
    <w:rsid w:val="007D10BE"/>
    <w:rsid w:val="007D2A48"/>
    <w:rsid w:val="007D38AF"/>
    <w:rsid w:val="007D3EAD"/>
    <w:rsid w:val="007D48A7"/>
    <w:rsid w:val="007E0E95"/>
    <w:rsid w:val="007E1A25"/>
    <w:rsid w:val="007E3BDB"/>
    <w:rsid w:val="007E5D0E"/>
    <w:rsid w:val="007E62DD"/>
    <w:rsid w:val="007E701F"/>
    <w:rsid w:val="007E7FEC"/>
    <w:rsid w:val="007F08BD"/>
    <w:rsid w:val="007F26A2"/>
    <w:rsid w:val="007F2830"/>
    <w:rsid w:val="007F2CFA"/>
    <w:rsid w:val="007F7BA0"/>
    <w:rsid w:val="007F7C03"/>
    <w:rsid w:val="0080164D"/>
    <w:rsid w:val="008020B8"/>
    <w:rsid w:val="00802EEC"/>
    <w:rsid w:val="00804430"/>
    <w:rsid w:val="008062D8"/>
    <w:rsid w:val="008144CA"/>
    <w:rsid w:val="00815B31"/>
    <w:rsid w:val="00816A85"/>
    <w:rsid w:val="008201CF"/>
    <w:rsid w:val="00823A94"/>
    <w:rsid w:val="0082486E"/>
    <w:rsid w:val="00824BE6"/>
    <w:rsid w:val="008264D6"/>
    <w:rsid w:val="00826BF9"/>
    <w:rsid w:val="00831E8E"/>
    <w:rsid w:val="00832B66"/>
    <w:rsid w:val="00833A73"/>
    <w:rsid w:val="008355DD"/>
    <w:rsid w:val="00836F53"/>
    <w:rsid w:val="0083706A"/>
    <w:rsid w:val="00841025"/>
    <w:rsid w:val="0084123D"/>
    <w:rsid w:val="008412CE"/>
    <w:rsid w:val="00841ED7"/>
    <w:rsid w:val="00842ED7"/>
    <w:rsid w:val="00847259"/>
    <w:rsid w:val="008474BA"/>
    <w:rsid w:val="00847BE8"/>
    <w:rsid w:val="00847C2A"/>
    <w:rsid w:val="008519D5"/>
    <w:rsid w:val="00851CD1"/>
    <w:rsid w:val="00855B4C"/>
    <w:rsid w:val="008562DF"/>
    <w:rsid w:val="00856486"/>
    <w:rsid w:val="00856BB8"/>
    <w:rsid w:val="00857923"/>
    <w:rsid w:val="00860A3C"/>
    <w:rsid w:val="008618BF"/>
    <w:rsid w:val="00861A16"/>
    <w:rsid w:val="008626B2"/>
    <w:rsid w:val="00862DEF"/>
    <w:rsid w:val="00863AA5"/>
    <w:rsid w:val="008643ED"/>
    <w:rsid w:val="008662C4"/>
    <w:rsid w:val="008664C5"/>
    <w:rsid w:val="00870AA2"/>
    <w:rsid w:val="008716B1"/>
    <w:rsid w:val="00874268"/>
    <w:rsid w:val="00880DFD"/>
    <w:rsid w:val="0088465C"/>
    <w:rsid w:val="00885B31"/>
    <w:rsid w:val="008864AB"/>
    <w:rsid w:val="00886A0E"/>
    <w:rsid w:val="00892A8D"/>
    <w:rsid w:val="008933F7"/>
    <w:rsid w:val="0089353B"/>
    <w:rsid w:val="00893876"/>
    <w:rsid w:val="00893B62"/>
    <w:rsid w:val="00895534"/>
    <w:rsid w:val="008959B3"/>
    <w:rsid w:val="00895C80"/>
    <w:rsid w:val="00895D55"/>
    <w:rsid w:val="00895D88"/>
    <w:rsid w:val="00897023"/>
    <w:rsid w:val="008A04A4"/>
    <w:rsid w:val="008A0B30"/>
    <w:rsid w:val="008A2386"/>
    <w:rsid w:val="008A2662"/>
    <w:rsid w:val="008A27CC"/>
    <w:rsid w:val="008A339C"/>
    <w:rsid w:val="008A365E"/>
    <w:rsid w:val="008A3E06"/>
    <w:rsid w:val="008A4C29"/>
    <w:rsid w:val="008A5716"/>
    <w:rsid w:val="008A6C96"/>
    <w:rsid w:val="008A74A1"/>
    <w:rsid w:val="008A7940"/>
    <w:rsid w:val="008B03E5"/>
    <w:rsid w:val="008B21F0"/>
    <w:rsid w:val="008B4B6B"/>
    <w:rsid w:val="008B5842"/>
    <w:rsid w:val="008B6278"/>
    <w:rsid w:val="008C0F10"/>
    <w:rsid w:val="008C156B"/>
    <w:rsid w:val="008C195A"/>
    <w:rsid w:val="008C25A3"/>
    <w:rsid w:val="008C355D"/>
    <w:rsid w:val="008C567F"/>
    <w:rsid w:val="008C5B52"/>
    <w:rsid w:val="008C7E22"/>
    <w:rsid w:val="008D0ACD"/>
    <w:rsid w:val="008D0F39"/>
    <w:rsid w:val="008D1684"/>
    <w:rsid w:val="008D1E0D"/>
    <w:rsid w:val="008D35A4"/>
    <w:rsid w:val="008D3D86"/>
    <w:rsid w:val="008D41AC"/>
    <w:rsid w:val="008D56C7"/>
    <w:rsid w:val="008D7A88"/>
    <w:rsid w:val="008D7C83"/>
    <w:rsid w:val="008E1806"/>
    <w:rsid w:val="008E1F28"/>
    <w:rsid w:val="008E338F"/>
    <w:rsid w:val="008E49D1"/>
    <w:rsid w:val="008E516D"/>
    <w:rsid w:val="008E5EC1"/>
    <w:rsid w:val="008E6286"/>
    <w:rsid w:val="008E68F9"/>
    <w:rsid w:val="008E7A07"/>
    <w:rsid w:val="008F0E61"/>
    <w:rsid w:val="008F1AB8"/>
    <w:rsid w:val="008F220E"/>
    <w:rsid w:val="008F23C1"/>
    <w:rsid w:val="008F3DC3"/>
    <w:rsid w:val="008F43A5"/>
    <w:rsid w:val="008F4D77"/>
    <w:rsid w:val="008F70EE"/>
    <w:rsid w:val="008F7652"/>
    <w:rsid w:val="009040AF"/>
    <w:rsid w:val="00910246"/>
    <w:rsid w:val="00911783"/>
    <w:rsid w:val="00913F8F"/>
    <w:rsid w:val="009156DE"/>
    <w:rsid w:val="00916CC2"/>
    <w:rsid w:val="009178F5"/>
    <w:rsid w:val="00920C9F"/>
    <w:rsid w:val="009224B7"/>
    <w:rsid w:val="0092309C"/>
    <w:rsid w:val="00923BC5"/>
    <w:rsid w:val="00923D2A"/>
    <w:rsid w:val="00925518"/>
    <w:rsid w:val="00925660"/>
    <w:rsid w:val="009262FE"/>
    <w:rsid w:val="00926D45"/>
    <w:rsid w:val="00926F45"/>
    <w:rsid w:val="0092759D"/>
    <w:rsid w:val="009278D5"/>
    <w:rsid w:val="009304BE"/>
    <w:rsid w:val="00930AAA"/>
    <w:rsid w:val="00930B63"/>
    <w:rsid w:val="00930F29"/>
    <w:rsid w:val="0093159B"/>
    <w:rsid w:val="0093273B"/>
    <w:rsid w:val="00932A5B"/>
    <w:rsid w:val="00933C68"/>
    <w:rsid w:val="00934E1C"/>
    <w:rsid w:val="00935DEC"/>
    <w:rsid w:val="009369CE"/>
    <w:rsid w:val="00941D0D"/>
    <w:rsid w:val="009436AB"/>
    <w:rsid w:val="0094452C"/>
    <w:rsid w:val="00944BC8"/>
    <w:rsid w:val="009450A9"/>
    <w:rsid w:val="00946D37"/>
    <w:rsid w:val="009476A3"/>
    <w:rsid w:val="00950C39"/>
    <w:rsid w:val="00951978"/>
    <w:rsid w:val="009535A4"/>
    <w:rsid w:val="00954221"/>
    <w:rsid w:val="00956436"/>
    <w:rsid w:val="00956C8F"/>
    <w:rsid w:val="00957962"/>
    <w:rsid w:val="00960199"/>
    <w:rsid w:val="00960279"/>
    <w:rsid w:val="00961BB1"/>
    <w:rsid w:val="009641FB"/>
    <w:rsid w:val="00965177"/>
    <w:rsid w:val="00966199"/>
    <w:rsid w:val="009670FA"/>
    <w:rsid w:val="00970361"/>
    <w:rsid w:val="00974042"/>
    <w:rsid w:val="0097415E"/>
    <w:rsid w:val="00975F62"/>
    <w:rsid w:val="0097692A"/>
    <w:rsid w:val="009819D9"/>
    <w:rsid w:val="00981F8E"/>
    <w:rsid w:val="0098274D"/>
    <w:rsid w:val="00982790"/>
    <w:rsid w:val="00983F24"/>
    <w:rsid w:val="00987575"/>
    <w:rsid w:val="0099060F"/>
    <w:rsid w:val="00993843"/>
    <w:rsid w:val="0099387F"/>
    <w:rsid w:val="0099433C"/>
    <w:rsid w:val="00994856"/>
    <w:rsid w:val="009977C5"/>
    <w:rsid w:val="009A4814"/>
    <w:rsid w:val="009A4D92"/>
    <w:rsid w:val="009A7611"/>
    <w:rsid w:val="009B07F3"/>
    <w:rsid w:val="009B0F9D"/>
    <w:rsid w:val="009B1255"/>
    <w:rsid w:val="009B1E56"/>
    <w:rsid w:val="009B2DC6"/>
    <w:rsid w:val="009B2E43"/>
    <w:rsid w:val="009B2EFC"/>
    <w:rsid w:val="009B375C"/>
    <w:rsid w:val="009B41C5"/>
    <w:rsid w:val="009B48AC"/>
    <w:rsid w:val="009B689D"/>
    <w:rsid w:val="009B75CB"/>
    <w:rsid w:val="009C0D55"/>
    <w:rsid w:val="009C3ACC"/>
    <w:rsid w:val="009C3F2A"/>
    <w:rsid w:val="009C503F"/>
    <w:rsid w:val="009C61CE"/>
    <w:rsid w:val="009C659E"/>
    <w:rsid w:val="009C6B14"/>
    <w:rsid w:val="009C746D"/>
    <w:rsid w:val="009C7680"/>
    <w:rsid w:val="009D2A9E"/>
    <w:rsid w:val="009D2CD9"/>
    <w:rsid w:val="009D4079"/>
    <w:rsid w:val="009D4AB5"/>
    <w:rsid w:val="009D61DD"/>
    <w:rsid w:val="009D6725"/>
    <w:rsid w:val="009D69EA"/>
    <w:rsid w:val="009D6FDC"/>
    <w:rsid w:val="009D701A"/>
    <w:rsid w:val="009D7517"/>
    <w:rsid w:val="009E19B2"/>
    <w:rsid w:val="009E5AF7"/>
    <w:rsid w:val="009E6378"/>
    <w:rsid w:val="009F06EE"/>
    <w:rsid w:val="009F1580"/>
    <w:rsid w:val="009F2DAB"/>
    <w:rsid w:val="009F2E15"/>
    <w:rsid w:val="009F592A"/>
    <w:rsid w:val="00A016D5"/>
    <w:rsid w:val="00A01C1D"/>
    <w:rsid w:val="00A01D39"/>
    <w:rsid w:val="00A02101"/>
    <w:rsid w:val="00A027A1"/>
    <w:rsid w:val="00A05418"/>
    <w:rsid w:val="00A05BC4"/>
    <w:rsid w:val="00A06136"/>
    <w:rsid w:val="00A07CE1"/>
    <w:rsid w:val="00A12274"/>
    <w:rsid w:val="00A123FE"/>
    <w:rsid w:val="00A12478"/>
    <w:rsid w:val="00A12E5D"/>
    <w:rsid w:val="00A14004"/>
    <w:rsid w:val="00A1487C"/>
    <w:rsid w:val="00A14927"/>
    <w:rsid w:val="00A15CF4"/>
    <w:rsid w:val="00A17A2C"/>
    <w:rsid w:val="00A17CCF"/>
    <w:rsid w:val="00A21A30"/>
    <w:rsid w:val="00A21A97"/>
    <w:rsid w:val="00A223CB"/>
    <w:rsid w:val="00A22F86"/>
    <w:rsid w:val="00A2369B"/>
    <w:rsid w:val="00A24D36"/>
    <w:rsid w:val="00A259D6"/>
    <w:rsid w:val="00A262E5"/>
    <w:rsid w:val="00A27A32"/>
    <w:rsid w:val="00A3008E"/>
    <w:rsid w:val="00A301A5"/>
    <w:rsid w:val="00A306D7"/>
    <w:rsid w:val="00A30854"/>
    <w:rsid w:val="00A30E55"/>
    <w:rsid w:val="00A31427"/>
    <w:rsid w:val="00A31B8E"/>
    <w:rsid w:val="00A322C5"/>
    <w:rsid w:val="00A32564"/>
    <w:rsid w:val="00A35084"/>
    <w:rsid w:val="00A3579F"/>
    <w:rsid w:val="00A361FF"/>
    <w:rsid w:val="00A36340"/>
    <w:rsid w:val="00A36BF8"/>
    <w:rsid w:val="00A4344F"/>
    <w:rsid w:val="00A4401E"/>
    <w:rsid w:val="00A47B61"/>
    <w:rsid w:val="00A51143"/>
    <w:rsid w:val="00A51C71"/>
    <w:rsid w:val="00A523E4"/>
    <w:rsid w:val="00A5242A"/>
    <w:rsid w:val="00A5245C"/>
    <w:rsid w:val="00A545A7"/>
    <w:rsid w:val="00A54D0D"/>
    <w:rsid w:val="00A55137"/>
    <w:rsid w:val="00A555DC"/>
    <w:rsid w:val="00A55A06"/>
    <w:rsid w:val="00A567E7"/>
    <w:rsid w:val="00A60F72"/>
    <w:rsid w:val="00A63977"/>
    <w:rsid w:val="00A63A63"/>
    <w:rsid w:val="00A64273"/>
    <w:rsid w:val="00A64766"/>
    <w:rsid w:val="00A6554E"/>
    <w:rsid w:val="00A66266"/>
    <w:rsid w:val="00A66FA3"/>
    <w:rsid w:val="00A70A48"/>
    <w:rsid w:val="00A72164"/>
    <w:rsid w:val="00A75D30"/>
    <w:rsid w:val="00A812FB"/>
    <w:rsid w:val="00A81A37"/>
    <w:rsid w:val="00A81EF3"/>
    <w:rsid w:val="00A87161"/>
    <w:rsid w:val="00A903E8"/>
    <w:rsid w:val="00A90502"/>
    <w:rsid w:val="00A93316"/>
    <w:rsid w:val="00A9359E"/>
    <w:rsid w:val="00A938A2"/>
    <w:rsid w:val="00A9560B"/>
    <w:rsid w:val="00A97E6B"/>
    <w:rsid w:val="00AA48CA"/>
    <w:rsid w:val="00AA581E"/>
    <w:rsid w:val="00AA7323"/>
    <w:rsid w:val="00AB0C65"/>
    <w:rsid w:val="00AB20A4"/>
    <w:rsid w:val="00AB2A6C"/>
    <w:rsid w:val="00AB401A"/>
    <w:rsid w:val="00AB4D1A"/>
    <w:rsid w:val="00AB54AE"/>
    <w:rsid w:val="00AB66BE"/>
    <w:rsid w:val="00AC0F92"/>
    <w:rsid w:val="00AC14E2"/>
    <w:rsid w:val="00AC44F2"/>
    <w:rsid w:val="00AC51FE"/>
    <w:rsid w:val="00AD045E"/>
    <w:rsid w:val="00AE12DA"/>
    <w:rsid w:val="00AE1BAF"/>
    <w:rsid w:val="00AE1C62"/>
    <w:rsid w:val="00AE1DAF"/>
    <w:rsid w:val="00AE20F5"/>
    <w:rsid w:val="00AE2550"/>
    <w:rsid w:val="00AE3841"/>
    <w:rsid w:val="00AE636F"/>
    <w:rsid w:val="00AF15FE"/>
    <w:rsid w:val="00AF272C"/>
    <w:rsid w:val="00AF2EF9"/>
    <w:rsid w:val="00AF2F80"/>
    <w:rsid w:val="00AF7E93"/>
    <w:rsid w:val="00B0085D"/>
    <w:rsid w:val="00B01533"/>
    <w:rsid w:val="00B02293"/>
    <w:rsid w:val="00B0371D"/>
    <w:rsid w:val="00B0609B"/>
    <w:rsid w:val="00B11822"/>
    <w:rsid w:val="00B119F1"/>
    <w:rsid w:val="00B11BD9"/>
    <w:rsid w:val="00B13539"/>
    <w:rsid w:val="00B135E4"/>
    <w:rsid w:val="00B13D0D"/>
    <w:rsid w:val="00B13F11"/>
    <w:rsid w:val="00B14640"/>
    <w:rsid w:val="00B14E03"/>
    <w:rsid w:val="00B161EA"/>
    <w:rsid w:val="00B20072"/>
    <w:rsid w:val="00B20E75"/>
    <w:rsid w:val="00B22A8F"/>
    <w:rsid w:val="00B23E48"/>
    <w:rsid w:val="00B26DFD"/>
    <w:rsid w:val="00B27337"/>
    <w:rsid w:val="00B274FC"/>
    <w:rsid w:val="00B27652"/>
    <w:rsid w:val="00B27BF4"/>
    <w:rsid w:val="00B27FD0"/>
    <w:rsid w:val="00B31303"/>
    <w:rsid w:val="00B3230A"/>
    <w:rsid w:val="00B33303"/>
    <w:rsid w:val="00B33FD9"/>
    <w:rsid w:val="00B34E95"/>
    <w:rsid w:val="00B34EFA"/>
    <w:rsid w:val="00B361E7"/>
    <w:rsid w:val="00B36954"/>
    <w:rsid w:val="00B42BF5"/>
    <w:rsid w:val="00B450DF"/>
    <w:rsid w:val="00B4669E"/>
    <w:rsid w:val="00B46798"/>
    <w:rsid w:val="00B4683A"/>
    <w:rsid w:val="00B5048F"/>
    <w:rsid w:val="00B514AB"/>
    <w:rsid w:val="00B55160"/>
    <w:rsid w:val="00B5595B"/>
    <w:rsid w:val="00B56EEE"/>
    <w:rsid w:val="00B57ED7"/>
    <w:rsid w:val="00B61FF3"/>
    <w:rsid w:val="00B62344"/>
    <w:rsid w:val="00B63AA7"/>
    <w:rsid w:val="00B6523F"/>
    <w:rsid w:val="00B659CD"/>
    <w:rsid w:val="00B67446"/>
    <w:rsid w:val="00B71485"/>
    <w:rsid w:val="00B7166E"/>
    <w:rsid w:val="00B728A8"/>
    <w:rsid w:val="00B72A1C"/>
    <w:rsid w:val="00B7432E"/>
    <w:rsid w:val="00B74A80"/>
    <w:rsid w:val="00B779E7"/>
    <w:rsid w:val="00B806D0"/>
    <w:rsid w:val="00B81209"/>
    <w:rsid w:val="00B81BB0"/>
    <w:rsid w:val="00B8325F"/>
    <w:rsid w:val="00B840AF"/>
    <w:rsid w:val="00B84151"/>
    <w:rsid w:val="00B852CB"/>
    <w:rsid w:val="00B85BE6"/>
    <w:rsid w:val="00B86378"/>
    <w:rsid w:val="00B86488"/>
    <w:rsid w:val="00B91EAB"/>
    <w:rsid w:val="00B931EF"/>
    <w:rsid w:val="00B93304"/>
    <w:rsid w:val="00B93903"/>
    <w:rsid w:val="00B95258"/>
    <w:rsid w:val="00B956A8"/>
    <w:rsid w:val="00B958BB"/>
    <w:rsid w:val="00B95D86"/>
    <w:rsid w:val="00B964A6"/>
    <w:rsid w:val="00B969DD"/>
    <w:rsid w:val="00B96BAC"/>
    <w:rsid w:val="00B979D1"/>
    <w:rsid w:val="00B97DAA"/>
    <w:rsid w:val="00BA0778"/>
    <w:rsid w:val="00BA1F19"/>
    <w:rsid w:val="00BA6993"/>
    <w:rsid w:val="00BB0A8D"/>
    <w:rsid w:val="00BB127F"/>
    <w:rsid w:val="00BB174A"/>
    <w:rsid w:val="00BB3238"/>
    <w:rsid w:val="00BB3329"/>
    <w:rsid w:val="00BB3E24"/>
    <w:rsid w:val="00BB438D"/>
    <w:rsid w:val="00BB4612"/>
    <w:rsid w:val="00BB4F0A"/>
    <w:rsid w:val="00BB6298"/>
    <w:rsid w:val="00BB653A"/>
    <w:rsid w:val="00BB68E7"/>
    <w:rsid w:val="00BC0046"/>
    <w:rsid w:val="00BC0C48"/>
    <w:rsid w:val="00BC1B9E"/>
    <w:rsid w:val="00BC284F"/>
    <w:rsid w:val="00BC31D5"/>
    <w:rsid w:val="00BC32BD"/>
    <w:rsid w:val="00BC4F38"/>
    <w:rsid w:val="00BC4FA0"/>
    <w:rsid w:val="00BC5CF9"/>
    <w:rsid w:val="00BC64EC"/>
    <w:rsid w:val="00BC7F61"/>
    <w:rsid w:val="00BD080B"/>
    <w:rsid w:val="00BD118E"/>
    <w:rsid w:val="00BD2D4A"/>
    <w:rsid w:val="00BD3E06"/>
    <w:rsid w:val="00BD3E8A"/>
    <w:rsid w:val="00BD4BC0"/>
    <w:rsid w:val="00BD678E"/>
    <w:rsid w:val="00BE01CA"/>
    <w:rsid w:val="00BE02D5"/>
    <w:rsid w:val="00BE2BF0"/>
    <w:rsid w:val="00BE3367"/>
    <w:rsid w:val="00BE3834"/>
    <w:rsid w:val="00BE3FA4"/>
    <w:rsid w:val="00BE60B3"/>
    <w:rsid w:val="00BE7813"/>
    <w:rsid w:val="00BE7E2E"/>
    <w:rsid w:val="00BF38E0"/>
    <w:rsid w:val="00BF433E"/>
    <w:rsid w:val="00BF6334"/>
    <w:rsid w:val="00C01933"/>
    <w:rsid w:val="00C0385A"/>
    <w:rsid w:val="00C0551D"/>
    <w:rsid w:val="00C11977"/>
    <w:rsid w:val="00C11DDC"/>
    <w:rsid w:val="00C12F7C"/>
    <w:rsid w:val="00C136A9"/>
    <w:rsid w:val="00C13A89"/>
    <w:rsid w:val="00C1454E"/>
    <w:rsid w:val="00C14D07"/>
    <w:rsid w:val="00C16599"/>
    <w:rsid w:val="00C168BD"/>
    <w:rsid w:val="00C168D7"/>
    <w:rsid w:val="00C17616"/>
    <w:rsid w:val="00C2347B"/>
    <w:rsid w:val="00C24D32"/>
    <w:rsid w:val="00C2565C"/>
    <w:rsid w:val="00C26C8D"/>
    <w:rsid w:val="00C2735F"/>
    <w:rsid w:val="00C307FC"/>
    <w:rsid w:val="00C31A61"/>
    <w:rsid w:val="00C33670"/>
    <w:rsid w:val="00C3390E"/>
    <w:rsid w:val="00C36EC6"/>
    <w:rsid w:val="00C377B8"/>
    <w:rsid w:val="00C37E75"/>
    <w:rsid w:val="00C42D7F"/>
    <w:rsid w:val="00C467EB"/>
    <w:rsid w:val="00C47402"/>
    <w:rsid w:val="00C50419"/>
    <w:rsid w:val="00C50CEA"/>
    <w:rsid w:val="00C51283"/>
    <w:rsid w:val="00C532DD"/>
    <w:rsid w:val="00C53B21"/>
    <w:rsid w:val="00C5426D"/>
    <w:rsid w:val="00C567C4"/>
    <w:rsid w:val="00C57BA2"/>
    <w:rsid w:val="00C62DB6"/>
    <w:rsid w:val="00C630B3"/>
    <w:rsid w:val="00C665EF"/>
    <w:rsid w:val="00C66A68"/>
    <w:rsid w:val="00C66ED0"/>
    <w:rsid w:val="00C67E58"/>
    <w:rsid w:val="00C705C1"/>
    <w:rsid w:val="00C72A56"/>
    <w:rsid w:val="00C752A8"/>
    <w:rsid w:val="00C76F74"/>
    <w:rsid w:val="00C76FA9"/>
    <w:rsid w:val="00C80E66"/>
    <w:rsid w:val="00C80E99"/>
    <w:rsid w:val="00C83096"/>
    <w:rsid w:val="00C838A0"/>
    <w:rsid w:val="00C84161"/>
    <w:rsid w:val="00C865A7"/>
    <w:rsid w:val="00C86D55"/>
    <w:rsid w:val="00C86EC2"/>
    <w:rsid w:val="00C87FE4"/>
    <w:rsid w:val="00C945D6"/>
    <w:rsid w:val="00C94EA2"/>
    <w:rsid w:val="00C96269"/>
    <w:rsid w:val="00C96631"/>
    <w:rsid w:val="00C975EE"/>
    <w:rsid w:val="00CA01BD"/>
    <w:rsid w:val="00CA19DA"/>
    <w:rsid w:val="00CA1AC5"/>
    <w:rsid w:val="00CA2A35"/>
    <w:rsid w:val="00CA3D2D"/>
    <w:rsid w:val="00CA3F97"/>
    <w:rsid w:val="00CA5099"/>
    <w:rsid w:val="00CB0944"/>
    <w:rsid w:val="00CB18C5"/>
    <w:rsid w:val="00CB1B8C"/>
    <w:rsid w:val="00CB2700"/>
    <w:rsid w:val="00CB43E8"/>
    <w:rsid w:val="00CC085F"/>
    <w:rsid w:val="00CC1779"/>
    <w:rsid w:val="00CD22C7"/>
    <w:rsid w:val="00CD3178"/>
    <w:rsid w:val="00CD522B"/>
    <w:rsid w:val="00CD5975"/>
    <w:rsid w:val="00CD6821"/>
    <w:rsid w:val="00CD6A26"/>
    <w:rsid w:val="00CD777F"/>
    <w:rsid w:val="00CD7D40"/>
    <w:rsid w:val="00CD7FD1"/>
    <w:rsid w:val="00CE2533"/>
    <w:rsid w:val="00CE28F2"/>
    <w:rsid w:val="00CE2FF2"/>
    <w:rsid w:val="00CE3085"/>
    <w:rsid w:val="00CE3347"/>
    <w:rsid w:val="00CE540B"/>
    <w:rsid w:val="00CE544D"/>
    <w:rsid w:val="00CE5575"/>
    <w:rsid w:val="00CE5687"/>
    <w:rsid w:val="00CE7BC0"/>
    <w:rsid w:val="00CF0A33"/>
    <w:rsid w:val="00CF1A2D"/>
    <w:rsid w:val="00CF2172"/>
    <w:rsid w:val="00CF2639"/>
    <w:rsid w:val="00CF33BA"/>
    <w:rsid w:val="00CF35A9"/>
    <w:rsid w:val="00CF3966"/>
    <w:rsid w:val="00CF6271"/>
    <w:rsid w:val="00CF68BD"/>
    <w:rsid w:val="00D01565"/>
    <w:rsid w:val="00D028F2"/>
    <w:rsid w:val="00D04855"/>
    <w:rsid w:val="00D04F8A"/>
    <w:rsid w:val="00D054D9"/>
    <w:rsid w:val="00D056CE"/>
    <w:rsid w:val="00D05EAA"/>
    <w:rsid w:val="00D06B79"/>
    <w:rsid w:val="00D102FC"/>
    <w:rsid w:val="00D10B95"/>
    <w:rsid w:val="00D12789"/>
    <w:rsid w:val="00D13654"/>
    <w:rsid w:val="00D13ECF"/>
    <w:rsid w:val="00D140A0"/>
    <w:rsid w:val="00D14C82"/>
    <w:rsid w:val="00D169D1"/>
    <w:rsid w:val="00D16D17"/>
    <w:rsid w:val="00D20C79"/>
    <w:rsid w:val="00D210C4"/>
    <w:rsid w:val="00D2165D"/>
    <w:rsid w:val="00D220F0"/>
    <w:rsid w:val="00D2276B"/>
    <w:rsid w:val="00D259B6"/>
    <w:rsid w:val="00D259F6"/>
    <w:rsid w:val="00D25B50"/>
    <w:rsid w:val="00D2669D"/>
    <w:rsid w:val="00D30D80"/>
    <w:rsid w:val="00D31DDB"/>
    <w:rsid w:val="00D330F5"/>
    <w:rsid w:val="00D339AB"/>
    <w:rsid w:val="00D34496"/>
    <w:rsid w:val="00D3467D"/>
    <w:rsid w:val="00D361FF"/>
    <w:rsid w:val="00D3784C"/>
    <w:rsid w:val="00D410E1"/>
    <w:rsid w:val="00D4137A"/>
    <w:rsid w:val="00D41DDD"/>
    <w:rsid w:val="00D4256F"/>
    <w:rsid w:val="00D4301F"/>
    <w:rsid w:val="00D43232"/>
    <w:rsid w:val="00D45A21"/>
    <w:rsid w:val="00D46218"/>
    <w:rsid w:val="00D46CB6"/>
    <w:rsid w:val="00D50697"/>
    <w:rsid w:val="00D51A8C"/>
    <w:rsid w:val="00D54CCC"/>
    <w:rsid w:val="00D571DE"/>
    <w:rsid w:val="00D57D0A"/>
    <w:rsid w:val="00D63F3A"/>
    <w:rsid w:val="00D656DB"/>
    <w:rsid w:val="00D70780"/>
    <w:rsid w:val="00D74A33"/>
    <w:rsid w:val="00D75D42"/>
    <w:rsid w:val="00D77AA8"/>
    <w:rsid w:val="00D8196E"/>
    <w:rsid w:val="00D819BF"/>
    <w:rsid w:val="00D848B8"/>
    <w:rsid w:val="00D860E7"/>
    <w:rsid w:val="00D86426"/>
    <w:rsid w:val="00D9075D"/>
    <w:rsid w:val="00D90B39"/>
    <w:rsid w:val="00D9190E"/>
    <w:rsid w:val="00D91A64"/>
    <w:rsid w:val="00D9380A"/>
    <w:rsid w:val="00D93D52"/>
    <w:rsid w:val="00D94622"/>
    <w:rsid w:val="00D96855"/>
    <w:rsid w:val="00DA0002"/>
    <w:rsid w:val="00DA0360"/>
    <w:rsid w:val="00DA0662"/>
    <w:rsid w:val="00DA09D7"/>
    <w:rsid w:val="00DA1D56"/>
    <w:rsid w:val="00DA1F00"/>
    <w:rsid w:val="00DA2A80"/>
    <w:rsid w:val="00DA3B96"/>
    <w:rsid w:val="00DA3C34"/>
    <w:rsid w:val="00DA4D0D"/>
    <w:rsid w:val="00DA532A"/>
    <w:rsid w:val="00DA63D7"/>
    <w:rsid w:val="00DA65E8"/>
    <w:rsid w:val="00DA7A3A"/>
    <w:rsid w:val="00DB1188"/>
    <w:rsid w:val="00DB1681"/>
    <w:rsid w:val="00DB19AF"/>
    <w:rsid w:val="00DB305D"/>
    <w:rsid w:val="00DB61EA"/>
    <w:rsid w:val="00DB63AE"/>
    <w:rsid w:val="00DB63F7"/>
    <w:rsid w:val="00DB6A82"/>
    <w:rsid w:val="00DB723D"/>
    <w:rsid w:val="00DB73C1"/>
    <w:rsid w:val="00DB7CFB"/>
    <w:rsid w:val="00DC23D8"/>
    <w:rsid w:val="00DC3157"/>
    <w:rsid w:val="00DC38BE"/>
    <w:rsid w:val="00DC3F01"/>
    <w:rsid w:val="00DC46FC"/>
    <w:rsid w:val="00DC5306"/>
    <w:rsid w:val="00DC5F4D"/>
    <w:rsid w:val="00DC6138"/>
    <w:rsid w:val="00DC7490"/>
    <w:rsid w:val="00DD2204"/>
    <w:rsid w:val="00DD346B"/>
    <w:rsid w:val="00DD45A1"/>
    <w:rsid w:val="00DD4773"/>
    <w:rsid w:val="00DD52D8"/>
    <w:rsid w:val="00DD6504"/>
    <w:rsid w:val="00DE03F5"/>
    <w:rsid w:val="00DE0A54"/>
    <w:rsid w:val="00DE19AB"/>
    <w:rsid w:val="00DE346D"/>
    <w:rsid w:val="00DE4391"/>
    <w:rsid w:val="00DE7827"/>
    <w:rsid w:val="00DE7B59"/>
    <w:rsid w:val="00DF033E"/>
    <w:rsid w:val="00DF11BC"/>
    <w:rsid w:val="00DF1484"/>
    <w:rsid w:val="00DF3D8F"/>
    <w:rsid w:val="00DF61D6"/>
    <w:rsid w:val="00DF789D"/>
    <w:rsid w:val="00DF7D0B"/>
    <w:rsid w:val="00E043E3"/>
    <w:rsid w:val="00E04D0D"/>
    <w:rsid w:val="00E1021E"/>
    <w:rsid w:val="00E111C3"/>
    <w:rsid w:val="00E13012"/>
    <w:rsid w:val="00E13974"/>
    <w:rsid w:val="00E14809"/>
    <w:rsid w:val="00E1733F"/>
    <w:rsid w:val="00E20273"/>
    <w:rsid w:val="00E2050B"/>
    <w:rsid w:val="00E2069B"/>
    <w:rsid w:val="00E207DC"/>
    <w:rsid w:val="00E23643"/>
    <w:rsid w:val="00E23CE7"/>
    <w:rsid w:val="00E24CC2"/>
    <w:rsid w:val="00E250CF"/>
    <w:rsid w:val="00E27894"/>
    <w:rsid w:val="00E30FCD"/>
    <w:rsid w:val="00E33368"/>
    <w:rsid w:val="00E33BE2"/>
    <w:rsid w:val="00E34C22"/>
    <w:rsid w:val="00E357A9"/>
    <w:rsid w:val="00E35E57"/>
    <w:rsid w:val="00E36747"/>
    <w:rsid w:val="00E36911"/>
    <w:rsid w:val="00E375B5"/>
    <w:rsid w:val="00E4258B"/>
    <w:rsid w:val="00E46A6A"/>
    <w:rsid w:val="00E5132E"/>
    <w:rsid w:val="00E51DDF"/>
    <w:rsid w:val="00E52279"/>
    <w:rsid w:val="00E52E18"/>
    <w:rsid w:val="00E5423A"/>
    <w:rsid w:val="00E551B2"/>
    <w:rsid w:val="00E563C7"/>
    <w:rsid w:val="00E57A22"/>
    <w:rsid w:val="00E606E2"/>
    <w:rsid w:val="00E60B53"/>
    <w:rsid w:val="00E645B4"/>
    <w:rsid w:val="00E64B40"/>
    <w:rsid w:val="00E65931"/>
    <w:rsid w:val="00E66F65"/>
    <w:rsid w:val="00E67863"/>
    <w:rsid w:val="00E70DB7"/>
    <w:rsid w:val="00E719D7"/>
    <w:rsid w:val="00E72B2F"/>
    <w:rsid w:val="00E74CE8"/>
    <w:rsid w:val="00E77945"/>
    <w:rsid w:val="00E80536"/>
    <w:rsid w:val="00E80E65"/>
    <w:rsid w:val="00E818FA"/>
    <w:rsid w:val="00E829E6"/>
    <w:rsid w:val="00E83264"/>
    <w:rsid w:val="00E834AE"/>
    <w:rsid w:val="00E83958"/>
    <w:rsid w:val="00E84612"/>
    <w:rsid w:val="00E85912"/>
    <w:rsid w:val="00E87234"/>
    <w:rsid w:val="00E8756F"/>
    <w:rsid w:val="00E87620"/>
    <w:rsid w:val="00E87738"/>
    <w:rsid w:val="00E90F18"/>
    <w:rsid w:val="00E92AEE"/>
    <w:rsid w:val="00E930D5"/>
    <w:rsid w:val="00E93D6C"/>
    <w:rsid w:val="00E950C4"/>
    <w:rsid w:val="00E95679"/>
    <w:rsid w:val="00E959ED"/>
    <w:rsid w:val="00E95C6C"/>
    <w:rsid w:val="00E95E1F"/>
    <w:rsid w:val="00E9682C"/>
    <w:rsid w:val="00EA058B"/>
    <w:rsid w:val="00EA354A"/>
    <w:rsid w:val="00EA3C2C"/>
    <w:rsid w:val="00EA430C"/>
    <w:rsid w:val="00EA43EE"/>
    <w:rsid w:val="00EA4AB2"/>
    <w:rsid w:val="00EA559C"/>
    <w:rsid w:val="00EA6BA0"/>
    <w:rsid w:val="00EA78E4"/>
    <w:rsid w:val="00EB089F"/>
    <w:rsid w:val="00EB11A9"/>
    <w:rsid w:val="00EB1B0C"/>
    <w:rsid w:val="00EB1B99"/>
    <w:rsid w:val="00EB1F1A"/>
    <w:rsid w:val="00EB1F87"/>
    <w:rsid w:val="00EB3FDC"/>
    <w:rsid w:val="00EB4AAA"/>
    <w:rsid w:val="00EB5A7F"/>
    <w:rsid w:val="00EB67A0"/>
    <w:rsid w:val="00EB6ADA"/>
    <w:rsid w:val="00EB6BA9"/>
    <w:rsid w:val="00EC1696"/>
    <w:rsid w:val="00EC1FE1"/>
    <w:rsid w:val="00EC2A7F"/>
    <w:rsid w:val="00EC401F"/>
    <w:rsid w:val="00EC6B3B"/>
    <w:rsid w:val="00ED00F8"/>
    <w:rsid w:val="00ED0A24"/>
    <w:rsid w:val="00ED2040"/>
    <w:rsid w:val="00ED20F5"/>
    <w:rsid w:val="00ED43AB"/>
    <w:rsid w:val="00ED4575"/>
    <w:rsid w:val="00ED5AE1"/>
    <w:rsid w:val="00ED5DF5"/>
    <w:rsid w:val="00ED7DB9"/>
    <w:rsid w:val="00EE0F10"/>
    <w:rsid w:val="00EE3034"/>
    <w:rsid w:val="00EE7074"/>
    <w:rsid w:val="00EE72E2"/>
    <w:rsid w:val="00EE74C1"/>
    <w:rsid w:val="00EF1D3C"/>
    <w:rsid w:val="00EF2134"/>
    <w:rsid w:val="00EF5DA0"/>
    <w:rsid w:val="00EF6F01"/>
    <w:rsid w:val="00F030A6"/>
    <w:rsid w:val="00F058F4"/>
    <w:rsid w:val="00F05C0D"/>
    <w:rsid w:val="00F05E01"/>
    <w:rsid w:val="00F0741C"/>
    <w:rsid w:val="00F117B3"/>
    <w:rsid w:val="00F13082"/>
    <w:rsid w:val="00F13581"/>
    <w:rsid w:val="00F13713"/>
    <w:rsid w:val="00F13D3A"/>
    <w:rsid w:val="00F14D90"/>
    <w:rsid w:val="00F16D78"/>
    <w:rsid w:val="00F17260"/>
    <w:rsid w:val="00F210CA"/>
    <w:rsid w:val="00F21A23"/>
    <w:rsid w:val="00F21EDA"/>
    <w:rsid w:val="00F23617"/>
    <w:rsid w:val="00F23868"/>
    <w:rsid w:val="00F245DD"/>
    <w:rsid w:val="00F30284"/>
    <w:rsid w:val="00F3113D"/>
    <w:rsid w:val="00F31E55"/>
    <w:rsid w:val="00F33395"/>
    <w:rsid w:val="00F34BF2"/>
    <w:rsid w:val="00F365CD"/>
    <w:rsid w:val="00F36E5E"/>
    <w:rsid w:val="00F403C5"/>
    <w:rsid w:val="00F41313"/>
    <w:rsid w:val="00F46A8E"/>
    <w:rsid w:val="00F46F37"/>
    <w:rsid w:val="00F5059C"/>
    <w:rsid w:val="00F50BC4"/>
    <w:rsid w:val="00F51067"/>
    <w:rsid w:val="00F51351"/>
    <w:rsid w:val="00F523A3"/>
    <w:rsid w:val="00F5660B"/>
    <w:rsid w:val="00F61ADB"/>
    <w:rsid w:val="00F64630"/>
    <w:rsid w:val="00F6504B"/>
    <w:rsid w:val="00F65A75"/>
    <w:rsid w:val="00F6695E"/>
    <w:rsid w:val="00F671E1"/>
    <w:rsid w:val="00F7097B"/>
    <w:rsid w:val="00F70E33"/>
    <w:rsid w:val="00F71913"/>
    <w:rsid w:val="00F72689"/>
    <w:rsid w:val="00F760D4"/>
    <w:rsid w:val="00F76A10"/>
    <w:rsid w:val="00F7734B"/>
    <w:rsid w:val="00F77EB0"/>
    <w:rsid w:val="00F809B1"/>
    <w:rsid w:val="00F81BCA"/>
    <w:rsid w:val="00F81E75"/>
    <w:rsid w:val="00F82DAB"/>
    <w:rsid w:val="00F82F76"/>
    <w:rsid w:val="00F83841"/>
    <w:rsid w:val="00F838A3"/>
    <w:rsid w:val="00F84093"/>
    <w:rsid w:val="00F854D7"/>
    <w:rsid w:val="00F8598B"/>
    <w:rsid w:val="00F861C6"/>
    <w:rsid w:val="00F86388"/>
    <w:rsid w:val="00F90FA6"/>
    <w:rsid w:val="00F94F65"/>
    <w:rsid w:val="00F966C1"/>
    <w:rsid w:val="00F969A5"/>
    <w:rsid w:val="00F96F51"/>
    <w:rsid w:val="00FA1540"/>
    <w:rsid w:val="00FA191F"/>
    <w:rsid w:val="00FA1B0E"/>
    <w:rsid w:val="00FA3517"/>
    <w:rsid w:val="00FA4069"/>
    <w:rsid w:val="00FA4FFD"/>
    <w:rsid w:val="00FA582D"/>
    <w:rsid w:val="00FA69BC"/>
    <w:rsid w:val="00FB2703"/>
    <w:rsid w:val="00FB5F56"/>
    <w:rsid w:val="00FC0314"/>
    <w:rsid w:val="00FC0669"/>
    <w:rsid w:val="00FC0835"/>
    <w:rsid w:val="00FC0D6C"/>
    <w:rsid w:val="00FC4A65"/>
    <w:rsid w:val="00FC77A7"/>
    <w:rsid w:val="00FC7B93"/>
    <w:rsid w:val="00FD12A0"/>
    <w:rsid w:val="00FD2737"/>
    <w:rsid w:val="00FD45F2"/>
    <w:rsid w:val="00FD4B0B"/>
    <w:rsid w:val="00FD653A"/>
    <w:rsid w:val="00FD7A69"/>
    <w:rsid w:val="00FE21C8"/>
    <w:rsid w:val="00FE3475"/>
    <w:rsid w:val="00FE78D4"/>
    <w:rsid w:val="00FF012D"/>
    <w:rsid w:val="00FF1A53"/>
    <w:rsid w:val="00FF235C"/>
    <w:rsid w:val="00FF58CD"/>
    <w:rsid w:val="00FF58DD"/>
    <w:rsid w:val="00FF6CD2"/>
    <w:rsid w:val="00FF7365"/>
    <w:rsid w:val="00FF74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AC6F92"/>
  <w15:chartTrackingRefBased/>
  <w15:docId w15:val="{2B7F04FF-33DB-4F6E-8E4F-A00B9619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2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02B5"/>
    <w:pPr>
      <w:tabs>
        <w:tab w:val="center" w:pos="4153"/>
        <w:tab w:val="right" w:pos="8306"/>
      </w:tabs>
    </w:pPr>
  </w:style>
  <w:style w:type="character" w:styleId="PageNumber">
    <w:name w:val="page number"/>
    <w:basedOn w:val="DefaultParagraphFont"/>
    <w:rsid w:val="000D02B5"/>
  </w:style>
  <w:style w:type="paragraph" w:customStyle="1" w:styleId="naisf">
    <w:name w:val="naisf"/>
    <w:basedOn w:val="Normal"/>
    <w:rsid w:val="000D02B5"/>
    <w:pPr>
      <w:spacing w:before="75" w:after="75"/>
      <w:ind w:firstLine="375"/>
      <w:jc w:val="both"/>
    </w:pPr>
  </w:style>
  <w:style w:type="paragraph" w:customStyle="1" w:styleId="naisnod">
    <w:name w:val="naisnod"/>
    <w:basedOn w:val="Normal"/>
    <w:rsid w:val="000D02B5"/>
    <w:pPr>
      <w:spacing w:before="150" w:after="150"/>
      <w:jc w:val="center"/>
    </w:pPr>
    <w:rPr>
      <w:b/>
      <w:bCs/>
    </w:rPr>
  </w:style>
  <w:style w:type="paragraph" w:customStyle="1" w:styleId="naislab">
    <w:name w:val="naislab"/>
    <w:basedOn w:val="Normal"/>
    <w:rsid w:val="000D02B5"/>
    <w:pPr>
      <w:spacing w:before="75" w:after="75"/>
      <w:jc w:val="right"/>
    </w:pPr>
  </w:style>
  <w:style w:type="paragraph" w:customStyle="1" w:styleId="naiskr">
    <w:name w:val="naiskr"/>
    <w:basedOn w:val="Normal"/>
    <w:rsid w:val="000D02B5"/>
    <w:pPr>
      <w:spacing w:before="75" w:after="75"/>
    </w:pPr>
  </w:style>
  <w:style w:type="table" w:styleId="TableGrid">
    <w:name w:val="Table Grid"/>
    <w:basedOn w:val="TableNormal"/>
    <w:uiPriority w:val="59"/>
    <w:rsid w:val="000D0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0D02B5"/>
    <w:rPr>
      <w:sz w:val="20"/>
      <w:szCs w:val="20"/>
    </w:rPr>
  </w:style>
  <w:style w:type="paragraph" w:styleId="Footer">
    <w:name w:val="footer"/>
    <w:basedOn w:val="Normal"/>
    <w:link w:val="FooterChar"/>
    <w:uiPriority w:val="99"/>
    <w:rsid w:val="000D02B5"/>
    <w:pPr>
      <w:tabs>
        <w:tab w:val="center" w:pos="4153"/>
        <w:tab w:val="right" w:pos="8306"/>
      </w:tabs>
    </w:pPr>
  </w:style>
  <w:style w:type="character" w:customStyle="1" w:styleId="FooterChar">
    <w:name w:val="Footer Char"/>
    <w:link w:val="Footer"/>
    <w:uiPriority w:val="99"/>
    <w:rsid w:val="000D02B5"/>
    <w:rPr>
      <w:sz w:val="24"/>
      <w:szCs w:val="24"/>
      <w:lang w:val="lv-LV" w:eastAsia="lv-LV" w:bidi="ar-SA"/>
    </w:rPr>
  </w:style>
  <w:style w:type="character" w:styleId="Hyperlink">
    <w:name w:val="Hyperlink"/>
    <w:rsid w:val="005B40B7"/>
    <w:rPr>
      <w:color w:val="0000FF"/>
      <w:u w:val="single"/>
    </w:rPr>
  </w:style>
  <w:style w:type="paragraph" w:customStyle="1" w:styleId="Titreobjet">
    <w:name w:val="Titre objet"/>
    <w:basedOn w:val="Normal"/>
    <w:next w:val="Normal"/>
    <w:rsid w:val="005B40B7"/>
    <w:pPr>
      <w:autoSpaceDE w:val="0"/>
      <w:autoSpaceDN w:val="0"/>
      <w:adjustRightInd w:val="0"/>
    </w:pPr>
    <w:rPr>
      <w:rFonts w:ascii="NMFNGA+TimesNewRoman,Bold" w:hAnsi="NMFNGA+TimesNewRoman,Bold"/>
    </w:rPr>
  </w:style>
  <w:style w:type="paragraph" w:styleId="BalloonText">
    <w:name w:val="Balloon Text"/>
    <w:basedOn w:val="Normal"/>
    <w:semiHidden/>
    <w:rsid w:val="00C0385A"/>
    <w:rPr>
      <w:rFonts w:ascii="Tahoma" w:hAnsi="Tahoma" w:cs="Tahoma"/>
      <w:sz w:val="16"/>
      <w:szCs w:val="16"/>
    </w:rPr>
  </w:style>
  <w:style w:type="character" w:styleId="CommentReference">
    <w:name w:val="annotation reference"/>
    <w:semiHidden/>
    <w:rsid w:val="00C0385A"/>
    <w:rPr>
      <w:sz w:val="16"/>
      <w:szCs w:val="16"/>
    </w:rPr>
  </w:style>
  <w:style w:type="paragraph" w:styleId="CommentText">
    <w:name w:val="annotation text"/>
    <w:basedOn w:val="Normal"/>
    <w:semiHidden/>
    <w:rsid w:val="00C0385A"/>
    <w:rPr>
      <w:sz w:val="20"/>
      <w:szCs w:val="20"/>
    </w:rPr>
  </w:style>
  <w:style w:type="paragraph" w:styleId="CommentSubject">
    <w:name w:val="annotation subject"/>
    <w:basedOn w:val="CommentText"/>
    <w:next w:val="CommentText"/>
    <w:semiHidden/>
    <w:rsid w:val="00C0385A"/>
    <w:rPr>
      <w:b/>
      <w:bCs/>
    </w:rPr>
  </w:style>
  <w:style w:type="paragraph" w:styleId="NormalWeb">
    <w:name w:val="Normal (Web)"/>
    <w:basedOn w:val="Normal"/>
    <w:rsid w:val="00B514AB"/>
    <w:pPr>
      <w:spacing w:before="100" w:beforeAutospacing="1" w:after="100" w:afterAutospacing="1"/>
    </w:pPr>
  </w:style>
  <w:style w:type="paragraph" w:styleId="ListParagraph">
    <w:name w:val="List Paragraph"/>
    <w:basedOn w:val="Normal"/>
    <w:uiPriority w:val="34"/>
    <w:qFormat/>
    <w:rsid w:val="00B514AB"/>
    <w:pPr>
      <w:spacing w:after="200" w:line="276" w:lineRule="auto"/>
      <w:ind w:left="720"/>
      <w:contextualSpacing/>
    </w:pPr>
    <w:rPr>
      <w:rFonts w:ascii="Calibri" w:eastAsia="Calibri" w:hAnsi="Calibri"/>
      <w:sz w:val="22"/>
      <w:szCs w:val="22"/>
      <w:lang w:eastAsia="en-US"/>
    </w:rPr>
  </w:style>
  <w:style w:type="paragraph" w:customStyle="1" w:styleId="naisc">
    <w:name w:val="naisc"/>
    <w:basedOn w:val="Normal"/>
    <w:rsid w:val="00DC5306"/>
    <w:pPr>
      <w:spacing w:before="75" w:after="75"/>
      <w:jc w:val="center"/>
    </w:pPr>
  </w:style>
  <w:style w:type="character" w:styleId="Strong">
    <w:name w:val="Strong"/>
    <w:uiPriority w:val="22"/>
    <w:qFormat/>
    <w:rsid w:val="006B711E"/>
    <w:rPr>
      <w:b/>
      <w:bCs/>
    </w:rPr>
  </w:style>
  <w:style w:type="paragraph" w:customStyle="1" w:styleId="tv2131">
    <w:name w:val="tv2131"/>
    <w:basedOn w:val="Normal"/>
    <w:rsid w:val="00983F24"/>
    <w:pPr>
      <w:spacing w:line="360" w:lineRule="auto"/>
      <w:ind w:firstLine="300"/>
    </w:pPr>
    <w:rPr>
      <w:color w:val="414142"/>
      <w:sz w:val="20"/>
      <w:szCs w:val="20"/>
      <w:lang w:val="en-US" w:eastAsia="en-US"/>
    </w:rPr>
  </w:style>
  <w:style w:type="character" w:customStyle="1" w:styleId="apple-converted-space">
    <w:name w:val="apple-converted-space"/>
    <w:rsid w:val="005E56B1"/>
  </w:style>
  <w:style w:type="paragraph" w:styleId="BodyTextIndent">
    <w:name w:val="Body Text Indent"/>
    <w:basedOn w:val="Normal"/>
    <w:link w:val="BodyTextIndentChar"/>
    <w:rsid w:val="00DB1681"/>
    <w:pPr>
      <w:spacing w:line="240" w:lineRule="atLeast"/>
      <w:ind w:firstLine="720"/>
      <w:jc w:val="both"/>
    </w:pPr>
    <w:rPr>
      <w:szCs w:val="20"/>
      <w:lang w:val="en-US" w:eastAsia="en-US"/>
    </w:rPr>
  </w:style>
  <w:style w:type="character" w:customStyle="1" w:styleId="BodyTextIndentChar">
    <w:name w:val="Body Text Indent Char"/>
    <w:link w:val="BodyTextIndent"/>
    <w:rsid w:val="00DB1681"/>
    <w:rPr>
      <w:sz w:val="24"/>
      <w:lang w:val="en-US" w:eastAsia="en-US"/>
    </w:rPr>
  </w:style>
  <w:style w:type="paragraph" w:styleId="NoSpacing">
    <w:name w:val="No Spacing"/>
    <w:qFormat/>
    <w:rsid w:val="003A6607"/>
    <w:rPr>
      <w:rFonts w:ascii="Calibri" w:eastAsia="Calibri" w:hAnsi="Calibri"/>
      <w:sz w:val="22"/>
      <w:szCs w:val="22"/>
      <w:lang w:eastAsia="en-US"/>
    </w:rPr>
  </w:style>
  <w:style w:type="paragraph" w:customStyle="1" w:styleId="tv213">
    <w:name w:val="tv213"/>
    <w:basedOn w:val="Normal"/>
    <w:rsid w:val="00EA430C"/>
    <w:pPr>
      <w:spacing w:before="100" w:beforeAutospacing="1" w:after="100" w:afterAutospacing="1"/>
    </w:pPr>
    <w:rPr>
      <w:rFonts w:eastAsia="Calibri"/>
      <w:lang w:val="en-US" w:eastAsia="en-US"/>
    </w:rPr>
  </w:style>
  <w:style w:type="character" w:styleId="FollowedHyperlink">
    <w:name w:val="FollowedHyperlink"/>
    <w:rsid w:val="00B450DF"/>
    <w:rPr>
      <w:color w:val="954F72"/>
      <w:u w:val="single"/>
    </w:rPr>
  </w:style>
  <w:style w:type="paragraph" w:styleId="Revision">
    <w:name w:val="Revision"/>
    <w:hidden/>
    <w:uiPriority w:val="99"/>
    <w:semiHidden/>
    <w:rsid w:val="00100BBC"/>
    <w:rPr>
      <w:sz w:val="24"/>
      <w:szCs w:val="24"/>
    </w:rPr>
  </w:style>
  <w:style w:type="character" w:customStyle="1" w:styleId="FootnoteTextChar">
    <w:name w:val="Footnote Text Char"/>
    <w:link w:val="FootnoteText"/>
    <w:uiPriority w:val="99"/>
    <w:qFormat/>
    <w:rsid w:val="00642CF6"/>
  </w:style>
  <w:style w:type="character" w:customStyle="1" w:styleId="Internetasaite">
    <w:name w:val="Interneta saite"/>
    <w:uiPriority w:val="99"/>
    <w:unhideWhenUsed/>
    <w:rsid w:val="00CF2172"/>
    <w:rPr>
      <w:color w:val="0000FF"/>
      <w:u w:val="single"/>
    </w:rPr>
  </w:style>
  <w:style w:type="character" w:styleId="FootnoteReference">
    <w:name w:val="footnote reference"/>
    <w:rsid w:val="007208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830">
      <w:bodyDiv w:val="1"/>
      <w:marLeft w:val="0"/>
      <w:marRight w:val="0"/>
      <w:marTop w:val="0"/>
      <w:marBottom w:val="0"/>
      <w:divBdr>
        <w:top w:val="none" w:sz="0" w:space="0" w:color="auto"/>
        <w:left w:val="none" w:sz="0" w:space="0" w:color="auto"/>
        <w:bottom w:val="none" w:sz="0" w:space="0" w:color="auto"/>
        <w:right w:val="none" w:sz="0" w:space="0" w:color="auto"/>
      </w:divBdr>
    </w:div>
    <w:div w:id="360013204">
      <w:bodyDiv w:val="1"/>
      <w:marLeft w:val="0"/>
      <w:marRight w:val="0"/>
      <w:marTop w:val="0"/>
      <w:marBottom w:val="0"/>
      <w:divBdr>
        <w:top w:val="none" w:sz="0" w:space="0" w:color="auto"/>
        <w:left w:val="none" w:sz="0" w:space="0" w:color="auto"/>
        <w:bottom w:val="none" w:sz="0" w:space="0" w:color="auto"/>
        <w:right w:val="none" w:sz="0" w:space="0" w:color="auto"/>
      </w:divBdr>
    </w:div>
    <w:div w:id="422916525">
      <w:bodyDiv w:val="1"/>
      <w:marLeft w:val="0"/>
      <w:marRight w:val="0"/>
      <w:marTop w:val="0"/>
      <w:marBottom w:val="0"/>
      <w:divBdr>
        <w:top w:val="none" w:sz="0" w:space="0" w:color="auto"/>
        <w:left w:val="none" w:sz="0" w:space="0" w:color="auto"/>
        <w:bottom w:val="none" w:sz="0" w:space="0" w:color="auto"/>
        <w:right w:val="none" w:sz="0" w:space="0" w:color="auto"/>
      </w:divBdr>
    </w:div>
    <w:div w:id="448357199">
      <w:bodyDiv w:val="1"/>
      <w:marLeft w:val="0"/>
      <w:marRight w:val="0"/>
      <w:marTop w:val="0"/>
      <w:marBottom w:val="0"/>
      <w:divBdr>
        <w:top w:val="none" w:sz="0" w:space="0" w:color="auto"/>
        <w:left w:val="none" w:sz="0" w:space="0" w:color="auto"/>
        <w:bottom w:val="none" w:sz="0" w:space="0" w:color="auto"/>
        <w:right w:val="none" w:sz="0" w:space="0" w:color="auto"/>
      </w:divBdr>
    </w:div>
    <w:div w:id="470052780">
      <w:bodyDiv w:val="1"/>
      <w:marLeft w:val="0"/>
      <w:marRight w:val="0"/>
      <w:marTop w:val="0"/>
      <w:marBottom w:val="0"/>
      <w:divBdr>
        <w:top w:val="none" w:sz="0" w:space="0" w:color="auto"/>
        <w:left w:val="none" w:sz="0" w:space="0" w:color="auto"/>
        <w:bottom w:val="none" w:sz="0" w:space="0" w:color="auto"/>
        <w:right w:val="none" w:sz="0" w:space="0" w:color="auto"/>
      </w:divBdr>
    </w:div>
    <w:div w:id="538007950">
      <w:bodyDiv w:val="1"/>
      <w:marLeft w:val="0"/>
      <w:marRight w:val="0"/>
      <w:marTop w:val="0"/>
      <w:marBottom w:val="0"/>
      <w:divBdr>
        <w:top w:val="none" w:sz="0" w:space="0" w:color="auto"/>
        <w:left w:val="none" w:sz="0" w:space="0" w:color="auto"/>
        <w:bottom w:val="none" w:sz="0" w:space="0" w:color="auto"/>
        <w:right w:val="none" w:sz="0" w:space="0" w:color="auto"/>
      </w:divBdr>
    </w:div>
    <w:div w:id="790050631">
      <w:bodyDiv w:val="1"/>
      <w:marLeft w:val="0"/>
      <w:marRight w:val="0"/>
      <w:marTop w:val="0"/>
      <w:marBottom w:val="0"/>
      <w:divBdr>
        <w:top w:val="none" w:sz="0" w:space="0" w:color="auto"/>
        <w:left w:val="none" w:sz="0" w:space="0" w:color="auto"/>
        <w:bottom w:val="none" w:sz="0" w:space="0" w:color="auto"/>
        <w:right w:val="none" w:sz="0" w:space="0" w:color="auto"/>
      </w:divBdr>
    </w:div>
    <w:div w:id="817840754">
      <w:bodyDiv w:val="1"/>
      <w:marLeft w:val="0"/>
      <w:marRight w:val="0"/>
      <w:marTop w:val="0"/>
      <w:marBottom w:val="0"/>
      <w:divBdr>
        <w:top w:val="none" w:sz="0" w:space="0" w:color="auto"/>
        <w:left w:val="none" w:sz="0" w:space="0" w:color="auto"/>
        <w:bottom w:val="none" w:sz="0" w:space="0" w:color="auto"/>
        <w:right w:val="none" w:sz="0" w:space="0" w:color="auto"/>
      </w:divBdr>
      <w:divsChild>
        <w:div w:id="518663849">
          <w:marLeft w:val="0"/>
          <w:marRight w:val="0"/>
          <w:marTop w:val="0"/>
          <w:marBottom w:val="0"/>
          <w:divBdr>
            <w:top w:val="none" w:sz="0" w:space="0" w:color="auto"/>
            <w:left w:val="none" w:sz="0" w:space="0" w:color="auto"/>
            <w:bottom w:val="none" w:sz="0" w:space="0" w:color="auto"/>
            <w:right w:val="none" w:sz="0" w:space="0" w:color="auto"/>
          </w:divBdr>
        </w:div>
        <w:div w:id="688065749">
          <w:marLeft w:val="0"/>
          <w:marRight w:val="0"/>
          <w:marTop w:val="0"/>
          <w:marBottom w:val="0"/>
          <w:divBdr>
            <w:top w:val="none" w:sz="0" w:space="0" w:color="auto"/>
            <w:left w:val="none" w:sz="0" w:space="0" w:color="auto"/>
            <w:bottom w:val="none" w:sz="0" w:space="0" w:color="auto"/>
            <w:right w:val="none" w:sz="0" w:space="0" w:color="auto"/>
          </w:divBdr>
        </w:div>
        <w:div w:id="747195898">
          <w:marLeft w:val="0"/>
          <w:marRight w:val="0"/>
          <w:marTop w:val="0"/>
          <w:marBottom w:val="0"/>
          <w:divBdr>
            <w:top w:val="none" w:sz="0" w:space="0" w:color="auto"/>
            <w:left w:val="none" w:sz="0" w:space="0" w:color="auto"/>
            <w:bottom w:val="none" w:sz="0" w:space="0" w:color="auto"/>
            <w:right w:val="none" w:sz="0" w:space="0" w:color="auto"/>
          </w:divBdr>
        </w:div>
        <w:div w:id="1260993014">
          <w:marLeft w:val="0"/>
          <w:marRight w:val="0"/>
          <w:marTop w:val="0"/>
          <w:marBottom w:val="0"/>
          <w:divBdr>
            <w:top w:val="none" w:sz="0" w:space="0" w:color="auto"/>
            <w:left w:val="none" w:sz="0" w:space="0" w:color="auto"/>
            <w:bottom w:val="none" w:sz="0" w:space="0" w:color="auto"/>
            <w:right w:val="none" w:sz="0" w:space="0" w:color="auto"/>
          </w:divBdr>
        </w:div>
        <w:div w:id="1350450428">
          <w:marLeft w:val="0"/>
          <w:marRight w:val="0"/>
          <w:marTop w:val="0"/>
          <w:marBottom w:val="0"/>
          <w:divBdr>
            <w:top w:val="none" w:sz="0" w:space="0" w:color="auto"/>
            <w:left w:val="none" w:sz="0" w:space="0" w:color="auto"/>
            <w:bottom w:val="none" w:sz="0" w:space="0" w:color="auto"/>
            <w:right w:val="none" w:sz="0" w:space="0" w:color="auto"/>
          </w:divBdr>
        </w:div>
      </w:divsChild>
    </w:div>
    <w:div w:id="860053436">
      <w:bodyDiv w:val="1"/>
      <w:marLeft w:val="0"/>
      <w:marRight w:val="0"/>
      <w:marTop w:val="0"/>
      <w:marBottom w:val="0"/>
      <w:divBdr>
        <w:top w:val="none" w:sz="0" w:space="0" w:color="auto"/>
        <w:left w:val="none" w:sz="0" w:space="0" w:color="auto"/>
        <w:bottom w:val="none" w:sz="0" w:space="0" w:color="auto"/>
        <w:right w:val="none" w:sz="0" w:space="0" w:color="auto"/>
      </w:divBdr>
    </w:div>
    <w:div w:id="1563715346">
      <w:bodyDiv w:val="1"/>
      <w:marLeft w:val="0"/>
      <w:marRight w:val="0"/>
      <w:marTop w:val="0"/>
      <w:marBottom w:val="0"/>
      <w:divBdr>
        <w:top w:val="none" w:sz="0" w:space="0" w:color="auto"/>
        <w:left w:val="none" w:sz="0" w:space="0" w:color="auto"/>
        <w:bottom w:val="none" w:sz="0" w:space="0" w:color="auto"/>
        <w:right w:val="none" w:sz="0" w:space="0" w:color="auto"/>
      </w:divBdr>
      <w:divsChild>
        <w:div w:id="1376353374">
          <w:marLeft w:val="0"/>
          <w:marRight w:val="0"/>
          <w:marTop w:val="0"/>
          <w:marBottom w:val="0"/>
          <w:divBdr>
            <w:top w:val="none" w:sz="0" w:space="0" w:color="auto"/>
            <w:left w:val="none" w:sz="0" w:space="0" w:color="auto"/>
            <w:bottom w:val="none" w:sz="0" w:space="0" w:color="auto"/>
            <w:right w:val="none" w:sz="0" w:space="0" w:color="auto"/>
          </w:divBdr>
          <w:divsChild>
            <w:div w:id="1500317201">
              <w:marLeft w:val="0"/>
              <w:marRight w:val="0"/>
              <w:marTop w:val="0"/>
              <w:marBottom w:val="0"/>
              <w:divBdr>
                <w:top w:val="none" w:sz="0" w:space="0" w:color="auto"/>
                <w:left w:val="none" w:sz="0" w:space="0" w:color="auto"/>
                <w:bottom w:val="none" w:sz="0" w:space="0" w:color="auto"/>
                <w:right w:val="none" w:sz="0" w:space="0" w:color="auto"/>
              </w:divBdr>
              <w:divsChild>
                <w:div w:id="674915794">
                  <w:marLeft w:val="0"/>
                  <w:marRight w:val="0"/>
                  <w:marTop w:val="0"/>
                  <w:marBottom w:val="0"/>
                  <w:divBdr>
                    <w:top w:val="none" w:sz="0" w:space="0" w:color="auto"/>
                    <w:left w:val="none" w:sz="0" w:space="0" w:color="auto"/>
                    <w:bottom w:val="none" w:sz="0" w:space="0" w:color="auto"/>
                    <w:right w:val="none" w:sz="0" w:space="0" w:color="auto"/>
                  </w:divBdr>
                  <w:divsChild>
                    <w:div w:id="1781531879">
                      <w:marLeft w:val="0"/>
                      <w:marRight w:val="0"/>
                      <w:marTop w:val="0"/>
                      <w:marBottom w:val="0"/>
                      <w:divBdr>
                        <w:top w:val="none" w:sz="0" w:space="0" w:color="auto"/>
                        <w:left w:val="none" w:sz="0" w:space="0" w:color="auto"/>
                        <w:bottom w:val="none" w:sz="0" w:space="0" w:color="auto"/>
                        <w:right w:val="none" w:sz="0" w:space="0" w:color="auto"/>
                      </w:divBdr>
                      <w:divsChild>
                        <w:div w:id="803885988">
                          <w:marLeft w:val="0"/>
                          <w:marRight w:val="0"/>
                          <w:marTop w:val="300"/>
                          <w:marBottom w:val="0"/>
                          <w:divBdr>
                            <w:top w:val="none" w:sz="0" w:space="0" w:color="auto"/>
                            <w:left w:val="none" w:sz="0" w:space="0" w:color="auto"/>
                            <w:bottom w:val="none" w:sz="0" w:space="0" w:color="auto"/>
                            <w:right w:val="none" w:sz="0" w:space="0" w:color="auto"/>
                          </w:divBdr>
                          <w:divsChild>
                            <w:div w:id="74727008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534003">
      <w:bodyDiv w:val="1"/>
      <w:marLeft w:val="0"/>
      <w:marRight w:val="0"/>
      <w:marTop w:val="0"/>
      <w:marBottom w:val="0"/>
      <w:divBdr>
        <w:top w:val="none" w:sz="0" w:space="0" w:color="auto"/>
        <w:left w:val="none" w:sz="0" w:space="0" w:color="auto"/>
        <w:bottom w:val="none" w:sz="0" w:space="0" w:color="auto"/>
        <w:right w:val="none" w:sz="0" w:space="0" w:color="auto"/>
      </w:divBdr>
    </w:div>
    <w:div w:id="1700544092">
      <w:bodyDiv w:val="1"/>
      <w:marLeft w:val="0"/>
      <w:marRight w:val="0"/>
      <w:marTop w:val="0"/>
      <w:marBottom w:val="0"/>
      <w:divBdr>
        <w:top w:val="none" w:sz="0" w:space="0" w:color="auto"/>
        <w:left w:val="none" w:sz="0" w:space="0" w:color="auto"/>
        <w:bottom w:val="none" w:sz="0" w:space="0" w:color="auto"/>
        <w:right w:val="none" w:sz="0" w:space="0" w:color="auto"/>
      </w:divBdr>
      <w:divsChild>
        <w:div w:id="1938974867">
          <w:marLeft w:val="0"/>
          <w:marRight w:val="0"/>
          <w:marTop w:val="0"/>
          <w:marBottom w:val="0"/>
          <w:divBdr>
            <w:top w:val="none" w:sz="0" w:space="0" w:color="auto"/>
            <w:left w:val="none" w:sz="0" w:space="0" w:color="auto"/>
            <w:bottom w:val="none" w:sz="0" w:space="0" w:color="auto"/>
            <w:right w:val="none" w:sz="0" w:space="0" w:color="auto"/>
          </w:divBdr>
          <w:divsChild>
            <w:div w:id="618533258">
              <w:marLeft w:val="0"/>
              <w:marRight w:val="0"/>
              <w:marTop w:val="0"/>
              <w:marBottom w:val="0"/>
              <w:divBdr>
                <w:top w:val="none" w:sz="0" w:space="0" w:color="auto"/>
                <w:left w:val="none" w:sz="0" w:space="0" w:color="auto"/>
                <w:bottom w:val="none" w:sz="0" w:space="0" w:color="auto"/>
                <w:right w:val="none" w:sz="0" w:space="0" w:color="auto"/>
              </w:divBdr>
              <w:divsChild>
                <w:div w:id="1452630444">
                  <w:marLeft w:val="0"/>
                  <w:marRight w:val="0"/>
                  <w:marTop w:val="0"/>
                  <w:marBottom w:val="0"/>
                  <w:divBdr>
                    <w:top w:val="none" w:sz="0" w:space="0" w:color="auto"/>
                    <w:left w:val="none" w:sz="0" w:space="0" w:color="auto"/>
                    <w:bottom w:val="none" w:sz="0" w:space="0" w:color="auto"/>
                    <w:right w:val="none" w:sz="0" w:space="0" w:color="auto"/>
                  </w:divBdr>
                  <w:divsChild>
                    <w:div w:id="1429354148">
                      <w:marLeft w:val="0"/>
                      <w:marRight w:val="0"/>
                      <w:marTop w:val="0"/>
                      <w:marBottom w:val="0"/>
                      <w:divBdr>
                        <w:top w:val="none" w:sz="0" w:space="0" w:color="auto"/>
                        <w:left w:val="none" w:sz="0" w:space="0" w:color="auto"/>
                        <w:bottom w:val="none" w:sz="0" w:space="0" w:color="auto"/>
                        <w:right w:val="none" w:sz="0" w:space="0" w:color="auto"/>
                      </w:divBdr>
                      <w:divsChild>
                        <w:div w:id="389693463">
                          <w:marLeft w:val="0"/>
                          <w:marRight w:val="0"/>
                          <w:marTop w:val="300"/>
                          <w:marBottom w:val="0"/>
                          <w:divBdr>
                            <w:top w:val="none" w:sz="0" w:space="0" w:color="auto"/>
                            <w:left w:val="none" w:sz="0" w:space="0" w:color="auto"/>
                            <w:bottom w:val="none" w:sz="0" w:space="0" w:color="auto"/>
                            <w:right w:val="none" w:sz="0" w:space="0" w:color="auto"/>
                          </w:divBdr>
                          <w:divsChild>
                            <w:div w:id="5450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629427">
      <w:bodyDiv w:val="1"/>
      <w:marLeft w:val="0"/>
      <w:marRight w:val="0"/>
      <w:marTop w:val="0"/>
      <w:marBottom w:val="0"/>
      <w:divBdr>
        <w:top w:val="none" w:sz="0" w:space="0" w:color="auto"/>
        <w:left w:val="none" w:sz="0" w:space="0" w:color="auto"/>
        <w:bottom w:val="none" w:sz="0" w:space="0" w:color="auto"/>
        <w:right w:val="none" w:sz="0" w:space="0" w:color="auto"/>
      </w:divBdr>
    </w:div>
    <w:div w:id="211039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ija.balka@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satrovska@vvd.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vvd.gov.lv/publikacijas-un-statistika/statistikas-d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E8836-7D2D-4B24-BAF4-F0E5122B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18143</Words>
  <Characters>10342</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Likumprojekta “Grozījums likumā “Par radiācijas drošību un kodoldrošību”” sākotnējās ietekmes novērtējuma ziņojums (anotācija)</vt:lpstr>
    </vt:vector>
  </TitlesOfParts>
  <Company>VARAM</Company>
  <LinksUpToDate>false</LinksUpToDate>
  <CharactersWithSpaces>28429</CharactersWithSpaces>
  <SharedDoc>false</SharedDoc>
  <HLinks>
    <vt:vector size="24" baseType="variant">
      <vt:variant>
        <vt:i4>2097226</vt:i4>
      </vt:variant>
      <vt:variant>
        <vt:i4>9</vt:i4>
      </vt:variant>
      <vt:variant>
        <vt:i4>0</vt:i4>
      </vt:variant>
      <vt:variant>
        <vt:i4>5</vt:i4>
      </vt:variant>
      <vt:variant>
        <vt:lpwstr>mailto:dace.satrovska@rdc.vvd.gov.lv</vt:lpwstr>
      </vt:variant>
      <vt:variant>
        <vt:lpwstr/>
      </vt:variant>
      <vt:variant>
        <vt:i4>786478</vt:i4>
      </vt:variant>
      <vt:variant>
        <vt:i4>6</vt:i4>
      </vt:variant>
      <vt:variant>
        <vt:i4>0</vt:i4>
      </vt:variant>
      <vt:variant>
        <vt:i4>5</vt:i4>
      </vt:variant>
      <vt:variant>
        <vt:lpwstr>mailto:sandija.balka@varam.gov.lv</vt:lpwstr>
      </vt:variant>
      <vt:variant>
        <vt:lpwstr/>
      </vt:variant>
      <vt:variant>
        <vt:i4>4128783</vt:i4>
      </vt:variant>
      <vt:variant>
        <vt:i4>3</vt:i4>
      </vt:variant>
      <vt:variant>
        <vt:i4>0</vt:i4>
      </vt:variant>
      <vt:variant>
        <vt:i4>5</vt:i4>
      </vt:variant>
      <vt:variant>
        <vt:lpwstr>http://www.varam.gov.lv/lat/lidzd/pazinojumi_par_lidzdalibas_iesp/</vt:lpwstr>
      </vt:variant>
      <vt:variant>
        <vt:lpwstr/>
      </vt:variant>
      <vt:variant>
        <vt:i4>6815867</vt:i4>
      </vt:variant>
      <vt:variant>
        <vt:i4>0</vt:i4>
      </vt:variant>
      <vt:variant>
        <vt:i4>0</vt:i4>
      </vt:variant>
      <vt:variant>
        <vt:i4>5</vt:i4>
      </vt:variant>
      <vt:variant>
        <vt:lpwstr>http://www.vvd.gov.lv/publikacijas-un-statistika/statistikas-dati/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radiācijas drošību un kodoldrošību”” sākotnējās ietekmes novērtējuma ziņojums (anotācija)</dc:title>
  <dc:subject>Anotācija</dc:subject>
  <dc:creator>Natalija.Slaidina@varam.gov.lv</dc:creator>
  <cp:keywords/>
  <dc:description/>
  <cp:lastModifiedBy>Dmitrijs Dmitrijevs</cp:lastModifiedBy>
  <cp:revision>3</cp:revision>
  <cp:lastPrinted>2019-08-21T10:03:00Z</cp:lastPrinted>
  <dcterms:created xsi:type="dcterms:W3CDTF">2020-01-28T10:27:00Z</dcterms:created>
  <dcterms:modified xsi:type="dcterms:W3CDTF">2020-01-28T14:23:00Z</dcterms:modified>
</cp:coreProperties>
</file>