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8993" w14:textId="1BA0361E" w:rsidR="00B55FCB" w:rsidRPr="00764418" w:rsidRDefault="00B55FCB" w:rsidP="00764418">
      <w:pPr>
        <w:rPr>
          <w:b/>
        </w:rPr>
      </w:pPr>
      <w:r w:rsidRPr="003E1F78">
        <w:rPr>
          <w:b/>
        </w:rPr>
        <w:t xml:space="preserve">Izziņa par atzinumos sniegtajiem iebildumiem </w:t>
      </w:r>
      <w:r w:rsidRPr="007020C2">
        <w:rPr>
          <w:b/>
          <w:szCs w:val="26"/>
        </w:rPr>
        <w:t>par Ministru kabineta noteikumu projektu</w:t>
      </w:r>
      <w:r w:rsidR="00764418">
        <w:rPr>
          <w:b/>
        </w:rPr>
        <w:t xml:space="preserve"> </w:t>
      </w:r>
      <w:r w:rsidRPr="007020C2">
        <w:rPr>
          <w:b/>
          <w:szCs w:val="26"/>
        </w:rPr>
        <w:t>“</w:t>
      </w:r>
      <w:r w:rsidRPr="00B55FCB">
        <w:rPr>
          <w:b/>
        </w:rPr>
        <w:t>Grozījumi Ministru kabineta 2011. gada</w:t>
      </w:r>
      <w:r w:rsidR="00C631E1">
        <w:rPr>
          <w:b/>
        </w:rPr>
        <w:t xml:space="preserve"> 19. aprīļa noteikumos Nr. 302 “</w:t>
      </w:r>
      <w:r w:rsidRPr="00B55FCB">
        <w:rPr>
          <w:b/>
        </w:rPr>
        <w:t>Noteikumi par atkritumu klasifikatoru un īpašībām, kuras padara atkritumus bīstamus</w:t>
      </w:r>
      <w:r w:rsidR="00C631E1">
        <w:rPr>
          <w:b/>
          <w:szCs w:val="26"/>
        </w:rPr>
        <w:t>”” (VSS-96</w:t>
      </w:r>
      <w:r w:rsidRPr="007020C2">
        <w:rPr>
          <w:b/>
          <w:szCs w:val="26"/>
        </w:rPr>
        <w:t>3)</w:t>
      </w:r>
    </w:p>
    <w:p w14:paraId="3186A172" w14:textId="77777777" w:rsidR="00B55FCB" w:rsidRPr="003E1F78" w:rsidRDefault="00B55FCB" w:rsidP="00B55FCB">
      <w:pPr>
        <w:jc w:val="center"/>
        <w:rPr>
          <w:b/>
        </w:rPr>
      </w:pPr>
    </w:p>
    <w:p w14:paraId="14EC727A" w14:textId="77777777" w:rsidR="00B55FCB" w:rsidRPr="003E1F78" w:rsidRDefault="00B55FCB" w:rsidP="00B55FCB">
      <w:pPr>
        <w:pStyle w:val="naisf"/>
        <w:spacing w:before="0" w:after="0"/>
        <w:ind w:firstLine="720"/>
      </w:pPr>
    </w:p>
    <w:p w14:paraId="4DF0608D" w14:textId="77777777" w:rsidR="00B55FCB" w:rsidRPr="003E1F78" w:rsidRDefault="00B55FCB" w:rsidP="00B55FCB">
      <w:pPr>
        <w:pStyle w:val="naisf"/>
        <w:spacing w:before="0" w:after="0"/>
        <w:ind w:firstLine="0"/>
        <w:jc w:val="center"/>
        <w:outlineLvl w:val="0"/>
        <w:rPr>
          <w:b/>
        </w:rPr>
      </w:pPr>
      <w:r w:rsidRPr="003E1F78">
        <w:rPr>
          <w:b/>
        </w:rPr>
        <w:t>I. Jautājumi, par kuriem saskaņošanā vienošanās nav panākta</w:t>
      </w:r>
    </w:p>
    <w:p w14:paraId="19B4DDD6" w14:textId="77777777" w:rsidR="00B55FCB" w:rsidRPr="003E1F78" w:rsidRDefault="00B55FCB" w:rsidP="00B55FC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B55FCB" w:rsidRPr="003E1F78" w14:paraId="36A413E0" w14:textId="77777777" w:rsidTr="00343104">
        <w:tc>
          <w:tcPr>
            <w:tcW w:w="708" w:type="dxa"/>
            <w:tcBorders>
              <w:top w:val="single" w:sz="6" w:space="0" w:color="000000"/>
              <w:left w:val="single" w:sz="6" w:space="0" w:color="000000"/>
              <w:bottom w:val="single" w:sz="6" w:space="0" w:color="000000"/>
              <w:right w:val="single" w:sz="6" w:space="0" w:color="000000"/>
            </w:tcBorders>
            <w:vAlign w:val="center"/>
          </w:tcPr>
          <w:p w14:paraId="4AAF21B3" w14:textId="77777777" w:rsidR="00B55FCB" w:rsidRPr="003E1F78" w:rsidRDefault="00B55FCB" w:rsidP="00343104">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3BACAA64" w14:textId="77777777" w:rsidR="00B55FCB" w:rsidRPr="003E1F78" w:rsidRDefault="00B55FCB" w:rsidP="00343104">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A119A6A" w14:textId="77777777" w:rsidR="00B55FCB" w:rsidRPr="003E1F78" w:rsidRDefault="00B55FCB" w:rsidP="00343104">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405DB76A" w14:textId="77777777" w:rsidR="00B55FCB" w:rsidRPr="003E1F78" w:rsidRDefault="00B55FCB" w:rsidP="00343104">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6522E5A" w14:textId="77777777" w:rsidR="00B55FCB" w:rsidRPr="003E1F78" w:rsidRDefault="00B55FCB" w:rsidP="00343104">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C93285" w14:textId="77777777" w:rsidR="00B55FCB" w:rsidRPr="003E1F78" w:rsidRDefault="00B55FCB" w:rsidP="00343104">
            <w:pPr>
              <w:jc w:val="center"/>
            </w:pPr>
            <w:r w:rsidRPr="003E1F78">
              <w:t>Projekta attiecīgā punkta (panta) galīgā redakcija</w:t>
            </w:r>
          </w:p>
        </w:tc>
      </w:tr>
      <w:tr w:rsidR="00B55FCB" w:rsidRPr="003E1F78" w14:paraId="55C2FA1C" w14:textId="77777777" w:rsidTr="00343104">
        <w:tc>
          <w:tcPr>
            <w:tcW w:w="708" w:type="dxa"/>
            <w:tcBorders>
              <w:left w:val="single" w:sz="6" w:space="0" w:color="000000"/>
              <w:bottom w:val="single" w:sz="4" w:space="0" w:color="auto"/>
              <w:right w:val="single" w:sz="6" w:space="0" w:color="000000"/>
            </w:tcBorders>
          </w:tcPr>
          <w:p w14:paraId="4F9B4015" w14:textId="77777777" w:rsidR="00B55FCB" w:rsidRPr="003E1F78" w:rsidRDefault="00B55FCB" w:rsidP="00343104">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11F638F4" w14:textId="77777777" w:rsidR="00B55FCB" w:rsidRPr="003E1F78" w:rsidRDefault="00B55FCB" w:rsidP="00343104">
            <w:pPr>
              <w:pStyle w:val="naisc"/>
              <w:spacing w:before="0" w:after="0"/>
            </w:pPr>
          </w:p>
        </w:tc>
        <w:tc>
          <w:tcPr>
            <w:tcW w:w="3600" w:type="dxa"/>
            <w:tcBorders>
              <w:left w:val="single" w:sz="6" w:space="0" w:color="000000"/>
              <w:bottom w:val="single" w:sz="4" w:space="0" w:color="auto"/>
              <w:right w:val="single" w:sz="6" w:space="0" w:color="000000"/>
            </w:tcBorders>
          </w:tcPr>
          <w:p w14:paraId="2DF39B85" w14:textId="77777777" w:rsidR="00B55FCB" w:rsidRPr="003E1F78" w:rsidRDefault="00B55FCB" w:rsidP="00343104">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75A1FD9A" w14:textId="77777777" w:rsidR="00B55FCB" w:rsidRPr="003E1F78" w:rsidRDefault="00B55FCB" w:rsidP="00343104">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628AF74D" w14:textId="77777777" w:rsidR="00B55FCB" w:rsidRPr="003E1F78" w:rsidRDefault="00B55FCB" w:rsidP="00343104">
            <w:pPr>
              <w:jc w:val="center"/>
            </w:pPr>
          </w:p>
        </w:tc>
        <w:tc>
          <w:tcPr>
            <w:tcW w:w="1920" w:type="dxa"/>
            <w:tcBorders>
              <w:top w:val="single" w:sz="4" w:space="0" w:color="auto"/>
              <w:left w:val="single" w:sz="4" w:space="0" w:color="auto"/>
              <w:bottom w:val="single" w:sz="4" w:space="0" w:color="auto"/>
              <w:right w:val="single" w:sz="4" w:space="0" w:color="auto"/>
            </w:tcBorders>
          </w:tcPr>
          <w:p w14:paraId="083E36A5" w14:textId="77777777" w:rsidR="00B55FCB" w:rsidRPr="003E1F78" w:rsidRDefault="00B55FCB" w:rsidP="00343104">
            <w:pPr>
              <w:jc w:val="center"/>
            </w:pPr>
          </w:p>
        </w:tc>
      </w:tr>
    </w:tbl>
    <w:p w14:paraId="3401D76B" w14:textId="77777777" w:rsidR="00B55FCB" w:rsidRPr="003E1F78" w:rsidRDefault="00B55FCB" w:rsidP="00B55FCB">
      <w:pPr>
        <w:pStyle w:val="naisf"/>
        <w:spacing w:before="0" w:after="0"/>
        <w:ind w:firstLine="0"/>
        <w:outlineLvl w:val="0"/>
        <w:rPr>
          <w:b/>
        </w:rPr>
      </w:pPr>
    </w:p>
    <w:p w14:paraId="45B1F624" w14:textId="77777777" w:rsidR="00B55FCB" w:rsidRPr="003E1F78" w:rsidRDefault="00B55FCB" w:rsidP="00B55FCB">
      <w:pPr>
        <w:pStyle w:val="naisf"/>
        <w:spacing w:before="0" w:after="0"/>
        <w:ind w:firstLine="0"/>
        <w:outlineLvl w:val="0"/>
        <w:rPr>
          <w:b/>
        </w:rPr>
      </w:pPr>
      <w:r w:rsidRPr="003E1F78">
        <w:rPr>
          <w:b/>
        </w:rPr>
        <w:t>Informācija par starpministriju (starpinstitūciju) sanāksmi vai elektronisko saskaņošanu</w:t>
      </w:r>
    </w:p>
    <w:p w14:paraId="573CADDA" w14:textId="77777777" w:rsidR="00B55FCB" w:rsidRPr="003E1F78" w:rsidRDefault="00B55FCB" w:rsidP="00B55FCB">
      <w:pPr>
        <w:pStyle w:val="naisf"/>
        <w:spacing w:before="0" w:after="0"/>
        <w:ind w:firstLine="0"/>
        <w:rPr>
          <w:b/>
        </w:rPr>
      </w:pPr>
    </w:p>
    <w:tbl>
      <w:tblPr>
        <w:tblW w:w="13908" w:type="dxa"/>
        <w:tblLook w:val="00A0" w:firstRow="1" w:lastRow="0" w:firstColumn="1" w:lastColumn="0" w:noHBand="0" w:noVBand="0"/>
      </w:tblPr>
      <w:tblGrid>
        <w:gridCol w:w="6708"/>
        <w:gridCol w:w="7200"/>
      </w:tblGrid>
      <w:tr w:rsidR="00B55FCB" w:rsidRPr="003E1F78" w14:paraId="2803B204" w14:textId="77777777" w:rsidTr="00343104">
        <w:tc>
          <w:tcPr>
            <w:tcW w:w="6708" w:type="dxa"/>
          </w:tcPr>
          <w:p w14:paraId="4DE657D1" w14:textId="77777777" w:rsidR="00B55FCB" w:rsidRPr="003E1F78" w:rsidRDefault="00B55FCB" w:rsidP="00343104">
            <w:pPr>
              <w:pStyle w:val="naisf"/>
              <w:spacing w:before="0" w:after="0"/>
              <w:ind w:firstLine="0"/>
            </w:pPr>
            <w:r w:rsidRPr="003E1F78">
              <w:t>Datums</w:t>
            </w:r>
          </w:p>
        </w:tc>
        <w:tc>
          <w:tcPr>
            <w:tcW w:w="7200" w:type="dxa"/>
            <w:tcBorders>
              <w:bottom w:val="single" w:sz="4" w:space="0" w:color="auto"/>
            </w:tcBorders>
          </w:tcPr>
          <w:p w14:paraId="18C3BBAE" w14:textId="77777777" w:rsidR="00B55FCB" w:rsidRPr="003E1F78" w:rsidRDefault="00C631E1" w:rsidP="00343104">
            <w:pPr>
              <w:pStyle w:val="NormalWeb"/>
              <w:spacing w:before="0" w:beforeAutospacing="0" w:after="0" w:afterAutospacing="0"/>
              <w:ind w:firstLine="720"/>
            </w:pPr>
            <w:r>
              <w:t>Elektroniskā</w:t>
            </w:r>
            <w:r w:rsidR="00B55FCB">
              <w:t xml:space="preserve"> saskaņošana 2019</w:t>
            </w:r>
            <w:r w:rsidR="00B55FCB" w:rsidRPr="003E1F78">
              <w:t>.</w:t>
            </w:r>
            <w:r w:rsidR="00C53395">
              <w:t> gada 14</w:t>
            </w:r>
            <w:r w:rsidR="00B55FCB">
              <w:t>.</w:t>
            </w:r>
            <w:r w:rsidR="00015DCC">
              <w:t xml:space="preserve"> </w:t>
            </w:r>
            <w:r w:rsidR="00B55FCB">
              <w:t>novembrī</w:t>
            </w:r>
          </w:p>
        </w:tc>
      </w:tr>
      <w:tr w:rsidR="00B55FCB" w:rsidRPr="003E1F78" w14:paraId="62A5EE1A" w14:textId="77777777" w:rsidTr="00343104">
        <w:tc>
          <w:tcPr>
            <w:tcW w:w="6708" w:type="dxa"/>
          </w:tcPr>
          <w:p w14:paraId="30D118F3" w14:textId="77777777" w:rsidR="00B55FCB" w:rsidRPr="003E1F78" w:rsidRDefault="00B55FCB" w:rsidP="00343104">
            <w:pPr>
              <w:pStyle w:val="naisf"/>
              <w:spacing w:before="0" w:after="0"/>
              <w:ind w:firstLine="0"/>
            </w:pPr>
          </w:p>
        </w:tc>
        <w:tc>
          <w:tcPr>
            <w:tcW w:w="7200" w:type="dxa"/>
            <w:tcBorders>
              <w:top w:val="single" w:sz="4" w:space="0" w:color="auto"/>
            </w:tcBorders>
          </w:tcPr>
          <w:p w14:paraId="60B6DF6B" w14:textId="77777777" w:rsidR="00B55FCB" w:rsidRPr="003E1F78" w:rsidRDefault="00B55FCB" w:rsidP="00343104">
            <w:pPr>
              <w:pStyle w:val="NormalWeb"/>
              <w:spacing w:before="0" w:beforeAutospacing="0" w:after="0" w:afterAutospacing="0"/>
              <w:ind w:firstLine="720"/>
            </w:pPr>
          </w:p>
        </w:tc>
      </w:tr>
      <w:tr w:rsidR="00B55FCB" w:rsidRPr="003E1F78" w14:paraId="2D45FEDE" w14:textId="77777777" w:rsidTr="00343104">
        <w:tc>
          <w:tcPr>
            <w:tcW w:w="6708" w:type="dxa"/>
          </w:tcPr>
          <w:p w14:paraId="12AC3A4F" w14:textId="77777777" w:rsidR="00B55FCB" w:rsidRPr="003E1F78" w:rsidRDefault="00B55FCB" w:rsidP="00343104">
            <w:pPr>
              <w:pStyle w:val="naiskr"/>
              <w:spacing w:before="0" w:after="0"/>
            </w:pPr>
            <w:r w:rsidRPr="003E1F78">
              <w:t>Saskaņošanas dalībnieki</w:t>
            </w:r>
          </w:p>
        </w:tc>
        <w:tc>
          <w:tcPr>
            <w:tcW w:w="7200" w:type="dxa"/>
          </w:tcPr>
          <w:p w14:paraId="74459A86" w14:textId="77777777" w:rsidR="00B55FCB" w:rsidRPr="003E1F78" w:rsidRDefault="00B55FCB" w:rsidP="00343104">
            <w:pPr>
              <w:pStyle w:val="naiskr"/>
              <w:spacing w:before="0" w:after="0"/>
              <w:ind w:firstLine="12"/>
              <w:jc w:val="both"/>
            </w:pPr>
            <w:r>
              <w:t>Tieslietu ministrija, Finanšu ministrija, Ekonomikas ministrija, Sabiedrisko pakalpojumu regulēšanas komisija, Latvijas Pašvaldību savienība</w:t>
            </w:r>
          </w:p>
        </w:tc>
      </w:tr>
      <w:tr w:rsidR="00B55FCB" w:rsidRPr="003E1F78" w14:paraId="514C6878" w14:textId="77777777" w:rsidTr="00343104">
        <w:trPr>
          <w:trHeight w:val="285"/>
        </w:trPr>
        <w:tc>
          <w:tcPr>
            <w:tcW w:w="6708" w:type="dxa"/>
          </w:tcPr>
          <w:p w14:paraId="714F4B9C" w14:textId="77777777" w:rsidR="00B55FCB" w:rsidRPr="003E1F78" w:rsidRDefault="00B55FCB" w:rsidP="00343104">
            <w:pPr>
              <w:pStyle w:val="naiskr"/>
              <w:spacing w:before="0" w:after="0"/>
            </w:pPr>
          </w:p>
        </w:tc>
        <w:tc>
          <w:tcPr>
            <w:tcW w:w="7200" w:type="dxa"/>
          </w:tcPr>
          <w:p w14:paraId="0A148C06" w14:textId="77777777" w:rsidR="00B55FCB" w:rsidRPr="003E1F78" w:rsidRDefault="00B55FCB" w:rsidP="00343104">
            <w:pPr>
              <w:pStyle w:val="naiskr"/>
              <w:spacing w:before="0" w:after="0"/>
              <w:ind w:firstLine="12"/>
              <w:jc w:val="both"/>
            </w:pPr>
          </w:p>
        </w:tc>
      </w:tr>
      <w:tr w:rsidR="00B55FCB" w:rsidRPr="003E1F78" w14:paraId="3D97A445" w14:textId="77777777" w:rsidTr="00343104">
        <w:trPr>
          <w:trHeight w:val="285"/>
        </w:trPr>
        <w:tc>
          <w:tcPr>
            <w:tcW w:w="6708" w:type="dxa"/>
          </w:tcPr>
          <w:p w14:paraId="7B509676" w14:textId="77777777" w:rsidR="00B55FCB" w:rsidRPr="003E1F78" w:rsidRDefault="00B55FCB" w:rsidP="00343104">
            <w:pPr>
              <w:pStyle w:val="naiskr"/>
              <w:spacing w:before="0" w:after="0"/>
              <w:jc w:val="both"/>
            </w:pPr>
            <w:r w:rsidRPr="003E1F78">
              <w:t>Saskaņošanas dalībnieki izskatīja šādu ministriju (citu institūciju) iebildumus</w:t>
            </w:r>
          </w:p>
        </w:tc>
        <w:tc>
          <w:tcPr>
            <w:tcW w:w="7200" w:type="dxa"/>
          </w:tcPr>
          <w:p w14:paraId="5DA92906" w14:textId="77777777" w:rsidR="00B55FCB" w:rsidRPr="003E1F78" w:rsidRDefault="00B55FCB" w:rsidP="00343104">
            <w:pPr>
              <w:pStyle w:val="naiskr"/>
              <w:spacing w:before="0" w:after="0"/>
              <w:ind w:firstLine="12"/>
              <w:jc w:val="both"/>
              <w:rPr>
                <w:color w:val="000000"/>
              </w:rPr>
            </w:pPr>
            <w:r w:rsidRPr="003E1F78">
              <w:rPr>
                <w:color w:val="000000"/>
              </w:rPr>
              <w:t>Tieslietu ministrija</w:t>
            </w:r>
          </w:p>
        </w:tc>
      </w:tr>
      <w:tr w:rsidR="00B55FCB" w:rsidRPr="003E1F78" w14:paraId="21333ABF" w14:textId="77777777" w:rsidTr="00343104">
        <w:trPr>
          <w:trHeight w:val="465"/>
        </w:trPr>
        <w:tc>
          <w:tcPr>
            <w:tcW w:w="6708" w:type="dxa"/>
          </w:tcPr>
          <w:p w14:paraId="7D85C3C7" w14:textId="77777777" w:rsidR="00B55FCB" w:rsidRPr="003E1F78" w:rsidRDefault="00B55FCB" w:rsidP="00343104">
            <w:pPr>
              <w:pStyle w:val="naiskr"/>
              <w:spacing w:before="0" w:after="0"/>
              <w:jc w:val="both"/>
            </w:pPr>
          </w:p>
        </w:tc>
        <w:tc>
          <w:tcPr>
            <w:tcW w:w="7200" w:type="dxa"/>
            <w:tcBorders>
              <w:top w:val="single" w:sz="6" w:space="0" w:color="000000"/>
              <w:bottom w:val="single" w:sz="6" w:space="0" w:color="000000"/>
            </w:tcBorders>
          </w:tcPr>
          <w:p w14:paraId="0FB4ABE5" w14:textId="77777777" w:rsidR="00B55FCB" w:rsidRPr="003E1F78" w:rsidRDefault="00B55FCB" w:rsidP="00343104">
            <w:pPr>
              <w:pStyle w:val="NormalWeb"/>
              <w:spacing w:before="0" w:beforeAutospacing="0" w:after="0" w:afterAutospacing="0"/>
              <w:jc w:val="both"/>
            </w:pPr>
          </w:p>
        </w:tc>
      </w:tr>
      <w:tr w:rsidR="00B55FCB" w:rsidRPr="003E1F78" w14:paraId="51CC0464" w14:textId="77777777" w:rsidTr="00343104">
        <w:trPr>
          <w:gridAfter w:val="1"/>
          <w:wAfter w:w="7200" w:type="dxa"/>
        </w:trPr>
        <w:tc>
          <w:tcPr>
            <w:tcW w:w="6708" w:type="dxa"/>
          </w:tcPr>
          <w:p w14:paraId="456180F6" w14:textId="77777777" w:rsidR="00B55FCB" w:rsidRDefault="00B55FCB" w:rsidP="00343104">
            <w:pPr>
              <w:pStyle w:val="naiskr"/>
              <w:spacing w:before="0" w:after="0"/>
              <w:jc w:val="both"/>
            </w:pPr>
            <w:r w:rsidRPr="003E1F78">
              <w:t>Ministrijas (citas institūcijas), kuras nav ieradušās uz sanāksmi vai kuras nav atbildējušas uz uzaicinājumu piedalīties elektroniskajā saskaņošanā</w:t>
            </w:r>
          </w:p>
          <w:p w14:paraId="489D3376" w14:textId="77777777" w:rsidR="00B55FCB" w:rsidRPr="003E1F78" w:rsidRDefault="00B55FCB" w:rsidP="00343104">
            <w:pPr>
              <w:pStyle w:val="naiskr"/>
              <w:spacing w:before="0" w:after="0"/>
              <w:jc w:val="both"/>
            </w:pPr>
          </w:p>
        </w:tc>
      </w:tr>
    </w:tbl>
    <w:p w14:paraId="1AD157F5" w14:textId="77777777" w:rsidR="00B55FCB" w:rsidRDefault="00B55FCB" w:rsidP="00B55FCB"/>
    <w:p w14:paraId="6C280D7F" w14:textId="77777777" w:rsidR="00B55FCB" w:rsidRPr="003E1F78" w:rsidRDefault="00B55FCB" w:rsidP="00B55FCB">
      <w:pPr>
        <w:pStyle w:val="naisf"/>
        <w:spacing w:before="0" w:after="0"/>
        <w:ind w:firstLine="0"/>
        <w:jc w:val="center"/>
        <w:outlineLvl w:val="0"/>
        <w:rPr>
          <w:b/>
        </w:rPr>
      </w:pPr>
      <w:r w:rsidRPr="003E1F78">
        <w:rPr>
          <w:b/>
        </w:rPr>
        <w:t>II. Jautājumi, par kuriem saskaņošanā vienošanās ir panākta</w:t>
      </w:r>
    </w:p>
    <w:p w14:paraId="579AA384" w14:textId="77777777" w:rsidR="00B55FCB" w:rsidRPr="003E1F78" w:rsidRDefault="00B55FCB" w:rsidP="00B55FCB">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B55FCB" w:rsidRPr="003E1F78" w14:paraId="2B5D1F2D" w14:textId="77777777" w:rsidTr="00343104">
        <w:tc>
          <w:tcPr>
            <w:tcW w:w="675" w:type="dxa"/>
            <w:tcBorders>
              <w:top w:val="single" w:sz="6" w:space="0" w:color="000000"/>
              <w:left w:val="single" w:sz="6" w:space="0" w:color="000000"/>
              <w:bottom w:val="single" w:sz="6" w:space="0" w:color="000000"/>
              <w:right w:val="single" w:sz="6" w:space="0" w:color="000000"/>
            </w:tcBorders>
          </w:tcPr>
          <w:p w14:paraId="627FEBD2" w14:textId="77777777" w:rsidR="00B55FCB" w:rsidRPr="003E1F78" w:rsidRDefault="00B55FCB" w:rsidP="00343104">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6086D491" w14:textId="77777777" w:rsidR="00B55FCB" w:rsidRPr="00CE33D2" w:rsidRDefault="00B55FCB" w:rsidP="00343104">
            <w:pPr>
              <w:pStyle w:val="naisc"/>
              <w:spacing w:before="0" w:after="0"/>
              <w:ind w:firstLine="12"/>
              <w:jc w:val="both"/>
              <w:rPr>
                <w:b/>
              </w:rPr>
            </w:pPr>
            <w:r w:rsidRPr="00CE33D2">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F95B37E" w14:textId="77777777" w:rsidR="00B55FCB" w:rsidRPr="00DF5371" w:rsidRDefault="00B55FCB" w:rsidP="00343104">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14:paraId="1D13A312" w14:textId="77777777" w:rsidR="00B55FCB" w:rsidRPr="00DF5371" w:rsidRDefault="00B55FCB" w:rsidP="00343104">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14:paraId="1563A928" w14:textId="77777777" w:rsidR="00B55FCB" w:rsidRPr="00DF5371" w:rsidRDefault="00B55FCB" w:rsidP="00343104">
            <w:pPr>
              <w:jc w:val="both"/>
              <w:rPr>
                <w:b/>
              </w:rPr>
            </w:pPr>
            <w:r w:rsidRPr="00DF5371">
              <w:rPr>
                <w:b/>
              </w:rPr>
              <w:t>Projekta attiecīgā punkta galīgā redakcija</w:t>
            </w:r>
          </w:p>
        </w:tc>
      </w:tr>
      <w:tr w:rsidR="00B55FCB" w:rsidRPr="003E1F78" w14:paraId="38FED017" w14:textId="77777777" w:rsidTr="007A22CC">
        <w:tc>
          <w:tcPr>
            <w:tcW w:w="675" w:type="dxa"/>
            <w:tcBorders>
              <w:top w:val="single" w:sz="6" w:space="0" w:color="000000"/>
              <w:left w:val="single" w:sz="6" w:space="0" w:color="000000"/>
              <w:bottom w:val="single" w:sz="6" w:space="0" w:color="000000"/>
              <w:right w:val="single" w:sz="6" w:space="0" w:color="000000"/>
            </w:tcBorders>
          </w:tcPr>
          <w:p w14:paraId="2E81CB4E" w14:textId="77777777" w:rsidR="00B55FCB" w:rsidRPr="003E1F78" w:rsidRDefault="00B55FCB" w:rsidP="00343104">
            <w:pPr>
              <w:pStyle w:val="naisc"/>
              <w:spacing w:before="0" w:after="0"/>
              <w:jc w:val="both"/>
              <w:rPr>
                <w:b/>
              </w:rPr>
            </w:pPr>
            <w:r>
              <w:rPr>
                <w:b/>
              </w:rPr>
              <w:t>1.</w:t>
            </w:r>
          </w:p>
        </w:tc>
        <w:tc>
          <w:tcPr>
            <w:tcW w:w="2977" w:type="dxa"/>
            <w:tcBorders>
              <w:top w:val="single" w:sz="6" w:space="0" w:color="000000"/>
              <w:left w:val="single" w:sz="6" w:space="0" w:color="000000"/>
              <w:bottom w:val="single" w:sz="6" w:space="0" w:color="000000"/>
              <w:right w:val="single" w:sz="6" w:space="0" w:color="000000"/>
            </w:tcBorders>
          </w:tcPr>
          <w:p w14:paraId="44612D87" w14:textId="77777777" w:rsidR="00B55FCB" w:rsidRDefault="00B55FCB" w:rsidP="007A22CC">
            <w:pPr>
              <w:pStyle w:val="naisc"/>
              <w:spacing w:before="0" w:after="0"/>
              <w:ind w:firstLine="12"/>
              <w:jc w:val="left"/>
              <w:rPr>
                <w:b/>
              </w:rPr>
            </w:pPr>
          </w:p>
          <w:p w14:paraId="5F1C64BD" w14:textId="77777777" w:rsidR="007A22CC" w:rsidRPr="007A22CC" w:rsidRDefault="007A22CC" w:rsidP="00015DCC">
            <w:pPr>
              <w:pStyle w:val="ListParagraph"/>
              <w:widowControl/>
              <w:numPr>
                <w:ilvl w:val="0"/>
                <w:numId w:val="7"/>
              </w:numPr>
              <w:ind w:left="0" w:firstLine="60"/>
              <w:rPr>
                <w:szCs w:val="28"/>
              </w:rPr>
            </w:pPr>
            <w:r w:rsidRPr="007A22CC">
              <w:rPr>
                <w:szCs w:val="28"/>
              </w:rPr>
              <w:t>Izteikt norādi uz noteikumu izdošanas tiesisko pamatu šādā redakcijā:</w:t>
            </w:r>
          </w:p>
          <w:p w14:paraId="5F51988D" w14:textId="77777777" w:rsidR="007A22CC" w:rsidRPr="007A22CC" w:rsidRDefault="007A22CC" w:rsidP="00015DCC">
            <w:pPr>
              <w:jc w:val="both"/>
              <w:rPr>
                <w:szCs w:val="28"/>
              </w:rPr>
            </w:pPr>
            <w:r w:rsidRPr="007A22CC">
              <w:rPr>
                <w:szCs w:val="28"/>
              </w:rPr>
              <w:t>“Izdoti saskaņā ar Atkritumu apsaimniekošanas likuma 4. panta trešo daļu, 6. panta 1.punktu un 1.</w:t>
            </w:r>
            <w:r w:rsidRPr="007A22CC">
              <w:rPr>
                <w:szCs w:val="28"/>
                <w:vertAlign w:val="superscript"/>
              </w:rPr>
              <w:t>1</w:t>
            </w:r>
            <w:r w:rsidRPr="007A22CC">
              <w:rPr>
                <w:szCs w:val="28"/>
              </w:rPr>
              <w:t xml:space="preserve"> punktu.”</w:t>
            </w:r>
          </w:p>
          <w:p w14:paraId="585636A8" w14:textId="77777777" w:rsidR="007A22CC" w:rsidRPr="007A22CC" w:rsidRDefault="007A22CC" w:rsidP="007A22CC">
            <w:pPr>
              <w:pStyle w:val="naisc"/>
              <w:spacing w:before="0" w:after="0"/>
              <w:ind w:firstLine="12"/>
              <w:jc w:val="left"/>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7E7BB846" w14:textId="77777777" w:rsidR="00B55FCB" w:rsidRDefault="00B55FCB" w:rsidP="00343104">
            <w:pPr>
              <w:pStyle w:val="naisc"/>
              <w:spacing w:before="0" w:after="0"/>
              <w:ind w:right="3"/>
              <w:jc w:val="both"/>
              <w:rPr>
                <w:b/>
              </w:rPr>
            </w:pPr>
            <w:r>
              <w:rPr>
                <w:b/>
              </w:rPr>
              <w:t>Tieslietu ministrija:</w:t>
            </w:r>
          </w:p>
          <w:p w14:paraId="6B594F30" w14:textId="77777777" w:rsidR="00B55FCB" w:rsidRPr="007A22CC" w:rsidRDefault="00B55FCB" w:rsidP="007A22CC">
            <w:pPr>
              <w:pStyle w:val="ListParagraph"/>
              <w:numPr>
                <w:ilvl w:val="0"/>
                <w:numId w:val="1"/>
              </w:numPr>
              <w:tabs>
                <w:tab w:val="left" w:pos="709"/>
                <w:tab w:val="left" w:pos="851"/>
                <w:tab w:val="left" w:pos="993"/>
              </w:tabs>
              <w:ind w:left="0" w:firstLine="709"/>
              <w:rPr>
                <w:sz w:val="28"/>
                <w:szCs w:val="28"/>
              </w:rPr>
            </w:pPr>
            <w:r w:rsidRPr="00B55FCB">
              <w:rPr>
                <w:szCs w:val="24"/>
              </w:rPr>
              <w:t xml:space="preserve">Lūdzam projekta anotācijas I sadaļas 2. punktā skaidrot projekta 1. punktā izteiktā grozījuma norādē uz spēkā esošo noteikumu izdošanas tiesisko pamatu pamatotību un nepieciešamību atbilstoši </w:t>
            </w:r>
            <w:r w:rsidRPr="00B55FCB">
              <w:rPr>
                <w:bCs/>
                <w:iCs/>
                <w:szCs w:val="24"/>
              </w:rPr>
              <w:t xml:space="preserve">Ministru kabineta 2009. gada 15. decembra instrukcijas Nr. 19 “Tiesību akta projekta sākotnējās ietekmes izvērtēšanas kārtība” (turpmāk – instrukcija) </w:t>
            </w:r>
            <w:r w:rsidRPr="00B55FCB">
              <w:rPr>
                <w:szCs w:val="24"/>
              </w:rPr>
              <w:t>14. punktam. Turklāt norādām, ka Atkritumu apsaimniekošanas likuma 4. panta trešā daļa neietver pilnvarojumu Ministru kabinetam izdot noteikumus, tāpēc lūdzam svītrot</w:t>
            </w:r>
            <w:r>
              <w:rPr>
                <w:sz w:val="28"/>
                <w:szCs w:val="26"/>
              </w:rPr>
              <w:t xml:space="preserve"> </w:t>
            </w:r>
            <w:r w:rsidRPr="007A22CC">
              <w:rPr>
                <w:szCs w:val="26"/>
              </w:rPr>
              <w:t xml:space="preserve">projekta 1. punktu un precizēt norādi uz projekta izdošanas tiesisko pamatu. Informējam, ka veidus kā likumdevējs likumā formulē pilnvarojumus Ministru kabinetam nosaka </w:t>
            </w:r>
            <w:r w:rsidRPr="007A22CC">
              <w:rPr>
                <w:szCs w:val="28"/>
              </w:rPr>
              <w:t xml:space="preserve">Ministru kabineta 2009. gada 3. februāra noteikumu Nr. 108 </w:t>
            </w:r>
            <w:r w:rsidRPr="007A22CC">
              <w:rPr>
                <w:szCs w:val="28"/>
              </w:rPr>
              <w:lastRenderedPageBreak/>
              <w:t>"Normatīvo aktu projektu sagatavošanas noteikumi" 47. punkts.</w:t>
            </w:r>
          </w:p>
        </w:tc>
        <w:tc>
          <w:tcPr>
            <w:tcW w:w="2835" w:type="dxa"/>
            <w:tcBorders>
              <w:top w:val="single" w:sz="6" w:space="0" w:color="000000"/>
              <w:left w:val="single" w:sz="6" w:space="0" w:color="000000"/>
              <w:bottom w:val="single" w:sz="6" w:space="0" w:color="000000"/>
              <w:right w:val="single" w:sz="6" w:space="0" w:color="000000"/>
            </w:tcBorders>
          </w:tcPr>
          <w:p w14:paraId="5C3FC4B8" w14:textId="77777777" w:rsidR="00B55FCB" w:rsidRPr="00DF5371" w:rsidRDefault="007A22CC" w:rsidP="007A22CC">
            <w:pPr>
              <w:pStyle w:val="naisc"/>
              <w:spacing w:before="0" w:after="0"/>
              <w:ind w:firstLine="21"/>
              <w:jc w:val="left"/>
              <w:rPr>
                <w:b/>
              </w:rPr>
            </w:pPr>
            <w:r>
              <w:rPr>
                <w:b/>
              </w:rPr>
              <w:lastRenderedPageBreak/>
              <w:t>Iebildums ir ņemts vērā.</w:t>
            </w:r>
          </w:p>
        </w:tc>
        <w:tc>
          <w:tcPr>
            <w:tcW w:w="3686" w:type="dxa"/>
            <w:tcBorders>
              <w:top w:val="single" w:sz="4" w:space="0" w:color="auto"/>
              <w:left w:val="single" w:sz="4" w:space="0" w:color="auto"/>
              <w:bottom w:val="single" w:sz="4" w:space="0" w:color="auto"/>
            </w:tcBorders>
          </w:tcPr>
          <w:p w14:paraId="156AB06C" w14:textId="01F96718" w:rsidR="00B55FCB" w:rsidRPr="00DF5371" w:rsidRDefault="00092890" w:rsidP="00092890">
            <w:pPr>
              <w:rPr>
                <w:b/>
              </w:rPr>
            </w:pPr>
            <w:r w:rsidRPr="00092890">
              <w:rPr>
                <w:szCs w:val="28"/>
              </w:rPr>
              <w:t>Noteikumu projekta 1.</w:t>
            </w:r>
            <w:r w:rsidR="00343104">
              <w:rPr>
                <w:szCs w:val="28"/>
              </w:rPr>
              <w:t> </w:t>
            </w:r>
            <w:r w:rsidRPr="00092890">
              <w:rPr>
                <w:szCs w:val="28"/>
              </w:rPr>
              <w:t>punkts svītrots.</w:t>
            </w:r>
          </w:p>
        </w:tc>
      </w:tr>
      <w:tr w:rsidR="00B55FCB" w:rsidRPr="003E1F78" w14:paraId="48AF0AF4" w14:textId="77777777" w:rsidTr="00092890">
        <w:tc>
          <w:tcPr>
            <w:tcW w:w="675" w:type="dxa"/>
            <w:tcBorders>
              <w:top w:val="single" w:sz="6" w:space="0" w:color="000000"/>
              <w:left w:val="single" w:sz="6" w:space="0" w:color="000000"/>
              <w:bottom w:val="single" w:sz="6" w:space="0" w:color="000000"/>
              <w:right w:val="single" w:sz="6" w:space="0" w:color="000000"/>
            </w:tcBorders>
          </w:tcPr>
          <w:p w14:paraId="2281C651" w14:textId="77777777" w:rsidR="00B55FCB" w:rsidRPr="003E1F78" w:rsidRDefault="00B55FCB" w:rsidP="00343104">
            <w:pPr>
              <w:pStyle w:val="naisc"/>
              <w:spacing w:before="0" w:after="0"/>
              <w:jc w:val="both"/>
              <w:rPr>
                <w:b/>
              </w:rPr>
            </w:pPr>
            <w:r>
              <w:rPr>
                <w:b/>
              </w:rPr>
              <w:t>2.</w:t>
            </w:r>
          </w:p>
        </w:tc>
        <w:tc>
          <w:tcPr>
            <w:tcW w:w="2977" w:type="dxa"/>
            <w:tcBorders>
              <w:top w:val="single" w:sz="6" w:space="0" w:color="000000"/>
              <w:left w:val="single" w:sz="6" w:space="0" w:color="000000"/>
              <w:bottom w:val="single" w:sz="6" w:space="0" w:color="000000"/>
              <w:right w:val="single" w:sz="6" w:space="0" w:color="000000"/>
            </w:tcBorders>
            <w:vAlign w:val="center"/>
          </w:tcPr>
          <w:p w14:paraId="67A1E199" w14:textId="77777777" w:rsidR="007F27A0" w:rsidRPr="00764418" w:rsidRDefault="007F27A0" w:rsidP="00015DCC">
            <w:pPr>
              <w:pStyle w:val="ListParagraph"/>
              <w:widowControl/>
              <w:numPr>
                <w:ilvl w:val="0"/>
                <w:numId w:val="9"/>
              </w:numPr>
              <w:tabs>
                <w:tab w:val="left" w:pos="993"/>
              </w:tabs>
              <w:ind w:left="202" w:hanging="202"/>
              <w:rPr>
                <w:rFonts w:eastAsia="Times New Roman"/>
                <w:szCs w:val="26"/>
                <w:lang w:eastAsia="lv-LV"/>
              </w:rPr>
            </w:pPr>
            <w:r w:rsidRPr="00764418">
              <w:rPr>
                <w:rFonts w:eastAsia="Times New Roman"/>
                <w:szCs w:val="26"/>
                <w:lang w:eastAsia="lv-LV"/>
              </w:rPr>
              <w:t>Papildināt 3.punktu ar otro teikumu šādā redakcijā:</w:t>
            </w:r>
          </w:p>
          <w:p w14:paraId="4858920F" w14:textId="77777777" w:rsidR="007F27A0" w:rsidRPr="00764418" w:rsidRDefault="007F27A0" w:rsidP="00015DCC">
            <w:pPr>
              <w:jc w:val="both"/>
              <w:rPr>
                <w:szCs w:val="26"/>
              </w:rPr>
            </w:pPr>
            <w:r w:rsidRPr="00764418">
              <w:rPr>
                <w:szCs w:val="26"/>
              </w:rPr>
              <w:t>“Ja atkritumiem nepiemīt vismaz viena no viena no regulas Nr. 1357/2014 pielikumā minētajām īpašībām, tos uzskata par nebīstamiem atkritumiem.”</w:t>
            </w:r>
          </w:p>
          <w:p w14:paraId="08E81D5F" w14:textId="77777777" w:rsidR="00B55FCB" w:rsidRPr="00CE33D2" w:rsidRDefault="00B55FCB" w:rsidP="00343104">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4BBB89C5" w14:textId="77777777" w:rsidR="00B55FCB" w:rsidRDefault="00B55FCB" w:rsidP="00343104">
            <w:pPr>
              <w:pStyle w:val="naisc"/>
              <w:spacing w:before="0" w:after="0"/>
              <w:ind w:right="3"/>
              <w:jc w:val="both"/>
              <w:rPr>
                <w:b/>
              </w:rPr>
            </w:pPr>
            <w:r>
              <w:rPr>
                <w:b/>
              </w:rPr>
              <w:t>Tieslietu ministrija:</w:t>
            </w:r>
          </w:p>
          <w:p w14:paraId="74A1369C" w14:textId="77777777" w:rsidR="00B55FCB" w:rsidRPr="007A22CC" w:rsidRDefault="007A22CC" w:rsidP="007A22CC">
            <w:pPr>
              <w:tabs>
                <w:tab w:val="left" w:pos="709"/>
                <w:tab w:val="left" w:pos="851"/>
                <w:tab w:val="left" w:pos="993"/>
              </w:tabs>
              <w:jc w:val="both"/>
              <w:rPr>
                <w:szCs w:val="26"/>
              </w:rPr>
            </w:pPr>
            <w:r w:rsidRPr="007A22CC">
              <w:rPr>
                <w:szCs w:val="26"/>
              </w:rPr>
              <w:t xml:space="preserve">2. </w:t>
            </w:r>
            <w:r w:rsidR="00B55FCB" w:rsidRPr="007A22CC">
              <w:rPr>
                <w:szCs w:val="26"/>
              </w:rPr>
              <w:t>Lūdzam izvērtēt projekta 2. punktā ietvertā jēdziena “nebīstamie atkritumi” skaidrojuma atbilstību projekta izdošanas tiesiskajam pamatam – Atkritumu apsaimniekošanas likuma 6. panta 1. un 1.</w:t>
            </w:r>
            <w:r w:rsidR="00B55FCB" w:rsidRPr="007A22CC">
              <w:rPr>
                <w:szCs w:val="26"/>
                <w:vertAlign w:val="superscript"/>
              </w:rPr>
              <w:t>1</w:t>
            </w:r>
            <w:r w:rsidR="00B55FCB" w:rsidRPr="007A22CC">
              <w:rPr>
                <w:szCs w:val="26"/>
              </w:rPr>
              <w:t xml:space="preserve"> punktam, ņemot vērā, ka spēkā esošie noteikumi ir attiecināmi uz īpašībām, kuras padara atkritumus bīstamus. Tādējādi, jēdziens “nebīstamie atkritumi” un tā skaidrojums būtu iekļaujams Atkritumu apsaimniekošanas likumā.</w:t>
            </w:r>
          </w:p>
          <w:p w14:paraId="67B8FC06" w14:textId="77777777" w:rsidR="00B55FCB" w:rsidRPr="007A22CC" w:rsidRDefault="00B55FCB" w:rsidP="007A22CC">
            <w:pPr>
              <w:tabs>
                <w:tab w:val="left" w:pos="709"/>
                <w:tab w:val="left" w:pos="851"/>
                <w:tab w:val="left" w:pos="993"/>
              </w:tabs>
              <w:ind w:firstLine="709"/>
              <w:jc w:val="both"/>
              <w:rPr>
                <w:szCs w:val="26"/>
              </w:rPr>
            </w:pPr>
            <w:r w:rsidRPr="007A22CC">
              <w:rPr>
                <w:szCs w:val="26"/>
              </w:rPr>
              <w:t>Vienlaikus lūdzam atkārtoti izvērtēt projekta 2. punktā izteikto 3. punkta otrā teikuma redakciju, izsakot to viennozīmīgi skaidri, izsakot darbības vārdus pēc iespējas apgalvojuma formā un izvairoties no darbības vārdu nolieguma formā lietošanas. Kā arī iesakām aizstāt minētajā otrajā teikumā vārdus “viena no” ar vārdiem “kāda no”. Iesakām arī svītrot minētajā otrajā teikumā vārdus “viena no”, kas ir lieki.</w:t>
            </w:r>
          </w:p>
          <w:p w14:paraId="3EA96E09" w14:textId="77777777" w:rsidR="00B55FCB" w:rsidRPr="007A22CC" w:rsidRDefault="00B55FCB" w:rsidP="007A22CC">
            <w:pPr>
              <w:tabs>
                <w:tab w:val="left" w:pos="709"/>
                <w:tab w:val="left" w:pos="851"/>
                <w:tab w:val="left" w:pos="993"/>
              </w:tabs>
              <w:ind w:firstLine="709"/>
              <w:jc w:val="both"/>
              <w:rPr>
                <w:szCs w:val="26"/>
              </w:rPr>
            </w:pPr>
            <w:r w:rsidRPr="007A22CC">
              <w:rPr>
                <w:szCs w:val="26"/>
              </w:rPr>
              <w:t xml:space="preserve">Projekta anotācijas V sadaļas 1. tabulā C ailē skaidrots, ka Eiropas Parlamenta un Padomes 2008. gada 19. novembra Direktīvas 2008/98/EK par atkritumiem un par dažu direktīvu atcelšanu (turpmāk – Direktīvas) 3. panta 2.a punkts projekta 2. punktā ir </w:t>
            </w:r>
            <w:r w:rsidRPr="007A22CC">
              <w:rPr>
                <w:szCs w:val="26"/>
                <w:u w:val="single"/>
              </w:rPr>
              <w:t>pārņemts daļēji</w:t>
            </w:r>
            <w:r w:rsidRPr="007A22CC">
              <w:rPr>
                <w:szCs w:val="26"/>
              </w:rPr>
              <w:t>. Lūdzam precizēt minēto C aili atbilstoši instrukcijas 56.3. apakšpunktam, sniedzot attiecīgu skaidrojumu, precīzi norādot, kad un kādā veidā Direktīvas vienība tiks pārņemta vai ieviesta pilnībā, kā arī norādot institūciju, kas ir atbildīga par šo saistību izpildi pilnībā</w:t>
            </w:r>
            <w:r w:rsidR="007A22CC">
              <w:rPr>
                <w:szCs w:val="26"/>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04EF32C7" w14:textId="77777777" w:rsidR="00B55FCB" w:rsidRPr="00DF5371" w:rsidRDefault="00092890" w:rsidP="00092890">
            <w:pPr>
              <w:pStyle w:val="naisc"/>
              <w:spacing w:before="0" w:after="0"/>
              <w:ind w:firstLine="21"/>
              <w:jc w:val="left"/>
              <w:rPr>
                <w:b/>
              </w:rPr>
            </w:pPr>
            <w:r>
              <w:rPr>
                <w:b/>
              </w:rPr>
              <w:t xml:space="preserve">Iebildums ir ņemts vērā. </w:t>
            </w:r>
            <w:r w:rsidR="00587367">
              <w:rPr>
                <w:b/>
              </w:rPr>
              <w:t>Izdarīto grozījumu rezultātā ir mainījusies noteikumu projekta punktu numerācija.</w:t>
            </w:r>
          </w:p>
        </w:tc>
        <w:tc>
          <w:tcPr>
            <w:tcW w:w="3686" w:type="dxa"/>
            <w:tcBorders>
              <w:top w:val="single" w:sz="4" w:space="0" w:color="auto"/>
              <w:left w:val="single" w:sz="4" w:space="0" w:color="auto"/>
              <w:bottom w:val="single" w:sz="4" w:space="0" w:color="auto"/>
            </w:tcBorders>
          </w:tcPr>
          <w:p w14:paraId="677BB829" w14:textId="57F4BD7D" w:rsidR="00092890" w:rsidRPr="00764418" w:rsidRDefault="00092890" w:rsidP="00015DCC">
            <w:pPr>
              <w:pStyle w:val="ListParagraph"/>
              <w:widowControl/>
              <w:numPr>
                <w:ilvl w:val="0"/>
                <w:numId w:val="12"/>
              </w:numPr>
              <w:ind w:left="202" w:hanging="202"/>
              <w:rPr>
                <w:rFonts w:eastAsia="Times New Roman"/>
                <w:szCs w:val="26"/>
                <w:lang w:eastAsia="lv-LV"/>
              </w:rPr>
            </w:pPr>
            <w:r w:rsidRPr="00764418">
              <w:rPr>
                <w:rFonts w:eastAsia="Times New Roman"/>
                <w:szCs w:val="26"/>
                <w:lang w:eastAsia="lv-LV"/>
              </w:rPr>
              <w:t>Papildināt 3.</w:t>
            </w:r>
            <w:r w:rsidR="00343104">
              <w:rPr>
                <w:rFonts w:eastAsia="Times New Roman"/>
                <w:szCs w:val="26"/>
                <w:lang w:eastAsia="lv-LV"/>
              </w:rPr>
              <w:t> </w:t>
            </w:r>
            <w:r w:rsidRPr="00764418">
              <w:rPr>
                <w:rFonts w:eastAsia="Times New Roman"/>
                <w:szCs w:val="26"/>
                <w:lang w:eastAsia="lv-LV"/>
              </w:rPr>
              <w:t>punktu ar otro teikumu šādā redakcijā:</w:t>
            </w:r>
          </w:p>
          <w:p w14:paraId="1054DBC2" w14:textId="2BC6A8E8" w:rsidR="00092890" w:rsidRPr="00764418" w:rsidRDefault="00092890" w:rsidP="00015DCC">
            <w:pPr>
              <w:jc w:val="both"/>
              <w:rPr>
                <w:szCs w:val="26"/>
              </w:rPr>
            </w:pPr>
            <w:r w:rsidRPr="00764418">
              <w:rPr>
                <w:szCs w:val="26"/>
              </w:rPr>
              <w:t xml:space="preserve">“Ja atkritumiem nepiemīt </w:t>
            </w:r>
            <w:r w:rsidR="00343104">
              <w:rPr>
                <w:szCs w:val="26"/>
              </w:rPr>
              <w:t>neviena no viena no regulas Nr. </w:t>
            </w:r>
            <w:r w:rsidRPr="00764418">
              <w:rPr>
                <w:szCs w:val="26"/>
              </w:rPr>
              <w:t>1357/2014</w:t>
            </w:r>
            <w:r w:rsidR="00343104">
              <w:rPr>
                <w:szCs w:val="26"/>
              </w:rPr>
              <w:t>/ES</w:t>
            </w:r>
            <w:r w:rsidRPr="00764418">
              <w:rPr>
                <w:szCs w:val="26"/>
              </w:rPr>
              <w:t xml:space="preserve"> pielikumā minētajām īpašībām, tos uzskata par </w:t>
            </w:r>
            <w:r w:rsidR="00764418">
              <w:rPr>
                <w:szCs w:val="26"/>
              </w:rPr>
              <w:t>atkritumiem, kas nav bīstami</w:t>
            </w:r>
            <w:r w:rsidRPr="00764418">
              <w:rPr>
                <w:szCs w:val="26"/>
              </w:rPr>
              <w:t>.”</w:t>
            </w:r>
          </w:p>
          <w:p w14:paraId="227F534E" w14:textId="77777777" w:rsidR="00092890" w:rsidRDefault="00092890" w:rsidP="00092890">
            <w:pPr>
              <w:rPr>
                <w:b/>
              </w:rPr>
            </w:pPr>
          </w:p>
          <w:p w14:paraId="09ABA929" w14:textId="77777777" w:rsidR="00092890" w:rsidRDefault="00092890" w:rsidP="00092890">
            <w:pPr>
              <w:rPr>
                <w:b/>
              </w:rPr>
            </w:pPr>
          </w:p>
          <w:p w14:paraId="19854ADC" w14:textId="24557C46" w:rsidR="00B55FCB" w:rsidRDefault="00092890" w:rsidP="00092890">
            <w:pPr>
              <w:rPr>
                <w:b/>
              </w:rPr>
            </w:pPr>
            <w:r>
              <w:rPr>
                <w:b/>
              </w:rPr>
              <w:t>Noteikumu projekta anotācija</w:t>
            </w:r>
            <w:r w:rsidR="00343104">
              <w:rPr>
                <w:b/>
              </w:rPr>
              <w:t>s I </w:t>
            </w:r>
            <w:r w:rsidR="00B73885">
              <w:rPr>
                <w:b/>
              </w:rPr>
              <w:t>sadaļas 2.</w:t>
            </w:r>
            <w:r w:rsidR="00343104">
              <w:rPr>
                <w:b/>
              </w:rPr>
              <w:t> </w:t>
            </w:r>
            <w:r w:rsidR="00B73885">
              <w:rPr>
                <w:b/>
              </w:rPr>
              <w:t>punkts ir precizēts</w:t>
            </w:r>
            <w:r>
              <w:rPr>
                <w:b/>
              </w:rPr>
              <w:t xml:space="preserve"> šādā redakcijā: </w:t>
            </w:r>
          </w:p>
          <w:p w14:paraId="6C2453C8" w14:textId="029E9D8C" w:rsidR="00B73885" w:rsidRPr="00DF5371" w:rsidRDefault="00B73885" w:rsidP="00343104">
            <w:pPr>
              <w:pStyle w:val="tv213"/>
              <w:jc w:val="both"/>
              <w:rPr>
                <w:b/>
              </w:rPr>
            </w:pPr>
            <w:r>
              <w:rPr>
                <w:b/>
              </w:rPr>
              <w:t>“</w:t>
            </w:r>
            <w:r w:rsidRPr="00364C0C">
              <w:rPr>
                <w:b/>
              </w:rPr>
              <w:t>Vides aizsardzības un reģionālās attīstības ministrija (turpmāk – VARAM) izvērtēja iespēju definīciju “nebīstamie atkritumi” iekļaut Atkritumu apsaimniekošanas likumā. VARAM secināja, ka Atkritumu apsaimniekošanas likumā nav nevienas normas, kura attiektos uz nebīstamo atkritumu apsaimniekošanu. Atbilstoši Ministru kabineta 2009.</w:t>
            </w:r>
            <w:r w:rsidR="00343104">
              <w:rPr>
                <w:b/>
              </w:rPr>
              <w:t> </w:t>
            </w:r>
            <w:r w:rsidRPr="00364C0C">
              <w:rPr>
                <w:b/>
              </w:rPr>
              <w:t>gada 3.</w:t>
            </w:r>
            <w:r w:rsidR="00343104">
              <w:rPr>
                <w:b/>
              </w:rPr>
              <w:t> </w:t>
            </w:r>
            <w:r w:rsidRPr="00364C0C">
              <w:rPr>
                <w:b/>
              </w:rPr>
              <w:t>februāra noteikumu Nr.</w:t>
            </w:r>
            <w:r w:rsidR="00343104">
              <w:rPr>
                <w:b/>
              </w:rPr>
              <w:t> </w:t>
            </w:r>
            <w:r w:rsidRPr="00364C0C">
              <w:rPr>
                <w:b/>
              </w:rPr>
              <w:t>108 “Normatīvo aktu projektu sagatavošanas noteikumi” 38.</w:t>
            </w:r>
            <w:r w:rsidR="00343104">
              <w:rPr>
                <w:b/>
              </w:rPr>
              <w:t> </w:t>
            </w:r>
            <w:r w:rsidRPr="00364C0C">
              <w:rPr>
                <w:b/>
              </w:rPr>
              <w:t xml:space="preserve">punktam, likumprojektā terminus skaidro, </w:t>
            </w:r>
            <w:r w:rsidRPr="006123D6">
              <w:rPr>
                <w:b/>
              </w:rPr>
              <w:t>ja terminā izteiktajam jēdzienam ir īpaša nozīme likumprojek</w:t>
            </w:r>
            <w:r w:rsidRPr="00364C0C">
              <w:rPr>
                <w:b/>
              </w:rPr>
              <w:t>ta regulējamās nozares ietvaros, vai arī</w:t>
            </w:r>
            <w:r w:rsidRPr="006123D6">
              <w:rPr>
                <w:b/>
              </w:rPr>
              <w:t xml:space="preserve"> lai konkretizētu terminā izteiktā jēdziena izpratnes robežas.</w:t>
            </w:r>
            <w:r w:rsidRPr="00364C0C">
              <w:rPr>
                <w:b/>
              </w:rPr>
              <w:t xml:space="preserve"> VARAM ieskatā termiņam “nebīstamie atkritumi” ir īpaša nozīme attiecībā uz atkritumu bīstamības īpašībām, kuras ir no</w:t>
            </w:r>
            <w:r w:rsidR="00343104">
              <w:rPr>
                <w:b/>
              </w:rPr>
              <w:t>teiktas Eiropas Komisijas 2014. gada 18. decembra Regulas Nr. </w:t>
            </w:r>
            <w:r w:rsidRPr="00364C0C">
              <w:rPr>
                <w:b/>
              </w:rPr>
              <w:t>1357/2014</w:t>
            </w:r>
            <w:r w:rsidR="00343104">
              <w:rPr>
                <w:b/>
              </w:rPr>
              <w:t>/ES</w:t>
            </w:r>
            <w:r w:rsidRPr="00364C0C">
              <w:rPr>
                <w:b/>
              </w:rPr>
              <w:t>, ar ko aizstāj III pielikumu Eiropas Parlamenta un Padomes Direktīvai 2008/98/EK par atkritumiem un par dažu direktīvu atcelšanu.</w:t>
            </w:r>
            <w:r>
              <w:rPr>
                <w:b/>
              </w:rPr>
              <w:t>”</w:t>
            </w:r>
          </w:p>
        </w:tc>
      </w:tr>
      <w:tr w:rsidR="00B55FCB" w:rsidRPr="003E1F78" w14:paraId="479D2AC4" w14:textId="77777777" w:rsidTr="00343104">
        <w:tc>
          <w:tcPr>
            <w:tcW w:w="675" w:type="dxa"/>
            <w:tcBorders>
              <w:top w:val="single" w:sz="6" w:space="0" w:color="000000"/>
              <w:left w:val="single" w:sz="6" w:space="0" w:color="000000"/>
              <w:bottom w:val="single" w:sz="6" w:space="0" w:color="000000"/>
              <w:right w:val="single" w:sz="6" w:space="0" w:color="000000"/>
            </w:tcBorders>
          </w:tcPr>
          <w:p w14:paraId="7E4410AC" w14:textId="77777777" w:rsidR="00B55FCB" w:rsidRPr="003E1F78" w:rsidRDefault="00B55FCB" w:rsidP="00343104">
            <w:pPr>
              <w:pStyle w:val="naisc"/>
              <w:spacing w:before="0" w:after="0"/>
              <w:jc w:val="both"/>
              <w:rPr>
                <w:b/>
              </w:rPr>
            </w:pPr>
            <w:r>
              <w:rPr>
                <w:b/>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1440951E" w14:textId="77777777" w:rsidR="007F27A0" w:rsidRPr="00121B80" w:rsidRDefault="00121B80" w:rsidP="00121B80">
            <w:pPr>
              <w:pStyle w:val="ListParagraph"/>
              <w:widowControl/>
              <w:tabs>
                <w:tab w:val="left" w:pos="993"/>
              </w:tabs>
              <w:ind w:left="0"/>
              <w:jc w:val="left"/>
              <w:rPr>
                <w:szCs w:val="28"/>
              </w:rPr>
            </w:pPr>
            <w:r>
              <w:rPr>
                <w:szCs w:val="28"/>
              </w:rPr>
              <w:t>5.</w:t>
            </w:r>
            <w:r w:rsidR="007F27A0" w:rsidRPr="00121B80">
              <w:rPr>
                <w:szCs w:val="28"/>
              </w:rPr>
              <w:t>Aizstāt 6.1.apakšpunktā vārdus “parasti izmanto” ar vārdu “izmantos”;</w:t>
            </w:r>
          </w:p>
          <w:p w14:paraId="0CA5527A" w14:textId="77777777" w:rsidR="00B55FCB" w:rsidRPr="00CE33D2" w:rsidRDefault="00B55FCB" w:rsidP="00343104">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3D59DD19" w14:textId="77777777" w:rsidR="00B55FCB" w:rsidRDefault="00B55FCB" w:rsidP="00343104">
            <w:pPr>
              <w:pStyle w:val="naisc"/>
              <w:spacing w:before="0" w:after="0"/>
              <w:ind w:right="3"/>
              <w:jc w:val="both"/>
              <w:rPr>
                <w:b/>
              </w:rPr>
            </w:pPr>
            <w:r>
              <w:rPr>
                <w:b/>
              </w:rPr>
              <w:t>Tieslietu ministrija:</w:t>
            </w:r>
          </w:p>
          <w:p w14:paraId="3B83EC90" w14:textId="77777777" w:rsidR="00B55FCB" w:rsidRPr="007A22CC" w:rsidRDefault="00B55FCB" w:rsidP="007A22CC">
            <w:pPr>
              <w:tabs>
                <w:tab w:val="left" w:pos="709"/>
                <w:tab w:val="left" w:pos="851"/>
                <w:tab w:val="left" w:pos="993"/>
              </w:tabs>
              <w:jc w:val="both"/>
            </w:pPr>
            <w:r w:rsidRPr="007A22CC">
              <w:t>3.Lūdzam atkārtoti izvērtēt projekta 5. punktā izteiktā grozījuma 6.1. apakšpunktā atbilstību Direktīvas 6. panta 1. punkta “a” apakšpunktam, kas noteic, ka “</w:t>
            </w:r>
            <w:r w:rsidRPr="007A22CC">
              <w:rPr>
                <w:rFonts w:hint="eastAsia"/>
              </w:rPr>
              <w:t>viela vai priekšmets tiks izmantoti konkrētiem nolūkiem</w:t>
            </w:r>
            <w:r w:rsidRPr="007A22CC">
              <w:t>” (</w:t>
            </w:r>
            <w:r w:rsidRPr="007A22CC">
              <w:rPr>
                <w:i/>
                <w:iCs/>
              </w:rPr>
              <w:t>“</w:t>
            </w:r>
            <w:r w:rsidRPr="007A22CC">
              <w:rPr>
                <w:rFonts w:hint="eastAsia"/>
                <w:i/>
                <w:iCs/>
              </w:rPr>
              <w:t xml:space="preserve">the substance or object </w:t>
            </w:r>
            <w:r w:rsidRPr="007A22CC">
              <w:rPr>
                <w:rFonts w:hint="eastAsia"/>
                <w:i/>
                <w:iCs/>
                <w:u w:val="single"/>
              </w:rPr>
              <w:t>is to be used</w:t>
            </w:r>
            <w:r w:rsidRPr="007A22CC">
              <w:rPr>
                <w:rFonts w:hint="eastAsia"/>
                <w:i/>
                <w:iCs/>
              </w:rPr>
              <w:t xml:space="preserve"> for specific purposes</w:t>
            </w:r>
            <w:r w:rsidRPr="007A22CC">
              <w:rPr>
                <w:i/>
                <w:iCs/>
              </w:rPr>
              <w:t xml:space="preserve">” </w:t>
            </w:r>
            <w:r w:rsidRPr="007A22CC">
              <w:t>angļu val.). Tādējādi lūdzam izvērtēt iespēju aizstāt spēkā esošo noteikumu 6.1. apakšpunktā vārdus “parasti izmanto” ar vārdiem “paredzēts izmantot”.</w:t>
            </w:r>
          </w:p>
        </w:tc>
        <w:tc>
          <w:tcPr>
            <w:tcW w:w="2835" w:type="dxa"/>
            <w:tcBorders>
              <w:top w:val="single" w:sz="6" w:space="0" w:color="000000"/>
              <w:left w:val="single" w:sz="6" w:space="0" w:color="000000"/>
              <w:bottom w:val="single" w:sz="6" w:space="0" w:color="000000"/>
              <w:right w:val="single" w:sz="6" w:space="0" w:color="000000"/>
            </w:tcBorders>
            <w:vAlign w:val="center"/>
          </w:tcPr>
          <w:p w14:paraId="4F171A0B" w14:textId="77777777" w:rsidR="00B55FCB" w:rsidRPr="00DF5371" w:rsidRDefault="00121B80" w:rsidP="00343104">
            <w:pPr>
              <w:pStyle w:val="naisc"/>
              <w:spacing w:before="0" w:after="0"/>
              <w:ind w:firstLine="21"/>
              <w:jc w:val="both"/>
              <w:rPr>
                <w:b/>
              </w:rPr>
            </w:pPr>
            <w:r>
              <w:rPr>
                <w:b/>
              </w:rPr>
              <w:t>Iebildums ir ņemts vērā.</w:t>
            </w:r>
            <w:r w:rsidR="00587367">
              <w:rPr>
                <w:b/>
              </w:rPr>
              <w:t xml:space="preserve"> Izdarīto grozījumu rezultātā ir mainījusies noteikumu projekta punktu numerācija.</w:t>
            </w:r>
          </w:p>
        </w:tc>
        <w:tc>
          <w:tcPr>
            <w:tcW w:w="3686" w:type="dxa"/>
            <w:tcBorders>
              <w:top w:val="single" w:sz="4" w:space="0" w:color="auto"/>
              <w:left w:val="single" w:sz="4" w:space="0" w:color="auto"/>
              <w:bottom w:val="single" w:sz="4" w:space="0" w:color="auto"/>
            </w:tcBorders>
            <w:vAlign w:val="center"/>
          </w:tcPr>
          <w:p w14:paraId="60367F85" w14:textId="77777777" w:rsidR="00343104" w:rsidRDefault="00343104" w:rsidP="00121B80">
            <w:pPr>
              <w:pStyle w:val="ListParagraph"/>
              <w:widowControl/>
              <w:tabs>
                <w:tab w:val="left" w:pos="993"/>
              </w:tabs>
              <w:ind w:left="0"/>
              <w:rPr>
                <w:szCs w:val="28"/>
              </w:rPr>
            </w:pPr>
            <w:r>
              <w:rPr>
                <w:szCs w:val="28"/>
              </w:rPr>
              <w:t>3</w:t>
            </w:r>
            <w:r w:rsidR="00121B80">
              <w:rPr>
                <w:szCs w:val="28"/>
              </w:rPr>
              <w:t>.</w:t>
            </w:r>
            <w:r>
              <w:rPr>
                <w:szCs w:val="28"/>
              </w:rPr>
              <w:t> 6. punktā</w:t>
            </w:r>
          </w:p>
          <w:p w14:paraId="4CED123A" w14:textId="77777777" w:rsidR="00343104" w:rsidRDefault="00343104" w:rsidP="00121B80">
            <w:pPr>
              <w:pStyle w:val="ListParagraph"/>
              <w:widowControl/>
              <w:tabs>
                <w:tab w:val="left" w:pos="993"/>
              </w:tabs>
              <w:ind w:left="0"/>
              <w:rPr>
                <w:szCs w:val="28"/>
              </w:rPr>
            </w:pPr>
            <w:r>
              <w:rPr>
                <w:szCs w:val="28"/>
              </w:rPr>
              <w:t>[..]</w:t>
            </w:r>
          </w:p>
          <w:p w14:paraId="22198201" w14:textId="023EDA0A" w:rsidR="00B55FCB" w:rsidRPr="00343104" w:rsidRDefault="00121B80" w:rsidP="00343104">
            <w:pPr>
              <w:pStyle w:val="ListParagraph"/>
              <w:widowControl/>
              <w:tabs>
                <w:tab w:val="left" w:pos="993"/>
              </w:tabs>
              <w:ind w:left="0"/>
              <w:rPr>
                <w:szCs w:val="28"/>
              </w:rPr>
            </w:pPr>
            <w:r w:rsidRPr="00121B80">
              <w:rPr>
                <w:szCs w:val="28"/>
              </w:rPr>
              <w:t>Aizstāt 6.1.apakšpunktā vārdus “parasti izmanto” ar vārdu “paredzēts izmantot”;</w:t>
            </w:r>
          </w:p>
        </w:tc>
      </w:tr>
      <w:tr w:rsidR="00B55FCB" w:rsidRPr="003E1F78" w14:paraId="5533C83B" w14:textId="77777777" w:rsidTr="00343104">
        <w:tc>
          <w:tcPr>
            <w:tcW w:w="675" w:type="dxa"/>
            <w:tcBorders>
              <w:top w:val="single" w:sz="6" w:space="0" w:color="000000"/>
              <w:left w:val="single" w:sz="6" w:space="0" w:color="000000"/>
              <w:bottom w:val="single" w:sz="6" w:space="0" w:color="000000"/>
              <w:right w:val="single" w:sz="6" w:space="0" w:color="000000"/>
            </w:tcBorders>
          </w:tcPr>
          <w:p w14:paraId="737E8933" w14:textId="77777777" w:rsidR="00B55FCB" w:rsidRPr="003E1F78" w:rsidRDefault="00B55FCB" w:rsidP="00343104">
            <w:pPr>
              <w:pStyle w:val="naisc"/>
              <w:spacing w:before="0" w:after="0"/>
              <w:jc w:val="both"/>
              <w:rPr>
                <w:b/>
              </w:rPr>
            </w:pPr>
            <w:r>
              <w:rPr>
                <w:b/>
              </w:rPr>
              <w:t>4.</w:t>
            </w:r>
          </w:p>
        </w:tc>
        <w:tc>
          <w:tcPr>
            <w:tcW w:w="2977" w:type="dxa"/>
            <w:tcBorders>
              <w:top w:val="single" w:sz="6" w:space="0" w:color="000000"/>
              <w:left w:val="single" w:sz="6" w:space="0" w:color="000000"/>
              <w:bottom w:val="single" w:sz="6" w:space="0" w:color="000000"/>
              <w:right w:val="single" w:sz="6" w:space="0" w:color="000000"/>
            </w:tcBorders>
            <w:vAlign w:val="center"/>
          </w:tcPr>
          <w:p w14:paraId="58626E39" w14:textId="77777777" w:rsidR="007F27A0" w:rsidRPr="00121B80" w:rsidRDefault="007F27A0" w:rsidP="00121B80">
            <w:pPr>
              <w:pStyle w:val="ListParagraph"/>
              <w:numPr>
                <w:ilvl w:val="0"/>
                <w:numId w:val="15"/>
              </w:numPr>
              <w:tabs>
                <w:tab w:val="left" w:pos="993"/>
              </w:tabs>
              <w:ind w:left="0" w:firstLine="0"/>
              <w:rPr>
                <w:szCs w:val="24"/>
              </w:rPr>
            </w:pPr>
            <w:r w:rsidRPr="00121B80">
              <w:rPr>
                <w:szCs w:val="24"/>
              </w:rPr>
              <w:t>Papildināt noteikumus ar 7.</w:t>
            </w:r>
            <w:r w:rsidRPr="00121B80">
              <w:rPr>
                <w:szCs w:val="24"/>
                <w:vertAlign w:val="superscript"/>
              </w:rPr>
              <w:t>1</w:t>
            </w:r>
            <w:r w:rsidRPr="00121B80">
              <w:rPr>
                <w:szCs w:val="24"/>
              </w:rPr>
              <w:t xml:space="preserve"> punktu šādā redakcijā:</w:t>
            </w:r>
          </w:p>
          <w:p w14:paraId="532B74EC" w14:textId="77777777" w:rsidR="007F27A0" w:rsidRPr="00121B80" w:rsidRDefault="007F27A0" w:rsidP="00121B80">
            <w:pPr>
              <w:pStyle w:val="ListParagraph"/>
              <w:ind w:left="0"/>
              <w:rPr>
                <w:rFonts w:eastAsia="Times New Roman"/>
                <w:szCs w:val="24"/>
                <w:lang w:eastAsia="lv-LV"/>
              </w:rPr>
            </w:pPr>
            <w:r w:rsidRPr="00121B80">
              <w:rPr>
                <w:rFonts w:eastAsia="Times New Roman"/>
                <w:szCs w:val="24"/>
                <w:lang w:eastAsia="lv-LV"/>
              </w:rPr>
              <w:t>“7.</w:t>
            </w:r>
            <w:r w:rsidRPr="00121B80">
              <w:rPr>
                <w:rFonts w:eastAsia="Times New Roman"/>
                <w:szCs w:val="24"/>
                <w:vertAlign w:val="superscript"/>
                <w:lang w:eastAsia="lv-LV"/>
              </w:rPr>
              <w:t>1</w:t>
            </w:r>
            <w:r w:rsidRPr="00121B80">
              <w:rPr>
                <w:rFonts w:eastAsia="Times New Roman"/>
                <w:szCs w:val="24"/>
                <w:lang w:eastAsia="lv-LV"/>
              </w:rPr>
              <w:t xml:space="preserve"> Fiziska vai juridiska persona nodrošina, ka materiāls, kurš atbilst šo noteikumu 7.punktā minētajiem kritērijiem, atbilst arī normatīvo aktu prasībām par ķīmiskajām vielām un par preču un pakalpojumu drošību, ja fiziskā vai juridiskā persona pirmo reizi lieto materiālu, kas atbilst šo noteikumu 7.punktā minētajiem kritērijiem, un materiāls nav laists tirgū, vai arī pirmo reizi laiž tirgū materiālu, kas atbilst šo noteikumu 7.punktā minētajiem kritērijiem.”</w:t>
            </w:r>
          </w:p>
          <w:p w14:paraId="45315102" w14:textId="77777777" w:rsidR="00B55FCB" w:rsidRPr="00CE33D2" w:rsidRDefault="00B55FCB" w:rsidP="00343104">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0FFD9A50" w14:textId="77777777" w:rsidR="00B55FCB" w:rsidRDefault="00B55FCB" w:rsidP="00343104">
            <w:pPr>
              <w:pStyle w:val="naisc"/>
              <w:spacing w:before="0" w:after="0"/>
              <w:ind w:right="3"/>
              <w:jc w:val="both"/>
              <w:rPr>
                <w:b/>
              </w:rPr>
            </w:pPr>
            <w:r>
              <w:rPr>
                <w:b/>
              </w:rPr>
              <w:t>Tieslietu ministrija:</w:t>
            </w:r>
          </w:p>
          <w:p w14:paraId="0F15A7B6" w14:textId="77777777" w:rsidR="00B55FCB" w:rsidRPr="007A22CC" w:rsidRDefault="00B55FCB" w:rsidP="007A22CC">
            <w:pPr>
              <w:tabs>
                <w:tab w:val="left" w:pos="709"/>
                <w:tab w:val="left" w:pos="851"/>
                <w:tab w:val="left" w:pos="993"/>
              </w:tabs>
              <w:jc w:val="both"/>
            </w:pPr>
            <w:r w:rsidRPr="007A22CC">
              <w:t>4.Lūdzam skaidrot, vai projektā vai spēkā esošajos noteikumos ir pārņemta arī Direktīvas 6. panta 5. punkta pēdējā teikumā noteiktā prasība: “</w:t>
            </w:r>
            <w:r w:rsidRPr="007A22CC">
              <w:rPr>
                <w:rFonts w:hint="eastAsia"/>
              </w:rPr>
              <w:t>Nosacījumi, kas paredzēti 1. punktā, ir jāizpilda pirms materiālam, kas vairs nav atkritumi, ir piemērojami tiesību akti ķimikāliju un produktu jomā.</w:t>
            </w:r>
            <w:r w:rsidRPr="007A22CC">
              <w:t>”</w:t>
            </w:r>
          </w:p>
          <w:p w14:paraId="4CCFB0E1" w14:textId="77777777" w:rsidR="00B55FCB" w:rsidRPr="007A22CC" w:rsidRDefault="00B55FCB" w:rsidP="007A22CC">
            <w:pPr>
              <w:pStyle w:val="ListParagraph"/>
              <w:tabs>
                <w:tab w:val="left" w:pos="851"/>
                <w:tab w:val="left" w:pos="993"/>
              </w:tabs>
              <w:ind w:left="0" w:firstLine="709"/>
              <w:rPr>
                <w:szCs w:val="24"/>
              </w:rPr>
            </w:pPr>
            <w:r w:rsidRPr="007A22CC">
              <w:rPr>
                <w:szCs w:val="24"/>
              </w:rPr>
              <w:t>Vienlaikus lūdzam atkārtoti izvērtēt jēdziena “materiāls” lietojumu projekta 6. punktā izteiktajā 7.</w:t>
            </w:r>
            <w:r w:rsidRPr="007A22CC">
              <w:rPr>
                <w:szCs w:val="24"/>
                <w:vertAlign w:val="superscript"/>
              </w:rPr>
              <w:t>1</w:t>
            </w:r>
            <w:r w:rsidRPr="007A22CC">
              <w:rPr>
                <w:szCs w:val="24"/>
              </w:rPr>
              <w:t xml:space="preserve"> punktā, kurā ir pārņemtas Direktīvas 6. panta 5. punkta prasības. </w:t>
            </w:r>
            <w:r w:rsidR="00121B80">
              <w:rPr>
                <w:szCs w:val="24"/>
              </w:rPr>
              <w:t xml:space="preserve"> </w:t>
            </w:r>
            <w:r w:rsidRPr="007A22CC">
              <w:rPr>
                <w:szCs w:val="24"/>
              </w:rPr>
              <w:t>Lūdzam skaidrot minētā jēdziena “materiāls” nozīmi, ņemot vērā, ka tas nav skaidrots spēkā esošajos noteikumos.</w:t>
            </w:r>
          </w:p>
          <w:p w14:paraId="56C197AE" w14:textId="77777777" w:rsidR="00B55FCB" w:rsidRPr="007A22CC" w:rsidRDefault="00B55FCB" w:rsidP="007A22CC">
            <w:pPr>
              <w:pStyle w:val="ListParagraph"/>
              <w:tabs>
                <w:tab w:val="left" w:pos="851"/>
                <w:tab w:val="left" w:pos="993"/>
              </w:tabs>
              <w:ind w:left="0" w:firstLine="709"/>
              <w:rPr>
                <w:szCs w:val="24"/>
              </w:rPr>
            </w:pPr>
            <w:r w:rsidRPr="007A22CC">
              <w:rPr>
                <w:szCs w:val="24"/>
              </w:rPr>
              <w:t>Lūdzam arī atkārtoti izvērtēt un izteikt, ja iespējams, minēto 7.</w:t>
            </w:r>
            <w:r w:rsidRPr="007A22CC">
              <w:rPr>
                <w:szCs w:val="24"/>
                <w:vertAlign w:val="superscript"/>
              </w:rPr>
              <w:t>1</w:t>
            </w:r>
            <w:r w:rsidRPr="007A22CC">
              <w:rPr>
                <w:szCs w:val="24"/>
              </w:rPr>
              <w:t xml:space="preserve"> punkta redakciju viennozīmīgi un skaidri uztveramu tiesību normas piemērotājam, sadalot to apakšpunktos. </w:t>
            </w:r>
          </w:p>
        </w:tc>
        <w:tc>
          <w:tcPr>
            <w:tcW w:w="2835" w:type="dxa"/>
            <w:tcBorders>
              <w:top w:val="single" w:sz="6" w:space="0" w:color="000000"/>
              <w:left w:val="single" w:sz="6" w:space="0" w:color="000000"/>
              <w:bottom w:val="single" w:sz="6" w:space="0" w:color="000000"/>
              <w:right w:val="single" w:sz="6" w:space="0" w:color="000000"/>
            </w:tcBorders>
            <w:vAlign w:val="center"/>
          </w:tcPr>
          <w:p w14:paraId="5BE4D649" w14:textId="77777777" w:rsidR="00B55FCB" w:rsidRPr="00DF5371" w:rsidRDefault="00121B80" w:rsidP="00343104">
            <w:pPr>
              <w:pStyle w:val="naisc"/>
              <w:spacing w:before="0" w:after="0"/>
              <w:ind w:firstLine="21"/>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vAlign w:val="center"/>
          </w:tcPr>
          <w:p w14:paraId="74FD93D2" w14:textId="0B254152" w:rsidR="009C4CBA" w:rsidRPr="009C4CBA" w:rsidRDefault="009C4CBA" w:rsidP="009C4CBA">
            <w:pPr>
              <w:tabs>
                <w:tab w:val="left" w:pos="993"/>
              </w:tabs>
              <w:rPr>
                <w:szCs w:val="28"/>
              </w:rPr>
            </w:pPr>
            <w:r w:rsidRPr="009C4CBA">
              <w:rPr>
                <w:szCs w:val="28"/>
              </w:rPr>
              <w:t>5.</w:t>
            </w:r>
            <w:r w:rsidR="00343104">
              <w:rPr>
                <w:szCs w:val="28"/>
              </w:rPr>
              <w:t> </w:t>
            </w:r>
            <w:r w:rsidRPr="009C4CBA">
              <w:rPr>
                <w:szCs w:val="28"/>
              </w:rPr>
              <w:t>Papildināt noteikumus ar 7.</w:t>
            </w:r>
            <w:r w:rsidRPr="009C4CBA">
              <w:rPr>
                <w:szCs w:val="28"/>
                <w:vertAlign w:val="superscript"/>
              </w:rPr>
              <w:t>1</w:t>
            </w:r>
            <w:r w:rsidR="00343104">
              <w:rPr>
                <w:szCs w:val="28"/>
              </w:rPr>
              <w:t> </w:t>
            </w:r>
            <w:r w:rsidRPr="009C4CBA">
              <w:rPr>
                <w:szCs w:val="28"/>
              </w:rPr>
              <w:t>punktu šādā redakcijā:</w:t>
            </w:r>
          </w:p>
          <w:p w14:paraId="3F1CCF4F" w14:textId="5C8A7D66" w:rsidR="009C4CBA" w:rsidRPr="009C4CBA" w:rsidRDefault="009C4CBA" w:rsidP="009C4CBA">
            <w:pPr>
              <w:pStyle w:val="ListParagraph"/>
              <w:ind w:left="0" w:firstLine="720"/>
              <w:rPr>
                <w:rFonts w:eastAsia="Times New Roman"/>
                <w:b/>
                <w:szCs w:val="28"/>
                <w:lang w:eastAsia="lv-LV"/>
              </w:rPr>
            </w:pPr>
            <w:r w:rsidRPr="009C4CBA">
              <w:rPr>
                <w:rFonts w:eastAsia="Times New Roman"/>
                <w:szCs w:val="28"/>
                <w:lang w:eastAsia="lv-LV"/>
              </w:rPr>
              <w:t>“7.</w:t>
            </w:r>
            <w:r w:rsidRPr="009C4CBA">
              <w:rPr>
                <w:rFonts w:eastAsia="Times New Roman"/>
                <w:szCs w:val="28"/>
                <w:vertAlign w:val="superscript"/>
                <w:lang w:eastAsia="lv-LV"/>
              </w:rPr>
              <w:t>1</w:t>
            </w:r>
            <w:r w:rsidR="00343104">
              <w:rPr>
                <w:rFonts w:eastAsia="Times New Roman"/>
                <w:szCs w:val="28"/>
                <w:lang w:eastAsia="lv-LV"/>
              </w:rPr>
              <w:t> </w:t>
            </w:r>
            <w:r w:rsidRPr="009C4CBA">
              <w:rPr>
                <w:rFonts w:eastAsia="Times New Roman"/>
                <w:szCs w:val="28"/>
                <w:lang w:eastAsia="lv-LV"/>
              </w:rPr>
              <w:t xml:space="preserve">Fiziska vai juridiska persona nodrošina, ka </w:t>
            </w:r>
            <w:r w:rsidRPr="009C4CBA">
              <w:rPr>
                <w:rFonts w:eastAsia="Times New Roman"/>
                <w:b/>
                <w:szCs w:val="28"/>
                <w:lang w:eastAsia="lv-LV"/>
              </w:rPr>
              <w:t>viela vai priekšmets</w:t>
            </w:r>
            <w:r w:rsidRPr="009C4CBA">
              <w:rPr>
                <w:rFonts w:eastAsia="Times New Roman"/>
                <w:szCs w:val="28"/>
                <w:lang w:eastAsia="lv-LV"/>
              </w:rPr>
              <w:t>, kurš atbilst šo noteikumu 7.</w:t>
            </w:r>
            <w:r w:rsidR="00343104">
              <w:rPr>
                <w:rFonts w:eastAsia="Times New Roman"/>
                <w:szCs w:val="28"/>
                <w:lang w:eastAsia="lv-LV"/>
              </w:rPr>
              <w:t> </w:t>
            </w:r>
            <w:r w:rsidRPr="009C4CBA">
              <w:rPr>
                <w:rFonts w:eastAsia="Times New Roman"/>
                <w:szCs w:val="28"/>
                <w:lang w:eastAsia="lv-LV"/>
              </w:rPr>
              <w:t xml:space="preserve">punktā minētajiem kritērijiem, atbilst arī normatīvo aktu prasībām par ķīmiskajām vielām un par preču un pakalpojumu drošību, </w:t>
            </w:r>
            <w:r w:rsidRPr="009C4CBA">
              <w:rPr>
                <w:rFonts w:eastAsia="Times New Roman"/>
                <w:b/>
                <w:szCs w:val="28"/>
                <w:lang w:eastAsia="lv-LV"/>
              </w:rPr>
              <w:t>ja fiziskā vai juridiskā persona:</w:t>
            </w:r>
          </w:p>
          <w:p w14:paraId="4F49D274" w14:textId="09B39B72" w:rsidR="009C4CBA" w:rsidRPr="009C4CBA" w:rsidRDefault="009C4CBA" w:rsidP="009C4CBA">
            <w:pPr>
              <w:pStyle w:val="ListParagraph"/>
              <w:ind w:left="0" w:firstLine="720"/>
              <w:rPr>
                <w:rFonts w:eastAsia="Times New Roman"/>
                <w:b/>
                <w:szCs w:val="28"/>
                <w:lang w:eastAsia="lv-LV"/>
              </w:rPr>
            </w:pPr>
            <w:r w:rsidRPr="009C4CBA">
              <w:rPr>
                <w:rFonts w:eastAsia="Times New Roman"/>
                <w:b/>
                <w:szCs w:val="28"/>
                <w:lang w:eastAsia="lv-LV"/>
              </w:rPr>
              <w:t>7</w:t>
            </w:r>
            <w:r w:rsidRPr="009C4CBA">
              <w:rPr>
                <w:rFonts w:eastAsia="Times New Roman"/>
                <w:b/>
                <w:szCs w:val="28"/>
                <w:vertAlign w:val="superscript"/>
                <w:lang w:eastAsia="lv-LV"/>
              </w:rPr>
              <w:t>1</w:t>
            </w:r>
            <w:r w:rsidR="00343104">
              <w:rPr>
                <w:rFonts w:eastAsia="Times New Roman"/>
                <w:b/>
                <w:szCs w:val="28"/>
                <w:lang w:eastAsia="lv-LV"/>
              </w:rPr>
              <w:t>.1. </w:t>
            </w:r>
            <w:r w:rsidRPr="009C4CBA">
              <w:rPr>
                <w:rFonts w:eastAsia="Times New Roman"/>
                <w:b/>
                <w:szCs w:val="28"/>
                <w:lang w:eastAsia="lv-LV"/>
              </w:rPr>
              <w:t>pirmo reizi lieto vielu vai priekšmetu, kas atbilst šo noteikumu 7.</w:t>
            </w:r>
            <w:r w:rsidR="00343104">
              <w:rPr>
                <w:rFonts w:eastAsia="Times New Roman"/>
                <w:b/>
                <w:szCs w:val="28"/>
                <w:lang w:eastAsia="lv-LV"/>
              </w:rPr>
              <w:t> </w:t>
            </w:r>
            <w:r w:rsidRPr="009C4CBA">
              <w:rPr>
                <w:rFonts w:eastAsia="Times New Roman"/>
                <w:b/>
                <w:szCs w:val="28"/>
                <w:lang w:eastAsia="lv-LV"/>
              </w:rPr>
              <w:t>punktā minētajiem kritēr</w:t>
            </w:r>
            <w:r w:rsidR="00343104">
              <w:rPr>
                <w:rFonts w:eastAsia="Times New Roman"/>
                <w:b/>
                <w:szCs w:val="28"/>
                <w:lang w:eastAsia="lv-LV"/>
              </w:rPr>
              <w:t xml:space="preserve">ijiem, un viela vai priekšmets </w:t>
            </w:r>
            <w:r w:rsidRPr="009C4CBA">
              <w:rPr>
                <w:rFonts w:eastAsia="Times New Roman"/>
                <w:b/>
                <w:szCs w:val="28"/>
                <w:lang w:eastAsia="lv-LV"/>
              </w:rPr>
              <w:t>nav laists tirgū;</w:t>
            </w:r>
          </w:p>
          <w:p w14:paraId="5E1B944A" w14:textId="20B644A8" w:rsidR="009C4CBA" w:rsidRDefault="009C4CBA" w:rsidP="009C4CBA">
            <w:pPr>
              <w:pStyle w:val="ListParagraph"/>
              <w:ind w:left="0" w:firstLine="720"/>
              <w:rPr>
                <w:rFonts w:eastAsia="Times New Roman"/>
                <w:b/>
                <w:szCs w:val="28"/>
                <w:lang w:eastAsia="lv-LV"/>
              </w:rPr>
            </w:pPr>
            <w:r w:rsidRPr="009C4CBA">
              <w:rPr>
                <w:rFonts w:eastAsia="Times New Roman"/>
                <w:b/>
                <w:szCs w:val="28"/>
                <w:lang w:eastAsia="lv-LV"/>
              </w:rPr>
              <w:t>7</w:t>
            </w:r>
            <w:r w:rsidRPr="009C4CBA">
              <w:rPr>
                <w:rFonts w:eastAsia="Times New Roman"/>
                <w:b/>
                <w:szCs w:val="28"/>
                <w:vertAlign w:val="superscript"/>
                <w:lang w:eastAsia="lv-LV"/>
              </w:rPr>
              <w:t>1</w:t>
            </w:r>
            <w:r w:rsidR="00343104">
              <w:rPr>
                <w:rFonts w:eastAsia="Times New Roman"/>
                <w:b/>
                <w:szCs w:val="28"/>
                <w:lang w:eastAsia="lv-LV"/>
              </w:rPr>
              <w:t>.2. </w:t>
            </w:r>
            <w:r w:rsidRPr="009C4CBA">
              <w:rPr>
                <w:rFonts w:eastAsia="Times New Roman"/>
                <w:b/>
                <w:szCs w:val="28"/>
                <w:lang w:eastAsia="lv-LV"/>
              </w:rPr>
              <w:t>pirmo reizi laiž tirgū vielu vai priekšmetu, kas atbilst šo noteikumu 7.</w:t>
            </w:r>
            <w:r w:rsidR="00343104">
              <w:rPr>
                <w:rFonts w:eastAsia="Times New Roman"/>
                <w:b/>
                <w:szCs w:val="28"/>
                <w:lang w:eastAsia="lv-LV"/>
              </w:rPr>
              <w:t> </w:t>
            </w:r>
            <w:r w:rsidRPr="009C4CBA">
              <w:rPr>
                <w:rFonts w:eastAsia="Times New Roman"/>
                <w:b/>
                <w:szCs w:val="28"/>
                <w:lang w:eastAsia="lv-LV"/>
              </w:rPr>
              <w:t>punktā minētajiem kritērijiem.”</w:t>
            </w:r>
          </w:p>
          <w:p w14:paraId="6314C727" w14:textId="198BF4BA" w:rsidR="009C4CBA" w:rsidRDefault="00343104" w:rsidP="009C4CBA">
            <w:pPr>
              <w:rPr>
                <w:b/>
                <w:szCs w:val="28"/>
              </w:rPr>
            </w:pPr>
            <w:r>
              <w:rPr>
                <w:b/>
                <w:szCs w:val="28"/>
              </w:rPr>
              <w:t>Noteikumu projekta anotācijas I </w:t>
            </w:r>
            <w:r w:rsidR="009C4CBA">
              <w:rPr>
                <w:b/>
                <w:szCs w:val="28"/>
              </w:rPr>
              <w:t>sadaļas 2.</w:t>
            </w:r>
            <w:r>
              <w:rPr>
                <w:b/>
                <w:szCs w:val="28"/>
              </w:rPr>
              <w:t> </w:t>
            </w:r>
            <w:r w:rsidR="009C4CBA">
              <w:rPr>
                <w:b/>
                <w:szCs w:val="28"/>
              </w:rPr>
              <w:t>punkts ir papildināts šādā redakcijā:</w:t>
            </w:r>
          </w:p>
          <w:p w14:paraId="2F290F11" w14:textId="3556D107" w:rsidR="00B55FCB" w:rsidRPr="009C4CBA" w:rsidRDefault="009C4CBA" w:rsidP="009C4CBA">
            <w:pPr>
              <w:jc w:val="both"/>
              <w:rPr>
                <w:b/>
                <w:szCs w:val="28"/>
              </w:rPr>
            </w:pPr>
            <w:r>
              <w:rPr>
                <w:b/>
                <w:szCs w:val="28"/>
              </w:rPr>
              <w:t>“</w:t>
            </w:r>
            <w:r w:rsidRPr="00202AAA">
              <w:rPr>
                <w:b/>
                <w:szCs w:val="28"/>
              </w:rPr>
              <w:t xml:space="preserve">Kā izriet no Direktīvas 2018/851/ES </w:t>
            </w:r>
            <w:r w:rsidRPr="00343104">
              <w:rPr>
                <w:b/>
                <w:szCs w:val="28"/>
              </w:rPr>
              <w:t>1.</w:t>
            </w:r>
            <w:r w:rsidR="00343104">
              <w:rPr>
                <w:b/>
                <w:szCs w:val="28"/>
              </w:rPr>
              <w:t> </w:t>
            </w:r>
            <w:r w:rsidRPr="00343104">
              <w:rPr>
                <w:b/>
                <w:szCs w:val="28"/>
              </w:rPr>
              <w:t>panta 6.</w:t>
            </w:r>
            <w:r w:rsidR="00343104">
              <w:rPr>
                <w:b/>
                <w:szCs w:val="28"/>
              </w:rPr>
              <w:t> </w:t>
            </w:r>
            <w:r w:rsidRPr="00343104">
              <w:rPr>
                <w:b/>
                <w:szCs w:val="28"/>
              </w:rPr>
              <w:t xml:space="preserve">punkta </w:t>
            </w:r>
            <w:r w:rsidR="00343104">
              <w:rPr>
                <w:b/>
                <w:szCs w:val="28"/>
              </w:rPr>
              <w:t>“c”</w:t>
            </w:r>
            <w:r w:rsidRPr="00343104">
              <w:rPr>
                <w:b/>
                <w:szCs w:val="28"/>
              </w:rPr>
              <w:t xml:space="preserve"> punkta (Direktīvas 2008/98/EK 6.</w:t>
            </w:r>
            <w:r w:rsidR="00343104">
              <w:rPr>
                <w:b/>
                <w:szCs w:val="28"/>
              </w:rPr>
              <w:t> </w:t>
            </w:r>
            <w:r w:rsidRPr="00343104">
              <w:rPr>
                <w:b/>
                <w:szCs w:val="28"/>
              </w:rPr>
              <w:t>panta 5.</w:t>
            </w:r>
            <w:r w:rsidR="00343104">
              <w:rPr>
                <w:b/>
                <w:szCs w:val="28"/>
              </w:rPr>
              <w:t> </w:t>
            </w:r>
            <w:r w:rsidRPr="00343104">
              <w:rPr>
                <w:b/>
                <w:szCs w:val="28"/>
              </w:rPr>
              <w:t xml:space="preserve">punkts), </w:t>
            </w:r>
            <w:r w:rsidRPr="00202AAA">
              <w:rPr>
                <w:b/>
              </w:rPr>
              <w:t xml:space="preserve">fiziska vai juridiska persona, kas </w:t>
            </w:r>
            <w:r w:rsidRPr="002664A6">
              <w:rPr>
                <w:b/>
              </w:rPr>
              <w:t>pirmo reizi izmanto, materiālu, kas vairs nav atkritumi un kas nav laists tirgū</w:t>
            </w:r>
            <w:r w:rsidRPr="00202AAA">
              <w:rPr>
                <w:b/>
              </w:rPr>
              <w:t xml:space="preserve"> vai </w:t>
            </w:r>
            <w:r w:rsidRPr="002664A6">
              <w:rPr>
                <w:b/>
              </w:rPr>
              <w:t>pirmoreiz laiž tirgū materiālu pēc tam, kad tas vairs nav atkritumi,</w:t>
            </w:r>
            <w:r w:rsidRPr="00202AAA">
              <w:rPr>
                <w:b/>
              </w:rPr>
              <w:t xml:space="preserve"> </w:t>
            </w:r>
            <w:r w:rsidRPr="002664A6">
              <w:rPr>
                <w:b/>
              </w:rPr>
              <w:t>nodrošina, ka materiāls atbilst attiecīgajām prasībām saskaņā ar piemērojamajiem tiesību aktiem ķimikāliju un produktu jomā. Nosacījumi, kas paredzēti</w:t>
            </w:r>
            <w:r w:rsidRPr="00202AAA">
              <w:rPr>
                <w:b/>
              </w:rPr>
              <w:t xml:space="preserve"> Direktīvas 2008/98/EK</w:t>
            </w:r>
            <w:r w:rsidRPr="002664A6">
              <w:rPr>
                <w:b/>
              </w:rPr>
              <w:t xml:space="preserve"> </w:t>
            </w:r>
            <w:r w:rsidRPr="00202AAA">
              <w:rPr>
                <w:b/>
              </w:rPr>
              <w:t>6.</w:t>
            </w:r>
            <w:r w:rsidR="00343104">
              <w:rPr>
                <w:b/>
                <w:szCs w:val="28"/>
              </w:rPr>
              <w:t> </w:t>
            </w:r>
            <w:r w:rsidRPr="00202AAA">
              <w:rPr>
                <w:b/>
              </w:rPr>
              <w:t xml:space="preserve">panta </w:t>
            </w:r>
            <w:r w:rsidR="00343104" w:rsidRPr="002664A6">
              <w:rPr>
                <w:b/>
              </w:rPr>
              <w:t>1.</w:t>
            </w:r>
            <w:r w:rsidR="00343104">
              <w:rPr>
                <w:b/>
                <w:szCs w:val="28"/>
              </w:rPr>
              <w:t> </w:t>
            </w:r>
            <w:r w:rsidRPr="002664A6">
              <w:rPr>
                <w:b/>
              </w:rPr>
              <w:t>punktā, ir jāizpilda pirms materiālam, kas vairs nav atkritumi, ir piemērojami tiesību akti ķimikāliju un produktu jomā.</w:t>
            </w:r>
            <w:r w:rsidRPr="00202AAA">
              <w:rPr>
                <w:b/>
              </w:rPr>
              <w:t xml:space="preserve"> Tādejādi var secināt, ka attiecīgās fiziskās un juridiskās personas vispirms nodrošina, ka materiāli vairs nav atkritumi atbilstoši Direktīvas 2008/98/EK 6.</w:t>
            </w:r>
            <w:r w:rsidR="00343104">
              <w:rPr>
                <w:b/>
                <w:szCs w:val="28"/>
              </w:rPr>
              <w:t> </w:t>
            </w:r>
            <w:r w:rsidRPr="00202AAA">
              <w:rPr>
                <w:b/>
              </w:rPr>
              <w:t>panta 1.</w:t>
            </w:r>
            <w:r w:rsidR="00343104">
              <w:rPr>
                <w:b/>
              </w:rPr>
              <w:t> </w:t>
            </w:r>
            <w:bookmarkStart w:id="0" w:name="_GoBack"/>
            <w:bookmarkEnd w:id="0"/>
            <w:r w:rsidRPr="00202AAA">
              <w:rPr>
                <w:b/>
              </w:rPr>
              <w:t xml:space="preserve">punktā noteiktajiem kritērijiem, kad vielu vai priekšmetu vairs neklasificē kā atkritumus. Ja šāda atbilstība tiek noteikta, minētās fiziskās un juridiskās personas arī nodrošina, ka minētie materiāli atbilst </w:t>
            </w:r>
            <w:r w:rsidRPr="002664A6">
              <w:rPr>
                <w:b/>
              </w:rPr>
              <w:t>piemērojamajiem tiesību aktiem ķimikāliju un produktu jomā</w:t>
            </w:r>
            <w:r w:rsidRPr="00202AAA">
              <w:rPr>
                <w:b/>
              </w:rPr>
              <w:t>.</w:t>
            </w:r>
            <w:r>
              <w:rPr>
                <w:b/>
              </w:rPr>
              <w:t>”</w:t>
            </w:r>
          </w:p>
        </w:tc>
      </w:tr>
      <w:tr w:rsidR="00B55FCB" w:rsidRPr="003E1F78" w14:paraId="0DE2E465" w14:textId="77777777" w:rsidTr="00343104">
        <w:tc>
          <w:tcPr>
            <w:tcW w:w="675" w:type="dxa"/>
            <w:tcBorders>
              <w:top w:val="single" w:sz="6" w:space="0" w:color="000000"/>
              <w:left w:val="single" w:sz="6" w:space="0" w:color="000000"/>
              <w:bottom w:val="single" w:sz="6" w:space="0" w:color="000000"/>
              <w:right w:val="single" w:sz="6" w:space="0" w:color="000000"/>
            </w:tcBorders>
          </w:tcPr>
          <w:p w14:paraId="3E955D18" w14:textId="77777777" w:rsidR="00B55FCB" w:rsidRPr="003E1F78" w:rsidRDefault="00B55FCB" w:rsidP="00343104">
            <w:pPr>
              <w:pStyle w:val="naisc"/>
              <w:spacing w:before="0" w:after="0"/>
              <w:jc w:val="both"/>
              <w:rPr>
                <w:b/>
              </w:rPr>
            </w:pPr>
            <w:r>
              <w:rPr>
                <w:b/>
              </w:rPr>
              <w:t>5.</w:t>
            </w:r>
          </w:p>
        </w:tc>
        <w:tc>
          <w:tcPr>
            <w:tcW w:w="2977" w:type="dxa"/>
            <w:tcBorders>
              <w:top w:val="single" w:sz="6" w:space="0" w:color="000000"/>
              <w:left w:val="single" w:sz="6" w:space="0" w:color="000000"/>
              <w:bottom w:val="single" w:sz="6" w:space="0" w:color="000000"/>
              <w:right w:val="single" w:sz="6" w:space="0" w:color="000000"/>
            </w:tcBorders>
            <w:vAlign w:val="center"/>
          </w:tcPr>
          <w:p w14:paraId="03213D83" w14:textId="77777777" w:rsidR="00B55FCB" w:rsidRPr="00CE33D2" w:rsidRDefault="00B55FCB" w:rsidP="00343104">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2D416B43" w14:textId="77777777" w:rsidR="00B55FCB" w:rsidRPr="007A22CC" w:rsidRDefault="00B55FCB" w:rsidP="00343104">
            <w:pPr>
              <w:pStyle w:val="naisc"/>
              <w:spacing w:before="0" w:after="0"/>
              <w:ind w:right="3"/>
              <w:jc w:val="both"/>
              <w:rPr>
                <w:b/>
              </w:rPr>
            </w:pPr>
            <w:r w:rsidRPr="007A22CC">
              <w:rPr>
                <w:b/>
              </w:rPr>
              <w:t>Tieslietu ministrija:</w:t>
            </w:r>
          </w:p>
          <w:p w14:paraId="41BCA450" w14:textId="77777777" w:rsidR="00B55FCB" w:rsidRPr="007A22CC" w:rsidRDefault="007A22CC" w:rsidP="007A22CC">
            <w:pPr>
              <w:tabs>
                <w:tab w:val="left" w:pos="709"/>
                <w:tab w:val="left" w:pos="851"/>
                <w:tab w:val="left" w:pos="993"/>
              </w:tabs>
              <w:jc w:val="both"/>
              <w:rPr>
                <w:sz w:val="28"/>
                <w:szCs w:val="26"/>
              </w:rPr>
            </w:pPr>
            <w:r>
              <w:t>5.</w:t>
            </w:r>
            <w:r w:rsidR="00B55FCB" w:rsidRPr="007A22CC">
              <w:t>Projekta anotācijas V sadaļas 1. tabulā norādīts, ka Latvija nav izvēlējusies izmantot Direktīvas 6. panta 3. punktā un 6. panta 4. punktā paredzēto rīcības brīvību dalībvalstij. Lūdzam projekta anotācijas V sadaļas 1. tabulā norādīt pamatojumu, kādēļ nav izmantota Direktīvā paredzētā rīcības brīvība atbilstoši instrukcijas 56.5. apakšpunktam.</w:t>
            </w:r>
            <w:r w:rsidR="00B55FCB" w:rsidRPr="007A22CC">
              <w:rPr>
                <w:sz w:val="28"/>
                <w:szCs w:val="26"/>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14:paraId="7CF859AA" w14:textId="77777777" w:rsidR="00B55FCB" w:rsidRPr="00DF5371" w:rsidRDefault="009C4CBA" w:rsidP="00343104">
            <w:pPr>
              <w:pStyle w:val="naisc"/>
              <w:spacing w:before="0" w:after="0"/>
              <w:ind w:firstLine="21"/>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vAlign w:val="center"/>
          </w:tcPr>
          <w:p w14:paraId="5E94CF55" w14:textId="18816F2C" w:rsidR="00B55FCB" w:rsidRPr="00DF5371" w:rsidRDefault="00092BA8" w:rsidP="00343104">
            <w:pPr>
              <w:jc w:val="both"/>
              <w:rPr>
                <w:b/>
              </w:rPr>
            </w:pPr>
            <w:r>
              <w:rPr>
                <w:b/>
              </w:rPr>
              <w:t>Precizēta noteikumu projekta anotācijas V sadaļas 1.</w:t>
            </w:r>
            <w:r w:rsidR="00343104">
              <w:rPr>
                <w:b/>
              </w:rPr>
              <w:t> </w:t>
            </w:r>
            <w:r>
              <w:rPr>
                <w:b/>
              </w:rPr>
              <w:t xml:space="preserve">tabula. </w:t>
            </w:r>
          </w:p>
        </w:tc>
      </w:tr>
    </w:tbl>
    <w:p w14:paraId="5460BB7A" w14:textId="77777777" w:rsidR="0059243D" w:rsidRDefault="0059243D"/>
    <w:p w14:paraId="1E05076C" w14:textId="77777777" w:rsidR="0053377D" w:rsidRDefault="0053377D"/>
    <w:p w14:paraId="41FA7461" w14:textId="70C38991" w:rsidR="0053377D" w:rsidRDefault="0053377D">
      <w:r>
        <w:t>Atbildīgā amat</w:t>
      </w:r>
      <w:r w:rsidR="00343104">
        <w:t>persona</w:t>
      </w:r>
      <w:r w:rsidR="00343104">
        <w:tab/>
      </w:r>
      <w:r w:rsidR="00343104">
        <w:tab/>
      </w:r>
      <w:r w:rsidR="00343104">
        <w:tab/>
      </w:r>
      <w:r w:rsidR="00343104">
        <w:tab/>
      </w:r>
      <w:r w:rsidR="00343104">
        <w:tab/>
      </w:r>
      <w:r w:rsidR="00343104">
        <w:tab/>
      </w:r>
      <w:r w:rsidR="00343104">
        <w:tab/>
      </w:r>
      <w:r w:rsidR="00343104">
        <w:tab/>
      </w:r>
      <w:r w:rsidR="00343104">
        <w:tab/>
      </w:r>
      <w:r w:rsidR="00343104">
        <w:tab/>
      </w:r>
      <w:r w:rsidR="00343104">
        <w:tab/>
        <w:t>Ilze </w:t>
      </w:r>
      <w:r>
        <w:t>Doniņa</w:t>
      </w:r>
    </w:p>
    <w:sectPr w:rsidR="0053377D" w:rsidSect="00B55FCB">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11F67" w14:textId="77777777" w:rsidR="00343104" w:rsidRDefault="00343104" w:rsidP="00092BA8">
      <w:r>
        <w:separator/>
      </w:r>
    </w:p>
  </w:endnote>
  <w:endnote w:type="continuationSeparator" w:id="0">
    <w:p w14:paraId="071222C8" w14:textId="77777777" w:rsidR="00343104" w:rsidRDefault="00343104" w:rsidP="00092BA8">
      <w:r>
        <w:continuationSeparator/>
      </w:r>
    </w:p>
  </w:endnote>
  <w:endnote w:type="continuationNotice" w:id="1">
    <w:p w14:paraId="6EF9F615" w14:textId="77777777" w:rsidR="000A0596" w:rsidRDefault="000A0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AF2F" w14:textId="77777777" w:rsidR="00343104" w:rsidRDefault="00343104">
    <w:pPr>
      <w:pStyle w:val="Footer"/>
    </w:pPr>
    <w:r>
      <w:t>VARAMIzz_111119_groz302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D806" w14:textId="77777777" w:rsidR="00343104" w:rsidRDefault="00343104" w:rsidP="00092BA8">
      <w:r>
        <w:separator/>
      </w:r>
    </w:p>
  </w:footnote>
  <w:footnote w:type="continuationSeparator" w:id="0">
    <w:p w14:paraId="71AAE882" w14:textId="77777777" w:rsidR="00343104" w:rsidRDefault="00343104" w:rsidP="00092BA8">
      <w:r>
        <w:continuationSeparator/>
      </w:r>
    </w:p>
  </w:footnote>
  <w:footnote w:type="continuationNotice" w:id="1">
    <w:p w14:paraId="7446265F" w14:textId="77777777" w:rsidR="000A0596" w:rsidRDefault="000A0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3575"/>
      <w:docPartObj>
        <w:docPartGallery w:val="Page Numbers (Top of Page)"/>
        <w:docPartUnique/>
      </w:docPartObj>
    </w:sdtPr>
    <w:sdtEndPr>
      <w:rPr>
        <w:noProof/>
      </w:rPr>
    </w:sdtEndPr>
    <w:sdtContent>
      <w:p w14:paraId="01AB1D83" w14:textId="77777777" w:rsidR="00343104" w:rsidRDefault="00343104">
        <w:pPr>
          <w:pStyle w:val="Header"/>
          <w:jc w:val="center"/>
        </w:pPr>
        <w:r>
          <w:fldChar w:fldCharType="begin"/>
        </w:r>
        <w:r>
          <w:instrText xml:space="preserve"> PAGE   \* MERGEFORMAT </w:instrText>
        </w:r>
        <w:r>
          <w:fldChar w:fldCharType="separate"/>
        </w:r>
        <w:r w:rsidR="000A0596">
          <w:rPr>
            <w:noProof/>
          </w:rPr>
          <w:t>1</w:t>
        </w:r>
        <w:r>
          <w:rPr>
            <w:noProof/>
          </w:rPr>
          <w:fldChar w:fldCharType="end"/>
        </w:r>
      </w:p>
    </w:sdtContent>
  </w:sdt>
  <w:p w14:paraId="1C97CE55" w14:textId="77777777" w:rsidR="00343104" w:rsidRDefault="00343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CD6"/>
    <w:multiLevelType w:val="hybridMultilevel"/>
    <w:tmpl w:val="BE5EC938"/>
    <w:lvl w:ilvl="0" w:tplc="11EABD7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ED949FF"/>
    <w:multiLevelType w:val="hybridMultilevel"/>
    <w:tmpl w:val="BE5EC938"/>
    <w:lvl w:ilvl="0" w:tplc="11EABD7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54354EF"/>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01188"/>
    <w:multiLevelType w:val="hybridMultilevel"/>
    <w:tmpl w:val="BE5EC938"/>
    <w:lvl w:ilvl="0" w:tplc="11EABD7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1B0B3AE1"/>
    <w:multiLevelType w:val="hybridMultilevel"/>
    <w:tmpl w:val="A126C79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512B02"/>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E11F21"/>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43EA8"/>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F0AB0"/>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B9083D"/>
    <w:multiLevelType w:val="hybridMultilevel"/>
    <w:tmpl w:val="CB5AB63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A52A49"/>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3E625A"/>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B12D96"/>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2A5073"/>
    <w:multiLevelType w:val="hybridMultilevel"/>
    <w:tmpl w:val="BE5EC938"/>
    <w:lvl w:ilvl="0" w:tplc="11EABD7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38F4231"/>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863376"/>
    <w:multiLevelType w:val="hybridMultilevel"/>
    <w:tmpl w:val="BE5EC938"/>
    <w:lvl w:ilvl="0" w:tplc="11EABD7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3"/>
  </w:num>
  <w:num w:numId="3">
    <w:abstractNumId w:val="13"/>
  </w:num>
  <w:num w:numId="4">
    <w:abstractNumId w:val="0"/>
  </w:num>
  <w:num w:numId="5">
    <w:abstractNumId w:val="16"/>
  </w:num>
  <w:num w:numId="6">
    <w:abstractNumId w:val="9"/>
  </w:num>
  <w:num w:numId="7">
    <w:abstractNumId w:val="2"/>
  </w:num>
  <w:num w:numId="8">
    <w:abstractNumId w:val="6"/>
  </w:num>
  <w:num w:numId="9">
    <w:abstractNumId w:val="11"/>
  </w:num>
  <w:num w:numId="10">
    <w:abstractNumId w:val="8"/>
  </w:num>
  <w:num w:numId="11">
    <w:abstractNumId w:val="5"/>
  </w:num>
  <w:num w:numId="12">
    <w:abstractNumId w:val="10"/>
  </w:num>
  <w:num w:numId="13">
    <w:abstractNumId w:val="14"/>
  </w:num>
  <w:num w:numId="14">
    <w:abstractNumId w:val="15"/>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CB"/>
    <w:rsid w:val="00015DCC"/>
    <w:rsid w:val="00092890"/>
    <w:rsid w:val="00092BA8"/>
    <w:rsid w:val="000A0596"/>
    <w:rsid w:val="00121B80"/>
    <w:rsid w:val="00343104"/>
    <w:rsid w:val="00431D3E"/>
    <w:rsid w:val="004E0682"/>
    <w:rsid w:val="0053377D"/>
    <w:rsid w:val="00587367"/>
    <w:rsid w:val="0059243D"/>
    <w:rsid w:val="005A0854"/>
    <w:rsid w:val="00764418"/>
    <w:rsid w:val="007A22CC"/>
    <w:rsid w:val="007F27A0"/>
    <w:rsid w:val="008453DE"/>
    <w:rsid w:val="009C4CBA"/>
    <w:rsid w:val="00A27654"/>
    <w:rsid w:val="00B55FCB"/>
    <w:rsid w:val="00B73885"/>
    <w:rsid w:val="00B9018E"/>
    <w:rsid w:val="00BE16CD"/>
    <w:rsid w:val="00C53395"/>
    <w:rsid w:val="00C631E1"/>
    <w:rsid w:val="00CB3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97A5"/>
  <w15:chartTrackingRefBased/>
  <w15:docId w15:val="{C8D850BF-F9A0-41BE-9E71-3C8549AD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FCB"/>
    <w:pPr>
      <w:spacing w:before="100" w:beforeAutospacing="1" w:after="100" w:afterAutospacing="1"/>
    </w:pPr>
  </w:style>
  <w:style w:type="paragraph" w:customStyle="1" w:styleId="naisf">
    <w:name w:val="naisf"/>
    <w:basedOn w:val="Normal"/>
    <w:rsid w:val="00B55FCB"/>
    <w:pPr>
      <w:spacing w:before="75" w:after="75"/>
      <w:ind w:firstLine="375"/>
      <w:jc w:val="both"/>
    </w:pPr>
  </w:style>
  <w:style w:type="paragraph" w:customStyle="1" w:styleId="naiskr">
    <w:name w:val="naiskr"/>
    <w:basedOn w:val="Normal"/>
    <w:rsid w:val="00B55FCB"/>
    <w:pPr>
      <w:spacing w:before="75" w:after="75"/>
    </w:pPr>
  </w:style>
  <w:style w:type="paragraph" w:customStyle="1" w:styleId="naisc">
    <w:name w:val="naisc"/>
    <w:basedOn w:val="Normal"/>
    <w:rsid w:val="00B55FCB"/>
    <w:pPr>
      <w:spacing w:before="75" w:after="75"/>
      <w:jc w:val="center"/>
    </w:pPr>
  </w:style>
  <w:style w:type="paragraph" w:styleId="ListParagraph">
    <w:name w:val="List Paragraph"/>
    <w:basedOn w:val="Normal"/>
    <w:uiPriority w:val="34"/>
    <w:qFormat/>
    <w:rsid w:val="00B55FCB"/>
    <w:pPr>
      <w:widowControl w:val="0"/>
      <w:ind w:left="720"/>
      <w:contextualSpacing/>
      <w:jc w:val="both"/>
    </w:pPr>
    <w:rPr>
      <w:rFonts w:eastAsia="Calibri"/>
      <w:szCs w:val="22"/>
      <w:lang w:eastAsia="en-US"/>
    </w:rPr>
  </w:style>
  <w:style w:type="paragraph" w:customStyle="1" w:styleId="tv213">
    <w:name w:val="tv213"/>
    <w:basedOn w:val="Normal"/>
    <w:rsid w:val="00B73885"/>
    <w:pPr>
      <w:spacing w:before="100" w:beforeAutospacing="1" w:after="100" w:afterAutospacing="1"/>
    </w:pPr>
  </w:style>
  <w:style w:type="paragraph" w:styleId="Header">
    <w:name w:val="header"/>
    <w:basedOn w:val="Normal"/>
    <w:link w:val="HeaderChar"/>
    <w:uiPriority w:val="99"/>
    <w:unhideWhenUsed/>
    <w:rsid w:val="00092BA8"/>
    <w:pPr>
      <w:tabs>
        <w:tab w:val="center" w:pos="4153"/>
        <w:tab w:val="right" w:pos="8306"/>
      </w:tabs>
    </w:pPr>
  </w:style>
  <w:style w:type="character" w:customStyle="1" w:styleId="HeaderChar">
    <w:name w:val="Header Char"/>
    <w:basedOn w:val="DefaultParagraphFont"/>
    <w:link w:val="Header"/>
    <w:uiPriority w:val="99"/>
    <w:rsid w:val="00092BA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92BA8"/>
    <w:pPr>
      <w:tabs>
        <w:tab w:val="center" w:pos="4153"/>
        <w:tab w:val="right" w:pos="8306"/>
      </w:tabs>
    </w:pPr>
  </w:style>
  <w:style w:type="character" w:customStyle="1" w:styleId="FooterChar">
    <w:name w:val="Footer Char"/>
    <w:basedOn w:val="DefaultParagraphFont"/>
    <w:link w:val="Footer"/>
    <w:uiPriority w:val="99"/>
    <w:rsid w:val="00092BA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15DCC"/>
    <w:rPr>
      <w:sz w:val="16"/>
      <w:szCs w:val="16"/>
    </w:rPr>
  </w:style>
  <w:style w:type="paragraph" w:styleId="CommentText">
    <w:name w:val="annotation text"/>
    <w:basedOn w:val="Normal"/>
    <w:link w:val="CommentTextChar"/>
    <w:uiPriority w:val="99"/>
    <w:semiHidden/>
    <w:unhideWhenUsed/>
    <w:rsid w:val="00015DCC"/>
    <w:rPr>
      <w:sz w:val="20"/>
      <w:szCs w:val="20"/>
    </w:rPr>
  </w:style>
  <w:style w:type="character" w:customStyle="1" w:styleId="CommentTextChar">
    <w:name w:val="Comment Text Char"/>
    <w:basedOn w:val="DefaultParagraphFont"/>
    <w:link w:val="CommentText"/>
    <w:uiPriority w:val="99"/>
    <w:semiHidden/>
    <w:rsid w:val="00015D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5DCC"/>
    <w:rPr>
      <w:b/>
      <w:bCs/>
    </w:rPr>
  </w:style>
  <w:style w:type="character" w:customStyle="1" w:styleId="CommentSubjectChar">
    <w:name w:val="Comment Subject Char"/>
    <w:basedOn w:val="CommentTextChar"/>
    <w:link w:val="CommentSubject"/>
    <w:uiPriority w:val="99"/>
    <w:semiHidden/>
    <w:rsid w:val="00015DC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15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C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2011. gada 19. aprīļa noteikumos Nr. 302 “Noteikumi par atkritumu klasifikatoru un īpašībām, kuras padara atkritumus bīstamus”” (VSS-963)</vt:lpstr>
    </vt:vector>
  </TitlesOfParts>
  <Company>VARAM</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2011. gada 19. aprīļa noteikumos Nr. 302 “Noteikumi par atkritumu klasifikatoru un īpašībām, kuras padara atkritumus bīstamus”” (VSS-963)</dc:title>
  <dc:subject>Izziņa par atzinumos sniegtajiem iebildumiem</dc:subject>
  <dc:creator>Ilze Doniņa</dc:creator>
  <cp:keywords/>
  <dc:description>Ilze.donina@varam.gov.lv, 67026515</dc:description>
  <cp:lastModifiedBy>Marta Ošleja</cp:lastModifiedBy>
  <cp:revision>3</cp:revision>
  <dcterms:created xsi:type="dcterms:W3CDTF">2019-12-18T08:43:00Z</dcterms:created>
  <dcterms:modified xsi:type="dcterms:W3CDTF">2019-12-23T10:55:00Z</dcterms:modified>
</cp:coreProperties>
</file>