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01D1" w14:textId="02C3139B" w:rsidR="0086231C" w:rsidRPr="000C2112" w:rsidRDefault="0086231C" w:rsidP="0086231C">
      <w:pPr>
        <w:jc w:val="center"/>
        <w:rPr>
          <w:b/>
        </w:rPr>
      </w:pPr>
      <w:r w:rsidRPr="000C2112">
        <w:rPr>
          <w:b/>
        </w:rPr>
        <w:t xml:space="preserve">Izziņa par atzinumos sniegtajiem iebildumiem </w:t>
      </w:r>
      <w:r w:rsidR="00185E10">
        <w:rPr>
          <w:b/>
          <w:bCs/>
        </w:rPr>
        <w:t>likumprojektā</w:t>
      </w:r>
    </w:p>
    <w:p w14:paraId="3D435DD5" w14:textId="7A8D8C67" w:rsidR="0086231C" w:rsidRPr="000C2112" w:rsidRDefault="00777B6D" w:rsidP="000C2112">
      <w:pPr>
        <w:jc w:val="center"/>
        <w:rPr>
          <w:b/>
        </w:rPr>
      </w:pPr>
      <w:r w:rsidRPr="00E22E0A">
        <w:rPr>
          <w:b/>
          <w:bCs/>
        </w:rPr>
        <w:t>„</w:t>
      </w:r>
      <w:r w:rsidRPr="00E22E0A">
        <w:rPr>
          <w:b/>
        </w:rPr>
        <w:t>Grozījumi</w:t>
      </w:r>
      <w:r>
        <w:rPr>
          <w:b/>
        </w:rPr>
        <w:t xml:space="preserve"> </w:t>
      </w:r>
      <w:r w:rsidR="00185E10">
        <w:rPr>
          <w:b/>
        </w:rPr>
        <w:t>likumā</w:t>
      </w:r>
      <w:r w:rsidRPr="00E22E0A">
        <w:rPr>
          <w:b/>
          <w:bCs/>
        </w:rPr>
        <w:t xml:space="preserve"> „</w:t>
      </w:r>
      <w:r w:rsidR="00185E10">
        <w:rPr>
          <w:b/>
          <w:bCs/>
        </w:rPr>
        <w:t>Par radiācijas drošību un kodoldrošību</w:t>
      </w:r>
      <w:r w:rsidRPr="00E22E0A">
        <w:rPr>
          <w:b/>
          <w:bCs/>
        </w:rPr>
        <w:t>””</w:t>
      </w:r>
      <w:r w:rsidR="002A686F">
        <w:rPr>
          <w:b/>
        </w:rPr>
        <w:t xml:space="preserve"> (VSS-1246</w:t>
      </w:r>
      <w:r w:rsidR="0086231C" w:rsidRPr="000C2112">
        <w:rPr>
          <w:b/>
        </w:rPr>
        <w:t>)</w:t>
      </w:r>
    </w:p>
    <w:p w14:paraId="5C7382FA" w14:textId="77777777" w:rsidR="0086231C" w:rsidRPr="000B51DA" w:rsidRDefault="0086231C" w:rsidP="0086231C">
      <w:pPr>
        <w:pStyle w:val="naisf"/>
        <w:spacing w:before="0" w:after="0"/>
        <w:ind w:firstLine="720"/>
      </w:pPr>
    </w:p>
    <w:p w14:paraId="56749F6A" w14:textId="77777777" w:rsidR="0086231C" w:rsidRPr="000B51DA" w:rsidRDefault="0086231C" w:rsidP="0086231C">
      <w:pPr>
        <w:pStyle w:val="naisf"/>
        <w:spacing w:before="0" w:after="0"/>
        <w:ind w:firstLine="0"/>
        <w:jc w:val="center"/>
        <w:outlineLvl w:val="0"/>
        <w:rPr>
          <w:b/>
        </w:rPr>
      </w:pPr>
      <w:r w:rsidRPr="000B51DA">
        <w:rPr>
          <w:b/>
        </w:rPr>
        <w:t>I. Jautājumi, par kuriem saskaņošanā vienošanās nav panākta</w:t>
      </w:r>
    </w:p>
    <w:p w14:paraId="5314833E" w14:textId="77777777" w:rsidR="0086231C" w:rsidRPr="000B51DA" w:rsidRDefault="0086231C" w:rsidP="0086231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827"/>
        <w:gridCol w:w="2552"/>
        <w:gridCol w:w="2433"/>
        <w:gridCol w:w="1920"/>
      </w:tblGrid>
      <w:tr w:rsidR="0086231C" w:rsidRPr="000B51DA" w14:paraId="2A9FF673" w14:textId="77777777" w:rsidTr="00185E10">
        <w:tc>
          <w:tcPr>
            <w:tcW w:w="708" w:type="dxa"/>
            <w:tcBorders>
              <w:top w:val="single" w:sz="6" w:space="0" w:color="000000"/>
              <w:left w:val="single" w:sz="6" w:space="0" w:color="000000"/>
              <w:bottom w:val="single" w:sz="4" w:space="0" w:color="auto"/>
              <w:right w:val="single" w:sz="6" w:space="0" w:color="000000"/>
            </w:tcBorders>
            <w:vAlign w:val="center"/>
          </w:tcPr>
          <w:p w14:paraId="54FBC447" w14:textId="77777777" w:rsidR="0086231C" w:rsidRPr="000B51DA" w:rsidRDefault="0086231C" w:rsidP="00385EC8">
            <w:pPr>
              <w:pStyle w:val="naisc"/>
              <w:spacing w:before="0" w:after="0"/>
            </w:pPr>
            <w:r w:rsidRPr="000B51DA">
              <w:t>Nr. p.k.</w:t>
            </w:r>
          </w:p>
        </w:tc>
        <w:tc>
          <w:tcPr>
            <w:tcW w:w="2828" w:type="dxa"/>
            <w:tcBorders>
              <w:top w:val="single" w:sz="6" w:space="0" w:color="000000"/>
              <w:left w:val="single" w:sz="6" w:space="0" w:color="000000"/>
              <w:bottom w:val="single" w:sz="4" w:space="0" w:color="auto"/>
              <w:right w:val="single" w:sz="6" w:space="0" w:color="000000"/>
            </w:tcBorders>
            <w:vAlign w:val="center"/>
          </w:tcPr>
          <w:p w14:paraId="59A5C111" w14:textId="77777777" w:rsidR="0086231C" w:rsidRPr="000B51DA" w:rsidRDefault="0086231C" w:rsidP="00385EC8">
            <w:pPr>
              <w:pStyle w:val="naisc"/>
              <w:spacing w:before="0" w:after="0"/>
              <w:ind w:firstLine="12"/>
            </w:pPr>
            <w:r w:rsidRPr="000B51DA">
              <w:t>Saskaņošanai nosūtītā projekta redakcija (konkrēta punkta (panta) redakcija)</w:t>
            </w:r>
          </w:p>
        </w:tc>
        <w:tc>
          <w:tcPr>
            <w:tcW w:w="3827" w:type="dxa"/>
            <w:tcBorders>
              <w:top w:val="single" w:sz="6" w:space="0" w:color="000000"/>
              <w:left w:val="single" w:sz="6" w:space="0" w:color="000000"/>
              <w:bottom w:val="single" w:sz="4" w:space="0" w:color="auto"/>
              <w:right w:val="single" w:sz="6" w:space="0" w:color="000000"/>
            </w:tcBorders>
            <w:vAlign w:val="center"/>
          </w:tcPr>
          <w:p w14:paraId="46EC8AE2" w14:textId="77777777" w:rsidR="0086231C" w:rsidRPr="000B51DA" w:rsidRDefault="0086231C" w:rsidP="00385EC8">
            <w:pPr>
              <w:pStyle w:val="naisc"/>
              <w:spacing w:before="0" w:after="0"/>
              <w:ind w:right="3"/>
            </w:pPr>
            <w:r w:rsidRPr="000B51DA">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4" w:space="0" w:color="auto"/>
              <w:right w:val="single" w:sz="6" w:space="0" w:color="000000"/>
            </w:tcBorders>
            <w:vAlign w:val="center"/>
          </w:tcPr>
          <w:p w14:paraId="7B98D48B" w14:textId="77777777" w:rsidR="0086231C" w:rsidRPr="000B51DA" w:rsidRDefault="0086231C" w:rsidP="00385EC8">
            <w:pPr>
              <w:pStyle w:val="naisc"/>
              <w:spacing w:before="0" w:after="0"/>
              <w:ind w:firstLine="21"/>
            </w:pPr>
            <w:r w:rsidRPr="000B51DA">
              <w:t>Atbildīgās ministrijas pamatojums iebilduma noraidījumam</w:t>
            </w:r>
          </w:p>
        </w:tc>
        <w:tc>
          <w:tcPr>
            <w:tcW w:w="2433" w:type="dxa"/>
            <w:tcBorders>
              <w:top w:val="single" w:sz="4" w:space="0" w:color="auto"/>
              <w:left w:val="single" w:sz="4" w:space="0" w:color="auto"/>
              <w:bottom w:val="single" w:sz="4" w:space="0" w:color="auto"/>
              <w:right w:val="single" w:sz="4" w:space="0" w:color="auto"/>
            </w:tcBorders>
            <w:vAlign w:val="center"/>
          </w:tcPr>
          <w:p w14:paraId="311ECD89" w14:textId="77777777" w:rsidR="0086231C" w:rsidRPr="000B51DA" w:rsidRDefault="0086231C" w:rsidP="00385EC8">
            <w:pPr>
              <w:jc w:val="center"/>
            </w:pPr>
            <w:r w:rsidRPr="000B51D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5BFD01F" w14:textId="77777777" w:rsidR="0086231C" w:rsidRPr="000B51DA" w:rsidRDefault="0086231C" w:rsidP="00385EC8">
            <w:pPr>
              <w:jc w:val="center"/>
            </w:pPr>
            <w:r w:rsidRPr="000B51DA">
              <w:t>Projekta attiecīgā punkta (panta) galīgā redakcija</w:t>
            </w:r>
          </w:p>
        </w:tc>
      </w:tr>
      <w:tr w:rsidR="0086231C" w:rsidRPr="000B51DA" w14:paraId="7D9534D6" w14:textId="77777777" w:rsidTr="00185E10">
        <w:tc>
          <w:tcPr>
            <w:tcW w:w="708" w:type="dxa"/>
            <w:tcBorders>
              <w:top w:val="single" w:sz="4" w:space="0" w:color="auto"/>
              <w:left w:val="single" w:sz="4" w:space="0" w:color="auto"/>
              <w:bottom w:val="single" w:sz="4" w:space="0" w:color="auto"/>
              <w:right w:val="single" w:sz="4" w:space="0" w:color="auto"/>
            </w:tcBorders>
          </w:tcPr>
          <w:p w14:paraId="55BE74AA" w14:textId="49CBDD3B" w:rsidR="0086231C" w:rsidRPr="00185E10" w:rsidRDefault="00185E10" w:rsidP="00185E10">
            <w:pPr>
              <w:pStyle w:val="naisc"/>
              <w:spacing w:before="0" w:after="0"/>
              <w:ind w:firstLine="720"/>
              <w:jc w:val="both"/>
            </w:pPr>
            <w:r w:rsidRPr="00185E10">
              <w:t>11.</w:t>
            </w:r>
          </w:p>
        </w:tc>
        <w:tc>
          <w:tcPr>
            <w:tcW w:w="2828" w:type="dxa"/>
            <w:tcBorders>
              <w:top w:val="single" w:sz="4" w:space="0" w:color="auto"/>
              <w:left w:val="single" w:sz="4" w:space="0" w:color="auto"/>
              <w:bottom w:val="single" w:sz="4" w:space="0" w:color="auto"/>
              <w:right w:val="single" w:sz="4" w:space="0" w:color="auto"/>
            </w:tcBorders>
          </w:tcPr>
          <w:p w14:paraId="068E8443" w14:textId="655700B5" w:rsidR="00185E10" w:rsidRPr="00185E10" w:rsidRDefault="00185E10" w:rsidP="00185E10">
            <w:pPr>
              <w:spacing w:after="120"/>
              <w:ind w:left="169" w:firstLine="11"/>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474C466" w14:textId="77777777" w:rsidR="0086231C" w:rsidRPr="00185E10" w:rsidRDefault="0086231C" w:rsidP="00185E10">
            <w:pPr>
              <w:autoSpaceDE w:val="0"/>
              <w:autoSpaceDN w:val="0"/>
              <w:adjustRightInd w:val="0"/>
              <w:jc w:val="both"/>
              <w:rPr>
                <w:b/>
              </w:rPr>
            </w:pPr>
          </w:p>
        </w:tc>
        <w:tc>
          <w:tcPr>
            <w:tcW w:w="2552" w:type="dxa"/>
            <w:tcBorders>
              <w:top w:val="single" w:sz="4" w:space="0" w:color="auto"/>
              <w:left w:val="single" w:sz="4" w:space="0" w:color="auto"/>
              <w:bottom w:val="single" w:sz="4" w:space="0" w:color="auto"/>
              <w:right w:val="single" w:sz="4" w:space="0" w:color="auto"/>
            </w:tcBorders>
          </w:tcPr>
          <w:p w14:paraId="2E9F5087" w14:textId="77777777" w:rsidR="0086231C" w:rsidRPr="00185E10" w:rsidRDefault="0086231C" w:rsidP="00185E10">
            <w:pPr>
              <w:pStyle w:val="naisc"/>
              <w:spacing w:before="0" w:after="0"/>
              <w:ind w:firstLine="720"/>
              <w:jc w:val="both"/>
              <w:rPr>
                <w:b/>
              </w:rPr>
            </w:pPr>
          </w:p>
        </w:tc>
        <w:tc>
          <w:tcPr>
            <w:tcW w:w="2433" w:type="dxa"/>
            <w:tcBorders>
              <w:top w:val="single" w:sz="4" w:space="0" w:color="auto"/>
              <w:left w:val="single" w:sz="4" w:space="0" w:color="auto"/>
              <w:bottom w:val="single" w:sz="4" w:space="0" w:color="auto"/>
              <w:right w:val="single" w:sz="4" w:space="0" w:color="auto"/>
            </w:tcBorders>
          </w:tcPr>
          <w:p w14:paraId="30E10BDB" w14:textId="77777777" w:rsidR="0086231C" w:rsidRPr="00185E10" w:rsidRDefault="0086231C" w:rsidP="00185E10">
            <w:pPr>
              <w:jc w:val="both"/>
            </w:pPr>
          </w:p>
        </w:tc>
        <w:tc>
          <w:tcPr>
            <w:tcW w:w="1920" w:type="dxa"/>
            <w:tcBorders>
              <w:top w:val="single" w:sz="4" w:space="0" w:color="auto"/>
              <w:left w:val="single" w:sz="4" w:space="0" w:color="auto"/>
              <w:bottom w:val="single" w:sz="4" w:space="0" w:color="auto"/>
              <w:right w:val="single" w:sz="4" w:space="0" w:color="auto"/>
            </w:tcBorders>
          </w:tcPr>
          <w:p w14:paraId="4490AEF8" w14:textId="77777777" w:rsidR="0086231C" w:rsidRPr="00185E10" w:rsidRDefault="0086231C" w:rsidP="00185E10">
            <w:pPr>
              <w:jc w:val="both"/>
            </w:pPr>
          </w:p>
        </w:tc>
      </w:tr>
      <w:tr w:rsidR="00185E10" w:rsidRPr="000B51DA" w14:paraId="0D82FD05" w14:textId="77777777" w:rsidTr="00185E10">
        <w:tc>
          <w:tcPr>
            <w:tcW w:w="708" w:type="dxa"/>
            <w:tcBorders>
              <w:top w:val="single" w:sz="4" w:space="0" w:color="auto"/>
              <w:left w:val="single" w:sz="4" w:space="0" w:color="auto"/>
              <w:bottom w:val="single" w:sz="4" w:space="0" w:color="auto"/>
              <w:right w:val="single" w:sz="4" w:space="0" w:color="auto"/>
            </w:tcBorders>
          </w:tcPr>
          <w:p w14:paraId="1674DA31" w14:textId="77777777" w:rsidR="00185E10" w:rsidRPr="00185E10" w:rsidRDefault="00185E10" w:rsidP="00185E10">
            <w:pPr>
              <w:pStyle w:val="naisc"/>
              <w:spacing w:before="0" w:after="0"/>
              <w:ind w:firstLine="720"/>
              <w:jc w:val="both"/>
            </w:pPr>
          </w:p>
        </w:tc>
        <w:tc>
          <w:tcPr>
            <w:tcW w:w="2828" w:type="dxa"/>
            <w:tcBorders>
              <w:top w:val="single" w:sz="4" w:space="0" w:color="auto"/>
              <w:left w:val="single" w:sz="4" w:space="0" w:color="auto"/>
              <w:bottom w:val="single" w:sz="4" w:space="0" w:color="auto"/>
              <w:right w:val="single" w:sz="4" w:space="0" w:color="auto"/>
            </w:tcBorders>
          </w:tcPr>
          <w:p w14:paraId="1BE352B5" w14:textId="77777777" w:rsidR="00185E10" w:rsidRPr="00185E10" w:rsidRDefault="00185E10" w:rsidP="00185E10">
            <w:pPr>
              <w:pStyle w:val="naisc"/>
              <w:spacing w:before="0" w:after="0"/>
              <w:jc w:val="both"/>
            </w:pPr>
          </w:p>
        </w:tc>
        <w:tc>
          <w:tcPr>
            <w:tcW w:w="3827" w:type="dxa"/>
            <w:tcBorders>
              <w:top w:val="single" w:sz="4" w:space="0" w:color="auto"/>
              <w:left w:val="single" w:sz="4" w:space="0" w:color="auto"/>
              <w:bottom w:val="single" w:sz="4" w:space="0" w:color="auto"/>
              <w:right w:val="single" w:sz="4" w:space="0" w:color="auto"/>
            </w:tcBorders>
          </w:tcPr>
          <w:p w14:paraId="7AE8B979" w14:textId="77777777" w:rsidR="00185E10" w:rsidRPr="00185E10" w:rsidRDefault="00185E10" w:rsidP="00185E10">
            <w:pPr>
              <w:autoSpaceDE w:val="0"/>
              <w:autoSpaceDN w:val="0"/>
              <w:adjustRightInd w:val="0"/>
              <w:jc w:val="both"/>
              <w:rPr>
                <w:b/>
              </w:rPr>
            </w:pPr>
          </w:p>
        </w:tc>
        <w:tc>
          <w:tcPr>
            <w:tcW w:w="2552" w:type="dxa"/>
            <w:tcBorders>
              <w:top w:val="single" w:sz="4" w:space="0" w:color="auto"/>
              <w:left w:val="single" w:sz="4" w:space="0" w:color="auto"/>
              <w:bottom w:val="single" w:sz="4" w:space="0" w:color="auto"/>
              <w:right w:val="single" w:sz="4" w:space="0" w:color="auto"/>
            </w:tcBorders>
          </w:tcPr>
          <w:p w14:paraId="4D206159" w14:textId="77777777" w:rsidR="00185E10" w:rsidRPr="00185E10" w:rsidRDefault="00185E10" w:rsidP="00185E10">
            <w:pPr>
              <w:pStyle w:val="naisc"/>
              <w:spacing w:before="0" w:after="0"/>
              <w:ind w:firstLine="720"/>
              <w:jc w:val="both"/>
              <w:rPr>
                <w:b/>
              </w:rPr>
            </w:pPr>
          </w:p>
        </w:tc>
        <w:tc>
          <w:tcPr>
            <w:tcW w:w="2433" w:type="dxa"/>
            <w:tcBorders>
              <w:top w:val="single" w:sz="4" w:space="0" w:color="auto"/>
              <w:left w:val="single" w:sz="4" w:space="0" w:color="auto"/>
              <w:bottom w:val="single" w:sz="4" w:space="0" w:color="auto"/>
              <w:right w:val="single" w:sz="4" w:space="0" w:color="auto"/>
            </w:tcBorders>
          </w:tcPr>
          <w:p w14:paraId="6E43800D" w14:textId="77777777" w:rsidR="00185E10" w:rsidRPr="00185E10" w:rsidRDefault="00185E10" w:rsidP="00185E10">
            <w:pPr>
              <w:jc w:val="both"/>
            </w:pPr>
          </w:p>
        </w:tc>
        <w:tc>
          <w:tcPr>
            <w:tcW w:w="1920" w:type="dxa"/>
            <w:tcBorders>
              <w:top w:val="single" w:sz="4" w:space="0" w:color="auto"/>
              <w:left w:val="single" w:sz="4" w:space="0" w:color="auto"/>
              <w:bottom w:val="single" w:sz="4" w:space="0" w:color="auto"/>
              <w:right w:val="single" w:sz="4" w:space="0" w:color="auto"/>
            </w:tcBorders>
          </w:tcPr>
          <w:p w14:paraId="2E946211" w14:textId="77777777" w:rsidR="00185E10" w:rsidRPr="00185E10" w:rsidRDefault="00185E10" w:rsidP="00185E10">
            <w:pPr>
              <w:jc w:val="both"/>
            </w:pPr>
          </w:p>
        </w:tc>
      </w:tr>
    </w:tbl>
    <w:p w14:paraId="6018E04A" w14:textId="77777777" w:rsidR="0086231C" w:rsidRPr="000B51DA" w:rsidRDefault="0086231C" w:rsidP="0086231C">
      <w:pPr>
        <w:pStyle w:val="naisf"/>
        <w:spacing w:before="0" w:after="0"/>
        <w:ind w:firstLine="0"/>
        <w:outlineLvl w:val="0"/>
        <w:rPr>
          <w:b/>
        </w:rPr>
      </w:pPr>
    </w:p>
    <w:p w14:paraId="360D7840" w14:textId="77777777" w:rsidR="00115214" w:rsidRDefault="00115214" w:rsidP="0086231C">
      <w:pPr>
        <w:pStyle w:val="naisf"/>
        <w:spacing w:before="0" w:after="0"/>
        <w:ind w:firstLine="0"/>
        <w:outlineLvl w:val="0"/>
        <w:rPr>
          <w:b/>
        </w:rPr>
      </w:pPr>
    </w:p>
    <w:p w14:paraId="35615C1D" w14:textId="77777777" w:rsidR="0086231C" w:rsidRPr="000B51DA" w:rsidRDefault="0086231C" w:rsidP="0086231C">
      <w:pPr>
        <w:pStyle w:val="naisf"/>
        <w:spacing w:before="0" w:after="0"/>
        <w:ind w:firstLine="0"/>
        <w:outlineLvl w:val="0"/>
        <w:rPr>
          <w:b/>
        </w:rPr>
      </w:pPr>
      <w:r w:rsidRPr="000B51DA">
        <w:rPr>
          <w:b/>
        </w:rPr>
        <w:t>Informācija par starpministriju (starpinstitūciju) sanāksmi vai elektronisko saskaņošanu</w:t>
      </w:r>
    </w:p>
    <w:p w14:paraId="73178738" w14:textId="77777777" w:rsidR="0086231C" w:rsidRPr="000B51DA" w:rsidRDefault="0086231C" w:rsidP="0086231C">
      <w:pPr>
        <w:pStyle w:val="naisf"/>
        <w:spacing w:before="0" w:after="0"/>
        <w:ind w:firstLine="0"/>
        <w:rPr>
          <w:b/>
        </w:rPr>
      </w:pPr>
    </w:p>
    <w:tbl>
      <w:tblPr>
        <w:tblW w:w="13908" w:type="dxa"/>
        <w:tblLook w:val="00A0" w:firstRow="1" w:lastRow="0" w:firstColumn="1" w:lastColumn="0" w:noHBand="0" w:noVBand="0"/>
      </w:tblPr>
      <w:tblGrid>
        <w:gridCol w:w="6708"/>
        <w:gridCol w:w="7200"/>
      </w:tblGrid>
      <w:tr w:rsidR="0086231C" w:rsidRPr="000B51DA" w14:paraId="176464B2" w14:textId="77777777" w:rsidTr="00385EC8">
        <w:tc>
          <w:tcPr>
            <w:tcW w:w="6708" w:type="dxa"/>
          </w:tcPr>
          <w:p w14:paraId="68AB6282" w14:textId="77777777" w:rsidR="0086231C" w:rsidRPr="000B51DA" w:rsidRDefault="0086231C" w:rsidP="00385EC8">
            <w:pPr>
              <w:pStyle w:val="naisf"/>
              <w:spacing w:before="0" w:after="0"/>
              <w:ind w:firstLine="0"/>
            </w:pPr>
            <w:r w:rsidRPr="000B51DA">
              <w:t>Datums</w:t>
            </w:r>
          </w:p>
        </w:tc>
        <w:tc>
          <w:tcPr>
            <w:tcW w:w="7200" w:type="dxa"/>
            <w:tcBorders>
              <w:bottom w:val="single" w:sz="4" w:space="0" w:color="auto"/>
            </w:tcBorders>
          </w:tcPr>
          <w:p w14:paraId="11EEF61D" w14:textId="59F28AC6" w:rsidR="0086231C" w:rsidRPr="000B51DA" w:rsidRDefault="000E204B" w:rsidP="006D7A66">
            <w:pPr>
              <w:pStyle w:val="NormalWeb"/>
              <w:spacing w:before="0" w:beforeAutospacing="0" w:after="0" w:afterAutospacing="0"/>
            </w:pPr>
            <w:r>
              <w:t xml:space="preserve">Elektroniska saskaņošana </w:t>
            </w:r>
            <w:r w:rsidR="00827666" w:rsidRPr="00827666">
              <w:t>20</w:t>
            </w:r>
            <w:r w:rsidR="006D7A66" w:rsidRPr="00827666">
              <w:t>.01.2020.</w:t>
            </w:r>
          </w:p>
        </w:tc>
      </w:tr>
      <w:tr w:rsidR="0086231C" w:rsidRPr="000B51DA" w14:paraId="58446743" w14:textId="77777777" w:rsidTr="00385EC8">
        <w:tc>
          <w:tcPr>
            <w:tcW w:w="6708" w:type="dxa"/>
          </w:tcPr>
          <w:p w14:paraId="0177AFF3" w14:textId="77777777" w:rsidR="0086231C" w:rsidRPr="000B51DA" w:rsidRDefault="0086231C" w:rsidP="00385EC8">
            <w:pPr>
              <w:pStyle w:val="naisf"/>
              <w:spacing w:before="0" w:after="0"/>
              <w:ind w:firstLine="0"/>
            </w:pPr>
          </w:p>
        </w:tc>
        <w:tc>
          <w:tcPr>
            <w:tcW w:w="7200" w:type="dxa"/>
            <w:tcBorders>
              <w:top w:val="single" w:sz="4" w:space="0" w:color="auto"/>
            </w:tcBorders>
          </w:tcPr>
          <w:p w14:paraId="67A5A1FD" w14:textId="77777777" w:rsidR="0086231C" w:rsidRPr="000B51DA" w:rsidRDefault="0086231C" w:rsidP="00380B9D">
            <w:pPr>
              <w:pStyle w:val="NormalWeb"/>
              <w:spacing w:before="0" w:beforeAutospacing="0" w:after="0" w:afterAutospacing="0"/>
            </w:pPr>
          </w:p>
        </w:tc>
      </w:tr>
      <w:tr w:rsidR="0086231C" w:rsidRPr="000B51DA" w14:paraId="47A6D0D8" w14:textId="77777777" w:rsidTr="00385EC8">
        <w:tc>
          <w:tcPr>
            <w:tcW w:w="6708" w:type="dxa"/>
          </w:tcPr>
          <w:p w14:paraId="533A6069" w14:textId="77777777" w:rsidR="0086231C" w:rsidRPr="00380B9D" w:rsidRDefault="0086231C" w:rsidP="00385EC8">
            <w:pPr>
              <w:pStyle w:val="naiskr"/>
              <w:spacing w:before="0" w:after="0"/>
            </w:pPr>
            <w:r w:rsidRPr="00380B9D">
              <w:t>Saskaņošanas dalībnieki</w:t>
            </w:r>
          </w:p>
        </w:tc>
        <w:tc>
          <w:tcPr>
            <w:tcW w:w="7200" w:type="dxa"/>
          </w:tcPr>
          <w:p w14:paraId="01918BA4" w14:textId="124429A1" w:rsidR="0086231C" w:rsidRPr="00380B9D" w:rsidRDefault="0086231C" w:rsidP="006D7A66">
            <w:pPr>
              <w:pStyle w:val="naiskr"/>
              <w:spacing w:before="0" w:after="0"/>
              <w:ind w:firstLine="12"/>
              <w:jc w:val="both"/>
            </w:pPr>
            <w:r w:rsidRPr="00380B9D">
              <w:t>Tieslietu ministrija, Finanšu ministrija, Ekonomikas ministrija,</w:t>
            </w:r>
            <w:r w:rsidR="000218E7" w:rsidRPr="00380B9D">
              <w:t xml:space="preserve"> </w:t>
            </w:r>
            <w:r w:rsidR="006D7A66">
              <w:t>S</w:t>
            </w:r>
            <w:r w:rsidR="006D7A66" w:rsidRPr="006D7A66">
              <w:t>atiksmes ministrija, Veselības ministrija un Zemkopības ministrija</w:t>
            </w:r>
          </w:p>
        </w:tc>
      </w:tr>
      <w:tr w:rsidR="0086231C" w:rsidRPr="000B51DA" w14:paraId="4958F349" w14:textId="77777777" w:rsidTr="00385EC8">
        <w:trPr>
          <w:trHeight w:val="285"/>
        </w:trPr>
        <w:tc>
          <w:tcPr>
            <w:tcW w:w="6708" w:type="dxa"/>
          </w:tcPr>
          <w:p w14:paraId="65A6C622" w14:textId="77777777" w:rsidR="0086231C" w:rsidRPr="000B51DA" w:rsidRDefault="0086231C" w:rsidP="00385EC8">
            <w:pPr>
              <w:pStyle w:val="naiskr"/>
              <w:spacing w:before="0" w:after="0"/>
            </w:pPr>
          </w:p>
        </w:tc>
        <w:tc>
          <w:tcPr>
            <w:tcW w:w="7200" w:type="dxa"/>
          </w:tcPr>
          <w:p w14:paraId="4A0BFF96" w14:textId="77777777" w:rsidR="0086231C" w:rsidRPr="000B51DA" w:rsidRDefault="0086231C" w:rsidP="00385EC8">
            <w:pPr>
              <w:pStyle w:val="naiskr"/>
              <w:spacing w:before="0" w:after="0"/>
              <w:ind w:firstLine="12"/>
              <w:jc w:val="both"/>
            </w:pPr>
          </w:p>
        </w:tc>
      </w:tr>
      <w:tr w:rsidR="0086231C" w:rsidRPr="000B51DA" w14:paraId="6B1A8D62" w14:textId="77777777" w:rsidTr="00385EC8">
        <w:trPr>
          <w:trHeight w:val="285"/>
        </w:trPr>
        <w:tc>
          <w:tcPr>
            <w:tcW w:w="6708" w:type="dxa"/>
          </w:tcPr>
          <w:p w14:paraId="0F07B73E" w14:textId="77777777" w:rsidR="0086231C" w:rsidRDefault="0086231C" w:rsidP="00385EC8">
            <w:pPr>
              <w:pStyle w:val="naiskr"/>
              <w:spacing w:before="0" w:after="0"/>
              <w:jc w:val="both"/>
            </w:pPr>
            <w:r w:rsidRPr="000B51DA">
              <w:t>Saskaņošanas dalībnieki izskatīja šādu ministriju (citu institūciju) iebildumus</w:t>
            </w:r>
          </w:p>
          <w:p w14:paraId="747A1088" w14:textId="77777777" w:rsidR="00115214" w:rsidRPr="000B51DA" w:rsidRDefault="00115214" w:rsidP="00385EC8">
            <w:pPr>
              <w:pStyle w:val="naiskr"/>
              <w:spacing w:before="0" w:after="0"/>
              <w:jc w:val="both"/>
            </w:pPr>
          </w:p>
        </w:tc>
        <w:tc>
          <w:tcPr>
            <w:tcW w:w="7200" w:type="dxa"/>
          </w:tcPr>
          <w:p w14:paraId="66C6B3CB" w14:textId="0B443CF5" w:rsidR="0086231C" w:rsidRDefault="006D7A66" w:rsidP="00777B6D">
            <w:pPr>
              <w:pStyle w:val="naiskr"/>
              <w:spacing w:before="0" w:after="0"/>
              <w:ind w:firstLine="12"/>
              <w:jc w:val="both"/>
            </w:pPr>
            <w:r>
              <w:rPr>
                <w:color w:val="000000"/>
              </w:rPr>
              <w:t>Ekonomikas ministrija</w:t>
            </w:r>
            <w:r w:rsidR="002967C0">
              <w:rPr>
                <w:color w:val="000000"/>
              </w:rPr>
              <w:t>, Tieslietu ministrija</w:t>
            </w:r>
            <w:r w:rsidR="00A91645">
              <w:rPr>
                <w:color w:val="000000"/>
              </w:rPr>
              <w:t>, Finanšu ministrija</w:t>
            </w:r>
          </w:p>
          <w:p w14:paraId="09D92985" w14:textId="300C668B" w:rsidR="00D9383D" w:rsidRPr="000B51DA" w:rsidRDefault="00D9383D" w:rsidP="00777B6D">
            <w:pPr>
              <w:pStyle w:val="naiskr"/>
              <w:spacing w:before="0" w:after="0"/>
              <w:ind w:firstLine="12"/>
              <w:jc w:val="both"/>
              <w:rPr>
                <w:color w:val="000000"/>
              </w:rPr>
            </w:pPr>
          </w:p>
        </w:tc>
      </w:tr>
      <w:tr w:rsidR="00497EAA" w:rsidRPr="000B51DA" w14:paraId="00EABCE0" w14:textId="7AEE22E4" w:rsidTr="00385EC8">
        <w:tc>
          <w:tcPr>
            <w:tcW w:w="6708" w:type="dxa"/>
          </w:tcPr>
          <w:p w14:paraId="27F1C3A1" w14:textId="77777777" w:rsidR="00497EAA" w:rsidRPr="000B51DA" w:rsidRDefault="00497EAA" w:rsidP="00497EAA">
            <w:pPr>
              <w:pStyle w:val="naiskr"/>
              <w:spacing w:before="0" w:after="0"/>
              <w:jc w:val="both"/>
            </w:pPr>
            <w:r w:rsidRPr="000B51DA">
              <w:t>Ministrijas (citas institūcijas), kuras nav ieradušās uz sanāksmi vai kuras nav atbildējušas uz uzaicinājumu piedalīties elektroniskajā saskaņošanā</w:t>
            </w:r>
          </w:p>
        </w:tc>
        <w:tc>
          <w:tcPr>
            <w:tcW w:w="7200" w:type="dxa"/>
          </w:tcPr>
          <w:p w14:paraId="1CBD8B7A" w14:textId="364A6708" w:rsidR="00497EAA" w:rsidRPr="000B51DA" w:rsidRDefault="00497EAA" w:rsidP="00D9383D">
            <w:pPr>
              <w:spacing w:after="160" w:line="259" w:lineRule="auto"/>
              <w:jc w:val="both"/>
            </w:pPr>
          </w:p>
        </w:tc>
      </w:tr>
    </w:tbl>
    <w:p w14:paraId="2352FFAE" w14:textId="4BD0AB59" w:rsidR="0086231C" w:rsidRDefault="0086231C" w:rsidP="00380B9D">
      <w:pPr>
        <w:pStyle w:val="naisf"/>
        <w:spacing w:before="0" w:after="0"/>
        <w:ind w:firstLine="0"/>
        <w:outlineLvl w:val="0"/>
        <w:rPr>
          <w:b/>
        </w:rPr>
      </w:pPr>
    </w:p>
    <w:p w14:paraId="4227765A" w14:textId="77777777" w:rsidR="0086231C" w:rsidRPr="000B51DA" w:rsidRDefault="0086231C" w:rsidP="0086231C">
      <w:pPr>
        <w:pStyle w:val="naisf"/>
        <w:spacing w:before="0" w:after="0"/>
        <w:ind w:firstLine="0"/>
        <w:jc w:val="center"/>
        <w:outlineLvl w:val="0"/>
        <w:rPr>
          <w:b/>
        </w:rPr>
      </w:pPr>
      <w:r w:rsidRPr="000B51DA">
        <w:rPr>
          <w:b/>
        </w:rPr>
        <w:lastRenderedPageBreak/>
        <w:t>I</w:t>
      </w:r>
      <w:r>
        <w:rPr>
          <w:b/>
        </w:rPr>
        <w:t>I</w:t>
      </w:r>
      <w:r w:rsidRPr="000B51DA">
        <w:rPr>
          <w:b/>
        </w:rPr>
        <w:t>. Jautājumi, par kuriem saskaņošanā vienošanās ir panākta</w:t>
      </w:r>
    </w:p>
    <w:p w14:paraId="7EF420C0" w14:textId="77777777" w:rsidR="0086231C" w:rsidRPr="000B51DA" w:rsidRDefault="0086231C" w:rsidP="0086231C">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3827"/>
        <w:gridCol w:w="3544"/>
        <w:gridCol w:w="3376"/>
      </w:tblGrid>
      <w:tr w:rsidR="0086231C" w:rsidRPr="000B51DA" w14:paraId="04F9998E" w14:textId="77777777" w:rsidTr="00A91645">
        <w:tc>
          <w:tcPr>
            <w:tcW w:w="675" w:type="dxa"/>
            <w:tcBorders>
              <w:top w:val="single" w:sz="6" w:space="0" w:color="000000"/>
              <w:left w:val="single" w:sz="6" w:space="0" w:color="000000"/>
              <w:bottom w:val="single" w:sz="6" w:space="0" w:color="000000"/>
              <w:right w:val="single" w:sz="6" w:space="0" w:color="000000"/>
            </w:tcBorders>
          </w:tcPr>
          <w:p w14:paraId="76995F95" w14:textId="77777777" w:rsidR="0086231C" w:rsidRPr="000B51DA" w:rsidRDefault="0086231C" w:rsidP="00385EC8">
            <w:pPr>
              <w:pStyle w:val="naisc"/>
              <w:spacing w:before="0" w:after="0"/>
              <w:jc w:val="both"/>
              <w:rPr>
                <w:b/>
              </w:rPr>
            </w:pPr>
            <w:r w:rsidRPr="000B51DA">
              <w:rPr>
                <w:b/>
              </w:rPr>
              <w:t>Nr. p.k.</w:t>
            </w:r>
          </w:p>
        </w:tc>
        <w:tc>
          <w:tcPr>
            <w:tcW w:w="3145" w:type="dxa"/>
            <w:tcBorders>
              <w:top w:val="single" w:sz="6" w:space="0" w:color="000000"/>
              <w:left w:val="single" w:sz="6" w:space="0" w:color="000000"/>
              <w:bottom w:val="single" w:sz="6" w:space="0" w:color="000000"/>
              <w:right w:val="single" w:sz="6" w:space="0" w:color="000000"/>
            </w:tcBorders>
            <w:vAlign w:val="center"/>
          </w:tcPr>
          <w:p w14:paraId="74F4BE74" w14:textId="77777777" w:rsidR="0086231C" w:rsidRPr="000B51DA" w:rsidRDefault="0086231C" w:rsidP="00385EC8">
            <w:pPr>
              <w:pStyle w:val="naisc"/>
              <w:spacing w:before="0" w:after="0"/>
              <w:ind w:firstLine="12"/>
              <w:jc w:val="both"/>
              <w:rPr>
                <w:b/>
              </w:rPr>
            </w:pPr>
            <w:r w:rsidRPr="000B51DA">
              <w:rPr>
                <w:b/>
              </w:rPr>
              <w:t>Saskaņošanai nosūtītā projekta redakcija (konkrēta punkta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6C3B548F" w14:textId="77777777" w:rsidR="0086231C" w:rsidRPr="000B51DA" w:rsidRDefault="0086231C" w:rsidP="00385EC8">
            <w:pPr>
              <w:pStyle w:val="naisc"/>
              <w:spacing w:before="0" w:after="0"/>
              <w:ind w:right="3"/>
              <w:jc w:val="both"/>
              <w:rPr>
                <w:b/>
              </w:rPr>
            </w:pPr>
            <w:r w:rsidRPr="000B51DA">
              <w:rPr>
                <w:b/>
              </w:rPr>
              <w:t xml:space="preserve">Atzinumā norādītais ministrijas (citas institūcijas) iebildums, kā arī saskaņošanā papildus izteiktais iebildums par projekta konkrēto punktu </w:t>
            </w:r>
          </w:p>
        </w:tc>
        <w:tc>
          <w:tcPr>
            <w:tcW w:w="3544" w:type="dxa"/>
            <w:tcBorders>
              <w:top w:val="single" w:sz="6" w:space="0" w:color="000000"/>
              <w:left w:val="single" w:sz="6" w:space="0" w:color="000000"/>
              <w:bottom w:val="single" w:sz="6" w:space="0" w:color="000000"/>
              <w:right w:val="single" w:sz="6" w:space="0" w:color="000000"/>
            </w:tcBorders>
            <w:vAlign w:val="center"/>
          </w:tcPr>
          <w:p w14:paraId="3B27EBDC" w14:textId="77777777" w:rsidR="0086231C" w:rsidRPr="000B51DA" w:rsidRDefault="0086231C" w:rsidP="00385EC8">
            <w:pPr>
              <w:pStyle w:val="naisc"/>
              <w:spacing w:before="0" w:after="0"/>
              <w:ind w:firstLine="21"/>
              <w:jc w:val="both"/>
              <w:rPr>
                <w:b/>
              </w:rPr>
            </w:pPr>
            <w:r w:rsidRPr="000B51DA">
              <w:rPr>
                <w:b/>
              </w:rPr>
              <w:t>Atbildīgās ministrijas norāde par to, ka iebildums ir ņemts vērā, vai informācija par saskaņošanā panākto alternatīvo risinājumu</w:t>
            </w:r>
          </w:p>
        </w:tc>
        <w:tc>
          <w:tcPr>
            <w:tcW w:w="3376" w:type="dxa"/>
            <w:tcBorders>
              <w:top w:val="single" w:sz="4" w:space="0" w:color="auto"/>
              <w:left w:val="single" w:sz="4" w:space="0" w:color="auto"/>
              <w:bottom w:val="single" w:sz="4" w:space="0" w:color="auto"/>
            </w:tcBorders>
            <w:vAlign w:val="center"/>
          </w:tcPr>
          <w:p w14:paraId="05901EC8" w14:textId="77777777" w:rsidR="0086231C" w:rsidRPr="000B51DA" w:rsidRDefault="0086231C" w:rsidP="00385EC8">
            <w:pPr>
              <w:jc w:val="both"/>
              <w:rPr>
                <w:b/>
              </w:rPr>
            </w:pPr>
            <w:r w:rsidRPr="000B51DA">
              <w:rPr>
                <w:b/>
              </w:rPr>
              <w:t>Projekta attiecīgā punkta galīgā redakcija</w:t>
            </w:r>
          </w:p>
        </w:tc>
      </w:tr>
      <w:tr w:rsidR="00B2172F" w:rsidRPr="000B51DA" w14:paraId="4A348696" w14:textId="77777777" w:rsidTr="00A91645">
        <w:tc>
          <w:tcPr>
            <w:tcW w:w="675" w:type="dxa"/>
            <w:tcBorders>
              <w:top w:val="single" w:sz="6" w:space="0" w:color="000000"/>
              <w:left w:val="single" w:sz="6" w:space="0" w:color="000000"/>
              <w:bottom w:val="single" w:sz="6" w:space="0" w:color="000000"/>
              <w:right w:val="single" w:sz="6" w:space="0" w:color="000000"/>
            </w:tcBorders>
          </w:tcPr>
          <w:p w14:paraId="451CD850" w14:textId="080C7F5E" w:rsidR="00B2172F" w:rsidRPr="002A686F" w:rsidRDefault="00185E10" w:rsidP="002A686F">
            <w:pPr>
              <w:pStyle w:val="naisc"/>
              <w:spacing w:before="0" w:after="0"/>
              <w:rPr>
                <w:sz w:val="22"/>
                <w:szCs w:val="22"/>
              </w:rPr>
            </w:pPr>
            <w:r w:rsidRPr="002A686F">
              <w:rPr>
                <w:sz w:val="22"/>
                <w:szCs w:val="22"/>
              </w:rPr>
              <w:t>1.</w:t>
            </w:r>
          </w:p>
        </w:tc>
        <w:tc>
          <w:tcPr>
            <w:tcW w:w="3145" w:type="dxa"/>
            <w:tcBorders>
              <w:top w:val="single" w:sz="6" w:space="0" w:color="000000"/>
              <w:left w:val="single" w:sz="6" w:space="0" w:color="000000"/>
              <w:bottom w:val="single" w:sz="6" w:space="0" w:color="000000"/>
              <w:right w:val="single" w:sz="6" w:space="0" w:color="000000"/>
            </w:tcBorders>
            <w:vAlign w:val="center"/>
          </w:tcPr>
          <w:p w14:paraId="722268B1" w14:textId="77777777" w:rsidR="002967C0" w:rsidRPr="002967C0" w:rsidRDefault="002967C0" w:rsidP="002967C0">
            <w:pPr>
              <w:spacing w:after="120"/>
              <w:jc w:val="both"/>
              <w:rPr>
                <w:b/>
                <w:sz w:val="22"/>
                <w:szCs w:val="22"/>
              </w:rPr>
            </w:pPr>
            <w:r w:rsidRPr="002967C0">
              <w:rPr>
                <w:b/>
                <w:sz w:val="22"/>
                <w:szCs w:val="22"/>
              </w:rPr>
              <w:t>31. pants. Administratīvie pārkāpumi radiācijas drošības un kodoldrošības jomā</w:t>
            </w:r>
          </w:p>
          <w:p w14:paraId="2D1745F6"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 xml:space="preserve">(1) Par radiācijas drošības un kodoldrošības normatīvo aktu prasību neievērošanu attiecībā uz personu aizsardzību pret jonizējošo starojumu – </w:t>
            </w:r>
          </w:p>
          <w:p w14:paraId="70E3CB5A"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piemēro brīdinājumu vai naudas sodu fiziskajām personām no sešām līdz simt četrdesmit naudas soda vienībām, bet juridiskajām personām – no četrpadsmit līdz divsimt četrdesmit naudas soda vienībām.</w:t>
            </w:r>
          </w:p>
          <w:p w14:paraId="6DFD257E" w14:textId="77777777" w:rsidR="002967C0" w:rsidRPr="00381956" w:rsidRDefault="002967C0" w:rsidP="002967C0">
            <w:pPr>
              <w:pStyle w:val="tv213"/>
              <w:spacing w:before="0" w:beforeAutospacing="0" w:after="120" w:afterAutospacing="0"/>
              <w:jc w:val="both"/>
              <w:rPr>
                <w:b/>
                <w:sz w:val="22"/>
                <w:szCs w:val="22"/>
              </w:rPr>
            </w:pPr>
            <w:r w:rsidRPr="00381956">
              <w:rPr>
                <w:b/>
                <w:sz w:val="22"/>
                <w:szCs w:val="22"/>
              </w:rPr>
              <w:t xml:space="preserve">(2) Par pārskatu par darbībām ar jonizējošā starojuma avotiem neiesniegšanu, radioaktīvo vielu, kodolmateriālu un radioaktīvo atkritumu daudzuma, sastāva vai fizikālo faktoru uzskaites noteikumu pārkāpšanu, </w:t>
            </w:r>
            <w:r w:rsidRPr="00381956">
              <w:rPr>
                <w:b/>
                <w:sz w:val="22"/>
                <w:szCs w:val="22"/>
              </w:rPr>
              <w:lastRenderedPageBreak/>
              <w:t xml:space="preserve">neatbilstošu ziņu sniegšanu vai nepamatotu atteikšanos sniegt ziņas par vides kvalitāti – </w:t>
            </w:r>
          </w:p>
          <w:p w14:paraId="23943EE6" w14:textId="77777777" w:rsidR="002967C0" w:rsidRPr="00381956" w:rsidRDefault="002967C0" w:rsidP="002967C0">
            <w:pPr>
              <w:pStyle w:val="tv213"/>
              <w:spacing w:before="0" w:beforeAutospacing="0" w:after="120" w:afterAutospacing="0"/>
              <w:jc w:val="both"/>
              <w:rPr>
                <w:b/>
                <w:sz w:val="22"/>
                <w:szCs w:val="22"/>
              </w:rPr>
            </w:pPr>
            <w:r w:rsidRPr="00381956">
              <w:rPr>
                <w:b/>
                <w:sz w:val="22"/>
                <w:szCs w:val="22"/>
              </w:rPr>
              <w:t>piemēro brīdinājumu vai naudas sodu fiziskajām personām no sešām līdz simt četrdesmit naudas soda vienībām, bet juridiskajām personām – no divdesmit astoņām līdz divsimt astoņdesmit naudas soda vienībām.</w:t>
            </w:r>
          </w:p>
          <w:p w14:paraId="093DB53B" w14:textId="77777777" w:rsidR="002967C0" w:rsidRPr="00381956" w:rsidRDefault="002967C0" w:rsidP="002967C0">
            <w:pPr>
              <w:pStyle w:val="tv213"/>
              <w:spacing w:before="0" w:beforeAutospacing="0" w:after="120" w:afterAutospacing="0"/>
              <w:jc w:val="both"/>
              <w:rPr>
                <w:b/>
                <w:sz w:val="22"/>
                <w:szCs w:val="22"/>
              </w:rPr>
            </w:pPr>
            <w:r w:rsidRPr="00381956">
              <w:rPr>
                <w:b/>
                <w:sz w:val="22"/>
                <w:szCs w:val="22"/>
              </w:rPr>
              <w:t>(3) Par darbību veikšanu ar jonizējošā starojuma avotiem bez paziņošanas –</w:t>
            </w:r>
          </w:p>
          <w:p w14:paraId="1F5E4A57" w14:textId="77777777" w:rsidR="002967C0" w:rsidRPr="00381956" w:rsidRDefault="002967C0" w:rsidP="002967C0">
            <w:pPr>
              <w:pStyle w:val="tv213"/>
              <w:spacing w:before="0" w:beforeAutospacing="0" w:after="120" w:afterAutospacing="0"/>
              <w:jc w:val="both"/>
              <w:rPr>
                <w:b/>
                <w:sz w:val="22"/>
                <w:szCs w:val="22"/>
              </w:rPr>
            </w:pPr>
            <w:r w:rsidRPr="00381956">
              <w:rPr>
                <w:b/>
                <w:sz w:val="22"/>
                <w:szCs w:val="22"/>
              </w:rPr>
              <w:t>piemēro naudas sodu fiziskajām personām no septiņām līdz četrpadsmit naudas soda vienībām, bet juridiskajām personām – no četrpadsmit līdz divdesmit astoņām naudas soda vienībām.</w:t>
            </w:r>
          </w:p>
          <w:p w14:paraId="7F569E07"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 xml:space="preserve">(4) Par vides piesārņošanu ar radioaktīvajām vielām, pārsniedzot noteiktos normatīvus vai pārkāpjot noteiktos ierobežojumus, par Latvijas jūras ūdeņu (arī jūras ostu akvatoriju </w:t>
            </w:r>
            <w:r w:rsidRPr="002967C0">
              <w:rPr>
                <w:sz w:val="22"/>
                <w:szCs w:val="22"/>
              </w:rPr>
              <w:lastRenderedPageBreak/>
              <w:t xml:space="preserve">un upju grīvu) piesārņošanu ar radioaktīvajām vielām – </w:t>
            </w:r>
          </w:p>
          <w:p w14:paraId="38F97C1D"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piemēro naudas sodu fiziskajām personām no sešām līdz simt četrdesmit naudas soda vienībām, bet juridiskajām personām – no divdesmit astoņām līdz divsimt astoņdesmit naudas soda vienībām.</w:t>
            </w:r>
          </w:p>
          <w:p w14:paraId="561B2AE4"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 xml:space="preserve">(5) Par neziņošanu Centram par avāriju, ja tā saistīta ar jonizējošā starojuma avotiem, vai par šādas avārijas slēpšanu – </w:t>
            </w:r>
          </w:p>
          <w:p w14:paraId="6B495C2B"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piemēro naudas sodu fiziskajām personām no sešām līdz simt četrdesmit naudas soda vienībām, bet juridiskajām personām – no astoņdesmit sešām līdz divsimt astoņdesmit naudas soda vienībām.</w:t>
            </w:r>
          </w:p>
          <w:p w14:paraId="7861DAAC"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(6) Par darbību veikšanu ar jonizējošā starojuma avotiem bez licences vai reģistrācijas – </w:t>
            </w:r>
          </w:p>
          <w:p w14:paraId="5D0EFED4"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 xml:space="preserve">piemēro naudas sodu fiziskajām personām no četrpadsmit līdz simt četrdesmit naudas soda vienībām, bet juridiskajām personām – no divdesmit </w:t>
            </w:r>
            <w:r w:rsidRPr="002967C0">
              <w:rPr>
                <w:sz w:val="22"/>
                <w:szCs w:val="22"/>
              </w:rPr>
              <w:lastRenderedPageBreak/>
              <w:t>astoņām līdz divsimt astoņdesmit naudas soda vienībām.</w:t>
            </w:r>
          </w:p>
          <w:p w14:paraId="2352FF15" w14:textId="77777777" w:rsidR="002967C0" w:rsidRPr="00381956" w:rsidRDefault="002967C0" w:rsidP="002967C0">
            <w:pPr>
              <w:pStyle w:val="tv213"/>
              <w:spacing w:before="0" w:beforeAutospacing="0" w:after="120" w:afterAutospacing="0"/>
              <w:jc w:val="both"/>
              <w:rPr>
                <w:b/>
                <w:sz w:val="22"/>
                <w:szCs w:val="22"/>
              </w:rPr>
            </w:pPr>
            <w:r w:rsidRPr="002967C0">
              <w:rPr>
                <w:sz w:val="22"/>
                <w:szCs w:val="22"/>
              </w:rPr>
              <w:t xml:space="preserve"> </w:t>
            </w:r>
            <w:r w:rsidRPr="00381956">
              <w:rPr>
                <w:b/>
                <w:sz w:val="22"/>
                <w:szCs w:val="22"/>
              </w:rPr>
              <w:t>(7) Par neziņošanu Centram par radioaktīvo vielu izplūdi (novadīšanu) vidē, kā arī par vides informācijas slēpšanu vai tās atspoguļošanu maldinošā veidā, par neziņošanu tuvākās ostas administrācijai par Latvijas jūras ūdeņu (arī jūras ostu akvatoriju un upju grīvu) piesārņošanu ar radioaktīvajām vielām no peldošiem līdzekļiem un citām konstrukcijām, kā arī no gaisakuģiem –</w:t>
            </w:r>
          </w:p>
          <w:p w14:paraId="421089F7" w14:textId="77777777" w:rsidR="002967C0" w:rsidRPr="00381956" w:rsidRDefault="002967C0" w:rsidP="002967C0">
            <w:pPr>
              <w:pStyle w:val="tv213"/>
              <w:spacing w:before="0" w:beforeAutospacing="0" w:after="120" w:afterAutospacing="0"/>
              <w:jc w:val="both"/>
              <w:rPr>
                <w:b/>
                <w:sz w:val="22"/>
                <w:szCs w:val="22"/>
              </w:rPr>
            </w:pPr>
            <w:r w:rsidRPr="00381956">
              <w:rPr>
                <w:b/>
                <w:sz w:val="22"/>
                <w:szCs w:val="22"/>
              </w:rPr>
              <w:t>piemēro naudas sodu juridiskām personām no četrpadsmit līdz četrsimt naudas soda vienībām.</w:t>
            </w:r>
          </w:p>
          <w:p w14:paraId="0F89B18F"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t xml:space="preserve">(8) Par darbību ar radioaktīvajiem atkritumiem un radioaktīvo vielu pārvadāšanas, iekraušanas un izkraušanas noteikumu pārkāpšanu, par radioaktīvo vielu kravu atstāšanu bez uzraudzības transportlīdzekļos, kā arī par radioaktīvo vielu nodošanu bagāžā vai bagāžas glabātavās – </w:t>
            </w:r>
          </w:p>
          <w:p w14:paraId="306D72D9" w14:textId="77777777" w:rsidR="002967C0" w:rsidRPr="002967C0" w:rsidRDefault="002967C0" w:rsidP="002967C0">
            <w:pPr>
              <w:pStyle w:val="tv213"/>
              <w:spacing w:before="0" w:beforeAutospacing="0" w:after="120" w:afterAutospacing="0"/>
              <w:jc w:val="both"/>
              <w:rPr>
                <w:sz w:val="22"/>
                <w:szCs w:val="22"/>
              </w:rPr>
            </w:pPr>
            <w:r w:rsidRPr="002967C0">
              <w:rPr>
                <w:sz w:val="22"/>
                <w:szCs w:val="22"/>
              </w:rPr>
              <w:lastRenderedPageBreak/>
              <w:t>piemēro naudas sodu fiziskajām personām no četrpadsmit līdz simt četrdesmit naudas soda vienībām, bet juridiskajām personām – no piecdesmit sešām līdz piecsimt astoņdesmit naudas soda vienībām.</w:t>
            </w:r>
          </w:p>
          <w:p w14:paraId="71DBB5A3" w14:textId="77777777" w:rsidR="002967C0" w:rsidRPr="002967C0" w:rsidRDefault="002967C0" w:rsidP="002967C0">
            <w:pPr>
              <w:spacing w:after="120"/>
              <w:jc w:val="both"/>
              <w:rPr>
                <w:sz w:val="22"/>
                <w:szCs w:val="22"/>
              </w:rPr>
            </w:pPr>
            <w:r w:rsidRPr="002967C0">
              <w:rPr>
                <w:sz w:val="22"/>
                <w:szCs w:val="22"/>
              </w:rPr>
              <w:t xml:space="preserve"> (9) Par tādu preču, kuras satur neatļautas radioaktīvās vielas vai kurās jonizējošā starojuma līmenis pārsniedz normatīvajos aktos noteiktās normas, laišanu tirgū, piedāvāšanu vai pārdošanu – </w:t>
            </w:r>
          </w:p>
          <w:p w14:paraId="7EA35AF6" w14:textId="290307B2" w:rsidR="00B2172F" w:rsidRPr="002967C0" w:rsidRDefault="002967C0" w:rsidP="002967C0">
            <w:pPr>
              <w:pStyle w:val="CommentText"/>
              <w:spacing w:after="120"/>
              <w:rPr>
                <w:sz w:val="22"/>
                <w:szCs w:val="22"/>
              </w:rPr>
            </w:pPr>
            <w:r w:rsidRPr="002967C0">
              <w:rPr>
                <w:sz w:val="22"/>
                <w:szCs w:val="22"/>
              </w:rPr>
              <w:t>piemēro naudas sodu fiziskajām personām no septiņām līdz simt četrdesmit naudas soda vienībām, bet juridiskajām personām – no trīsdesmit līdz divi tūkstoši astoņsimt naudas soda vienībām.</w:t>
            </w:r>
          </w:p>
        </w:tc>
        <w:tc>
          <w:tcPr>
            <w:tcW w:w="3827" w:type="dxa"/>
            <w:tcBorders>
              <w:top w:val="single" w:sz="6" w:space="0" w:color="000000"/>
              <w:left w:val="single" w:sz="6" w:space="0" w:color="000000"/>
              <w:bottom w:val="single" w:sz="6" w:space="0" w:color="000000"/>
              <w:right w:val="single" w:sz="6" w:space="0" w:color="000000"/>
            </w:tcBorders>
          </w:tcPr>
          <w:p w14:paraId="6C9FE598" w14:textId="77777777" w:rsidR="00185E10" w:rsidRPr="002967C0" w:rsidRDefault="002967C0" w:rsidP="00185E10">
            <w:pPr>
              <w:pStyle w:val="naisc"/>
              <w:spacing w:before="0" w:after="0"/>
              <w:ind w:right="3"/>
              <w:jc w:val="both"/>
              <w:rPr>
                <w:b/>
                <w:sz w:val="22"/>
                <w:szCs w:val="22"/>
              </w:rPr>
            </w:pPr>
            <w:r w:rsidRPr="002967C0">
              <w:rPr>
                <w:b/>
                <w:sz w:val="22"/>
                <w:szCs w:val="22"/>
              </w:rPr>
              <w:lastRenderedPageBreak/>
              <w:t>Tieslietu ministrija</w:t>
            </w:r>
          </w:p>
          <w:p w14:paraId="5BE590C4" w14:textId="3DC5358B" w:rsidR="002967C0" w:rsidRPr="002967C0" w:rsidRDefault="002967C0" w:rsidP="00185E10">
            <w:pPr>
              <w:pStyle w:val="naisc"/>
              <w:spacing w:before="0" w:after="0"/>
              <w:ind w:right="3"/>
              <w:jc w:val="both"/>
              <w:rPr>
                <w:b/>
                <w:sz w:val="22"/>
                <w:szCs w:val="22"/>
              </w:rPr>
            </w:pPr>
            <w:r w:rsidRPr="002967C0">
              <w:rPr>
                <w:sz w:val="22"/>
                <w:szCs w:val="22"/>
              </w:rPr>
              <w:t>Lūdzam precizēt projekta 2. pantā paredzētajā likuma "Par radiācijas drošību un kodoldrošību" 31. pantā ietverto pārkāpumu secību atbilstoši noteiktajām sankcijām, proti, no vieglākās sankcijas uz smagāko sankciju.</w:t>
            </w:r>
          </w:p>
        </w:tc>
        <w:tc>
          <w:tcPr>
            <w:tcW w:w="3544" w:type="dxa"/>
            <w:tcBorders>
              <w:top w:val="single" w:sz="6" w:space="0" w:color="000000"/>
              <w:left w:val="single" w:sz="6" w:space="0" w:color="000000"/>
              <w:bottom w:val="single" w:sz="6" w:space="0" w:color="000000"/>
              <w:right w:val="single" w:sz="6" w:space="0" w:color="000000"/>
            </w:tcBorders>
          </w:tcPr>
          <w:p w14:paraId="10EFA3B8" w14:textId="3E6FACE5" w:rsidR="00EF2AE3" w:rsidRPr="00381956" w:rsidRDefault="002967C0" w:rsidP="00381956">
            <w:pPr>
              <w:pStyle w:val="naisc"/>
              <w:spacing w:before="0" w:after="0"/>
              <w:ind w:firstLine="23"/>
              <w:jc w:val="both"/>
              <w:rPr>
                <w:b/>
                <w:sz w:val="22"/>
                <w:szCs w:val="22"/>
              </w:rPr>
            </w:pPr>
            <w:r w:rsidRPr="002967C0">
              <w:rPr>
                <w:b/>
                <w:sz w:val="22"/>
                <w:szCs w:val="22"/>
              </w:rPr>
              <w:t>Ņemts vērā</w:t>
            </w:r>
          </w:p>
        </w:tc>
        <w:tc>
          <w:tcPr>
            <w:tcW w:w="3376" w:type="dxa"/>
            <w:tcBorders>
              <w:top w:val="single" w:sz="4" w:space="0" w:color="auto"/>
              <w:left w:val="single" w:sz="4" w:space="0" w:color="auto"/>
              <w:bottom w:val="single" w:sz="4" w:space="0" w:color="auto"/>
            </w:tcBorders>
          </w:tcPr>
          <w:p w14:paraId="01FC4BDF" w14:textId="77777777" w:rsidR="00381956" w:rsidRPr="00381956" w:rsidRDefault="00381956" w:rsidP="00381956">
            <w:pPr>
              <w:spacing w:after="120"/>
              <w:ind w:firstLine="33"/>
              <w:jc w:val="both"/>
              <w:rPr>
                <w:b/>
                <w:sz w:val="22"/>
                <w:szCs w:val="22"/>
              </w:rPr>
            </w:pPr>
            <w:r w:rsidRPr="00381956">
              <w:rPr>
                <w:b/>
                <w:sz w:val="22"/>
                <w:szCs w:val="22"/>
              </w:rPr>
              <w:t>31. pants. Administratīvie pārkāpumi radiācijas drošības un kodoldrošības jomā</w:t>
            </w:r>
          </w:p>
          <w:p w14:paraId="46F75ED6"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 xml:space="preserve">(1) Par radiācijas drošības un kodoldrošības normatīvo aktu prasību neievērošanu attiecībā uz personu aizsardzību pret jonizējošo starojumu – </w:t>
            </w:r>
          </w:p>
          <w:p w14:paraId="1AFE13C2"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piemēro brīdinājumu vai naudas sodu fiziskajām personām no sešām līdz simt četrdesmit naudas soda vienībām, bet juridiskajām personām – no četrpadsmit līdz divsimt četrdesmit naudas soda vienībām.</w:t>
            </w:r>
          </w:p>
          <w:p w14:paraId="2048C60E"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 xml:space="preserve">(2) Par vides piesārņošanu ar radioaktīvajām vielām, pārsniedzot noteiktos normatīvus vai pārkāpjot noteiktos ierobežojumus, par Latvijas jūras ūdeņu (arī jūras ostu akvatoriju un upju grīvu) piesārņošanu ar radioaktīvajām vielām – </w:t>
            </w:r>
          </w:p>
          <w:p w14:paraId="22E2D2FE"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lastRenderedPageBreak/>
              <w:t>piemēro naudas sodu fiziskajām personām no sešām līdz simt četrdesmit naudas soda vienībām, bet juridiskajām personām – no divdesmit astoņām līdz divsimt astoņdesmit naudas soda vienībām.</w:t>
            </w:r>
          </w:p>
          <w:p w14:paraId="72C50DD2"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 xml:space="preserve">(3) Par neziņošanu Centram par avāriju, ja tā saistīta ar jonizējošā starojuma avotiem, vai par šādas avārijas slēpšanu – </w:t>
            </w:r>
          </w:p>
          <w:p w14:paraId="0CB0304C"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piemēro naudas sodu fiziskajām personām no sešām līdz simt četrdesmit naudas soda vienībām, bet juridiskajām personām – no astoņdesmit sešām līdz divsimt astoņdesmit naudas soda vienībām.</w:t>
            </w:r>
          </w:p>
          <w:p w14:paraId="5E398297"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 xml:space="preserve">(4) Par tādu preču, kuras satur neatļautas radioaktīvās vielas vai kurās jonizējošā starojuma līmenis pārsniedz normatīvajos aktos noteiktās normas, laišanu tirgū, piedāvāšanu vai pārdošanu – </w:t>
            </w:r>
          </w:p>
          <w:p w14:paraId="5F53B06C" w14:textId="77777777" w:rsidR="00381956" w:rsidRPr="00381956" w:rsidRDefault="00381956" w:rsidP="00381956">
            <w:pPr>
              <w:pStyle w:val="CommentText"/>
              <w:spacing w:after="120"/>
              <w:ind w:firstLine="33"/>
              <w:rPr>
                <w:sz w:val="22"/>
                <w:szCs w:val="22"/>
              </w:rPr>
            </w:pPr>
            <w:r w:rsidRPr="00381956">
              <w:rPr>
                <w:sz w:val="22"/>
                <w:szCs w:val="22"/>
              </w:rPr>
              <w:t>piemēro naudas sodu fiziskajām personām no septiņām līdz simt četrdesmit naudas soda vienībām, bet juridiskajām personām – no trīsdesmit līdz divi tūkstoši astoņsimt naudas soda vienībām.</w:t>
            </w:r>
          </w:p>
          <w:p w14:paraId="28A409B6"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lastRenderedPageBreak/>
              <w:t>(5) Par darbību veikšanu ar jonizējošā starojuma avotiem bez licences vai reģistrācijas – </w:t>
            </w:r>
          </w:p>
          <w:p w14:paraId="381542DD"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piemēro naudas sodu fiziskajām personām no četrpadsmit līdz simt četrdesmit naudas soda vienībām, bet juridiskajām personām – no divdesmit astoņām līdz divsimt astoņdesmit naudas soda vienībām.</w:t>
            </w:r>
          </w:p>
          <w:p w14:paraId="22B2F785" w14:textId="77777777" w:rsidR="00381956" w:rsidRPr="00381956" w:rsidRDefault="00381956" w:rsidP="00381956">
            <w:pPr>
              <w:pStyle w:val="tv213"/>
              <w:spacing w:before="0" w:beforeAutospacing="0" w:after="120" w:afterAutospacing="0"/>
              <w:ind w:firstLine="33"/>
              <w:jc w:val="both"/>
              <w:rPr>
                <w:sz w:val="22"/>
                <w:szCs w:val="22"/>
              </w:rPr>
            </w:pPr>
            <w:r w:rsidRPr="00381956">
              <w:rPr>
                <w:sz w:val="22"/>
                <w:szCs w:val="22"/>
              </w:rPr>
              <w:t xml:space="preserve">(6) Par darbību ar radioaktīvajiem atkritumiem un radioaktīvo vielu pārvadāšanas, iekraušanas un izkraušanas noteikumu pārkāpšanu, par radioaktīvo vielu kravu atstāšanu bez uzraudzības transportlīdzekļos, kā arī par radioaktīvo vielu nodošanu bagāžā vai bagāžas glabātavās – </w:t>
            </w:r>
          </w:p>
          <w:p w14:paraId="5F5D5447" w14:textId="77777777" w:rsidR="00B2172F" w:rsidRDefault="00381956" w:rsidP="00381956">
            <w:pPr>
              <w:ind w:firstLine="33"/>
              <w:jc w:val="both"/>
              <w:rPr>
                <w:sz w:val="22"/>
                <w:szCs w:val="22"/>
              </w:rPr>
            </w:pPr>
            <w:r w:rsidRPr="00381956">
              <w:rPr>
                <w:sz w:val="22"/>
                <w:szCs w:val="22"/>
              </w:rPr>
              <w:t>piemēro naudas sodu fiziskajām personām no četrpadsmit līdz simt četrdesmit naudas soda vienībām, bet juridiskajām personām – no piecdesmit sešām līdz piecsimt astoņdesmit naudas soda vienībām.</w:t>
            </w:r>
          </w:p>
          <w:p w14:paraId="2B526C31" w14:textId="77777777" w:rsidR="00F901E7" w:rsidRPr="00F901E7" w:rsidRDefault="00F901E7" w:rsidP="00F901E7">
            <w:pPr>
              <w:ind w:firstLine="33"/>
              <w:jc w:val="both"/>
              <w:rPr>
                <w:sz w:val="22"/>
                <w:szCs w:val="22"/>
              </w:rPr>
            </w:pPr>
            <w:r w:rsidRPr="00F901E7">
              <w:rPr>
                <w:sz w:val="22"/>
                <w:szCs w:val="22"/>
              </w:rPr>
              <w:t xml:space="preserve">(7) Par neziņošanu Centram par radioaktīvo vielu izplūdi (novadīšanu) vidē, kā arī par vides informācijas slēpšanu vai tās atspoguļošanu maldinošā veidā, par neziņošanu tuvākās ostas administrācijai par Latvijas jūras </w:t>
            </w:r>
            <w:r w:rsidRPr="00F901E7">
              <w:rPr>
                <w:sz w:val="22"/>
                <w:szCs w:val="22"/>
              </w:rPr>
              <w:lastRenderedPageBreak/>
              <w:t>ūdeņu (arī jūras ostu akvatoriju un upju grīvu) piesārņošanu ar radioaktīvajām vielām no peldošiem līdzekļiem un citām konstrukcijām, kā arī no gaisakuģiem –</w:t>
            </w:r>
          </w:p>
          <w:p w14:paraId="392D8010" w14:textId="140D5990" w:rsidR="00F901E7" w:rsidRPr="00381956" w:rsidRDefault="00F901E7" w:rsidP="00F901E7">
            <w:pPr>
              <w:ind w:firstLine="33"/>
              <w:jc w:val="both"/>
              <w:rPr>
                <w:i/>
                <w:sz w:val="22"/>
                <w:szCs w:val="22"/>
              </w:rPr>
            </w:pPr>
            <w:r w:rsidRPr="00F901E7">
              <w:rPr>
                <w:sz w:val="22"/>
                <w:szCs w:val="22"/>
              </w:rPr>
              <w:t>piemēro naudas sodu juridiskām personām no četrpadsmit līdz četrsimt naudas soda vienībām.</w:t>
            </w:r>
          </w:p>
        </w:tc>
      </w:tr>
      <w:tr w:rsidR="002967C0" w:rsidRPr="000B51DA" w14:paraId="5622C4C3" w14:textId="77777777" w:rsidTr="00A91645">
        <w:tc>
          <w:tcPr>
            <w:tcW w:w="675" w:type="dxa"/>
            <w:tcBorders>
              <w:top w:val="single" w:sz="6" w:space="0" w:color="000000"/>
              <w:left w:val="single" w:sz="6" w:space="0" w:color="000000"/>
              <w:bottom w:val="single" w:sz="6" w:space="0" w:color="000000"/>
              <w:right w:val="single" w:sz="6" w:space="0" w:color="000000"/>
            </w:tcBorders>
          </w:tcPr>
          <w:p w14:paraId="38BA4BE4" w14:textId="468074EF" w:rsidR="002967C0" w:rsidRPr="002A686F" w:rsidRDefault="00A02A1F" w:rsidP="002A686F">
            <w:pPr>
              <w:pStyle w:val="naisc"/>
              <w:spacing w:before="0" w:after="0"/>
              <w:rPr>
                <w:sz w:val="22"/>
                <w:szCs w:val="22"/>
              </w:rPr>
            </w:pPr>
            <w:r>
              <w:rPr>
                <w:sz w:val="22"/>
                <w:szCs w:val="22"/>
              </w:rPr>
              <w:lastRenderedPageBreak/>
              <w:t>2.</w:t>
            </w:r>
          </w:p>
        </w:tc>
        <w:tc>
          <w:tcPr>
            <w:tcW w:w="3145" w:type="dxa"/>
            <w:tcBorders>
              <w:top w:val="single" w:sz="6" w:space="0" w:color="000000"/>
              <w:left w:val="single" w:sz="6" w:space="0" w:color="000000"/>
              <w:bottom w:val="single" w:sz="6" w:space="0" w:color="000000"/>
              <w:right w:val="single" w:sz="6" w:space="0" w:color="000000"/>
            </w:tcBorders>
          </w:tcPr>
          <w:p w14:paraId="5DFE4BE8" w14:textId="50555897" w:rsidR="002967C0" w:rsidRPr="00A02A1F" w:rsidRDefault="002967C0" w:rsidP="002967C0">
            <w:pPr>
              <w:jc w:val="both"/>
              <w:rPr>
                <w:sz w:val="22"/>
                <w:szCs w:val="22"/>
              </w:rPr>
            </w:pPr>
            <w:r w:rsidRPr="00A02A1F">
              <w:rPr>
                <w:sz w:val="22"/>
                <w:szCs w:val="22"/>
              </w:rPr>
              <w:t>Likuma “Par radiācijas drošību un kodoldrošību” 31. </w:t>
            </w:r>
            <w:r w:rsidR="006A5B7B">
              <w:rPr>
                <w:sz w:val="22"/>
                <w:szCs w:val="22"/>
              </w:rPr>
              <w:t>panta otrā, trešā un septītā daļa</w:t>
            </w:r>
            <w:r w:rsidRPr="00A02A1F">
              <w:rPr>
                <w:sz w:val="22"/>
                <w:szCs w:val="22"/>
              </w:rPr>
              <w:t xml:space="preserve"> – sk. izziņas 1. punktu.</w:t>
            </w:r>
          </w:p>
        </w:tc>
        <w:tc>
          <w:tcPr>
            <w:tcW w:w="3827" w:type="dxa"/>
            <w:tcBorders>
              <w:top w:val="single" w:sz="6" w:space="0" w:color="000000"/>
              <w:left w:val="single" w:sz="6" w:space="0" w:color="000000"/>
              <w:bottom w:val="single" w:sz="6" w:space="0" w:color="000000"/>
              <w:right w:val="single" w:sz="6" w:space="0" w:color="000000"/>
            </w:tcBorders>
          </w:tcPr>
          <w:p w14:paraId="2C0532D7" w14:textId="77777777" w:rsidR="002967C0" w:rsidRPr="002967C0" w:rsidRDefault="002967C0" w:rsidP="00185E10">
            <w:pPr>
              <w:pStyle w:val="naisc"/>
              <w:spacing w:before="0" w:after="0"/>
              <w:ind w:right="3"/>
              <w:jc w:val="both"/>
              <w:rPr>
                <w:b/>
                <w:sz w:val="22"/>
                <w:szCs w:val="22"/>
              </w:rPr>
            </w:pPr>
            <w:r w:rsidRPr="002967C0">
              <w:rPr>
                <w:b/>
                <w:sz w:val="22"/>
                <w:szCs w:val="22"/>
              </w:rPr>
              <w:t>Tieslietu ministrija</w:t>
            </w:r>
          </w:p>
          <w:p w14:paraId="7FB2FA90" w14:textId="4212D46F" w:rsidR="002967C0" w:rsidRPr="002967C0" w:rsidRDefault="002967C0" w:rsidP="00185E10">
            <w:pPr>
              <w:pStyle w:val="naisc"/>
              <w:spacing w:before="0" w:after="0"/>
              <w:ind w:right="3"/>
              <w:jc w:val="both"/>
              <w:rPr>
                <w:b/>
                <w:sz w:val="22"/>
                <w:szCs w:val="22"/>
              </w:rPr>
            </w:pPr>
            <w:r w:rsidRPr="002967C0">
              <w:rPr>
                <w:sz w:val="22"/>
                <w:szCs w:val="22"/>
              </w:rPr>
              <w:t xml:space="preserve">Likuma "Par radiācijas drošību un kodoldrošību" 31. panta otrajā daļā paredzēts noteikt atbildību par pārskatu par darbībām ar jonizējošā starojuma avotiem nesniegšanu, 31. panta trešajā daļā – par darbību veikšanu ar jonizējošā starojuma avotiem bez paziņošanas, savukārt 31. panta septītajā daļā – par neziņošanu Valsts vides dienesta Radiācijas drošības centram par </w:t>
            </w:r>
            <w:r w:rsidRPr="002967C0">
              <w:rPr>
                <w:sz w:val="22"/>
                <w:szCs w:val="22"/>
              </w:rPr>
              <w:lastRenderedPageBreak/>
              <w:t>radioaktīvo vielu izplūdi (novadīšanu) vidē, kā arī par vides informācijas slēpšanu vai tās atspoguļošanu maldinošā veidā, par neziņošanu tuvākās ostas administrācijai par Latvijas jūras ūdeņu (arī jūras ostu akvatoriju un upju grīvu) piesārņošanu ar radioaktīvajām vielām no peldošiem līdzekļiem un citām konstrukcijām, kā arī no gaisakuģiem. Vēršam uzmanību, ka 2019. gada 24. oktobrī Saeima pirmajā lasījumā atbalstīja likumprojektu "Administratīvo sodu likums par pārkāpumiem pārvaldes, sabiedriskās kārtības un valsts valodas lietošanas jomā" (Nr.342/Lp13) (turpmāk – Administratīvo sodu likumprojekts). Administratīvo sodu likumprojekta 3. panta otrajā daļā ir paredzēta atbildība par informācijas nesniegšanu, informācijas nepienācīgu sniegšanu vai nepatiesas informācijas sniegšanu iestādei. Ievērojot minēto, lūdzam svītrot projekta 2. pantā paredzēto likuma "Par radiācijas drošību un kodoldrošību" 31. panta otro, trešo un septīto daļu.</w:t>
            </w:r>
          </w:p>
        </w:tc>
        <w:tc>
          <w:tcPr>
            <w:tcW w:w="3544" w:type="dxa"/>
            <w:tcBorders>
              <w:top w:val="single" w:sz="6" w:space="0" w:color="000000"/>
              <w:left w:val="single" w:sz="6" w:space="0" w:color="000000"/>
              <w:bottom w:val="single" w:sz="6" w:space="0" w:color="000000"/>
              <w:right w:val="single" w:sz="6" w:space="0" w:color="000000"/>
            </w:tcBorders>
          </w:tcPr>
          <w:p w14:paraId="10436D1D" w14:textId="08F50E6C" w:rsidR="002967C0" w:rsidRPr="002967C0" w:rsidRDefault="002967C0" w:rsidP="002967C0">
            <w:pPr>
              <w:pStyle w:val="naisc"/>
              <w:spacing w:before="0" w:after="0"/>
              <w:ind w:firstLine="23"/>
              <w:jc w:val="both"/>
              <w:rPr>
                <w:b/>
                <w:sz w:val="22"/>
                <w:szCs w:val="22"/>
              </w:rPr>
            </w:pPr>
            <w:r>
              <w:rPr>
                <w:b/>
                <w:sz w:val="22"/>
                <w:szCs w:val="22"/>
              </w:rPr>
              <w:lastRenderedPageBreak/>
              <w:t>Ņemts vērā</w:t>
            </w:r>
          </w:p>
        </w:tc>
        <w:tc>
          <w:tcPr>
            <w:tcW w:w="3376" w:type="dxa"/>
            <w:tcBorders>
              <w:top w:val="single" w:sz="4" w:space="0" w:color="auto"/>
              <w:left w:val="single" w:sz="4" w:space="0" w:color="auto"/>
              <w:bottom w:val="single" w:sz="4" w:space="0" w:color="auto"/>
            </w:tcBorders>
          </w:tcPr>
          <w:p w14:paraId="05BD9C53" w14:textId="2576C078" w:rsidR="002967C0" w:rsidRPr="00A62C8B" w:rsidRDefault="0006473D" w:rsidP="00F901E7">
            <w:pPr>
              <w:jc w:val="both"/>
            </w:pPr>
            <w:r w:rsidRPr="00A02A1F">
              <w:rPr>
                <w:sz w:val="22"/>
                <w:szCs w:val="22"/>
              </w:rPr>
              <w:t>Likuma “Par radiācijas drošību un kodoldrošību” 31. </w:t>
            </w:r>
            <w:r w:rsidR="00F901E7">
              <w:rPr>
                <w:sz w:val="22"/>
                <w:szCs w:val="22"/>
              </w:rPr>
              <w:t>panta otrā un</w:t>
            </w:r>
            <w:r>
              <w:rPr>
                <w:sz w:val="22"/>
                <w:szCs w:val="22"/>
              </w:rPr>
              <w:t xml:space="preserve"> trešā </w:t>
            </w:r>
            <w:r w:rsidR="00F901E7">
              <w:rPr>
                <w:sz w:val="22"/>
                <w:szCs w:val="22"/>
              </w:rPr>
              <w:t xml:space="preserve">daļa </w:t>
            </w:r>
            <w:r w:rsidRPr="00A02A1F">
              <w:rPr>
                <w:sz w:val="22"/>
                <w:szCs w:val="22"/>
              </w:rPr>
              <w:t xml:space="preserve"> – sk. izziņas 1. punktu.</w:t>
            </w:r>
          </w:p>
        </w:tc>
      </w:tr>
      <w:tr w:rsidR="006A5B7B" w:rsidRPr="000B51DA" w14:paraId="308E1B6C" w14:textId="77777777" w:rsidTr="00A91645">
        <w:tc>
          <w:tcPr>
            <w:tcW w:w="675" w:type="dxa"/>
            <w:tcBorders>
              <w:top w:val="single" w:sz="6" w:space="0" w:color="000000"/>
              <w:left w:val="single" w:sz="6" w:space="0" w:color="000000"/>
              <w:bottom w:val="single" w:sz="6" w:space="0" w:color="000000"/>
              <w:right w:val="single" w:sz="6" w:space="0" w:color="000000"/>
            </w:tcBorders>
          </w:tcPr>
          <w:p w14:paraId="7500318D" w14:textId="1572E28A" w:rsidR="006A5B7B" w:rsidRDefault="006A5B7B" w:rsidP="006A5B7B">
            <w:pPr>
              <w:pStyle w:val="naisc"/>
              <w:spacing w:before="0" w:after="0"/>
              <w:rPr>
                <w:sz w:val="22"/>
                <w:szCs w:val="22"/>
              </w:rPr>
            </w:pPr>
            <w:r>
              <w:rPr>
                <w:sz w:val="22"/>
                <w:szCs w:val="22"/>
              </w:rPr>
              <w:t>3.</w:t>
            </w:r>
          </w:p>
        </w:tc>
        <w:tc>
          <w:tcPr>
            <w:tcW w:w="3145" w:type="dxa"/>
            <w:tcBorders>
              <w:top w:val="single" w:sz="6" w:space="0" w:color="000000"/>
              <w:left w:val="single" w:sz="6" w:space="0" w:color="000000"/>
              <w:bottom w:val="single" w:sz="6" w:space="0" w:color="000000"/>
              <w:right w:val="single" w:sz="6" w:space="0" w:color="000000"/>
            </w:tcBorders>
          </w:tcPr>
          <w:p w14:paraId="2379E68F" w14:textId="06F2389F" w:rsidR="006A5B7B" w:rsidRPr="00A02A1F" w:rsidRDefault="006A5B7B" w:rsidP="006A5B7B">
            <w:pPr>
              <w:jc w:val="both"/>
              <w:rPr>
                <w:sz w:val="22"/>
                <w:szCs w:val="22"/>
              </w:rPr>
            </w:pPr>
            <w:r w:rsidRPr="00A02A1F">
              <w:rPr>
                <w:sz w:val="22"/>
                <w:szCs w:val="22"/>
              </w:rPr>
              <w:t>Likuma “Par radiācijas drošību un kodoldrošību” 31. </w:t>
            </w:r>
            <w:r>
              <w:rPr>
                <w:sz w:val="22"/>
                <w:szCs w:val="22"/>
              </w:rPr>
              <w:t>panta trešā daļa</w:t>
            </w:r>
            <w:r w:rsidRPr="00A02A1F">
              <w:rPr>
                <w:sz w:val="22"/>
                <w:szCs w:val="22"/>
              </w:rPr>
              <w:t xml:space="preserve"> – sk. izziņas 1. punktu.</w:t>
            </w:r>
          </w:p>
        </w:tc>
        <w:tc>
          <w:tcPr>
            <w:tcW w:w="3827" w:type="dxa"/>
            <w:tcBorders>
              <w:top w:val="single" w:sz="6" w:space="0" w:color="000000"/>
              <w:left w:val="single" w:sz="6" w:space="0" w:color="000000"/>
              <w:bottom w:val="single" w:sz="6" w:space="0" w:color="000000"/>
              <w:right w:val="single" w:sz="6" w:space="0" w:color="000000"/>
            </w:tcBorders>
          </w:tcPr>
          <w:p w14:paraId="30504FCC" w14:textId="77777777" w:rsidR="006A5B7B" w:rsidRPr="00EF2AE3" w:rsidRDefault="006A5B7B" w:rsidP="006A5B7B">
            <w:pPr>
              <w:autoSpaceDE w:val="0"/>
              <w:autoSpaceDN w:val="0"/>
              <w:adjustRightInd w:val="0"/>
              <w:jc w:val="both"/>
              <w:rPr>
                <w:b/>
                <w:bCs/>
                <w:sz w:val="22"/>
                <w:szCs w:val="22"/>
              </w:rPr>
            </w:pPr>
            <w:r w:rsidRPr="00EF2AE3">
              <w:rPr>
                <w:b/>
                <w:bCs/>
                <w:sz w:val="22"/>
                <w:szCs w:val="22"/>
              </w:rPr>
              <w:t>Tieslietu ministrija</w:t>
            </w:r>
          </w:p>
          <w:p w14:paraId="168ECB00" w14:textId="14121463" w:rsidR="006A5B7B" w:rsidRPr="002967C0" w:rsidRDefault="006A5B7B" w:rsidP="006A5B7B">
            <w:pPr>
              <w:pStyle w:val="naisc"/>
              <w:spacing w:before="0" w:after="0"/>
              <w:ind w:right="3"/>
              <w:jc w:val="both"/>
              <w:rPr>
                <w:b/>
                <w:sz w:val="22"/>
                <w:szCs w:val="22"/>
              </w:rPr>
            </w:pPr>
            <w:r w:rsidRPr="00EF2AE3">
              <w:rPr>
                <w:sz w:val="22"/>
                <w:szCs w:val="22"/>
              </w:rPr>
              <w:t xml:space="preserve">Projekta anotācijas I sadaļas 2. punktā norādīts, ka, ievērojot likumprojektu ''Grozījumi likumā ''Par radiācijas drošību un kodoldrošību'''', kas 2019. gada 7. februārī tika izsludināts Valsts </w:t>
            </w:r>
            <w:r w:rsidRPr="00EF2AE3">
              <w:rPr>
                <w:sz w:val="22"/>
                <w:szCs w:val="22"/>
              </w:rPr>
              <w:lastRenderedPageBreak/>
              <w:t>sekretāru sanāksmē (VSS-95), un tajā ietvertās prasības, sākot ar 2021. gada 1. janvāri, stāsies spēkā jauna prasība, ka jebkura darbība ar jonizējošā starojuma avotiem būs paziņojama Valsts vides dienesta Radiācijas drošības centram. Vēršam uzmanību, ka minētais likumprojekts ''Grozījumi likumā ''Par radiācijas drošību un kodoldrošību'''' (VSS-95) pēc izsludināšanas Valsts sekretāru sanāksmē tālāk nav virzīts, līdz ar to tajā ietvertās prasības, visticamāk, nestāsies spēkā 2021. gada 1. janvārī. Ievērojot minēto, lūdzam izslēgt projekta 2. pantā paredzēto likuma "Par radiācijas drošību un kodoldrošību" 31. panta trešās daļas administratīvo pārkāpumu.</w:t>
            </w:r>
          </w:p>
        </w:tc>
        <w:tc>
          <w:tcPr>
            <w:tcW w:w="3544" w:type="dxa"/>
            <w:tcBorders>
              <w:top w:val="single" w:sz="6" w:space="0" w:color="000000"/>
              <w:left w:val="single" w:sz="6" w:space="0" w:color="000000"/>
              <w:bottom w:val="single" w:sz="6" w:space="0" w:color="000000"/>
              <w:right w:val="single" w:sz="6" w:space="0" w:color="000000"/>
            </w:tcBorders>
          </w:tcPr>
          <w:p w14:paraId="14A4D430" w14:textId="2A7D5940" w:rsidR="006A5B7B" w:rsidRPr="00EF2AE3" w:rsidRDefault="006A5B7B" w:rsidP="006A5B7B">
            <w:pPr>
              <w:jc w:val="both"/>
              <w:rPr>
                <w:b/>
                <w:sz w:val="22"/>
                <w:szCs w:val="22"/>
              </w:rPr>
            </w:pPr>
            <w:r w:rsidRPr="00EF2AE3">
              <w:rPr>
                <w:b/>
                <w:sz w:val="22"/>
                <w:szCs w:val="22"/>
              </w:rPr>
              <w:lastRenderedPageBreak/>
              <w:t>Ņemts vērā</w:t>
            </w:r>
            <w:r w:rsidR="004C094A">
              <w:rPr>
                <w:b/>
                <w:sz w:val="22"/>
                <w:szCs w:val="22"/>
              </w:rPr>
              <w:t xml:space="preserve"> </w:t>
            </w:r>
          </w:p>
          <w:p w14:paraId="7F0E8AAD" w14:textId="57C286BF" w:rsidR="006A5B7B" w:rsidRPr="00F25655" w:rsidRDefault="006A5B7B" w:rsidP="00F25655">
            <w:pPr>
              <w:jc w:val="both"/>
              <w:rPr>
                <w:sz w:val="22"/>
                <w:szCs w:val="22"/>
              </w:rPr>
            </w:pPr>
          </w:p>
        </w:tc>
        <w:tc>
          <w:tcPr>
            <w:tcW w:w="3376" w:type="dxa"/>
            <w:tcBorders>
              <w:top w:val="single" w:sz="4" w:space="0" w:color="auto"/>
              <w:left w:val="single" w:sz="4" w:space="0" w:color="auto"/>
              <w:bottom w:val="single" w:sz="4" w:space="0" w:color="auto"/>
            </w:tcBorders>
          </w:tcPr>
          <w:p w14:paraId="6BEAFA38" w14:textId="13C0A5B7" w:rsidR="006A5B7B" w:rsidRPr="00A62C8B" w:rsidRDefault="0006473D" w:rsidP="006A5B7B">
            <w:pPr>
              <w:jc w:val="both"/>
            </w:pPr>
            <w:r w:rsidRPr="00A02A1F">
              <w:rPr>
                <w:sz w:val="22"/>
                <w:szCs w:val="22"/>
              </w:rPr>
              <w:t>Likuma “Par radiācijas drošību un kodoldrošību” 3</w:t>
            </w:r>
            <w:r>
              <w:rPr>
                <w:sz w:val="22"/>
                <w:szCs w:val="22"/>
              </w:rPr>
              <w:t>1</w:t>
            </w:r>
            <w:r w:rsidRPr="00A02A1F">
              <w:rPr>
                <w:sz w:val="22"/>
                <w:szCs w:val="22"/>
              </w:rPr>
              <w:t>. </w:t>
            </w:r>
            <w:r>
              <w:rPr>
                <w:sz w:val="22"/>
                <w:szCs w:val="22"/>
              </w:rPr>
              <w:t>panta trešā daļa</w:t>
            </w:r>
            <w:r w:rsidRPr="00A02A1F">
              <w:rPr>
                <w:sz w:val="22"/>
                <w:szCs w:val="22"/>
              </w:rPr>
              <w:t xml:space="preserve"> – sk. izzi</w:t>
            </w:r>
            <w:r>
              <w:rPr>
                <w:sz w:val="22"/>
                <w:szCs w:val="22"/>
              </w:rPr>
              <w:t>ņas 1</w:t>
            </w:r>
            <w:r w:rsidRPr="00A02A1F">
              <w:rPr>
                <w:sz w:val="22"/>
                <w:szCs w:val="22"/>
              </w:rPr>
              <w:t>. punktu.</w:t>
            </w:r>
          </w:p>
        </w:tc>
      </w:tr>
      <w:tr w:rsidR="00F25655" w:rsidRPr="000B51DA" w14:paraId="2B4E0B06" w14:textId="77777777" w:rsidTr="00A91645">
        <w:tc>
          <w:tcPr>
            <w:tcW w:w="675" w:type="dxa"/>
            <w:tcBorders>
              <w:top w:val="single" w:sz="6" w:space="0" w:color="000000"/>
              <w:left w:val="single" w:sz="6" w:space="0" w:color="000000"/>
              <w:bottom w:val="single" w:sz="6" w:space="0" w:color="000000"/>
              <w:right w:val="single" w:sz="6" w:space="0" w:color="000000"/>
            </w:tcBorders>
          </w:tcPr>
          <w:p w14:paraId="01227A3D" w14:textId="57E8AD5D" w:rsidR="00F25655" w:rsidRDefault="00F25655" w:rsidP="00F25655">
            <w:pPr>
              <w:pStyle w:val="naisc"/>
              <w:spacing w:before="0" w:after="0"/>
              <w:rPr>
                <w:sz w:val="22"/>
                <w:szCs w:val="22"/>
              </w:rPr>
            </w:pPr>
            <w:r>
              <w:rPr>
                <w:sz w:val="22"/>
                <w:szCs w:val="22"/>
              </w:rPr>
              <w:t>4.</w:t>
            </w:r>
          </w:p>
        </w:tc>
        <w:tc>
          <w:tcPr>
            <w:tcW w:w="3145" w:type="dxa"/>
            <w:tcBorders>
              <w:top w:val="single" w:sz="6" w:space="0" w:color="000000"/>
              <w:left w:val="single" w:sz="6" w:space="0" w:color="000000"/>
              <w:bottom w:val="single" w:sz="6" w:space="0" w:color="000000"/>
              <w:right w:val="single" w:sz="6" w:space="0" w:color="000000"/>
            </w:tcBorders>
          </w:tcPr>
          <w:p w14:paraId="1A0F30E1" w14:textId="61E4068F" w:rsidR="00F25655" w:rsidRPr="00185E10" w:rsidRDefault="00F25655" w:rsidP="00F25655">
            <w:pPr>
              <w:pStyle w:val="naisc"/>
              <w:spacing w:before="0" w:after="0"/>
              <w:jc w:val="both"/>
              <w:rPr>
                <w:b/>
                <w:sz w:val="22"/>
                <w:szCs w:val="22"/>
              </w:rPr>
            </w:pPr>
            <w:r>
              <w:rPr>
                <w:b/>
                <w:sz w:val="22"/>
                <w:szCs w:val="22"/>
              </w:rPr>
              <w:t>32. pants</w:t>
            </w:r>
            <w:r w:rsidRPr="00185E10">
              <w:rPr>
                <w:b/>
                <w:sz w:val="22"/>
                <w:szCs w:val="22"/>
              </w:rPr>
              <w:t>. Kompetence administratīvo pārkāpumu procesā</w:t>
            </w:r>
          </w:p>
          <w:p w14:paraId="53D2F271" w14:textId="77777777" w:rsidR="00F25655" w:rsidRPr="00185E10" w:rsidRDefault="00F25655" w:rsidP="00F25655">
            <w:pPr>
              <w:pStyle w:val="naisc"/>
              <w:spacing w:before="0" w:after="0"/>
              <w:jc w:val="both"/>
              <w:rPr>
                <w:b/>
                <w:sz w:val="22"/>
                <w:szCs w:val="22"/>
              </w:rPr>
            </w:pPr>
          </w:p>
          <w:p w14:paraId="5EABB68F" w14:textId="77777777" w:rsidR="00F25655" w:rsidRPr="00185E10" w:rsidRDefault="00F25655" w:rsidP="00F25655">
            <w:pPr>
              <w:spacing w:after="120"/>
              <w:ind w:firstLine="27"/>
              <w:jc w:val="both"/>
              <w:rPr>
                <w:sz w:val="22"/>
                <w:szCs w:val="22"/>
              </w:rPr>
            </w:pPr>
            <w:r w:rsidRPr="00185E10">
              <w:rPr>
                <w:sz w:val="22"/>
                <w:szCs w:val="22"/>
              </w:rPr>
              <w:t>(2) Par šā likuma 31. panta devīt</w:t>
            </w:r>
            <w:r>
              <w:rPr>
                <w:sz w:val="22"/>
                <w:szCs w:val="22"/>
              </w:rPr>
              <w:t xml:space="preserve">ajā daļā minētajiem pārkāpumiem </w:t>
            </w:r>
            <w:r w:rsidRPr="00185E10">
              <w:rPr>
                <w:sz w:val="22"/>
                <w:szCs w:val="22"/>
              </w:rPr>
              <w:t xml:space="preserve">administratīvā pārkāpuma procesu veic attiecīgā </w:t>
            </w:r>
            <w:r w:rsidRPr="0090248B">
              <w:rPr>
                <w:b/>
                <w:sz w:val="22"/>
                <w:szCs w:val="22"/>
              </w:rPr>
              <w:t>tirgus uzraudzības</w:t>
            </w:r>
            <w:r w:rsidRPr="00185E10">
              <w:rPr>
                <w:sz w:val="22"/>
                <w:szCs w:val="22"/>
              </w:rPr>
              <w:t xml:space="preserve"> iestāde, pamatojoties uz Valsts vides dienesta atzinumu:</w:t>
            </w:r>
          </w:p>
          <w:p w14:paraId="7C878029" w14:textId="77777777" w:rsidR="00F25655" w:rsidRPr="00185E10" w:rsidRDefault="00F25655" w:rsidP="00F25655">
            <w:pPr>
              <w:spacing w:after="120"/>
              <w:ind w:left="169" w:firstLine="11"/>
              <w:jc w:val="both"/>
              <w:rPr>
                <w:sz w:val="22"/>
                <w:szCs w:val="22"/>
              </w:rPr>
            </w:pPr>
            <w:r w:rsidRPr="00185E10">
              <w:rPr>
                <w:sz w:val="22"/>
                <w:szCs w:val="22"/>
              </w:rPr>
              <w:t>1) pārtikas un dzīvnieku barības jomā – Pārtikas veterinārais dienests;</w:t>
            </w:r>
          </w:p>
          <w:p w14:paraId="754C9A87" w14:textId="77777777" w:rsidR="00F25655" w:rsidRPr="00185E10" w:rsidRDefault="00F25655" w:rsidP="00F25655">
            <w:pPr>
              <w:spacing w:after="120"/>
              <w:ind w:left="169" w:firstLine="11"/>
              <w:jc w:val="both"/>
              <w:rPr>
                <w:sz w:val="22"/>
                <w:szCs w:val="22"/>
              </w:rPr>
            </w:pPr>
            <w:r w:rsidRPr="00185E10">
              <w:rPr>
                <w:sz w:val="22"/>
                <w:szCs w:val="22"/>
              </w:rPr>
              <w:lastRenderedPageBreak/>
              <w:t>2) dārgmetālu, dārgakmeņu un to izstrādājumu jomā līdz administratīvā pārkāpuma lietas izskatīšanai – valsts sabiedrība ar ierobežotu atbildību “Latvijas proves birojs”. Administratīvā pārkāpuma lietu izskata Valsts ieņēmumu dienests;</w:t>
            </w:r>
          </w:p>
          <w:p w14:paraId="16D13424" w14:textId="77777777" w:rsidR="00F25655" w:rsidRPr="00185E10" w:rsidRDefault="00F25655" w:rsidP="00F25655">
            <w:pPr>
              <w:spacing w:after="120"/>
              <w:ind w:left="169" w:firstLine="11"/>
              <w:jc w:val="both"/>
              <w:rPr>
                <w:sz w:val="22"/>
                <w:szCs w:val="22"/>
              </w:rPr>
            </w:pPr>
            <w:r w:rsidRPr="00185E10">
              <w:rPr>
                <w:sz w:val="22"/>
                <w:szCs w:val="22"/>
              </w:rPr>
              <w:t>3) kosmētikas līdzekļu, ķīmisko vielu, maisījumu un biocīdu jomā – Veselības inspekcija;</w:t>
            </w:r>
          </w:p>
          <w:p w14:paraId="22B82FEF" w14:textId="103C9287" w:rsidR="00F25655" w:rsidRPr="00A02A1F" w:rsidRDefault="00F25655" w:rsidP="00F25655">
            <w:pPr>
              <w:jc w:val="both"/>
              <w:rPr>
                <w:sz w:val="22"/>
                <w:szCs w:val="22"/>
              </w:rPr>
            </w:pPr>
            <w:r>
              <w:rPr>
                <w:sz w:val="22"/>
                <w:szCs w:val="22"/>
              </w:rPr>
              <w:t>4</w:t>
            </w:r>
            <w:r w:rsidRPr="00185E10">
              <w:rPr>
                <w:sz w:val="22"/>
                <w:szCs w:val="22"/>
              </w:rPr>
              <w:t>) būvmateriālu un būvizstrādājumu jomā, kā arī preču jomā, kas domātas patērētājiem vai ko paredzamos apstākļos varētu lietot patērētāji un kas nav minētas šā panta otrās daļas 1., 2. un 3. punktā – Patērētāju tiesību aizsardzības centrs.”</w:t>
            </w:r>
          </w:p>
        </w:tc>
        <w:tc>
          <w:tcPr>
            <w:tcW w:w="3827" w:type="dxa"/>
            <w:tcBorders>
              <w:top w:val="single" w:sz="6" w:space="0" w:color="000000"/>
              <w:left w:val="single" w:sz="6" w:space="0" w:color="000000"/>
              <w:bottom w:val="single" w:sz="6" w:space="0" w:color="000000"/>
              <w:right w:val="single" w:sz="6" w:space="0" w:color="000000"/>
            </w:tcBorders>
          </w:tcPr>
          <w:p w14:paraId="601824A1" w14:textId="77777777" w:rsidR="00F25655" w:rsidRPr="00A02A1F" w:rsidRDefault="00F25655" w:rsidP="00F25655">
            <w:pPr>
              <w:pStyle w:val="naisc"/>
              <w:spacing w:before="0"/>
              <w:ind w:right="6"/>
              <w:jc w:val="both"/>
              <w:rPr>
                <w:b/>
                <w:sz w:val="22"/>
                <w:szCs w:val="22"/>
              </w:rPr>
            </w:pPr>
            <w:r w:rsidRPr="00A02A1F">
              <w:rPr>
                <w:b/>
                <w:sz w:val="22"/>
                <w:szCs w:val="22"/>
              </w:rPr>
              <w:lastRenderedPageBreak/>
              <w:t>Tieslietu ministrija</w:t>
            </w:r>
            <w:bookmarkStart w:id="0" w:name="_GoBack"/>
            <w:bookmarkEnd w:id="0"/>
          </w:p>
          <w:p w14:paraId="0F139907" w14:textId="19420DBB" w:rsidR="00F25655" w:rsidRPr="00EF2AE3" w:rsidRDefault="00F25655" w:rsidP="00F25655">
            <w:pPr>
              <w:autoSpaceDE w:val="0"/>
              <w:autoSpaceDN w:val="0"/>
              <w:adjustRightInd w:val="0"/>
              <w:jc w:val="both"/>
              <w:rPr>
                <w:b/>
                <w:bCs/>
                <w:sz w:val="22"/>
                <w:szCs w:val="22"/>
              </w:rPr>
            </w:pPr>
            <w:r w:rsidRPr="00A02A1F">
              <w:rPr>
                <w:sz w:val="22"/>
                <w:szCs w:val="22"/>
              </w:rPr>
              <w:t xml:space="preserve">Projekta 2. pantā paredzētajā likuma "Par radiācijas drošību un kodoldrošību" 32. panta otrās daļas 2. punktā ir noteikta valsts sabiedrības ar ierobežotu atbildību "Latvijas proves birojs" kompetence veikt administratīvā pārkāpuma procesu dārgmetālu, dārgakmeņu un to izstrādājumu jomā līdz administratīvā pārkāpuma lietas izskatīšanai. Vēršam uzmanību, ka Administratīvās atbildības likuma (spēkā no 2020. gada 1. jūlija) 115. panta pirmajā daļā ir minētas iestādes, kuru amatpersonas ir tiesīgas veikt administratīvā pārkāpuma procesu. </w:t>
            </w:r>
            <w:r w:rsidRPr="00A02A1F">
              <w:rPr>
                <w:sz w:val="22"/>
                <w:szCs w:val="22"/>
              </w:rPr>
              <w:lastRenderedPageBreak/>
              <w:t>Ievērojot, ka valsts sabiedrība ar ierobežotu atbildību "Latvijas proves birojs" nav šo iestāžu skaitā, lūdzam precizēt projekta 2. pantā paredzēto likuma "Par radiācijas drošību un kodoldrošību" 32. panta otrās daļas 2. punktu.</w:t>
            </w:r>
          </w:p>
        </w:tc>
        <w:tc>
          <w:tcPr>
            <w:tcW w:w="3544" w:type="dxa"/>
            <w:tcBorders>
              <w:top w:val="single" w:sz="6" w:space="0" w:color="000000"/>
              <w:left w:val="single" w:sz="6" w:space="0" w:color="000000"/>
              <w:bottom w:val="single" w:sz="6" w:space="0" w:color="000000"/>
              <w:right w:val="single" w:sz="6" w:space="0" w:color="000000"/>
            </w:tcBorders>
          </w:tcPr>
          <w:p w14:paraId="0217E3E4" w14:textId="77777777" w:rsidR="00F25655" w:rsidRDefault="00F25655" w:rsidP="00F25655">
            <w:pPr>
              <w:jc w:val="both"/>
              <w:rPr>
                <w:b/>
                <w:sz w:val="22"/>
                <w:szCs w:val="22"/>
              </w:rPr>
            </w:pPr>
            <w:r>
              <w:rPr>
                <w:b/>
                <w:sz w:val="22"/>
                <w:szCs w:val="22"/>
              </w:rPr>
              <w:lastRenderedPageBreak/>
              <w:t>Ņemts vērā</w:t>
            </w:r>
          </w:p>
          <w:p w14:paraId="7DE25F2B" w14:textId="3B48D8B5" w:rsidR="005530D0" w:rsidRPr="00EF2AE3" w:rsidRDefault="005530D0" w:rsidP="00F25655">
            <w:pPr>
              <w:jc w:val="both"/>
              <w:rPr>
                <w:b/>
                <w:sz w:val="22"/>
                <w:szCs w:val="22"/>
              </w:rPr>
            </w:pPr>
            <w:r>
              <w:rPr>
                <w:sz w:val="22"/>
                <w:szCs w:val="22"/>
              </w:rPr>
              <w:t>Likumprojekts precizēts, ievērojot Tieslietu ministrijas iebildumu izziņas 2. punktā.</w:t>
            </w:r>
          </w:p>
        </w:tc>
        <w:tc>
          <w:tcPr>
            <w:tcW w:w="3376" w:type="dxa"/>
            <w:tcBorders>
              <w:top w:val="single" w:sz="4" w:space="0" w:color="auto"/>
              <w:left w:val="single" w:sz="4" w:space="0" w:color="auto"/>
              <w:bottom w:val="single" w:sz="4" w:space="0" w:color="auto"/>
            </w:tcBorders>
          </w:tcPr>
          <w:p w14:paraId="4D9CF11F" w14:textId="77777777" w:rsidR="00385EC8" w:rsidRPr="00385EC8" w:rsidRDefault="00385EC8" w:rsidP="00385EC8">
            <w:pPr>
              <w:pStyle w:val="tv213"/>
              <w:shd w:val="clear" w:color="auto" w:fill="FFFFFF"/>
              <w:spacing w:before="0" w:beforeAutospacing="0" w:after="120" w:afterAutospacing="0"/>
              <w:ind w:firstLine="175"/>
              <w:jc w:val="both"/>
              <w:rPr>
                <w:b/>
                <w:sz w:val="22"/>
                <w:szCs w:val="22"/>
              </w:rPr>
            </w:pPr>
            <w:r w:rsidRPr="00385EC8">
              <w:rPr>
                <w:b/>
                <w:sz w:val="22"/>
                <w:szCs w:val="22"/>
              </w:rPr>
              <w:t>32. pants. Kompetence administratīvo pārkāpumu procesā</w:t>
            </w:r>
          </w:p>
          <w:p w14:paraId="18DB17F1" w14:textId="77777777" w:rsidR="00385EC8" w:rsidRPr="00385EC8" w:rsidRDefault="00385EC8" w:rsidP="00385EC8">
            <w:pPr>
              <w:spacing w:after="120"/>
              <w:ind w:firstLine="175"/>
              <w:jc w:val="both"/>
              <w:rPr>
                <w:sz w:val="22"/>
                <w:szCs w:val="22"/>
              </w:rPr>
            </w:pPr>
            <w:r w:rsidRPr="00385EC8">
              <w:rPr>
                <w:sz w:val="22"/>
                <w:szCs w:val="22"/>
              </w:rPr>
              <w:t>(1) Par šā likuma 31. panta pirmajā, otrajā, trešajā, piektajā, sestajā un septītajā daļā minētajiem pārkāpumiem administratīvā pārkāpuma procesu veic Valsts vides dienests.</w:t>
            </w:r>
          </w:p>
          <w:p w14:paraId="28323EAF" w14:textId="77777777" w:rsidR="00385EC8" w:rsidRPr="00385EC8" w:rsidRDefault="00385EC8" w:rsidP="00385EC8">
            <w:pPr>
              <w:spacing w:after="120"/>
              <w:ind w:firstLine="175"/>
              <w:jc w:val="both"/>
              <w:rPr>
                <w:sz w:val="22"/>
                <w:szCs w:val="22"/>
              </w:rPr>
            </w:pPr>
            <w:r w:rsidRPr="00385EC8">
              <w:rPr>
                <w:sz w:val="22"/>
                <w:szCs w:val="22"/>
              </w:rPr>
              <w:t xml:space="preserve">(2) Par šā likuma 31. panta ceturtajā daļā minētajiem pārkāpumiem administratīvā pārkāpuma procesu veic attiecīgā </w:t>
            </w:r>
            <w:r w:rsidRPr="00385EC8">
              <w:rPr>
                <w:sz w:val="22"/>
                <w:szCs w:val="22"/>
              </w:rPr>
              <w:lastRenderedPageBreak/>
              <w:t>iestāde, pamatojoties uz Valsts vides dienesta atzinumu:</w:t>
            </w:r>
          </w:p>
          <w:p w14:paraId="2A9B9A04" w14:textId="77777777" w:rsidR="00385EC8" w:rsidRPr="00385EC8" w:rsidRDefault="00385EC8" w:rsidP="00385EC8">
            <w:pPr>
              <w:spacing w:after="120"/>
              <w:ind w:left="175" w:firstLine="175"/>
              <w:jc w:val="both"/>
              <w:rPr>
                <w:sz w:val="22"/>
                <w:szCs w:val="22"/>
              </w:rPr>
            </w:pPr>
            <w:r w:rsidRPr="00385EC8">
              <w:rPr>
                <w:sz w:val="22"/>
                <w:szCs w:val="22"/>
              </w:rPr>
              <w:t>1) Pārtikas un veterinārais dienests – pārtikas un dzīvnieku barības jomā;</w:t>
            </w:r>
          </w:p>
          <w:p w14:paraId="2E704825" w14:textId="77777777" w:rsidR="00385EC8" w:rsidRPr="00385EC8" w:rsidRDefault="00385EC8" w:rsidP="00385EC8">
            <w:pPr>
              <w:spacing w:after="120"/>
              <w:ind w:left="175" w:firstLine="175"/>
              <w:jc w:val="both"/>
              <w:rPr>
                <w:sz w:val="22"/>
                <w:szCs w:val="22"/>
              </w:rPr>
            </w:pPr>
            <w:r w:rsidRPr="00385EC8">
              <w:rPr>
                <w:sz w:val="22"/>
                <w:szCs w:val="22"/>
              </w:rPr>
              <w:t>2) Veselības inspekcija – kosmētikas līdzekļu, ķīmisko vielu, maisījumu un biocīdu jomā;</w:t>
            </w:r>
          </w:p>
          <w:p w14:paraId="248C923A" w14:textId="77777777" w:rsidR="00385EC8" w:rsidRPr="00385EC8" w:rsidRDefault="00385EC8" w:rsidP="00385EC8">
            <w:pPr>
              <w:spacing w:after="120"/>
              <w:ind w:left="175" w:firstLine="175"/>
              <w:jc w:val="both"/>
              <w:rPr>
                <w:color w:val="0070C0"/>
                <w:sz w:val="22"/>
                <w:szCs w:val="22"/>
              </w:rPr>
            </w:pPr>
            <w:r w:rsidRPr="00385EC8">
              <w:rPr>
                <w:sz w:val="22"/>
                <w:szCs w:val="22"/>
              </w:rPr>
              <w:t xml:space="preserve">3) </w:t>
            </w:r>
            <w:r w:rsidRPr="00AA716C">
              <w:rPr>
                <w:sz w:val="22"/>
                <w:szCs w:val="22"/>
              </w:rPr>
              <w:t>Valsts ieņēmumu dienests – dārgmetālu, dārgakmeņu un to izstrādājumu jomā;</w:t>
            </w:r>
            <w:r w:rsidRPr="00385EC8">
              <w:rPr>
                <w:b/>
                <w:sz w:val="22"/>
                <w:szCs w:val="22"/>
              </w:rPr>
              <w:t xml:space="preserve"> </w:t>
            </w:r>
          </w:p>
          <w:p w14:paraId="7069F0F6" w14:textId="0750EB65" w:rsidR="00F25655" w:rsidRPr="00385EC8" w:rsidRDefault="00385EC8" w:rsidP="00385EC8">
            <w:pPr>
              <w:spacing w:after="120"/>
              <w:ind w:left="175" w:firstLine="175"/>
              <w:jc w:val="both"/>
              <w:rPr>
                <w:sz w:val="22"/>
                <w:szCs w:val="22"/>
              </w:rPr>
            </w:pPr>
            <w:r w:rsidRPr="00385EC8">
              <w:rPr>
                <w:sz w:val="22"/>
                <w:szCs w:val="22"/>
              </w:rPr>
              <w:t>4) Patērētāju tiesību aizsardzības centrs – būvmateriālu un būvizstrādājumu, kā arī tādu preču jomā, kas domātas patērētājiem vai ko paredzamos apstākļos varētu lietot patērētāji, atbilstoši Patērētāju tiesību centra kompetencei.”</w:t>
            </w:r>
          </w:p>
        </w:tc>
      </w:tr>
      <w:tr w:rsidR="00F25655" w:rsidRPr="000B51DA" w14:paraId="32EF71FF" w14:textId="77777777" w:rsidTr="00A91645">
        <w:tc>
          <w:tcPr>
            <w:tcW w:w="675" w:type="dxa"/>
            <w:tcBorders>
              <w:top w:val="single" w:sz="6" w:space="0" w:color="000000"/>
              <w:left w:val="single" w:sz="6" w:space="0" w:color="000000"/>
              <w:bottom w:val="single" w:sz="6" w:space="0" w:color="000000"/>
              <w:right w:val="single" w:sz="6" w:space="0" w:color="000000"/>
            </w:tcBorders>
          </w:tcPr>
          <w:p w14:paraId="6E6FC244" w14:textId="144F9EA8" w:rsidR="00F25655" w:rsidRDefault="00F25655" w:rsidP="00F25655">
            <w:pPr>
              <w:pStyle w:val="naisc"/>
              <w:spacing w:before="0" w:after="0"/>
              <w:rPr>
                <w:sz w:val="22"/>
                <w:szCs w:val="22"/>
              </w:rPr>
            </w:pPr>
            <w:r>
              <w:rPr>
                <w:sz w:val="22"/>
                <w:szCs w:val="22"/>
              </w:rPr>
              <w:lastRenderedPageBreak/>
              <w:t>5.</w:t>
            </w:r>
          </w:p>
        </w:tc>
        <w:tc>
          <w:tcPr>
            <w:tcW w:w="3145" w:type="dxa"/>
            <w:tcBorders>
              <w:top w:val="single" w:sz="6" w:space="0" w:color="000000"/>
              <w:left w:val="single" w:sz="6" w:space="0" w:color="000000"/>
              <w:bottom w:val="single" w:sz="6" w:space="0" w:color="000000"/>
              <w:right w:val="single" w:sz="6" w:space="0" w:color="000000"/>
            </w:tcBorders>
          </w:tcPr>
          <w:p w14:paraId="3EA4EB2F" w14:textId="77777777" w:rsidR="00F25655" w:rsidRDefault="00F25655" w:rsidP="00F25655">
            <w:pPr>
              <w:jc w:val="both"/>
              <w:rPr>
                <w:sz w:val="22"/>
                <w:szCs w:val="22"/>
              </w:rPr>
            </w:pPr>
            <w:r w:rsidRPr="00A02A1F">
              <w:rPr>
                <w:sz w:val="22"/>
                <w:szCs w:val="22"/>
              </w:rPr>
              <w:t>Likuma “Par radiācijas drošību un kodoldrošību” 32. </w:t>
            </w:r>
            <w:r>
              <w:rPr>
                <w:sz w:val="22"/>
                <w:szCs w:val="22"/>
              </w:rPr>
              <w:t xml:space="preserve">panta otrās daļas 2. punkts </w:t>
            </w:r>
            <w:r w:rsidRPr="00A02A1F">
              <w:rPr>
                <w:sz w:val="22"/>
                <w:szCs w:val="22"/>
              </w:rPr>
              <w:t xml:space="preserve"> – sk. izzi</w:t>
            </w:r>
            <w:r>
              <w:rPr>
                <w:sz w:val="22"/>
                <w:szCs w:val="22"/>
              </w:rPr>
              <w:t>ņas 4</w:t>
            </w:r>
            <w:r w:rsidRPr="00A02A1F">
              <w:rPr>
                <w:sz w:val="22"/>
                <w:szCs w:val="22"/>
              </w:rPr>
              <w:t>. punktu.</w:t>
            </w:r>
          </w:p>
          <w:p w14:paraId="57DF3048" w14:textId="77777777" w:rsidR="00A91645" w:rsidRDefault="00A91645" w:rsidP="00F25655">
            <w:pPr>
              <w:jc w:val="both"/>
              <w:rPr>
                <w:sz w:val="22"/>
                <w:szCs w:val="22"/>
              </w:rPr>
            </w:pPr>
          </w:p>
          <w:p w14:paraId="507C92B4" w14:textId="27513327" w:rsidR="00A91645" w:rsidRPr="00A02A1F" w:rsidRDefault="00A91645" w:rsidP="00F25655">
            <w:pPr>
              <w:jc w:val="both"/>
              <w:rPr>
                <w:sz w:val="22"/>
                <w:szCs w:val="22"/>
              </w:rPr>
            </w:pPr>
            <w:r w:rsidRPr="00C97101">
              <w:rPr>
                <w:sz w:val="22"/>
                <w:szCs w:val="22"/>
              </w:rPr>
              <w:t>Likumprojekta anotācijas I sadaļas 2. punkts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69971A75" w14:textId="4CCB7605" w:rsidR="00F25655" w:rsidRPr="00A84006" w:rsidRDefault="00330BC9" w:rsidP="00A84006">
            <w:pPr>
              <w:autoSpaceDE w:val="0"/>
              <w:autoSpaceDN w:val="0"/>
              <w:adjustRightInd w:val="0"/>
              <w:jc w:val="both"/>
              <w:rPr>
                <w:b/>
                <w:sz w:val="22"/>
                <w:szCs w:val="22"/>
              </w:rPr>
            </w:pPr>
            <w:r w:rsidRPr="00A84006">
              <w:rPr>
                <w:b/>
                <w:sz w:val="22"/>
                <w:szCs w:val="22"/>
              </w:rPr>
              <w:t>Finanšu ministrija</w:t>
            </w:r>
          </w:p>
          <w:p w14:paraId="25CDCBA4" w14:textId="77777777" w:rsidR="00A84006" w:rsidRPr="00A84006" w:rsidRDefault="00A84006" w:rsidP="00A84006">
            <w:pPr>
              <w:spacing w:after="120"/>
              <w:jc w:val="both"/>
              <w:rPr>
                <w:sz w:val="22"/>
                <w:szCs w:val="22"/>
              </w:rPr>
            </w:pPr>
            <w:r w:rsidRPr="00A84006">
              <w:rPr>
                <w:sz w:val="22"/>
                <w:szCs w:val="22"/>
              </w:rPr>
              <w:t xml:space="preserve">Administratīvās atbildības likuma (stāsies spēkā 2020.gada 1.jūlijā) 115.panta pirmajā daļā ir noteiktas iestādes, kas var uzsākt administratīvā pārkāpuma procesu. Vienlaikus Administratīvās atbildības likuma 125.panta otrā daļa paredz, ka, gadījumā, ja kompetentā iestāde objektīvu apstākļu </w:t>
            </w:r>
            <w:r w:rsidRPr="00A84006">
              <w:rPr>
                <w:sz w:val="22"/>
                <w:szCs w:val="22"/>
              </w:rPr>
              <w:lastRenderedPageBreak/>
              <w:t>dēļ nevar uzsākt administratīvā pārkāpuma procesu un veikt neatliekamās procesuālās darbības, nozaru likumos var paredzēt, ka administratīvā pārkāpuma procesu var uzsākt un lietas sagatavošanu izskatīšanai var veikt citas šā likuma 115.pantā minēto iestāžu amatpersonas.</w:t>
            </w:r>
          </w:p>
          <w:p w14:paraId="630A126A" w14:textId="77777777" w:rsidR="00A84006" w:rsidRPr="00A84006" w:rsidRDefault="00A84006" w:rsidP="00A84006">
            <w:pPr>
              <w:spacing w:after="120"/>
              <w:jc w:val="both"/>
              <w:rPr>
                <w:sz w:val="22"/>
                <w:szCs w:val="22"/>
              </w:rPr>
            </w:pPr>
            <w:r w:rsidRPr="00A84006">
              <w:rPr>
                <w:sz w:val="22"/>
                <w:szCs w:val="22"/>
              </w:rPr>
              <w:t>Vēršam uzmanību, ka Administratīvās atbildības likuma 115. panta pirmajā daļā nav iekļauta valsts sabiedrība ar ierobežotu atbildību “Latvijas proves birojs”, ne arī izstrādātajos un Saeimā pieņemtajos grozījumos likumā “Par valsts proves uzraudzību” (</w:t>
            </w:r>
            <w:hyperlink r:id="rId8" w:history="1">
              <w:r w:rsidRPr="00A84006">
                <w:rPr>
                  <w:rStyle w:val="Hyperlink"/>
                  <w:rFonts w:eastAsia="Calibri"/>
                  <w:sz w:val="22"/>
                  <w:szCs w:val="22"/>
                </w:rPr>
                <w:t>https://likumi.lv/ta/id/310464-grozijumi-likuma-par-valsts-proves-uzraudzibu-</w:t>
              </w:r>
            </w:hyperlink>
            <w:r w:rsidRPr="00A84006">
              <w:rPr>
                <w:sz w:val="22"/>
                <w:szCs w:val="22"/>
              </w:rPr>
              <w:t xml:space="preserve">) nav paredzēts, ka administratīvā pārkāpuma procesu uzsāk valsts sabiedrība ar ierobežotu atbildību “Latvijas proves birojs”. Savukārt likuma “Par valsts proves uzraudzību” 15.panta ceturtā daļa (nākotnes redakcijā) paredz, ja Latvijas proves birojs konstatē normatīvo aktu pārkāpumus, materiālus par veikto pārbaudi tas nosūta Valsts ieņēmumu dienestam administratīvā pārkāpuma procesa uzsākšanai. </w:t>
            </w:r>
          </w:p>
          <w:p w14:paraId="5614E1B9" w14:textId="1471636C" w:rsidR="00330BC9" w:rsidRPr="00A84006" w:rsidRDefault="00A84006" w:rsidP="00A84006">
            <w:pPr>
              <w:autoSpaceDE w:val="0"/>
              <w:autoSpaceDN w:val="0"/>
              <w:adjustRightInd w:val="0"/>
              <w:jc w:val="both"/>
              <w:rPr>
                <w:b/>
                <w:bCs/>
                <w:sz w:val="22"/>
                <w:szCs w:val="22"/>
              </w:rPr>
            </w:pPr>
            <w:r w:rsidRPr="00A84006">
              <w:rPr>
                <w:sz w:val="22"/>
                <w:szCs w:val="22"/>
              </w:rPr>
              <w:t xml:space="preserve">Ņemot vērā iepriekš minēto, lūdzam atbilstoši precizēt likumprojekta 2.pantā ietvertā likuma 32.panta otrās daļas </w:t>
            </w:r>
            <w:r w:rsidRPr="00A84006">
              <w:rPr>
                <w:sz w:val="22"/>
                <w:szCs w:val="22"/>
              </w:rPr>
              <w:lastRenderedPageBreak/>
              <w:t>ievaddaļu, kas paredz, ka administratīvā pārkāpuma procesu veic attiecīgā tirgus uzraudzības iestāde, un likumprojekta 2.pantā ietvertā likuma 32.panta otrās daļas 2.punktu, kā arī papildināt likumprojekta sākotnējās ietekmes novērtējuma ziņojumu (anotāciju).</w:t>
            </w:r>
          </w:p>
        </w:tc>
        <w:tc>
          <w:tcPr>
            <w:tcW w:w="3544" w:type="dxa"/>
            <w:tcBorders>
              <w:top w:val="single" w:sz="6" w:space="0" w:color="000000"/>
              <w:left w:val="single" w:sz="6" w:space="0" w:color="000000"/>
              <w:bottom w:val="single" w:sz="6" w:space="0" w:color="000000"/>
              <w:right w:val="single" w:sz="6" w:space="0" w:color="000000"/>
            </w:tcBorders>
          </w:tcPr>
          <w:p w14:paraId="7A246A58" w14:textId="0FEED186" w:rsidR="00F25655" w:rsidRPr="00EF2AE3" w:rsidRDefault="00F25655" w:rsidP="00F25655">
            <w:pPr>
              <w:jc w:val="both"/>
              <w:rPr>
                <w:b/>
                <w:sz w:val="22"/>
                <w:szCs w:val="22"/>
              </w:rPr>
            </w:pPr>
            <w:r>
              <w:rPr>
                <w:b/>
                <w:sz w:val="22"/>
                <w:szCs w:val="22"/>
              </w:rPr>
              <w:lastRenderedPageBreak/>
              <w:t>Ņemts vērā</w:t>
            </w:r>
          </w:p>
        </w:tc>
        <w:tc>
          <w:tcPr>
            <w:tcW w:w="3376" w:type="dxa"/>
            <w:tcBorders>
              <w:top w:val="single" w:sz="4" w:space="0" w:color="auto"/>
              <w:left w:val="single" w:sz="4" w:space="0" w:color="auto"/>
              <w:bottom w:val="single" w:sz="4" w:space="0" w:color="auto"/>
            </w:tcBorders>
          </w:tcPr>
          <w:p w14:paraId="1608BBB6" w14:textId="6A1FFD40" w:rsidR="00F25655" w:rsidRDefault="00385EC8" w:rsidP="00F25655">
            <w:pPr>
              <w:jc w:val="both"/>
              <w:rPr>
                <w:sz w:val="22"/>
                <w:szCs w:val="22"/>
              </w:rPr>
            </w:pPr>
            <w:r>
              <w:rPr>
                <w:sz w:val="22"/>
                <w:szCs w:val="22"/>
              </w:rPr>
              <w:t>S</w:t>
            </w:r>
            <w:r w:rsidR="00F25655" w:rsidRPr="00A02A1F">
              <w:rPr>
                <w:sz w:val="22"/>
                <w:szCs w:val="22"/>
              </w:rPr>
              <w:t>k. izzi</w:t>
            </w:r>
            <w:r w:rsidR="00F25655">
              <w:rPr>
                <w:sz w:val="22"/>
                <w:szCs w:val="22"/>
              </w:rPr>
              <w:t>ņas 4</w:t>
            </w:r>
            <w:r w:rsidR="00F25655" w:rsidRPr="00A02A1F">
              <w:rPr>
                <w:sz w:val="22"/>
                <w:szCs w:val="22"/>
              </w:rPr>
              <w:t>. punktu.</w:t>
            </w:r>
          </w:p>
          <w:p w14:paraId="6815E91E" w14:textId="77777777" w:rsidR="00A91645" w:rsidRDefault="00A91645" w:rsidP="00F25655">
            <w:pPr>
              <w:jc w:val="both"/>
              <w:rPr>
                <w:sz w:val="22"/>
                <w:szCs w:val="22"/>
              </w:rPr>
            </w:pPr>
          </w:p>
          <w:p w14:paraId="6210A0A3" w14:textId="2B9CFFFD" w:rsidR="00A91645" w:rsidRPr="00A02A1F" w:rsidRDefault="00A91645" w:rsidP="00F25655">
            <w:pPr>
              <w:jc w:val="both"/>
              <w:rPr>
                <w:sz w:val="22"/>
                <w:szCs w:val="22"/>
              </w:rPr>
            </w:pPr>
            <w:r>
              <w:rPr>
                <w:sz w:val="22"/>
              </w:rPr>
              <w:t xml:space="preserve">Sk. precizēto </w:t>
            </w:r>
            <w:r w:rsidRPr="00C97101">
              <w:rPr>
                <w:sz w:val="22"/>
                <w:szCs w:val="22"/>
              </w:rPr>
              <w:t>Likumprojekt</w:t>
            </w:r>
            <w:r>
              <w:rPr>
                <w:sz w:val="22"/>
              </w:rPr>
              <w:t>a anotācijas I sadaļas 2. punktu</w:t>
            </w:r>
          </w:p>
        </w:tc>
      </w:tr>
      <w:tr w:rsidR="00F25655" w:rsidRPr="000B51DA" w14:paraId="4E6391CD" w14:textId="77777777" w:rsidTr="00A91645">
        <w:tc>
          <w:tcPr>
            <w:tcW w:w="675" w:type="dxa"/>
            <w:tcBorders>
              <w:top w:val="single" w:sz="6" w:space="0" w:color="000000"/>
              <w:left w:val="single" w:sz="6" w:space="0" w:color="000000"/>
              <w:bottom w:val="single" w:sz="6" w:space="0" w:color="000000"/>
              <w:right w:val="single" w:sz="6" w:space="0" w:color="000000"/>
            </w:tcBorders>
          </w:tcPr>
          <w:p w14:paraId="532BEA1D" w14:textId="27BAF21A" w:rsidR="00F25655" w:rsidRPr="00A02A1F" w:rsidRDefault="00894715" w:rsidP="00F25655">
            <w:pPr>
              <w:pStyle w:val="naisc"/>
              <w:spacing w:before="0" w:after="0"/>
              <w:rPr>
                <w:sz w:val="22"/>
                <w:szCs w:val="22"/>
              </w:rPr>
            </w:pPr>
            <w:r>
              <w:rPr>
                <w:sz w:val="22"/>
                <w:szCs w:val="22"/>
              </w:rPr>
              <w:lastRenderedPageBreak/>
              <w:t>6</w:t>
            </w:r>
            <w:r w:rsidR="00F25655" w:rsidRPr="00A02A1F">
              <w:rPr>
                <w:sz w:val="22"/>
                <w:szCs w:val="22"/>
              </w:rPr>
              <w:t>.</w:t>
            </w:r>
          </w:p>
        </w:tc>
        <w:tc>
          <w:tcPr>
            <w:tcW w:w="3145" w:type="dxa"/>
            <w:tcBorders>
              <w:top w:val="single" w:sz="6" w:space="0" w:color="000000"/>
              <w:left w:val="single" w:sz="6" w:space="0" w:color="000000"/>
              <w:bottom w:val="single" w:sz="6" w:space="0" w:color="000000"/>
              <w:right w:val="single" w:sz="6" w:space="0" w:color="000000"/>
            </w:tcBorders>
          </w:tcPr>
          <w:p w14:paraId="56C12E62" w14:textId="23F9793A" w:rsidR="00F25655" w:rsidRPr="00C97101" w:rsidRDefault="00F25655" w:rsidP="00F25655">
            <w:pPr>
              <w:jc w:val="both"/>
              <w:rPr>
                <w:sz w:val="22"/>
                <w:szCs w:val="22"/>
              </w:rPr>
            </w:pPr>
            <w:r w:rsidRPr="00A02A1F">
              <w:rPr>
                <w:sz w:val="22"/>
                <w:szCs w:val="22"/>
              </w:rPr>
              <w:t>Likuma “Par radiācijas drošību un kodoldrošību” 32. </w:t>
            </w:r>
            <w:r>
              <w:rPr>
                <w:sz w:val="22"/>
                <w:szCs w:val="22"/>
              </w:rPr>
              <w:t xml:space="preserve">panta otrās daļas 4. punkts </w:t>
            </w:r>
            <w:r w:rsidRPr="00A02A1F">
              <w:rPr>
                <w:sz w:val="22"/>
                <w:szCs w:val="22"/>
              </w:rPr>
              <w:t xml:space="preserve"> – sk. izzi</w:t>
            </w:r>
            <w:r>
              <w:rPr>
                <w:sz w:val="22"/>
                <w:szCs w:val="22"/>
              </w:rPr>
              <w:t>ņas 4</w:t>
            </w:r>
            <w:r w:rsidRPr="00A02A1F">
              <w:rPr>
                <w:sz w:val="22"/>
                <w:szCs w:val="22"/>
              </w:rPr>
              <w:t>. punktu.</w:t>
            </w:r>
          </w:p>
        </w:tc>
        <w:tc>
          <w:tcPr>
            <w:tcW w:w="3827" w:type="dxa"/>
            <w:tcBorders>
              <w:top w:val="single" w:sz="6" w:space="0" w:color="000000"/>
              <w:left w:val="single" w:sz="6" w:space="0" w:color="000000"/>
              <w:bottom w:val="single" w:sz="6" w:space="0" w:color="000000"/>
              <w:right w:val="single" w:sz="6" w:space="0" w:color="000000"/>
            </w:tcBorders>
          </w:tcPr>
          <w:p w14:paraId="27B6F8BE" w14:textId="77777777" w:rsidR="00F25655" w:rsidRPr="00185E10" w:rsidRDefault="00F25655" w:rsidP="00F25655">
            <w:pPr>
              <w:pStyle w:val="naisc"/>
              <w:spacing w:before="0"/>
              <w:ind w:right="6"/>
              <w:jc w:val="left"/>
              <w:rPr>
                <w:b/>
                <w:sz w:val="22"/>
                <w:szCs w:val="22"/>
              </w:rPr>
            </w:pPr>
            <w:r w:rsidRPr="00185E10">
              <w:rPr>
                <w:b/>
                <w:sz w:val="22"/>
                <w:szCs w:val="22"/>
              </w:rPr>
              <w:t>Ekonomikas ministrija</w:t>
            </w:r>
          </w:p>
          <w:p w14:paraId="31715C54" w14:textId="77777777" w:rsidR="00F25655" w:rsidRPr="00185E10" w:rsidRDefault="00F25655" w:rsidP="00F25655">
            <w:pPr>
              <w:jc w:val="both"/>
              <w:rPr>
                <w:sz w:val="22"/>
                <w:szCs w:val="22"/>
              </w:rPr>
            </w:pPr>
            <w:r w:rsidRPr="00185E10">
              <w:rPr>
                <w:sz w:val="22"/>
                <w:szCs w:val="22"/>
              </w:rPr>
              <w:t xml:space="preserve">Ekonomikas ministrijai ir iebildumi par Likumprojektā un tā anotācijā paredzēto Patērētāju tiesību aizsardzības centra (turpmāk – PTAC) kompetenci administratīvo sodu piemērošanā par pārkāpumiem radiācijas drošības jomā, jo, attiecībā uz PTAC kompetencē esošajām preču jomām, nav skaidru prasību par pieļaujamām normām attiecībā uz radioaktivitātes līmeni. </w:t>
            </w:r>
          </w:p>
          <w:p w14:paraId="64EFCB0B" w14:textId="77777777" w:rsidR="00F25655" w:rsidRPr="00185E10" w:rsidRDefault="00F25655" w:rsidP="00F25655">
            <w:pPr>
              <w:ind w:firstLine="720"/>
              <w:jc w:val="both"/>
              <w:rPr>
                <w:sz w:val="22"/>
                <w:szCs w:val="22"/>
              </w:rPr>
            </w:pPr>
            <w:r w:rsidRPr="00185E10">
              <w:rPr>
                <w:sz w:val="22"/>
                <w:szCs w:val="22"/>
              </w:rPr>
              <w:t>Precizējot Likumprojektā PTAC kompetenci attiecīgajā jomā Ekonomikas ministrija aicina Likumprojektā noteikt PTAC kompetenci tikai uz tām preču jomām uz kurām normatīvajos aktos ir paredzētas prasības – rotaslietas, rotaļlietas, kā arī būvmateriāli un būvizstrādājumi, izsakot 32.panta otrās daļas punktu par PTAC kompetenci šādā redakcijā “4) rotaļlietu, rotaslietu, būvmateriālu un būvizstrādājumu jomā – Patērētāju tiesību aizsardzības centrs.”</w:t>
            </w:r>
          </w:p>
          <w:p w14:paraId="4C1D39E5" w14:textId="5E4D5E9A" w:rsidR="00F25655" w:rsidRPr="00C97101" w:rsidRDefault="00F25655" w:rsidP="00F25655">
            <w:pPr>
              <w:tabs>
                <w:tab w:val="left" w:pos="709"/>
                <w:tab w:val="left" w:pos="993"/>
              </w:tabs>
              <w:jc w:val="both"/>
              <w:rPr>
                <w:b/>
                <w:bCs/>
                <w:sz w:val="22"/>
                <w:szCs w:val="22"/>
              </w:rPr>
            </w:pPr>
            <w:r w:rsidRPr="00185E10">
              <w:rPr>
                <w:sz w:val="22"/>
                <w:szCs w:val="22"/>
              </w:rPr>
              <w:t xml:space="preserve">Vienlaikus Ekonomikas ministrija vērš uzmanību, ka, neskatoties uz PTAC </w:t>
            </w:r>
            <w:r w:rsidRPr="00185E10">
              <w:rPr>
                <w:sz w:val="22"/>
                <w:szCs w:val="22"/>
              </w:rPr>
              <w:lastRenderedPageBreak/>
              <w:t>kompetenci administratīvo sodu piemērošanā, saskaņā ar Preču un pakalpojuma drošuma likumu, gadījumā, ja ir konstatēts, ka prece neatbilst drošuma prasībām, un tā jau tiek piedāvāta tirgū, PTAC, kā tirgus uzraudzības iestāde ir tiesīga pieprasīt vai organizēt preču efektīgu un tūlītēju izņemšanu no tirgus.</w:t>
            </w:r>
          </w:p>
        </w:tc>
        <w:tc>
          <w:tcPr>
            <w:tcW w:w="3544" w:type="dxa"/>
            <w:tcBorders>
              <w:top w:val="single" w:sz="6" w:space="0" w:color="000000"/>
              <w:left w:val="single" w:sz="6" w:space="0" w:color="000000"/>
              <w:bottom w:val="single" w:sz="6" w:space="0" w:color="000000"/>
              <w:right w:val="single" w:sz="6" w:space="0" w:color="000000"/>
            </w:tcBorders>
          </w:tcPr>
          <w:p w14:paraId="59333294" w14:textId="77777777" w:rsidR="00F25655" w:rsidRPr="00330BC9" w:rsidRDefault="00F25655" w:rsidP="00F25655">
            <w:pPr>
              <w:pStyle w:val="naisc"/>
              <w:spacing w:before="0" w:after="0"/>
              <w:ind w:firstLine="21"/>
              <w:jc w:val="both"/>
              <w:rPr>
                <w:b/>
                <w:sz w:val="22"/>
                <w:szCs w:val="22"/>
              </w:rPr>
            </w:pPr>
            <w:r w:rsidRPr="00330BC9">
              <w:rPr>
                <w:b/>
                <w:sz w:val="22"/>
                <w:szCs w:val="22"/>
              </w:rPr>
              <w:lastRenderedPageBreak/>
              <w:t>Ņemts vērā</w:t>
            </w:r>
          </w:p>
          <w:p w14:paraId="1842ED4C" w14:textId="4939CC19" w:rsidR="00C23AC0" w:rsidRPr="00330BC9" w:rsidRDefault="00B74F0C" w:rsidP="00C23AC0">
            <w:pPr>
              <w:spacing w:before="240"/>
              <w:jc w:val="both"/>
              <w:rPr>
                <w:sz w:val="22"/>
                <w:szCs w:val="22"/>
                <w:highlight w:val="yellow"/>
              </w:rPr>
            </w:pPr>
            <w:r>
              <w:rPr>
                <w:sz w:val="22"/>
                <w:szCs w:val="22"/>
              </w:rPr>
              <w:t xml:space="preserve">Likumprojekts papildināts ar 2. pantu. Precizēts Likumprojektā iekļautā 32. panta otrās daļas 4. punkts. </w:t>
            </w:r>
            <w:r w:rsidR="00C23AC0" w:rsidRPr="00330BC9">
              <w:rPr>
                <w:sz w:val="22"/>
                <w:szCs w:val="22"/>
              </w:rPr>
              <w:t>Papi</w:t>
            </w:r>
            <w:r w:rsidR="00385EC8">
              <w:rPr>
                <w:sz w:val="22"/>
                <w:szCs w:val="22"/>
              </w:rPr>
              <w:t>ldināts anotācijas I sadaļas 2. </w:t>
            </w:r>
            <w:r w:rsidR="00C23AC0" w:rsidRPr="00330BC9">
              <w:rPr>
                <w:sz w:val="22"/>
                <w:szCs w:val="22"/>
              </w:rPr>
              <w:t>punkts.</w:t>
            </w:r>
          </w:p>
        </w:tc>
        <w:tc>
          <w:tcPr>
            <w:tcW w:w="3376" w:type="dxa"/>
            <w:tcBorders>
              <w:top w:val="single" w:sz="4" w:space="0" w:color="auto"/>
              <w:left w:val="single" w:sz="4" w:space="0" w:color="auto"/>
              <w:bottom w:val="single" w:sz="4" w:space="0" w:color="auto"/>
            </w:tcBorders>
          </w:tcPr>
          <w:p w14:paraId="41F3D13F" w14:textId="77777777" w:rsidR="00B74F0C" w:rsidRPr="00B74F0C" w:rsidRDefault="00B74F0C" w:rsidP="00B74F0C">
            <w:pPr>
              <w:pStyle w:val="tv213"/>
              <w:spacing w:before="0" w:beforeAutospacing="0" w:after="120" w:afterAutospacing="0"/>
              <w:jc w:val="both"/>
              <w:rPr>
                <w:b/>
                <w:sz w:val="22"/>
                <w:szCs w:val="22"/>
              </w:rPr>
            </w:pPr>
            <w:r w:rsidRPr="00B74F0C">
              <w:rPr>
                <w:b/>
                <w:sz w:val="22"/>
                <w:szCs w:val="22"/>
              </w:rPr>
              <w:t>2. Papildināt 3. pantu ar ceturto daļu sekojošā redakcijā:</w:t>
            </w:r>
          </w:p>
          <w:p w14:paraId="41AF41C4" w14:textId="77777777" w:rsidR="00B74F0C" w:rsidRPr="00AA716C" w:rsidRDefault="00B74F0C" w:rsidP="00B74F0C">
            <w:pPr>
              <w:pStyle w:val="tv213"/>
              <w:spacing w:before="0" w:beforeAutospacing="0" w:after="120" w:afterAutospacing="0"/>
              <w:jc w:val="both"/>
              <w:rPr>
                <w:sz w:val="22"/>
                <w:szCs w:val="22"/>
              </w:rPr>
            </w:pPr>
            <w:r w:rsidRPr="00AA716C">
              <w:rPr>
                <w:sz w:val="22"/>
                <w:szCs w:val="22"/>
              </w:rPr>
              <w:t>“(4) Preces ražotājs, importētājs un izplatītājs nodrošina, ka jonizējošā starojuma līmenis precē nepārsniedz normatīvajos aktos par aizsardzību pret jonizējošo starojumu noteiktās normas un nerada draudus cilvēka veselībai.”</w:t>
            </w:r>
          </w:p>
          <w:p w14:paraId="4A04A788" w14:textId="77777777" w:rsidR="00B74F0C" w:rsidRPr="00B74F0C" w:rsidRDefault="00B74F0C" w:rsidP="00B74F0C">
            <w:pPr>
              <w:jc w:val="both"/>
              <w:rPr>
                <w:sz w:val="22"/>
                <w:szCs w:val="22"/>
              </w:rPr>
            </w:pPr>
          </w:p>
          <w:p w14:paraId="2F9BD9E2" w14:textId="77777777" w:rsidR="00B74F0C" w:rsidRPr="00B74F0C" w:rsidRDefault="00B74F0C" w:rsidP="00B74F0C">
            <w:pPr>
              <w:jc w:val="both"/>
              <w:rPr>
                <w:sz w:val="22"/>
                <w:szCs w:val="22"/>
              </w:rPr>
            </w:pPr>
          </w:p>
          <w:p w14:paraId="7FA6BF31" w14:textId="77777777" w:rsidR="00385EC8" w:rsidRDefault="00385EC8" w:rsidP="00385EC8">
            <w:pPr>
              <w:jc w:val="both"/>
              <w:rPr>
                <w:sz w:val="22"/>
                <w:szCs w:val="22"/>
              </w:rPr>
            </w:pPr>
            <w:r>
              <w:rPr>
                <w:sz w:val="22"/>
                <w:szCs w:val="22"/>
              </w:rPr>
              <w:t>S</w:t>
            </w:r>
            <w:r w:rsidRPr="00A02A1F">
              <w:rPr>
                <w:sz w:val="22"/>
                <w:szCs w:val="22"/>
              </w:rPr>
              <w:t>k. izzi</w:t>
            </w:r>
            <w:r>
              <w:rPr>
                <w:sz w:val="22"/>
                <w:szCs w:val="22"/>
              </w:rPr>
              <w:t>ņas 4</w:t>
            </w:r>
            <w:r w:rsidRPr="00A02A1F">
              <w:rPr>
                <w:sz w:val="22"/>
                <w:szCs w:val="22"/>
              </w:rPr>
              <w:t>. punktu.</w:t>
            </w:r>
          </w:p>
          <w:p w14:paraId="0978D9B3" w14:textId="77777777" w:rsidR="00B74F0C" w:rsidRDefault="00B74F0C" w:rsidP="00B74F0C">
            <w:pPr>
              <w:jc w:val="both"/>
              <w:rPr>
                <w:sz w:val="22"/>
                <w:szCs w:val="22"/>
              </w:rPr>
            </w:pPr>
          </w:p>
          <w:p w14:paraId="5A962DB0" w14:textId="6A054701" w:rsidR="00B74F0C" w:rsidRPr="00B74F0C" w:rsidRDefault="00B74F0C" w:rsidP="00B74F0C">
            <w:pPr>
              <w:jc w:val="both"/>
              <w:rPr>
                <w:b/>
                <w:sz w:val="22"/>
                <w:szCs w:val="22"/>
              </w:rPr>
            </w:pPr>
            <w:r>
              <w:rPr>
                <w:sz w:val="22"/>
              </w:rPr>
              <w:t xml:space="preserve">Sk. precizēto </w:t>
            </w:r>
            <w:r w:rsidRPr="00C97101">
              <w:rPr>
                <w:sz w:val="22"/>
                <w:szCs w:val="22"/>
              </w:rPr>
              <w:t>Likumprojekt</w:t>
            </w:r>
            <w:r>
              <w:rPr>
                <w:sz w:val="22"/>
              </w:rPr>
              <w:t>a anotācijas I sadaļas 2. punktu.</w:t>
            </w:r>
          </w:p>
        </w:tc>
      </w:tr>
      <w:tr w:rsidR="00F25655" w:rsidRPr="000B51DA" w14:paraId="6AF8FD3D" w14:textId="77777777" w:rsidTr="00A91645">
        <w:tc>
          <w:tcPr>
            <w:tcW w:w="675" w:type="dxa"/>
            <w:tcBorders>
              <w:top w:val="single" w:sz="6" w:space="0" w:color="000000"/>
              <w:left w:val="single" w:sz="6" w:space="0" w:color="000000"/>
              <w:bottom w:val="single" w:sz="6" w:space="0" w:color="000000"/>
              <w:right w:val="single" w:sz="6" w:space="0" w:color="000000"/>
            </w:tcBorders>
          </w:tcPr>
          <w:p w14:paraId="6019EACE" w14:textId="2FC874E7" w:rsidR="00F25655" w:rsidRPr="00A02A1F" w:rsidRDefault="00894715" w:rsidP="00F25655">
            <w:pPr>
              <w:pStyle w:val="naisc"/>
              <w:spacing w:before="0" w:after="0"/>
              <w:rPr>
                <w:sz w:val="22"/>
                <w:szCs w:val="22"/>
              </w:rPr>
            </w:pPr>
            <w:r>
              <w:rPr>
                <w:sz w:val="22"/>
                <w:szCs w:val="22"/>
              </w:rPr>
              <w:t>7</w:t>
            </w:r>
            <w:r w:rsidR="00F25655" w:rsidRPr="00A02A1F">
              <w:rPr>
                <w:sz w:val="22"/>
                <w:szCs w:val="22"/>
              </w:rPr>
              <w:t>.</w:t>
            </w:r>
          </w:p>
        </w:tc>
        <w:tc>
          <w:tcPr>
            <w:tcW w:w="3145" w:type="dxa"/>
            <w:tcBorders>
              <w:top w:val="single" w:sz="6" w:space="0" w:color="000000"/>
              <w:left w:val="single" w:sz="6" w:space="0" w:color="000000"/>
              <w:bottom w:val="single" w:sz="6" w:space="0" w:color="000000"/>
              <w:right w:val="single" w:sz="6" w:space="0" w:color="000000"/>
            </w:tcBorders>
          </w:tcPr>
          <w:p w14:paraId="5D51D892" w14:textId="7DA48A49" w:rsidR="00F25655" w:rsidRPr="00A02A1F" w:rsidRDefault="00F25655" w:rsidP="00F25655">
            <w:pPr>
              <w:pStyle w:val="naisc"/>
              <w:spacing w:before="0" w:after="0"/>
              <w:jc w:val="both"/>
              <w:rPr>
                <w:sz w:val="22"/>
                <w:szCs w:val="22"/>
              </w:rPr>
            </w:pPr>
            <w:r w:rsidRPr="00C97101">
              <w:rPr>
                <w:sz w:val="22"/>
                <w:szCs w:val="22"/>
              </w:rPr>
              <w:t>Likumprojekta anotācijas I sadaļas 2. punkts</w:t>
            </w:r>
            <w:r w:rsidR="00B74F0C">
              <w:rPr>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44B9BDBE" w14:textId="77777777" w:rsidR="00F25655" w:rsidRPr="00C97101" w:rsidRDefault="00F25655" w:rsidP="00F25655">
            <w:pPr>
              <w:tabs>
                <w:tab w:val="left" w:pos="709"/>
                <w:tab w:val="left" w:pos="993"/>
              </w:tabs>
              <w:spacing w:after="75"/>
              <w:jc w:val="both"/>
              <w:rPr>
                <w:b/>
                <w:bCs/>
                <w:sz w:val="22"/>
                <w:szCs w:val="22"/>
              </w:rPr>
            </w:pPr>
            <w:r w:rsidRPr="00C97101">
              <w:rPr>
                <w:b/>
                <w:bCs/>
                <w:sz w:val="22"/>
                <w:szCs w:val="22"/>
              </w:rPr>
              <w:t>Ekonomikas ministrija</w:t>
            </w:r>
          </w:p>
          <w:p w14:paraId="24B0F4F9" w14:textId="77777777" w:rsidR="00F25655" w:rsidRPr="00C97101" w:rsidRDefault="00F25655" w:rsidP="00F25655">
            <w:pPr>
              <w:jc w:val="both"/>
              <w:rPr>
                <w:sz w:val="22"/>
                <w:szCs w:val="22"/>
              </w:rPr>
            </w:pPr>
            <w:r w:rsidRPr="00C97101">
              <w:rPr>
                <w:sz w:val="22"/>
                <w:szCs w:val="22"/>
              </w:rPr>
              <w:t>Likumprojekta anotācijā ir noteikts, ka, lai pārliecinātos par preces drošumu, tirgus uzraudzības iestāde organizē preču parauga nogādāšanu laboratorisku radioaktivitātes mērījumu veikšanai. Valsts vides dienesta Radiācijas drošības centrs nepieciešamības gadījumā sniegs informāciju, kāda veida radionuklīdu radioaktivitātes mērījumi ir jāpieprasa.  </w:t>
            </w:r>
          </w:p>
          <w:p w14:paraId="27EE3CEC" w14:textId="33B2AADB" w:rsidR="00F25655" w:rsidRPr="00A02A1F" w:rsidRDefault="00F25655" w:rsidP="00F25655">
            <w:pPr>
              <w:pStyle w:val="naisc"/>
              <w:spacing w:before="0"/>
              <w:ind w:right="6"/>
              <w:jc w:val="both"/>
              <w:rPr>
                <w:b/>
                <w:sz w:val="22"/>
                <w:szCs w:val="22"/>
              </w:rPr>
            </w:pPr>
            <w:r w:rsidRPr="00C97101">
              <w:rPr>
                <w:sz w:val="22"/>
                <w:szCs w:val="22"/>
              </w:rPr>
              <w:t>Ekonomikas ministrija aicina, lai pārliecinātos par preces drošumu, Valsts vides dienesta Radiācijas drošības centram organizēt preču parauga nogādāšanu laboratorisku radioaktivitātes mērījumu veikšanai. Tā vienkāršojot procesu atzinumu saņemšanā un sadarbībā starp iesaistītajām iestādēm.</w:t>
            </w:r>
          </w:p>
        </w:tc>
        <w:tc>
          <w:tcPr>
            <w:tcW w:w="3544" w:type="dxa"/>
            <w:tcBorders>
              <w:top w:val="single" w:sz="6" w:space="0" w:color="000000"/>
              <w:left w:val="single" w:sz="6" w:space="0" w:color="000000"/>
              <w:bottom w:val="single" w:sz="6" w:space="0" w:color="000000"/>
              <w:right w:val="single" w:sz="6" w:space="0" w:color="000000"/>
            </w:tcBorders>
          </w:tcPr>
          <w:p w14:paraId="0D33DD7D" w14:textId="582B35C8" w:rsidR="00F25655" w:rsidRDefault="002F2DAF" w:rsidP="00F25655">
            <w:pPr>
              <w:pStyle w:val="naisc"/>
              <w:spacing w:before="0" w:after="0"/>
              <w:ind w:firstLine="21"/>
              <w:jc w:val="both"/>
              <w:rPr>
                <w:b/>
                <w:sz w:val="22"/>
                <w:szCs w:val="22"/>
              </w:rPr>
            </w:pPr>
            <w:r>
              <w:rPr>
                <w:b/>
                <w:sz w:val="22"/>
                <w:szCs w:val="22"/>
              </w:rPr>
              <w:t>Daļēji ņ</w:t>
            </w:r>
            <w:r w:rsidR="00330BC9" w:rsidRPr="00330BC9">
              <w:rPr>
                <w:b/>
                <w:sz w:val="22"/>
                <w:szCs w:val="22"/>
              </w:rPr>
              <w:t>emts vērā</w:t>
            </w:r>
          </w:p>
          <w:p w14:paraId="11ABB214" w14:textId="5168819C" w:rsidR="002F2DAF" w:rsidRDefault="002F2DAF" w:rsidP="002F2DAF">
            <w:pPr>
              <w:pStyle w:val="naisc"/>
              <w:spacing w:before="0" w:after="0"/>
              <w:ind w:firstLine="21"/>
              <w:jc w:val="both"/>
              <w:rPr>
                <w:sz w:val="22"/>
                <w:szCs w:val="22"/>
              </w:rPr>
            </w:pPr>
            <w:r>
              <w:rPr>
                <w:sz w:val="22"/>
                <w:szCs w:val="22"/>
              </w:rPr>
              <w:t xml:space="preserve">VARAM izvērtēja Ekonomikas ministrijas viedokli, taču VARAM skatījumā preces nogādāšanu laboratorisku mērījumu veikšanai optimāli ir veikt </w:t>
            </w:r>
            <w:r w:rsidR="003B1C9F">
              <w:rPr>
                <w:sz w:val="22"/>
                <w:szCs w:val="22"/>
              </w:rPr>
              <w:t>I</w:t>
            </w:r>
            <w:r>
              <w:rPr>
                <w:sz w:val="22"/>
                <w:szCs w:val="22"/>
              </w:rPr>
              <w:t>estādei</w:t>
            </w:r>
            <w:r w:rsidR="003B1C9F">
              <w:rPr>
                <w:sz w:val="22"/>
                <w:szCs w:val="22"/>
              </w:rPr>
              <w:t>, kura kopumā virza administratīvā pārkāpuma procesu, kura viena no etapiem ir preces laboratoriskie mērījumi</w:t>
            </w:r>
            <w:r>
              <w:rPr>
                <w:sz w:val="22"/>
                <w:szCs w:val="22"/>
              </w:rPr>
              <w:t xml:space="preserve">. Vienlaikus RDC </w:t>
            </w:r>
            <w:r w:rsidRPr="002F2DAF">
              <w:rPr>
                <w:sz w:val="22"/>
                <w:szCs w:val="22"/>
              </w:rPr>
              <w:t>sniegs informāciju, kāda veida radioaktivitātes mērījumi ir jāpieprasa</w:t>
            </w:r>
            <w:r>
              <w:rPr>
                <w:sz w:val="22"/>
                <w:szCs w:val="22"/>
              </w:rPr>
              <w:t xml:space="preserve"> attiecībā uz konkrēto preci.</w:t>
            </w:r>
          </w:p>
          <w:p w14:paraId="79A3E214" w14:textId="01BEBF79" w:rsidR="00385EC8" w:rsidRPr="002F2DAF" w:rsidRDefault="003B1C9F" w:rsidP="00312B1F">
            <w:pPr>
              <w:pStyle w:val="naisc"/>
              <w:spacing w:before="0" w:after="0"/>
              <w:ind w:firstLine="21"/>
              <w:jc w:val="both"/>
              <w:rPr>
                <w:sz w:val="22"/>
                <w:szCs w:val="22"/>
              </w:rPr>
            </w:pPr>
            <w:r w:rsidRPr="003B1C9F">
              <w:rPr>
                <w:sz w:val="22"/>
                <w:szCs w:val="22"/>
              </w:rPr>
              <w:t xml:space="preserve">Kārtība par jonizējošā starojuma kontroli precēs tiks noteikta </w:t>
            </w:r>
            <w:r>
              <w:rPr>
                <w:sz w:val="22"/>
                <w:szCs w:val="22"/>
              </w:rPr>
              <w:t>Ministru kabineta 2002. gada 9. aprīļa</w:t>
            </w:r>
            <w:r w:rsidRPr="003B1C9F">
              <w:rPr>
                <w:sz w:val="22"/>
                <w:szCs w:val="22"/>
              </w:rPr>
              <w:t xml:space="preserve"> noteikumos Nr. 149</w:t>
            </w:r>
            <w:r>
              <w:rPr>
                <w:sz w:val="22"/>
                <w:szCs w:val="22"/>
              </w:rPr>
              <w:t xml:space="preserve"> “</w:t>
            </w:r>
            <w:r w:rsidRPr="003B1C9F">
              <w:rPr>
                <w:sz w:val="22"/>
                <w:szCs w:val="22"/>
              </w:rPr>
              <w:t>Noteikumi par aizsardzību pret jonizējošo starojumu</w:t>
            </w:r>
            <w:r>
              <w:rPr>
                <w:sz w:val="22"/>
                <w:szCs w:val="22"/>
              </w:rPr>
              <w:t>”</w:t>
            </w:r>
            <w:r w:rsidRPr="003B1C9F">
              <w:rPr>
                <w:sz w:val="22"/>
                <w:szCs w:val="22"/>
              </w:rPr>
              <w:t xml:space="preserve">, </w:t>
            </w:r>
            <w:r>
              <w:rPr>
                <w:sz w:val="22"/>
                <w:szCs w:val="22"/>
              </w:rPr>
              <w:t>grozījumi kuros</w:t>
            </w:r>
            <w:r w:rsidRPr="003B1C9F">
              <w:rPr>
                <w:sz w:val="22"/>
                <w:szCs w:val="22"/>
              </w:rPr>
              <w:t xml:space="preserve"> pašlaik ir izstrādes procesā. Plānots, ka minētie grozījumi MK noteikumos Nr. 149 </w:t>
            </w:r>
            <w:r w:rsidR="00312B1F">
              <w:rPr>
                <w:sz w:val="22"/>
                <w:szCs w:val="22"/>
              </w:rPr>
              <w:t>tiks izstrādāti līdz 2021. gada 1. janvārim</w:t>
            </w:r>
            <w:r w:rsidRPr="003B1C9F">
              <w:rPr>
                <w:sz w:val="22"/>
                <w:szCs w:val="22"/>
              </w:rPr>
              <w:t>.</w:t>
            </w:r>
            <w:r>
              <w:rPr>
                <w:sz w:val="22"/>
                <w:szCs w:val="22"/>
              </w:rPr>
              <w:t xml:space="preserve"> Grozījumu izstrādē tiks </w:t>
            </w:r>
            <w:r>
              <w:rPr>
                <w:sz w:val="22"/>
                <w:szCs w:val="22"/>
              </w:rPr>
              <w:lastRenderedPageBreak/>
              <w:t>iesaistītas visas iestādes, kuras veiks preču kontroli saskaņā ar likumu Par radiācijas drošību un kodoldrošību.</w:t>
            </w:r>
          </w:p>
        </w:tc>
        <w:tc>
          <w:tcPr>
            <w:tcW w:w="3376" w:type="dxa"/>
            <w:tcBorders>
              <w:top w:val="single" w:sz="4" w:space="0" w:color="auto"/>
              <w:left w:val="single" w:sz="4" w:space="0" w:color="auto"/>
              <w:bottom w:val="single" w:sz="4" w:space="0" w:color="auto"/>
            </w:tcBorders>
          </w:tcPr>
          <w:p w14:paraId="1F2509E3" w14:textId="435AE90F" w:rsidR="00F25655" w:rsidRPr="00C97101" w:rsidRDefault="00385EC8" w:rsidP="00F25655">
            <w:pPr>
              <w:jc w:val="both"/>
              <w:rPr>
                <w:b/>
                <w:sz w:val="22"/>
                <w:szCs w:val="22"/>
              </w:rPr>
            </w:pPr>
            <w:r>
              <w:rPr>
                <w:sz w:val="22"/>
                <w:szCs w:val="22"/>
              </w:rPr>
              <w:lastRenderedPageBreak/>
              <w:t xml:space="preserve">Sk. precizēto </w:t>
            </w:r>
            <w:r w:rsidR="002F10B4" w:rsidRPr="00C97101">
              <w:rPr>
                <w:sz w:val="22"/>
                <w:szCs w:val="22"/>
              </w:rPr>
              <w:t>Likumprojekt</w:t>
            </w:r>
            <w:r>
              <w:rPr>
                <w:sz w:val="22"/>
                <w:szCs w:val="22"/>
              </w:rPr>
              <w:t>a anotācijas I sadaļas 2. punktu</w:t>
            </w:r>
            <w:r w:rsidR="00B74F0C">
              <w:rPr>
                <w:sz w:val="22"/>
                <w:szCs w:val="22"/>
              </w:rPr>
              <w:t>.</w:t>
            </w:r>
          </w:p>
        </w:tc>
      </w:tr>
      <w:tr w:rsidR="00F25655" w:rsidRPr="000B51DA" w14:paraId="0ED88E1F" w14:textId="77777777" w:rsidTr="00A91645">
        <w:tc>
          <w:tcPr>
            <w:tcW w:w="675" w:type="dxa"/>
            <w:tcBorders>
              <w:top w:val="single" w:sz="6" w:space="0" w:color="000000"/>
              <w:left w:val="single" w:sz="6" w:space="0" w:color="000000"/>
              <w:bottom w:val="single" w:sz="6" w:space="0" w:color="000000"/>
              <w:right w:val="single" w:sz="6" w:space="0" w:color="000000"/>
            </w:tcBorders>
          </w:tcPr>
          <w:p w14:paraId="333EF2C1" w14:textId="11815C89" w:rsidR="00F25655" w:rsidRDefault="00894715" w:rsidP="00F25655">
            <w:pPr>
              <w:pStyle w:val="naisc"/>
              <w:spacing w:before="0" w:after="0"/>
              <w:rPr>
                <w:sz w:val="22"/>
                <w:szCs w:val="22"/>
              </w:rPr>
            </w:pPr>
            <w:r>
              <w:rPr>
                <w:sz w:val="22"/>
                <w:szCs w:val="22"/>
              </w:rPr>
              <w:t>8</w:t>
            </w:r>
            <w:r w:rsidR="00F25655">
              <w:rPr>
                <w:sz w:val="22"/>
                <w:szCs w:val="22"/>
              </w:rPr>
              <w:t>.</w:t>
            </w:r>
          </w:p>
        </w:tc>
        <w:tc>
          <w:tcPr>
            <w:tcW w:w="3145" w:type="dxa"/>
            <w:tcBorders>
              <w:top w:val="single" w:sz="6" w:space="0" w:color="000000"/>
              <w:left w:val="single" w:sz="6" w:space="0" w:color="000000"/>
              <w:bottom w:val="single" w:sz="6" w:space="0" w:color="000000"/>
              <w:right w:val="single" w:sz="6" w:space="0" w:color="000000"/>
            </w:tcBorders>
          </w:tcPr>
          <w:p w14:paraId="10F39F2C" w14:textId="2C5A150C" w:rsidR="00F25655" w:rsidRPr="00A02A1F" w:rsidRDefault="00F25655" w:rsidP="00F25655">
            <w:pPr>
              <w:pStyle w:val="naisc"/>
              <w:spacing w:before="0" w:after="0"/>
              <w:jc w:val="both"/>
              <w:rPr>
                <w:sz w:val="22"/>
                <w:szCs w:val="22"/>
              </w:rPr>
            </w:pPr>
            <w:r w:rsidRPr="00C97101">
              <w:rPr>
                <w:sz w:val="22"/>
                <w:szCs w:val="22"/>
              </w:rPr>
              <w:t>Likumprojekta anotācijas I sadaļas 2. punkts</w:t>
            </w:r>
            <w:r w:rsidR="00B74F0C">
              <w:rPr>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16A16136" w14:textId="77777777" w:rsidR="00F25655" w:rsidRPr="0006473D" w:rsidRDefault="00F25655" w:rsidP="00F25655">
            <w:pPr>
              <w:autoSpaceDE w:val="0"/>
              <w:autoSpaceDN w:val="0"/>
              <w:adjustRightInd w:val="0"/>
              <w:jc w:val="both"/>
              <w:rPr>
                <w:b/>
                <w:bCs/>
                <w:sz w:val="22"/>
                <w:szCs w:val="22"/>
              </w:rPr>
            </w:pPr>
            <w:r w:rsidRPr="0006473D">
              <w:rPr>
                <w:b/>
                <w:bCs/>
                <w:sz w:val="22"/>
                <w:szCs w:val="22"/>
              </w:rPr>
              <w:t>Tieslietu ministrija</w:t>
            </w:r>
          </w:p>
          <w:p w14:paraId="6D2E1247" w14:textId="481B229E" w:rsidR="00F25655" w:rsidRPr="00A02A1F" w:rsidRDefault="00F25655" w:rsidP="00F25655">
            <w:pPr>
              <w:pStyle w:val="naisc"/>
              <w:spacing w:before="0"/>
              <w:ind w:right="6"/>
              <w:jc w:val="both"/>
              <w:rPr>
                <w:b/>
                <w:sz w:val="22"/>
                <w:szCs w:val="22"/>
              </w:rPr>
            </w:pPr>
            <w:r w:rsidRPr="0006473D">
              <w:rPr>
                <w:sz w:val="22"/>
                <w:szCs w:val="22"/>
              </w:rPr>
              <w:t>Projekta anotācijas I sadaļas 2. punktā norādīts, ka projekta 2. pantā ietvertā likuma "Par radiācijas drošību un kodoldrošību"  31. panta septītā daļa paredz administratīvo atbildību par, tostarp, bet ne tikai, Rīgas domes 2017. gada 2. maija saistošo noteikumu Nr. 255 ''Rīgas brīvostas noteikumi'' 13. un 147. punktā un Jūrlietu pārvaldes un jūras drošības likuma 33. panta sestās daļas un 52. panta pirmajā daļā noteikto prasību neievērošanu attiecībā uz radiācijas jomu. Norādām, ka likumā "Par radiācijas drošību un kodoldrošību" var paredzēt administratīvo atbildību tikai par šī likuma vai uz šī likuma pamata izdoto Ministru kabineta noteikumu prasību neievērošanu. Ievērojot minēto, lūdzam precizēt anotācijas I sadaļas 2. punktu, svītrojot norādi uz Rīgas domes 2017. gada 2. maija saistošajiem noteikumiem Nr. 255 ''Rīgas brīvostas noteikumi'' un Jūrlietu pārvaldes un jūras drošības likumu.</w:t>
            </w:r>
          </w:p>
        </w:tc>
        <w:tc>
          <w:tcPr>
            <w:tcW w:w="3544" w:type="dxa"/>
            <w:tcBorders>
              <w:top w:val="single" w:sz="6" w:space="0" w:color="000000"/>
              <w:left w:val="single" w:sz="6" w:space="0" w:color="000000"/>
              <w:bottom w:val="single" w:sz="6" w:space="0" w:color="000000"/>
              <w:right w:val="single" w:sz="6" w:space="0" w:color="000000"/>
            </w:tcBorders>
          </w:tcPr>
          <w:p w14:paraId="1B802FF2" w14:textId="540BE49C" w:rsidR="00F25655" w:rsidRDefault="00F25655" w:rsidP="00F25655">
            <w:pPr>
              <w:pStyle w:val="naisc"/>
              <w:spacing w:before="0" w:after="0"/>
              <w:ind w:firstLine="21"/>
              <w:jc w:val="both"/>
              <w:rPr>
                <w:b/>
                <w:sz w:val="22"/>
                <w:szCs w:val="22"/>
              </w:rPr>
            </w:pPr>
            <w:r w:rsidRPr="0006473D">
              <w:rPr>
                <w:b/>
                <w:sz w:val="22"/>
                <w:szCs w:val="22"/>
              </w:rPr>
              <w:t>Ņemts vērā</w:t>
            </w:r>
          </w:p>
        </w:tc>
        <w:tc>
          <w:tcPr>
            <w:tcW w:w="3376" w:type="dxa"/>
            <w:tcBorders>
              <w:top w:val="single" w:sz="4" w:space="0" w:color="auto"/>
              <w:left w:val="single" w:sz="4" w:space="0" w:color="auto"/>
              <w:bottom w:val="single" w:sz="4" w:space="0" w:color="auto"/>
            </w:tcBorders>
          </w:tcPr>
          <w:p w14:paraId="1FBC1E06" w14:textId="16E63106" w:rsidR="00F25655" w:rsidRPr="00A02A1F" w:rsidRDefault="00F25655" w:rsidP="00F25655">
            <w:pPr>
              <w:jc w:val="both"/>
              <w:rPr>
                <w:sz w:val="22"/>
                <w:szCs w:val="22"/>
              </w:rPr>
            </w:pPr>
            <w:r>
              <w:rPr>
                <w:sz w:val="22"/>
              </w:rPr>
              <w:t xml:space="preserve">Sk. precizēto </w:t>
            </w:r>
            <w:r w:rsidRPr="00C97101">
              <w:rPr>
                <w:sz w:val="22"/>
                <w:szCs w:val="22"/>
              </w:rPr>
              <w:t>Likumprojekt</w:t>
            </w:r>
            <w:r>
              <w:rPr>
                <w:sz w:val="22"/>
              </w:rPr>
              <w:t>a anotācijas I sadaļas 2. punktu</w:t>
            </w:r>
            <w:r w:rsidR="00B74F0C">
              <w:rPr>
                <w:sz w:val="22"/>
              </w:rPr>
              <w:t>.</w:t>
            </w:r>
          </w:p>
        </w:tc>
      </w:tr>
      <w:tr w:rsidR="00A84006" w:rsidRPr="000B51DA" w14:paraId="3B08165B" w14:textId="77777777" w:rsidTr="00A91645">
        <w:tc>
          <w:tcPr>
            <w:tcW w:w="675" w:type="dxa"/>
            <w:tcBorders>
              <w:top w:val="single" w:sz="6" w:space="0" w:color="000000"/>
              <w:left w:val="single" w:sz="6" w:space="0" w:color="000000"/>
              <w:bottom w:val="single" w:sz="6" w:space="0" w:color="000000"/>
              <w:right w:val="single" w:sz="6" w:space="0" w:color="000000"/>
            </w:tcBorders>
          </w:tcPr>
          <w:p w14:paraId="3537570A" w14:textId="404E6DDC" w:rsidR="00A84006" w:rsidRDefault="00A84006" w:rsidP="00F25655">
            <w:pPr>
              <w:pStyle w:val="naisc"/>
              <w:spacing w:before="0" w:after="0"/>
              <w:rPr>
                <w:sz w:val="22"/>
                <w:szCs w:val="22"/>
              </w:rPr>
            </w:pPr>
            <w:r>
              <w:rPr>
                <w:sz w:val="22"/>
                <w:szCs w:val="22"/>
              </w:rPr>
              <w:t xml:space="preserve">9. </w:t>
            </w:r>
          </w:p>
        </w:tc>
        <w:tc>
          <w:tcPr>
            <w:tcW w:w="3145" w:type="dxa"/>
            <w:tcBorders>
              <w:top w:val="single" w:sz="6" w:space="0" w:color="000000"/>
              <w:left w:val="single" w:sz="6" w:space="0" w:color="000000"/>
              <w:bottom w:val="single" w:sz="6" w:space="0" w:color="000000"/>
              <w:right w:val="single" w:sz="6" w:space="0" w:color="000000"/>
            </w:tcBorders>
          </w:tcPr>
          <w:p w14:paraId="2712F167" w14:textId="6FD5AB47" w:rsidR="00A84006" w:rsidRPr="00C97101" w:rsidRDefault="00A84006" w:rsidP="00F25655">
            <w:pPr>
              <w:pStyle w:val="naisc"/>
              <w:spacing w:before="0" w:after="0"/>
              <w:jc w:val="both"/>
              <w:rPr>
                <w:sz w:val="22"/>
                <w:szCs w:val="22"/>
              </w:rPr>
            </w:pPr>
            <w:r w:rsidRPr="00C97101">
              <w:rPr>
                <w:sz w:val="22"/>
                <w:szCs w:val="22"/>
              </w:rPr>
              <w:t>Likumprojekta anotācijas I sadaļas 2. punkts</w:t>
            </w:r>
            <w:r w:rsidR="00B74F0C">
              <w:rPr>
                <w:sz w:val="22"/>
                <w:szCs w:val="22"/>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11CE9F5" w14:textId="77777777" w:rsidR="00A84006" w:rsidRDefault="00A84006" w:rsidP="00A84006">
            <w:pPr>
              <w:autoSpaceDE w:val="0"/>
              <w:autoSpaceDN w:val="0"/>
              <w:adjustRightInd w:val="0"/>
              <w:jc w:val="both"/>
              <w:rPr>
                <w:b/>
                <w:bCs/>
                <w:sz w:val="22"/>
                <w:szCs w:val="22"/>
              </w:rPr>
            </w:pPr>
            <w:r>
              <w:rPr>
                <w:b/>
                <w:bCs/>
                <w:sz w:val="22"/>
                <w:szCs w:val="22"/>
              </w:rPr>
              <w:t>Finanšu ministrija</w:t>
            </w:r>
          </w:p>
          <w:p w14:paraId="233E5410" w14:textId="77777777" w:rsidR="00A84006" w:rsidRDefault="00A84006" w:rsidP="00A84006">
            <w:pPr>
              <w:spacing w:after="120"/>
              <w:jc w:val="both"/>
            </w:pPr>
            <w:r w:rsidRPr="009A7C2D">
              <w:t xml:space="preserve">Likumprojekta 2.pantā ietvertajā likuma “Par radiācijas drošību un </w:t>
            </w:r>
            <w:r w:rsidRPr="009A7C2D">
              <w:lastRenderedPageBreak/>
              <w:t>kodoldrošību” (turpmāk – likums) 32.panta otrās daļas 2.punktā paredzēts noteikt, ka par šā likuma 31.panta devītajā daļā minētajiem pārkāpumiem administratīvā pārkāpuma procesu veic attiecīgā tirgus uzraudzības iestāde, pamatojoties uz Valsts vides dienesta atzinumu dārgmetālu, dārgakmeņu un to izstrādājumu jomā līdz administratīvā pārkāpuma lietas izskatīšanai – valsts sabiedrība ar ierobežotu atbildību “Latvijas proves birojs”. Administratīvā pārkāpuma lietu izskata Valsts ieņēmumu dienests</w:t>
            </w:r>
            <w:r>
              <w:t xml:space="preserve"> (turpmāk – VID)</w:t>
            </w:r>
            <w:r w:rsidRPr="009A7C2D">
              <w:t>.</w:t>
            </w:r>
            <w:r>
              <w:t xml:space="preserve"> </w:t>
            </w:r>
            <w:r w:rsidRPr="009A7C2D">
              <w:t xml:space="preserve">Tādējādi </w:t>
            </w:r>
            <w:r>
              <w:t>l</w:t>
            </w:r>
            <w:r w:rsidRPr="009A7C2D">
              <w:t xml:space="preserve">ikumprojekta 2.pantā ietvertajā likuma 32.panta otrās daļas 2.punktā paredzēts noteikt VID kā tirgus uzraudzības iestādei kompetenci administratīvā pārkāpuma lietas izskatīšanā. Savukārt anotācijas I sadaļas “Tiesību akta projekta izstrādes nepieciešamība” 2.punktā “Pašreizējā situācija un problēmas, kuru risināšanai tiesību akta projekts izstrādāts, tiesiskā regulējuma mērķis un būtība” nav norādīta informācija par VID kompetenci likuma 31.panta </w:t>
            </w:r>
            <w:r w:rsidRPr="009A7C2D">
              <w:lastRenderedPageBreak/>
              <w:t>devītajā daļā paredzētā administratīvā pārkāpuma lietas izskatīšanā (skat. 7.lp</w:t>
            </w:r>
            <w:r>
              <w:t>p.</w:t>
            </w:r>
            <w:r w:rsidRPr="009A7C2D">
              <w:t xml:space="preserve"> 3. un 4.rindkop</w:t>
            </w:r>
            <w:r>
              <w:t>u</w:t>
            </w:r>
            <w:r w:rsidRPr="009A7C2D">
              <w:t>).</w:t>
            </w:r>
            <w:r>
              <w:t xml:space="preserve"> </w:t>
            </w:r>
          </w:p>
          <w:p w14:paraId="1CC3BCEF" w14:textId="09327213" w:rsidR="00A84006" w:rsidRPr="00A84006" w:rsidRDefault="00A84006" w:rsidP="00A84006">
            <w:pPr>
              <w:spacing w:after="120"/>
              <w:jc w:val="both"/>
            </w:pPr>
            <w:r w:rsidRPr="009A7C2D">
              <w:t xml:space="preserve">Ņemot vērā minēto, lūdzam </w:t>
            </w:r>
            <w:r>
              <w:t xml:space="preserve">attiecīgi </w:t>
            </w:r>
            <w:r w:rsidRPr="009A7C2D">
              <w:t>precizēt anotācijas I sadaļas “Tiesību akta projekta izstrādes nepieciešamība” 2.punktu “Pašreizējā situācija un problēmas, kuru risināšanai tiesību akta projekts izstrādāts, tiesiskā regulējuma mērķis un būtība”.</w:t>
            </w:r>
          </w:p>
        </w:tc>
        <w:tc>
          <w:tcPr>
            <w:tcW w:w="3544" w:type="dxa"/>
            <w:tcBorders>
              <w:top w:val="single" w:sz="6" w:space="0" w:color="000000"/>
              <w:left w:val="single" w:sz="6" w:space="0" w:color="000000"/>
              <w:bottom w:val="single" w:sz="6" w:space="0" w:color="000000"/>
              <w:right w:val="single" w:sz="6" w:space="0" w:color="000000"/>
            </w:tcBorders>
          </w:tcPr>
          <w:p w14:paraId="1C33DF5D" w14:textId="58A58050" w:rsidR="00A84006" w:rsidRPr="0006473D" w:rsidRDefault="00A84006" w:rsidP="00F25655">
            <w:pPr>
              <w:pStyle w:val="naisc"/>
              <w:spacing w:before="0" w:after="0"/>
              <w:ind w:firstLine="21"/>
              <w:jc w:val="both"/>
              <w:rPr>
                <w:b/>
                <w:sz w:val="22"/>
                <w:szCs w:val="22"/>
              </w:rPr>
            </w:pPr>
            <w:r>
              <w:rPr>
                <w:b/>
                <w:sz w:val="22"/>
                <w:szCs w:val="22"/>
              </w:rPr>
              <w:lastRenderedPageBreak/>
              <w:t>Ņemts vērā</w:t>
            </w:r>
          </w:p>
        </w:tc>
        <w:tc>
          <w:tcPr>
            <w:tcW w:w="3376" w:type="dxa"/>
            <w:tcBorders>
              <w:top w:val="single" w:sz="4" w:space="0" w:color="auto"/>
              <w:left w:val="single" w:sz="4" w:space="0" w:color="auto"/>
              <w:bottom w:val="single" w:sz="4" w:space="0" w:color="auto"/>
            </w:tcBorders>
          </w:tcPr>
          <w:p w14:paraId="0D0CB1A7" w14:textId="17F3677B" w:rsidR="00A84006" w:rsidRDefault="00A84006" w:rsidP="00F25655">
            <w:pPr>
              <w:jc w:val="both"/>
              <w:rPr>
                <w:sz w:val="22"/>
              </w:rPr>
            </w:pPr>
            <w:r>
              <w:rPr>
                <w:sz w:val="22"/>
              </w:rPr>
              <w:t xml:space="preserve">Sk. precizēto </w:t>
            </w:r>
            <w:r w:rsidRPr="00C97101">
              <w:rPr>
                <w:sz w:val="22"/>
                <w:szCs w:val="22"/>
              </w:rPr>
              <w:t>Likumprojekt</w:t>
            </w:r>
            <w:r>
              <w:rPr>
                <w:sz w:val="22"/>
              </w:rPr>
              <w:t>a anotācijas I sadaļas 2. punktu</w:t>
            </w:r>
            <w:r w:rsidR="00B74F0C">
              <w:rPr>
                <w:sz w:val="22"/>
              </w:rPr>
              <w:t>.</w:t>
            </w:r>
          </w:p>
        </w:tc>
      </w:tr>
      <w:tr w:rsidR="00A84006" w:rsidRPr="000B51DA" w14:paraId="0AF7F179" w14:textId="77777777" w:rsidTr="00A91645">
        <w:tc>
          <w:tcPr>
            <w:tcW w:w="675" w:type="dxa"/>
            <w:tcBorders>
              <w:top w:val="single" w:sz="6" w:space="0" w:color="000000"/>
              <w:left w:val="single" w:sz="6" w:space="0" w:color="000000"/>
              <w:bottom w:val="single" w:sz="6" w:space="0" w:color="000000"/>
              <w:right w:val="single" w:sz="6" w:space="0" w:color="000000"/>
            </w:tcBorders>
          </w:tcPr>
          <w:p w14:paraId="5BFA4923" w14:textId="64F75C23" w:rsidR="00A84006" w:rsidRDefault="00A84006" w:rsidP="00A84006">
            <w:pPr>
              <w:pStyle w:val="naisc"/>
              <w:spacing w:before="0" w:after="0"/>
              <w:rPr>
                <w:sz w:val="22"/>
                <w:szCs w:val="22"/>
              </w:rPr>
            </w:pPr>
            <w:r>
              <w:rPr>
                <w:sz w:val="22"/>
                <w:szCs w:val="22"/>
              </w:rPr>
              <w:lastRenderedPageBreak/>
              <w:t>10.</w:t>
            </w:r>
          </w:p>
        </w:tc>
        <w:tc>
          <w:tcPr>
            <w:tcW w:w="3145" w:type="dxa"/>
            <w:tcBorders>
              <w:top w:val="single" w:sz="6" w:space="0" w:color="000000"/>
              <w:left w:val="single" w:sz="6" w:space="0" w:color="000000"/>
              <w:bottom w:val="single" w:sz="6" w:space="0" w:color="000000"/>
              <w:right w:val="single" w:sz="6" w:space="0" w:color="000000"/>
            </w:tcBorders>
          </w:tcPr>
          <w:p w14:paraId="2BD4A439" w14:textId="3DBCB7C6" w:rsidR="00A84006" w:rsidRPr="00C97101" w:rsidRDefault="00A84006" w:rsidP="00A84006">
            <w:pPr>
              <w:pStyle w:val="naisc"/>
              <w:spacing w:before="0" w:after="0"/>
              <w:jc w:val="both"/>
              <w:rPr>
                <w:sz w:val="22"/>
                <w:szCs w:val="22"/>
              </w:rPr>
            </w:pPr>
            <w:r w:rsidRPr="00C97101">
              <w:rPr>
                <w:sz w:val="22"/>
                <w:szCs w:val="22"/>
              </w:rPr>
              <w:t>Likumprojekta anotācijas I</w:t>
            </w:r>
            <w:r>
              <w:rPr>
                <w:sz w:val="22"/>
                <w:szCs w:val="22"/>
              </w:rPr>
              <w:t>II sadaļa</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0DF03F5" w14:textId="77777777" w:rsidR="00A84006" w:rsidRDefault="00A84006" w:rsidP="00A84006">
            <w:pPr>
              <w:autoSpaceDE w:val="0"/>
              <w:autoSpaceDN w:val="0"/>
              <w:adjustRightInd w:val="0"/>
              <w:jc w:val="both"/>
              <w:rPr>
                <w:b/>
                <w:bCs/>
                <w:sz w:val="22"/>
                <w:szCs w:val="22"/>
              </w:rPr>
            </w:pPr>
            <w:r>
              <w:rPr>
                <w:b/>
                <w:bCs/>
                <w:sz w:val="22"/>
                <w:szCs w:val="22"/>
              </w:rPr>
              <w:t>Finanšu ministrija</w:t>
            </w:r>
          </w:p>
          <w:p w14:paraId="17ACF6C0" w14:textId="7E719AA2" w:rsidR="00A84006" w:rsidRDefault="00A84006" w:rsidP="00A84006">
            <w:pPr>
              <w:autoSpaceDE w:val="0"/>
              <w:autoSpaceDN w:val="0"/>
              <w:adjustRightInd w:val="0"/>
              <w:jc w:val="both"/>
              <w:rPr>
                <w:b/>
                <w:bCs/>
                <w:sz w:val="22"/>
                <w:szCs w:val="22"/>
              </w:rPr>
            </w:pPr>
            <w:r w:rsidRPr="009A7C2D">
              <w:t>Ņemot vērā to, ka likumprojektā noteiktie sodi un to apmēri ir mainījušies attiecībā pret Latvijas Administratīvo pārkāpumu kodeksā noteikto, lūdzam aizpildīt anotācijas III sadaļu atbilstoši Ministru kabineta 2009.gada 15.decembra instrukcijai Nr.19 “Tiesību akta projekta sākotnējās ietekmes izvērtēšanas kārtība”, nepieciešamības gadījumā piemērojot minētās instrukcijas 33.punktā noteikto.</w:t>
            </w:r>
          </w:p>
        </w:tc>
        <w:tc>
          <w:tcPr>
            <w:tcW w:w="3544" w:type="dxa"/>
            <w:tcBorders>
              <w:top w:val="single" w:sz="6" w:space="0" w:color="000000"/>
              <w:left w:val="single" w:sz="6" w:space="0" w:color="000000"/>
              <w:bottom w:val="single" w:sz="6" w:space="0" w:color="000000"/>
              <w:right w:val="single" w:sz="6" w:space="0" w:color="000000"/>
            </w:tcBorders>
          </w:tcPr>
          <w:p w14:paraId="6182E7A2" w14:textId="7CE7BD30" w:rsidR="00A84006" w:rsidRDefault="00A84006" w:rsidP="00A84006">
            <w:pPr>
              <w:pStyle w:val="naisc"/>
              <w:spacing w:before="0" w:after="0"/>
              <w:ind w:firstLine="21"/>
              <w:jc w:val="both"/>
              <w:rPr>
                <w:b/>
                <w:sz w:val="22"/>
                <w:szCs w:val="22"/>
              </w:rPr>
            </w:pPr>
            <w:r>
              <w:rPr>
                <w:b/>
                <w:sz w:val="22"/>
                <w:szCs w:val="22"/>
              </w:rPr>
              <w:t>Ņemts vērā</w:t>
            </w:r>
          </w:p>
        </w:tc>
        <w:tc>
          <w:tcPr>
            <w:tcW w:w="3376" w:type="dxa"/>
            <w:tcBorders>
              <w:top w:val="single" w:sz="4" w:space="0" w:color="auto"/>
              <w:left w:val="single" w:sz="4" w:space="0" w:color="auto"/>
              <w:bottom w:val="single" w:sz="4" w:space="0" w:color="auto"/>
            </w:tcBorders>
          </w:tcPr>
          <w:p w14:paraId="75FD216B" w14:textId="48952773" w:rsidR="00A84006" w:rsidRDefault="00A84006" w:rsidP="00A84006">
            <w:pPr>
              <w:jc w:val="both"/>
              <w:rPr>
                <w:sz w:val="22"/>
              </w:rPr>
            </w:pPr>
            <w:r>
              <w:rPr>
                <w:sz w:val="22"/>
              </w:rPr>
              <w:t xml:space="preserve">Sk. precizēto </w:t>
            </w:r>
            <w:r w:rsidRPr="00C97101">
              <w:rPr>
                <w:sz w:val="22"/>
                <w:szCs w:val="22"/>
              </w:rPr>
              <w:t>Likumprojekt</w:t>
            </w:r>
            <w:r>
              <w:rPr>
                <w:sz w:val="22"/>
              </w:rPr>
              <w:t>a anotācijas III sadaļu</w:t>
            </w:r>
          </w:p>
        </w:tc>
      </w:tr>
    </w:tbl>
    <w:p w14:paraId="5ACF56B7" w14:textId="0D48219E" w:rsidR="00777B6D" w:rsidRDefault="00777B6D" w:rsidP="00B0301A">
      <w:pPr>
        <w:tabs>
          <w:tab w:val="left" w:pos="6237"/>
        </w:tabs>
      </w:pPr>
    </w:p>
    <w:p w14:paraId="47BE6EC2" w14:textId="77777777" w:rsidR="00B0301A" w:rsidRPr="00425EC2" w:rsidRDefault="00B0301A" w:rsidP="00B0301A">
      <w:pPr>
        <w:tabs>
          <w:tab w:val="left" w:pos="6237"/>
        </w:tabs>
        <w:rPr>
          <w:sz w:val="20"/>
          <w:szCs w:val="20"/>
        </w:rPr>
      </w:pPr>
      <w:r>
        <w:rPr>
          <w:sz w:val="20"/>
          <w:szCs w:val="20"/>
        </w:rPr>
        <w:t>Slaidiņa</w:t>
      </w:r>
      <w:r w:rsidRPr="00425EC2">
        <w:rPr>
          <w:sz w:val="20"/>
          <w:szCs w:val="20"/>
        </w:rPr>
        <w:t xml:space="preserve"> </w:t>
      </w:r>
      <w:r w:rsidRPr="00C66CBC">
        <w:rPr>
          <w:sz w:val="20"/>
          <w:szCs w:val="20"/>
        </w:rPr>
        <w:t>67026487</w:t>
      </w:r>
      <w:r w:rsidRPr="00425EC2">
        <w:rPr>
          <w:sz w:val="20"/>
          <w:szCs w:val="20"/>
        </w:rPr>
        <w:t xml:space="preserve"> </w:t>
      </w:r>
    </w:p>
    <w:p w14:paraId="0DD5377D" w14:textId="2DC02A00" w:rsidR="00B0301A" w:rsidRDefault="000D2590" w:rsidP="00B0301A">
      <w:pPr>
        <w:tabs>
          <w:tab w:val="left" w:pos="6237"/>
        </w:tabs>
      </w:pPr>
      <w:hyperlink r:id="rId9" w:history="1">
        <w:r w:rsidR="00B0301A" w:rsidRPr="002D3447">
          <w:rPr>
            <w:rStyle w:val="Hyperlink"/>
            <w:sz w:val="20"/>
          </w:rPr>
          <w:t>natalija.slaidina@varam.gov.lv</w:t>
        </w:r>
      </w:hyperlink>
      <w:r w:rsidR="00B0301A" w:rsidRPr="00425EC2">
        <w:rPr>
          <w:sz w:val="20"/>
          <w:szCs w:val="20"/>
        </w:rPr>
        <w:t xml:space="preserve"> </w:t>
      </w:r>
    </w:p>
    <w:sectPr w:rsidR="00B0301A" w:rsidSect="000C2112">
      <w:headerReference w:type="default" r:id="rId10"/>
      <w:footerReference w:type="defaul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F489" w14:textId="77777777" w:rsidR="000D2590" w:rsidRDefault="000D2590" w:rsidP="0086231C">
      <w:r>
        <w:separator/>
      </w:r>
    </w:p>
  </w:endnote>
  <w:endnote w:type="continuationSeparator" w:id="0">
    <w:p w14:paraId="62D82888" w14:textId="77777777" w:rsidR="000D2590" w:rsidRDefault="000D2590" w:rsidP="008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9434" w14:textId="491E9B53" w:rsidR="000C2112" w:rsidRPr="006D7A66" w:rsidRDefault="006D7A66" w:rsidP="006D7A66">
    <w:pPr>
      <w:pStyle w:val="Footer"/>
    </w:pPr>
    <w:r w:rsidRPr="006D7A66">
      <w:rPr>
        <w:rFonts w:eastAsia="Times New Roman"/>
        <w:sz w:val="20"/>
        <w:szCs w:val="20"/>
        <w:lang w:val="lv-LV" w:eastAsia="lv-LV"/>
      </w:rPr>
      <w:t>VARAMIzz_</w:t>
    </w:r>
    <w:r w:rsidR="002D7333">
      <w:rPr>
        <w:rFonts w:eastAsia="Times New Roman"/>
        <w:sz w:val="20"/>
        <w:szCs w:val="20"/>
        <w:lang w:val="lv-LV" w:eastAsia="lv-LV"/>
      </w:rPr>
      <w:t>28</w:t>
    </w:r>
    <w:r w:rsidR="00306FFD">
      <w:rPr>
        <w:rFonts w:eastAsia="Times New Roman"/>
        <w:sz w:val="20"/>
        <w:szCs w:val="20"/>
        <w:lang w:val="lv-LV" w:eastAsia="lv-LV"/>
      </w:rPr>
      <w:t>012020</w:t>
    </w:r>
    <w:r w:rsidRPr="006D7A66">
      <w:rPr>
        <w:rFonts w:eastAsia="Times New Roman"/>
        <w:sz w:val="20"/>
        <w:szCs w:val="20"/>
        <w:lang w:val="lv-LV" w:eastAsia="lv-LV"/>
      </w:rPr>
      <w:t>_Groz_RDL_LAPK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A1DD" w14:textId="2080A874" w:rsidR="00536A22" w:rsidRPr="006D7A66" w:rsidRDefault="002D7333" w:rsidP="006D7A66">
    <w:pPr>
      <w:pStyle w:val="Footer"/>
    </w:pPr>
    <w:r>
      <w:rPr>
        <w:rFonts w:eastAsia="Times New Roman"/>
        <w:sz w:val="20"/>
        <w:szCs w:val="20"/>
        <w:lang w:val="lv-LV" w:eastAsia="lv-LV"/>
      </w:rPr>
      <w:t>VARAMIzz_28</w:t>
    </w:r>
    <w:r w:rsidR="00306FFD">
      <w:rPr>
        <w:rFonts w:eastAsia="Times New Roman"/>
        <w:sz w:val="20"/>
        <w:szCs w:val="20"/>
        <w:lang w:val="lv-LV" w:eastAsia="lv-LV"/>
      </w:rPr>
      <w:t>01</w:t>
    </w:r>
    <w:r w:rsidR="006D7A66" w:rsidRPr="006D7A66">
      <w:rPr>
        <w:rFonts w:eastAsia="Times New Roman"/>
        <w:sz w:val="20"/>
        <w:szCs w:val="20"/>
        <w:lang w:val="lv-LV" w:eastAsia="lv-LV"/>
      </w:rPr>
      <w:t>2020_Groz_RDL_LAPK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2F75" w14:textId="77777777" w:rsidR="000D2590" w:rsidRDefault="000D2590" w:rsidP="0086231C">
      <w:r>
        <w:separator/>
      </w:r>
    </w:p>
  </w:footnote>
  <w:footnote w:type="continuationSeparator" w:id="0">
    <w:p w14:paraId="587CCF5F" w14:textId="77777777" w:rsidR="000D2590" w:rsidRDefault="000D2590" w:rsidP="0086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0693"/>
      <w:docPartObj>
        <w:docPartGallery w:val="Page Numbers (Top of Page)"/>
        <w:docPartUnique/>
      </w:docPartObj>
    </w:sdtPr>
    <w:sdtEndPr>
      <w:rPr>
        <w:noProof/>
      </w:rPr>
    </w:sdtEndPr>
    <w:sdtContent>
      <w:p w14:paraId="55DA6850" w14:textId="77777777" w:rsidR="000C2112" w:rsidRDefault="000C2112">
        <w:pPr>
          <w:pStyle w:val="Header"/>
          <w:jc w:val="center"/>
        </w:pPr>
        <w:r>
          <w:fldChar w:fldCharType="begin"/>
        </w:r>
        <w:r>
          <w:instrText xml:space="preserve"> PAGE   \* MERGEFORMAT </w:instrText>
        </w:r>
        <w:r>
          <w:fldChar w:fldCharType="separate"/>
        </w:r>
        <w:r w:rsidR="005530D0">
          <w:rPr>
            <w:noProof/>
          </w:rPr>
          <w:t>14</w:t>
        </w:r>
        <w:r>
          <w:rPr>
            <w:noProof/>
          </w:rPr>
          <w:fldChar w:fldCharType="end"/>
        </w:r>
      </w:p>
    </w:sdtContent>
  </w:sdt>
  <w:p w14:paraId="36E0B010" w14:textId="77777777" w:rsidR="000C2112" w:rsidRPr="000E204B" w:rsidRDefault="000C211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ED398D"/>
    <w:multiLevelType w:val="hybridMultilevel"/>
    <w:tmpl w:val="3402A838"/>
    <w:lvl w:ilvl="0" w:tplc="8E12B870">
      <w:start w:val="3"/>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355554B"/>
    <w:multiLevelType w:val="hybridMultilevel"/>
    <w:tmpl w:val="EDB84B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D4A7C"/>
    <w:multiLevelType w:val="multilevel"/>
    <w:tmpl w:val="81062C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AF5664"/>
    <w:multiLevelType w:val="hybridMultilevel"/>
    <w:tmpl w:val="F3BE8766"/>
    <w:lvl w:ilvl="0" w:tplc="B8681F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31F4182C"/>
    <w:multiLevelType w:val="multilevel"/>
    <w:tmpl w:val="528EAD0E"/>
    <w:lvl w:ilvl="0">
      <w:start w:val="4"/>
      <w:numFmt w:val="decimal"/>
      <w:lvlText w:val="%1."/>
      <w:lvlJc w:val="left"/>
      <w:pPr>
        <w:ind w:left="1146" w:hanging="360"/>
      </w:pPr>
      <w:rPr>
        <w:rFonts w:hint="default"/>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15:restartNumberingAfterBreak="0">
    <w:nsid w:val="3D116FDF"/>
    <w:multiLevelType w:val="hybridMultilevel"/>
    <w:tmpl w:val="B3AA1E5C"/>
    <w:lvl w:ilvl="0" w:tplc="89D63752">
      <w:start w:val="3"/>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F95DFD"/>
    <w:multiLevelType w:val="multilevel"/>
    <w:tmpl w:val="5FB4F54E"/>
    <w:lvl w:ilvl="0">
      <w:start w:val="3"/>
      <w:numFmt w:val="decimal"/>
      <w:lvlText w:val="%1."/>
      <w:lvlJc w:val="left"/>
      <w:pPr>
        <w:ind w:left="1146" w:hanging="360"/>
      </w:pPr>
      <w:rPr>
        <w:rFonts w:hint="default"/>
        <w:sz w:val="24"/>
        <w:szCs w:val="24"/>
      </w:r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4E15533C"/>
    <w:multiLevelType w:val="hybridMultilevel"/>
    <w:tmpl w:val="1B469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E5227C"/>
    <w:multiLevelType w:val="hybridMultilevel"/>
    <w:tmpl w:val="2B5A6C7A"/>
    <w:lvl w:ilvl="0" w:tplc="C3AAF73E">
      <w:start w:val="5"/>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6E3B7A"/>
    <w:multiLevelType w:val="multilevel"/>
    <w:tmpl w:val="4ED6B842"/>
    <w:lvl w:ilvl="0">
      <w:start w:val="3"/>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15:restartNumberingAfterBreak="0">
    <w:nsid w:val="5D223157"/>
    <w:multiLevelType w:val="hybridMultilevel"/>
    <w:tmpl w:val="39C2369E"/>
    <w:lvl w:ilvl="0" w:tplc="18C6BB3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D6A758D"/>
    <w:multiLevelType w:val="hybridMultilevel"/>
    <w:tmpl w:val="D94CB26C"/>
    <w:lvl w:ilvl="0" w:tplc="CD4A0B32">
      <w:start w:val="3"/>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D3322"/>
    <w:multiLevelType w:val="multilevel"/>
    <w:tmpl w:val="409AC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B41B0F"/>
    <w:multiLevelType w:val="multilevel"/>
    <w:tmpl w:val="CBAC14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7"/>
  </w:num>
  <w:num w:numId="5">
    <w:abstractNumId w:val="14"/>
  </w:num>
  <w:num w:numId="6">
    <w:abstractNumId w:val="5"/>
  </w:num>
  <w:num w:numId="7">
    <w:abstractNumId w:val="13"/>
  </w:num>
  <w:num w:numId="8">
    <w:abstractNumId w:val="6"/>
  </w:num>
  <w:num w:numId="9">
    <w:abstractNumId w:val="11"/>
  </w:num>
  <w:num w:numId="10">
    <w:abstractNumId w:val="10"/>
  </w:num>
  <w:num w:numId="11">
    <w:abstractNumId w:val="12"/>
  </w:num>
  <w:num w:numId="12">
    <w:abstractNumId w:val="9"/>
  </w:num>
  <w:num w:numId="13">
    <w:abstractNumId w:val="2"/>
  </w:num>
  <w:num w:numId="14">
    <w:abstractNumId w:val="8"/>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1C"/>
    <w:rsid w:val="000151D1"/>
    <w:rsid w:val="000153DB"/>
    <w:rsid w:val="000218E7"/>
    <w:rsid w:val="00024260"/>
    <w:rsid w:val="00032FAA"/>
    <w:rsid w:val="00040315"/>
    <w:rsid w:val="000427B9"/>
    <w:rsid w:val="0006473D"/>
    <w:rsid w:val="000671EC"/>
    <w:rsid w:val="00076A32"/>
    <w:rsid w:val="000B2978"/>
    <w:rsid w:val="000B29EE"/>
    <w:rsid w:val="000B7852"/>
    <w:rsid w:val="000C2112"/>
    <w:rsid w:val="000D2590"/>
    <w:rsid w:val="000D6C3A"/>
    <w:rsid w:val="000E204B"/>
    <w:rsid w:val="00113AC5"/>
    <w:rsid w:val="00115214"/>
    <w:rsid w:val="00116102"/>
    <w:rsid w:val="00120CCC"/>
    <w:rsid w:val="0012345D"/>
    <w:rsid w:val="00185E10"/>
    <w:rsid w:val="001877E6"/>
    <w:rsid w:val="00192B29"/>
    <w:rsid w:val="00192F60"/>
    <w:rsid w:val="001C7A17"/>
    <w:rsid w:val="001D08AA"/>
    <w:rsid w:val="001E0635"/>
    <w:rsid w:val="00221BAB"/>
    <w:rsid w:val="002264F5"/>
    <w:rsid w:val="00230D22"/>
    <w:rsid w:val="002367A9"/>
    <w:rsid w:val="002761A6"/>
    <w:rsid w:val="00277384"/>
    <w:rsid w:val="00281B0C"/>
    <w:rsid w:val="002967C0"/>
    <w:rsid w:val="002A686F"/>
    <w:rsid w:val="002C15CF"/>
    <w:rsid w:val="002C299A"/>
    <w:rsid w:val="002D6C91"/>
    <w:rsid w:val="002D7333"/>
    <w:rsid w:val="002E7738"/>
    <w:rsid w:val="002F10B4"/>
    <w:rsid w:val="002F2DAF"/>
    <w:rsid w:val="00300D58"/>
    <w:rsid w:val="00306FFD"/>
    <w:rsid w:val="00312B1F"/>
    <w:rsid w:val="00322CDC"/>
    <w:rsid w:val="00330BC9"/>
    <w:rsid w:val="0035091E"/>
    <w:rsid w:val="00355B2A"/>
    <w:rsid w:val="003646CD"/>
    <w:rsid w:val="00370B3F"/>
    <w:rsid w:val="00380B9D"/>
    <w:rsid w:val="00381956"/>
    <w:rsid w:val="00382FDF"/>
    <w:rsid w:val="00385EC8"/>
    <w:rsid w:val="00392FBB"/>
    <w:rsid w:val="003B1C9F"/>
    <w:rsid w:val="003B6138"/>
    <w:rsid w:val="004003F5"/>
    <w:rsid w:val="00440B4C"/>
    <w:rsid w:val="004809C4"/>
    <w:rsid w:val="00494C04"/>
    <w:rsid w:val="00497EAA"/>
    <w:rsid w:val="004C094A"/>
    <w:rsid w:val="004C646A"/>
    <w:rsid w:val="004C78A7"/>
    <w:rsid w:val="005068FF"/>
    <w:rsid w:val="00536A22"/>
    <w:rsid w:val="005530D0"/>
    <w:rsid w:val="00554A69"/>
    <w:rsid w:val="00576BC7"/>
    <w:rsid w:val="005862CB"/>
    <w:rsid w:val="005D0CC9"/>
    <w:rsid w:val="005D4D06"/>
    <w:rsid w:val="005F15CF"/>
    <w:rsid w:val="005F45D1"/>
    <w:rsid w:val="00604DC5"/>
    <w:rsid w:val="00650D27"/>
    <w:rsid w:val="00692C45"/>
    <w:rsid w:val="006A5B7B"/>
    <w:rsid w:val="006B28D2"/>
    <w:rsid w:val="006D7A66"/>
    <w:rsid w:val="00700338"/>
    <w:rsid w:val="00711C3E"/>
    <w:rsid w:val="0072654F"/>
    <w:rsid w:val="0075419E"/>
    <w:rsid w:val="00761F0E"/>
    <w:rsid w:val="00772350"/>
    <w:rsid w:val="00777B6D"/>
    <w:rsid w:val="00780097"/>
    <w:rsid w:val="00791AD1"/>
    <w:rsid w:val="007A4E6B"/>
    <w:rsid w:val="007B1FB7"/>
    <w:rsid w:val="007C00A1"/>
    <w:rsid w:val="007C2233"/>
    <w:rsid w:val="007C7F9F"/>
    <w:rsid w:val="007E2594"/>
    <w:rsid w:val="007F5768"/>
    <w:rsid w:val="008132A3"/>
    <w:rsid w:val="00826790"/>
    <w:rsid w:val="00827666"/>
    <w:rsid w:val="00832404"/>
    <w:rsid w:val="0086231C"/>
    <w:rsid w:val="008654D2"/>
    <w:rsid w:val="008666E6"/>
    <w:rsid w:val="00874D60"/>
    <w:rsid w:val="0088057D"/>
    <w:rsid w:val="00891822"/>
    <w:rsid w:val="00894715"/>
    <w:rsid w:val="008A42CB"/>
    <w:rsid w:val="008B25E0"/>
    <w:rsid w:val="008B2CB2"/>
    <w:rsid w:val="008B7D42"/>
    <w:rsid w:val="008D13B9"/>
    <w:rsid w:val="008E5692"/>
    <w:rsid w:val="0090248B"/>
    <w:rsid w:val="009105F6"/>
    <w:rsid w:val="009250C4"/>
    <w:rsid w:val="00926D03"/>
    <w:rsid w:val="009407C8"/>
    <w:rsid w:val="00943D03"/>
    <w:rsid w:val="00945201"/>
    <w:rsid w:val="009462EB"/>
    <w:rsid w:val="009611FD"/>
    <w:rsid w:val="0096327A"/>
    <w:rsid w:val="00970224"/>
    <w:rsid w:val="0097755A"/>
    <w:rsid w:val="00977AA2"/>
    <w:rsid w:val="00981727"/>
    <w:rsid w:val="009828A1"/>
    <w:rsid w:val="00993937"/>
    <w:rsid w:val="009C2F4C"/>
    <w:rsid w:val="009C7E3B"/>
    <w:rsid w:val="009E0108"/>
    <w:rsid w:val="009E6EEE"/>
    <w:rsid w:val="00A02A1F"/>
    <w:rsid w:val="00A20C06"/>
    <w:rsid w:val="00A43E07"/>
    <w:rsid w:val="00A616D2"/>
    <w:rsid w:val="00A62C8B"/>
    <w:rsid w:val="00A770F7"/>
    <w:rsid w:val="00A84006"/>
    <w:rsid w:val="00A91645"/>
    <w:rsid w:val="00AA716C"/>
    <w:rsid w:val="00AD1474"/>
    <w:rsid w:val="00AD4827"/>
    <w:rsid w:val="00AE0F66"/>
    <w:rsid w:val="00AE11C2"/>
    <w:rsid w:val="00AE7C37"/>
    <w:rsid w:val="00AF50BB"/>
    <w:rsid w:val="00B004A7"/>
    <w:rsid w:val="00B0301A"/>
    <w:rsid w:val="00B038C3"/>
    <w:rsid w:val="00B07830"/>
    <w:rsid w:val="00B15E92"/>
    <w:rsid w:val="00B173A3"/>
    <w:rsid w:val="00B2172F"/>
    <w:rsid w:val="00B22A16"/>
    <w:rsid w:val="00B30706"/>
    <w:rsid w:val="00B30758"/>
    <w:rsid w:val="00B321B9"/>
    <w:rsid w:val="00B54EDA"/>
    <w:rsid w:val="00B55503"/>
    <w:rsid w:val="00B722CA"/>
    <w:rsid w:val="00B74F0C"/>
    <w:rsid w:val="00B81851"/>
    <w:rsid w:val="00BA00FD"/>
    <w:rsid w:val="00BA1E67"/>
    <w:rsid w:val="00BD278A"/>
    <w:rsid w:val="00BE224B"/>
    <w:rsid w:val="00BF2225"/>
    <w:rsid w:val="00C0135C"/>
    <w:rsid w:val="00C04270"/>
    <w:rsid w:val="00C10640"/>
    <w:rsid w:val="00C23AC0"/>
    <w:rsid w:val="00C23F58"/>
    <w:rsid w:val="00C3436D"/>
    <w:rsid w:val="00C41D30"/>
    <w:rsid w:val="00C913DE"/>
    <w:rsid w:val="00C97101"/>
    <w:rsid w:val="00CA49C7"/>
    <w:rsid w:val="00CA5CB3"/>
    <w:rsid w:val="00CA7D1E"/>
    <w:rsid w:val="00CD782A"/>
    <w:rsid w:val="00CE3D71"/>
    <w:rsid w:val="00D0583C"/>
    <w:rsid w:val="00D12627"/>
    <w:rsid w:val="00D23A6A"/>
    <w:rsid w:val="00D63BD8"/>
    <w:rsid w:val="00D643A5"/>
    <w:rsid w:val="00D670FD"/>
    <w:rsid w:val="00D90092"/>
    <w:rsid w:val="00D906DF"/>
    <w:rsid w:val="00D9383D"/>
    <w:rsid w:val="00DA0B38"/>
    <w:rsid w:val="00DD5FC7"/>
    <w:rsid w:val="00DE276B"/>
    <w:rsid w:val="00E20682"/>
    <w:rsid w:val="00E428B3"/>
    <w:rsid w:val="00E5060B"/>
    <w:rsid w:val="00E60B6D"/>
    <w:rsid w:val="00E8793F"/>
    <w:rsid w:val="00E87C0D"/>
    <w:rsid w:val="00E9026C"/>
    <w:rsid w:val="00EA614D"/>
    <w:rsid w:val="00EF2AE3"/>
    <w:rsid w:val="00F131F3"/>
    <w:rsid w:val="00F131F6"/>
    <w:rsid w:val="00F17090"/>
    <w:rsid w:val="00F25655"/>
    <w:rsid w:val="00F30B96"/>
    <w:rsid w:val="00F74CE3"/>
    <w:rsid w:val="00F901E7"/>
    <w:rsid w:val="00FA31B9"/>
    <w:rsid w:val="00FC7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A459"/>
  <w15:chartTrackingRefBased/>
  <w15:docId w15:val="{A60863CC-00CF-471B-B897-CAE5A92C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Char Char Char Char Char Rakstz. Rakstz., Char Char Char Char Char Rakstz., Char Char Char Char Char,Char Char Char,Char Char Char Char Char Rakstz. Rakstz.,Char Char Char Char Char Rakstz."/>
    <w:basedOn w:val="Normal"/>
    <w:link w:val="NormalWebChar"/>
    <w:rsid w:val="0086231C"/>
    <w:pPr>
      <w:spacing w:before="100" w:beforeAutospacing="1" w:after="100" w:afterAutospacing="1"/>
    </w:pPr>
  </w:style>
  <w:style w:type="paragraph" w:customStyle="1" w:styleId="naisf">
    <w:name w:val="naisf"/>
    <w:basedOn w:val="Normal"/>
    <w:rsid w:val="0086231C"/>
    <w:pPr>
      <w:spacing w:before="75" w:after="75"/>
      <w:ind w:firstLine="375"/>
      <w:jc w:val="both"/>
    </w:pPr>
  </w:style>
  <w:style w:type="paragraph" w:customStyle="1" w:styleId="naiskr">
    <w:name w:val="naiskr"/>
    <w:basedOn w:val="Normal"/>
    <w:rsid w:val="0086231C"/>
    <w:pPr>
      <w:spacing w:before="75" w:after="75"/>
    </w:pPr>
  </w:style>
  <w:style w:type="paragraph" w:customStyle="1" w:styleId="naisc">
    <w:name w:val="naisc"/>
    <w:basedOn w:val="Normal"/>
    <w:rsid w:val="0086231C"/>
    <w:pPr>
      <w:spacing w:before="75" w:after="75"/>
      <w:jc w:val="center"/>
    </w:pPr>
  </w:style>
  <w:style w:type="character" w:styleId="FootnoteReference">
    <w:name w:val="footnote reference"/>
    <w:basedOn w:val="DefaultParagraphFont"/>
    <w:uiPriority w:val="99"/>
    <w:semiHidden/>
    <w:unhideWhenUsed/>
    <w:rsid w:val="0086231C"/>
    <w:rPr>
      <w:vertAlign w:val="superscript"/>
    </w:rPr>
  </w:style>
  <w:style w:type="paragraph" w:styleId="FootnoteText">
    <w:name w:val="footnote text"/>
    <w:basedOn w:val="Normal"/>
    <w:link w:val="FootnoteTextChar1"/>
    <w:uiPriority w:val="99"/>
    <w:unhideWhenUsed/>
    <w:rsid w:val="0086231C"/>
    <w:pPr>
      <w:widowControl w:val="0"/>
    </w:pPr>
    <w:rPr>
      <w:rFonts w:ascii="Calibri" w:eastAsia="Calibri" w:hAnsi="Calibri"/>
      <w:sz w:val="20"/>
      <w:szCs w:val="20"/>
      <w:lang w:eastAsia="en-US"/>
    </w:rPr>
  </w:style>
  <w:style w:type="character" w:customStyle="1" w:styleId="FootnoteTextChar">
    <w:name w:val="Footnote Text Char"/>
    <w:basedOn w:val="DefaultParagraphFont"/>
    <w:uiPriority w:val="99"/>
    <w:qFormat/>
    <w:rsid w:val="0086231C"/>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uiPriority w:val="99"/>
    <w:rsid w:val="0086231C"/>
    <w:rPr>
      <w:rFonts w:ascii="Calibri" w:eastAsia="Calibri" w:hAnsi="Calibri" w:cs="Times New Roman"/>
      <w:sz w:val="20"/>
      <w:szCs w:val="20"/>
    </w:rPr>
  </w:style>
  <w:style w:type="paragraph" w:styleId="ListParagraph">
    <w:name w:val="List Paragraph"/>
    <w:basedOn w:val="Normal"/>
    <w:uiPriority w:val="34"/>
    <w:qFormat/>
    <w:rsid w:val="0086231C"/>
    <w:pPr>
      <w:widowControl w:val="0"/>
      <w:ind w:left="720"/>
      <w:contextualSpacing/>
    </w:pPr>
    <w:rPr>
      <w:rFonts w:eastAsia="Calibri"/>
      <w:szCs w:val="22"/>
      <w:lang w:val="en-US" w:eastAsia="en-US"/>
    </w:rPr>
  </w:style>
  <w:style w:type="paragraph" w:styleId="Footer">
    <w:name w:val="footer"/>
    <w:basedOn w:val="Normal"/>
    <w:link w:val="FooterChar"/>
    <w:uiPriority w:val="99"/>
    <w:unhideWhenUsed/>
    <w:rsid w:val="0086231C"/>
    <w:pPr>
      <w:widowControl w:val="0"/>
      <w:tabs>
        <w:tab w:val="center" w:pos="4320"/>
        <w:tab w:val="right" w:pos="8640"/>
      </w:tabs>
    </w:pPr>
    <w:rPr>
      <w:rFonts w:eastAsia="Calibri"/>
      <w:szCs w:val="22"/>
      <w:lang w:val="en-US" w:eastAsia="en-US"/>
    </w:rPr>
  </w:style>
  <w:style w:type="character" w:customStyle="1" w:styleId="FooterChar">
    <w:name w:val="Footer Char"/>
    <w:basedOn w:val="DefaultParagraphFont"/>
    <w:link w:val="Footer"/>
    <w:uiPriority w:val="99"/>
    <w:rsid w:val="0086231C"/>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40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F5"/>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C2112"/>
    <w:pPr>
      <w:tabs>
        <w:tab w:val="center" w:pos="4153"/>
        <w:tab w:val="right" w:pos="8306"/>
      </w:tabs>
    </w:pPr>
  </w:style>
  <w:style w:type="character" w:customStyle="1" w:styleId="HeaderChar">
    <w:name w:val="Header Char"/>
    <w:basedOn w:val="DefaultParagraphFont"/>
    <w:link w:val="Header"/>
    <w:uiPriority w:val="99"/>
    <w:rsid w:val="000C211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45201"/>
    <w:rPr>
      <w:sz w:val="16"/>
      <w:szCs w:val="16"/>
    </w:rPr>
  </w:style>
  <w:style w:type="paragraph" w:styleId="CommentText">
    <w:name w:val="annotation text"/>
    <w:basedOn w:val="Normal"/>
    <w:link w:val="CommentTextChar"/>
    <w:uiPriority w:val="99"/>
    <w:unhideWhenUsed/>
    <w:rsid w:val="0094520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9452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5A"/>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97755A"/>
    <w:rPr>
      <w:rFonts w:ascii="Times New Roman" w:eastAsia="Times New Roman" w:hAnsi="Times New Roman" w:cs="Times New Roman"/>
      <w:b/>
      <w:bCs/>
      <w:sz w:val="20"/>
      <w:szCs w:val="20"/>
      <w:lang w:eastAsia="lv-LV"/>
    </w:rPr>
  </w:style>
  <w:style w:type="paragraph" w:customStyle="1" w:styleId="NumPar1">
    <w:name w:val="NumPar 1"/>
    <w:basedOn w:val="Normal"/>
    <w:next w:val="Normal"/>
    <w:rsid w:val="00AE7C37"/>
    <w:pPr>
      <w:numPr>
        <w:numId w:val="1"/>
      </w:numPr>
      <w:spacing w:before="120" w:after="120"/>
      <w:jc w:val="both"/>
    </w:pPr>
    <w:rPr>
      <w:snapToGrid w:val="0"/>
    </w:rPr>
  </w:style>
  <w:style w:type="paragraph" w:customStyle="1" w:styleId="NumPar2">
    <w:name w:val="NumPar 2"/>
    <w:basedOn w:val="Normal"/>
    <w:next w:val="Normal"/>
    <w:rsid w:val="00AE7C37"/>
    <w:pPr>
      <w:numPr>
        <w:ilvl w:val="1"/>
        <w:numId w:val="1"/>
      </w:numPr>
      <w:spacing w:before="120" w:after="120"/>
      <w:jc w:val="both"/>
    </w:pPr>
    <w:rPr>
      <w:snapToGrid w:val="0"/>
    </w:rPr>
  </w:style>
  <w:style w:type="paragraph" w:customStyle="1" w:styleId="NumPar3">
    <w:name w:val="NumPar 3"/>
    <w:basedOn w:val="Normal"/>
    <w:next w:val="Normal"/>
    <w:rsid w:val="00AE7C37"/>
    <w:pPr>
      <w:numPr>
        <w:ilvl w:val="2"/>
        <w:numId w:val="1"/>
      </w:numPr>
      <w:spacing w:before="120" w:after="120"/>
      <w:jc w:val="both"/>
    </w:pPr>
    <w:rPr>
      <w:snapToGrid w:val="0"/>
    </w:rPr>
  </w:style>
  <w:style w:type="paragraph" w:customStyle="1" w:styleId="NumPar4">
    <w:name w:val="NumPar 4"/>
    <w:basedOn w:val="Normal"/>
    <w:next w:val="Normal"/>
    <w:rsid w:val="00AE7C37"/>
    <w:pPr>
      <w:numPr>
        <w:ilvl w:val="3"/>
        <w:numId w:val="1"/>
      </w:numPr>
      <w:spacing w:before="120" w:after="120"/>
      <w:jc w:val="both"/>
    </w:pPr>
    <w:rPr>
      <w:snapToGrid w:val="0"/>
    </w:rPr>
  </w:style>
  <w:style w:type="character" w:customStyle="1" w:styleId="NormalWebChar">
    <w:name w:val="Normal (Web) Char"/>
    <w:aliases w:val=" Char Char Char Char, Char Char Char Char Char Rakstz. Rakstz. Char, Char Char Char Char Char Rakstz. Char, Char Char Char Char Char Char,Char Char Char Char,Char Char Char Char Char Rakstz. Rakstz. Char"/>
    <w:link w:val="NormalWeb"/>
    <w:rsid w:val="00C04270"/>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B0301A"/>
    <w:rPr>
      <w:color w:val="0000FF"/>
      <w:u w:val="single"/>
    </w:rPr>
  </w:style>
  <w:style w:type="paragraph" w:styleId="BodyText">
    <w:name w:val="Body Text"/>
    <w:basedOn w:val="Normal"/>
    <w:link w:val="BodyTextChar"/>
    <w:uiPriority w:val="99"/>
    <w:rsid w:val="00B2172F"/>
    <w:pPr>
      <w:tabs>
        <w:tab w:val="left" w:pos="6804"/>
      </w:tabs>
    </w:pPr>
    <w:rPr>
      <w:lang w:val="x-none" w:eastAsia="x-none"/>
    </w:rPr>
  </w:style>
  <w:style w:type="character" w:customStyle="1" w:styleId="BodyTextChar">
    <w:name w:val="Body Text Char"/>
    <w:basedOn w:val="DefaultParagraphFont"/>
    <w:link w:val="BodyText"/>
    <w:uiPriority w:val="99"/>
    <w:rsid w:val="00B2172F"/>
    <w:rPr>
      <w:rFonts w:ascii="Times New Roman" w:eastAsia="Times New Roman" w:hAnsi="Times New Roman" w:cs="Times New Roman"/>
      <w:sz w:val="24"/>
      <w:szCs w:val="24"/>
      <w:lang w:val="x-none" w:eastAsia="x-none"/>
    </w:rPr>
  </w:style>
  <w:style w:type="paragraph" w:customStyle="1" w:styleId="tv213">
    <w:name w:val="tv213"/>
    <w:basedOn w:val="Normal"/>
    <w:rsid w:val="002967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9652">
      <w:bodyDiv w:val="1"/>
      <w:marLeft w:val="0"/>
      <w:marRight w:val="0"/>
      <w:marTop w:val="0"/>
      <w:marBottom w:val="0"/>
      <w:divBdr>
        <w:top w:val="none" w:sz="0" w:space="0" w:color="auto"/>
        <w:left w:val="none" w:sz="0" w:space="0" w:color="auto"/>
        <w:bottom w:val="none" w:sz="0" w:space="0" w:color="auto"/>
        <w:right w:val="none" w:sz="0" w:space="0" w:color="auto"/>
      </w:divBdr>
    </w:div>
    <w:div w:id="1819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464-grozijumi-likuma-par-valsts-proves-uzraudz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slaid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3644-4C7F-4B15-B52E-2D18066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14153</Words>
  <Characters>8068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likumā „Par radiācijas drošību un kodoldrošību”” (VSS-219)</vt:lpstr>
    </vt:vector>
  </TitlesOfParts>
  <Company>VARAM</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radiācijas drošību un kodoldrošību”” (VSS-219)</dc:title>
  <dc:subject>Izziņa par iebildumiem</dc:subject>
  <dc:creator>Natalija.Slaidina@varam.gov.lv</dc:creator>
  <cp:keywords>Likumprojekts</cp:keywords>
  <dc:description/>
  <cp:lastModifiedBy>Natālija Slaidiņa</cp:lastModifiedBy>
  <cp:revision>3</cp:revision>
  <cp:lastPrinted>2018-04-24T11:16:00Z</cp:lastPrinted>
  <dcterms:created xsi:type="dcterms:W3CDTF">2020-01-28T10:26:00Z</dcterms:created>
  <dcterms:modified xsi:type="dcterms:W3CDTF">2020-01-28T10:26:00Z</dcterms:modified>
</cp:coreProperties>
</file>