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72FA" w14:textId="77777777" w:rsidR="0085096A" w:rsidRPr="00456D05" w:rsidRDefault="006572D7" w:rsidP="00D0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</w:p>
    <w:p w14:paraId="6E23E764" w14:textId="77777777" w:rsidR="00894C55" w:rsidRPr="00456D05" w:rsidRDefault="006572D7" w:rsidP="00D0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CA2FC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2011.</w:t>
      </w:r>
      <w:r w:rsidR="001832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30.</w:t>
      </w:r>
      <w:r w:rsidR="001832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augusta noteikumos Nr.</w:t>
      </w:r>
      <w:r w:rsidR="001832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0E14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685 “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Rezidentu </w:t>
      </w:r>
      <w:r w:rsidR="000C3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uzņemšanas, </w:t>
      </w:r>
      <w:r w:rsidR="00526C51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sadales un rezi</w:t>
      </w:r>
      <w:r w:rsidR="0026269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dentūras finansēšanas kārtība</w:t>
      </w:r>
      <w:r w:rsidR="000E14BC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C918F0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0A0240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530AD"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  <w:r w:rsidRPr="00456D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6BFCD15D" w14:textId="77777777" w:rsidR="005F0CC1" w:rsidRDefault="005F0CC1" w:rsidP="00597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11"/>
        <w:gridCol w:w="5885"/>
      </w:tblGrid>
      <w:tr w:rsidR="005F0CC1" w:rsidRPr="00C918F0" w14:paraId="50993ACC" w14:textId="77777777" w:rsidTr="001A2CED">
        <w:trPr>
          <w:trHeight w:val="32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8D1E6" w14:textId="77777777" w:rsidR="005F0CC1" w:rsidRPr="00C918F0" w:rsidRDefault="005F0CC1" w:rsidP="001A2C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F0CC1" w:rsidRPr="00C918F0" w14:paraId="2CDA51D7" w14:textId="77777777" w:rsidTr="005F0CC1">
        <w:trPr>
          <w:trHeight w:val="324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18093" w14:textId="77777777" w:rsidR="005F0CC1" w:rsidRPr="00C918F0" w:rsidRDefault="00456D05" w:rsidP="00456D0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5E406D" w14:textId="206A114A" w:rsidR="005F0CC1" w:rsidRPr="00456D05" w:rsidRDefault="00456D05" w:rsidP="001A2CED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D05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</w:tbl>
    <w:p w14:paraId="4E828071" w14:textId="77777777" w:rsidR="00894C55" w:rsidRPr="00894C55" w:rsidRDefault="00894C55" w:rsidP="00441452">
      <w:pPr>
        <w:shd w:val="clear" w:color="auto" w:fill="FFFFFF"/>
        <w:spacing w:before="45" w:after="0" w:line="248" w:lineRule="atLeast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0"/>
        <w:gridCol w:w="2851"/>
        <w:gridCol w:w="5885"/>
      </w:tblGrid>
      <w:tr w:rsidR="008B7E22" w14:paraId="601128B1" w14:textId="77777777" w:rsidTr="00AE2B32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658FF" w14:textId="77777777" w:rsidR="00894C55" w:rsidRPr="00C918F0" w:rsidRDefault="006572D7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534185752"/>
            <w:r w:rsidRPr="00C91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C91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91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B7E22" w14:paraId="0903017C" w14:textId="77777777" w:rsidTr="002B6925">
        <w:trPr>
          <w:trHeight w:val="35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30A76" w14:textId="77777777" w:rsidR="00894C55" w:rsidRPr="00C918F0" w:rsidRDefault="006572D7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50385" w14:textId="77777777" w:rsidR="00894C55" w:rsidRPr="00C918F0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B9F17" w14:textId="45F1D3C6" w:rsidR="00CD036F" w:rsidRPr="00695239" w:rsidRDefault="002B6925" w:rsidP="00695239">
            <w:pPr>
              <w:shd w:val="clear" w:color="auto" w:fill="FFFFFF"/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Ārstniecības likuma 57.pants.</w:t>
            </w:r>
          </w:p>
        </w:tc>
      </w:tr>
      <w:bookmarkEnd w:id="0"/>
      <w:tr w:rsidR="008B7E22" w14:paraId="2BDEF2DF" w14:textId="77777777" w:rsidTr="00AE2B3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5CBA80" w14:textId="77777777" w:rsidR="00894C55" w:rsidRPr="00C918F0" w:rsidRDefault="006572D7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BB324" w14:textId="77777777" w:rsidR="00894C55" w:rsidRPr="00C918F0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633E2" w14:textId="04D41F32" w:rsidR="00766011" w:rsidRDefault="00766011" w:rsidP="00FE5A15">
            <w:pPr>
              <w:spacing w:after="0" w:line="240" w:lineRule="auto"/>
              <w:ind w:left="5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6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 gada 30. augusta noteikumi Nr.685 “Rezidentu uzņemšanas, sadales un rezidentūras finansēšanas kārtība” (turpmāk – Noteikumi Nr.685) nosaka rezidentu uzņemšanas, sadales un rezidentūras finansēšanas kārtību.</w:t>
            </w:r>
          </w:p>
          <w:p w14:paraId="5E5CDEDF" w14:textId="1195F289" w:rsidR="00B05259" w:rsidRPr="00FE5A15" w:rsidRDefault="00B116A9" w:rsidP="00FE5A15">
            <w:pPr>
              <w:spacing w:after="0" w:line="240" w:lineRule="auto"/>
              <w:ind w:left="5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5A15">
              <w:rPr>
                <w:rFonts w:ascii="Times New Roman" w:hAnsi="Times New Roman" w:cs="Times New Roman"/>
                <w:sz w:val="24"/>
                <w:szCs w:val="24"/>
              </w:rPr>
              <w:t>Noteikumu Nr.685  19.4.</w:t>
            </w:r>
            <w:r w:rsidRPr="00FE5A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apakšpunkts un 25.1.</w:t>
            </w:r>
            <w:r w:rsidRPr="00FE5A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apakšpunkts nosaka </w:t>
            </w:r>
            <w:r w:rsidR="00E31874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piešķiramo finanšu līdzekļu apmēru</w:t>
            </w:r>
            <w:r w:rsidR="00F42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874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apmācībai no trešā rezidentūras gada </w:t>
            </w:r>
            <w:proofErr w:type="spellStart"/>
            <w:r w:rsidR="00E31874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pamatspecialitātē</w:t>
            </w:r>
            <w:proofErr w:type="spellEnd"/>
            <w:r w:rsidR="00E31874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2B5C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un pirmā rezidentūras gada </w:t>
            </w:r>
            <w:proofErr w:type="spellStart"/>
            <w:r w:rsidR="00B52B5C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papildspecialitātē</w:t>
            </w:r>
            <w:proofErr w:type="spellEnd"/>
            <w:r w:rsidR="00F42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(mēnešalgas koeficienta 1.1 nodrošināšanai</w:t>
            </w:r>
            <w:r w:rsidR="003C41C4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Līdzīgi kā </w:t>
            </w:r>
            <w:proofErr w:type="spellStart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>papildspecialitātēs</w:t>
            </w:r>
            <w:proofErr w:type="spellEnd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, arī rezidentūras studijas </w:t>
            </w:r>
            <w:proofErr w:type="spellStart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>apakšspecialitātēs</w:t>
            </w:r>
            <w:proofErr w:type="spellEnd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iespējams uzsākt vienīgi pēc kvalifikācijas un ārsta sertifikāta ieguves attiecīgajās </w:t>
            </w:r>
            <w:proofErr w:type="spellStart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>pamatspecialitātēs</w:t>
            </w:r>
            <w:proofErr w:type="spellEnd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, tāpēc arī </w:t>
            </w:r>
            <w:proofErr w:type="spellStart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>apakšspecialitāšu</w:t>
            </w:r>
            <w:proofErr w:type="spellEnd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rezidentiem mēnešalga ir aprēķināma pēc tādiem pašiem principiem kā </w:t>
            </w:r>
            <w:proofErr w:type="spellStart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>pamatspecialitātes</w:t>
            </w:r>
            <w:proofErr w:type="spellEnd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>papildspecialitātes</w:t>
            </w:r>
            <w:proofErr w:type="spellEnd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rezidentiem.</w:t>
            </w:r>
            <w:r w:rsidR="00B52B5C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Finansējums mēnešalgas  koeficientu 1.1 nodrošināšanai </w:t>
            </w:r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pirmā gada </w:t>
            </w:r>
            <w:proofErr w:type="spellStart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>apakšspecialitātēs</w:t>
            </w:r>
            <w:proofErr w:type="spellEnd"/>
            <w:r w:rsidR="0065383F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ir jau ieplānots (skat., Ministru kabineta  2019.gada 10.decembra noteikumus Nr.619 </w:t>
            </w:r>
            <w:r w:rsidR="003C41C4" w:rsidRPr="00FE5A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(prot. Nr. 57 80. §))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0C0">
              <w:rPr>
                <w:rFonts w:ascii="Times New Roman" w:hAnsi="Times New Roman" w:cs="Times New Roman"/>
                <w:sz w:val="24"/>
                <w:szCs w:val="24"/>
              </w:rPr>
              <w:t xml:space="preserve"> bet</w:t>
            </w:r>
            <w:r w:rsidR="0098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6D" w:rsidRPr="00FE5A15">
              <w:rPr>
                <w:rFonts w:ascii="Times New Roman" w:hAnsi="Times New Roman" w:cs="Times New Roman"/>
                <w:sz w:val="24"/>
                <w:szCs w:val="24"/>
              </w:rPr>
              <w:t>Noteikumu Nr.685 redakcijā tehnisku iemeslu dēļ vārds “</w:t>
            </w:r>
            <w:proofErr w:type="spellStart"/>
            <w:r w:rsidR="00983B6D" w:rsidRPr="00FE5A15">
              <w:rPr>
                <w:rFonts w:ascii="Times New Roman" w:hAnsi="Times New Roman" w:cs="Times New Roman"/>
                <w:sz w:val="24"/>
                <w:szCs w:val="24"/>
              </w:rPr>
              <w:t>apakšspecialitāte</w:t>
            </w:r>
            <w:proofErr w:type="spellEnd"/>
            <w:r w:rsidR="00983B6D" w:rsidRPr="00FE5A15">
              <w:rPr>
                <w:rFonts w:ascii="Times New Roman" w:hAnsi="Times New Roman" w:cs="Times New Roman"/>
                <w:sz w:val="24"/>
                <w:szCs w:val="24"/>
              </w:rPr>
              <w:t>” netika iekļauts</w:t>
            </w:r>
            <w:r w:rsidR="0098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6D" w:rsidRPr="009F7598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030C0" w:rsidRPr="009F7598">
              <w:rPr>
                <w:rFonts w:ascii="Times New Roman" w:hAnsi="Times New Roman" w:cs="Times New Roman"/>
                <w:sz w:val="24"/>
                <w:szCs w:val="24"/>
              </w:rPr>
              <w:t xml:space="preserve">regulējums līdz šim netika attiecināts arī uz rezidentiem, kuri mācās </w:t>
            </w:r>
            <w:proofErr w:type="spellStart"/>
            <w:r w:rsidR="003030C0" w:rsidRPr="009F7598">
              <w:rPr>
                <w:rFonts w:ascii="Times New Roman" w:hAnsi="Times New Roman" w:cs="Times New Roman"/>
                <w:sz w:val="24"/>
                <w:szCs w:val="24"/>
              </w:rPr>
              <w:t>apakšspecialitātēs</w:t>
            </w:r>
            <w:proofErr w:type="spellEnd"/>
            <w:r w:rsidR="00983B6D" w:rsidRPr="009F7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Veselības ministrija ir izstrādājusi </w:t>
            </w:r>
            <w:r w:rsidR="003C41C4" w:rsidRPr="00FE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Ministru kabineta noteikumu projektu “Grozījumi Ministru kabineta 2011. gada 30. augusta noteikumos Nr. 685 “Rezidentu uzņemšanas, sadales un rezidentūras finansēšanas kārtība”” (turpmāk - Noteikumu</w:t>
            </w:r>
            <w:r w:rsidR="003C41C4" w:rsidRPr="00FE5A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projekts), kurā tiek veikts tehnisks grozījums, papildinot 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apakšpunktu un 25.1.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 apakšpunktu ar vārdu “</w:t>
            </w:r>
            <w:proofErr w:type="spellStart"/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>apakšspecialitāte</w:t>
            </w:r>
            <w:proofErr w:type="spellEnd"/>
            <w:r w:rsidR="003C41C4" w:rsidRPr="00FE5A15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</w:tr>
      <w:tr w:rsidR="008B7E22" w14:paraId="1F49C53C" w14:textId="77777777" w:rsidTr="00AE2B3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81108" w14:textId="77777777" w:rsidR="00894C55" w:rsidRPr="00C918F0" w:rsidRDefault="006572D7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22656" w14:textId="77777777" w:rsidR="00894C55" w:rsidRPr="00C918F0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D00E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5A78F" w14:textId="77777777" w:rsidR="00894C55" w:rsidRPr="00C918F0" w:rsidRDefault="00B50F00" w:rsidP="000C48C6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0F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  <w:r w:rsidR="006572D7" w:rsidRPr="00B50F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Rīgas Stradiņa unive</w:t>
            </w:r>
            <w:r w:rsidRPr="00B50F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rsitāte, Latvijas Universitāte.</w:t>
            </w:r>
          </w:p>
        </w:tc>
      </w:tr>
      <w:tr w:rsidR="008B7E22" w14:paraId="6DD194C9" w14:textId="77777777" w:rsidTr="00AE2B32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04FAF" w14:textId="77777777" w:rsidR="00045286" w:rsidRPr="00C918F0" w:rsidRDefault="006572D7" w:rsidP="0004528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DD1F4" w14:textId="77777777" w:rsidR="00045286" w:rsidRPr="00C918F0" w:rsidRDefault="006572D7" w:rsidP="0004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8C4E56" w14:textId="77777777" w:rsidR="00045286" w:rsidRDefault="006572D7" w:rsidP="0026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5CA62B22" w14:textId="77777777" w:rsidR="00045286" w:rsidRPr="00894C55" w:rsidRDefault="00045286" w:rsidP="0004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4B2A9F9D" w14:textId="3D3A399B" w:rsidR="007231CD" w:rsidRDefault="007231CD" w:rsidP="00521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DC0B48A" w14:textId="7D6BCE93" w:rsidR="007231CD" w:rsidRDefault="007231CD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BE0E03B" w14:textId="6D06F09A" w:rsidR="003A46DB" w:rsidRPr="003A46DB" w:rsidRDefault="003A46DB" w:rsidP="003A46DB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0"/>
        <w:gridCol w:w="2851"/>
        <w:gridCol w:w="5885"/>
      </w:tblGrid>
      <w:tr w:rsidR="008B7E22" w14:paraId="0B2BC433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6B2308" w14:textId="77777777" w:rsidR="00894C55" w:rsidRPr="003429ED" w:rsidRDefault="006572D7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</w:t>
            </w:r>
            <w:r w:rsidR="0050178F" w:rsidRPr="0034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4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B7E22" w14:paraId="41F602D8" w14:textId="77777777" w:rsidTr="00526C51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28749" w14:textId="77777777" w:rsidR="00894C55" w:rsidRPr="003429ED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CBC2F" w14:textId="77777777" w:rsidR="00894C55" w:rsidRPr="003429ED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C278D" w14:textId="628CCF48" w:rsidR="0000058C" w:rsidRPr="002F1B03" w:rsidRDefault="00294FD0" w:rsidP="0029498B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Stradiņa universitāte, Latvijas Unive</w:t>
            </w:r>
            <w:r w:rsidR="00764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rsitāte, rezidenti</w:t>
            </w:r>
            <w:r w:rsidR="00F32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ārstniecības iestādes, kurās rezidenti apgūst specialitātes programmu.</w:t>
            </w:r>
            <w:r w:rsidR="00764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B7E22" w14:paraId="35521BDE" w14:textId="77777777" w:rsidTr="00526C51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80245" w14:textId="77777777" w:rsidR="00894C55" w:rsidRPr="003429ED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BD6D4" w14:textId="77777777" w:rsidR="00894C55" w:rsidRPr="003429ED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CD3A9C" w14:textId="77777777" w:rsidR="009C763C" w:rsidRPr="009C763C" w:rsidRDefault="009C763C" w:rsidP="00C968E0">
            <w:pPr>
              <w:spacing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Tiesiskajam regulējumam nav ietekmes uz tautsaimniecību un administratīvo slogu.</w:t>
            </w:r>
          </w:p>
          <w:p w14:paraId="224E6A56" w14:textId="77777777" w:rsidR="00625C92" w:rsidRPr="003429ED" w:rsidRDefault="00625C92" w:rsidP="007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E22" w14:paraId="79AFDA90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3D716" w14:textId="77777777" w:rsidR="00894C55" w:rsidRPr="003429ED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F2CBF" w14:textId="77777777" w:rsidR="00894C55" w:rsidRPr="003429ED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2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49FB7" w14:textId="77777777" w:rsidR="009A6553" w:rsidRPr="003429ED" w:rsidRDefault="00B40AEB" w:rsidP="004F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E347E" w14:paraId="048BC62D" w14:textId="77777777" w:rsidTr="00A27BB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0B128" w14:textId="77777777" w:rsidR="003E347E" w:rsidRPr="003E347E" w:rsidRDefault="003E347E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794CA3" w14:textId="77777777" w:rsidR="003E347E" w:rsidRPr="003E347E" w:rsidRDefault="003E347E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3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7DBB6B" w14:textId="77777777" w:rsidR="003E347E" w:rsidRPr="003E347E" w:rsidRDefault="00A74223" w:rsidP="004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347E" w:rsidRPr="003E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B7E22" w14:paraId="3CD93AEC" w14:textId="77777777" w:rsidTr="00A27BB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E58B6" w14:textId="77777777" w:rsidR="00894C55" w:rsidRPr="003E347E" w:rsidRDefault="003E347E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6572D7" w:rsidRPr="003E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DDF9C" w14:textId="77777777" w:rsidR="00894C55" w:rsidRPr="003E347E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844EF" w14:textId="77777777" w:rsidR="00476879" w:rsidRPr="003E347E" w:rsidRDefault="006572D7" w:rsidP="004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4B64F1D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1061482" w14:textId="77777777" w:rsidR="009D0AEA" w:rsidRDefault="009D0AEA" w:rsidP="00755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TableGrid"/>
        <w:tblW w:w="102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1134"/>
        <w:gridCol w:w="1133"/>
        <w:gridCol w:w="1100"/>
        <w:gridCol w:w="1313"/>
      </w:tblGrid>
      <w:tr w:rsidR="00A5325C" w:rsidRPr="009A75D6" w14:paraId="036FB27B" w14:textId="77777777" w:rsidTr="00576C3E">
        <w:trPr>
          <w:trHeight w:val="360"/>
        </w:trPr>
        <w:tc>
          <w:tcPr>
            <w:tcW w:w="10209" w:type="dxa"/>
            <w:gridSpan w:val="8"/>
            <w:hideMark/>
          </w:tcPr>
          <w:p w14:paraId="314D7434" w14:textId="77777777" w:rsidR="00A5325C" w:rsidRPr="00A5325C" w:rsidRDefault="00A5325C" w:rsidP="00A052D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A5325C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5325C" w:rsidRPr="009A75D6" w14:paraId="34A08FC6" w14:textId="77777777" w:rsidTr="00576C3E">
        <w:tc>
          <w:tcPr>
            <w:tcW w:w="1985" w:type="dxa"/>
            <w:vMerge w:val="restart"/>
            <w:vAlign w:val="center"/>
            <w:hideMark/>
          </w:tcPr>
          <w:p w14:paraId="6F1EC603" w14:textId="77777777" w:rsidR="00A5325C" w:rsidRPr="009C54EC" w:rsidRDefault="00A5325C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9C54EC">
              <w:rPr>
                <w:b/>
                <w:bCs/>
                <w:sz w:val="22"/>
                <w:szCs w:val="22"/>
              </w:rPr>
              <w:t>Rādītāji</w:t>
            </w:r>
          </w:p>
        </w:tc>
        <w:tc>
          <w:tcPr>
            <w:tcW w:w="2410" w:type="dxa"/>
            <w:gridSpan w:val="2"/>
            <w:vMerge w:val="restart"/>
            <w:vAlign w:val="center"/>
            <w:hideMark/>
          </w:tcPr>
          <w:p w14:paraId="0A9F5D2D" w14:textId="17F2C8D7" w:rsidR="00A5325C" w:rsidRPr="009C54EC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05259">
              <w:rPr>
                <w:b/>
                <w:bCs/>
                <w:sz w:val="22"/>
                <w:szCs w:val="22"/>
              </w:rPr>
              <w:t>20</w:t>
            </w:r>
            <w:r w:rsidR="00A5325C" w:rsidRPr="009C54EC">
              <w:rPr>
                <w:b/>
                <w:bCs/>
                <w:sz w:val="22"/>
                <w:szCs w:val="22"/>
              </w:rPr>
              <w:t>. gads</w:t>
            </w:r>
          </w:p>
        </w:tc>
        <w:tc>
          <w:tcPr>
            <w:tcW w:w="5814" w:type="dxa"/>
            <w:gridSpan w:val="5"/>
            <w:hideMark/>
          </w:tcPr>
          <w:p w14:paraId="1EC63309" w14:textId="77777777" w:rsidR="00A5325C" w:rsidRPr="009C54EC" w:rsidRDefault="00A5325C" w:rsidP="00A052D2">
            <w:pPr>
              <w:pStyle w:val="tvhtml"/>
              <w:spacing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Turpmākie trīs gadi (</w:t>
            </w:r>
            <w:proofErr w:type="spellStart"/>
            <w:r w:rsidR="0079116B" w:rsidRPr="0079116B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9C54EC">
              <w:rPr>
                <w:sz w:val="22"/>
                <w:szCs w:val="22"/>
              </w:rPr>
              <w:t>)</w:t>
            </w:r>
          </w:p>
        </w:tc>
      </w:tr>
      <w:tr w:rsidR="00A5325C" w:rsidRPr="009A75D6" w14:paraId="427BDDB6" w14:textId="77777777" w:rsidTr="007D5B0B">
        <w:tc>
          <w:tcPr>
            <w:tcW w:w="1985" w:type="dxa"/>
            <w:vMerge/>
            <w:hideMark/>
          </w:tcPr>
          <w:p w14:paraId="0EB87EEB" w14:textId="77777777" w:rsidR="00A5325C" w:rsidRPr="009C54EC" w:rsidRDefault="00A5325C" w:rsidP="00A052D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14:paraId="56E9A4A2" w14:textId="77777777" w:rsidR="00A5325C" w:rsidRPr="009C54EC" w:rsidRDefault="00A5325C" w:rsidP="00A052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hideMark/>
          </w:tcPr>
          <w:p w14:paraId="5C5DBB95" w14:textId="6B04B11F" w:rsidR="00A5325C" w:rsidRPr="009C54EC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05259">
              <w:rPr>
                <w:b/>
                <w:bCs/>
                <w:sz w:val="22"/>
                <w:szCs w:val="22"/>
              </w:rPr>
              <w:t>1</w:t>
            </w:r>
            <w:r w:rsidR="00A5325C" w:rsidRPr="009C54EC">
              <w:rPr>
                <w:b/>
                <w:bCs/>
                <w:sz w:val="22"/>
                <w:szCs w:val="22"/>
              </w:rPr>
              <w:t>.gads</w:t>
            </w:r>
          </w:p>
        </w:tc>
        <w:tc>
          <w:tcPr>
            <w:tcW w:w="2233" w:type="dxa"/>
            <w:gridSpan w:val="2"/>
            <w:hideMark/>
          </w:tcPr>
          <w:p w14:paraId="12F23014" w14:textId="1B6190FB" w:rsidR="00A5325C" w:rsidRPr="009C54EC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05259">
              <w:rPr>
                <w:b/>
                <w:bCs/>
                <w:sz w:val="22"/>
                <w:szCs w:val="22"/>
              </w:rPr>
              <w:t>2</w:t>
            </w:r>
            <w:r w:rsidR="00A5325C" w:rsidRPr="009C54EC">
              <w:rPr>
                <w:b/>
                <w:bCs/>
                <w:sz w:val="22"/>
                <w:szCs w:val="22"/>
              </w:rPr>
              <w:t>.gads</w:t>
            </w:r>
          </w:p>
        </w:tc>
        <w:tc>
          <w:tcPr>
            <w:tcW w:w="1313" w:type="dxa"/>
            <w:hideMark/>
          </w:tcPr>
          <w:p w14:paraId="702B26C9" w14:textId="6C3159D0" w:rsidR="00A5325C" w:rsidRPr="009C54EC" w:rsidRDefault="00544EB5" w:rsidP="00A052D2">
            <w:pPr>
              <w:pStyle w:val="tvhtml"/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05259">
              <w:rPr>
                <w:b/>
                <w:bCs/>
                <w:sz w:val="22"/>
                <w:szCs w:val="22"/>
              </w:rPr>
              <w:t>3</w:t>
            </w:r>
            <w:r w:rsidR="00A5325C" w:rsidRPr="009C54EC">
              <w:rPr>
                <w:b/>
                <w:bCs/>
                <w:sz w:val="22"/>
                <w:szCs w:val="22"/>
              </w:rPr>
              <w:t>.gads</w:t>
            </w:r>
          </w:p>
        </w:tc>
      </w:tr>
      <w:tr w:rsidR="00A5325C" w:rsidRPr="009A75D6" w14:paraId="0F7DB15D" w14:textId="77777777" w:rsidTr="007F7105">
        <w:tc>
          <w:tcPr>
            <w:tcW w:w="1985" w:type="dxa"/>
            <w:vMerge/>
            <w:hideMark/>
          </w:tcPr>
          <w:p w14:paraId="24F57027" w14:textId="77777777" w:rsidR="00A5325C" w:rsidRPr="009C54EC" w:rsidRDefault="00A5325C" w:rsidP="00A052D2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76DC4442" w14:textId="77777777" w:rsidR="00A5325C" w:rsidRPr="009C54EC" w:rsidRDefault="00A5325C" w:rsidP="00A052D2">
            <w:pPr>
              <w:pStyle w:val="tvhtml"/>
              <w:spacing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134" w:type="dxa"/>
            <w:hideMark/>
          </w:tcPr>
          <w:p w14:paraId="7B338BBD" w14:textId="77777777" w:rsidR="00A5325C" w:rsidRPr="009C54EC" w:rsidRDefault="00A5325C" w:rsidP="00A052D2">
            <w:pPr>
              <w:pStyle w:val="tvhtml"/>
              <w:spacing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izmaiņas kārtējā gadā, salīdzinot ar valsts budžetu kārtējam gadam</w:t>
            </w:r>
          </w:p>
        </w:tc>
        <w:tc>
          <w:tcPr>
            <w:tcW w:w="1134" w:type="dxa"/>
            <w:hideMark/>
          </w:tcPr>
          <w:p w14:paraId="0384C3EE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saskaņā ar</w:t>
            </w:r>
          </w:p>
          <w:p w14:paraId="175D3517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vidēja</w:t>
            </w:r>
          </w:p>
          <w:p w14:paraId="6DCA6C99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termiņa</w:t>
            </w:r>
          </w:p>
          <w:p w14:paraId="09B52119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budžeta</w:t>
            </w:r>
          </w:p>
          <w:p w14:paraId="04C364C6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ietvaru</w:t>
            </w:r>
          </w:p>
        </w:tc>
        <w:tc>
          <w:tcPr>
            <w:tcW w:w="1134" w:type="dxa"/>
          </w:tcPr>
          <w:p w14:paraId="56FDA53E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izmaiņas,</w:t>
            </w:r>
          </w:p>
          <w:p w14:paraId="5BB926E5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salīdzinot ar</w:t>
            </w:r>
          </w:p>
          <w:p w14:paraId="69160431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vidēja</w:t>
            </w:r>
          </w:p>
          <w:p w14:paraId="0CABC650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termiņa</w:t>
            </w:r>
          </w:p>
          <w:p w14:paraId="34E39DDD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budžeta</w:t>
            </w:r>
          </w:p>
          <w:p w14:paraId="1B2C06F9" w14:textId="2CDB0371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ietvaru 20</w:t>
            </w:r>
            <w:r w:rsidR="00680BCA">
              <w:rPr>
                <w:sz w:val="22"/>
                <w:szCs w:val="22"/>
              </w:rPr>
              <w:t>2</w:t>
            </w:r>
            <w:r w:rsidR="00233291">
              <w:rPr>
                <w:sz w:val="22"/>
                <w:szCs w:val="22"/>
              </w:rPr>
              <w:t>1</w:t>
            </w:r>
            <w:r w:rsidRPr="009C54EC">
              <w:rPr>
                <w:sz w:val="22"/>
                <w:szCs w:val="22"/>
              </w:rPr>
              <w:t>.</w:t>
            </w:r>
          </w:p>
          <w:p w14:paraId="03143037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gadam</w:t>
            </w:r>
          </w:p>
        </w:tc>
        <w:tc>
          <w:tcPr>
            <w:tcW w:w="1133" w:type="dxa"/>
            <w:hideMark/>
          </w:tcPr>
          <w:p w14:paraId="388A5279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saskaņā ar</w:t>
            </w:r>
          </w:p>
          <w:p w14:paraId="2D8AB10B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vidēja</w:t>
            </w:r>
          </w:p>
          <w:p w14:paraId="3CB6CF9C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termiņa</w:t>
            </w:r>
          </w:p>
          <w:p w14:paraId="4C475AA1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budžeta</w:t>
            </w:r>
          </w:p>
          <w:p w14:paraId="686CACDA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ietvaru</w:t>
            </w:r>
          </w:p>
        </w:tc>
        <w:tc>
          <w:tcPr>
            <w:tcW w:w="1100" w:type="dxa"/>
          </w:tcPr>
          <w:p w14:paraId="2C300349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izmaiņas,</w:t>
            </w:r>
          </w:p>
          <w:p w14:paraId="48FAC410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salīdzinot ar</w:t>
            </w:r>
          </w:p>
          <w:p w14:paraId="57406AA9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vidēja</w:t>
            </w:r>
          </w:p>
          <w:p w14:paraId="5D48AEDC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termiņa</w:t>
            </w:r>
          </w:p>
          <w:p w14:paraId="4869031D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budžeta</w:t>
            </w:r>
          </w:p>
          <w:p w14:paraId="7FA95D87" w14:textId="02CF4E31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ietvaru 202</w:t>
            </w:r>
            <w:r w:rsidR="00233291">
              <w:rPr>
                <w:sz w:val="22"/>
                <w:szCs w:val="22"/>
              </w:rPr>
              <w:t>2</w:t>
            </w:r>
            <w:r w:rsidRPr="009C54EC">
              <w:rPr>
                <w:sz w:val="22"/>
                <w:szCs w:val="22"/>
              </w:rPr>
              <w:t>.</w:t>
            </w:r>
          </w:p>
          <w:p w14:paraId="1F75F6C3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gadam</w:t>
            </w:r>
          </w:p>
        </w:tc>
        <w:tc>
          <w:tcPr>
            <w:tcW w:w="1313" w:type="dxa"/>
            <w:hideMark/>
          </w:tcPr>
          <w:p w14:paraId="0B884DEA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izmaiņas,</w:t>
            </w:r>
          </w:p>
          <w:p w14:paraId="0721D0E5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salīdzinot ar</w:t>
            </w:r>
          </w:p>
          <w:p w14:paraId="37578E39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vidēja</w:t>
            </w:r>
          </w:p>
          <w:p w14:paraId="34F800EA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termiņa</w:t>
            </w:r>
          </w:p>
          <w:p w14:paraId="2947F38A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budžeta</w:t>
            </w:r>
          </w:p>
          <w:p w14:paraId="4856C980" w14:textId="5D05A1DB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ietvaru 202</w:t>
            </w:r>
            <w:r w:rsidR="00233291">
              <w:rPr>
                <w:sz w:val="22"/>
                <w:szCs w:val="22"/>
              </w:rPr>
              <w:t>2</w:t>
            </w:r>
            <w:r w:rsidRPr="009C54EC">
              <w:rPr>
                <w:sz w:val="22"/>
                <w:szCs w:val="22"/>
              </w:rPr>
              <w:t>.</w:t>
            </w:r>
          </w:p>
          <w:p w14:paraId="447D2192" w14:textId="77777777" w:rsidR="00A5325C" w:rsidRPr="009C54E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</w:rPr>
            </w:pPr>
            <w:r w:rsidRPr="009C54EC">
              <w:rPr>
                <w:sz w:val="22"/>
                <w:szCs w:val="22"/>
              </w:rPr>
              <w:t>gadam</w:t>
            </w:r>
          </w:p>
        </w:tc>
      </w:tr>
      <w:tr w:rsidR="00A5325C" w:rsidRPr="009A75D6" w14:paraId="64CD7B15" w14:textId="77777777" w:rsidTr="004233AB">
        <w:tc>
          <w:tcPr>
            <w:tcW w:w="1985" w:type="dxa"/>
          </w:tcPr>
          <w:p w14:paraId="6409EFA9" w14:textId="77777777" w:rsidR="00A5325C" w:rsidRPr="00271879" w:rsidRDefault="00A5325C" w:rsidP="00A052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8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14:paraId="6C3C0D0B" w14:textId="77777777" w:rsidR="00A5325C" w:rsidRPr="00A5325C" w:rsidRDefault="00A5325C" w:rsidP="00A052D2">
            <w:pPr>
              <w:pStyle w:val="tvhtml"/>
              <w:spacing w:line="293" w:lineRule="atLeast"/>
              <w:jc w:val="center"/>
            </w:pPr>
            <w:r w:rsidRPr="00A5325C">
              <w:t>2</w:t>
            </w:r>
          </w:p>
        </w:tc>
        <w:tc>
          <w:tcPr>
            <w:tcW w:w="1134" w:type="dxa"/>
          </w:tcPr>
          <w:p w14:paraId="56CD595A" w14:textId="77777777" w:rsidR="00A5325C" w:rsidRPr="00A5325C" w:rsidRDefault="00A5325C" w:rsidP="00A052D2">
            <w:pPr>
              <w:pStyle w:val="tvhtml"/>
              <w:spacing w:line="293" w:lineRule="atLeast"/>
              <w:jc w:val="center"/>
            </w:pPr>
            <w:r w:rsidRPr="00A5325C">
              <w:t>3</w:t>
            </w:r>
          </w:p>
        </w:tc>
        <w:tc>
          <w:tcPr>
            <w:tcW w:w="1134" w:type="dxa"/>
          </w:tcPr>
          <w:p w14:paraId="1EE9C35D" w14:textId="77777777" w:rsidR="00A5325C" w:rsidRPr="00A5325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A5325C">
              <w:t>4</w:t>
            </w:r>
          </w:p>
        </w:tc>
        <w:tc>
          <w:tcPr>
            <w:tcW w:w="1134" w:type="dxa"/>
          </w:tcPr>
          <w:p w14:paraId="08F88F52" w14:textId="77777777" w:rsidR="00A5325C" w:rsidRPr="00A5325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A5325C">
              <w:t>5</w:t>
            </w:r>
          </w:p>
        </w:tc>
        <w:tc>
          <w:tcPr>
            <w:tcW w:w="1133" w:type="dxa"/>
          </w:tcPr>
          <w:p w14:paraId="429EE9AC" w14:textId="77777777" w:rsidR="00A5325C" w:rsidRPr="00A5325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A5325C">
              <w:t>6</w:t>
            </w:r>
          </w:p>
        </w:tc>
        <w:tc>
          <w:tcPr>
            <w:tcW w:w="1100" w:type="dxa"/>
          </w:tcPr>
          <w:p w14:paraId="65773DC1" w14:textId="77777777" w:rsidR="00A5325C" w:rsidRPr="00A5325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A5325C">
              <w:t>7</w:t>
            </w:r>
          </w:p>
        </w:tc>
        <w:tc>
          <w:tcPr>
            <w:tcW w:w="1313" w:type="dxa"/>
          </w:tcPr>
          <w:p w14:paraId="2A88FFE3" w14:textId="77777777" w:rsidR="00A5325C" w:rsidRPr="00A5325C" w:rsidRDefault="00A5325C" w:rsidP="00A052D2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A5325C">
              <w:t>8</w:t>
            </w:r>
          </w:p>
        </w:tc>
      </w:tr>
      <w:tr w:rsidR="00EB2C23" w:rsidRPr="009A75D6" w14:paraId="7A39BF35" w14:textId="77777777" w:rsidTr="004233AB">
        <w:tc>
          <w:tcPr>
            <w:tcW w:w="1985" w:type="dxa"/>
          </w:tcPr>
          <w:p w14:paraId="39F7C9BE" w14:textId="77777777" w:rsidR="00EB2C23" w:rsidRPr="00A5325C" w:rsidRDefault="00EB2C23" w:rsidP="00EB2C23">
            <w:pPr>
              <w:rPr>
                <w:rFonts w:ascii="Times New Roman" w:hAnsi="Times New Roman" w:cs="Times New Roman"/>
                <w:b/>
              </w:rPr>
            </w:pPr>
            <w:bookmarkStart w:id="1" w:name="_Hlk527979063"/>
            <w:r w:rsidRPr="00A5325C">
              <w:rPr>
                <w:rFonts w:ascii="Times New Roman" w:hAnsi="Times New Roman" w:cs="Times New Roman"/>
                <w:b/>
              </w:rPr>
              <w:t>1. Budžeta ieņēmumi</w:t>
            </w:r>
          </w:p>
        </w:tc>
        <w:tc>
          <w:tcPr>
            <w:tcW w:w="1276" w:type="dxa"/>
          </w:tcPr>
          <w:p w14:paraId="72035430" w14:textId="6E7A3482" w:rsidR="00EB2C23" w:rsidRPr="00675672" w:rsidRDefault="00675672" w:rsidP="00574785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4C1B14C" w14:textId="77777777" w:rsidR="00EB2C23" w:rsidRPr="00675672" w:rsidRDefault="00FF3EF5" w:rsidP="00574785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 w:rsidRPr="006756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5BB6DD4" w14:textId="0A82D0B6" w:rsidR="00EB2C23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27120DA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6756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90625EF" w14:textId="6CDE72A3" w:rsidR="00EB2C23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5BEA1A63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6756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F033CA1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 w:rsidRPr="00675672">
              <w:rPr>
                <w:b/>
                <w:sz w:val="18"/>
                <w:szCs w:val="18"/>
              </w:rPr>
              <w:t>0</w:t>
            </w:r>
          </w:p>
        </w:tc>
      </w:tr>
      <w:tr w:rsidR="00EB2C23" w:rsidRPr="009A75D6" w14:paraId="1F30D774" w14:textId="77777777" w:rsidTr="004233AB">
        <w:tc>
          <w:tcPr>
            <w:tcW w:w="1985" w:type="dxa"/>
          </w:tcPr>
          <w:p w14:paraId="1469427A" w14:textId="77777777" w:rsidR="00EB2C23" w:rsidRPr="00A5325C" w:rsidRDefault="00EB2C23" w:rsidP="00EB2C23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</w:tcPr>
          <w:p w14:paraId="2527FD4A" w14:textId="77777777" w:rsidR="00EB2C23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A2CD7DA" w14:textId="77777777" w:rsidR="00EB2C23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561831C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EFBCDD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602D2F25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40767582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1B86D89E" w14:textId="77777777" w:rsidR="00EB2C23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</w:tr>
      <w:bookmarkEnd w:id="1"/>
      <w:tr w:rsidR="00FF3EF5" w:rsidRPr="009A75D6" w14:paraId="7229EC07" w14:textId="77777777" w:rsidTr="004233AB">
        <w:tc>
          <w:tcPr>
            <w:tcW w:w="1985" w:type="dxa"/>
          </w:tcPr>
          <w:p w14:paraId="6FFFAD7C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1.2. valsts speciālais budžets</w:t>
            </w:r>
          </w:p>
        </w:tc>
        <w:tc>
          <w:tcPr>
            <w:tcW w:w="1276" w:type="dxa"/>
          </w:tcPr>
          <w:p w14:paraId="3EAF52E7" w14:textId="77777777" w:rsidR="00FF3EF5" w:rsidRPr="00675672" w:rsidRDefault="0057478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70C2E46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5822C6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53ADCA0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E2E9FAB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3DB05024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2FFF59EF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</w:tr>
      <w:tr w:rsidR="00FF3EF5" w:rsidRPr="009A75D6" w14:paraId="3F47D620" w14:textId="77777777" w:rsidTr="004233AB">
        <w:tc>
          <w:tcPr>
            <w:tcW w:w="1985" w:type="dxa"/>
          </w:tcPr>
          <w:p w14:paraId="4D50D050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1.3. pašvaldību budžets</w:t>
            </w:r>
          </w:p>
        </w:tc>
        <w:tc>
          <w:tcPr>
            <w:tcW w:w="1276" w:type="dxa"/>
          </w:tcPr>
          <w:p w14:paraId="30546BFF" w14:textId="77777777" w:rsidR="00FF3EF5" w:rsidRPr="00675672" w:rsidRDefault="0057478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1BFF4CC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C1F03D0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E203E7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45BC7761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6A3CA27F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332CF4F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</w:tr>
      <w:tr w:rsidR="00FF3EF5" w:rsidRPr="009A75D6" w14:paraId="2817803D" w14:textId="77777777" w:rsidTr="00DE0535">
        <w:tc>
          <w:tcPr>
            <w:tcW w:w="1985" w:type="dxa"/>
          </w:tcPr>
          <w:p w14:paraId="41EE6DF4" w14:textId="77777777" w:rsidR="00FF3EF5" w:rsidRPr="00A5325C" w:rsidRDefault="00FF3EF5" w:rsidP="00FF3EF5">
            <w:pPr>
              <w:rPr>
                <w:rFonts w:ascii="Times New Roman" w:hAnsi="Times New Roman" w:cs="Times New Roman"/>
                <w:b/>
              </w:rPr>
            </w:pPr>
            <w:r w:rsidRPr="00A5325C">
              <w:rPr>
                <w:rFonts w:ascii="Times New Roman" w:hAnsi="Times New Roman" w:cs="Times New Roman"/>
                <w:b/>
              </w:rPr>
              <w:t>2. Budžeta izdevumi</w:t>
            </w:r>
          </w:p>
        </w:tc>
        <w:tc>
          <w:tcPr>
            <w:tcW w:w="1276" w:type="dxa"/>
          </w:tcPr>
          <w:p w14:paraId="72FD0BCB" w14:textId="46A6ED36" w:rsidR="00FF3EF5" w:rsidRPr="00675672" w:rsidRDefault="00675672" w:rsidP="00574785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BA68FF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b/>
                <w:sz w:val="18"/>
                <w:szCs w:val="18"/>
              </w:rPr>
            </w:pPr>
            <w:r w:rsidRPr="006756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A5B0163" w14:textId="1480B396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510B74" w14:textId="5C56232F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0314ED6" w14:textId="1B274142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0EAA3E96" w14:textId="1A8BC0CC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42FC7FA" w14:textId="29CFA5F6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3EF5" w:rsidRPr="009A75D6" w14:paraId="427D7372" w14:textId="77777777" w:rsidTr="00DE0535">
        <w:tc>
          <w:tcPr>
            <w:tcW w:w="1985" w:type="dxa"/>
          </w:tcPr>
          <w:p w14:paraId="289F6367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2.1. valsts pamatbudžets</w:t>
            </w:r>
          </w:p>
        </w:tc>
        <w:tc>
          <w:tcPr>
            <w:tcW w:w="1276" w:type="dxa"/>
          </w:tcPr>
          <w:p w14:paraId="05B52596" w14:textId="77777777" w:rsidR="00FF3EF5" w:rsidRPr="00675672" w:rsidRDefault="0057478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6FA3B1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E7799F" w14:textId="77777777" w:rsidR="00FF3EF5" w:rsidRPr="00675672" w:rsidRDefault="00A27A68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3184B5" w14:textId="77777777" w:rsidR="00FF3EF5" w:rsidRPr="00675672" w:rsidRDefault="00A27A68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57BCD338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01FFF669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539CD3FD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</w:tr>
      <w:tr w:rsidR="00FF3EF5" w:rsidRPr="009A75D6" w14:paraId="5DD946D5" w14:textId="77777777" w:rsidTr="004233AB">
        <w:tc>
          <w:tcPr>
            <w:tcW w:w="1985" w:type="dxa"/>
          </w:tcPr>
          <w:p w14:paraId="66E7FA79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2.2. valsts speciālais budžets</w:t>
            </w:r>
          </w:p>
        </w:tc>
        <w:tc>
          <w:tcPr>
            <w:tcW w:w="1276" w:type="dxa"/>
          </w:tcPr>
          <w:p w14:paraId="6C80D00B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BA18E7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25A26C5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78E06AB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0EA2A351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1060220F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530765CD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</w:tr>
      <w:tr w:rsidR="00FF3EF5" w:rsidRPr="009A75D6" w14:paraId="15F52066" w14:textId="77777777" w:rsidTr="004233AB">
        <w:tc>
          <w:tcPr>
            <w:tcW w:w="1985" w:type="dxa"/>
          </w:tcPr>
          <w:p w14:paraId="737F3FA7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2.3. pašvaldību budžets</w:t>
            </w:r>
          </w:p>
        </w:tc>
        <w:tc>
          <w:tcPr>
            <w:tcW w:w="1276" w:type="dxa"/>
          </w:tcPr>
          <w:p w14:paraId="73B9E78B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DF4C5B1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50FD6D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172E8B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1C614C5C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5BBB324C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7857563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</w:tr>
      <w:tr w:rsidR="00FF3EF5" w:rsidRPr="009A75D6" w14:paraId="564D0D74" w14:textId="77777777" w:rsidTr="004233AB">
        <w:tc>
          <w:tcPr>
            <w:tcW w:w="1985" w:type="dxa"/>
          </w:tcPr>
          <w:p w14:paraId="77E89CD4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3. Finansiālā ietekme</w:t>
            </w:r>
          </w:p>
        </w:tc>
        <w:tc>
          <w:tcPr>
            <w:tcW w:w="1276" w:type="dxa"/>
          </w:tcPr>
          <w:p w14:paraId="31D55E90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99835E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518ACF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4702FD" w14:textId="151CF97C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474A6AF1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0CF580E3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415E3611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</w:tr>
      <w:tr w:rsidR="00FF3EF5" w:rsidRPr="009A75D6" w14:paraId="45764E88" w14:textId="77777777" w:rsidTr="004233AB">
        <w:tc>
          <w:tcPr>
            <w:tcW w:w="1985" w:type="dxa"/>
          </w:tcPr>
          <w:p w14:paraId="650A0ED4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3.1. valsts pamatbudžets</w:t>
            </w:r>
          </w:p>
        </w:tc>
        <w:tc>
          <w:tcPr>
            <w:tcW w:w="1276" w:type="dxa"/>
          </w:tcPr>
          <w:p w14:paraId="4DE7C63D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FACE93A" w14:textId="77777777" w:rsidR="00FF3EF5" w:rsidRPr="00675672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77C3275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A88AEC" w14:textId="5C8E23A3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06E6401A" w14:textId="77777777" w:rsidR="00FF3EF5" w:rsidRPr="00675672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675672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4A35DA0B" w14:textId="3C7C83C1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0EFAC578" w14:textId="51D1286F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EF5" w:rsidRPr="009A75D6" w14:paraId="7047B81F" w14:textId="77777777" w:rsidTr="004233AB">
        <w:tc>
          <w:tcPr>
            <w:tcW w:w="1985" w:type="dxa"/>
          </w:tcPr>
          <w:p w14:paraId="66AF8B40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3.2. speciālais budžets</w:t>
            </w:r>
          </w:p>
        </w:tc>
        <w:tc>
          <w:tcPr>
            <w:tcW w:w="1276" w:type="dxa"/>
          </w:tcPr>
          <w:p w14:paraId="777DF9E7" w14:textId="77777777" w:rsidR="00FF3EF5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E90316" w14:textId="77777777" w:rsidR="00FF3EF5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A258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2839B0" w14:textId="77777777" w:rsidR="00FF3EF5" w:rsidRPr="00E83DF7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yellow"/>
              </w:rPr>
            </w:pPr>
            <w:r w:rsidRPr="00A258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39CE7C" w14:textId="77777777" w:rsidR="00FF3EF5" w:rsidRPr="00E83DF7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62B331B4" w14:textId="77777777" w:rsidR="00FF3EF5" w:rsidRPr="00E83DF7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A258CF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0F86AB3F" w14:textId="77777777" w:rsidR="00FF3EF5" w:rsidRPr="007846CF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A258CF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C645618" w14:textId="77777777" w:rsidR="00FF3EF5" w:rsidRPr="007846CF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  <w:highlight w:val="red"/>
              </w:rPr>
            </w:pPr>
            <w:r w:rsidRPr="00A258CF">
              <w:rPr>
                <w:sz w:val="18"/>
                <w:szCs w:val="18"/>
              </w:rPr>
              <w:t>0</w:t>
            </w:r>
          </w:p>
        </w:tc>
      </w:tr>
      <w:tr w:rsidR="000817C9" w:rsidRPr="009A75D6" w14:paraId="728608A9" w14:textId="77777777" w:rsidTr="004233AB">
        <w:tc>
          <w:tcPr>
            <w:tcW w:w="1985" w:type="dxa"/>
          </w:tcPr>
          <w:p w14:paraId="0A6F8290" w14:textId="77777777" w:rsidR="000817C9" w:rsidRPr="00A5325C" w:rsidRDefault="000817C9" w:rsidP="000817C9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3.3. pašvaldību budžets</w:t>
            </w:r>
          </w:p>
        </w:tc>
        <w:tc>
          <w:tcPr>
            <w:tcW w:w="1276" w:type="dxa"/>
          </w:tcPr>
          <w:p w14:paraId="72F0872E" w14:textId="77777777" w:rsidR="000817C9" w:rsidRPr="00FF3EF5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07EEABF" w14:textId="77777777" w:rsidR="000817C9" w:rsidRPr="00FF3EF5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005EC0" w14:textId="77777777" w:rsidR="000817C9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3FE2E3" w14:textId="77777777" w:rsidR="000817C9" w:rsidRPr="00FF3EF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02EFF11D" w14:textId="77777777" w:rsidR="000817C9" w:rsidRPr="00FF3EF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4A01A66C" w14:textId="77777777" w:rsidR="000817C9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C5A629E" w14:textId="77777777" w:rsidR="000817C9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</w:tr>
      <w:tr w:rsidR="000817C9" w:rsidRPr="009A75D6" w14:paraId="69A40B68" w14:textId="77777777" w:rsidTr="004233AB">
        <w:tc>
          <w:tcPr>
            <w:tcW w:w="1985" w:type="dxa"/>
          </w:tcPr>
          <w:p w14:paraId="1B071D41" w14:textId="77777777" w:rsidR="000817C9" w:rsidRPr="00A5325C" w:rsidRDefault="000817C9" w:rsidP="000817C9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</w:tcPr>
          <w:p w14:paraId="7AFA02C7" w14:textId="77777777" w:rsidR="000817C9" w:rsidRPr="00FF3EF5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4498706" w14:textId="77777777" w:rsidR="000817C9" w:rsidRPr="00FF3EF5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3CDDF65" w14:textId="77777777" w:rsidR="000817C9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002D50" w14:textId="66CAA008" w:rsidR="000817C9" w:rsidRPr="00FF3EF5" w:rsidRDefault="005627F3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6DD72735" w14:textId="77777777" w:rsidR="000817C9" w:rsidRPr="00FF3EF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72081197" w14:textId="77777777" w:rsidR="000817C9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3A97B914" w14:textId="77777777" w:rsidR="000817C9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</w:tr>
      <w:tr w:rsidR="00FF3EF5" w:rsidRPr="009A75D6" w14:paraId="59BA561D" w14:textId="77777777" w:rsidTr="004233AB">
        <w:tc>
          <w:tcPr>
            <w:tcW w:w="1985" w:type="dxa"/>
          </w:tcPr>
          <w:p w14:paraId="55567823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5. Precizēta finansiālā ietekme</w:t>
            </w:r>
          </w:p>
        </w:tc>
        <w:tc>
          <w:tcPr>
            <w:tcW w:w="1276" w:type="dxa"/>
            <w:vMerge w:val="restart"/>
          </w:tcPr>
          <w:p w14:paraId="714BAB02" w14:textId="77777777" w:rsidR="00FF3EF5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EEC52D3" w14:textId="77777777" w:rsidR="00FF3EF5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14:paraId="4B326675" w14:textId="77777777" w:rsidR="00FF3EF5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7916F71" w14:textId="77777777" w:rsidR="00FF3EF5" w:rsidRPr="00FF3EF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 w:val="restart"/>
          </w:tcPr>
          <w:p w14:paraId="516D3331" w14:textId="77777777" w:rsidR="00FF3EF5" w:rsidRPr="00FF3EF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14:paraId="6551C347" w14:textId="78CA1B92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0CBD6AE4" w14:textId="5CBB5055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EF5" w:rsidRPr="009A75D6" w14:paraId="5D03E179" w14:textId="77777777" w:rsidTr="004233AB">
        <w:trPr>
          <w:trHeight w:val="526"/>
        </w:trPr>
        <w:tc>
          <w:tcPr>
            <w:tcW w:w="1985" w:type="dxa"/>
          </w:tcPr>
          <w:p w14:paraId="5C867398" w14:textId="77777777" w:rsidR="00FF3EF5" w:rsidRPr="00A5325C" w:rsidRDefault="00FF3EF5" w:rsidP="00FF3EF5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5.1. valsts pamatbudžets</w:t>
            </w:r>
          </w:p>
        </w:tc>
        <w:tc>
          <w:tcPr>
            <w:tcW w:w="1276" w:type="dxa"/>
            <w:vMerge/>
          </w:tcPr>
          <w:p w14:paraId="2D0D7EFD" w14:textId="77777777" w:rsidR="00FF3EF5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D718B" w14:textId="77777777" w:rsidR="00FF3EF5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14:paraId="5989E631" w14:textId="77777777" w:rsidR="00FF3EF5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0DA04" w14:textId="77777777" w:rsidR="00FF3EF5" w:rsidRPr="00FF3EF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FF3EF5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</w:tcPr>
          <w:p w14:paraId="2AC89ABB" w14:textId="77777777" w:rsidR="00FF3EF5" w:rsidRPr="00FF3EF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6CE4B227" w14:textId="574A1AE3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1C93612E" w14:textId="0B7D3421" w:rsidR="00FF3EF5" w:rsidRPr="00675672" w:rsidRDefault="00675672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F4F7D" w:rsidRPr="009A75D6" w14:paraId="1085AB3D" w14:textId="77777777" w:rsidTr="004233AB">
        <w:tc>
          <w:tcPr>
            <w:tcW w:w="1985" w:type="dxa"/>
          </w:tcPr>
          <w:p w14:paraId="78EDCEE6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5.2. speciālais budžets</w:t>
            </w:r>
          </w:p>
        </w:tc>
        <w:tc>
          <w:tcPr>
            <w:tcW w:w="1276" w:type="dxa"/>
            <w:vMerge/>
          </w:tcPr>
          <w:p w14:paraId="562735A1" w14:textId="77777777" w:rsidR="00EF4F7D" w:rsidRPr="00E83DF7" w:rsidRDefault="00EF4F7D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146DE" w14:textId="77777777" w:rsidR="00EF4F7D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14:paraId="18488346" w14:textId="77777777" w:rsidR="00EF4F7D" w:rsidRPr="00DE0535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E0D8FE" w14:textId="77777777" w:rsidR="00EF4F7D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</w:tcPr>
          <w:p w14:paraId="3CF14378" w14:textId="77777777" w:rsidR="00EF4F7D" w:rsidRPr="00DE0535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0EB6191B" w14:textId="77777777" w:rsidR="00EF4F7D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7AEDD15C" w14:textId="77777777" w:rsidR="00EF4F7D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</w:tr>
      <w:tr w:rsidR="00EF4F7D" w:rsidRPr="009A75D6" w14:paraId="249819B9" w14:textId="77777777" w:rsidTr="004233AB">
        <w:trPr>
          <w:trHeight w:val="789"/>
        </w:trPr>
        <w:tc>
          <w:tcPr>
            <w:tcW w:w="1985" w:type="dxa"/>
          </w:tcPr>
          <w:p w14:paraId="7306FD87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5.3. pašvaldību budžets</w:t>
            </w:r>
          </w:p>
        </w:tc>
        <w:tc>
          <w:tcPr>
            <w:tcW w:w="1276" w:type="dxa"/>
            <w:vMerge/>
          </w:tcPr>
          <w:p w14:paraId="6E3910FC" w14:textId="77777777" w:rsidR="00EF4F7D" w:rsidRPr="00E83DF7" w:rsidRDefault="00EF4F7D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D97F3" w14:textId="77777777" w:rsidR="00EF4F7D" w:rsidRPr="00E83DF7" w:rsidRDefault="00FF3EF5" w:rsidP="00574785">
            <w:pPr>
              <w:pStyle w:val="tvhtml"/>
              <w:spacing w:line="29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14:paraId="21CAF742" w14:textId="77777777" w:rsidR="00EF4F7D" w:rsidRPr="00DE0535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C5860" w14:textId="77777777" w:rsidR="00EF4F7D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</w:tcPr>
          <w:p w14:paraId="77571398" w14:textId="77777777" w:rsidR="00EF4F7D" w:rsidRPr="00DE0535" w:rsidRDefault="00EF4F7D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62979B51" w14:textId="77777777" w:rsidR="00EF4F7D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14:paraId="6D2E4EF6" w14:textId="77777777" w:rsidR="00EF4F7D" w:rsidRPr="00DE0535" w:rsidRDefault="00FF3EF5" w:rsidP="00574785">
            <w:pPr>
              <w:pStyle w:val="tvhtml"/>
              <w:spacing w:before="0" w:beforeAutospacing="0" w:after="0" w:afterAutospacing="0" w:line="293" w:lineRule="atLeast"/>
              <w:jc w:val="center"/>
              <w:rPr>
                <w:sz w:val="18"/>
                <w:szCs w:val="18"/>
              </w:rPr>
            </w:pPr>
            <w:r w:rsidRPr="00DE0535">
              <w:rPr>
                <w:sz w:val="18"/>
                <w:szCs w:val="18"/>
              </w:rPr>
              <w:t>0</w:t>
            </w:r>
          </w:p>
        </w:tc>
      </w:tr>
      <w:tr w:rsidR="00EF4F7D" w:rsidRPr="009A75D6" w14:paraId="57C9C78B" w14:textId="77777777" w:rsidTr="00576C3E">
        <w:tc>
          <w:tcPr>
            <w:tcW w:w="1985" w:type="dxa"/>
          </w:tcPr>
          <w:p w14:paraId="7A1F867A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8224" w:type="dxa"/>
            <w:gridSpan w:val="7"/>
            <w:vMerge w:val="restart"/>
          </w:tcPr>
          <w:p w14:paraId="64EC496D" w14:textId="2CFD6A31" w:rsidR="00FB6922" w:rsidRPr="00675672" w:rsidRDefault="00675672" w:rsidP="00B0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Noteikuma projekta veikt</w:t>
            </w:r>
            <w:r w:rsidR="0075347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927E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ozījum</w:t>
            </w:r>
            <w:r w:rsidR="007534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nerada papildus finansiālu ietekmi un finansējums tiks nodrošināts Veselības ministrijas budžeta programmas 02.00.00 “Medicīnas izglītība” apakšprogrammas 02.04.00 “Rezidentu atlīdzība” piešķirtā finansējuma ietvaros.</w:t>
            </w:r>
          </w:p>
        </w:tc>
      </w:tr>
      <w:tr w:rsidR="00EF4F7D" w:rsidRPr="009A75D6" w14:paraId="6369257E" w14:textId="77777777" w:rsidTr="00576C3E">
        <w:tc>
          <w:tcPr>
            <w:tcW w:w="1985" w:type="dxa"/>
          </w:tcPr>
          <w:p w14:paraId="72F8FD61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6.1. detalizēts ieņēmumu aprēķins</w:t>
            </w:r>
          </w:p>
        </w:tc>
        <w:tc>
          <w:tcPr>
            <w:tcW w:w="8224" w:type="dxa"/>
            <w:gridSpan w:val="7"/>
            <w:vMerge/>
          </w:tcPr>
          <w:p w14:paraId="551D62EE" w14:textId="77777777" w:rsidR="00EF4F7D" w:rsidRPr="00784065" w:rsidRDefault="00EF4F7D" w:rsidP="00EF4F7D">
            <w:pPr>
              <w:pStyle w:val="tvhtml"/>
              <w:spacing w:before="0" w:beforeAutospacing="0" w:after="0" w:afterAutospacing="0" w:line="293" w:lineRule="atLeast"/>
              <w:jc w:val="center"/>
              <w:rPr>
                <w:highlight w:val="yellow"/>
              </w:rPr>
            </w:pPr>
          </w:p>
        </w:tc>
      </w:tr>
      <w:tr w:rsidR="00EF4F7D" w:rsidRPr="009A75D6" w14:paraId="38FC0E92" w14:textId="77777777" w:rsidTr="00576C3E">
        <w:tc>
          <w:tcPr>
            <w:tcW w:w="1985" w:type="dxa"/>
          </w:tcPr>
          <w:p w14:paraId="53D0353A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6.2. detalizēts izdevumu aprēķins</w:t>
            </w:r>
          </w:p>
        </w:tc>
        <w:tc>
          <w:tcPr>
            <w:tcW w:w="8224" w:type="dxa"/>
            <w:gridSpan w:val="7"/>
            <w:vMerge/>
          </w:tcPr>
          <w:p w14:paraId="7596E5D5" w14:textId="77777777" w:rsidR="00EF4F7D" w:rsidRPr="00784065" w:rsidRDefault="00EF4F7D" w:rsidP="00EF4F7D">
            <w:pPr>
              <w:pStyle w:val="tvhtml"/>
              <w:spacing w:before="0" w:beforeAutospacing="0" w:after="0" w:afterAutospacing="0" w:line="293" w:lineRule="atLeast"/>
              <w:jc w:val="center"/>
              <w:rPr>
                <w:highlight w:val="yellow"/>
              </w:rPr>
            </w:pPr>
          </w:p>
        </w:tc>
      </w:tr>
      <w:tr w:rsidR="00EF4F7D" w:rsidRPr="009A75D6" w14:paraId="134A4558" w14:textId="77777777" w:rsidTr="00576C3E">
        <w:tc>
          <w:tcPr>
            <w:tcW w:w="1985" w:type="dxa"/>
          </w:tcPr>
          <w:p w14:paraId="38C7C9FC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7. Amata vietu skaita</w:t>
            </w:r>
          </w:p>
          <w:p w14:paraId="639CA54E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izmaiņas</w:t>
            </w:r>
          </w:p>
        </w:tc>
        <w:tc>
          <w:tcPr>
            <w:tcW w:w="8224" w:type="dxa"/>
            <w:gridSpan w:val="7"/>
          </w:tcPr>
          <w:p w14:paraId="0B7E9C99" w14:textId="77777777" w:rsidR="00EF4F7D" w:rsidRPr="00DA3082" w:rsidRDefault="00EF4F7D" w:rsidP="00EF4F7D">
            <w:pPr>
              <w:pStyle w:val="tvhtml"/>
              <w:spacing w:before="0" w:beforeAutospacing="0" w:after="0" w:afterAutospacing="0" w:line="293" w:lineRule="atLeast"/>
              <w:jc w:val="both"/>
            </w:pPr>
            <w:r>
              <w:t>Nav</w:t>
            </w:r>
          </w:p>
        </w:tc>
      </w:tr>
      <w:tr w:rsidR="00EF4F7D" w:rsidRPr="009A75D6" w14:paraId="2BA799F0" w14:textId="77777777" w:rsidTr="00576C3E">
        <w:trPr>
          <w:trHeight w:val="555"/>
        </w:trPr>
        <w:tc>
          <w:tcPr>
            <w:tcW w:w="1985" w:type="dxa"/>
            <w:hideMark/>
          </w:tcPr>
          <w:p w14:paraId="2352F772" w14:textId="77777777" w:rsidR="00EF4F7D" w:rsidRPr="00A5325C" w:rsidRDefault="00EF4F7D" w:rsidP="00EF4F7D">
            <w:pPr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8. Cita informācija</w:t>
            </w:r>
          </w:p>
        </w:tc>
        <w:tc>
          <w:tcPr>
            <w:tcW w:w="8224" w:type="dxa"/>
            <w:gridSpan w:val="7"/>
            <w:hideMark/>
          </w:tcPr>
          <w:p w14:paraId="267D3003" w14:textId="17ADFB8E" w:rsidR="00EF4F7D" w:rsidRPr="007B1772" w:rsidRDefault="00EF4F7D" w:rsidP="00A06D88">
            <w:pPr>
              <w:ind w:right="35"/>
              <w:jc w:val="both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</w:tbl>
    <w:p w14:paraId="79B3C70F" w14:textId="285FEE03" w:rsidR="00175CE3" w:rsidRDefault="00175CE3" w:rsidP="00344B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5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83"/>
      </w:tblGrid>
      <w:tr w:rsidR="006D5E48" w:rsidRPr="00291085" w14:paraId="6CC85E99" w14:textId="77777777" w:rsidTr="00DC275A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D0D000" w14:textId="77777777" w:rsidR="006D5E48" w:rsidRPr="00291085" w:rsidRDefault="006D5E48" w:rsidP="00DC275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6D5E48" w:rsidRPr="00291085" w14:paraId="427A5615" w14:textId="77777777" w:rsidTr="00DC275A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E2022D" w14:textId="77777777" w:rsidR="006D5E48" w:rsidRPr="00291085" w:rsidRDefault="006D5E48" w:rsidP="00DC275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06A7C50" w14:textId="77777777" w:rsidR="006D5E48" w:rsidRDefault="006D5E48" w:rsidP="00344B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05259" w:rsidRPr="00E14BAD" w14:paraId="435F05E3" w14:textId="77777777" w:rsidTr="00B05259">
        <w:tc>
          <w:tcPr>
            <w:tcW w:w="9498" w:type="dxa"/>
          </w:tcPr>
          <w:p w14:paraId="4E2382D5" w14:textId="77777777" w:rsidR="00B05259" w:rsidRPr="00E14BAD" w:rsidRDefault="00B05259" w:rsidP="00DC27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1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B05259" w:rsidRPr="00E14BAD" w14:paraId="371A181D" w14:textId="77777777" w:rsidTr="00B05259">
        <w:tc>
          <w:tcPr>
            <w:tcW w:w="9498" w:type="dxa"/>
          </w:tcPr>
          <w:p w14:paraId="2F71AD82" w14:textId="77777777" w:rsidR="00B05259" w:rsidRPr="00E14BAD" w:rsidRDefault="00B05259" w:rsidP="00DC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B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FCA850A" w14:textId="312767CC" w:rsidR="000A7605" w:rsidRDefault="000A7605" w:rsidP="00B05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75672" w:rsidRPr="00E14BAD" w14:paraId="7E29CE56" w14:textId="77777777" w:rsidTr="00DC275A">
        <w:tc>
          <w:tcPr>
            <w:tcW w:w="9498" w:type="dxa"/>
          </w:tcPr>
          <w:p w14:paraId="25105216" w14:textId="1B848380" w:rsidR="00675672" w:rsidRPr="00E14BAD" w:rsidRDefault="00675672" w:rsidP="00DC27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1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E1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675672" w:rsidRPr="00E14BAD" w14:paraId="66CA370F" w14:textId="77777777" w:rsidTr="00DC275A">
        <w:tc>
          <w:tcPr>
            <w:tcW w:w="9498" w:type="dxa"/>
          </w:tcPr>
          <w:p w14:paraId="24DDA9DD" w14:textId="77777777" w:rsidR="00675672" w:rsidRPr="00E14BAD" w:rsidRDefault="00675672" w:rsidP="00DC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B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1E3F777" w14:textId="77777777" w:rsidR="009857E6" w:rsidRDefault="009857E6" w:rsidP="006D5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0"/>
        <w:gridCol w:w="2843"/>
        <w:gridCol w:w="5893"/>
      </w:tblGrid>
      <w:tr w:rsidR="008B7E22" w14:paraId="6561A7E4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996919" w14:textId="77777777" w:rsidR="00894C55" w:rsidRPr="006E52FA" w:rsidRDefault="006572D7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E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6E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E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8B7E22" w14:paraId="6F55D9C1" w14:textId="77777777" w:rsidTr="002F1B24">
        <w:trPr>
          <w:trHeight w:val="771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72BE6D" w14:textId="77777777" w:rsidR="00894C55" w:rsidRPr="006E52F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04B51" w14:textId="77777777" w:rsidR="00894C55" w:rsidRPr="006E52F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635AB" w14:textId="77777777" w:rsidR="0000058C" w:rsidRPr="002E2203" w:rsidRDefault="00FF53FD" w:rsidP="00C42BCA">
            <w:pPr>
              <w:spacing w:after="0" w:line="240" w:lineRule="auto"/>
              <w:ind w:left="125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53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ietverto prasību izpildē tiks iesaistīta </w:t>
            </w:r>
            <w:r w:rsidR="002E2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ministrija, Rīgas Stradiņa unive</w:t>
            </w:r>
            <w:r w:rsidR="00B6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rsitāte, Latvijas Universitāte.</w:t>
            </w:r>
          </w:p>
        </w:tc>
      </w:tr>
      <w:tr w:rsidR="008B7E22" w14:paraId="0663BA7E" w14:textId="77777777" w:rsidTr="00D97FCF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FAC09" w14:textId="77777777" w:rsidR="00894C55" w:rsidRPr="006E52F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C7B6E6" w14:textId="77777777" w:rsidR="00894C55" w:rsidRPr="006E52FA" w:rsidRDefault="006572D7" w:rsidP="0081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810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00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</w:t>
            </w:r>
            <w:r w:rsidRPr="006E5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08965" w14:textId="77777777" w:rsidR="007D300F" w:rsidRPr="006E52FA" w:rsidRDefault="00B40AEB" w:rsidP="0044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2F1B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B7E22" w14:paraId="4093F20B" w14:textId="77777777" w:rsidTr="00D97FCF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61C3C" w14:textId="77777777" w:rsidR="00894C55" w:rsidRPr="006E52F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606F0" w14:textId="77777777" w:rsidR="00894C55" w:rsidRPr="006E52FA" w:rsidRDefault="006572D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4D033" w14:textId="77777777" w:rsidR="00894C55" w:rsidRPr="006E52FA" w:rsidRDefault="006572D7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6B96EB6" w14:textId="77777777" w:rsidR="00810241" w:rsidRDefault="00810241" w:rsidP="00FF53FD">
      <w:pPr>
        <w:pStyle w:val="BodyTextIndent"/>
        <w:tabs>
          <w:tab w:val="left" w:pos="7088"/>
          <w:tab w:val="right" w:pos="8931"/>
        </w:tabs>
        <w:ind w:left="0" w:firstLine="0"/>
        <w:rPr>
          <w:szCs w:val="28"/>
        </w:rPr>
      </w:pPr>
    </w:p>
    <w:p w14:paraId="12D8E003" w14:textId="7A053906" w:rsidR="002F1B24" w:rsidRPr="00DC755F" w:rsidRDefault="00FF53FD" w:rsidP="00DC755F">
      <w:pPr>
        <w:pStyle w:val="BodyTextIndent"/>
        <w:tabs>
          <w:tab w:val="left" w:pos="7088"/>
          <w:tab w:val="right" w:pos="8931"/>
        </w:tabs>
        <w:ind w:left="0" w:firstLine="0"/>
        <w:rPr>
          <w:szCs w:val="28"/>
        </w:rPr>
      </w:pPr>
      <w:r w:rsidRPr="006E6505">
        <w:rPr>
          <w:szCs w:val="28"/>
        </w:rPr>
        <w:t>Veselības ministre</w:t>
      </w:r>
      <w:r w:rsidR="00A43D38">
        <w:rPr>
          <w:szCs w:val="28"/>
        </w:rPr>
        <w:t xml:space="preserve">                                                                     I</w:t>
      </w:r>
      <w:r w:rsidR="004427CB">
        <w:rPr>
          <w:szCs w:val="28"/>
        </w:rPr>
        <w:t xml:space="preserve">. </w:t>
      </w:r>
      <w:bookmarkStart w:id="2" w:name="_GoBack"/>
      <w:bookmarkEnd w:id="2"/>
      <w:r w:rsidR="00A43D38">
        <w:rPr>
          <w:szCs w:val="28"/>
        </w:rPr>
        <w:t>Viņķele</w:t>
      </w:r>
    </w:p>
    <w:p w14:paraId="251686CB" w14:textId="77777777" w:rsidR="00DC755F" w:rsidRDefault="00DC755F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6C3DD9F5" w14:textId="24DEA206" w:rsidR="00A43D38" w:rsidRDefault="00A43D38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0BFA86EA" w14:textId="25168478" w:rsidR="00AC3292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6BE4B1AE" w14:textId="3F8141FE" w:rsidR="00AC3292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5CCD88C2" w14:textId="5404725C" w:rsidR="00AC3292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49A4253D" w14:textId="77777777" w:rsidR="00AC3292" w:rsidRDefault="00AC3292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1BDF7F65" w14:textId="77777777" w:rsidR="00A43D38" w:rsidRDefault="00A43D38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</w:p>
    <w:p w14:paraId="6827150A" w14:textId="77777777" w:rsidR="002F1B24" w:rsidRPr="002F1B24" w:rsidRDefault="002F1B24" w:rsidP="002F1B24">
      <w:pPr>
        <w:spacing w:after="0" w:line="240" w:lineRule="auto"/>
        <w:ind w:right="-765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Lazdiņa 67876169</w:t>
      </w:r>
    </w:p>
    <w:p w14:paraId="3E5F082F" w14:textId="77777777" w:rsidR="00F50D7D" w:rsidRDefault="004427CB" w:rsidP="00DC755F">
      <w:pPr>
        <w:spacing w:after="0" w:line="240" w:lineRule="auto"/>
        <w:ind w:right="-765"/>
        <w:rPr>
          <w:rFonts w:ascii="Times New Roman" w:eastAsia="Calibri" w:hAnsi="Times New Roman" w:cs="Times New Roman"/>
        </w:rPr>
      </w:pPr>
      <w:hyperlink r:id="rId8" w:history="1">
        <w:r w:rsidR="00CE5F59" w:rsidRPr="002C1C7E">
          <w:rPr>
            <w:rStyle w:val="Hyperlink"/>
            <w:rFonts w:ascii="Times New Roman" w:eastAsia="Times New Roman" w:hAnsi="Times New Roman" w:cs="Times New Roman"/>
            <w:lang w:eastAsia="lv-LV"/>
          </w:rPr>
          <w:t>Ivita.Lazdiņa@vm.gov.lv</w:t>
        </w:r>
      </w:hyperlink>
    </w:p>
    <w:sectPr w:rsidR="00F50D7D" w:rsidSect="00597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709" w:left="156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7EE4" w14:textId="77777777" w:rsidR="00070523" w:rsidRDefault="00070523">
      <w:pPr>
        <w:spacing w:after="0" w:line="240" w:lineRule="auto"/>
      </w:pPr>
      <w:r>
        <w:separator/>
      </w:r>
    </w:p>
  </w:endnote>
  <w:endnote w:type="continuationSeparator" w:id="0">
    <w:p w14:paraId="50FA41E5" w14:textId="77777777" w:rsidR="00070523" w:rsidRDefault="0007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E30E" w14:textId="77777777" w:rsidR="006C173B" w:rsidRDefault="006C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461D" w14:textId="6957D1E7" w:rsidR="006572D7" w:rsidRPr="00894C55" w:rsidRDefault="00A11E3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</w:t>
    </w:r>
    <w:r w:rsidR="008F1634">
      <w:rPr>
        <w:rFonts w:ascii="Times New Roman" w:hAnsi="Times New Roman" w:cs="Times New Roman"/>
        <w:sz w:val="20"/>
        <w:szCs w:val="20"/>
      </w:rPr>
      <w:t>_</w:t>
    </w:r>
    <w:r w:rsidR="003A46DB">
      <w:rPr>
        <w:rFonts w:ascii="Times New Roman" w:hAnsi="Times New Roman" w:cs="Times New Roman"/>
        <w:sz w:val="20"/>
        <w:szCs w:val="20"/>
      </w:rPr>
      <w:t>21</w:t>
    </w:r>
    <w:r w:rsidR="008342C6">
      <w:rPr>
        <w:rFonts w:ascii="Times New Roman" w:hAnsi="Times New Roman" w:cs="Times New Roman"/>
        <w:sz w:val="20"/>
        <w:szCs w:val="20"/>
      </w:rPr>
      <w:t>0120</w:t>
    </w:r>
    <w:r w:rsidR="006572D7">
      <w:rPr>
        <w:rFonts w:ascii="Times New Roman" w:hAnsi="Times New Roman" w:cs="Times New Roman"/>
        <w:sz w:val="20"/>
        <w:szCs w:val="20"/>
      </w:rPr>
      <w:t>_groz_685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3383" w14:textId="696A99BE" w:rsidR="006572D7" w:rsidRPr="009A2654" w:rsidRDefault="00A11E3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3A46DB">
      <w:rPr>
        <w:rFonts w:ascii="Times New Roman" w:hAnsi="Times New Roman" w:cs="Times New Roman"/>
        <w:sz w:val="20"/>
        <w:szCs w:val="20"/>
      </w:rPr>
      <w:t>21</w:t>
    </w:r>
    <w:r w:rsidR="008342C6">
      <w:rPr>
        <w:rFonts w:ascii="Times New Roman" w:hAnsi="Times New Roman" w:cs="Times New Roman"/>
        <w:sz w:val="20"/>
        <w:szCs w:val="20"/>
      </w:rPr>
      <w:t>0120</w:t>
    </w:r>
    <w:r w:rsidR="006572D7">
      <w:rPr>
        <w:rFonts w:ascii="Times New Roman" w:hAnsi="Times New Roman" w:cs="Times New Roman"/>
        <w:sz w:val="20"/>
        <w:szCs w:val="20"/>
      </w:rPr>
      <w:t>_groz_685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6F15" w14:textId="77777777" w:rsidR="00070523" w:rsidRDefault="00070523" w:rsidP="00894C55">
      <w:pPr>
        <w:spacing w:after="0" w:line="240" w:lineRule="auto"/>
      </w:pPr>
      <w:r>
        <w:separator/>
      </w:r>
    </w:p>
  </w:footnote>
  <w:footnote w:type="continuationSeparator" w:id="0">
    <w:p w14:paraId="65949437" w14:textId="77777777" w:rsidR="00070523" w:rsidRDefault="0007052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ACB7" w14:textId="77777777" w:rsidR="006C173B" w:rsidRDefault="006C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615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FC7E6A8" w14:textId="77777777" w:rsidR="006572D7" w:rsidRPr="00C25B49" w:rsidRDefault="006572D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E1009">
          <w:rPr>
            <w:rFonts w:ascii="Times New Roman" w:hAnsi="Times New Roman" w:cs="Times New Roman"/>
            <w:noProof/>
            <w:sz w:val="24"/>
            <w:szCs w:val="20"/>
          </w:rPr>
          <w:t>8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DD5D" w14:textId="77777777" w:rsidR="006C173B" w:rsidRDefault="006C1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96B"/>
    <w:multiLevelType w:val="hybridMultilevel"/>
    <w:tmpl w:val="C94276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F1C"/>
    <w:multiLevelType w:val="hybridMultilevel"/>
    <w:tmpl w:val="43DA5B1E"/>
    <w:lvl w:ilvl="0" w:tplc="7EA02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10456E"/>
    <w:multiLevelType w:val="hybridMultilevel"/>
    <w:tmpl w:val="F8E05CBA"/>
    <w:lvl w:ilvl="0" w:tplc="5666E9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76408C">
      <w:start w:val="1"/>
      <w:numFmt w:val="lowerLetter"/>
      <w:lvlText w:val="%2."/>
      <w:lvlJc w:val="left"/>
      <w:pPr>
        <w:ind w:left="1440" w:hanging="360"/>
      </w:pPr>
    </w:lvl>
    <w:lvl w:ilvl="2" w:tplc="85F451DE" w:tentative="1">
      <w:start w:val="1"/>
      <w:numFmt w:val="lowerRoman"/>
      <w:lvlText w:val="%3."/>
      <w:lvlJc w:val="right"/>
      <w:pPr>
        <w:ind w:left="2160" w:hanging="180"/>
      </w:pPr>
    </w:lvl>
    <w:lvl w:ilvl="3" w:tplc="1BFCDE54" w:tentative="1">
      <w:start w:val="1"/>
      <w:numFmt w:val="decimal"/>
      <w:lvlText w:val="%4."/>
      <w:lvlJc w:val="left"/>
      <w:pPr>
        <w:ind w:left="2880" w:hanging="360"/>
      </w:pPr>
    </w:lvl>
    <w:lvl w:ilvl="4" w:tplc="BEFA1370" w:tentative="1">
      <w:start w:val="1"/>
      <w:numFmt w:val="lowerLetter"/>
      <w:lvlText w:val="%5."/>
      <w:lvlJc w:val="left"/>
      <w:pPr>
        <w:ind w:left="3600" w:hanging="360"/>
      </w:pPr>
    </w:lvl>
    <w:lvl w:ilvl="5" w:tplc="F4483176" w:tentative="1">
      <w:start w:val="1"/>
      <w:numFmt w:val="lowerRoman"/>
      <w:lvlText w:val="%6."/>
      <w:lvlJc w:val="right"/>
      <w:pPr>
        <w:ind w:left="4320" w:hanging="180"/>
      </w:pPr>
    </w:lvl>
    <w:lvl w:ilvl="6" w:tplc="F2683DFE" w:tentative="1">
      <w:start w:val="1"/>
      <w:numFmt w:val="decimal"/>
      <w:lvlText w:val="%7."/>
      <w:lvlJc w:val="left"/>
      <w:pPr>
        <w:ind w:left="5040" w:hanging="360"/>
      </w:pPr>
    </w:lvl>
    <w:lvl w:ilvl="7" w:tplc="85BE5BBE" w:tentative="1">
      <w:start w:val="1"/>
      <w:numFmt w:val="lowerLetter"/>
      <w:lvlText w:val="%8."/>
      <w:lvlJc w:val="left"/>
      <w:pPr>
        <w:ind w:left="5760" w:hanging="360"/>
      </w:pPr>
    </w:lvl>
    <w:lvl w:ilvl="8" w:tplc="E692F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CC8"/>
    <w:multiLevelType w:val="hybridMultilevel"/>
    <w:tmpl w:val="EF1CB92E"/>
    <w:lvl w:ilvl="0" w:tplc="92483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12E3970"/>
    <w:multiLevelType w:val="hybridMultilevel"/>
    <w:tmpl w:val="30382EEC"/>
    <w:lvl w:ilvl="0" w:tplc="471A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54937C" w:tentative="1">
      <w:start w:val="1"/>
      <w:numFmt w:val="lowerLetter"/>
      <w:lvlText w:val="%2."/>
      <w:lvlJc w:val="left"/>
      <w:pPr>
        <w:ind w:left="1440" w:hanging="360"/>
      </w:pPr>
    </w:lvl>
    <w:lvl w:ilvl="2" w:tplc="8E444B3E" w:tentative="1">
      <w:start w:val="1"/>
      <w:numFmt w:val="lowerRoman"/>
      <w:lvlText w:val="%3."/>
      <w:lvlJc w:val="right"/>
      <w:pPr>
        <w:ind w:left="2160" w:hanging="180"/>
      </w:pPr>
    </w:lvl>
    <w:lvl w:ilvl="3" w:tplc="E6F0406C" w:tentative="1">
      <w:start w:val="1"/>
      <w:numFmt w:val="decimal"/>
      <w:lvlText w:val="%4."/>
      <w:lvlJc w:val="left"/>
      <w:pPr>
        <w:ind w:left="2880" w:hanging="360"/>
      </w:pPr>
    </w:lvl>
    <w:lvl w:ilvl="4" w:tplc="F4B0CB2A" w:tentative="1">
      <w:start w:val="1"/>
      <w:numFmt w:val="lowerLetter"/>
      <w:lvlText w:val="%5."/>
      <w:lvlJc w:val="left"/>
      <w:pPr>
        <w:ind w:left="3600" w:hanging="360"/>
      </w:pPr>
    </w:lvl>
    <w:lvl w:ilvl="5" w:tplc="BFFCD1DA" w:tentative="1">
      <w:start w:val="1"/>
      <w:numFmt w:val="lowerRoman"/>
      <w:lvlText w:val="%6."/>
      <w:lvlJc w:val="right"/>
      <w:pPr>
        <w:ind w:left="4320" w:hanging="180"/>
      </w:pPr>
    </w:lvl>
    <w:lvl w:ilvl="6" w:tplc="23F85E74" w:tentative="1">
      <w:start w:val="1"/>
      <w:numFmt w:val="decimal"/>
      <w:lvlText w:val="%7."/>
      <w:lvlJc w:val="left"/>
      <w:pPr>
        <w:ind w:left="5040" w:hanging="360"/>
      </w:pPr>
    </w:lvl>
    <w:lvl w:ilvl="7" w:tplc="E43A2134" w:tentative="1">
      <w:start w:val="1"/>
      <w:numFmt w:val="lowerLetter"/>
      <w:lvlText w:val="%8."/>
      <w:lvlJc w:val="left"/>
      <w:pPr>
        <w:ind w:left="5760" w:hanging="360"/>
      </w:pPr>
    </w:lvl>
    <w:lvl w:ilvl="8" w:tplc="4CE2D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3146"/>
    <w:multiLevelType w:val="hybridMultilevel"/>
    <w:tmpl w:val="B35A0E84"/>
    <w:lvl w:ilvl="0" w:tplc="04260001">
      <w:start w:val="1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CC0BF1"/>
    <w:multiLevelType w:val="hybridMultilevel"/>
    <w:tmpl w:val="F8E05CBA"/>
    <w:lvl w:ilvl="0" w:tplc="34B426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B8857A8" w:tentative="1">
      <w:start w:val="1"/>
      <w:numFmt w:val="lowerLetter"/>
      <w:lvlText w:val="%2."/>
      <w:lvlJc w:val="left"/>
      <w:pPr>
        <w:ind w:left="1440" w:hanging="360"/>
      </w:pPr>
    </w:lvl>
    <w:lvl w:ilvl="2" w:tplc="61E4C3AA" w:tentative="1">
      <w:start w:val="1"/>
      <w:numFmt w:val="lowerRoman"/>
      <w:lvlText w:val="%3."/>
      <w:lvlJc w:val="right"/>
      <w:pPr>
        <w:ind w:left="2160" w:hanging="180"/>
      </w:pPr>
    </w:lvl>
    <w:lvl w:ilvl="3" w:tplc="FC36298C" w:tentative="1">
      <w:start w:val="1"/>
      <w:numFmt w:val="decimal"/>
      <w:lvlText w:val="%4."/>
      <w:lvlJc w:val="left"/>
      <w:pPr>
        <w:ind w:left="2880" w:hanging="360"/>
      </w:pPr>
    </w:lvl>
    <w:lvl w:ilvl="4" w:tplc="33FCD470" w:tentative="1">
      <w:start w:val="1"/>
      <w:numFmt w:val="lowerLetter"/>
      <w:lvlText w:val="%5."/>
      <w:lvlJc w:val="left"/>
      <w:pPr>
        <w:ind w:left="3600" w:hanging="360"/>
      </w:pPr>
    </w:lvl>
    <w:lvl w:ilvl="5" w:tplc="60FC3ED8" w:tentative="1">
      <w:start w:val="1"/>
      <w:numFmt w:val="lowerRoman"/>
      <w:lvlText w:val="%6."/>
      <w:lvlJc w:val="right"/>
      <w:pPr>
        <w:ind w:left="4320" w:hanging="180"/>
      </w:pPr>
    </w:lvl>
    <w:lvl w:ilvl="6" w:tplc="2E96777C" w:tentative="1">
      <w:start w:val="1"/>
      <w:numFmt w:val="decimal"/>
      <w:lvlText w:val="%7."/>
      <w:lvlJc w:val="left"/>
      <w:pPr>
        <w:ind w:left="5040" w:hanging="360"/>
      </w:pPr>
    </w:lvl>
    <w:lvl w:ilvl="7" w:tplc="64BA90AC" w:tentative="1">
      <w:start w:val="1"/>
      <w:numFmt w:val="lowerLetter"/>
      <w:lvlText w:val="%8."/>
      <w:lvlJc w:val="left"/>
      <w:pPr>
        <w:ind w:left="5760" w:hanging="360"/>
      </w:pPr>
    </w:lvl>
    <w:lvl w:ilvl="8" w:tplc="798EB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E03"/>
    <w:multiLevelType w:val="hybridMultilevel"/>
    <w:tmpl w:val="BE96FA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5E75"/>
    <w:multiLevelType w:val="hybridMultilevel"/>
    <w:tmpl w:val="CE5E6A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BEF5810"/>
    <w:multiLevelType w:val="hybridMultilevel"/>
    <w:tmpl w:val="30382EEC"/>
    <w:lvl w:ilvl="0" w:tplc="68A63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54CC9C" w:tentative="1">
      <w:start w:val="1"/>
      <w:numFmt w:val="lowerLetter"/>
      <w:lvlText w:val="%2."/>
      <w:lvlJc w:val="left"/>
      <w:pPr>
        <w:ind w:left="1440" w:hanging="360"/>
      </w:pPr>
    </w:lvl>
    <w:lvl w:ilvl="2" w:tplc="14F2ECDE" w:tentative="1">
      <w:start w:val="1"/>
      <w:numFmt w:val="lowerRoman"/>
      <w:lvlText w:val="%3."/>
      <w:lvlJc w:val="right"/>
      <w:pPr>
        <w:ind w:left="2160" w:hanging="180"/>
      </w:pPr>
    </w:lvl>
    <w:lvl w:ilvl="3" w:tplc="92F07A0A" w:tentative="1">
      <w:start w:val="1"/>
      <w:numFmt w:val="decimal"/>
      <w:lvlText w:val="%4."/>
      <w:lvlJc w:val="left"/>
      <w:pPr>
        <w:ind w:left="2880" w:hanging="360"/>
      </w:pPr>
    </w:lvl>
    <w:lvl w:ilvl="4" w:tplc="370E6870" w:tentative="1">
      <w:start w:val="1"/>
      <w:numFmt w:val="lowerLetter"/>
      <w:lvlText w:val="%5."/>
      <w:lvlJc w:val="left"/>
      <w:pPr>
        <w:ind w:left="3600" w:hanging="360"/>
      </w:pPr>
    </w:lvl>
    <w:lvl w:ilvl="5" w:tplc="0FF4596E" w:tentative="1">
      <w:start w:val="1"/>
      <w:numFmt w:val="lowerRoman"/>
      <w:lvlText w:val="%6."/>
      <w:lvlJc w:val="right"/>
      <w:pPr>
        <w:ind w:left="4320" w:hanging="180"/>
      </w:pPr>
    </w:lvl>
    <w:lvl w:ilvl="6" w:tplc="59D46C0A" w:tentative="1">
      <w:start w:val="1"/>
      <w:numFmt w:val="decimal"/>
      <w:lvlText w:val="%7."/>
      <w:lvlJc w:val="left"/>
      <w:pPr>
        <w:ind w:left="5040" w:hanging="360"/>
      </w:pPr>
    </w:lvl>
    <w:lvl w:ilvl="7" w:tplc="24C63022" w:tentative="1">
      <w:start w:val="1"/>
      <w:numFmt w:val="lowerLetter"/>
      <w:lvlText w:val="%8."/>
      <w:lvlJc w:val="left"/>
      <w:pPr>
        <w:ind w:left="5760" w:hanging="360"/>
      </w:pPr>
    </w:lvl>
    <w:lvl w:ilvl="8" w:tplc="0B6ED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3610"/>
    <w:multiLevelType w:val="hybridMultilevel"/>
    <w:tmpl w:val="BB043AE6"/>
    <w:lvl w:ilvl="0" w:tplc="D0F6E536">
      <w:start w:val="1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426738"/>
    <w:multiLevelType w:val="hybridMultilevel"/>
    <w:tmpl w:val="520ADD3C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258A4F1C"/>
    <w:multiLevelType w:val="hybridMultilevel"/>
    <w:tmpl w:val="D40C7686"/>
    <w:lvl w:ilvl="0" w:tplc="EBAA79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8FC00A0"/>
    <w:multiLevelType w:val="hybridMultilevel"/>
    <w:tmpl w:val="2F3ED59C"/>
    <w:lvl w:ilvl="0" w:tplc="0426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 w15:restartNumberingAfterBreak="0">
    <w:nsid w:val="2E912D3F"/>
    <w:multiLevelType w:val="hybridMultilevel"/>
    <w:tmpl w:val="662AB5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3BB84EA9"/>
    <w:multiLevelType w:val="hybridMultilevel"/>
    <w:tmpl w:val="C418706C"/>
    <w:lvl w:ilvl="0" w:tplc="CA42D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FC30B6" w:tentative="1">
      <w:start w:val="1"/>
      <w:numFmt w:val="lowerLetter"/>
      <w:lvlText w:val="%2."/>
      <w:lvlJc w:val="left"/>
      <w:pPr>
        <w:ind w:left="1440" w:hanging="360"/>
      </w:pPr>
    </w:lvl>
    <w:lvl w:ilvl="2" w:tplc="3D08EE84" w:tentative="1">
      <w:start w:val="1"/>
      <w:numFmt w:val="lowerRoman"/>
      <w:lvlText w:val="%3."/>
      <w:lvlJc w:val="right"/>
      <w:pPr>
        <w:ind w:left="2160" w:hanging="180"/>
      </w:pPr>
    </w:lvl>
    <w:lvl w:ilvl="3" w:tplc="BDCAA666" w:tentative="1">
      <w:start w:val="1"/>
      <w:numFmt w:val="decimal"/>
      <w:lvlText w:val="%4."/>
      <w:lvlJc w:val="left"/>
      <w:pPr>
        <w:ind w:left="2880" w:hanging="360"/>
      </w:pPr>
    </w:lvl>
    <w:lvl w:ilvl="4" w:tplc="498C14F8" w:tentative="1">
      <w:start w:val="1"/>
      <w:numFmt w:val="lowerLetter"/>
      <w:lvlText w:val="%5."/>
      <w:lvlJc w:val="left"/>
      <w:pPr>
        <w:ind w:left="3600" w:hanging="360"/>
      </w:pPr>
    </w:lvl>
    <w:lvl w:ilvl="5" w:tplc="E1CE29FE" w:tentative="1">
      <w:start w:val="1"/>
      <w:numFmt w:val="lowerRoman"/>
      <w:lvlText w:val="%6."/>
      <w:lvlJc w:val="right"/>
      <w:pPr>
        <w:ind w:left="4320" w:hanging="180"/>
      </w:pPr>
    </w:lvl>
    <w:lvl w:ilvl="6" w:tplc="695A267C" w:tentative="1">
      <w:start w:val="1"/>
      <w:numFmt w:val="decimal"/>
      <w:lvlText w:val="%7."/>
      <w:lvlJc w:val="left"/>
      <w:pPr>
        <w:ind w:left="5040" w:hanging="360"/>
      </w:pPr>
    </w:lvl>
    <w:lvl w:ilvl="7" w:tplc="C12E8D26" w:tentative="1">
      <w:start w:val="1"/>
      <w:numFmt w:val="lowerLetter"/>
      <w:lvlText w:val="%8."/>
      <w:lvlJc w:val="left"/>
      <w:pPr>
        <w:ind w:left="5760" w:hanging="360"/>
      </w:pPr>
    </w:lvl>
    <w:lvl w:ilvl="8" w:tplc="8F9CF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7174"/>
    <w:multiLevelType w:val="hybridMultilevel"/>
    <w:tmpl w:val="3DD0A8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1">
    <w:nsid w:val="422C5C33"/>
    <w:multiLevelType w:val="hybridMultilevel"/>
    <w:tmpl w:val="2DA2290A"/>
    <w:lvl w:ilvl="0" w:tplc="A2AC4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626DE6" w:tentative="1">
      <w:start w:val="1"/>
      <w:numFmt w:val="lowerLetter"/>
      <w:lvlText w:val="%2."/>
      <w:lvlJc w:val="left"/>
      <w:pPr>
        <w:ind w:left="1440" w:hanging="360"/>
      </w:pPr>
    </w:lvl>
    <w:lvl w:ilvl="2" w:tplc="70B68C3C" w:tentative="1">
      <w:start w:val="1"/>
      <w:numFmt w:val="lowerRoman"/>
      <w:lvlText w:val="%3."/>
      <w:lvlJc w:val="right"/>
      <w:pPr>
        <w:ind w:left="2160" w:hanging="180"/>
      </w:pPr>
    </w:lvl>
    <w:lvl w:ilvl="3" w:tplc="7340D90A" w:tentative="1">
      <w:start w:val="1"/>
      <w:numFmt w:val="decimal"/>
      <w:lvlText w:val="%4."/>
      <w:lvlJc w:val="left"/>
      <w:pPr>
        <w:ind w:left="2880" w:hanging="360"/>
      </w:pPr>
    </w:lvl>
    <w:lvl w:ilvl="4" w:tplc="E79267AE" w:tentative="1">
      <w:start w:val="1"/>
      <w:numFmt w:val="lowerLetter"/>
      <w:lvlText w:val="%5."/>
      <w:lvlJc w:val="left"/>
      <w:pPr>
        <w:ind w:left="3600" w:hanging="360"/>
      </w:pPr>
    </w:lvl>
    <w:lvl w:ilvl="5" w:tplc="EA1CC1DC" w:tentative="1">
      <w:start w:val="1"/>
      <w:numFmt w:val="lowerRoman"/>
      <w:lvlText w:val="%6."/>
      <w:lvlJc w:val="right"/>
      <w:pPr>
        <w:ind w:left="4320" w:hanging="180"/>
      </w:pPr>
    </w:lvl>
    <w:lvl w:ilvl="6" w:tplc="B964E3DE" w:tentative="1">
      <w:start w:val="1"/>
      <w:numFmt w:val="decimal"/>
      <w:lvlText w:val="%7."/>
      <w:lvlJc w:val="left"/>
      <w:pPr>
        <w:ind w:left="5040" w:hanging="360"/>
      </w:pPr>
    </w:lvl>
    <w:lvl w:ilvl="7" w:tplc="4C18BB86" w:tentative="1">
      <w:start w:val="1"/>
      <w:numFmt w:val="lowerLetter"/>
      <w:lvlText w:val="%8."/>
      <w:lvlJc w:val="left"/>
      <w:pPr>
        <w:ind w:left="5760" w:hanging="360"/>
      </w:pPr>
    </w:lvl>
    <w:lvl w:ilvl="8" w:tplc="B76C2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D3F53"/>
    <w:multiLevelType w:val="hybridMultilevel"/>
    <w:tmpl w:val="D0026AFE"/>
    <w:lvl w:ilvl="0" w:tplc="F29A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7F65964"/>
    <w:multiLevelType w:val="hybridMultilevel"/>
    <w:tmpl w:val="BE3209E2"/>
    <w:lvl w:ilvl="0" w:tplc="E626D5BE">
      <w:start w:val="1"/>
      <w:numFmt w:val="decimal"/>
      <w:lvlText w:val="%1)"/>
      <w:lvlJc w:val="left"/>
      <w:pPr>
        <w:ind w:left="720" w:hanging="360"/>
      </w:pPr>
    </w:lvl>
    <w:lvl w:ilvl="1" w:tplc="7414A29C" w:tentative="1">
      <w:start w:val="1"/>
      <w:numFmt w:val="lowerLetter"/>
      <w:lvlText w:val="%2."/>
      <w:lvlJc w:val="left"/>
      <w:pPr>
        <w:ind w:left="1440" w:hanging="360"/>
      </w:pPr>
    </w:lvl>
    <w:lvl w:ilvl="2" w:tplc="C3BA62DC" w:tentative="1">
      <w:start w:val="1"/>
      <w:numFmt w:val="lowerRoman"/>
      <w:lvlText w:val="%3."/>
      <w:lvlJc w:val="right"/>
      <w:pPr>
        <w:ind w:left="2160" w:hanging="180"/>
      </w:pPr>
    </w:lvl>
    <w:lvl w:ilvl="3" w:tplc="11BCD068" w:tentative="1">
      <w:start w:val="1"/>
      <w:numFmt w:val="decimal"/>
      <w:lvlText w:val="%4."/>
      <w:lvlJc w:val="left"/>
      <w:pPr>
        <w:ind w:left="2880" w:hanging="360"/>
      </w:pPr>
    </w:lvl>
    <w:lvl w:ilvl="4" w:tplc="E2DEE6C6" w:tentative="1">
      <w:start w:val="1"/>
      <w:numFmt w:val="lowerLetter"/>
      <w:lvlText w:val="%5."/>
      <w:lvlJc w:val="left"/>
      <w:pPr>
        <w:ind w:left="3600" w:hanging="360"/>
      </w:pPr>
    </w:lvl>
    <w:lvl w:ilvl="5" w:tplc="C7E8C4D6" w:tentative="1">
      <w:start w:val="1"/>
      <w:numFmt w:val="lowerRoman"/>
      <w:lvlText w:val="%6."/>
      <w:lvlJc w:val="right"/>
      <w:pPr>
        <w:ind w:left="4320" w:hanging="180"/>
      </w:pPr>
    </w:lvl>
    <w:lvl w:ilvl="6" w:tplc="EEF6F3C2" w:tentative="1">
      <w:start w:val="1"/>
      <w:numFmt w:val="decimal"/>
      <w:lvlText w:val="%7."/>
      <w:lvlJc w:val="left"/>
      <w:pPr>
        <w:ind w:left="5040" w:hanging="360"/>
      </w:pPr>
    </w:lvl>
    <w:lvl w:ilvl="7" w:tplc="06EE4904" w:tentative="1">
      <w:start w:val="1"/>
      <w:numFmt w:val="lowerLetter"/>
      <w:lvlText w:val="%8."/>
      <w:lvlJc w:val="left"/>
      <w:pPr>
        <w:ind w:left="5760" w:hanging="360"/>
      </w:pPr>
    </w:lvl>
    <w:lvl w:ilvl="8" w:tplc="8F72A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C2445BD"/>
    <w:multiLevelType w:val="hybridMultilevel"/>
    <w:tmpl w:val="59E89120"/>
    <w:lvl w:ilvl="0" w:tplc="8C1A4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2495DE" w:tentative="1">
      <w:start w:val="1"/>
      <w:numFmt w:val="lowerLetter"/>
      <w:lvlText w:val="%2."/>
      <w:lvlJc w:val="left"/>
      <w:pPr>
        <w:ind w:left="1440" w:hanging="360"/>
      </w:pPr>
    </w:lvl>
    <w:lvl w:ilvl="2" w:tplc="EFF88A74" w:tentative="1">
      <w:start w:val="1"/>
      <w:numFmt w:val="lowerRoman"/>
      <w:lvlText w:val="%3."/>
      <w:lvlJc w:val="right"/>
      <w:pPr>
        <w:ind w:left="2160" w:hanging="180"/>
      </w:pPr>
    </w:lvl>
    <w:lvl w:ilvl="3" w:tplc="0A70E72A" w:tentative="1">
      <w:start w:val="1"/>
      <w:numFmt w:val="decimal"/>
      <w:lvlText w:val="%4."/>
      <w:lvlJc w:val="left"/>
      <w:pPr>
        <w:ind w:left="2880" w:hanging="360"/>
      </w:pPr>
    </w:lvl>
    <w:lvl w:ilvl="4" w:tplc="B44C5262" w:tentative="1">
      <w:start w:val="1"/>
      <w:numFmt w:val="lowerLetter"/>
      <w:lvlText w:val="%5."/>
      <w:lvlJc w:val="left"/>
      <w:pPr>
        <w:ind w:left="3600" w:hanging="360"/>
      </w:pPr>
    </w:lvl>
    <w:lvl w:ilvl="5" w:tplc="E8BC1CE8" w:tentative="1">
      <w:start w:val="1"/>
      <w:numFmt w:val="lowerRoman"/>
      <w:lvlText w:val="%6."/>
      <w:lvlJc w:val="right"/>
      <w:pPr>
        <w:ind w:left="4320" w:hanging="180"/>
      </w:pPr>
    </w:lvl>
    <w:lvl w:ilvl="6" w:tplc="44C4AA72" w:tentative="1">
      <w:start w:val="1"/>
      <w:numFmt w:val="decimal"/>
      <w:lvlText w:val="%7."/>
      <w:lvlJc w:val="left"/>
      <w:pPr>
        <w:ind w:left="5040" w:hanging="360"/>
      </w:pPr>
    </w:lvl>
    <w:lvl w:ilvl="7" w:tplc="497ECBE2" w:tentative="1">
      <w:start w:val="1"/>
      <w:numFmt w:val="lowerLetter"/>
      <w:lvlText w:val="%8."/>
      <w:lvlJc w:val="left"/>
      <w:pPr>
        <w:ind w:left="5760" w:hanging="360"/>
      </w:pPr>
    </w:lvl>
    <w:lvl w:ilvl="8" w:tplc="4D202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EAE3CE4"/>
    <w:multiLevelType w:val="hybridMultilevel"/>
    <w:tmpl w:val="85FCAC62"/>
    <w:lvl w:ilvl="0" w:tplc="CC60F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7A3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D08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72D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2E59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464B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6A1C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5879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5C72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671D09"/>
    <w:multiLevelType w:val="hybridMultilevel"/>
    <w:tmpl w:val="91D667C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02ABE"/>
    <w:multiLevelType w:val="hybridMultilevel"/>
    <w:tmpl w:val="197881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E7E4074"/>
    <w:multiLevelType w:val="hybridMultilevel"/>
    <w:tmpl w:val="BE3209E2"/>
    <w:lvl w:ilvl="0" w:tplc="47BC7C6A">
      <w:start w:val="1"/>
      <w:numFmt w:val="decimal"/>
      <w:lvlText w:val="%1)"/>
      <w:lvlJc w:val="left"/>
      <w:pPr>
        <w:ind w:left="720" w:hanging="360"/>
      </w:pPr>
    </w:lvl>
    <w:lvl w:ilvl="1" w:tplc="51048AF8" w:tentative="1">
      <w:start w:val="1"/>
      <w:numFmt w:val="lowerLetter"/>
      <w:lvlText w:val="%2."/>
      <w:lvlJc w:val="left"/>
      <w:pPr>
        <w:ind w:left="1440" w:hanging="360"/>
      </w:pPr>
    </w:lvl>
    <w:lvl w:ilvl="2" w:tplc="F872B134" w:tentative="1">
      <w:start w:val="1"/>
      <w:numFmt w:val="lowerRoman"/>
      <w:lvlText w:val="%3."/>
      <w:lvlJc w:val="right"/>
      <w:pPr>
        <w:ind w:left="2160" w:hanging="180"/>
      </w:pPr>
    </w:lvl>
    <w:lvl w:ilvl="3" w:tplc="AA0E53EE" w:tentative="1">
      <w:start w:val="1"/>
      <w:numFmt w:val="decimal"/>
      <w:lvlText w:val="%4."/>
      <w:lvlJc w:val="left"/>
      <w:pPr>
        <w:ind w:left="2880" w:hanging="360"/>
      </w:pPr>
    </w:lvl>
    <w:lvl w:ilvl="4" w:tplc="2C96E45C" w:tentative="1">
      <w:start w:val="1"/>
      <w:numFmt w:val="lowerLetter"/>
      <w:lvlText w:val="%5."/>
      <w:lvlJc w:val="left"/>
      <w:pPr>
        <w:ind w:left="3600" w:hanging="360"/>
      </w:pPr>
    </w:lvl>
    <w:lvl w:ilvl="5" w:tplc="292E1EFC" w:tentative="1">
      <w:start w:val="1"/>
      <w:numFmt w:val="lowerRoman"/>
      <w:lvlText w:val="%6."/>
      <w:lvlJc w:val="right"/>
      <w:pPr>
        <w:ind w:left="4320" w:hanging="180"/>
      </w:pPr>
    </w:lvl>
    <w:lvl w:ilvl="6" w:tplc="33FA59DC" w:tentative="1">
      <w:start w:val="1"/>
      <w:numFmt w:val="decimal"/>
      <w:lvlText w:val="%7."/>
      <w:lvlJc w:val="left"/>
      <w:pPr>
        <w:ind w:left="5040" w:hanging="360"/>
      </w:pPr>
    </w:lvl>
    <w:lvl w:ilvl="7" w:tplc="A8AECAB4" w:tentative="1">
      <w:start w:val="1"/>
      <w:numFmt w:val="lowerLetter"/>
      <w:lvlText w:val="%8."/>
      <w:lvlJc w:val="left"/>
      <w:pPr>
        <w:ind w:left="5760" w:hanging="360"/>
      </w:pPr>
    </w:lvl>
    <w:lvl w:ilvl="8" w:tplc="0178B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49F9"/>
    <w:multiLevelType w:val="hybridMultilevel"/>
    <w:tmpl w:val="01627A96"/>
    <w:lvl w:ilvl="0" w:tplc="8DE63A5E">
      <w:start w:val="1"/>
      <w:numFmt w:val="decimal"/>
      <w:lvlText w:val="%1"/>
      <w:lvlJc w:val="left"/>
      <w:pPr>
        <w:ind w:left="69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17" w:hanging="360"/>
      </w:pPr>
    </w:lvl>
    <w:lvl w:ilvl="2" w:tplc="0426001B" w:tentative="1">
      <w:start w:val="1"/>
      <w:numFmt w:val="lowerRoman"/>
      <w:lvlText w:val="%3."/>
      <w:lvlJc w:val="right"/>
      <w:pPr>
        <w:ind w:left="2137" w:hanging="180"/>
      </w:pPr>
    </w:lvl>
    <w:lvl w:ilvl="3" w:tplc="0426000F" w:tentative="1">
      <w:start w:val="1"/>
      <w:numFmt w:val="decimal"/>
      <w:lvlText w:val="%4."/>
      <w:lvlJc w:val="left"/>
      <w:pPr>
        <w:ind w:left="2857" w:hanging="360"/>
      </w:pPr>
    </w:lvl>
    <w:lvl w:ilvl="4" w:tplc="04260019" w:tentative="1">
      <w:start w:val="1"/>
      <w:numFmt w:val="lowerLetter"/>
      <w:lvlText w:val="%5."/>
      <w:lvlJc w:val="left"/>
      <w:pPr>
        <w:ind w:left="3577" w:hanging="360"/>
      </w:pPr>
    </w:lvl>
    <w:lvl w:ilvl="5" w:tplc="0426001B" w:tentative="1">
      <w:start w:val="1"/>
      <w:numFmt w:val="lowerRoman"/>
      <w:lvlText w:val="%6."/>
      <w:lvlJc w:val="right"/>
      <w:pPr>
        <w:ind w:left="4297" w:hanging="180"/>
      </w:pPr>
    </w:lvl>
    <w:lvl w:ilvl="6" w:tplc="0426000F" w:tentative="1">
      <w:start w:val="1"/>
      <w:numFmt w:val="decimal"/>
      <w:lvlText w:val="%7."/>
      <w:lvlJc w:val="left"/>
      <w:pPr>
        <w:ind w:left="5017" w:hanging="360"/>
      </w:pPr>
    </w:lvl>
    <w:lvl w:ilvl="7" w:tplc="04260019" w:tentative="1">
      <w:start w:val="1"/>
      <w:numFmt w:val="lowerLetter"/>
      <w:lvlText w:val="%8."/>
      <w:lvlJc w:val="left"/>
      <w:pPr>
        <w:ind w:left="5737" w:hanging="360"/>
      </w:pPr>
    </w:lvl>
    <w:lvl w:ilvl="8" w:tplc="0426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6" w15:restartNumberingAfterBreak="1">
    <w:nsid w:val="6A3710B3"/>
    <w:multiLevelType w:val="multilevel"/>
    <w:tmpl w:val="A7B077A4"/>
    <w:lvl w:ilvl="0">
      <w:start w:val="1"/>
      <w:numFmt w:val="decimal"/>
      <w:pStyle w:val="Virsraksti1"/>
      <w:isLgl/>
      <w:suff w:val="space"/>
      <w:lvlText w:val="%1."/>
      <w:lvlJc w:val="left"/>
      <w:pPr>
        <w:ind w:left="1561" w:hanging="156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Restart w:val="0"/>
      <w:pStyle w:val="Virsraksti2"/>
      <w:isLgl/>
      <w:suff w:val="space"/>
      <w:lvlText w:val="%1.%2."/>
      <w:lvlJc w:val="left"/>
      <w:pPr>
        <w:ind w:left="284" w:firstLine="284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Restart w:val="0"/>
      <w:pStyle w:val="Virsraksti3"/>
      <w:isLgl/>
      <w:suff w:val="space"/>
      <w:lvlText w:val="%1.%2.%3."/>
      <w:lvlJc w:val="left"/>
      <w:pPr>
        <w:ind w:left="142" w:firstLine="284"/>
      </w:pPr>
      <w:rPr>
        <w:rFonts w:ascii="Times New Roman Bold" w:hAnsi="Times New Roman Bold" w:hint="default"/>
        <w:b/>
        <w:i w:val="0"/>
        <w:spacing w:val="0"/>
        <w:w w:val="100"/>
        <w:position w:val="0"/>
        <w:sz w:val="24"/>
      </w:rPr>
    </w:lvl>
    <w:lvl w:ilvl="3">
      <w:start w:val="41"/>
      <w:numFmt w:val="none"/>
      <w:lvlRestart w:val="0"/>
      <w:pStyle w:val="Statuti"/>
      <w:isLgl/>
      <w:suff w:val="space"/>
      <w:lvlText w:val=""/>
      <w:lvlJc w:val="left"/>
      <w:pPr>
        <w:ind w:left="0" w:firstLine="284"/>
      </w:pPr>
      <w:rPr>
        <w:rFonts w:ascii="Arial Narrow" w:hAnsi="Arial Narrow" w:hint="default"/>
        <w:b/>
        <w:i w:val="0"/>
        <w:sz w:val="28"/>
      </w:rPr>
    </w:lvl>
    <w:lvl w:ilvl="4">
      <w:start w:val="4"/>
      <w:numFmt w:val="decimal"/>
      <w:pStyle w:val="Virsraksti4"/>
      <w:isLgl/>
      <w:suff w:val="space"/>
      <w:lvlText w:val="%1.%2.%3.%5"/>
      <w:lvlJc w:val="left"/>
      <w:pPr>
        <w:ind w:left="1843" w:firstLine="284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.%1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70E83950"/>
    <w:multiLevelType w:val="hybridMultilevel"/>
    <w:tmpl w:val="E63403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B33EA"/>
    <w:multiLevelType w:val="hybridMultilevel"/>
    <w:tmpl w:val="C03E8F26"/>
    <w:lvl w:ilvl="0" w:tplc="66822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8DD7A03"/>
    <w:multiLevelType w:val="hybridMultilevel"/>
    <w:tmpl w:val="7BF8695E"/>
    <w:lvl w:ilvl="0" w:tplc="030C464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2BCC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88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6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AD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8C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B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84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2E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04DB6"/>
    <w:multiLevelType w:val="hybridMultilevel"/>
    <w:tmpl w:val="5EDA508A"/>
    <w:lvl w:ilvl="0" w:tplc="E1AE7058">
      <w:start w:val="1"/>
      <w:numFmt w:val="decimal"/>
      <w:lvlText w:val="%1"/>
      <w:lvlJc w:val="left"/>
      <w:pPr>
        <w:ind w:left="33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57" w:hanging="360"/>
      </w:pPr>
    </w:lvl>
    <w:lvl w:ilvl="2" w:tplc="0426001B" w:tentative="1">
      <w:start w:val="1"/>
      <w:numFmt w:val="lowerRoman"/>
      <w:lvlText w:val="%3."/>
      <w:lvlJc w:val="right"/>
      <w:pPr>
        <w:ind w:left="1777" w:hanging="180"/>
      </w:pPr>
    </w:lvl>
    <w:lvl w:ilvl="3" w:tplc="0426000F" w:tentative="1">
      <w:start w:val="1"/>
      <w:numFmt w:val="decimal"/>
      <w:lvlText w:val="%4."/>
      <w:lvlJc w:val="left"/>
      <w:pPr>
        <w:ind w:left="2497" w:hanging="360"/>
      </w:pPr>
    </w:lvl>
    <w:lvl w:ilvl="4" w:tplc="04260019" w:tentative="1">
      <w:start w:val="1"/>
      <w:numFmt w:val="lowerLetter"/>
      <w:lvlText w:val="%5."/>
      <w:lvlJc w:val="left"/>
      <w:pPr>
        <w:ind w:left="3217" w:hanging="360"/>
      </w:pPr>
    </w:lvl>
    <w:lvl w:ilvl="5" w:tplc="0426001B" w:tentative="1">
      <w:start w:val="1"/>
      <w:numFmt w:val="lowerRoman"/>
      <w:lvlText w:val="%6."/>
      <w:lvlJc w:val="right"/>
      <w:pPr>
        <w:ind w:left="3937" w:hanging="180"/>
      </w:pPr>
    </w:lvl>
    <w:lvl w:ilvl="6" w:tplc="0426000F" w:tentative="1">
      <w:start w:val="1"/>
      <w:numFmt w:val="decimal"/>
      <w:lvlText w:val="%7."/>
      <w:lvlJc w:val="left"/>
      <w:pPr>
        <w:ind w:left="4657" w:hanging="360"/>
      </w:pPr>
    </w:lvl>
    <w:lvl w:ilvl="7" w:tplc="04260019" w:tentative="1">
      <w:start w:val="1"/>
      <w:numFmt w:val="lowerLetter"/>
      <w:lvlText w:val="%8."/>
      <w:lvlJc w:val="left"/>
      <w:pPr>
        <w:ind w:left="5377" w:hanging="360"/>
      </w:pPr>
    </w:lvl>
    <w:lvl w:ilvl="8" w:tplc="0426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1" w15:restartNumberingAfterBreak="1">
    <w:nsid w:val="7DF57381"/>
    <w:multiLevelType w:val="hybridMultilevel"/>
    <w:tmpl w:val="A8C400A2"/>
    <w:lvl w:ilvl="0" w:tplc="B42EF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28AA8A" w:tentative="1">
      <w:start w:val="1"/>
      <w:numFmt w:val="lowerLetter"/>
      <w:lvlText w:val="%2."/>
      <w:lvlJc w:val="left"/>
      <w:pPr>
        <w:ind w:left="1440" w:hanging="360"/>
      </w:pPr>
    </w:lvl>
    <w:lvl w:ilvl="2" w:tplc="0F603318" w:tentative="1">
      <w:start w:val="1"/>
      <w:numFmt w:val="lowerRoman"/>
      <w:lvlText w:val="%3."/>
      <w:lvlJc w:val="right"/>
      <w:pPr>
        <w:ind w:left="2160" w:hanging="180"/>
      </w:pPr>
    </w:lvl>
    <w:lvl w:ilvl="3" w:tplc="9BDA6836" w:tentative="1">
      <w:start w:val="1"/>
      <w:numFmt w:val="decimal"/>
      <w:lvlText w:val="%4."/>
      <w:lvlJc w:val="left"/>
      <w:pPr>
        <w:ind w:left="2880" w:hanging="360"/>
      </w:pPr>
    </w:lvl>
    <w:lvl w:ilvl="4" w:tplc="5B60D5CC" w:tentative="1">
      <w:start w:val="1"/>
      <w:numFmt w:val="lowerLetter"/>
      <w:lvlText w:val="%5."/>
      <w:lvlJc w:val="left"/>
      <w:pPr>
        <w:ind w:left="3600" w:hanging="360"/>
      </w:pPr>
    </w:lvl>
    <w:lvl w:ilvl="5" w:tplc="AE2416FE" w:tentative="1">
      <w:start w:val="1"/>
      <w:numFmt w:val="lowerRoman"/>
      <w:lvlText w:val="%6."/>
      <w:lvlJc w:val="right"/>
      <w:pPr>
        <w:ind w:left="4320" w:hanging="180"/>
      </w:pPr>
    </w:lvl>
    <w:lvl w:ilvl="6" w:tplc="4C96943E" w:tentative="1">
      <w:start w:val="1"/>
      <w:numFmt w:val="decimal"/>
      <w:lvlText w:val="%7."/>
      <w:lvlJc w:val="left"/>
      <w:pPr>
        <w:ind w:left="5040" w:hanging="360"/>
      </w:pPr>
    </w:lvl>
    <w:lvl w:ilvl="7" w:tplc="73088D46" w:tentative="1">
      <w:start w:val="1"/>
      <w:numFmt w:val="lowerLetter"/>
      <w:lvlText w:val="%8."/>
      <w:lvlJc w:val="left"/>
      <w:pPr>
        <w:ind w:left="5760" w:hanging="360"/>
      </w:pPr>
    </w:lvl>
    <w:lvl w:ilvl="8" w:tplc="5DE20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12A31"/>
    <w:multiLevelType w:val="hybridMultilevel"/>
    <w:tmpl w:val="C128C218"/>
    <w:lvl w:ilvl="0" w:tplc="C84A6B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297C"/>
    <w:multiLevelType w:val="hybridMultilevel"/>
    <w:tmpl w:val="78BA0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1"/>
  </w:num>
  <w:num w:numId="4">
    <w:abstractNumId w:val="21"/>
  </w:num>
  <w:num w:numId="5">
    <w:abstractNumId w:val="6"/>
  </w:num>
  <w:num w:numId="6">
    <w:abstractNumId w:val="9"/>
  </w:num>
  <w:num w:numId="7">
    <w:abstractNumId w:val="15"/>
  </w:num>
  <w:num w:numId="8">
    <w:abstractNumId w:val="20"/>
  </w:num>
  <w:num w:numId="9">
    <w:abstractNumId w:val="4"/>
  </w:num>
  <w:num w:numId="10">
    <w:abstractNumId w:val="24"/>
  </w:num>
  <w:num w:numId="11">
    <w:abstractNumId w:val="19"/>
  </w:num>
  <w:num w:numId="12">
    <w:abstractNumId w:val="26"/>
  </w:num>
  <w:num w:numId="13">
    <w:abstractNumId w:val="29"/>
  </w:num>
  <w:num w:numId="14">
    <w:abstractNumId w:val="5"/>
  </w:num>
  <w:num w:numId="15">
    <w:abstractNumId w:val="7"/>
  </w:num>
  <w:num w:numId="16">
    <w:abstractNumId w:val="3"/>
  </w:num>
  <w:num w:numId="17">
    <w:abstractNumId w:val="33"/>
  </w:num>
  <w:num w:numId="18">
    <w:abstractNumId w:val="23"/>
  </w:num>
  <w:num w:numId="19">
    <w:abstractNumId w:val="12"/>
  </w:num>
  <w:num w:numId="20">
    <w:abstractNumId w:val="11"/>
  </w:num>
  <w:num w:numId="21">
    <w:abstractNumId w:val="27"/>
  </w:num>
  <w:num w:numId="22">
    <w:abstractNumId w:val="32"/>
  </w:num>
  <w:num w:numId="23">
    <w:abstractNumId w:val="30"/>
  </w:num>
  <w:num w:numId="24">
    <w:abstractNumId w:val="25"/>
  </w:num>
  <w:num w:numId="25">
    <w:abstractNumId w:val="16"/>
  </w:num>
  <w:num w:numId="26">
    <w:abstractNumId w:val="10"/>
  </w:num>
  <w:num w:numId="27">
    <w:abstractNumId w:val="22"/>
  </w:num>
  <w:num w:numId="28">
    <w:abstractNumId w:val="8"/>
  </w:num>
  <w:num w:numId="29">
    <w:abstractNumId w:val="13"/>
  </w:num>
  <w:num w:numId="30">
    <w:abstractNumId w:val="0"/>
  </w:num>
  <w:num w:numId="31">
    <w:abstractNumId w:val="14"/>
  </w:num>
  <w:num w:numId="32">
    <w:abstractNumId w:val="28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58C"/>
    <w:rsid w:val="000010DA"/>
    <w:rsid w:val="0000163E"/>
    <w:rsid w:val="00001C7E"/>
    <w:rsid w:val="00003988"/>
    <w:rsid w:val="000041D7"/>
    <w:rsid w:val="00005F52"/>
    <w:rsid w:val="00006587"/>
    <w:rsid w:val="00006C10"/>
    <w:rsid w:val="0000765B"/>
    <w:rsid w:val="00007FDE"/>
    <w:rsid w:val="0001132D"/>
    <w:rsid w:val="000128DA"/>
    <w:rsid w:val="00013169"/>
    <w:rsid w:val="00014DA4"/>
    <w:rsid w:val="00014F01"/>
    <w:rsid w:val="000152BB"/>
    <w:rsid w:val="0002130B"/>
    <w:rsid w:val="0002186F"/>
    <w:rsid w:val="00022406"/>
    <w:rsid w:val="00023A15"/>
    <w:rsid w:val="00030CFB"/>
    <w:rsid w:val="000319E6"/>
    <w:rsid w:val="0004068C"/>
    <w:rsid w:val="000426D9"/>
    <w:rsid w:val="00042D84"/>
    <w:rsid w:val="00045286"/>
    <w:rsid w:val="000464EC"/>
    <w:rsid w:val="00052DCF"/>
    <w:rsid w:val="00053177"/>
    <w:rsid w:val="000533B4"/>
    <w:rsid w:val="0005421D"/>
    <w:rsid w:val="00055186"/>
    <w:rsid w:val="0006306D"/>
    <w:rsid w:val="00063099"/>
    <w:rsid w:val="00070016"/>
    <w:rsid w:val="00070523"/>
    <w:rsid w:val="0007216E"/>
    <w:rsid w:val="000769CF"/>
    <w:rsid w:val="000811BD"/>
    <w:rsid w:val="00081216"/>
    <w:rsid w:val="000817C9"/>
    <w:rsid w:val="00084ECD"/>
    <w:rsid w:val="000860ED"/>
    <w:rsid w:val="0008612A"/>
    <w:rsid w:val="00092EEB"/>
    <w:rsid w:val="00093123"/>
    <w:rsid w:val="00096160"/>
    <w:rsid w:val="00097626"/>
    <w:rsid w:val="00097FC9"/>
    <w:rsid w:val="000A0240"/>
    <w:rsid w:val="000A1213"/>
    <w:rsid w:val="000A516D"/>
    <w:rsid w:val="000A61A7"/>
    <w:rsid w:val="000A6409"/>
    <w:rsid w:val="000A6A51"/>
    <w:rsid w:val="000A7605"/>
    <w:rsid w:val="000B1774"/>
    <w:rsid w:val="000B235C"/>
    <w:rsid w:val="000B42BE"/>
    <w:rsid w:val="000B754E"/>
    <w:rsid w:val="000B7D84"/>
    <w:rsid w:val="000C2119"/>
    <w:rsid w:val="000C311E"/>
    <w:rsid w:val="000C3F5C"/>
    <w:rsid w:val="000C48C6"/>
    <w:rsid w:val="000C57B7"/>
    <w:rsid w:val="000D0808"/>
    <w:rsid w:val="000D0EE1"/>
    <w:rsid w:val="000D1F15"/>
    <w:rsid w:val="000D4878"/>
    <w:rsid w:val="000D7296"/>
    <w:rsid w:val="000E14BC"/>
    <w:rsid w:val="000E15C0"/>
    <w:rsid w:val="000E2056"/>
    <w:rsid w:val="000E2C5D"/>
    <w:rsid w:val="000E413F"/>
    <w:rsid w:val="000E4559"/>
    <w:rsid w:val="000F0030"/>
    <w:rsid w:val="000F37B1"/>
    <w:rsid w:val="000F37FD"/>
    <w:rsid w:val="000F482B"/>
    <w:rsid w:val="000F54F6"/>
    <w:rsid w:val="00106FEE"/>
    <w:rsid w:val="00111F87"/>
    <w:rsid w:val="0011278D"/>
    <w:rsid w:val="00112B03"/>
    <w:rsid w:val="00125A13"/>
    <w:rsid w:val="001260E3"/>
    <w:rsid w:val="00126C38"/>
    <w:rsid w:val="001277DC"/>
    <w:rsid w:val="00127B95"/>
    <w:rsid w:val="00132444"/>
    <w:rsid w:val="00132A1C"/>
    <w:rsid w:val="00140C22"/>
    <w:rsid w:val="0014250E"/>
    <w:rsid w:val="001440D9"/>
    <w:rsid w:val="0014567E"/>
    <w:rsid w:val="00152DE2"/>
    <w:rsid w:val="00155FDC"/>
    <w:rsid w:val="001572B4"/>
    <w:rsid w:val="00163706"/>
    <w:rsid w:val="00166831"/>
    <w:rsid w:val="0017045A"/>
    <w:rsid w:val="00175980"/>
    <w:rsid w:val="00175CE3"/>
    <w:rsid w:val="00177322"/>
    <w:rsid w:val="00177C94"/>
    <w:rsid w:val="00180575"/>
    <w:rsid w:val="00180C4C"/>
    <w:rsid w:val="00181814"/>
    <w:rsid w:val="00181E50"/>
    <w:rsid w:val="0018200F"/>
    <w:rsid w:val="001832BC"/>
    <w:rsid w:val="0018330B"/>
    <w:rsid w:val="00183508"/>
    <w:rsid w:val="00183CAC"/>
    <w:rsid w:val="00184AB1"/>
    <w:rsid w:val="001851DA"/>
    <w:rsid w:val="00186F16"/>
    <w:rsid w:val="0018767D"/>
    <w:rsid w:val="00187F72"/>
    <w:rsid w:val="001905A9"/>
    <w:rsid w:val="00190702"/>
    <w:rsid w:val="00191BD0"/>
    <w:rsid w:val="00197A15"/>
    <w:rsid w:val="001A242D"/>
    <w:rsid w:val="001A2A8B"/>
    <w:rsid w:val="001A2BE5"/>
    <w:rsid w:val="001A4346"/>
    <w:rsid w:val="001A4923"/>
    <w:rsid w:val="001A58E2"/>
    <w:rsid w:val="001A76CC"/>
    <w:rsid w:val="001B1808"/>
    <w:rsid w:val="001B33AF"/>
    <w:rsid w:val="001B4C77"/>
    <w:rsid w:val="001B67B8"/>
    <w:rsid w:val="001C095C"/>
    <w:rsid w:val="001D2A8C"/>
    <w:rsid w:val="001D5B2D"/>
    <w:rsid w:val="001E2CFD"/>
    <w:rsid w:val="001E4571"/>
    <w:rsid w:val="001E4B3D"/>
    <w:rsid w:val="001E64A8"/>
    <w:rsid w:val="001E7B3E"/>
    <w:rsid w:val="001F3174"/>
    <w:rsid w:val="001F4C6F"/>
    <w:rsid w:val="001F50A4"/>
    <w:rsid w:val="001F653D"/>
    <w:rsid w:val="001F6B5C"/>
    <w:rsid w:val="00202CF6"/>
    <w:rsid w:val="0020342A"/>
    <w:rsid w:val="00204459"/>
    <w:rsid w:val="00207386"/>
    <w:rsid w:val="00215952"/>
    <w:rsid w:val="00215D85"/>
    <w:rsid w:val="002227FC"/>
    <w:rsid w:val="00231F9D"/>
    <w:rsid w:val="0023297A"/>
    <w:rsid w:val="00233291"/>
    <w:rsid w:val="00234608"/>
    <w:rsid w:val="00234DC9"/>
    <w:rsid w:val="00235997"/>
    <w:rsid w:val="002413DE"/>
    <w:rsid w:val="00243426"/>
    <w:rsid w:val="00246861"/>
    <w:rsid w:val="00257AA9"/>
    <w:rsid w:val="00260BB6"/>
    <w:rsid w:val="002621F3"/>
    <w:rsid w:val="00262696"/>
    <w:rsid w:val="00266D3B"/>
    <w:rsid w:val="00271879"/>
    <w:rsid w:val="002721C6"/>
    <w:rsid w:val="00272903"/>
    <w:rsid w:val="002734A0"/>
    <w:rsid w:val="00275094"/>
    <w:rsid w:val="0027634B"/>
    <w:rsid w:val="00277B97"/>
    <w:rsid w:val="0028106D"/>
    <w:rsid w:val="002832B2"/>
    <w:rsid w:val="002914F7"/>
    <w:rsid w:val="0029200E"/>
    <w:rsid w:val="0029498B"/>
    <w:rsid w:val="00294FD0"/>
    <w:rsid w:val="002A51E3"/>
    <w:rsid w:val="002B1945"/>
    <w:rsid w:val="002B556C"/>
    <w:rsid w:val="002B6925"/>
    <w:rsid w:val="002B764C"/>
    <w:rsid w:val="002C1EC2"/>
    <w:rsid w:val="002C345A"/>
    <w:rsid w:val="002D5978"/>
    <w:rsid w:val="002E1C05"/>
    <w:rsid w:val="002E2203"/>
    <w:rsid w:val="002E721A"/>
    <w:rsid w:val="002E7439"/>
    <w:rsid w:val="002E7640"/>
    <w:rsid w:val="002E7EAD"/>
    <w:rsid w:val="002F1B03"/>
    <w:rsid w:val="002F1B24"/>
    <w:rsid w:val="002F33D6"/>
    <w:rsid w:val="002F438A"/>
    <w:rsid w:val="002F58DF"/>
    <w:rsid w:val="002F77A9"/>
    <w:rsid w:val="00300E23"/>
    <w:rsid w:val="00301814"/>
    <w:rsid w:val="00302CD1"/>
    <w:rsid w:val="003030C0"/>
    <w:rsid w:val="003037B0"/>
    <w:rsid w:val="003049B9"/>
    <w:rsid w:val="00310BA0"/>
    <w:rsid w:val="003265F8"/>
    <w:rsid w:val="00330021"/>
    <w:rsid w:val="00330687"/>
    <w:rsid w:val="003310CB"/>
    <w:rsid w:val="003317A4"/>
    <w:rsid w:val="00331A4C"/>
    <w:rsid w:val="00342513"/>
    <w:rsid w:val="003429ED"/>
    <w:rsid w:val="00342D89"/>
    <w:rsid w:val="00344955"/>
    <w:rsid w:val="00344B1F"/>
    <w:rsid w:val="00350934"/>
    <w:rsid w:val="00352094"/>
    <w:rsid w:val="00355820"/>
    <w:rsid w:val="0035737A"/>
    <w:rsid w:val="00360451"/>
    <w:rsid w:val="00360936"/>
    <w:rsid w:val="003647AC"/>
    <w:rsid w:val="003676EF"/>
    <w:rsid w:val="00371243"/>
    <w:rsid w:val="00372FFA"/>
    <w:rsid w:val="003740EE"/>
    <w:rsid w:val="00374D1E"/>
    <w:rsid w:val="003751EF"/>
    <w:rsid w:val="00375A17"/>
    <w:rsid w:val="00377B03"/>
    <w:rsid w:val="00380372"/>
    <w:rsid w:val="00380D55"/>
    <w:rsid w:val="0038352A"/>
    <w:rsid w:val="00386ACB"/>
    <w:rsid w:val="003942FB"/>
    <w:rsid w:val="003A1F4A"/>
    <w:rsid w:val="003A46DB"/>
    <w:rsid w:val="003A5146"/>
    <w:rsid w:val="003A554D"/>
    <w:rsid w:val="003A5EBA"/>
    <w:rsid w:val="003B0BF9"/>
    <w:rsid w:val="003B4641"/>
    <w:rsid w:val="003B501B"/>
    <w:rsid w:val="003B6C09"/>
    <w:rsid w:val="003C20BC"/>
    <w:rsid w:val="003C2338"/>
    <w:rsid w:val="003C3B0F"/>
    <w:rsid w:val="003C41C4"/>
    <w:rsid w:val="003C4482"/>
    <w:rsid w:val="003C48C3"/>
    <w:rsid w:val="003C7D24"/>
    <w:rsid w:val="003D3F37"/>
    <w:rsid w:val="003D4DB6"/>
    <w:rsid w:val="003D64A9"/>
    <w:rsid w:val="003D72E4"/>
    <w:rsid w:val="003D7FD9"/>
    <w:rsid w:val="003E0035"/>
    <w:rsid w:val="003E0791"/>
    <w:rsid w:val="003E347E"/>
    <w:rsid w:val="003E3785"/>
    <w:rsid w:val="003E6EDC"/>
    <w:rsid w:val="003F0A00"/>
    <w:rsid w:val="003F0E2C"/>
    <w:rsid w:val="003F28AC"/>
    <w:rsid w:val="00401FA5"/>
    <w:rsid w:val="00402110"/>
    <w:rsid w:val="0041047D"/>
    <w:rsid w:val="00422860"/>
    <w:rsid w:val="00422E75"/>
    <w:rsid w:val="004233AB"/>
    <w:rsid w:val="00423A75"/>
    <w:rsid w:val="004241DA"/>
    <w:rsid w:val="004275D9"/>
    <w:rsid w:val="0042781D"/>
    <w:rsid w:val="004301ED"/>
    <w:rsid w:val="004314D7"/>
    <w:rsid w:val="004328DC"/>
    <w:rsid w:val="00440B29"/>
    <w:rsid w:val="00440C52"/>
    <w:rsid w:val="00441452"/>
    <w:rsid w:val="004427CB"/>
    <w:rsid w:val="004449CC"/>
    <w:rsid w:val="004454FE"/>
    <w:rsid w:val="004468D7"/>
    <w:rsid w:val="0044771F"/>
    <w:rsid w:val="00450967"/>
    <w:rsid w:val="00451015"/>
    <w:rsid w:val="00452FC5"/>
    <w:rsid w:val="004530AD"/>
    <w:rsid w:val="00453BCE"/>
    <w:rsid w:val="004564C0"/>
    <w:rsid w:val="00456D05"/>
    <w:rsid w:val="0046053B"/>
    <w:rsid w:val="004605A2"/>
    <w:rsid w:val="004611FD"/>
    <w:rsid w:val="0046791D"/>
    <w:rsid w:val="00471F27"/>
    <w:rsid w:val="00475239"/>
    <w:rsid w:val="00475A25"/>
    <w:rsid w:val="00476879"/>
    <w:rsid w:val="004768DD"/>
    <w:rsid w:val="004802E5"/>
    <w:rsid w:val="00480FF8"/>
    <w:rsid w:val="00481A29"/>
    <w:rsid w:val="0048605C"/>
    <w:rsid w:val="00487963"/>
    <w:rsid w:val="004936DB"/>
    <w:rsid w:val="00493DF3"/>
    <w:rsid w:val="004956ED"/>
    <w:rsid w:val="0049752E"/>
    <w:rsid w:val="004A2EDA"/>
    <w:rsid w:val="004A37B5"/>
    <w:rsid w:val="004A4C8F"/>
    <w:rsid w:val="004B1B10"/>
    <w:rsid w:val="004B1E65"/>
    <w:rsid w:val="004B42CA"/>
    <w:rsid w:val="004B4C4D"/>
    <w:rsid w:val="004B64C0"/>
    <w:rsid w:val="004B72EE"/>
    <w:rsid w:val="004B7964"/>
    <w:rsid w:val="004C2A60"/>
    <w:rsid w:val="004C67BC"/>
    <w:rsid w:val="004C7600"/>
    <w:rsid w:val="004D7386"/>
    <w:rsid w:val="004E27EC"/>
    <w:rsid w:val="004E29B8"/>
    <w:rsid w:val="004E42F5"/>
    <w:rsid w:val="004E6C83"/>
    <w:rsid w:val="004F0B39"/>
    <w:rsid w:val="004F1617"/>
    <w:rsid w:val="004F20AB"/>
    <w:rsid w:val="004F2291"/>
    <w:rsid w:val="004F3B21"/>
    <w:rsid w:val="004F469B"/>
    <w:rsid w:val="004F547D"/>
    <w:rsid w:val="004F5882"/>
    <w:rsid w:val="004F58CB"/>
    <w:rsid w:val="004F6005"/>
    <w:rsid w:val="004F6B07"/>
    <w:rsid w:val="004F7FCE"/>
    <w:rsid w:val="005000A3"/>
    <w:rsid w:val="005001B7"/>
    <w:rsid w:val="0050178F"/>
    <w:rsid w:val="00502D6C"/>
    <w:rsid w:val="005031A3"/>
    <w:rsid w:val="005039E9"/>
    <w:rsid w:val="00504FBF"/>
    <w:rsid w:val="00506B21"/>
    <w:rsid w:val="005072FF"/>
    <w:rsid w:val="005113F4"/>
    <w:rsid w:val="00511E1C"/>
    <w:rsid w:val="00512BF1"/>
    <w:rsid w:val="00513B16"/>
    <w:rsid w:val="00513D56"/>
    <w:rsid w:val="00514B02"/>
    <w:rsid w:val="00517D86"/>
    <w:rsid w:val="00521AB3"/>
    <w:rsid w:val="00523A71"/>
    <w:rsid w:val="00524CDF"/>
    <w:rsid w:val="0052538D"/>
    <w:rsid w:val="00526C51"/>
    <w:rsid w:val="0052727A"/>
    <w:rsid w:val="005326E3"/>
    <w:rsid w:val="0053496C"/>
    <w:rsid w:val="00535F19"/>
    <w:rsid w:val="0054160F"/>
    <w:rsid w:val="00542202"/>
    <w:rsid w:val="00542BBA"/>
    <w:rsid w:val="00544EB5"/>
    <w:rsid w:val="00553040"/>
    <w:rsid w:val="00554113"/>
    <w:rsid w:val="005541F8"/>
    <w:rsid w:val="00556807"/>
    <w:rsid w:val="00557646"/>
    <w:rsid w:val="005627F3"/>
    <w:rsid w:val="00571DF8"/>
    <w:rsid w:val="00573620"/>
    <w:rsid w:val="005742BE"/>
    <w:rsid w:val="00574785"/>
    <w:rsid w:val="00576C3E"/>
    <w:rsid w:val="00582522"/>
    <w:rsid w:val="0058307C"/>
    <w:rsid w:val="00584389"/>
    <w:rsid w:val="0058675B"/>
    <w:rsid w:val="00586F6D"/>
    <w:rsid w:val="00587F5D"/>
    <w:rsid w:val="0059607B"/>
    <w:rsid w:val="00597FB2"/>
    <w:rsid w:val="005A0593"/>
    <w:rsid w:val="005A1568"/>
    <w:rsid w:val="005A2AB0"/>
    <w:rsid w:val="005A37C8"/>
    <w:rsid w:val="005A4DA1"/>
    <w:rsid w:val="005A52E6"/>
    <w:rsid w:val="005B00C1"/>
    <w:rsid w:val="005B1EE8"/>
    <w:rsid w:val="005B211A"/>
    <w:rsid w:val="005B3502"/>
    <w:rsid w:val="005B7174"/>
    <w:rsid w:val="005C005D"/>
    <w:rsid w:val="005C00B0"/>
    <w:rsid w:val="005C6AB7"/>
    <w:rsid w:val="005D0C70"/>
    <w:rsid w:val="005D1B6C"/>
    <w:rsid w:val="005D2D1A"/>
    <w:rsid w:val="005D41A0"/>
    <w:rsid w:val="005D4AA7"/>
    <w:rsid w:val="005D7654"/>
    <w:rsid w:val="005E3079"/>
    <w:rsid w:val="005E3268"/>
    <w:rsid w:val="005F0CC1"/>
    <w:rsid w:val="005F1C03"/>
    <w:rsid w:val="005F4C54"/>
    <w:rsid w:val="005F4D53"/>
    <w:rsid w:val="005F6017"/>
    <w:rsid w:val="0060364E"/>
    <w:rsid w:val="0060661C"/>
    <w:rsid w:val="0060792A"/>
    <w:rsid w:val="006142EE"/>
    <w:rsid w:val="00616475"/>
    <w:rsid w:val="0062066F"/>
    <w:rsid w:val="0062174C"/>
    <w:rsid w:val="00623A42"/>
    <w:rsid w:val="00623A44"/>
    <w:rsid w:val="00625C92"/>
    <w:rsid w:val="00626EBD"/>
    <w:rsid w:val="00627129"/>
    <w:rsid w:val="00631448"/>
    <w:rsid w:val="00635C01"/>
    <w:rsid w:val="00642B40"/>
    <w:rsid w:val="00642E2A"/>
    <w:rsid w:val="00644E4D"/>
    <w:rsid w:val="00653063"/>
    <w:rsid w:val="0065383F"/>
    <w:rsid w:val="00655340"/>
    <w:rsid w:val="00656C27"/>
    <w:rsid w:val="006572D7"/>
    <w:rsid w:val="006621C5"/>
    <w:rsid w:val="006622EB"/>
    <w:rsid w:val="00665E66"/>
    <w:rsid w:val="006709FD"/>
    <w:rsid w:val="00672FEF"/>
    <w:rsid w:val="00673C47"/>
    <w:rsid w:val="006749F2"/>
    <w:rsid w:val="00675672"/>
    <w:rsid w:val="00675E3C"/>
    <w:rsid w:val="00676117"/>
    <w:rsid w:val="0068078A"/>
    <w:rsid w:val="00680BCA"/>
    <w:rsid w:val="00680DDE"/>
    <w:rsid w:val="006815CD"/>
    <w:rsid w:val="00681CB8"/>
    <w:rsid w:val="00683F41"/>
    <w:rsid w:val="006938AB"/>
    <w:rsid w:val="00694477"/>
    <w:rsid w:val="00694EF9"/>
    <w:rsid w:val="00695239"/>
    <w:rsid w:val="006976B3"/>
    <w:rsid w:val="006A6A58"/>
    <w:rsid w:val="006A6A75"/>
    <w:rsid w:val="006B1E60"/>
    <w:rsid w:val="006B2B6D"/>
    <w:rsid w:val="006B421C"/>
    <w:rsid w:val="006B4D19"/>
    <w:rsid w:val="006B54CE"/>
    <w:rsid w:val="006C173B"/>
    <w:rsid w:val="006C3BF9"/>
    <w:rsid w:val="006C5420"/>
    <w:rsid w:val="006D0234"/>
    <w:rsid w:val="006D3F79"/>
    <w:rsid w:val="006D4FAE"/>
    <w:rsid w:val="006D5C10"/>
    <w:rsid w:val="006D5E48"/>
    <w:rsid w:val="006D6540"/>
    <w:rsid w:val="006D6BBD"/>
    <w:rsid w:val="006D70F1"/>
    <w:rsid w:val="006E0099"/>
    <w:rsid w:val="006E1081"/>
    <w:rsid w:val="006E11AA"/>
    <w:rsid w:val="006E45E3"/>
    <w:rsid w:val="006E52FA"/>
    <w:rsid w:val="006F4F1E"/>
    <w:rsid w:val="006F760C"/>
    <w:rsid w:val="00701241"/>
    <w:rsid w:val="0070335C"/>
    <w:rsid w:val="007054D6"/>
    <w:rsid w:val="007107F4"/>
    <w:rsid w:val="00714ACA"/>
    <w:rsid w:val="007156F2"/>
    <w:rsid w:val="0071669A"/>
    <w:rsid w:val="00720045"/>
    <w:rsid w:val="00720585"/>
    <w:rsid w:val="00720BCA"/>
    <w:rsid w:val="0072275E"/>
    <w:rsid w:val="007231CD"/>
    <w:rsid w:val="00723DF8"/>
    <w:rsid w:val="007240C4"/>
    <w:rsid w:val="00727BE9"/>
    <w:rsid w:val="0073103E"/>
    <w:rsid w:val="00731B54"/>
    <w:rsid w:val="00732FBC"/>
    <w:rsid w:val="007341BF"/>
    <w:rsid w:val="00735E06"/>
    <w:rsid w:val="007370B2"/>
    <w:rsid w:val="00740517"/>
    <w:rsid w:val="007437DE"/>
    <w:rsid w:val="00744533"/>
    <w:rsid w:val="00750D2F"/>
    <w:rsid w:val="00751641"/>
    <w:rsid w:val="0075347B"/>
    <w:rsid w:val="00754C23"/>
    <w:rsid w:val="00755BAD"/>
    <w:rsid w:val="0075628F"/>
    <w:rsid w:val="007600D9"/>
    <w:rsid w:val="00762254"/>
    <w:rsid w:val="00762E46"/>
    <w:rsid w:val="007642FB"/>
    <w:rsid w:val="00766011"/>
    <w:rsid w:val="00772635"/>
    <w:rsid w:val="00773AF6"/>
    <w:rsid w:val="00773B4E"/>
    <w:rsid w:val="007743AC"/>
    <w:rsid w:val="00780EC1"/>
    <w:rsid w:val="00783F5C"/>
    <w:rsid w:val="007846CF"/>
    <w:rsid w:val="0078538E"/>
    <w:rsid w:val="00785FBC"/>
    <w:rsid w:val="0079116B"/>
    <w:rsid w:val="0079154E"/>
    <w:rsid w:val="00792A13"/>
    <w:rsid w:val="00792B00"/>
    <w:rsid w:val="00795E31"/>
    <w:rsid w:val="00795F71"/>
    <w:rsid w:val="007A0B87"/>
    <w:rsid w:val="007A0CC6"/>
    <w:rsid w:val="007A1F5A"/>
    <w:rsid w:val="007A2441"/>
    <w:rsid w:val="007A5AD5"/>
    <w:rsid w:val="007A6EF1"/>
    <w:rsid w:val="007B0902"/>
    <w:rsid w:val="007B1772"/>
    <w:rsid w:val="007B1CD7"/>
    <w:rsid w:val="007B2E39"/>
    <w:rsid w:val="007B637F"/>
    <w:rsid w:val="007C0BD6"/>
    <w:rsid w:val="007C26F4"/>
    <w:rsid w:val="007C3038"/>
    <w:rsid w:val="007C5759"/>
    <w:rsid w:val="007D300F"/>
    <w:rsid w:val="007D5B0B"/>
    <w:rsid w:val="007D6CA2"/>
    <w:rsid w:val="007D779B"/>
    <w:rsid w:val="007E1215"/>
    <w:rsid w:val="007E72CD"/>
    <w:rsid w:val="007E73AB"/>
    <w:rsid w:val="007E7AA9"/>
    <w:rsid w:val="007F0E38"/>
    <w:rsid w:val="007F2F38"/>
    <w:rsid w:val="007F3D8F"/>
    <w:rsid w:val="007F3FCD"/>
    <w:rsid w:val="007F68F4"/>
    <w:rsid w:val="007F7105"/>
    <w:rsid w:val="007F723A"/>
    <w:rsid w:val="007F7AF6"/>
    <w:rsid w:val="0080241C"/>
    <w:rsid w:val="008031F2"/>
    <w:rsid w:val="008078CC"/>
    <w:rsid w:val="00810241"/>
    <w:rsid w:val="00814046"/>
    <w:rsid w:val="00814119"/>
    <w:rsid w:val="0081423A"/>
    <w:rsid w:val="00814649"/>
    <w:rsid w:val="00816C11"/>
    <w:rsid w:val="00816CDF"/>
    <w:rsid w:val="00822B31"/>
    <w:rsid w:val="00823EFC"/>
    <w:rsid w:val="00824478"/>
    <w:rsid w:val="008251FF"/>
    <w:rsid w:val="00827A71"/>
    <w:rsid w:val="00830EA1"/>
    <w:rsid w:val="0083222C"/>
    <w:rsid w:val="00832C1B"/>
    <w:rsid w:val="008333AC"/>
    <w:rsid w:val="008342C6"/>
    <w:rsid w:val="00836259"/>
    <w:rsid w:val="0084413A"/>
    <w:rsid w:val="00844435"/>
    <w:rsid w:val="0084708F"/>
    <w:rsid w:val="0085096A"/>
    <w:rsid w:val="00853C0C"/>
    <w:rsid w:val="0085426B"/>
    <w:rsid w:val="00862162"/>
    <w:rsid w:val="00862789"/>
    <w:rsid w:val="008638F5"/>
    <w:rsid w:val="00863B2D"/>
    <w:rsid w:val="00863DFC"/>
    <w:rsid w:val="008672DD"/>
    <w:rsid w:val="008713C1"/>
    <w:rsid w:val="008750E7"/>
    <w:rsid w:val="008824EB"/>
    <w:rsid w:val="008846E0"/>
    <w:rsid w:val="0088699B"/>
    <w:rsid w:val="00892950"/>
    <w:rsid w:val="00892D26"/>
    <w:rsid w:val="008931F9"/>
    <w:rsid w:val="008934CD"/>
    <w:rsid w:val="00894C55"/>
    <w:rsid w:val="00896072"/>
    <w:rsid w:val="008B0595"/>
    <w:rsid w:val="008B12F3"/>
    <w:rsid w:val="008B609F"/>
    <w:rsid w:val="008B652A"/>
    <w:rsid w:val="008B699A"/>
    <w:rsid w:val="008B6FBE"/>
    <w:rsid w:val="008B795C"/>
    <w:rsid w:val="008B7E22"/>
    <w:rsid w:val="008C2830"/>
    <w:rsid w:val="008D07CD"/>
    <w:rsid w:val="008D3834"/>
    <w:rsid w:val="008E3F63"/>
    <w:rsid w:val="008E40EB"/>
    <w:rsid w:val="008F1634"/>
    <w:rsid w:val="008F29B2"/>
    <w:rsid w:val="0090417E"/>
    <w:rsid w:val="00912280"/>
    <w:rsid w:val="009126B7"/>
    <w:rsid w:val="00914976"/>
    <w:rsid w:val="00915048"/>
    <w:rsid w:val="009164C5"/>
    <w:rsid w:val="009257F0"/>
    <w:rsid w:val="009274BC"/>
    <w:rsid w:val="00927EA0"/>
    <w:rsid w:val="00933017"/>
    <w:rsid w:val="00934440"/>
    <w:rsid w:val="00934875"/>
    <w:rsid w:val="00934FF7"/>
    <w:rsid w:val="00936F39"/>
    <w:rsid w:val="00950AC6"/>
    <w:rsid w:val="00952B23"/>
    <w:rsid w:val="0095394C"/>
    <w:rsid w:val="00955991"/>
    <w:rsid w:val="00956AD4"/>
    <w:rsid w:val="009610E8"/>
    <w:rsid w:val="00961FAA"/>
    <w:rsid w:val="0096539B"/>
    <w:rsid w:val="00967E65"/>
    <w:rsid w:val="009713FF"/>
    <w:rsid w:val="00971562"/>
    <w:rsid w:val="00974011"/>
    <w:rsid w:val="00975E30"/>
    <w:rsid w:val="00983B6D"/>
    <w:rsid w:val="0098529C"/>
    <w:rsid w:val="009857E6"/>
    <w:rsid w:val="00985B6F"/>
    <w:rsid w:val="00986AED"/>
    <w:rsid w:val="009876FD"/>
    <w:rsid w:val="00992732"/>
    <w:rsid w:val="009943FA"/>
    <w:rsid w:val="009A0E97"/>
    <w:rsid w:val="009A0FE1"/>
    <w:rsid w:val="009A2654"/>
    <w:rsid w:val="009A3565"/>
    <w:rsid w:val="009A4807"/>
    <w:rsid w:val="009A4FFE"/>
    <w:rsid w:val="009A6553"/>
    <w:rsid w:val="009B3186"/>
    <w:rsid w:val="009C029B"/>
    <w:rsid w:val="009C1168"/>
    <w:rsid w:val="009C3926"/>
    <w:rsid w:val="009C3AF9"/>
    <w:rsid w:val="009C3B95"/>
    <w:rsid w:val="009C54EC"/>
    <w:rsid w:val="009C763C"/>
    <w:rsid w:val="009C7B7C"/>
    <w:rsid w:val="009D0AEA"/>
    <w:rsid w:val="009D0B2D"/>
    <w:rsid w:val="009D15D8"/>
    <w:rsid w:val="009D4994"/>
    <w:rsid w:val="009D53EC"/>
    <w:rsid w:val="009E1009"/>
    <w:rsid w:val="009E2422"/>
    <w:rsid w:val="009E74A8"/>
    <w:rsid w:val="009E7564"/>
    <w:rsid w:val="009F04A9"/>
    <w:rsid w:val="009F460B"/>
    <w:rsid w:val="009F7598"/>
    <w:rsid w:val="00A02417"/>
    <w:rsid w:val="00A0243B"/>
    <w:rsid w:val="00A067B1"/>
    <w:rsid w:val="00A06D88"/>
    <w:rsid w:val="00A11E3A"/>
    <w:rsid w:val="00A1364B"/>
    <w:rsid w:val="00A1379F"/>
    <w:rsid w:val="00A15777"/>
    <w:rsid w:val="00A16B47"/>
    <w:rsid w:val="00A16F10"/>
    <w:rsid w:val="00A17354"/>
    <w:rsid w:val="00A17A80"/>
    <w:rsid w:val="00A22D5D"/>
    <w:rsid w:val="00A244A2"/>
    <w:rsid w:val="00A259ED"/>
    <w:rsid w:val="00A25CAF"/>
    <w:rsid w:val="00A27A68"/>
    <w:rsid w:val="00A27BB5"/>
    <w:rsid w:val="00A3065C"/>
    <w:rsid w:val="00A3150A"/>
    <w:rsid w:val="00A32DA9"/>
    <w:rsid w:val="00A3584F"/>
    <w:rsid w:val="00A36589"/>
    <w:rsid w:val="00A4141A"/>
    <w:rsid w:val="00A43D38"/>
    <w:rsid w:val="00A43DAA"/>
    <w:rsid w:val="00A446D1"/>
    <w:rsid w:val="00A44BD4"/>
    <w:rsid w:val="00A44C85"/>
    <w:rsid w:val="00A469DA"/>
    <w:rsid w:val="00A46A9C"/>
    <w:rsid w:val="00A50430"/>
    <w:rsid w:val="00A5325C"/>
    <w:rsid w:val="00A54C90"/>
    <w:rsid w:val="00A6073E"/>
    <w:rsid w:val="00A62608"/>
    <w:rsid w:val="00A62BE9"/>
    <w:rsid w:val="00A62BF7"/>
    <w:rsid w:val="00A631AA"/>
    <w:rsid w:val="00A642E1"/>
    <w:rsid w:val="00A661CA"/>
    <w:rsid w:val="00A677D6"/>
    <w:rsid w:val="00A67DCC"/>
    <w:rsid w:val="00A70256"/>
    <w:rsid w:val="00A73006"/>
    <w:rsid w:val="00A74223"/>
    <w:rsid w:val="00A74EBB"/>
    <w:rsid w:val="00A7754E"/>
    <w:rsid w:val="00A77A2C"/>
    <w:rsid w:val="00A83412"/>
    <w:rsid w:val="00A86826"/>
    <w:rsid w:val="00A917FC"/>
    <w:rsid w:val="00A92EB5"/>
    <w:rsid w:val="00A93C07"/>
    <w:rsid w:val="00A96D0A"/>
    <w:rsid w:val="00A97DC7"/>
    <w:rsid w:val="00AA1153"/>
    <w:rsid w:val="00AB2017"/>
    <w:rsid w:val="00AB3421"/>
    <w:rsid w:val="00AC021A"/>
    <w:rsid w:val="00AC1B80"/>
    <w:rsid w:val="00AC1E0E"/>
    <w:rsid w:val="00AC3292"/>
    <w:rsid w:val="00AD198D"/>
    <w:rsid w:val="00AD1E87"/>
    <w:rsid w:val="00AD4DCF"/>
    <w:rsid w:val="00AD7389"/>
    <w:rsid w:val="00AD7C55"/>
    <w:rsid w:val="00AE0135"/>
    <w:rsid w:val="00AE06B7"/>
    <w:rsid w:val="00AE08F4"/>
    <w:rsid w:val="00AE0A95"/>
    <w:rsid w:val="00AE10D3"/>
    <w:rsid w:val="00AE2B32"/>
    <w:rsid w:val="00AE4D2E"/>
    <w:rsid w:val="00AE5567"/>
    <w:rsid w:val="00AE5745"/>
    <w:rsid w:val="00AE7757"/>
    <w:rsid w:val="00AF07E7"/>
    <w:rsid w:val="00AF72F7"/>
    <w:rsid w:val="00AF7679"/>
    <w:rsid w:val="00B0268E"/>
    <w:rsid w:val="00B02A0D"/>
    <w:rsid w:val="00B05259"/>
    <w:rsid w:val="00B10448"/>
    <w:rsid w:val="00B116A9"/>
    <w:rsid w:val="00B11863"/>
    <w:rsid w:val="00B125E7"/>
    <w:rsid w:val="00B14357"/>
    <w:rsid w:val="00B15464"/>
    <w:rsid w:val="00B15BC2"/>
    <w:rsid w:val="00B16480"/>
    <w:rsid w:val="00B2165C"/>
    <w:rsid w:val="00B21B7C"/>
    <w:rsid w:val="00B22839"/>
    <w:rsid w:val="00B22B7D"/>
    <w:rsid w:val="00B24A12"/>
    <w:rsid w:val="00B25C73"/>
    <w:rsid w:val="00B36EC3"/>
    <w:rsid w:val="00B40AEB"/>
    <w:rsid w:val="00B50F00"/>
    <w:rsid w:val="00B52B5C"/>
    <w:rsid w:val="00B5784D"/>
    <w:rsid w:val="00B6136E"/>
    <w:rsid w:val="00B645E7"/>
    <w:rsid w:val="00B672A8"/>
    <w:rsid w:val="00B678CE"/>
    <w:rsid w:val="00B70453"/>
    <w:rsid w:val="00B70F47"/>
    <w:rsid w:val="00B710EA"/>
    <w:rsid w:val="00B711A0"/>
    <w:rsid w:val="00B73380"/>
    <w:rsid w:val="00B83C62"/>
    <w:rsid w:val="00B843FB"/>
    <w:rsid w:val="00B84F52"/>
    <w:rsid w:val="00B85744"/>
    <w:rsid w:val="00B8619E"/>
    <w:rsid w:val="00B87B9E"/>
    <w:rsid w:val="00B90F29"/>
    <w:rsid w:val="00B9495E"/>
    <w:rsid w:val="00B966F8"/>
    <w:rsid w:val="00B975B1"/>
    <w:rsid w:val="00B97A93"/>
    <w:rsid w:val="00BA20AA"/>
    <w:rsid w:val="00BA292D"/>
    <w:rsid w:val="00BA29CE"/>
    <w:rsid w:val="00BA34C9"/>
    <w:rsid w:val="00BA3B17"/>
    <w:rsid w:val="00BA43E7"/>
    <w:rsid w:val="00BA60E1"/>
    <w:rsid w:val="00BB1EAD"/>
    <w:rsid w:val="00BB48C3"/>
    <w:rsid w:val="00BC07DA"/>
    <w:rsid w:val="00BC1D6B"/>
    <w:rsid w:val="00BC36DE"/>
    <w:rsid w:val="00BD23C5"/>
    <w:rsid w:val="00BD4425"/>
    <w:rsid w:val="00BD5D6E"/>
    <w:rsid w:val="00BE0C48"/>
    <w:rsid w:val="00BE2CC4"/>
    <w:rsid w:val="00BE42E1"/>
    <w:rsid w:val="00BE5633"/>
    <w:rsid w:val="00BE5857"/>
    <w:rsid w:val="00BE5EC6"/>
    <w:rsid w:val="00BE6658"/>
    <w:rsid w:val="00BE69D5"/>
    <w:rsid w:val="00BE6F73"/>
    <w:rsid w:val="00BF471A"/>
    <w:rsid w:val="00C0331D"/>
    <w:rsid w:val="00C03EAF"/>
    <w:rsid w:val="00C04830"/>
    <w:rsid w:val="00C058A1"/>
    <w:rsid w:val="00C05B3C"/>
    <w:rsid w:val="00C114F3"/>
    <w:rsid w:val="00C1758D"/>
    <w:rsid w:val="00C21E99"/>
    <w:rsid w:val="00C23B7A"/>
    <w:rsid w:val="00C23FD3"/>
    <w:rsid w:val="00C24037"/>
    <w:rsid w:val="00C25B49"/>
    <w:rsid w:val="00C2705E"/>
    <w:rsid w:val="00C2752D"/>
    <w:rsid w:val="00C27763"/>
    <w:rsid w:val="00C348D1"/>
    <w:rsid w:val="00C42985"/>
    <w:rsid w:val="00C42BCA"/>
    <w:rsid w:val="00C46C96"/>
    <w:rsid w:val="00C53A7B"/>
    <w:rsid w:val="00C5552D"/>
    <w:rsid w:val="00C56602"/>
    <w:rsid w:val="00C61502"/>
    <w:rsid w:val="00C61C77"/>
    <w:rsid w:val="00C66371"/>
    <w:rsid w:val="00C72152"/>
    <w:rsid w:val="00C81353"/>
    <w:rsid w:val="00C855DA"/>
    <w:rsid w:val="00C85E98"/>
    <w:rsid w:val="00C87EF3"/>
    <w:rsid w:val="00C914AB"/>
    <w:rsid w:val="00C918F0"/>
    <w:rsid w:val="00C968E0"/>
    <w:rsid w:val="00C96BEB"/>
    <w:rsid w:val="00CA1A18"/>
    <w:rsid w:val="00CA2FC1"/>
    <w:rsid w:val="00CA3E19"/>
    <w:rsid w:val="00CA3E33"/>
    <w:rsid w:val="00CA4FA6"/>
    <w:rsid w:val="00CA5610"/>
    <w:rsid w:val="00CA5FDB"/>
    <w:rsid w:val="00CB5445"/>
    <w:rsid w:val="00CB726A"/>
    <w:rsid w:val="00CC669B"/>
    <w:rsid w:val="00CD036F"/>
    <w:rsid w:val="00CD484D"/>
    <w:rsid w:val="00CD7CAF"/>
    <w:rsid w:val="00CE1326"/>
    <w:rsid w:val="00CE1AC8"/>
    <w:rsid w:val="00CE28A9"/>
    <w:rsid w:val="00CE41A7"/>
    <w:rsid w:val="00CE5657"/>
    <w:rsid w:val="00CE5F59"/>
    <w:rsid w:val="00CF0668"/>
    <w:rsid w:val="00CF2A0F"/>
    <w:rsid w:val="00D00E50"/>
    <w:rsid w:val="00D0161D"/>
    <w:rsid w:val="00D0205A"/>
    <w:rsid w:val="00D03106"/>
    <w:rsid w:val="00D03684"/>
    <w:rsid w:val="00D03F9D"/>
    <w:rsid w:val="00D062A9"/>
    <w:rsid w:val="00D133F8"/>
    <w:rsid w:val="00D14A3E"/>
    <w:rsid w:val="00D22E76"/>
    <w:rsid w:val="00D2325E"/>
    <w:rsid w:val="00D251CF"/>
    <w:rsid w:val="00D30591"/>
    <w:rsid w:val="00D32F35"/>
    <w:rsid w:val="00D33EE1"/>
    <w:rsid w:val="00D34028"/>
    <w:rsid w:val="00D35943"/>
    <w:rsid w:val="00D43030"/>
    <w:rsid w:val="00D5003C"/>
    <w:rsid w:val="00D51E8A"/>
    <w:rsid w:val="00D553ED"/>
    <w:rsid w:val="00D55E48"/>
    <w:rsid w:val="00D56C6D"/>
    <w:rsid w:val="00D62342"/>
    <w:rsid w:val="00D6475C"/>
    <w:rsid w:val="00D653AF"/>
    <w:rsid w:val="00D730E6"/>
    <w:rsid w:val="00D7393C"/>
    <w:rsid w:val="00D7519B"/>
    <w:rsid w:val="00D80554"/>
    <w:rsid w:val="00D833C7"/>
    <w:rsid w:val="00D84234"/>
    <w:rsid w:val="00D85BFB"/>
    <w:rsid w:val="00D8610D"/>
    <w:rsid w:val="00D86398"/>
    <w:rsid w:val="00D86E3E"/>
    <w:rsid w:val="00D87EC6"/>
    <w:rsid w:val="00D9234F"/>
    <w:rsid w:val="00D93B2A"/>
    <w:rsid w:val="00D93F75"/>
    <w:rsid w:val="00D949A8"/>
    <w:rsid w:val="00D95646"/>
    <w:rsid w:val="00D97FCF"/>
    <w:rsid w:val="00DA07BF"/>
    <w:rsid w:val="00DA381A"/>
    <w:rsid w:val="00DB2ACC"/>
    <w:rsid w:val="00DB35F7"/>
    <w:rsid w:val="00DB6534"/>
    <w:rsid w:val="00DB7F9C"/>
    <w:rsid w:val="00DC01DA"/>
    <w:rsid w:val="00DC2EE8"/>
    <w:rsid w:val="00DC39A0"/>
    <w:rsid w:val="00DC45E2"/>
    <w:rsid w:val="00DC4A09"/>
    <w:rsid w:val="00DC755F"/>
    <w:rsid w:val="00DD0A51"/>
    <w:rsid w:val="00DD1400"/>
    <w:rsid w:val="00DD327A"/>
    <w:rsid w:val="00DD3461"/>
    <w:rsid w:val="00DD505B"/>
    <w:rsid w:val="00DD6BA7"/>
    <w:rsid w:val="00DE01AF"/>
    <w:rsid w:val="00DE0535"/>
    <w:rsid w:val="00DF0FB4"/>
    <w:rsid w:val="00E01D5B"/>
    <w:rsid w:val="00E037CA"/>
    <w:rsid w:val="00E0385A"/>
    <w:rsid w:val="00E07549"/>
    <w:rsid w:val="00E11475"/>
    <w:rsid w:val="00E11E7A"/>
    <w:rsid w:val="00E13B97"/>
    <w:rsid w:val="00E14C2F"/>
    <w:rsid w:val="00E2231C"/>
    <w:rsid w:val="00E22F05"/>
    <w:rsid w:val="00E24CC0"/>
    <w:rsid w:val="00E26B6D"/>
    <w:rsid w:val="00E31874"/>
    <w:rsid w:val="00E31F73"/>
    <w:rsid w:val="00E32C94"/>
    <w:rsid w:val="00E3353C"/>
    <w:rsid w:val="00E34611"/>
    <w:rsid w:val="00E3716B"/>
    <w:rsid w:val="00E464FF"/>
    <w:rsid w:val="00E47C6E"/>
    <w:rsid w:val="00E50E1A"/>
    <w:rsid w:val="00E513A0"/>
    <w:rsid w:val="00E52B5F"/>
    <w:rsid w:val="00E52FED"/>
    <w:rsid w:val="00E576F6"/>
    <w:rsid w:val="00E61FEA"/>
    <w:rsid w:val="00E6344B"/>
    <w:rsid w:val="00E673B1"/>
    <w:rsid w:val="00E7494A"/>
    <w:rsid w:val="00E750E8"/>
    <w:rsid w:val="00E77397"/>
    <w:rsid w:val="00E776E6"/>
    <w:rsid w:val="00E77C6C"/>
    <w:rsid w:val="00E77DE4"/>
    <w:rsid w:val="00E8173B"/>
    <w:rsid w:val="00E81C05"/>
    <w:rsid w:val="00E8202A"/>
    <w:rsid w:val="00E83DF7"/>
    <w:rsid w:val="00E84DC7"/>
    <w:rsid w:val="00E8749E"/>
    <w:rsid w:val="00E87E00"/>
    <w:rsid w:val="00E90C01"/>
    <w:rsid w:val="00E91032"/>
    <w:rsid w:val="00E93161"/>
    <w:rsid w:val="00E93312"/>
    <w:rsid w:val="00E9557E"/>
    <w:rsid w:val="00E95B93"/>
    <w:rsid w:val="00E97188"/>
    <w:rsid w:val="00EA3F7C"/>
    <w:rsid w:val="00EA486E"/>
    <w:rsid w:val="00EA5DD4"/>
    <w:rsid w:val="00EB13A2"/>
    <w:rsid w:val="00EB2C23"/>
    <w:rsid w:val="00EC1A10"/>
    <w:rsid w:val="00EC2D5F"/>
    <w:rsid w:val="00EC37E3"/>
    <w:rsid w:val="00ED020E"/>
    <w:rsid w:val="00ED049F"/>
    <w:rsid w:val="00ED297A"/>
    <w:rsid w:val="00ED7434"/>
    <w:rsid w:val="00EE24F5"/>
    <w:rsid w:val="00EF0BD5"/>
    <w:rsid w:val="00EF1BD0"/>
    <w:rsid w:val="00EF3BCA"/>
    <w:rsid w:val="00EF4EC6"/>
    <w:rsid w:val="00EF4F7D"/>
    <w:rsid w:val="00EF6C2F"/>
    <w:rsid w:val="00EF7492"/>
    <w:rsid w:val="00EF76C9"/>
    <w:rsid w:val="00F0198A"/>
    <w:rsid w:val="00F04BD4"/>
    <w:rsid w:val="00F07C13"/>
    <w:rsid w:val="00F10754"/>
    <w:rsid w:val="00F10886"/>
    <w:rsid w:val="00F12A23"/>
    <w:rsid w:val="00F200E4"/>
    <w:rsid w:val="00F23988"/>
    <w:rsid w:val="00F3256E"/>
    <w:rsid w:val="00F34A2A"/>
    <w:rsid w:val="00F34F6A"/>
    <w:rsid w:val="00F35091"/>
    <w:rsid w:val="00F36E51"/>
    <w:rsid w:val="00F40CE6"/>
    <w:rsid w:val="00F42A40"/>
    <w:rsid w:val="00F458A9"/>
    <w:rsid w:val="00F50D7D"/>
    <w:rsid w:val="00F528FC"/>
    <w:rsid w:val="00F570BD"/>
    <w:rsid w:val="00F57B0C"/>
    <w:rsid w:val="00F62A58"/>
    <w:rsid w:val="00F6490A"/>
    <w:rsid w:val="00F660CB"/>
    <w:rsid w:val="00F700CA"/>
    <w:rsid w:val="00F72534"/>
    <w:rsid w:val="00F72B6D"/>
    <w:rsid w:val="00F80443"/>
    <w:rsid w:val="00F8319C"/>
    <w:rsid w:val="00F839DB"/>
    <w:rsid w:val="00F83EB2"/>
    <w:rsid w:val="00F84A1C"/>
    <w:rsid w:val="00F85829"/>
    <w:rsid w:val="00F92307"/>
    <w:rsid w:val="00F95D74"/>
    <w:rsid w:val="00FA09D4"/>
    <w:rsid w:val="00FA0D9F"/>
    <w:rsid w:val="00FA10F4"/>
    <w:rsid w:val="00FA256B"/>
    <w:rsid w:val="00FA27D0"/>
    <w:rsid w:val="00FA31D1"/>
    <w:rsid w:val="00FA3B00"/>
    <w:rsid w:val="00FA3F9B"/>
    <w:rsid w:val="00FA5CE2"/>
    <w:rsid w:val="00FA72C3"/>
    <w:rsid w:val="00FB202C"/>
    <w:rsid w:val="00FB2BFA"/>
    <w:rsid w:val="00FB48A3"/>
    <w:rsid w:val="00FB6922"/>
    <w:rsid w:val="00FC2E3D"/>
    <w:rsid w:val="00FC2F37"/>
    <w:rsid w:val="00FD087A"/>
    <w:rsid w:val="00FD1672"/>
    <w:rsid w:val="00FD2493"/>
    <w:rsid w:val="00FD6C65"/>
    <w:rsid w:val="00FE112F"/>
    <w:rsid w:val="00FE16FF"/>
    <w:rsid w:val="00FE3258"/>
    <w:rsid w:val="00FE5A15"/>
    <w:rsid w:val="00FE7912"/>
    <w:rsid w:val="00FF08D8"/>
    <w:rsid w:val="00FF0FD6"/>
    <w:rsid w:val="00FF3EF5"/>
    <w:rsid w:val="00FF4ED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10813A"/>
  <w15:docId w15:val="{906A4D89-7A5A-4606-8C3F-71CB9AB4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BB5"/>
    <w:rPr>
      <w:vertAlign w:val="superscript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A4141A"/>
    <w:pPr>
      <w:ind w:left="720"/>
      <w:contextualSpacing/>
    </w:pPr>
  </w:style>
  <w:style w:type="character" w:styleId="Emphasis">
    <w:name w:val="Emphasis"/>
    <w:basedOn w:val="DefaultParagraphFont"/>
    <w:qFormat/>
    <w:rsid w:val="00B672A8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1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1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21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64"/>
    <w:rPr>
      <w:b/>
      <w:bCs/>
      <w:sz w:val="20"/>
      <w:szCs w:val="20"/>
    </w:rPr>
  </w:style>
  <w:style w:type="paragraph" w:customStyle="1" w:styleId="Statuti">
    <w:name w:val="Statuti"/>
    <w:basedOn w:val="Normal"/>
    <w:rsid w:val="00D03684"/>
    <w:pPr>
      <w:numPr>
        <w:ilvl w:val="3"/>
        <w:numId w:val="12"/>
      </w:num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eastAsia="lv-LV"/>
    </w:rPr>
  </w:style>
  <w:style w:type="paragraph" w:customStyle="1" w:styleId="Virsraksti4">
    <w:name w:val="Virsraksti4"/>
    <w:basedOn w:val="Normal"/>
    <w:rsid w:val="00D03684"/>
    <w:pPr>
      <w:numPr>
        <w:ilvl w:val="4"/>
        <w:numId w:val="12"/>
      </w:numPr>
      <w:spacing w:before="60" w:after="12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Virsraksti1">
    <w:name w:val="Virsraksti1"/>
    <w:basedOn w:val="Normal"/>
    <w:rsid w:val="00D03684"/>
    <w:pPr>
      <w:numPr>
        <w:numId w:val="12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customStyle="1" w:styleId="Virsraksti2">
    <w:name w:val="Virsraksti_2"/>
    <w:basedOn w:val="Normal"/>
    <w:rsid w:val="00D03684"/>
    <w:pPr>
      <w:numPr>
        <w:ilvl w:val="1"/>
        <w:numId w:val="12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customStyle="1" w:styleId="Virsraksti3">
    <w:name w:val="Virsraksti_3"/>
    <w:basedOn w:val="Normal"/>
    <w:rsid w:val="00D03684"/>
    <w:pPr>
      <w:numPr>
        <w:ilvl w:val="2"/>
        <w:numId w:val="12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8D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3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F53FD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53FD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CC669B"/>
    <w:pPr>
      <w:spacing w:before="58" w:after="58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5F59"/>
    <w:rPr>
      <w:color w:val="808080"/>
      <w:shd w:val="clear" w:color="auto" w:fill="E6E6E6"/>
    </w:rPr>
  </w:style>
  <w:style w:type="paragraph" w:styleId="NormalWeb">
    <w:name w:val="Normal (Web)"/>
    <w:basedOn w:val="Normal"/>
    <w:link w:val="NormalWebChar"/>
    <w:uiPriority w:val="99"/>
    <w:unhideWhenUsed/>
    <w:rsid w:val="00A1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773B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73B4E"/>
    <w:rPr>
      <w:sz w:val="16"/>
      <w:szCs w:val="16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0F54F6"/>
  </w:style>
  <w:style w:type="character" w:customStyle="1" w:styleId="NormalWebChar">
    <w:name w:val="Normal (Web) Char"/>
    <w:link w:val="NormalWeb"/>
    <w:uiPriority w:val="99"/>
    <w:rsid w:val="000F54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6B54C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2C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ta.Lazdi&#326;a@v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B84A-9055-4AC3-A6DF-C7E84C1D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3782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2011.gada 30.augusta noteikumos Nr.685 "Rezidentu sadales un rezidentūras finansēšanas noteikumi"”” sākotnējās ietekmes novērtējuma ziņojums (anotācija)</vt:lpstr>
    </vt:vector>
  </TitlesOfParts>
  <Company>Veselības ministrija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2011.gada 30.augusta noteikumos Nr.685 "Rezidentu sadales un rezidentūras finansēšanas noteikumi"”” sākotnējās ietekmes novērtējuma ziņojums (anotācija)</dc:title>
  <dc:subject>Anotācija</dc:subject>
  <dc:creator>Dace Roga</dc:creator>
  <dc:description>67876093, dace.roga@vm.gov.lv</dc:description>
  <cp:lastModifiedBy>Zaiga Šulca</cp:lastModifiedBy>
  <cp:revision>22</cp:revision>
  <cp:lastPrinted>2019-11-06T07:56:00Z</cp:lastPrinted>
  <dcterms:created xsi:type="dcterms:W3CDTF">2020-01-08T10:14:00Z</dcterms:created>
  <dcterms:modified xsi:type="dcterms:W3CDTF">2020-01-21T12:27:00Z</dcterms:modified>
</cp:coreProperties>
</file>