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591A" w14:textId="77777777" w:rsidR="00C63247" w:rsidRPr="0070062A" w:rsidRDefault="00C63247" w:rsidP="00C63247">
      <w:pPr>
        <w:spacing w:after="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t>PROGRESA ZIŅOJUMS PAR KONCEPTUĀLAJĀ ZIŅOJUMĀ "PAR VESELĪBAS APRŪPES SISTĒMAS REFORMU" IEKĻAUTO UZDEVUMU IZPILDI</w:t>
      </w:r>
    </w:p>
    <w:p w14:paraId="28E908BF" w14:textId="77777777" w:rsidR="00C63247" w:rsidRPr="0070062A" w:rsidRDefault="00C63247" w:rsidP="00C63247">
      <w:pPr>
        <w:spacing w:after="0" w:line="240" w:lineRule="auto"/>
        <w:jc w:val="center"/>
        <w:rPr>
          <w:rFonts w:ascii="Times New Roman" w:hAnsi="Times New Roman" w:cs="Times New Roman"/>
          <w:sz w:val="28"/>
          <w:szCs w:val="28"/>
        </w:rPr>
      </w:pPr>
    </w:p>
    <w:p w14:paraId="0F015A1C" w14:textId="77777777" w:rsidR="00C63247" w:rsidRPr="0070062A" w:rsidRDefault="00C63247" w:rsidP="00C63247">
      <w:pPr>
        <w:spacing w:after="120" w:line="240" w:lineRule="auto"/>
        <w:jc w:val="center"/>
        <w:rPr>
          <w:rFonts w:ascii="Times New Roman" w:hAnsi="Times New Roman" w:cs="Times New Roman"/>
          <w:sz w:val="28"/>
          <w:szCs w:val="28"/>
        </w:rPr>
      </w:pPr>
      <w:r w:rsidRPr="0070062A">
        <w:rPr>
          <w:rFonts w:ascii="Times New Roman" w:hAnsi="Times New Roman" w:cs="Times New Roman"/>
          <w:b/>
          <w:sz w:val="28"/>
          <w:szCs w:val="28"/>
        </w:rPr>
        <w:t>Kopsavilkums</w:t>
      </w:r>
    </w:p>
    <w:p w14:paraId="41EAAC07" w14:textId="77777777" w:rsidR="00C63247" w:rsidRDefault="00C63247" w:rsidP="00C63247">
      <w:pPr>
        <w:spacing w:after="0" w:line="240" w:lineRule="auto"/>
        <w:jc w:val="both"/>
        <w:rPr>
          <w:rFonts w:ascii="Times New Roman" w:hAnsi="Times New Roman" w:cs="Times New Roman"/>
          <w:sz w:val="24"/>
          <w:szCs w:val="24"/>
        </w:rPr>
      </w:pPr>
      <w:r w:rsidRPr="0070062A">
        <w:rPr>
          <w:rFonts w:ascii="Times New Roman" w:hAnsi="Times New Roman" w:cs="Times New Roman"/>
          <w:sz w:val="28"/>
          <w:szCs w:val="28"/>
        </w:rPr>
        <w:tab/>
      </w:r>
      <w:r>
        <w:rPr>
          <w:rFonts w:ascii="Times New Roman" w:hAnsi="Times New Roman" w:cs="Times New Roman"/>
          <w:sz w:val="24"/>
          <w:szCs w:val="24"/>
        </w:rPr>
        <w:t>Ziņojuma mērķis ir informēt Ministru kabinetu par konceptuālajā ziņojumā “Par veselības aprūpes sistēmas reformu”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iekļauto uzdevumu izpildi un par turpmāk veicamajiem uzdevumiem veselības aprūpes sistēmas reformu ietvaros. </w:t>
      </w:r>
    </w:p>
    <w:p w14:paraId="62D669CC" w14:textId="77777777" w:rsidR="00C63247"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Ziņojums sagatavots pamatojoties uz Ministru prezidenta 20.11.2019. rezolūciju Nr. 2019-1.1.1./46-46. </w:t>
      </w:r>
    </w:p>
    <w:p w14:paraId="56A5AE78"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Lai paaugstinātu veselības aprūpes sistēmas efektivitāti un lai noteiktu tās vājās vietas, kas varētu kavēt savlaicīgu piekļuvi pakalpojumiem vai ietekmēt aprūpes kvalitāti, 2015.-2016. gadā </w:t>
      </w:r>
      <w:r>
        <w:rPr>
          <w:rFonts w:ascii="Times New Roman" w:hAnsi="Times New Roman" w:cs="Times New Roman"/>
          <w:sz w:val="24"/>
          <w:szCs w:val="24"/>
        </w:rPr>
        <w:t xml:space="preserve">Veselības ministrija piesaistīja </w:t>
      </w:r>
      <w:r w:rsidRPr="0070062A">
        <w:rPr>
          <w:rFonts w:ascii="Times New Roman" w:hAnsi="Times New Roman" w:cs="Times New Roman"/>
          <w:sz w:val="24"/>
          <w:szCs w:val="24"/>
        </w:rPr>
        <w:t>Pasaules Bank</w:t>
      </w:r>
      <w:r>
        <w:rPr>
          <w:rFonts w:ascii="Times New Roman" w:hAnsi="Times New Roman" w:cs="Times New Roman"/>
          <w:sz w:val="24"/>
          <w:szCs w:val="24"/>
        </w:rPr>
        <w:t>u</w:t>
      </w:r>
      <w:r w:rsidRPr="0070062A">
        <w:rPr>
          <w:rFonts w:ascii="Times New Roman" w:hAnsi="Times New Roman" w:cs="Times New Roman"/>
          <w:sz w:val="24"/>
          <w:szCs w:val="24"/>
        </w:rPr>
        <w:t xml:space="preserve"> (turpmāk – PB)</w:t>
      </w:r>
      <w:r>
        <w:rPr>
          <w:rFonts w:ascii="Times New Roman" w:hAnsi="Times New Roman" w:cs="Times New Roman"/>
          <w:sz w:val="24"/>
          <w:szCs w:val="24"/>
        </w:rPr>
        <w:t xml:space="preserve"> </w:t>
      </w:r>
      <w:r w:rsidRPr="00086723">
        <w:rPr>
          <w:rFonts w:ascii="Times New Roman" w:hAnsi="Times New Roman" w:cs="Times New Roman"/>
          <w:b/>
          <w:sz w:val="24"/>
          <w:szCs w:val="24"/>
        </w:rPr>
        <w:t>visaptverošas</w:t>
      </w:r>
      <w:r>
        <w:rPr>
          <w:rFonts w:ascii="Times New Roman" w:hAnsi="Times New Roman" w:cs="Times New Roman"/>
          <w:sz w:val="24"/>
          <w:szCs w:val="24"/>
        </w:rPr>
        <w:t xml:space="preserve"> veselības sistēmas izpētei. PB, </w:t>
      </w:r>
      <w:r w:rsidRPr="0070062A">
        <w:rPr>
          <w:rFonts w:ascii="Times New Roman" w:hAnsi="Times New Roman" w:cs="Times New Roman"/>
          <w:sz w:val="24"/>
          <w:szCs w:val="24"/>
        </w:rPr>
        <w:t xml:space="preserve">izmantojot Veselības ministrijas (turpmāk – VM) padotības iestāžu rīcībā esošos datus un veicot ekspertu intervijas, veica </w:t>
      </w:r>
      <w:r>
        <w:rPr>
          <w:rFonts w:ascii="Times New Roman" w:hAnsi="Times New Roman" w:cs="Times New Roman"/>
          <w:b/>
          <w:sz w:val="24"/>
          <w:szCs w:val="24"/>
        </w:rPr>
        <w:t>detalizētu</w:t>
      </w:r>
      <w:r w:rsidRPr="0070062A">
        <w:rPr>
          <w:rFonts w:ascii="Times New Roman" w:hAnsi="Times New Roman" w:cs="Times New Roman"/>
          <w:sz w:val="24"/>
          <w:szCs w:val="24"/>
        </w:rPr>
        <w:t xml:space="preserve"> veselības </w:t>
      </w:r>
      <w:r w:rsidRPr="0070062A">
        <w:rPr>
          <w:rFonts w:ascii="Times New Roman" w:hAnsi="Times New Roman" w:cs="Times New Roman"/>
          <w:b/>
          <w:bCs/>
          <w:sz w:val="24"/>
          <w:szCs w:val="24"/>
        </w:rPr>
        <w:t>sistēmas analīzi</w:t>
      </w:r>
      <w:r w:rsidRPr="0070062A">
        <w:rPr>
          <w:rFonts w:ascii="Times New Roman" w:hAnsi="Times New Roman" w:cs="Times New Roman"/>
          <w:sz w:val="24"/>
          <w:szCs w:val="24"/>
        </w:rPr>
        <w:t>, tai skaitā par veselības sistēmas vājajām vietām, par pakalpojumu grozu un pakalpojumu sniegšanas modeli, par kapitālieguldījumu plānošanu, par veselības aprūpes cilvēkresursiem, slimnīcu noslodzi un aprūpes kvalitāti</w:t>
      </w:r>
      <w:r w:rsidRPr="0070062A">
        <w:rPr>
          <w:rStyle w:val="FootnoteReference"/>
          <w:rFonts w:ascii="Times New Roman" w:hAnsi="Times New Roman" w:cs="Times New Roman"/>
          <w:sz w:val="24"/>
          <w:szCs w:val="24"/>
        </w:rPr>
        <w:footnoteReference w:id="3"/>
      </w:r>
      <w:r w:rsidRPr="0070062A">
        <w:rPr>
          <w:rFonts w:ascii="Times New Roman" w:hAnsi="Times New Roman" w:cs="Times New Roman"/>
          <w:sz w:val="24"/>
          <w:szCs w:val="24"/>
        </w:rPr>
        <w:t xml:space="preserve">. </w:t>
      </w:r>
    </w:p>
    <w:p w14:paraId="2D2318FF"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PB analītiskās izpētes rezultātā ierosināja </w:t>
      </w:r>
      <w:r w:rsidRPr="0070062A">
        <w:rPr>
          <w:rFonts w:ascii="Times New Roman" w:hAnsi="Times New Roman" w:cs="Times New Roman"/>
          <w:b/>
          <w:bCs/>
          <w:sz w:val="24"/>
          <w:szCs w:val="24"/>
        </w:rPr>
        <w:t>četras reformu pamatjomas</w:t>
      </w:r>
      <w:r w:rsidRPr="0070062A">
        <w:rPr>
          <w:rFonts w:ascii="Times New Roman" w:hAnsi="Times New Roman" w:cs="Times New Roman"/>
          <w:sz w:val="24"/>
          <w:szCs w:val="24"/>
        </w:rPr>
        <w:t>:</w:t>
      </w:r>
    </w:p>
    <w:p w14:paraId="3682BB97" w14:textId="77777777" w:rsidR="00C63247" w:rsidRPr="0070062A" w:rsidRDefault="00C63247" w:rsidP="00C63247">
      <w:pPr>
        <w:pStyle w:val="ListParagraph"/>
        <w:numPr>
          <w:ilvl w:val="0"/>
          <w:numId w:val="27"/>
        </w:num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Pakāpeniski ieguldījumi infrastruktūrā, aprīkojumā un cilvēkresursos;</w:t>
      </w:r>
    </w:p>
    <w:p w14:paraId="5063583C" w14:textId="77777777" w:rsidR="00C63247" w:rsidRPr="0070062A" w:rsidRDefault="00C63247" w:rsidP="00C63247">
      <w:pPr>
        <w:pStyle w:val="ListParagraph"/>
        <w:numPr>
          <w:ilvl w:val="0"/>
          <w:numId w:val="27"/>
        </w:num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Ieguldījumi svarīgos kvalitātes nodrošināšanas mehānismos;</w:t>
      </w:r>
    </w:p>
    <w:p w14:paraId="0E3CE179" w14:textId="77777777" w:rsidR="00C63247" w:rsidRPr="0070062A" w:rsidRDefault="00C63247" w:rsidP="00C63247">
      <w:pPr>
        <w:pStyle w:val="ListParagraph"/>
        <w:numPr>
          <w:ilvl w:val="0"/>
          <w:numId w:val="27"/>
        </w:num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Veselības aprūpes finansējuma reformas;</w:t>
      </w:r>
    </w:p>
    <w:p w14:paraId="50A2931B" w14:textId="77777777" w:rsidR="00C63247" w:rsidRPr="0070062A" w:rsidRDefault="00C63247" w:rsidP="00C63247">
      <w:pPr>
        <w:pStyle w:val="ListParagraph"/>
        <w:numPr>
          <w:ilvl w:val="0"/>
          <w:numId w:val="27"/>
        </w:num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Integrētas veselības aprūpes pārvaldības un informācijas sistēmas izstrāde.</w:t>
      </w:r>
    </w:p>
    <w:p w14:paraId="07F25CD6" w14:textId="77777777" w:rsidR="00C63247" w:rsidRPr="0070062A" w:rsidDel="000D0D2A" w:rsidRDefault="00C63247" w:rsidP="00C63247">
      <w:pPr>
        <w:spacing w:after="0" w:line="240" w:lineRule="auto"/>
        <w:ind w:firstLine="567"/>
        <w:jc w:val="both"/>
        <w:rPr>
          <w:rFonts w:ascii="Times New Roman" w:hAnsi="Times New Roman" w:cs="Times New Roman"/>
          <w:b/>
          <w:bCs/>
          <w:sz w:val="24"/>
          <w:szCs w:val="24"/>
        </w:rPr>
      </w:pPr>
      <w:r w:rsidRPr="0070062A">
        <w:rPr>
          <w:rFonts w:ascii="Times New Roman" w:hAnsi="Times New Roman" w:cs="Times New Roman"/>
          <w:sz w:val="24"/>
          <w:szCs w:val="24"/>
        </w:rPr>
        <w:t xml:space="preserve">Arī Eiropas Komisija un ES Padome jau vairāku gadu garumā, publicējot </w:t>
      </w:r>
      <w:r w:rsidRPr="0070062A" w:rsidDel="000D0D2A">
        <w:rPr>
          <w:rFonts w:ascii="Times New Roman" w:hAnsi="Times New Roman" w:cs="Times New Roman"/>
          <w:sz w:val="24"/>
          <w:szCs w:val="24"/>
        </w:rPr>
        <w:t>ikgadēj</w:t>
      </w:r>
      <w:r w:rsidRPr="0070062A">
        <w:rPr>
          <w:rFonts w:ascii="Times New Roman" w:hAnsi="Times New Roman" w:cs="Times New Roman"/>
          <w:sz w:val="24"/>
          <w:szCs w:val="24"/>
        </w:rPr>
        <w:t>o</w:t>
      </w:r>
      <w:r w:rsidRPr="0070062A" w:rsidDel="000D0D2A">
        <w:rPr>
          <w:rFonts w:ascii="Times New Roman" w:hAnsi="Times New Roman" w:cs="Times New Roman"/>
          <w:sz w:val="24"/>
          <w:szCs w:val="24"/>
        </w:rPr>
        <w:t xml:space="preserve"> specifisk</w:t>
      </w:r>
      <w:r w:rsidRPr="0070062A">
        <w:rPr>
          <w:rFonts w:ascii="Times New Roman" w:hAnsi="Times New Roman" w:cs="Times New Roman"/>
          <w:sz w:val="24"/>
          <w:szCs w:val="24"/>
        </w:rPr>
        <w:t>o</w:t>
      </w:r>
      <w:r w:rsidRPr="0070062A" w:rsidDel="000D0D2A">
        <w:rPr>
          <w:rFonts w:ascii="Times New Roman" w:hAnsi="Times New Roman" w:cs="Times New Roman"/>
          <w:sz w:val="24"/>
          <w:szCs w:val="24"/>
        </w:rPr>
        <w:t xml:space="preserve"> rekomendācij</w:t>
      </w:r>
      <w:r w:rsidRPr="0070062A">
        <w:rPr>
          <w:rFonts w:ascii="Times New Roman" w:hAnsi="Times New Roman" w:cs="Times New Roman"/>
          <w:sz w:val="24"/>
          <w:szCs w:val="24"/>
        </w:rPr>
        <w:t>u</w:t>
      </w:r>
      <w:r w:rsidRPr="0070062A" w:rsidDel="000D0D2A">
        <w:rPr>
          <w:rFonts w:ascii="Times New Roman" w:hAnsi="Times New Roman" w:cs="Times New Roman"/>
          <w:sz w:val="24"/>
          <w:szCs w:val="24"/>
        </w:rPr>
        <w:t xml:space="preserve"> Latvijai veselības aprūpes jomā</w:t>
      </w:r>
      <w:r w:rsidRPr="0070062A">
        <w:rPr>
          <w:rFonts w:ascii="Times New Roman" w:hAnsi="Times New Roman" w:cs="Times New Roman"/>
          <w:sz w:val="24"/>
          <w:szCs w:val="24"/>
        </w:rPr>
        <w:t>,</w:t>
      </w:r>
      <w:r w:rsidRPr="0070062A" w:rsidDel="000D0D2A">
        <w:rPr>
          <w:rFonts w:ascii="Times New Roman" w:hAnsi="Times New Roman" w:cs="Times New Roman"/>
          <w:sz w:val="24"/>
          <w:szCs w:val="24"/>
        </w:rPr>
        <w:t xml:space="preserve"> </w:t>
      </w:r>
      <w:r w:rsidRPr="0070062A">
        <w:rPr>
          <w:rFonts w:ascii="Times New Roman" w:hAnsi="Times New Roman" w:cs="Times New Roman"/>
          <w:sz w:val="24"/>
          <w:szCs w:val="24"/>
        </w:rPr>
        <w:t>norāda</w:t>
      </w:r>
      <w:r w:rsidRPr="0070062A" w:rsidDel="000D0D2A">
        <w:rPr>
          <w:rFonts w:ascii="Times New Roman" w:hAnsi="Times New Roman" w:cs="Times New Roman"/>
          <w:sz w:val="24"/>
          <w:szCs w:val="24"/>
        </w:rPr>
        <w:t xml:space="preserve"> </w:t>
      </w:r>
      <w:r w:rsidRPr="0070062A">
        <w:rPr>
          <w:rFonts w:ascii="Times New Roman" w:hAnsi="Times New Roman" w:cs="Times New Roman"/>
          <w:sz w:val="24"/>
          <w:szCs w:val="24"/>
        </w:rPr>
        <w:t xml:space="preserve">uz nepieciešamību </w:t>
      </w:r>
      <w:r w:rsidRPr="0070062A">
        <w:rPr>
          <w:rFonts w:ascii="Times New Roman" w:hAnsi="Times New Roman" w:cs="Times New Roman"/>
          <w:b/>
          <w:bCs/>
          <w:sz w:val="24"/>
          <w:szCs w:val="24"/>
        </w:rPr>
        <w:t>uzlabot veselības aprūpes pieejamību, kvalitāti un izmaksu lietderību.</w:t>
      </w:r>
      <w:r w:rsidRPr="0070062A">
        <w:rPr>
          <w:rStyle w:val="FootnoteReference"/>
          <w:rFonts w:ascii="Times New Roman" w:hAnsi="Times New Roman" w:cs="Times New Roman"/>
          <w:sz w:val="24"/>
          <w:szCs w:val="24"/>
        </w:rPr>
        <w:footnoteReference w:id="4"/>
      </w:r>
      <w:r w:rsidRPr="0070062A">
        <w:rPr>
          <w:rFonts w:ascii="Times New Roman" w:hAnsi="Times New Roman" w:cs="Times New Roman"/>
          <w:sz w:val="24"/>
          <w:szCs w:val="24"/>
        </w:rPr>
        <w:t xml:space="preserve"> </w:t>
      </w:r>
      <w:r w:rsidRPr="0051032C">
        <w:rPr>
          <w:rFonts w:ascii="Times New Roman" w:hAnsi="Times New Roman" w:cs="Times New Roman"/>
          <w:sz w:val="24"/>
          <w:szCs w:val="24"/>
        </w:rPr>
        <w:t xml:space="preserve">Ekonomiskās sadarbības un attīstības organizācijas (turpmāk tekstā </w:t>
      </w:r>
      <w:r>
        <w:rPr>
          <w:rFonts w:ascii="Times New Roman" w:hAnsi="Times New Roman" w:cs="Times New Roman"/>
          <w:sz w:val="24"/>
          <w:szCs w:val="24"/>
        </w:rPr>
        <w:t xml:space="preserve">- </w:t>
      </w:r>
      <w:r w:rsidRPr="0051032C">
        <w:rPr>
          <w:rFonts w:ascii="Times New Roman" w:hAnsi="Times New Roman" w:cs="Times New Roman"/>
          <w:sz w:val="24"/>
          <w:szCs w:val="24"/>
        </w:rPr>
        <w:t xml:space="preserve">OECD) </w:t>
      </w:r>
      <w:r w:rsidRPr="0070062A">
        <w:rPr>
          <w:rFonts w:ascii="Times New Roman" w:hAnsi="Times New Roman" w:cs="Times New Roman"/>
          <w:sz w:val="24"/>
          <w:szCs w:val="24"/>
        </w:rPr>
        <w:t>2019.gada ekonomikas pārskatā par Latviju</w:t>
      </w:r>
      <w:r w:rsidRPr="0070062A">
        <w:rPr>
          <w:rStyle w:val="FootnoteReference"/>
          <w:rFonts w:ascii="Times New Roman" w:hAnsi="Times New Roman" w:cs="Times New Roman"/>
          <w:sz w:val="24"/>
          <w:szCs w:val="24"/>
        </w:rPr>
        <w:footnoteReference w:id="5"/>
      </w:r>
      <w:r w:rsidRPr="0070062A">
        <w:rPr>
          <w:rFonts w:ascii="Times New Roman" w:hAnsi="Times New Roman" w:cs="Times New Roman"/>
          <w:sz w:val="24"/>
          <w:szCs w:val="24"/>
        </w:rPr>
        <w:t xml:space="preserve"> sniegta rekomendācija </w:t>
      </w:r>
      <w:r w:rsidRPr="0070062A">
        <w:rPr>
          <w:rFonts w:ascii="Times New Roman" w:hAnsi="Times New Roman" w:cs="Times New Roman"/>
          <w:b/>
          <w:bCs/>
          <w:sz w:val="24"/>
          <w:szCs w:val="24"/>
        </w:rPr>
        <w:t>palielināt veselības aprūpes finansējumu</w:t>
      </w:r>
      <w:r w:rsidRPr="0070062A">
        <w:rPr>
          <w:rFonts w:ascii="Times New Roman" w:hAnsi="Times New Roman" w:cs="Times New Roman"/>
          <w:sz w:val="24"/>
          <w:szCs w:val="24"/>
        </w:rPr>
        <w:t>, lai samazinātu pacientu tiešos maksājumus par veselības aprūpi.</w:t>
      </w:r>
      <w:r w:rsidRPr="0070062A">
        <w:rPr>
          <w:rFonts w:ascii="Times New Roman" w:hAnsi="Times New Roman" w:cs="Times New Roman"/>
          <w:b/>
          <w:bCs/>
          <w:sz w:val="24"/>
          <w:szCs w:val="24"/>
        </w:rPr>
        <w:t xml:space="preserve"> </w:t>
      </w:r>
      <w:r w:rsidRPr="0070062A">
        <w:rPr>
          <w:rFonts w:ascii="Times New Roman" w:hAnsi="Times New Roman" w:cs="Times New Roman"/>
          <w:sz w:val="24"/>
          <w:szCs w:val="24"/>
        </w:rPr>
        <w:t xml:space="preserve"> </w:t>
      </w:r>
    </w:p>
    <w:p w14:paraId="77E0320A"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Ņemot vērā PB pētījuma secinājumus un sniegtos ieteikumus, tika sagatavots veselības aprūpes sistēmas Reformu plāns</w:t>
      </w:r>
      <w:r w:rsidRPr="0070062A">
        <w:rPr>
          <w:rStyle w:val="FootnoteReference"/>
          <w:rFonts w:ascii="Times New Roman" w:hAnsi="Times New Roman" w:cs="Times New Roman"/>
          <w:sz w:val="24"/>
          <w:szCs w:val="24"/>
        </w:rPr>
        <w:footnoteReference w:id="6"/>
      </w:r>
      <w:r w:rsidRPr="0070062A">
        <w:rPr>
          <w:rFonts w:ascii="Times New Roman" w:hAnsi="Times New Roman" w:cs="Times New Roman"/>
          <w:sz w:val="24"/>
          <w:szCs w:val="24"/>
        </w:rPr>
        <w:t xml:space="preserve">. Tas paredz virkni pasākumu veselības aprūpes efektivitātes, kvalitātes un pieejamības uzlabošanai, kā arī finansējuma palielināšanu pakalpojumu pieejamības uzlabošanai un darba samaksas paaugstināšanai ārstniecības personām. </w:t>
      </w:r>
    </w:p>
    <w:p w14:paraId="6EECA197"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Papildus PB pētījumam 2016.-2019.gadā veiktas arī </w:t>
      </w:r>
      <w:r w:rsidRPr="0070062A">
        <w:rPr>
          <w:rFonts w:ascii="Times New Roman" w:hAnsi="Times New Roman" w:cs="Times New Roman"/>
          <w:b/>
          <w:bCs/>
          <w:sz w:val="24"/>
          <w:szCs w:val="24"/>
        </w:rPr>
        <w:t>Valsts kontroles revīzijas veselības nozarē:</w:t>
      </w:r>
      <w:r w:rsidRPr="0070062A">
        <w:rPr>
          <w:rFonts w:ascii="Times New Roman" w:hAnsi="Times New Roman" w:cs="Times New Roman"/>
          <w:sz w:val="24"/>
          <w:szCs w:val="24"/>
        </w:rPr>
        <w:t xml:space="preserve"> “Cilvēkresursi veselības aprūpē”, “Vai rehabilitācija ir pilnvērtīga veselības aprūpes pakalpojumu sastāvdaļa?”, “Vai Austrumu slimnīcas darbības efektivitāti ir iespējams uzlabot?”, “Vai ambulatorā veselības aprūpes sistēma Latvijā ir pilnveidojama?”</w:t>
      </w:r>
      <w:r w:rsidRPr="0070062A">
        <w:rPr>
          <w:rStyle w:val="FootnoteReference"/>
          <w:rFonts w:ascii="Times New Roman" w:hAnsi="Times New Roman" w:cs="Times New Roman"/>
          <w:sz w:val="24"/>
          <w:szCs w:val="24"/>
        </w:rPr>
        <w:footnoteReference w:id="7"/>
      </w:r>
      <w:r w:rsidRPr="0070062A">
        <w:rPr>
          <w:rFonts w:ascii="Times New Roman" w:hAnsi="Times New Roman" w:cs="Times New Roman"/>
          <w:sz w:val="24"/>
          <w:szCs w:val="24"/>
        </w:rPr>
        <w:t xml:space="preserve"> Savukārt, Eiropas Veselības aprūpes pakalpojumu un sociālās aprūpes uzraudzības organizāciju Eiropas partnerības ekspertu grupa 2018.gadā veica </w:t>
      </w:r>
      <w:r w:rsidRPr="0070062A">
        <w:rPr>
          <w:rFonts w:ascii="Times New Roman" w:hAnsi="Times New Roman" w:cs="Times New Roman"/>
          <w:b/>
          <w:bCs/>
          <w:sz w:val="24"/>
          <w:szCs w:val="24"/>
        </w:rPr>
        <w:t>Veselības inspekcijas (</w:t>
      </w:r>
      <w:r>
        <w:rPr>
          <w:rFonts w:ascii="Times New Roman" w:hAnsi="Times New Roman" w:cs="Times New Roman"/>
          <w:b/>
          <w:bCs/>
          <w:sz w:val="24"/>
          <w:szCs w:val="24"/>
        </w:rPr>
        <w:t xml:space="preserve">turpmāk - </w:t>
      </w:r>
      <w:r w:rsidRPr="0070062A">
        <w:rPr>
          <w:rFonts w:ascii="Times New Roman" w:hAnsi="Times New Roman" w:cs="Times New Roman"/>
          <w:b/>
          <w:bCs/>
          <w:sz w:val="24"/>
          <w:szCs w:val="24"/>
        </w:rPr>
        <w:t>VI) funkciju izvērtējumu</w:t>
      </w:r>
      <w:r w:rsidRPr="0070062A">
        <w:rPr>
          <w:rFonts w:ascii="Times New Roman" w:hAnsi="Times New Roman" w:cs="Times New Roman"/>
          <w:sz w:val="24"/>
          <w:szCs w:val="24"/>
        </w:rPr>
        <w:t>.</w:t>
      </w:r>
      <w:r w:rsidRPr="0070062A">
        <w:rPr>
          <w:rStyle w:val="FootnoteReference"/>
          <w:rFonts w:ascii="Times New Roman" w:hAnsi="Times New Roman" w:cs="Times New Roman"/>
          <w:sz w:val="24"/>
          <w:szCs w:val="24"/>
        </w:rPr>
        <w:footnoteReference w:id="8"/>
      </w:r>
      <w:r w:rsidRPr="0070062A">
        <w:rPr>
          <w:rFonts w:ascii="Times New Roman" w:hAnsi="Times New Roman" w:cs="Times New Roman"/>
          <w:sz w:val="24"/>
          <w:szCs w:val="24"/>
        </w:rPr>
        <w:t xml:space="preserve"> VM sadarbībā ar padotības iestādēm pakāpeniski veic minētajos izvērtējumos sniegto ieteikumu ieviešanu.</w:t>
      </w:r>
    </w:p>
    <w:p w14:paraId="070016B8"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lastRenderedPageBreak/>
        <w:t xml:space="preserve">Reformu plāna ietvaros īstenota slimnīcu reforma, palielināts ārstniecības personu atalgojums, samazināts gaidīšanas laiks uz veselības aprūpes pakalpojumiem, ieviesti jauni valsts apmaksāti pakalpojumi, uzlabota kompensējamo zāļu pieejamība, ieviesta veselības aprūpes kvalitātes un pacientu drošības metodiskā vadība, izstrādātas klīniskās vadlīnijas kardioloģijā, mātes un bērna veselības aprūpē (turpinās klīnisko vadlīniju izstrāde onkoloģijā), veikta VM padotības iestāžu reorganizācija, noteiktā apjomā atjaunota ārstniecības iestāžu infrastruktūra, ieviesti atbalsta pasākumi ārstniecības personu piesaistei darbam reģionos, uzlabota rezidentūras plānošana, saīsināts studiju ilgums atsevišķās ārstu specialitātēs, un veikta virkne citu uzlabojumu. </w:t>
      </w:r>
    </w:p>
    <w:p w14:paraId="297443DF" w14:textId="77777777" w:rsidR="00C63247" w:rsidRPr="0070062A" w:rsidRDefault="00C63247" w:rsidP="00C63247">
      <w:pPr>
        <w:spacing w:after="0" w:line="240" w:lineRule="auto"/>
        <w:ind w:firstLine="567"/>
        <w:jc w:val="both"/>
        <w:rPr>
          <w:rFonts w:ascii="Times New Roman" w:hAnsi="Times New Roman" w:cs="Times New Roman"/>
          <w:b/>
          <w:bCs/>
          <w:sz w:val="24"/>
          <w:szCs w:val="24"/>
        </w:rPr>
      </w:pPr>
      <w:r w:rsidRPr="0070062A">
        <w:rPr>
          <w:rFonts w:ascii="Times New Roman" w:hAnsi="Times New Roman" w:cs="Times New Roman"/>
          <w:sz w:val="24"/>
          <w:szCs w:val="24"/>
        </w:rPr>
        <w:t>2016.gada 1.jūlijā Latvija kļuva par OECD dalībvalsti. Pirms pievienošanās šai organizācijai, Latvijas gatavība dalībai tika vērtēta visās tās tematiskajās komitejās, t.sk., Veselības komitejā, kura rekomendēja atbalstīt Latvijas iestāšanos, vienlaikus izsakot kopumā piecas rekomendācijas</w:t>
      </w:r>
      <w:r w:rsidRPr="0070062A">
        <w:rPr>
          <w:rStyle w:val="FootnoteReference"/>
          <w:rFonts w:ascii="Times New Roman" w:hAnsi="Times New Roman" w:cs="Times New Roman"/>
          <w:sz w:val="24"/>
          <w:szCs w:val="24"/>
        </w:rPr>
        <w:footnoteReference w:id="9"/>
      </w:r>
      <w:r w:rsidRPr="0070062A">
        <w:rPr>
          <w:rFonts w:ascii="Times New Roman" w:hAnsi="Times New Roman" w:cs="Times New Roman"/>
          <w:sz w:val="24"/>
          <w:szCs w:val="24"/>
        </w:rPr>
        <w:t xml:space="preserve">, pie kuru ieviešanas Latvijai bija jāstrādā turpmākos divus gadus (2016.-2018). Izvērtējot sniegto rekomendāciju ieviešanu, </w:t>
      </w:r>
      <w:r w:rsidRPr="0070062A">
        <w:rPr>
          <w:rFonts w:ascii="Times New Roman" w:hAnsi="Times New Roman" w:cs="Times New Roman"/>
          <w:b/>
          <w:bCs/>
          <w:sz w:val="24"/>
          <w:szCs w:val="24"/>
        </w:rPr>
        <w:t>OECD atzinīgi novērtēja Latvijas progresu veselības sistēmas stiprināšanā un ieviešanā.</w:t>
      </w:r>
      <w:r w:rsidRPr="0070062A">
        <w:rPr>
          <w:rStyle w:val="FootnoteReference"/>
          <w:rFonts w:ascii="Times New Roman" w:hAnsi="Times New Roman" w:cs="Times New Roman"/>
          <w:b/>
          <w:bCs/>
          <w:sz w:val="24"/>
          <w:szCs w:val="24"/>
        </w:rPr>
        <w:footnoteReference w:id="10"/>
      </w:r>
      <w:r w:rsidRPr="0070062A">
        <w:rPr>
          <w:rFonts w:ascii="Times New Roman" w:hAnsi="Times New Roman" w:cs="Times New Roman"/>
          <w:b/>
          <w:bCs/>
          <w:sz w:val="24"/>
          <w:szCs w:val="24"/>
        </w:rPr>
        <w:t xml:space="preserve"> </w:t>
      </w:r>
    </w:p>
    <w:p w14:paraId="6C5C903C"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2019. gada pārskatā “Vai iedzīvotāji var atļauties maksāt par veselības aprūpi?” Pasaules Veselības organizācija (turpmāk – PVO) secināja, ka</w:t>
      </w:r>
      <w:r w:rsidRPr="0070062A">
        <w:rPr>
          <w:rFonts w:ascii="Times New Roman" w:hAnsi="Times New Roman" w:cs="Times New Roman"/>
          <w:b/>
          <w:sz w:val="24"/>
          <w:szCs w:val="24"/>
        </w:rPr>
        <w:t xml:space="preserve"> Latvija veselības aprūpei tērē mazāk nekā lielākā daļa ES valstu</w:t>
      </w:r>
      <w:r w:rsidRPr="0070062A">
        <w:rPr>
          <w:rFonts w:ascii="Times New Roman" w:hAnsi="Times New Roman" w:cs="Times New Roman"/>
          <w:sz w:val="24"/>
          <w:szCs w:val="24"/>
        </w:rPr>
        <w:t xml:space="preserve">. Latvijas veselības sistēmā ļoti liela nozīme ir personīgajiem maksājumiem no “iedzīvotāju kabatas”. </w:t>
      </w:r>
      <w:r w:rsidRPr="0070062A">
        <w:rPr>
          <w:rFonts w:ascii="Times New Roman" w:hAnsi="Times New Roman" w:cs="Times New Roman"/>
          <w:b/>
          <w:sz w:val="24"/>
          <w:szCs w:val="24"/>
        </w:rPr>
        <w:t>Katastrofālo personīgo maksājumu daļa Latvijā kopējos veselības aprūpes izdevumos ir starp visaugstākajām ES</w:t>
      </w:r>
      <w:r w:rsidRPr="0070062A">
        <w:rPr>
          <w:rStyle w:val="FootnoteReference"/>
          <w:rFonts w:ascii="Times New Roman" w:hAnsi="Times New Roman" w:cs="Times New Roman"/>
          <w:sz w:val="24"/>
          <w:szCs w:val="24"/>
        </w:rPr>
        <w:footnoteReference w:id="11"/>
      </w:r>
      <w:r w:rsidRPr="0070062A">
        <w:rPr>
          <w:rFonts w:ascii="Times New Roman" w:hAnsi="Times New Roman" w:cs="Times New Roman"/>
          <w:sz w:val="24"/>
          <w:szCs w:val="24"/>
        </w:rPr>
        <w:t xml:space="preserve">. </w:t>
      </w:r>
    </w:p>
    <w:p w14:paraId="36163FEA" w14:textId="77777777" w:rsidR="00C63247" w:rsidRPr="0070062A" w:rsidRDefault="00C63247" w:rsidP="00C63247">
      <w:pPr>
        <w:spacing w:after="0" w:line="240" w:lineRule="auto"/>
        <w:ind w:firstLine="567"/>
        <w:jc w:val="both"/>
        <w:rPr>
          <w:rFonts w:ascii="Times New Roman" w:hAnsi="Times New Roman" w:cs="Times New Roman"/>
          <w:sz w:val="24"/>
          <w:szCs w:val="24"/>
        </w:rPr>
      </w:pPr>
    </w:p>
    <w:p w14:paraId="0E9EC010" w14:textId="77777777" w:rsidR="00C63247" w:rsidRPr="0070062A" w:rsidRDefault="00C63247" w:rsidP="00C63247">
      <w:pPr>
        <w:spacing w:after="120" w:line="240" w:lineRule="auto"/>
        <w:jc w:val="center"/>
        <w:rPr>
          <w:rFonts w:ascii="Times New Roman" w:hAnsi="Times New Roman" w:cs="Times New Roman"/>
          <w:b/>
          <w:sz w:val="24"/>
          <w:szCs w:val="24"/>
        </w:rPr>
      </w:pPr>
      <w:r w:rsidRPr="0070062A">
        <w:rPr>
          <w:rFonts w:ascii="Times New Roman" w:hAnsi="Times New Roman" w:cs="Times New Roman"/>
          <w:b/>
          <w:sz w:val="24"/>
          <w:szCs w:val="24"/>
        </w:rPr>
        <w:t>Līdzmaksājumu politika (2019)</w:t>
      </w:r>
    </w:p>
    <w:p w14:paraId="7B3AE74C" w14:textId="77777777" w:rsidR="00C63247" w:rsidRPr="0070062A" w:rsidRDefault="00C63247" w:rsidP="00C63247">
      <w:pPr>
        <w:spacing w:after="0" w:line="240" w:lineRule="auto"/>
        <w:jc w:val="both"/>
        <w:rPr>
          <w:rFonts w:ascii="Times New Roman" w:hAnsi="Times New Roman" w:cs="Times New Roman"/>
          <w:sz w:val="24"/>
          <w:szCs w:val="24"/>
        </w:rPr>
      </w:pPr>
      <w:r w:rsidRPr="0070062A">
        <w:rPr>
          <w:rFonts w:ascii="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7E440878" wp14:editId="1305DC75">
                <wp:simplePos x="0" y="0"/>
                <wp:positionH relativeFrom="column">
                  <wp:posOffset>0</wp:posOffset>
                </wp:positionH>
                <wp:positionV relativeFrom="paragraph">
                  <wp:posOffset>45720</wp:posOffset>
                </wp:positionV>
                <wp:extent cx="400050" cy="2400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00300"/>
                        </a:xfrm>
                        <a:prstGeom prst="rect">
                          <a:avLst/>
                        </a:prstGeom>
                        <a:solidFill>
                          <a:srgbClr val="FFFFFF"/>
                        </a:solidFill>
                        <a:ln w="9525">
                          <a:noFill/>
                          <a:miter lim="800000"/>
                          <a:headEnd/>
                          <a:tailEnd/>
                        </a:ln>
                      </wps:spPr>
                      <wps:txbx>
                        <w:txbxContent>
                          <w:p w14:paraId="4BDB481D" w14:textId="77777777" w:rsidR="00FC5EAE" w:rsidRPr="00CF20D8" w:rsidRDefault="00FC5EAE" w:rsidP="00C63247">
                            <w:pPr>
                              <w:rPr>
                                <w:color w:val="4472C4" w:themeColor="accent1"/>
                              </w:rPr>
                            </w:pPr>
                            <w:r w:rsidRPr="00CF20D8">
                              <w:rPr>
                                <w:color w:val="4472C4" w:themeColor="accent1"/>
                              </w:rPr>
                              <w:t>Katastrofālie personīgie maksājumi</w:t>
                            </w:r>
                            <w:r>
                              <w:rPr>
                                <w:color w:val="4472C4" w:themeColor="accent1"/>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40878" id="_x0000_t202" coordsize="21600,21600" o:spt="202" path="m,l,21600r21600,l21600,xe">
                <v:stroke joinstyle="miter"/>
                <v:path gradientshapeok="t" o:connecttype="rect"/>
              </v:shapetype>
              <v:shape id="Text Box 2" o:spid="_x0000_s1026" type="#_x0000_t202" style="position:absolute;left:0;text-align:left;margin-left:0;margin-top:3.6pt;width:31.5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" stroked="f">
                <v:textbox style="layout-flow:vertical;mso-layout-flow-alt:bottom-to-top">
                  <w:txbxContent>
                    <w:p w14:paraId="4BDB481D" w14:textId="77777777" w:rsidR="00FC5EAE" w:rsidRPr="00CF20D8" w:rsidRDefault="00FC5EAE" w:rsidP="00C63247">
                      <w:pPr>
                        <w:rPr>
                          <w:color w:val="4472C4" w:themeColor="accent1"/>
                        </w:rPr>
                      </w:pPr>
                      <w:r w:rsidRPr="00CF20D8">
                        <w:rPr>
                          <w:color w:val="4472C4" w:themeColor="accent1"/>
                        </w:rPr>
                        <w:t>Katastrofālie personīgie maksājumi</w:t>
                      </w:r>
                      <w:r>
                        <w:rPr>
                          <w:color w:val="4472C4" w:themeColor="accent1"/>
                        </w:rPr>
                        <w:t xml:space="preserve"> (%)</w:t>
                      </w:r>
                    </w:p>
                  </w:txbxContent>
                </v:textbox>
              </v:shape>
            </w:pict>
          </mc:Fallback>
        </mc:AlternateContent>
      </w:r>
      <w:r w:rsidRPr="0070062A">
        <w:rPr>
          <w:rFonts w:ascii="Times New Roman" w:hAnsi="Times New Roman" w:cs="Times New Roman"/>
          <w:noProof/>
          <w:sz w:val="24"/>
          <w:szCs w:val="24"/>
          <w:lang w:eastAsia="lv-LV"/>
        </w:rPr>
        <w:drawing>
          <wp:inline distT="0" distB="0" distL="0" distR="0" wp14:anchorId="62E72787" wp14:editId="58E45AA1">
            <wp:extent cx="5781675" cy="254474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3237" cy="2563040"/>
                    </a:xfrm>
                    <a:prstGeom prst="rect">
                      <a:avLst/>
                    </a:prstGeom>
                    <a:noFill/>
                  </pic:spPr>
                </pic:pic>
              </a:graphicData>
            </a:graphic>
          </wp:inline>
        </w:drawing>
      </w:r>
    </w:p>
    <w:p w14:paraId="1DC84560" w14:textId="77777777" w:rsidR="00C63247" w:rsidRPr="0070062A" w:rsidRDefault="00C63247" w:rsidP="00C63247">
      <w:pPr>
        <w:spacing w:after="0" w:line="240" w:lineRule="auto"/>
        <w:ind w:firstLine="567"/>
        <w:jc w:val="both"/>
        <w:rPr>
          <w:rFonts w:ascii="Times New Roman" w:hAnsi="Times New Roman" w:cs="Times New Roman"/>
          <w:sz w:val="24"/>
          <w:szCs w:val="24"/>
        </w:rPr>
      </w:pPr>
    </w:p>
    <w:p w14:paraId="271A239B"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b/>
          <w:bCs/>
          <w:sz w:val="24"/>
          <w:szCs w:val="24"/>
        </w:rPr>
        <w:t>Ņemot vērā pašreizējo līdzekļu apmēru sistēmā, aizvien grūtāk būs panākt būtisku veselības sistēmas efektivitātes, kvalitātes, pieejamības un ilgtspējas progresu.</w:t>
      </w:r>
      <w:r w:rsidRPr="0070062A">
        <w:rPr>
          <w:rFonts w:ascii="Times New Roman" w:hAnsi="Times New Roman" w:cs="Times New Roman"/>
          <w:sz w:val="24"/>
          <w:szCs w:val="24"/>
        </w:rPr>
        <w:t xml:space="preserve"> Daži uzlabojumi varētu palielināt efektivitāti, tomēr lielākajā daļā būs vajadzīgs noteikts sākotnējo ieguldījumu līmenis. </w:t>
      </w:r>
      <w:r w:rsidRPr="0070062A">
        <w:rPr>
          <w:rFonts w:ascii="Times New Roman" w:hAnsi="Times New Roman" w:cs="Times New Roman"/>
          <w:b/>
          <w:sz w:val="24"/>
          <w:szCs w:val="24"/>
        </w:rPr>
        <w:t>Lai sasniegtu ES vidējiem rādītājiem tuvākus veselības rezultātus un rastu reālus risinājumus pieejamības un kvalitātes problēmām, Latvijai būtu jāpalielina veselības nozares izdevumi uz vienu iedzīvotāju līdz līmenim, kas tuvotos ES vidējam rādītājam, un jāpalielina veselības nozarei paredzētā IKP daļa</w:t>
      </w:r>
      <w:r w:rsidRPr="0070062A">
        <w:rPr>
          <w:rFonts w:ascii="Times New Roman" w:hAnsi="Times New Roman" w:cs="Times New Roman"/>
          <w:sz w:val="24"/>
          <w:szCs w:val="24"/>
        </w:rPr>
        <w:t>.</w:t>
      </w:r>
      <w:r w:rsidRPr="0070062A">
        <w:rPr>
          <w:rStyle w:val="FootnoteReference"/>
          <w:rFonts w:ascii="Times New Roman" w:hAnsi="Times New Roman" w:cs="Times New Roman"/>
          <w:sz w:val="24"/>
          <w:szCs w:val="24"/>
        </w:rPr>
        <w:footnoteReference w:id="12"/>
      </w:r>
      <w:r w:rsidRPr="0070062A">
        <w:rPr>
          <w:rFonts w:ascii="Times New Roman" w:hAnsi="Times New Roman" w:cs="Times New Roman"/>
          <w:sz w:val="24"/>
          <w:szCs w:val="24"/>
        </w:rPr>
        <w:t xml:space="preserve"> </w:t>
      </w:r>
    </w:p>
    <w:p w14:paraId="30D4BFD6" w14:textId="77777777" w:rsidR="00C63247"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Reformu plānā paredzētais veselības nozares finansējuma palielinājums ir vismaz 14% no valsts kopbudžeta – PVO ieteiktais optimālais līmenis, kas līdz šim nav sasniegts. VM budžetā faktiski apstiprinātie izdevumi procentos no valsts konsolidētā budžeta izdevumiem 2022.gadā ir paredzēti par 3,17 procentpunktiem mazāk, nekā noteikts reformu plānā, un sasniegs tikai 11,2% no valsts konsolidēta budžeta izdevumiem. </w:t>
      </w:r>
    </w:p>
    <w:p w14:paraId="6CD03601" w14:textId="77777777" w:rsidR="00C63247" w:rsidRDefault="00C63247" w:rsidP="00C63247">
      <w:pPr>
        <w:spacing w:after="0" w:line="240" w:lineRule="auto"/>
        <w:ind w:firstLine="567"/>
        <w:jc w:val="both"/>
        <w:rPr>
          <w:rFonts w:ascii="Times New Roman" w:hAnsi="Times New Roman" w:cs="Times New Roman"/>
          <w:bCs/>
          <w:sz w:val="24"/>
          <w:szCs w:val="24"/>
        </w:rPr>
      </w:pPr>
      <w:r w:rsidRPr="00C22590">
        <w:rPr>
          <w:rFonts w:ascii="Times New Roman" w:hAnsi="Times New Roman" w:cs="Times New Roman"/>
          <w:sz w:val="24"/>
          <w:szCs w:val="24"/>
        </w:rPr>
        <w:t>Gatavojot priekšlikumu</w:t>
      </w:r>
      <w:r>
        <w:rPr>
          <w:rFonts w:ascii="Times New Roman" w:hAnsi="Times New Roman" w:cs="Times New Roman"/>
          <w:sz w:val="24"/>
          <w:szCs w:val="24"/>
        </w:rPr>
        <w:t>s</w:t>
      </w:r>
      <w:r w:rsidRPr="00C22590">
        <w:rPr>
          <w:rFonts w:ascii="Times New Roman" w:hAnsi="Times New Roman" w:cs="Times New Roman"/>
          <w:sz w:val="24"/>
          <w:szCs w:val="24"/>
        </w:rPr>
        <w:t xml:space="preserve"> prioritāriem pasākumiem 2020.-2022.gadam, </w:t>
      </w:r>
      <w:r>
        <w:rPr>
          <w:rFonts w:ascii="Times New Roman" w:hAnsi="Times New Roman" w:cs="Times New Roman"/>
          <w:sz w:val="24"/>
          <w:szCs w:val="24"/>
        </w:rPr>
        <w:t>VM,</w:t>
      </w:r>
      <w:r w:rsidRPr="00C22590">
        <w:rPr>
          <w:rFonts w:ascii="Times New Roman" w:hAnsi="Times New Roman" w:cs="Times New Roman"/>
          <w:sz w:val="24"/>
          <w:szCs w:val="24"/>
        </w:rPr>
        <w:t xml:space="preserve"> apzinot vis</w:t>
      </w:r>
      <w:r>
        <w:rPr>
          <w:rFonts w:ascii="Times New Roman" w:hAnsi="Times New Roman" w:cs="Times New Roman"/>
          <w:sz w:val="24"/>
          <w:szCs w:val="24"/>
        </w:rPr>
        <w:t>u</w:t>
      </w:r>
      <w:r w:rsidRPr="00C22590">
        <w:rPr>
          <w:rFonts w:ascii="Times New Roman" w:hAnsi="Times New Roman" w:cs="Times New Roman"/>
          <w:sz w:val="24"/>
          <w:szCs w:val="24"/>
        </w:rPr>
        <w:t>s nozares problēmjautājumus un vajadzības</w:t>
      </w:r>
      <w:r>
        <w:rPr>
          <w:rFonts w:ascii="Times New Roman" w:hAnsi="Times New Roman" w:cs="Times New Roman"/>
          <w:sz w:val="24"/>
          <w:szCs w:val="24"/>
        </w:rPr>
        <w:t>,</w:t>
      </w:r>
      <w:r w:rsidRPr="00C22590">
        <w:rPr>
          <w:rFonts w:ascii="Times New Roman" w:hAnsi="Times New Roman" w:cs="Times New Roman"/>
          <w:bCs/>
          <w:sz w:val="24"/>
        </w:rPr>
        <w:t xml:space="preserve"> </w:t>
      </w:r>
      <w:r>
        <w:rPr>
          <w:rFonts w:ascii="Times New Roman" w:hAnsi="Times New Roman" w:cs="Times New Roman"/>
          <w:bCs/>
          <w:sz w:val="24"/>
        </w:rPr>
        <w:t xml:space="preserve">aprēķināja, ka </w:t>
      </w:r>
      <w:r w:rsidRPr="00C22590">
        <w:rPr>
          <w:rFonts w:ascii="Times New Roman" w:hAnsi="Times New Roman" w:cs="Times New Roman"/>
          <w:bCs/>
          <w:sz w:val="24"/>
        </w:rPr>
        <w:t xml:space="preserve">papildus nepieciešamais finansējums </w:t>
      </w:r>
      <w:r>
        <w:rPr>
          <w:rFonts w:ascii="Times New Roman" w:hAnsi="Times New Roman" w:cs="Times New Roman"/>
          <w:bCs/>
          <w:sz w:val="24"/>
        </w:rPr>
        <w:t xml:space="preserve">nozarei </w:t>
      </w:r>
      <w:r w:rsidRPr="00C22590">
        <w:rPr>
          <w:rFonts w:ascii="Times New Roman" w:hAnsi="Times New Roman" w:cs="Times New Roman"/>
          <w:bCs/>
          <w:sz w:val="24"/>
        </w:rPr>
        <w:t xml:space="preserve">2020.gadā </w:t>
      </w:r>
      <w:r>
        <w:rPr>
          <w:rFonts w:ascii="Times New Roman" w:hAnsi="Times New Roman" w:cs="Times New Roman"/>
          <w:bCs/>
          <w:sz w:val="24"/>
        </w:rPr>
        <w:t xml:space="preserve">bija </w:t>
      </w:r>
      <w:r w:rsidRPr="00C22590">
        <w:rPr>
          <w:rFonts w:ascii="Times New Roman" w:hAnsi="Times New Roman" w:cs="Times New Roman"/>
          <w:bCs/>
          <w:sz w:val="24"/>
        </w:rPr>
        <w:t xml:space="preserve">657 082 632 </w:t>
      </w:r>
      <w:r w:rsidRPr="00C22590">
        <w:rPr>
          <w:rFonts w:ascii="Times New Roman" w:hAnsi="Times New Roman" w:cs="Times New Roman"/>
          <w:bCs/>
          <w:i/>
          <w:sz w:val="24"/>
        </w:rPr>
        <w:t>euro</w:t>
      </w:r>
      <w:r w:rsidRPr="00C22590">
        <w:rPr>
          <w:rFonts w:ascii="Times New Roman" w:hAnsi="Times New Roman" w:cs="Times New Roman"/>
          <w:bCs/>
          <w:sz w:val="24"/>
        </w:rPr>
        <w:t xml:space="preserve">, 2021.gadā </w:t>
      </w:r>
      <w:r>
        <w:rPr>
          <w:rFonts w:ascii="Times New Roman" w:hAnsi="Times New Roman" w:cs="Times New Roman"/>
          <w:bCs/>
          <w:sz w:val="24"/>
        </w:rPr>
        <w:t xml:space="preserve">– </w:t>
      </w:r>
      <w:r w:rsidRPr="00C22590">
        <w:rPr>
          <w:rFonts w:ascii="Times New Roman" w:hAnsi="Times New Roman" w:cs="Times New Roman"/>
          <w:bCs/>
          <w:sz w:val="24"/>
        </w:rPr>
        <w:t xml:space="preserve">856 998 920 </w:t>
      </w:r>
      <w:r w:rsidRPr="00C22590">
        <w:rPr>
          <w:rFonts w:ascii="Times New Roman" w:hAnsi="Times New Roman" w:cs="Times New Roman"/>
          <w:bCs/>
          <w:i/>
          <w:sz w:val="24"/>
        </w:rPr>
        <w:t>euro</w:t>
      </w:r>
      <w:r w:rsidRPr="00C22590">
        <w:rPr>
          <w:rFonts w:ascii="Times New Roman" w:hAnsi="Times New Roman" w:cs="Times New Roman"/>
          <w:bCs/>
          <w:sz w:val="24"/>
        </w:rPr>
        <w:t xml:space="preserve"> un 2022.gadā </w:t>
      </w:r>
      <w:r>
        <w:rPr>
          <w:rFonts w:ascii="Times New Roman" w:hAnsi="Times New Roman" w:cs="Times New Roman"/>
          <w:bCs/>
          <w:sz w:val="24"/>
        </w:rPr>
        <w:t xml:space="preserve">– </w:t>
      </w:r>
      <w:r w:rsidRPr="00C22590">
        <w:rPr>
          <w:rFonts w:ascii="Times New Roman" w:hAnsi="Times New Roman" w:cs="Times New Roman"/>
          <w:bCs/>
          <w:sz w:val="24"/>
        </w:rPr>
        <w:t xml:space="preserve">1 027 645 370 </w:t>
      </w:r>
      <w:r w:rsidRPr="00C22590">
        <w:rPr>
          <w:rFonts w:ascii="Times New Roman" w:hAnsi="Times New Roman" w:cs="Times New Roman"/>
          <w:bCs/>
          <w:i/>
          <w:sz w:val="24"/>
          <w:szCs w:val="24"/>
        </w:rPr>
        <w:t>euro</w:t>
      </w:r>
      <w:r w:rsidRPr="00C22590">
        <w:rPr>
          <w:rFonts w:ascii="Times New Roman" w:hAnsi="Times New Roman" w:cs="Times New Roman"/>
          <w:bCs/>
          <w:sz w:val="24"/>
        </w:rPr>
        <w:t>.</w:t>
      </w:r>
      <w:r>
        <w:rPr>
          <w:rFonts w:ascii="Times New Roman" w:hAnsi="Times New Roman" w:cs="Times New Roman"/>
          <w:bCs/>
          <w:sz w:val="24"/>
        </w:rPr>
        <w:t xml:space="preserve"> </w:t>
      </w:r>
      <w:r w:rsidRPr="0070062A">
        <w:rPr>
          <w:rFonts w:ascii="Times New Roman" w:hAnsi="Times New Roman" w:cs="Times New Roman"/>
          <w:sz w:val="24"/>
        </w:rPr>
        <w:t>Tomēr, ņemot vērā valsts budžeta fiskālās telpas iespējas</w:t>
      </w:r>
      <w:r>
        <w:rPr>
          <w:rFonts w:ascii="Times New Roman" w:hAnsi="Times New Roman" w:cs="Times New Roman"/>
          <w:sz w:val="24"/>
        </w:rPr>
        <w:t xml:space="preserve">, </w:t>
      </w:r>
      <w:r w:rsidRPr="0070062A">
        <w:rPr>
          <w:rFonts w:ascii="Times New Roman" w:hAnsi="Times New Roman" w:cs="Times New Roman"/>
          <w:sz w:val="24"/>
          <w:szCs w:val="24"/>
        </w:rPr>
        <w:t xml:space="preserve">VM sagatavoja un iesniedza Finanšu ministrijā un PKC prioritāros pasākumus ar tiem norādīto nepieciešamo papildus finansējumu </w:t>
      </w:r>
      <w:r>
        <w:rPr>
          <w:rFonts w:ascii="Times New Roman" w:hAnsi="Times New Roman" w:cs="Times New Roman"/>
          <w:sz w:val="24"/>
          <w:szCs w:val="24"/>
        </w:rPr>
        <w:t>mazākā apjomā</w:t>
      </w:r>
      <w:r w:rsidRPr="00B821C3">
        <w:rPr>
          <w:rFonts w:ascii="Times New Roman" w:hAnsi="Times New Roman" w:cs="Times New Roman"/>
          <w:bCs/>
          <w:sz w:val="24"/>
          <w:szCs w:val="24"/>
        </w:rPr>
        <w:t>.</w:t>
      </w:r>
    </w:p>
    <w:p w14:paraId="0AB4A639" w14:textId="77777777" w:rsidR="00C63247" w:rsidRDefault="00C63247" w:rsidP="00C63247">
      <w:pPr>
        <w:spacing w:after="0" w:line="240" w:lineRule="auto"/>
        <w:ind w:firstLine="567"/>
        <w:jc w:val="both"/>
        <w:rPr>
          <w:rFonts w:ascii="Times New Roman" w:hAnsi="Times New Roman" w:cs="Times New Roman"/>
          <w:bCs/>
          <w:sz w:val="24"/>
          <w:szCs w:val="24"/>
        </w:rPr>
      </w:pPr>
    </w:p>
    <w:p w14:paraId="4F5994E0" w14:textId="55EC4C19" w:rsidR="00C63247" w:rsidRDefault="008730D1" w:rsidP="00C63247">
      <w:pPr>
        <w:spacing w:after="120" w:line="240" w:lineRule="auto"/>
        <w:ind w:firstLine="567"/>
        <w:jc w:val="center"/>
        <w:rPr>
          <w:rFonts w:ascii="Times New Roman" w:hAnsi="Times New Roman" w:cs="Times New Roman"/>
          <w:b/>
          <w:bCs/>
          <w:sz w:val="24"/>
        </w:rPr>
      </w:pPr>
      <w:r w:rsidRPr="008730D1">
        <w:rPr>
          <w:rFonts w:ascii="Times New Roman" w:hAnsi="Times New Roman" w:cs="Times New Roman"/>
          <w:b/>
          <w:bCs/>
          <w:sz w:val="24"/>
        </w:rPr>
        <w:t>Informācija par 2019. un 2020.gadā Veselības ministrijas iesniegto informāciju  Finanšu ministrijā un Pārresoru koordinācijas centrā par papildus nepieciešamo finansējumu būtiskākajiem problēmjautājumiem, faktiski piešķirto finansējumu 2018. un 2019.gadā prioritāro pasākumu īstenošanai, kā arī papildus piešķirto finansējumu ārstniecības personu darba samaksas paaugstināšanai un veselības aprūpes reformas pasākumu īstenošanai</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01"/>
        <w:gridCol w:w="1643"/>
        <w:gridCol w:w="1901"/>
        <w:gridCol w:w="1643"/>
      </w:tblGrid>
      <w:tr w:rsidR="00C63247" w:rsidRPr="00AA1961" w14:paraId="3B49FAE7" w14:textId="77777777" w:rsidTr="00295180">
        <w:trPr>
          <w:trHeight w:val="1659"/>
        </w:trPr>
        <w:tc>
          <w:tcPr>
            <w:tcW w:w="2689" w:type="dxa"/>
            <w:shd w:val="clear" w:color="auto" w:fill="E2EFD9" w:themeFill="accent6" w:themeFillTint="33"/>
            <w:noWrap/>
            <w:vAlign w:val="bottom"/>
            <w:hideMark/>
          </w:tcPr>
          <w:p w14:paraId="3AB129BF" w14:textId="77777777" w:rsidR="00C63247" w:rsidRPr="00AA1961" w:rsidRDefault="00C63247" w:rsidP="00295180">
            <w:pPr>
              <w:spacing w:after="0" w:line="240" w:lineRule="auto"/>
              <w:jc w:val="center"/>
              <w:rPr>
                <w:rFonts w:ascii="Times New Roman" w:eastAsia="Times New Roman" w:hAnsi="Times New Roman" w:cs="Times New Roman"/>
                <w:color w:val="000000"/>
                <w:sz w:val="18"/>
                <w:szCs w:val="18"/>
                <w:lang w:eastAsia="lv-LV"/>
              </w:rPr>
            </w:pPr>
            <w:r w:rsidRPr="00AA1961">
              <w:rPr>
                <w:rFonts w:ascii="Times New Roman" w:eastAsia="Times New Roman" w:hAnsi="Times New Roman" w:cs="Times New Roman"/>
                <w:color w:val="000000"/>
                <w:sz w:val="18"/>
                <w:szCs w:val="18"/>
                <w:lang w:eastAsia="lv-LV"/>
              </w:rPr>
              <w:t> </w:t>
            </w:r>
          </w:p>
        </w:tc>
        <w:tc>
          <w:tcPr>
            <w:tcW w:w="1901" w:type="dxa"/>
            <w:shd w:val="clear" w:color="auto" w:fill="E2EFD9" w:themeFill="accent6" w:themeFillTint="33"/>
            <w:vAlign w:val="center"/>
            <w:hideMark/>
          </w:tcPr>
          <w:p w14:paraId="399B4C18"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18"/>
                <w:szCs w:val="18"/>
                <w:lang w:eastAsia="lv-LV"/>
              </w:rPr>
            </w:pPr>
            <w:r w:rsidRPr="00AA1961">
              <w:rPr>
                <w:rFonts w:ascii="Times New Roman" w:eastAsia="Times New Roman" w:hAnsi="Times New Roman" w:cs="Times New Roman"/>
                <w:b/>
                <w:bCs/>
                <w:color w:val="000000"/>
                <w:sz w:val="18"/>
                <w:szCs w:val="18"/>
                <w:lang w:eastAsia="lv-LV"/>
              </w:rPr>
              <w:t xml:space="preserve">2019.gadam papildus nepieciešamais finansējums būtiskākajiem problēmjautājumiem, kas iesniegts Finanšu ministrijā un Pārresoru koordinācijas centrā, </w:t>
            </w:r>
            <w:r w:rsidRPr="00AA1961">
              <w:rPr>
                <w:rFonts w:ascii="Times New Roman" w:eastAsia="Times New Roman" w:hAnsi="Times New Roman" w:cs="Times New Roman"/>
                <w:b/>
                <w:bCs/>
                <w:i/>
                <w:iCs/>
                <w:color w:val="000000"/>
                <w:sz w:val="18"/>
                <w:szCs w:val="18"/>
                <w:lang w:eastAsia="lv-LV"/>
              </w:rPr>
              <w:t>euro</w:t>
            </w:r>
          </w:p>
        </w:tc>
        <w:tc>
          <w:tcPr>
            <w:tcW w:w="1643" w:type="dxa"/>
            <w:shd w:val="clear" w:color="auto" w:fill="E2EFD9" w:themeFill="accent6" w:themeFillTint="33"/>
            <w:vAlign w:val="center"/>
            <w:hideMark/>
          </w:tcPr>
          <w:p w14:paraId="15C3080B"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18"/>
                <w:szCs w:val="18"/>
                <w:lang w:eastAsia="lv-LV"/>
              </w:rPr>
            </w:pPr>
            <w:r w:rsidRPr="00AA1961">
              <w:rPr>
                <w:rFonts w:ascii="Times New Roman" w:eastAsia="Times New Roman" w:hAnsi="Times New Roman" w:cs="Times New Roman"/>
                <w:b/>
                <w:bCs/>
                <w:color w:val="000000"/>
                <w:sz w:val="18"/>
                <w:szCs w:val="18"/>
                <w:lang w:eastAsia="lv-LV"/>
              </w:rPr>
              <w:t xml:space="preserve">2019.gadam prioritārajiem pasākumiem, darba samaksas paaugstināšanai un veselības aprūpes reformu pasākumiem piešķirtais finansējums, </w:t>
            </w:r>
            <w:r w:rsidRPr="00AA1961">
              <w:rPr>
                <w:rFonts w:ascii="Times New Roman" w:eastAsia="Times New Roman" w:hAnsi="Times New Roman" w:cs="Times New Roman"/>
                <w:b/>
                <w:bCs/>
                <w:i/>
                <w:iCs/>
                <w:color w:val="000000"/>
                <w:sz w:val="18"/>
                <w:szCs w:val="18"/>
                <w:lang w:eastAsia="lv-LV"/>
              </w:rPr>
              <w:t>euro*</w:t>
            </w:r>
          </w:p>
        </w:tc>
        <w:tc>
          <w:tcPr>
            <w:tcW w:w="1901" w:type="dxa"/>
            <w:shd w:val="clear" w:color="auto" w:fill="E2EFD9" w:themeFill="accent6" w:themeFillTint="33"/>
            <w:vAlign w:val="center"/>
            <w:hideMark/>
          </w:tcPr>
          <w:p w14:paraId="761840DF"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18"/>
                <w:szCs w:val="18"/>
                <w:lang w:eastAsia="lv-LV"/>
              </w:rPr>
            </w:pPr>
            <w:r w:rsidRPr="00AA1961">
              <w:rPr>
                <w:rFonts w:ascii="Times New Roman" w:eastAsia="Times New Roman" w:hAnsi="Times New Roman" w:cs="Times New Roman"/>
                <w:b/>
                <w:bCs/>
                <w:color w:val="000000"/>
                <w:sz w:val="18"/>
                <w:szCs w:val="18"/>
                <w:lang w:eastAsia="lv-LV"/>
              </w:rPr>
              <w:t xml:space="preserve">2020.gadam papildus nepieciešamais finansējums būtiskākajiem problēmjautājumiem, kas iesniegts Finanšu ministrijā un Pārresoru koordinācijas centrā, </w:t>
            </w:r>
            <w:r w:rsidRPr="00AA1961">
              <w:rPr>
                <w:rFonts w:ascii="Times New Roman" w:eastAsia="Times New Roman" w:hAnsi="Times New Roman" w:cs="Times New Roman"/>
                <w:b/>
                <w:bCs/>
                <w:i/>
                <w:iCs/>
                <w:color w:val="000000"/>
                <w:sz w:val="18"/>
                <w:szCs w:val="18"/>
                <w:lang w:eastAsia="lv-LV"/>
              </w:rPr>
              <w:t>euro</w:t>
            </w:r>
          </w:p>
        </w:tc>
        <w:tc>
          <w:tcPr>
            <w:tcW w:w="1643" w:type="dxa"/>
            <w:shd w:val="clear" w:color="auto" w:fill="E2EFD9" w:themeFill="accent6" w:themeFillTint="33"/>
            <w:vAlign w:val="center"/>
            <w:hideMark/>
          </w:tcPr>
          <w:p w14:paraId="1B7D91AB"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18"/>
                <w:szCs w:val="18"/>
                <w:lang w:eastAsia="lv-LV"/>
              </w:rPr>
            </w:pPr>
            <w:r w:rsidRPr="00AA1961">
              <w:rPr>
                <w:rFonts w:ascii="Times New Roman" w:eastAsia="Times New Roman" w:hAnsi="Times New Roman" w:cs="Times New Roman"/>
                <w:b/>
                <w:bCs/>
                <w:color w:val="000000"/>
                <w:sz w:val="18"/>
                <w:szCs w:val="18"/>
                <w:lang w:eastAsia="lv-LV"/>
              </w:rPr>
              <w:t xml:space="preserve">2020.gadam prioritārajiem pasākumiem, darba samaksas paaugstināšanai un veselības aprūpes reformu pasākumiem piešķirtais finansējums, </w:t>
            </w:r>
            <w:r w:rsidRPr="006D483F">
              <w:rPr>
                <w:rFonts w:ascii="Times New Roman" w:eastAsia="Times New Roman" w:hAnsi="Times New Roman" w:cs="Times New Roman"/>
                <w:b/>
                <w:bCs/>
                <w:i/>
                <w:iCs/>
                <w:color w:val="000000"/>
                <w:sz w:val="18"/>
                <w:szCs w:val="18"/>
                <w:lang w:eastAsia="lv-LV"/>
              </w:rPr>
              <w:t>euro</w:t>
            </w:r>
            <w:r w:rsidRPr="00AA1961">
              <w:rPr>
                <w:rFonts w:ascii="Times New Roman" w:eastAsia="Times New Roman" w:hAnsi="Times New Roman" w:cs="Times New Roman"/>
                <w:b/>
                <w:bCs/>
                <w:color w:val="000000"/>
                <w:sz w:val="18"/>
                <w:szCs w:val="18"/>
                <w:lang w:eastAsia="lv-LV"/>
              </w:rPr>
              <w:t>**</w:t>
            </w:r>
          </w:p>
        </w:tc>
      </w:tr>
      <w:tr w:rsidR="00C63247" w:rsidRPr="00AA1961" w14:paraId="47E03B52" w14:textId="77777777" w:rsidTr="00295180">
        <w:trPr>
          <w:trHeight w:val="300"/>
        </w:trPr>
        <w:tc>
          <w:tcPr>
            <w:tcW w:w="2689" w:type="dxa"/>
            <w:shd w:val="clear" w:color="000000" w:fill="FFFFFF"/>
            <w:vAlign w:val="center"/>
            <w:hideMark/>
          </w:tcPr>
          <w:p w14:paraId="202B4916"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Ambulatoro  pakalpojumu pieejamības uzlabošana</w:t>
            </w:r>
          </w:p>
        </w:tc>
        <w:tc>
          <w:tcPr>
            <w:tcW w:w="1901" w:type="dxa"/>
            <w:shd w:val="clear" w:color="000000" w:fill="FFFFFF"/>
            <w:vAlign w:val="center"/>
            <w:hideMark/>
          </w:tcPr>
          <w:p w14:paraId="379F8A50"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55 884 755</w:t>
            </w:r>
          </w:p>
        </w:tc>
        <w:tc>
          <w:tcPr>
            <w:tcW w:w="1643" w:type="dxa"/>
            <w:shd w:val="clear" w:color="000000" w:fill="FFFFFF"/>
            <w:vAlign w:val="center"/>
            <w:hideMark/>
          </w:tcPr>
          <w:p w14:paraId="7E89F72D"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20 296 704</w:t>
            </w:r>
          </w:p>
        </w:tc>
        <w:tc>
          <w:tcPr>
            <w:tcW w:w="1901" w:type="dxa"/>
            <w:shd w:val="clear" w:color="000000" w:fill="FFFFFF"/>
            <w:vAlign w:val="center"/>
            <w:hideMark/>
          </w:tcPr>
          <w:p w14:paraId="0DDC6A91"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17 173 200</w:t>
            </w:r>
          </w:p>
        </w:tc>
        <w:tc>
          <w:tcPr>
            <w:tcW w:w="1643" w:type="dxa"/>
            <w:shd w:val="clear" w:color="000000" w:fill="FFFFFF"/>
            <w:vAlign w:val="center"/>
            <w:hideMark/>
          </w:tcPr>
          <w:p w14:paraId="5BF101D5"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78987E34" w14:textId="77777777" w:rsidTr="00295180">
        <w:trPr>
          <w:trHeight w:val="300"/>
        </w:trPr>
        <w:tc>
          <w:tcPr>
            <w:tcW w:w="2689" w:type="dxa"/>
            <w:shd w:val="clear" w:color="000000" w:fill="FFFFFF"/>
            <w:vAlign w:val="center"/>
            <w:hideMark/>
          </w:tcPr>
          <w:p w14:paraId="005084B2"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Stacionāro pakalpojumu pieejamības uzlabošana</w:t>
            </w:r>
          </w:p>
        </w:tc>
        <w:tc>
          <w:tcPr>
            <w:tcW w:w="1901" w:type="dxa"/>
            <w:shd w:val="clear" w:color="000000" w:fill="FFFFFF"/>
            <w:vAlign w:val="center"/>
            <w:hideMark/>
          </w:tcPr>
          <w:p w14:paraId="2BFF5437"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39 420 049</w:t>
            </w:r>
          </w:p>
        </w:tc>
        <w:tc>
          <w:tcPr>
            <w:tcW w:w="1643" w:type="dxa"/>
            <w:shd w:val="clear" w:color="000000" w:fill="FFFFFF"/>
            <w:vAlign w:val="center"/>
            <w:hideMark/>
          </w:tcPr>
          <w:p w14:paraId="7D4E9A9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10 803 710</w:t>
            </w:r>
          </w:p>
        </w:tc>
        <w:tc>
          <w:tcPr>
            <w:tcW w:w="1901" w:type="dxa"/>
            <w:shd w:val="clear" w:color="000000" w:fill="FFFFFF"/>
            <w:vAlign w:val="center"/>
            <w:hideMark/>
          </w:tcPr>
          <w:p w14:paraId="4B8EA96A"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6 011 725</w:t>
            </w:r>
          </w:p>
        </w:tc>
        <w:tc>
          <w:tcPr>
            <w:tcW w:w="1643" w:type="dxa"/>
            <w:shd w:val="clear" w:color="000000" w:fill="FFFFFF"/>
            <w:vAlign w:val="center"/>
            <w:hideMark/>
          </w:tcPr>
          <w:p w14:paraId="3B0637D3"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003ADD03" w14:textId="77777777" w:rsidTr="00295180">
        <w:trPr>
          <w:trHeight w:val="300"/>
        </w:trPr>
        <w:tc>
          <w:tcPr>
            <w:tcW w:w="2689" w:type="dxa"/>
            <w:shd w:val="clear" w:color="000000" w:fill="FFFFFF"/>
            <w:vAlign w:val="center"/>
            <w:hideMark/>
          </w:tcPr>
          <w:p w14:paraId="0D2E87F5"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Pacientu iemaksu un līdzmaksājumu samazinājums</w:t>
            </w:r>
          </w:p>
        </w:tc>
        <w:tc>
          <w:tcPr>
            <w:tcW w:w="1901" w:type="dxa"/>
            <w:shd w:val="clear" w:color="000000" w:fill="FFFFFF"/>
            <w:vAlign w:val="center"/>
            <w:hideMark/>
          </w:tcPr>
          <w:p w14:paraId="4D22673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643" w:type="dxa"/>
            <w:shd w:val="clear" w:color="000000" w:fill="FFFFFF"/>
            <w:vAlign w:val="center"/>
            <w:hideMark/>
          </w:tcPr>
          <w:p w14:paraId="3BDF99E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0C21023A"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4 104 389</w:t>
            </w:r>
          </w:p>
        </w:tc>
        <w:tc>
          <w:tcPr>
            <w:tcW w:w="1643" w:type="dxa"/>
            <w:shd w:val="clear" w:color="000000" w:fill="FFFFFF"/>
            <w:vAlign w:val="center"/>
            <w:hideMark/>
          </w:tcPr>
          <w:p w14:paraId="695F187A"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47BDA341" w14:textId="77777777" w:rsidTr="00295180">
        <w:trPr>
          <w:trHeight w:val="285"/>
        </w:trPr>
        <w:tc>
          <w:tcPr>
            <w:tcW w:w="2689" w:type="dxa"/>
            <w:shd w:val="clear" w:color="000000" w:fill="FFFFFF"/>
            <w:vAlign w:val="center"/>
            <w:hideMark/>
          </w:tcPr>
          <w:p w14:paraId="6D3D63A6"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Pārējo tarifu elementu palielināšana</w:t>
            </w:r>
          </w:p>
        </w:tc>
        <w:tc>
          <w:tcPr>
            <w:tcW w:w="1901" w:type="dxa"/>
            <w:shd w:val="clear" w:color="000000" w:fill="FFFFFF"/>
            <w:vAlign w:val="center"/>
            <w:hideMark/>
          </w:tcPr>
          <w:p w14:paraId="6724D3E9"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48 018 057</w:t>
            </w:r>
          </w:p>
        </w:tc>
        <w:tc>
          <w:tcPr>
            <w:tcW w:w="1643" w:type="dxa"/>
            <w:shd w:val="clear" w:color="000000" w:fill="FFFFFF"/>
            <w:vAlign w:val="center"/>
            <w:hideMark/>
          </w:tcPr>
          <w:p w14:paraId="0AE27C92"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2DD1A83C"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20 894 615</w:t>
            </w:r>
          </w:p>
        </w:tc>
        <w:tc>
          <w:tcPr>
            <w:tcW w:w="1643" w:type="dxa"/>
            <w:shd w:val="clear" w:color="000000" w:fill="FFFFFF"/>
            <w:vAlign w:val="center"/>
            <w:hideMark/>
          </w:tcPr>
          <w:p w14:paraId="5F2FCC4E"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35948C9E" w14:textId="77777777" w:rsidTr="00295180">
        <w:trPr>
          <w:trHeight w:val="495"/>
        </w:trPr>
        <w:tc>
          <w:tcPr>
            <w:tcW w:w="2689" w:type="dxa"/>
            <w:shd w:val="clear" w:color="000000" w:fill="FFFFFF"/>
            <w:vAlign w:val="center"/>
            <w:hideMark/>
          </w:tcPr>
          <w:p w14:paraId="512CC310"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Jaunu pakalpojumu iekļaušana valsts apmaksājamo pakalpojumu klāstā</w:t>
            </w:r>
          </w:p>
        </w:tc>
        <w:tc>
          <w:tcPr>
            <w:tcW w:w="1901" w:type="dxa"/>
            <w:shd w:val="clear" w:color="000000" w:fill="FFFFFF"/>
            <w:vAlign w:val="center"/>
            <w:hideMark/>
          </w:tcPr>
          <w:p w14:paraId="3D441D78"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643" w:type="dxa"/>
            <w:shd w:val="clear" w:color="000000" w:fill="FFFFFF"/>
            <w:vAlign w:val="center"/>
            <w:hideMark/>
          </w:tcPr>
          <w:p w14:paraId="792B6A91"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11A4450C"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4  454 218</w:t>
            </w:r>
          </w:p>
        </w:tc>
        <w:tc>
          <w:tcPr>
            <w:tcW w:w="1643" w:type="dxa"/>
            <w:shd w:val="clear" w:color="000000" w:fill="FFFFFF"/>
            <w:vAlign w:val="center"/>
            <w:hideMark/>
          </w:tcPr>
          <w:p w14:paraId="65F9A750"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r>
      <w:tr w:rsidR="00C63247" w:rsidRPr="00AA1961" w14:paraId="6279BDE4" w14:textId="77777777" w:rsidTr="00295180">
        <w:trPr>
          <w:trHeight w:val="435"/>
        </w:trPr>
        <w:tc>
          <w:tcPr>
            <w:tcW w:w="2689" w:type="dxa"/>
            <w:shd w:val="clear" w:color="000000" w:fill="FFFFFF"/>
            <w:vAlign w:val="center"/>
            <w:hideMark/>
          </w:tcPr>
          <w:p w14:paraId="1EE35A19"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 xml:space="preserve">Kompensējamie medikamenti un  centralizētie medikamenti </w:t>
            </w:r>
          </w:p>
        </w:tc>
        <w:tc>
          <w:tcPr>
            <w:tcW w:w="1901" w:type="dxa"/>
            <w:shd w:val="clear" w:color="000000" w:fill="FFFFFF"/>
            <w:vAlign w:val="center"/>
            <w:hideMark/>
          </w:tcPr>
          <w:p w14:paraId="13043C9D"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30 173 533</w:t>
            </w:r>
          </w:p>
        </w:tc>
        <w:tc>
          <w:tcPr>
            <w:tcW w:w="1643" w:type="dxa"/>
            <w:shd w:val="clear" w:color="000000" w:fill="FFFFFF"/>
            <w:vAlign w:val="center"/>
            <w:hideMark/>
          </w:tcPr>
          <w:p w14:paraId="24960A1C"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675 000</w:t>
            </w:r>
          </w:p>
        </w:tc>
        <w:tc>
          <w:tcPr>
            <w:tcW w:w="1901" w:type="dxa"/>
            <w:shd w:val="clear" w:color="000000" w:fill="FFFFFF"/>
            <w:vAlign w:val="center"/>
            <w:hideMark/>
          </w:tcPr>
          <w:p w14:paraId="2B0E9B0E"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38 443 954</w:t>
            </w:r>
          </w:p>
        </w:tc>
        <w:tc>
          <w:tcPr>
            <w:tcW w:w="1643" w:type="dxa"/>
            <w:shd w:val="clear" w:color="000000" w:fill="FFFFFF"/>
            <w:vAlign w:val="center"/>
            <w:hideMark/>
          </w:tcPr>
          <w:p w14:paraId="6A5F3B7B"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4 267 205</w:t>
            </w:r>
          </w:p>
        </w:tc>
      </w:tr>
      <w:tr w:rsidR="00C63247" w:rsidRPr="00AA1961" w14:paraId="33F301AF" w14:textId="77777777" w:rsidTr="00295180">
        <w:trPr>
          <w:trHeight w:val="330"/>
        </w:trPr>
        <w:tc>
          <w:tcPr>
            <w:tcW w:w="2689" w:type="dxa"/>
            <w:shd w:val="clear" w:color="000000" w:fill="FFFFFF"/>
            <w:hideMark/>
          </w:tcPr>
          <w:p w14:paraId="7376B65B" w14:textId="77777777" w:rsidR="00C63247" w:rsidRPr="00AA1961" w:rsidRDefault="00C63247" w:rsidP="00295180">
            <w:pPr>
              <w:spacing w:after="0" w:line="240" w:lineRule="auto"/>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Ārstniecības personu darba samaksas pieaugums</w:t>
            </w:r>
          </w:p>
        </w:tc>
        <w:tc>
          <w:tcPr>
            <w:tcW w:w="1901" w:type="dxa"/>
            <w:shd w:val="clear" w:color="000000" w:fill="FFFFFF"/>
            <w:vAlign w:val="center"/>
            <w:hideMark/>
          </w:tcPr>
          <w:p w14:paraId="2C3EBBCB"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103 581 437</w:t>
            </w:r>
          </w:p>
        </w:tc>
        <w:tc>
          <w:tcPr>
            <w:tcW w:w="1643" w:type="dxa"/>
            <w:shd w:val="clear" w:color="000000" w:fill="FFFFFF"/>
            <w:vAlign w:val="center"/>
            <w:hideMark/>
          </w:tcPr>
          <w:p w14:paraId="7DB72299"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99 462 244</w:t>
            </w:r>
          </w:p>
        </w:tc>
        <w:tc>
          <w:tcPr>
            <w:tcW w:w="1901" w:type="dxa"/>
            <w:shd w:val="clear" w:color="000000" w:fill="FFFFFF"/>
            <w:vAlign w:val="center"/>
            <w:hideMark/>
          </w:tcPr>
          <w:p w14:paraId="75B74F33"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119 692 717</w:t>
            </w:r>
          </w:p>
        </w:tc>
        <w:tc>
          <w:tcPr>
            <w:tcW w:w="1643" w:type="dxa"/>
            <w:shd w:val="clear" w:color="000000" w:fill="FFFFFF"/>
            <w:vAlign w:val="center"/>
            <w:hideMark/>
          </w:tcPr>
          <w:p w14:paraId="14664F0A"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60 111 198***</w:t>
            </w:r>
          </w:p>
        </w:tc>
      </w:tr>
      <w:tr w:rsidR="00C63247" w:rsidRPr="00AA1961" w14:paraId="63E279D1" w14:textId="77777777" w:rsidTr="00295180">
        <w:trPr>
          <w:trHeight w:val="300"/>
        </w:trPr>
        <w:tc>
          <w:tcPr>
            <w:tcW w:w="2689" w:type="dxa"/>
            <w:shd w:val="clear" w:color="000000" w:fill="FFFFFF"/>
            <w:hideMark/>
          </w:tcPr>
          <w:p w14:paraId="0C946241" w14:textId="77777777" w:rsidR="00C63247" w:rsidRPr="00AA1961" w:rsidRDefault="00C63247" w:rsidP="00295180">
            <w:pPr>
              <w:spacing w:after="0" w:line="240" w:lineRule="auto"/>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Rezidentu apmācības nodrošināšana</w:t>
            </w:r>
          </w:p>
        </w:tc>
        <w:tc>
          <w:tcPr>
            <w:tcW w:w="1901" w:type="dxa"/>
            <w:shd w:val="clear" w:color="000000" w:fill="FFFFFF"/>
            <w:vAlign w:val="center"/>
            <w:hideMark/>
          </w:tcPr>
          <w:p w14:paraId="338A1CA0"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8 039 273</w:t>
            </w:r>
          </w:p>
        </w:tc>
        <w:tc>
          <w:tcPr>
            <w:tcW w:w="1643" w:type="dxa"/>
            <w:shd w:val="clear" w:color="000000" w:fill="FFFFFF"/>
            <w:vAlign w:val="center"/>
            <w:hideMark/>
          </w:tcPr>
          <w:p w14:paraId="5478E4C4"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c>
          <w:tcPr>
            <w:tcW w:w="1901" w:type="dxa"/>
            <w:shd w:val="clear" w:color="000000" w:fill="FFFFFF"/>
            <w:vAlign w:val="center"/>
            <w:hideMark/>
          </w:tcPr>
          <w:p w14:paraId="3CED0759"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6 760 642</w:t>
            </w:r>
          </w:p>
        </w:tc>
        <w:tc>
          <w:tcPr>
            <w:tcW w:w="1643" w:type="dxa"/>
            <w:shd w:val="clear" w:color="000000" w:fill="FFFFFF"/>
            <w:vAlign w:val="center"/>
            <w:hideMark/>
          </w:tcPr>
          <w:p w14:paraId="6C3FBA7F"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6B3A26EA" w14:textId="77777777" w:rsidTr="00295180">
        <w:trPr>
          <w:trHeight w:val="495"/>
        </w:trPr>
        <w:tc>
          <w:tcPr>
            <w:tcW w:w="2689" w:type="dxa"/>
            <w:shd w:val="clear" w:color="000000" w:fill="FFFFFF"/>
            <w:vAlign w:val="center"/>
            <w:hideMark/>
          </w:tcPr>
          <w:p w14:paraId="0268457C"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lastRenderedPageBreak/>
              <w:t>Norēķinu veikšanai ar ES un EEZ valstīm par sniegtajiem veselības aprūpes pakalpojumiem</w:t>
            </w:r>
          </w:p>
        </w:tc>
        <w:tc>
          <w:tcPr>
            <w:tcW w:w="1901" w:type="dxa"/>
            <w:shd w:val="clear" w:color="000000" w:fill="FFFFFF"/>
            <w:vAlign w:val="center"/>
            <w:hideMark/>
          </w:tcPr>
          <w:p w14:paraId="753E5181"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9 525 645</w:t>
            </w:r>
          </w:p>
        </w:tc>
        <w:tc>
          <w:tcPr>
            <w:tcW w:w="1643" w:type="dxa"/>
            <w:shd w:val="clear" w:color="000000" w:fill="FFFFFF"/>
            <w:vAlign w:val="center"/>
            <w:hideMark/>
          </w:tcPr>
          <w:p w14:paraId="72C9A930"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3D6C99CA"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9 127 250</w:t>
            </w:r>
          </w:p>
        </w:tc>
        <w:tc>
          <w:tcPr>
            <w:tcW w:w="1643" w:type="dxa"/>
            <w:shd w:val="clear" w:color="000000" w:fill="FFFFFF"/>
            <w:vAlign w:val="center"/>
            <w:hideMark/>
          </w:tcPr>
          <w:p w14:paraId="0A549DE6"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r>
      <w:tr w:rsidR="00C63247" w:rsidRPr="00AA1961" w14:paraId="3A62195E" w14:textId="77777777" w:rsidTr="00295180">
        <w:trPr>
          <w:trHeight w:val="285"/>
        </w:trPr>
        <w:tc>
          <w:tcPr>
            <w:tcW w:w="2689" w:type="dxa"/>
            <w:shd w:val="clear" w:color="000000" w:fill="FFFFFF"/>
            <w:vAlign w:val="center"/>
            <w:hideMark/>
          </w:tcPr>
          <w:p w14:paraId="30F3DF36"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Plāns reto slimību jomā</w:t>
            </w:r>
          </w:p>
        </w:tc>
        <w:tc>
          <w:tcPr>
            <w:tcW w:w="1901" w:type="dxa"/>
            <w:shd w:val="clear" w:color="000000" w:fill="FFFFFF"/>
            <w:vAlign w:val="center"/>
            <w:hideMark/>
          </w:tcPr>
          <w:p w14:paraId="16C6EC5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31 357 099</w:t>
            </w:r>
          </w:p>
        </w:tc>
        <w:tc>
          <w:tcPr>
            <w:tcW w:w="1643" w:type="dxa"/>
            <w:shd w:val="clear" w:color="000000" w:fill="FFFFFF"/>
            <w:vAlign w:val="center"/>
            <w:hideMark/>
          </w:tcPr>
          <w:p w14:paraId="68668C24"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3 000 000</w:t>
            </w:r>
          </w:p>
        </w:tc>
        <w:tc>
          <w:tcPr>
            <w:tcW w:w="1901" w:type="dxa"/>
            <w:shd w:val="clear" w:color="000000" w:fill="FFFFFF"/>
            <w:vAlign w:val="center"/>
            <w:hideMark/>
          </w:tcPr>
          <w:p w14:paraId="411B318C"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7 620 229</w:t>
            </w:r>
          </w:p>
        </w:tc>
        <w:tc>
          <w:tcPr>
            <w:tcW w:w="1643" w:type="dxa"/>
            <w:shd w:val="clear" w:color="000000" w:fill="FFFFFF"/>
            <w:vAlign w:val="center"/>
            <w:hideMark/>
          </w:tcPr>
          <w:p w14:paraId="4B4893FC"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3 000 000</w:t>
            </w:r>
          </w:p>
        </w:tc>
      </w:tr>
      <w:tr w:rsidR="00C63247" w:rsidRPr="00AA1961" w14:paraId="4D171150" w14:textId="77777777" w:rsidTr="00295180">
        <w:trPr>
          <w:trHeight w:val="285"/>
        </w:trPr>
        <w:tc>
          <w:tcPr>
            <w:tcW w:w="2689" w:type="dxa"/>
            <w:shd w:val="clear" w:color="000000" w:fill="FFFFFF"/>
            <w:vAlign w:val="center"/>
            <w:hideMark/>
          </w:tcPr>
          <w:p w14:paraId="6073F76C"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 xml:space="preserve">Mātes un bērna veselības uzlabošanas plāns </w:t>
            </w:r>
          </w:p>
        </w:tc>
        <w:tc>
          <w:tcPr>
            <w:tcW w:w="1901" w:type="dxa"/>
            <w:shd w:val="clear" w:color="000000" w:fill="FFFFFF"/>
            <w:vAlign w:val="center"/>
            <w:hideMark/>
          </w:tcPr>
          <w:p w14:paraId="5BE7E6FD"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8 535 281</w:t>
            </w:r>
          </w:p>
        </w:tc>
        <w:tc>
          <w:tcPr>
            <w:tcW w:w="1643" w:type="dxa"/>
            <w:shd w:val="clear" w:color="000000" w:fill="FFFFFF"/>
            <w:vAlign w:val="center"/>
            <w:hideMark/>
          </w:tcPr>
          <w:p w14:paraId="6A95624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7FE947D6"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379 880</w:t>
            </w:r>
          </w:p>
        </w:tc>
        <w:tc>
          <w:tcPr>
            <w:tcW w:w="1643" w:type="dxa"/>
            <w:shd w:val="clear" w:color="000000" w:fill="FFFFFF"/>
            <w:vAlign w:val="center"/>
            <w:hideMark/>
          </w:tcPr>
          <w:p w14:paraId="3375E676"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5FBA44CC" w14:textId="77777777" w:rsidTr="00295180">
        <w:trPr>
          <w:trHeight w:val="465"/>
        </w:trPr>
        <w:tc>
          <w:tcPr>
            <w:tcW w:w="2689" w:type="dxa"/>
            <w:shd w:val="clear" w:color="000000" w:fill="FFFFFF"/>
            <w:vAlign w:val="center"/>
            <w:hideMark/>
          </w:tcPr>
          <w:p w14:paraId="08FFF8BE"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Veselības aprūpes pakalpojumu onkoloģijas jomā uzlabošanas plāns</w:t>
            </w:r>
          </w:p>
        </w:tc>
        <w:tc>
          <w:tcPr>
            <w:tcW w:w="1901" w:type="dxa"/>
            <w:shd w:val="clear" w:color="000000" w:fill="FFFFFF"/>
            <w:vAlign w:val="center"/>
            <w:hideMark/>
          </w:tcPr>
          <w:p w14:paraId="5EF639DC"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41 373 189</w:t>
            </w:r>
          </w:p>
        </w:tc>
        <w:tc>
          <w:tcPr>
            <w:tcW w:w="1643" w:type="dxa"/>
            <w:shd w:val="clear" w:color="000000" w:fill="FFFFFF"/>
            <w:vAlign w:val="center"/>
            <w:hideMark/>
          </w:tcPr>
          <w:p w14:paraId="2716868A"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263418E7"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5 647 269</w:t>
            </w:r>
          </w:p>
        </w:tc>
        <w:tc>
          <w:tcPr>
            <w:tcW w:w="1643" w:type="dxa"/>
            <w:shd w:val="clear" w:color="000000" w:fill="FFFFFF"/>
            <w:vAlign w:val="center"/>
            <w:hideMark/>
          </w:tcPr>
          <w:p w14:paraId="37AC154F"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r>
      <w:tr w:rsidR="00C63247" w:rsidRPr="00AA1961" w14:paraId="002F8478" w14:textId="77777777" w:rsidTr="00295180">
        <w:trPr>
          <w:trHeight w:val="285"/>
        </w:trPr>
        <w:tc>
          <w:tcPr>
            <w:tcW w:w="2689" w:type="dxa"/>
            <w:shd w:val="clear" w:color="000000" w:fill="FFFFFF"/>
            <w:hideMark/>
          </w:tcPr>
          <w:p w14:paraId="07EE42CB" w14:textId="77777777" w:rsidR="00C63247" w:rsidRPr="00AA1961" w:rsidRDefault="00C63247" w:rsidP="00295180">
            <w:pPr>
              <w:spacing w:after="0" w:line="240" w:lineRule="auto"/>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Rīcības plāns psihiskās veselības uzlabošanai</w:t>
            </w:r>
          </w:p>
        </w:tc>
        <w:tc>
          <w:tcPr>
            <w:tcW w:w="1901" w:type="dxa"/>
            <w:shd w:val="clear" w:color="000000" w:fill="FFFFFF"/>
            <w:vAlign w:val="center"/>
            <w:hideMark/>
          </w:tcPr>
          <w:p w14:paraId="5A8522D0"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c>
          <w:tcPr>
            <w:tcW w:w="1643" w:type="dxa"/>
            <w:shd w:val="clear" w:color="000000" w:fill="FFFFFF"/>
            <w:vAlign w:val="center"/>
            <w:hideMark/>
          </w:tcPr>
          <w:p w14:paraId="409560D3"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6 308 906</w:t>
            </w:r>
          </w:p>
        </w:tc>
        <w:tc>
          <w:tcPr>
            <w:tcW w:w="1901" w:type="dxa"/>
            <w:shd w:val="clear" w:color="000000" w:fill="FFFFFF"/>
            <w:vAlign w:val="center"/>
            <w:hideMark/>
          </w:tcPr>
          <w:p w14:paraId="3DB061A2"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r w:rsidRPr="00AA1961">
              <w:rPr>
                <w:rFonts w:ascii="Times New Roman" w:eastAsia="Times New Roman" w:hAnsi="Times New Roman" w:cs="Times New Roman"/>
                <w:sz w:val="20"/>
                <w:szCs w:val="20"/>
                <w:lang w:eastAsia="lv-LV"/>
              </w:rPr>
              <w:t>13 796 194</w:t>
            </w:r>
          </w:p>
        </w:tc>
        <w:tc>
          <w:tcPr>
            <w:tcW w:w="1643" w:type="dxa"/>
            <w:shd w:val="clear" w:color="000000" w:fill="FFFFFF"/>
            <w:vAlign w:val="center"/>
            <w:hideMark/>
          </w:tcPr>
          <w:p w14:paraId="329E5BAB" w14:textId="77777777" w:rsidR="00C63247" w:rsidRPr="00AA1961" w:rsidRDefault="00C63247" w:rsidP="00295180">
            <w:pPr>
              <w:spacing w:after="0" w:line="240" w:lineRule="auto"/>
              <w:jc w:val="center"/>
              <w:rPr>
                <w:rFonts w:ascii="Times New Roman" w:eastAsia="Times New Roman" w:hAnsi="Times New Roman" w:cs="Times New Roman"/>
                <w:sz w:val="20"/>
                <w:szCs w:val="20"/>
                <w:lang w:eastAsia="lv-LV"/>
              </w:rPr>
            </w:pPr>
          </w:p>
        </w:tc>
      </w:tr>
      <w:tr w:rsidR="00C63247" w:rsidRPr="00AA1961" w14:paraId="1FEC65EF" w14:textId="77777777" w:rsidTr="00295180">
        <w:trPr>
          <w:trHeight w:val="495"/>
        </w:trPr>
        <w:tc>
          <w:tcPr>
            <w:tcW w:w="2689" w:type="dxa"/>
            <w:shd w:val="clear" w:color="000000" w:fill="FFFFFF"/>
            <w:vAlign w:val="center"/>
            <w:hideMark/>
          </w:tcPr>
          <w:p w14:paraId="39F99ECD"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 xml:space="preserve">HIV infekcijas, seksuālās transmisijas infekciju, B un C hepatīta izplatības ierobežošanas rīcības plāns </w:t>
            </w:r>
          </w:p>
        </w:tc>
        <w:tc>
          <w:tcPr>
            <w:tcW w:w="1901" w:type="dxa"/>
            <w:shd w:val="clear" w:color="000000" w:fill="FFFFFF"/>
            <w:vAlign w:val="center"/>
            <w:hideMark/>
          </w:tcPr>
          <w:p w14:paraId="384DE296"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27 749 281</w:t>
            </w:r>
          </w:p>
        </w:tc>
        <w:tc>
          <w:tcPr>
            <w:tcW w:w="1643" w:type="dxa"/>
            <w:shd w:val="clear" w:color="000000" w:fill="FFFFFF"/>
            <w:vAlign w:val="center"/>
            <w:hideMark/>
          </w:tcPr>
          <w:p w14:paraId="1EFA5AA1"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c>
          <w:tcPr>
            <w:tcW w:w="1901" w:type="dxa"/>
            <w:shd w:val="clear" w:color="000000" w:fill="FFFFFF"/>
            <w:vAlign w:val="center"/>
            <w:hideMark/>
          </w:tcPr>
          <w:p w14:paraId="05738691"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3 545 851</w:t>
            </w:r>
          </w:p>
        </w:tc>
        <w:tc>
          <w:tcPr>
            <w:tcW w:w="1643" w:type="dxa"/>
            <w:shd w:val="clear" w:color="000000" w:fill="FFFFFF"/>
            <w:vAlign w:val="center"/>
            <w:hideMark/>
          </w:tcPr>
          <w:p w14:paraId="3BFE255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p>
        </w:tc>
      </w:tr>
      <w:tr w:rsidR="00C63247" w:rsidRPr="00AA1961" w14:paraId="13809B26" w14:textId="77777777" w:rsidTr="00295180">
        <w:trPr>
          <w:trHeight w:val="300"/>
        </w:trPr>
        <w:tc>
          <w:tcPr>
            <w:tcW w:w="2689" w:type="dxa"/>
            <w:shd w:val="clear" w:color="auto" w:fill="auto"/>
            <w:noWrap/>
            <w:vAlign w:val="bottom"/>
            <w:hideMark/>
          </w:tcPr>
          <w:p w14:paraId="4B0F530C" w14:textId="77777777" w:rsidR="00C63247" w:rsidRPr="00AA1961" w:rsidRDefault="00C63247" w:rsidP="00295180">
            <w:pPr>
              <w:spacing w:after="0" w:line="240" w:lineRule="auto"/>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Pārējie VM prioritārie pasākumi</w:t>
            </w:r>
          </w:p>
        </w:tc>
        <w:tc>
          <w:tcPr>
            <w:tcW w:w="1901" w:type="dxa"/>
            <w:shd w:val="clear" w:color="000000" w:fill="FFFFFF"/>
            <w:noWrap/>
            <w:vAlign w:val="center"/>
            <w:hideMark/>
          </w:tcPr>
          <w:p w14:paraId="25F1C94E"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184 350 947</w:t>
            </w:r>
          </w:p>
        </w:tc>
        <w:tc>
          <w:tcPr>
            <w:tcW w:w="1643" w:type="dxa"/>
            <w:shd w:val="clear" w:color="000000" w:fill="FFFFFF"/>
            <w:noWrap/>
            <w:vAlign w:val="center"/>
            <w:hideMark/>
          </w:tcPr>
          <w:p w14:paraId="47C475ED"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2 720 680</w:t>
            </w:r>
          </w:p>
        </w:tc>
        <w:tc>
          <w:tcPr>
            <w:tcW w:w="1901" w:type="dxa"/>
            <w:shd w:val="clear" w:color="000000" w:fill="FFFFFF"/>
            <w:vAlign w:val="center"/>
            <w:hideMark/>
          </w:tcPr>
          <w:p w14:paraId="56ECCE9A"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26 205 004</w:t>
            </w:r>
          </w:p>
        </w:tc>
        <w:tc>
          <w:tcPr>
            <w:tcW w:w="1643" w:type="dxa"/>
            <w:shd w:val="clear" w:color="000000" w:fill="FFFFFF"/>
            <w:vAlign w:val="center"/>
            <w:hideMark/>
          </w:tcPr>
          <w:p w14:paraId="55BECB0D" w14:textId="77777777" w:rsidR="00C63247" w:rsidRPr="00AA1961" w:rsidRDefault="00C63247" w:rsidP="00295180">
            <w:pPr>
              <w:spacing w:after="0" w:line="240" w:lineRule="auto"/>
              <w:jc w:val="center"/>
              <w:rPr>
                <w:rFonts w:ascii="Times New Roman" w:eastAsia="Times New Roman" w:hAnsi="Times New Roman" w:cs="Times New Roman"/>
                <w:color w:val="000000"/>
                <w:sz w:val="20"/>
                <w:szCs w:val="20"/>
                <w:lang w:eastAsia="lv-LV"/>
              </w:rPr>
            </w:pPr>
            <w:r w:rsidRPr="00AA1961">
              <w:rPr>
                <w:rFonts w:ascii="Times New Roman" w:eastAsia="Times New Roman" w:hAnsi="Times New Roman" w:cs="Times New Roman"/>
                <w:color w:val="000000"/>
                <w:sz w:val="20"/>
                <w:szCs w:val="20"/>
                <w:lang w:eastAsia="lv-LV"/>
              </w:rPr>
              <w:t>939 904</w:t>
            </w:r>
          </w:p>
        </w:tc>
      </w:tr>
      <w:tr w:rsidR="00C63247" w:rsidRPr="00AA1961" w14:paraId="4771C96F" w14:textId="77777777" w:rsidTr="00295180">
        <w:trPr>
          <w:trHeight w:val="270"/>
        </w:trPr>
        <w:tc>
          <w:tcPr>
            <w:tcW w:w="2689" w:type="dxa"/>
            <w:shd w:val="clear" w:color="000000" w:fill="FFFFFF"/>
            <w:vAlign w:val="center"/>
            <w:hideMark/>
          </w:tcPr>
          <w:p w14:paraId="47CCCA16" w14:textId="77777777" w:rsidR="00C63247" w:rsidRPr="00AA1961" w:rsidRDefault="00C63247" w:rsidP="00295180">
            <w:pPr>
              <w:spacing w:after="0" w:line="240" w:lineRule="auto"/>
              <w:jc w:val="right"/>
              <w:rPr>
                <w:rFonts w:ascii="Times New Roman" w:eastAsia="Times New Roman" w:hAnsi="Times New Roman" w:cs="Times New Roman"/>
                <w:b/>
                <w:bCs/>
                <w:i/>
                <w:iCs/>
                <w:color w:val="000000"/>
                <w:sz w:val="20"/>
                <w:szCs w:val="20"/>
                <w:lang w:eastAsia="lv-LV"/>
              </w:rPr>
            </w:pPr>
            <w:r w:rsidRPr="00AA1961">
              <w:rPr>
                <w:rFonts w:ascii="Times New Roman" w:eastAsia="Times New Roman" w:hAnsi="Times New Roman" w:cs="Times New Roman"/>
                <w:b/>
                <w:bCs/>
                <w:i/>
                <w:iCs/>
                <w:color w:val="000000"/>
                <w:sz w:val="20"/>
                <w:szCs w:val="20"/>
                <w:lang w:eastAsia="lv-LV"/>
              </w:rPr>
              <w:t>Kopā, euro</w:t>
            </w:r>
          </w:p>
        </w:tc>
        <w:tc>
          <w:tcPr>
            <w:tcW w:w="1901" w:type="dxa"/>
            <w:shd w:val="clear" w:color="auto" w:fill="auto"/>
            <w:noWrap/>
            <w:vAlign w:val="center"/>
            <w:hideMark/>
          </w:tcPr>
          <w:p w14:paraId="16717A32"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20"/>
                <w:szCs w:val="20"/>
                <w:lang w:eastAsia="lv-LV"/>
              </w:rPr>
            </w:pPr>
            <w:r w:rsidRPr="00AA1961">
              <w:rPr>
                <w:rFonts w:ascii="Times New Roman" w:eastAsia="Times New Roman" w:hAnsi="Times New Roman" w:cs="Times New Roman"/>
                <w:b/>
                <w:bCs/>
                <w:color w:val="000000"/>
                <w:sz w:val="20"/>
                <w:szCs w:val="20"/>
                <w:lang w:eastAsia="lv-LV"/>
              </w:rPr>
              <w:t>476 387 836</w:t>
            </w:r>
          </w:p>
        </w:tc>
        <w:tc>
          <w:tcPr>
            <w:tcW w:w="1643" w:type="dxa"/>
            <w:shd w:val="clear" w:color="auto" w:fill="auto"/>
            <w:noWrap/>
            <w:vAlign w:val="center"/>
            <w:hideMark/>
          </w:tcPr>
          <w:p w14:paraId="1A699F97"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20"/>
                <w:szCs w:val="20"/>
                <w:lang w:eastAsia="lv-LV"/>
              </w:rPr>
            </w:pPr>
            <w:r w:rsidRPr="00AA1961">
              <w:rPr>
                <w:rFonts w:ascii="Times New Roman" w:eastAsia="Times New Roman" w:hAnsi="Times New Roman" w:cs="Times New Roman"/>
                <w:b/>
                <w:bCs/>
                <w:color w:val="000000"/>
                <w:sz w:val="20"/>
                <w:szCs w:val="20"/>
                <w:lang w:eastAsia="lv-LV"/>
              </w:rPr>
              <w:t>143 267 244</w:t>
            </w:r>
          </w:p>
        </w:tc>
        <w:tc>
          <w:tcPr>
            <w:tcW w:w="1901" w:type="dxa"/>
            <w:shd w:val="clear" w:color="auto" w:fill="auto"/>
            <w:noWrap/>
            <w:vAlign w:val="center"/>
            <w:hideMark/>
          </w:tcPr>
          <w:p w14:paraId="611C2C02"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20"/>
                <w:szCs w:val="20"/>
                <w:lang w:eastAsia="lv-LV"/>
              </w:rPr>
            </w:pPr>
            <w:r w:rsidRPr="00AA1961">
              <w:rPr>
                <w:rFonts w:ascii="Times New Roman" w:eastAsia="Times New Roman" w:hAnsi="Times New Roman" w:cs="Times New Roman"/>
                <w:b/>
                <w:bCs/>
                <w:color w:val="000000"/>
                <w:sz w:val="20"/>
                <w:szCs w:val="20"/>
                <w:lang w:eastAsia="lv-LV"/>
              </w:rPr>
              <w:t>279 402 919</w:t>
            </w:r>
          </w:p>
        </w:tc>
        <w:tc>
          <w:tcPr>
            <w:tcW w:w="1643" w:type="dxa"/>
            <w:shd w:val="clear" w:color="auto" w:fill="auto"/>
            <w:noWrap/>
            <w:vAlign w:val="center"/>
            <w:hideMark/>
          </w:tcPr>
          <w:p w14:paraId="10D145DC" w14:textId="77777777" w:rsidR="00C63247" w:rsidRPr="00AA1961" w:rsidRDefault="00C63247" w:rsidP="00295180">
            <w:pPr>
              <w:spacing w:after="0" w:line="240" w:lineRule="auto"/>
              <w:jc w:val="center"/>
              <w:rPr>
                <w:rFonts w:ascii="Times New Roman" w:eastAsia="Times New Roman" w:hAnsi="Times New Roman" w:cs="Times New Roman"/>
                <w:b/>
                <w:bCs/>
                <w:color w:val="000000"/>
                <w:sz w:val="20"/>
                <w:szCs w:val="20"/>
                <w:lang w:eastAsia="lv-LV"/>
              </w:rPr>
            </w:pPr>
            <w:r w:rsidRPr="00AA1961">
              <w:rPr>
                <w:rFonts w:ascii="Times New Roman" w:eastAsia="Times New Roman" w:hAnsi="Times New Roman" w:cs="Times New Roman"/>
                <w:b/>
                <w:bCs/>
                <w:color w:val="000000"/>
                <w:sz w:val="20"/>
                <w:szCs w:val="20"/>
                <w:lang w:eastAsia="lv-LV"/>
              </w:rPr>
              <w:t>68 318 307</w:t>
            </w:r>
          </w:p>
        </w:tc>
      </w:tr>
    </w:tbl>
    <w:p w14:paraId="02EE5BFA" w14:textId="77777777" w:rsidR="008730D1" w:rsidRDefault="008730D1" w:rsidP="008730D1">
      <w:pPr>
        <w:spacing w:after="120" w:line="240" w:lineRule="auto"/>
        <w:jc w:val="both"/>
        <w:rPr>
          <w:rFonts w:ascii="Times New Roman" w:hAnsi="Times New Roman" w:cs="Times New Roman"/>
          <w:sz w:val="20"/>
          <w:szCs w:val="20"/>
        </w:rPr>
      </w:pPr>
      <w:r w:rsidRPr="008730D1">
        <w:rPr>
          <w:rFonts w:ascii="Times New Roman" w:hAnsi="Times New Roman" w:cs="Times New Roman"/>
          <w:sz w:val="20"/>
          <w:szCs w:val="20"/>
        </w:rPr>
        <w:t xml:space="preserve">* 2018.gadā piešķirtais finansējums veselības aprūpes sistēmas reformas pasākumu īstenošanai no budžeta resora “74. Gadskārtējā valsts budžeta izpildes procesā pārdalāmais finansējums” 08.00.00 programmas “Veselības aprūpes sistēmas reformas ieviešanas finansējums” 113,4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2019.gadā - 154,2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2019.gadam papildus pret 2018.gadu tika piešķirts finansējums 40,8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apmērā  veselības aprūpes sistēmas reformas pasākumu īstenošanai. Tāpat 2019.gadā tika piešķirts papildus finansējums 87,5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 ārstniecības personu darba samaksas palielināšanai par 20 % (no tā 2,56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tika paredzēti citu ministriju un resoru ārstniecības personām), 11,98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 pagarinātā normālā darba laika atcelšanai, 4,8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 VM ārstniecības peronu darba samaksas paaugstināšanai nepieciešamais finansējums bija jānodrošina esošā budžeta ietvaros, kopā finansējums darba samaksas paaugstināšanai 2019.gadā - 104,3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w:t>
      </w:r>
    </w:p>
    <w:p w14:paraId="1E49FF19" w14:textId="00922DA9" w:rsidR="008730D1" w:rsidRPr="008730D1" w:rsidRDefault="008730D1" w:rsidP="008730D1">
      <w:pPr>
        <w:spacing w:after="120" w:line="240" w:lineRule="auto"/>
        <w:jc w:val="both"/>
        <w:rPr>
          <w:rFonts w:ascii="Times New Roman" w:hAnsi="Times New Roman" w:cs="Times New Roman"/>
          <w:sz w:val="20"/>
          <w:szCs w:val="20"/>
        </w:rPr>
      </w:pPr>
      <w:r w:rsidRPr="008730D1">
        <w:rPr>
          <w:rFonts w:ascii="Times New Roman" w:hAnsi="Times New Roman" w:cs="Times New Roman"/>
          <w:sz w:val="20"/>
          <w:szCs w:val="20"/>
        </w:rPr>
        <w:t xml:space="preserve">**2020.gadam un turpmāk ik gadu tika piešķirts finansējums 144,0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apmērā veselības aprūpes sistēmas reformas pasākumu turpināšanai no budžeta resora “74. Gadskārtējā valsts budžeta izpildes procesā pārdalāmais finansējums” 08.00.00 programmas “Veselības aprūpes sistēmas reformas ieviešanas finansējums”, Salīdzinot ar 2019.gadam piešķirto finansējumu veselības aprūpes sistēmas reformas pasākumu īstenošanai  154,2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 xml:space="preserve"> apmērā, samazinājums - 10,2 milj. </w:t>
      </w:r>
      <w:r w:rsidRPr="008730D1">
        <w:rPr>
          <w:rFonts w:ascii="Times New Roman" w:hAnsi="Times New Roman" w:cs="Times New Roman"/>
          <w:i/>
          <w:iCs/>
          <w:sz w:val="20"/>
          <w:szCs w:val="20"/>
        </w:rPr>
        <w:t>euro</w:t>
      </w:r>
      <w:r w:rsidRPr="008730D1">
        <w:rPr>
          <w:rFonts w:ascii="Times New Roman" w:hAnsi="Times New Roman" w:cs="Times New Roman"/>
          <w:sz w:val="20"/>
          <w:szCs w:val="20"/>
        </w:rPr>
        <w:tab/>
      </w:r>
      <w:r w:rsidRPr="008730D1">
        <w:rPr>
          <w:rFonts w:ascii="Times New Roman" w:hAnsi="Times New Roman" w:cs="Times New Roman"/>
          <w:sz w:val="20"/>
          <w:szCs w:val="20"/>
        </w:rPr>
        <w:tab/>
      </w:r>
      <w:r w:rsidRPr="008730D1">
        <w:rPr>
          <w:rFonts w:ascii="Times New Roman" w:hAnsi="Times New Roman" w:cs="Times New Roman"/>
          <w:sz w:val="20"/>
          <w:szCs w:val="20"/>
        </w:rPr>
        <w:tab/>
      </w:r>
      <w:r w:rsidRPr="008730D1">
        <w:rPr>
          <w:rFonts w:ascii="Times New Roman" w:hAnsi="Times New Roman" w:cs="Times New Roman"/>
          <w:sz w:val="20"/>
          <w:szCs w:val="20"/>
        </w:rPr>
        <w:tab/>
      </w:r>
      <w:r w:rsidRPr="008730D1">
        <w:rPr>
          <w:rFonts w:ascii="Times New Roman" w:hAnsi="Times New Roman" w:cs="Times New Roman"/>
          <w:sz w:val="20"/>
          <w:szCs w:val="20"/>
        </w:rPr>
        <w:tab/>
      </w:r>
    </w:p>
    <w:p w14:paraId="7EC845BA" w14:textId="77777777" w:rsidR="008730D1" w:rsidRDefault="008730D1" w:rsidP="008730D1">
      <w:pPr>
        <w:spacing w:after="120" w:line="240" w:lineRule="auto"/>
        <w:jc w:val="both"/>
        <w:rPr>
          <w:rFonts w:ascii="Times New Roman" w:hAnsi="Times New Roman" w:cs="Times New Roman"/>
          <w:sz w:val="20"/>
          <w:szCs w:val="18"/>
        </w:rPr>
      </w:pPr>
      <w:r w:rsidRPr="008730D1">
        <w:rPr>
          <w:rFonts w:ascii="Times New Roman" w:hAnsi="Times New Roman" w:cs="Times New Roman"/>
          <w:sz w:val="20"/>
          <w:szCs w:val="18"/>
        </w:rPr>
        <w:t xml:space="preserve">****tai skaitā 56,5 milj. </w:t>
      </w:r>
      <w:r w:rsidRPr="008730D1">
        <w:rPr>
          <w:rFonts w:ascii="Times New Roman" w:hAnsi="Times New Roman" w:cs="Times New Roman"/>
          <w:i/>
          <w:iCs/>
          <w:sz w:val="20"/>
          <w:szCs w:val="18"/>
        </w:rPr>
        <w:t>euro</w:t>
      </w:r>
      <w:r w:rsidRPr="008730D1">
        <w:rPr>
          <w:rFonts w:ascii="Times New Roman" w:hAnsi="Times New Roman" w:cs="Times New Roman"/>
          <w:sz w:val="20"/>
          <w:szCs w:val="18"/>
        </w:rPr>
        <w:t xml:space="preserve"> Veselības ministrijas nozarei</w:t>
      </w:r>
    </w:p>
    <w:p w14:paraId="682EBFEF" w14:textId="416C9CCD" w:rsidR="00C63247" w:rsidRPr="0070062A" w:rsidRDefault="008730D1" w:rsidP="008730D1">
      <w:pPr>
        <w:spacing w:after="120" w:line="240" w:lineRule="auto"/>
        <w:jc w:val="both"/>
        <w:rPr>
          <w:rFonts w:ascii="Times New Roman" w:hAnsi="Times New Roman" w:cs="Times New Roman"/>
          <w:sz w:val="24"/>
        </w:rPr>
      </w:pPr>
      <w:r w:rsidRPr="008730D1">
        <w:rPr>
          <w:rFonts w:ascii="Times New Roman" w:hAnsi="Times New Roman" w:cs="Times New Roman"/>
          <w:sz w:val="24"/>
        </w:rPr>
        <w:tab/>
      </w:r>
      <w:r w:rsidRPr="008730D1">
        <w:rPr>
          <w:rFonts w:ascii="Times New Roman" w:hAnsi="Times New Roman" w:cs="Times New Roman"/>
          <w:sz w:val="24"/>
        </w:rPr>
        <w:tab/>
      </w:r>
      <w:r w:rsidRPr="008730D1">
        <w:rPr>
          <w:rFonts w:ascii="Times New Roman" w:hAnsi="Times New Roman" w:cs="Times New Roman"/>
          <w:sz w:val="24"/>
        </w:rPr>
        <w:tab/>
      </w:r>
      <w:r w:rsidRPr="008730D1">
        <w:rPr>
          <w:rFonts w:ascii="Times New Roman" w:hAnsi="Times New Roman" w:cs="Times New Roman"/>
          <w:sz w:val="24"/>
        </w:rPr>
        <w:tab/>
      </w:r>
    </w:p>
    <w:p w14:paraId="64861CF2" w14:textId="77777777" w:rsidR="00C63247" w:rsidRPr="0070062A" w:rsidRDefault="00C63247" w:rsidP="00C63247">
      <w:pPr>
        <w:spacing w:after="0" w:line="240" w:lineRule="auto"/>
        <w:ind w:firstLine="567"/>
        <w:contextualSpacing/>
        <w:jc w:val="both"/>
        <w:rPr>
          <w:rFonts w:ascii="Times New Roman" w:hAnsi="Times New Roman" w:cs="Times New Roman"/>
          <w:sz w:val="24"/>
        </w:rPr>
      </w:pPr>
      <w:r w:rsidRPr="0070062A">
        <w:rPr>
          <w:rFonts w:ascii="Times New Roman" w:hAnsi="Times New Roman" w:cs="Times New Roman"/>
          <w:sz w:val="24"/>
        </w:rPr>
        <w:t xml:space="preserve">Atbilstoši VM rīcībā esošajai informācijai un ņemot vērā apstiprinātos valsts budžeta izdevumus ikgadēji uz gada sākumu kopējais veselības nozares budžets (ietverot VM resora izdevumus un izdevumus ERAF finansētajiem veselības nozares projektiem, kuri ir plānoti Centrālās finanšu un līgumu aģentūras budžetā): </w:t>
      </w:r>
    </w:p>
    <w:p w14:paraId="08116A0D" w14:textId="6E23EFFB" w:rsidR="00C63247" w:rsidRPr="0070062A" w:rsidRDefault="00C63247" w:rsidP="00C63247">
      <w:pPr>
        <w:pStyle w:val="ListParagraph"/>
        <w:numPr>
          <w:ilvl w:val="0"/>
          <w:numId w:val="22"/>
        </w:numPr>
        <w:tabs>
          <w:tab w:val="left" w:pos="284"/>
        </w:tabs>
        <w:spacing w:after="0" w:line="240" w:lineRule="auto"/>
        <w:ind w:left="993" w:hanging="229"/>
        <w:jc w:val="both"/>
        <w:rPr>
          <w:rFonts w:ascii="Times New Roman" w:hAnsi="Times New Roman" w:cs="Times New Roman"/>
          <w:sz w:val="24"/>
        </w:rPr>
      </w:pPr>
      <w:r w:rsidRPr="0070062A">
        <w:rPr>
          <w:rFonts w:ascii="Times New Roman" w:hAnsi="Times New Roman" w:cs="Times New Roman"/>
          <w:sz w:val="24"/>
        </w:rPr>
        <w:t xml:space="preserve">2018.gada noslēgumā bija </w:t>
      </w:r>
      <w:r w:rsidRPr="0070062A">
        <w:rPr>
          <w:rFonts w:ascii="Times New Roman" w:hAnsi="Times New Roman" w:cs="Times New Roman"/>
          <w:sz w:val="24"/>
          <w:szCs w:val="24"/>
        </w:rPr>
        <w:t xml:space="preserve">– </w:t>
      </w:r>
      <w:r w:rsidRPr="0070062A">
        <w:rPr>
          <w:rFonts w:ascii="Times New Roman" w:hAnsi="Times New Roman" w:cs="Times New Roman"/>
          <w:sz w:val="24"/>
        </w:rPr>
        <w:t xml:space="preserve">1063,1 milj. </w:t>
      </w:r>
      <w:r w:rsidRPr="0070062A">
        <w:rPr>
          <w:rFonts w:ascii="Times New Roman" w:hAnsi="Times New Roman" w:cs="Times New Roman"/>
          <w:i/>
          <w:sz w:val="24"/>
        </w:rPr>
        <w:t xml:space="preserve">euro </w:t>
      </w:r>
      <w:r w:rsidRPr="0070062A">
        <w:rPr>
          <w:rFonts w:ascii="Times New Roman" w:hAnsi="Times New Roman" w:cs="Times New Roman"/>
          <w:sz w:val="24"/>
        </w:rPr>
        <w:t>(3,6</w:t>
      </w:r>
      <w:r w:rsidR="0076209D">
        <w:rPr>
          <w:rFonts w:ascii="Times New Roman" w:hAnsi="Times New Roman" w:cs="Times New Roman"/>
          <w:sz w:val="24"/>
        </w:rPr>
        <w:t>5</w:t>
      </w:r>
      <w:r w:rsidRPr="0070062A">
        <w:rPr>
          <w:rFonts w:ascii="Times New Roman" w:hAnsi="Times New Roman" w:cs="Times New Roman"/>
          <w:sz w:val="24"/>
        </w:rPr>
        <w:t>% no IKP)</w:t>
      </w:r>
      <w:r w:rsidRPr="0070062A">
        <w:rPr>
          <w:rStyle w:val="FootnoteReference"/>
          <w:rFonts w:ascii="Times New Roman" w:hAnsi="Times New Roman" w:cs="Times New Roman"/>
          <w:sz w:val="24"/>
        </w:rPr>
        <w:footnoteReference w:id="13"/>
      </w:r>
      <w:r w:rsidRPr="0070062A">
        <w:rPr>
          <w:rFonts w:ascii="Times New Roman" w:hAnsi="Times New Roman" w:cs="Times New Roman"/>
          <w:sz w:val="24"/>
        </w:rPr>
        <w:t xml:space="preserve">; </w:t>
      </w:r>
    </w:p>
    <w:p w14:paraId="1F1E2B0C" w14:textId="5031B1D6" w:rsidR="00C63247" w:rsidRPr="0070062A" w:rsidRDefault="00C63247" w:rsidP="00C63247">
      <w:pPr>
        <w:pStyle w:val="ListParagraph"/>
        <w:numPr>
          <w:ilvl w:val="0"/>
          <w:numId w:val="22"/>
        </w:numPr>
        <w:tabs>
          <w:tab w:val="left" w:pos="284"/>
        </w:tabs>
        <w:spacing w:after="0" w:line="240" w:lineRule="auto"/>
        <w:ind w:left="993" w:hanging="229"/>
        <w:jc w:val="both"/>
        <w:rPr>
          <w:rFonts w:ascii="Times New Roman" w:hAnsi="Times New Roman" w:cs="Times New Roman"/>
          <w:sz w:val="24"/>
        </w:rPr>
      </w:pPr>
      <w:r w:rsidRPr="0070062A">
        <w:rPr>
          <w:rFonts w:ascii="Times New Roman" w:hAnsi="Times New Roman" w:cs="Times New Roman"/>
          <w:sz w:val="24"/>
        </w:rPr>
        <w:t xml:space="preserve">2019.gada aktuālais </w:t>
      </w:r>
      <w:r w:rsidRPr="0070062A">
        <w:rPr>
          <w:rFonts w:ascii="Times New Roman" w:hAnsi="Times New Roman" w:cs="Times New Roman"/>
          <w:sz w:val="24"/>
          <w:szCs w:val="24"/>
        </w:rPr>
        <w:t xml:space="preserve">– </w:t>
      </w:r>
      <w:r w:rsidRPr="0070062A">
        <w:rPr>
          <w:rFonts w:ascii="Times New Roman" w:hAnsi="Times New Roman" w:cs="Times New Roman"/>
          <w:sz w:val="24"/>
        </w:rPr>
        <w:t>1 20</w:t>
      </w:r>
      <w:r w:rsidR="0076209D">
        <w:rPr>
          <w:rFonts w:ascii="Times New Roman" w:hAnsi="Times New Roman" w:cs="Times New Roman"/>
          <w:sz w:val="24"/>
        </w:rPr>
        <w:t>5,7</w:t>
      </w:r>
      <w:r w:rsidRPr="0070062A">
        <w:rPr>
          <w:rFonts w:ascii="Times New Roman" w:hAnsi="Times New Roman" w:cs="Times New Roman"/>
          <w:sz w:val="24"/>
        </w:rPr>
        <w:t xml:space="preserve"> milj. </w:t>
      </w:r>
      <w:r w:rsidRPr="0070062A">
        <w:rPr>
          <w:rFonts w:ascii="Times New Roman" w:hAnsi="Times New Roman" w:cs="Times New Roman"/>
          <w:i/>
          <w:sz w:val="24"/>
        </w:rPr>
        <w:t>euro</w:t>
      </w:r>
      <w:r w:rsidRPr="0070062A">
        <w:rPr>
          <w:rFonts w:ascii="Times New Roman" w:hAnsi="Times New Roman" w:cs="Times New Roman"/>
          <w:sz w:val="24"/>
        </w:rPr>
        <w:t xml:space="preserve"> (3,8</w:t>
      </w:r>
      <w:r w:rsidR="0076209D">
        <w:rPr>
          <w:rFonts w:ascii="Times New Roman" w:hAnsi="Times New Roman" w:cs="Times New Roman"/>
          <w:sz w:val="24"/>
        </w:rPr>
        <w:t>4</w:t>
      </w:r>
      <w:r w:rsidRPr="0070062A">
        <w:rPr>
          <w:rFonts w:ascii="Times New Roman" w:hAnsi="Times New Roman" w:cs="Times New Roman"/>
          <w:sz w:val="24"/>
        </w:rPr>
        <w:t>% no IKP)</w:t>
      </w:r>
      <w:r w:rsidRPr="0070062A">
        <w:rPr>
          <w:rStyle w:val="FootnoteReference"/>
          <w:rFonts w:ascii="Times New Roman" w:hAnsi="Times New Roman" w:cs="Times New Roman"/>
          <w:sz w:val="24"/>
        </w:rPr>
        <w:footnoteReference w:id="14"/>
      </w:r>
      <w:r w:rsidRPr="0070062A">
        <w:rPr>
          <w:rFonts w:ascii="Times New Roman" w:hAnsi="Times New Roman" w:cs="Times New Roman"/>
          <w:sz w:val="24"/>
        </w:rPr>
        <w:t>;</w:t>
      </w:r>
    </w:p>
    <w:p w14:paraId="63663948" w14:textId="77777777" w:rsidR="00C63247" w:rsidRPr="0070062A" w:rsidRDefault="00C63247" w:rsidP="00C63247">
      <w:pPr>
        <w:pStyle w:val="ListParagraph"/>
        <w:numPr>
          <w:ilvl w:val="0"/>
          <w:numId w:val="22"/>
        </w:numPr>
        <w:tabs>
          <w:tab w:val="left" w:pos="284"/>
        </w:tabs>
        <w:spacing w:after="0" w:line="240" w:lineRule="auto"/>
        <w:ind w:left="993" w:hanging="229"/>
        <w:jc w:val="both"/>
        <w:rPr>
          <w:rFonts w:ascii="Times New Roman" w:hAnsi="Times New Roman" w:cs="Times New Roman"/>
          <w:sz w:val="24"/>
        </w:rPr>
      </w:pPr>
      <w:r w:rsidRPr="0070062A">
        <w:rPr>
          <w:rFonts w:ascii="Times New Roman" w:hAnsi="Times New Roman" w:cs="Times New Roman"/>
          <w:sz w:val="24"/>
        </w:rPr>
        <w:t xml:space="preserve">2020.gadā </w:t>
      </w:r>
      <w:r w:rsidRPr="0070062A">
        <w:rPr>
          <w:rFonts w:ascii="Times New Roman" w:hAnsi="Times New Roman" w:cs="Times New Roman"/>
          <w:sz w:val="24"/>
          <w:szCs w:val="24"/>
        </w:rPr>
        <w:t xml:space="preserve">– </w:t>
      </w:r>
      <w:r w:rsidRPr="0070062A">
        <w:rPr>
          <w:rFonts w:ascii="Times New Roman" w:hAnsi="Times New Roman" w:cs="Times New Roman"/>
          <w:sz w:val="24"/>
        </w:rPr>
        <w:t xml:space="preserve">1 259,5 milj. </w:t>
      </w:r>
      <w:r w:rsidRPr="0070062A">
        <w:rPr>
          <w:rFonts w:ascii="Times New Roman" w:hAnsi="Times New Roman" w:cs="Times New Roman"/>
          <w:i/>
          <w:sz w:val="24"/>
        </w:rPr>
        <w:t xml:space="preserve">euro </w:t>
      </w:r>
      <w:r w:rsidRPr="0070062A">
        <w:rPr>
          <w:rFonts w:ascii="Times New Roman" w:hAnsi="Times New Roman" w:cs="Times New Roman"/>
          <w:sz w:val="24"/>
        </w:rPr>
        <w:t>(3,80% no IKP)</w:t>
      </w:r>
      <w:r w:rsidRPr="0070062A">
        <w:rPr>
          <w:rStyle w:val="FootnoteReference"/>
          <w:rFonts w:ascii="Times New Roman" w:hAnsi="Times New Roman" w:cs="Times New Roman"/>
          <w:sz w:val="24"/>
        </w:rPr>
        <w:footnoteReference w:id="15"/>
      </w:r>
      <w:r w:rsidRPr="0070062A">
        <w:rPr>
          <w:rFonts w:ascii="Times New Roman" w:hAnsi="Times New Roman" w:cs="Times New Roman"/>
          <w:sz w:val="24"/>
        </w:rPr>
        <w:t>.</w:t>
      </w:r>
    </w:p>
    <w:p w14:paraId="63B07BC3" w14:textId="77777777" w:rsidR="00C63247" w:rsidRPr="0070062A" w:rsidRDefault="00C63247" w:rsidP="00C63247">
      <w:pPr>
        <w:spacing w:after="0" w:line="240" w:lineRule="auto"/>
        <w:ind w:firstLine="567"/>
        <w:contextualSpacing/>
        <w:jc w:val="both"/>
        <w:rPr>
          <w:rFonts w:ascii="Times New Roman" w:hAnsi="Times New Roman" w:cs="Times New Roman"/>
          <w:b/>
          <w:sz w:val="24"/>
        </w:rPr>
      </w:pPr>
    </w:p>
    <w:p w14:paraId="60EF4505" w14:textId="77777777" w:rsidR="00E3543E" w:rsidRDefault="00E3543E">
      <w:pPr>
        <w:rPr>
          <w:rFonts w:ascii="Times New Roman" w:hAnsi="Times New Roman" w:cs="Times New Roman"/>
          <w:b/>
          <w:sz w:val="24"/>
        </w:rPr>
      </w:pPr>
      <w:r>
        <w:rPr>
          <w:rFonts w:ascii="Times New Roman" w:hAnsi="Times New Roman" w:cs="Times New Roman"/>
          <w:b/>
          <w:sz w:val="24"/>
        </w:rPr>
        <w:br w:type="page"/>
      </w:r>
    </w:p>
    <w:p w14:paraId="0488C44E" w14:textId="7DDA14FF" w:rsidR="00C63247" w:rsidRDefault="00C63247" w:rsidP="00C63247">
      <w:pPr>
        <w:spacing w:after="0" w:line="240" w:lineRule="auto"/>
        <w:ind w:firstLine="567"/>
        <w:contextualSpacing/>
        <w:jc w:val="both"/>
        <w:rPr>
          <w:rFonts w:ascii="Times New Roman" w:hAnsi="Times New Roman" w:cs="Times New Roman"/>
          <w:b/>
          <w:sz w:val="24"/>
        </w:rPr>
      </w:pPr>
      <w:r w:rsidRPr="0070062A">
        <w:rPr>
          <w:rFonts w:ascii="Times New Roman" w:hAnsi="Times New Roman" w:cs="Times New Roman"/>
          <w:b/>
          <w:sz w:val="24"/>
        </w:rPr>
        <w:lastRenderedPageBreak/>
        <w:t>2022.gadā salīdzinājumā ar 2019.gadu ir plānots veselības nozares budžeta (% no IKP) samazinājums no 3,</w:t>
      </w:r>
      <w:r w:rsidR="003E1E92" w:rsidRPr="0070062A">
        <w:rPr>
          <w:rFonts w:ascii="Times New Roman" w:hAnsi="Times New Roman" w:cs="Times New Roman"/>
          <w:b/>
          <w:sz w:val="24"/>
        </w:rPr>
        <w:t>8</w:t>
      </w:r>
      <w:r w:rsidR="003E1E92">
        <w:rPr>
          <w:rFonts w:ascii="Times New Roman" w:hAnsi="Times New Roman" w:cs="Times New Roman"/>
          <w:b/>
          <w:sz w:val="24"/>
        </w:rPr>
        <w:t>4</w:t>
      </w:r>
      <w:r w:rsidRPr="0070062A">
        <w:rPr>
          <w:rFonts w:ascii="Times New Roman" w:hAnsi="Times New Roman" w:cs="Times New Roman"/>
          <w:b/>
          <w:sz w:val="24"/>
        </w:rPr>
        <w:t>% līdz 3,27%, jeb par 0,</w:t>
      </w:r>
      <w:r w:rsidR="003E1E92">
        <w:rPr>
          <w:rFonts w:ascii="Times New Roman" w:hAnsi="Times New Roman" w:cs="Times New Roman"/>
          <w:b/>
          <w:sz w:val="24"/>
        </w:rPr>
        <w:t>57</w:t>
      </w:r>
      <w:r w:rsidR="003E1E92" w:rsidRPr="0070062A">
        <w:rPr>
          <w:rFonts w:ascii="Times New Roman" w:hAnsi="Times New Roman" w:cs="Times New Roman"/>
          <w:b/>
          <w:sz w:val="24"/>
        </w:rPr>
        <w:t xml:space="preserve"> </w:t>
      </w:r>
      <w:r w:rsidRPr="0070062A">
        <w:rPr>
          <w:rFonts w:ascii="Times New Roman" w:hAnsi="Times New Roman" w:cs="Times New Roman"/>
          <w:b/>
          <w:sz w:val="24"/>
        </w:rPr>
        <w:t>procentpunkt</w:t>
      </w:r>
      <w:r w:rsidR="00C0637F">
        <w:rPr>
          <w:rFonts w:ascii="Times New Roman" w:hAnsi="Times New Roman" w:cs="Times New Roman"/>
          <w:b/>
          <w:sz w:val="24"/>
        </w:rPr>
        <w:t>iem</w:t>
      </w:r>
      <w:bookmarkStart w:id="0" w:name="_GoBack"/>
      <w:bookmarkEnd w:id="0"/>
      <w:r w:rsidRPr="0070062A">
        <w:rPr>
          <w:rFonts w:ascii="Times New Roman" w:hAnsi="Times New Roman" w:cs="Times New Roman"/>
          <w:b/>
          <w:sz w:val="24"/>
        </w:rPr>
        <w:t>.</w:t>
      </w:r>
    </w:p>
    <w:p w14:paraId="0DDF9D5C" w14:textId="77777777" w:rsidR="00C63247" w:rsidRPr="00E16937" w:rsidRDefault="00C63247" w:rsidP="00C63247">
      <w:pPr>
        <w:spacing w:after="0" w:line="240" w:lineRule="auto"/>
        <w:contextualSpacing/>
        <w:jc w:val="both"/>
        <w:rPr>
          <w:rFonts w:ascii="Times New Roman" w:hAnsi="Times New Roman" w:cs="Times New Roman"/>
          <w:b/>
          <w:sz w:val="24"/>
        </w:rPr>
      </w:pPr>
    </w:p>
    <w:p w14:paraId="56A48EAA" w14:textId="77777777" w:rsidR="00C63247" w:rsidRPr="0070062A" w:rsidRDefault="00C63247" w:rsidP="00C63247">
      <w:pPr>
        <w:spacing w:after="0" w:line="240" w:lineRule="auto"/>
        <w:jc w:val="center"/>
        <w:rPr>
          <w:rFonts w:ascii="Times New Roman" w:hAnsi="Times New Roman" w:cs="Times New Roman"/>
          <w:b/>
          <w:sz w:val="24"/>
          <w:szCs w:val="24"/>
        </w:rPr>
      </w:pPr>
      <w:r w:rsidRPr="0070062A">
        <w:rPr>
          <w:rFonts w:ascii="Times New Roman" w:hAnsi="Times New Roman" w:cs="Times New Roman"/>
          <w:b/>
          <w:sz w:val="24"/>
          <w:szCs w:val="24"/>
        </w:rPr>
        <w:t xml:space="preserve">Veselības nozares budžeta izdevumi 2019.-2022.gadā (milj. </w:t>
      </w:r>
      <w:r w:rsidRPr="0070062A">
        <w:rPr>
          <w:rFonts w:ascii="Times New Roman" w:hAnsi="Times New Roman" w:cs="Times New Roman"/>
          <w:b/>
          <w:i/>
          <w:sz w:val="24"/>
          <w:szCs w:val="24"/>
        </w:rPr>
        <w:t>euro</w:t>
      </w:r>
      <w:r w:rsidRPr="0070062A">
        <w:rPr>
          <w:rFonts w:ascii="Times New Roman" w:hAnsi="Times New Roman" w:cs="Times New Roman"/>
          <w:b/>
          <w:sz w:val="24"/>
          <w:szCs w:val="24"/>
        </w:rPr>
        <w:t>)</w:t>
      </w:r>
    </w:p>
    <w:p w14:paraId="0201EB19" w14:textId="77777777" w:rsidR="00C63247" w:rsidRPr="0070062A" w:rsidRDefault="00C63247" w:rsidP="00C63247">
      <w:pPr>
        <w:spacing w:after="120" w:line="240" w:lineRule="auto"/>
        <w:jc w:val="center"/>
        <w:rPr>
          <w:rFonts w:ascii="Times New Roman" w:hAnsi="Times New Roman" w:cs="Times New Roman"/>
          <w:i/>
          <w:sz w:val="20"/>
          <w:szCs w:val="20"/>
        </w:rPr>
      </w:pPr>
      <w:r w:rsidRPr="0070062A">
        <w:rPr>
          <w:rFonts w:ascii="Times New Roman" w:hAnsi="Times New Roman" w:cs="Times New Roman"/>
          <w:i/>
          <w:sz w:val="20"/>
          <w:szCs w:val="20"/>
        </w:rPr>
        <w:t>(Veselības nozares budžeta izdevumus veido VM budžets un ES fondi un cita ārvalstu finanšu palīdzība FM CFLA budžetā)</w:t>
      </w:r>
    </w:p>
    <w:tbl>
      <w:tblPr>
        <w:tblW w:w="9008"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5088"/>
        <w:gridCol w:w="980"/>
        <w:gridCol w:w="980"/>
        <w:gridCol w:w="980"/>
        <w:gridCol w:w="980"/>
      </w:tblGrid>
      <w:tr w:rsidR="00C63247" w:rsidRPr="0070062A" w14:paraId="466F5986" w14:textId="77777777" w:rsidTr="00295180">
        <w:trPr>
          <w:trHeight w:val="242"/>
        </w:trPr>
        <w:tc>
          <w:tcPr>
            <w:tcW w:w="5088" w:type="dxa"/>
            <w:shd w:val="clear" w:color="auto" w:fill="E2EFD9" w:themeFill="accent6" w:themeFillTint="33"/>
            <w:vAlign w:val="center"/>
            <w:hideMark/>
          </w:tcPr>
          <w:p w14:paraId="1EA4E1AB"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 </w:t>
            </w:r>
          </w:p>
        </w:tc>
        <w:tc>
          <w:tcPr>
            <w:tcW w:w="980" w:type="dxa"/>
            <w:shd w:val="clear" w:color="auto" w:fill="E2EFD9" w:themeFill="accent6" w:themeFillTint="33"/>
            <w:vAlign w:val="center"/>
            <w:hideMark/>
          </w:tcPr>
          <w:p w14:paraId="367230D2"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2019</w:t>
            </w:r>
          </w:p>
        </w:tc>
        <w:tc>
          <w:tcPr>
            <w:tcW w:w="980" w:type="dxa"/>
            <w:shd w:val="clear" w:color="auto" w:fill="E2EFD9" w:themeFill="accent6" w:themeFillTint="33"/>
            <w:vAlign w:val="center"/>
            <w:hideMark/>
          </w:tcPr>
          <w:p w14:paraId="55C7AEA5"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2020</w:t>
            </w:r>
          </w:p>
        </w:tc>
        <w:tc>
          <w:tcPr>
            <w:tcW w:w="980" w:type="dxa"/>
            <w:shd w:val="clear" w:color="auto" w:fill="E2EFD9" w:themeFill="accent6" w:themeFillTint="33"/>
            <w:vAlign w:val="center"/>
            <w:hideMark/>
          </w:tcPr>
          <w:p w14:paraId="6883DF48"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2021</w:t>
            </w:r>
          </w:p>
        </w:tc>
        <w:tc>
          <w:tcPr>
            <w:tcW w:w="980" w:type="dxa"/>
            <w:shd w:val="clear" w:color="auto" w:fill="E2EFD9" w:themeFill="accent6" w:themeFillTint="33"/>
            <w:vAlign w:val="center"/>
            <w:hideMark/>
          </w:tcPr>
          <w:p w14:paraId="2619CA37"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2022</w:t>
            </w:r>
          </w:p>
        </w:tc>
      </w:tr>
      <w:tr w:rsidR="00C63247" w:rsidRPr="0070062A" w14:paraId="09DB1992" w14:textId="77777777" w:rsidTr="00295180">
        <w:trPr>
          <w:trHeight w:val="270"/>
        </w:trPr>
        <w:tc>
          <w:tcPr>
            <w:tcW w:w="5088" w:type="dxa"/>
            <w:shd w:val="clear" w:color="auto" w:fill="auto"/>
            <w:vAlign w:val="center"/>
            <w:hideMark/>
          </w:tcPr>
          <w:p w14:paraId="38CA56B3" w14:textId="77777777" w:rsidR="00C63247" w:rsidRPr="0070062A" w:rsidRDefault="00C63247" w:rsidP="00295180">
            <w:pPr>
              <w:spacing w:after="0" w:line="240" w:lineRule="auto"/>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Veselības nozares budžets</w:t>
            </w:r>
          </w:p>
        </w:tc>
        <w:tc>
          <w:tcPr>
            <w:tcW w:w="980" w:type="dxa"/>
            <w:shd w:val="clear" w:color="auto" w:fill="auto"/>
            <w:noWrap/>
            <w:vAlign w:val="center"/>
            <w:hideMark/>
          </w:tcPr>
          <w:p w14:paraId="456CF5E1" w14:textId="5B4AAE14" w:rsidR="00C63247" w:rsidRPr="0070062A" w:rsidRDefault="000753D9" w:rsidP="00295180">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1205.7</w:t>
            </w:r>
          </w:p>
        </w:tc>
        <w:tc>
          <w:tcPr>
            <w:tcW w:w="980" w:type="dxa"/>
            <w:shd w:val="clear" w:color="auto" w:fill="auto"/>
            <w:noWrap/>
            <w:vAlign w:val="center"/>
            <w:hideMark/>
          </w:tcPr>
          <w:p w14:paraId="0021A550"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1259.5</w:t>
            </w:r>
          </w:p>
        </w:tc>
        <w:tc>
          <w:tcPr>
            <w:tcW w:w="980" w:type="dxa"/>
            <w:shd w:val="clear" w:color="auto" w:fill="auto"/>
            <w:noWrap/>
            <w:vAlign w:val="center"/>
            <w:hideMark/>
          </w:tcPr>
          <w:p w14:paraId="25CFA91C"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1236.3</w:t>
            </w:r>
          </w:p>
        </w:tc>
        <w:tc>
          <w:tcPr>
            <w:tcW w:w="980" w:type="dxa"/>
            <w:shd w:val="clear" w:color="auto" w:fill="auto"/>
            <w:noWrap/>
            <w:vAlign w:val="center"/>
            <w:hideMark/>
          </w:tcPr>
          <w:p w14:paraId="2A974FBF"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1202.7</w:t>
            </w:r>
          </w:p>
        </w:tc>
      </w:tr>
      <w:tr w:rsidR="00C63247" w:rsidRPr="0070062A" w14:paraId="311C9387" w14:textId="77777777" w:rsidTr="00295180">
        <w:trPr>
          <w:trHeight w:val="132"/>
        </w:trPr>
        <w:tc>
          <w:tcPr>
            <w:tcW w:w="5088" w:type="dxa"/>
            <w:shd w:val="clear" w:color="auto" w:fill="auto"/>
            <w:noWrap/>
            <w:vAlign w:val="center"/>
            <w:hideMark/>
          </w:tcPr>
          <w:p w14:paraId="3570BEF2" w14:textId="77777777" w:rsidR="00C63247" w:rsidRPr="0070062A" w:rsidRDefault="00C63247" w:rsidP="00295180">
            <w:pPr>
              <w:spacing w:after="0" w:line="240" w:lineRule="auto"/>
              <w:rPr>
                <w:rFonts w:ascii="Times New Roman" w:eastAsia="Times New Roman" w:hAnsi="Times New Roman" w:cs="Times New Roman"/>
                <w:b/>
                <w:bCs/>
                <w:iCs/>
                <w:lang w:eastAsia="lv-LV"/>
              </w:rPr>
            </w:pPr>
            <w:r w:rsidRPr="0070062A">
              <w:rPr>
                <w:rFonts w:ascii="Times New Roman" w:eastAsia="Times New Roman" w:hAnsi="Times New Roman" w:cs="Times New Roman"/>
                <w:b/>
                <w:bCs/>
                <w:iCs/>
                <w:lang w:eastAsia="lv-LV"/>
              </w:rPr>
              <w:t>t.sk. VM budžets</w:t>
            </w:r>
          </w:p>
        </w:tc>
        <w:tc>
          <w:tcPr>
            <w:tcW w:w="980" w:type="dxa"/>
            <w:shd w:val="clear" w:color="auto" w:fill="auto"/>
            <w:noWrap/>
            <w:vAlign w:val="center"/>
            <w:hideMark/>
          </w:tcPr>
          <w:p w14:paraId="415A19A3" w14:textId="5B051120" w:rsidR="00C63247" w:rsidRPr="0070062A" w:rsidRDefault="000753D9" w:rsidP="00295180">
            <w:pPr>
              <w:spacing w:after="0" w:line="240" w:lineRule="auto"/>
              <w:jc w:val="right"/>
              <w:rPr>
                <w:rFonts w:ascii="Times New Roman" w:eastAsia="Times New Roman" w:hAnsi="Times New Roman" w:cs="Times New Roman"/>
                <w:b/>
                <w:bCs/>
                <w:iCs/>
                <w:lang w:eastAsia="lv-LV"/>
              </w:rPr>
            </w:pPr>
            <w:r>
              <w:rPr>
                <w:rFonts w:ascii="Times New Roman" w:eastAsia="Times New Roman" w:hAnsi="Times New Roman" w:cs="Times New Roman"/>
                <w:b/>
                <w:bCs/>
                <w:iCs/>
                <w:lang w:eastAsia="lv-LV"/>
              </w:rPr>
              <w:t>1181.8</w:t>
            </w:r>
          </w:p>
        </w:tc>
        <w:tc>
          <w:tcPr>
            <w:tcW w:w="980" w:type="dxa"/>
            <w:shd w:val="clear" w:color="auto" w:fill="auto"/>
            <w:noWrap/>
            <w:vAlign w:val="center"/>
            <w:hideMark/>
          </w:tcPr>
          <w:p w14:paraId="3896663F" w14:textId="77777777" w:rsidR="00C63247" w:rsidRPr="0070062A" w:rsidRDefault="00C63247" w:rsidP="00295180">
            <w:pPr>
              <w:spacing w:after="0" w:line="240" w:lineRule="auto"/>
              <w:jc w:val="right"/>
              <w:rPr>
                <w:rFonts w:ascii="Times New Roman" w:eastAsia="Times New Roman" w:hAnsi="Times New Roman" w:cs="Times New Roman"/>
                <w:b/>
                <w:bCs/>
                <w:iCs/>
                <w:lang w:eastAsia="lv-LV"/>
              </w:rPr>
            </w:pPr>
            <w:r w:rsidRPr="0070062A">
              <w:rPr>
                <w:rFonts w:ascii="Times New Roman" w:eastAsia="Times New Roman" w:hAnsi="Times New Roman" w:cs="Times New Roman"/>
                <w:b/>
                <w:bCs/>
                <w:iCs/>
                <w:lang w:eastAsia="lv-LV"/>
              </w:rPr>
              <w:t>1219.2</w:t>
            </w:r>
          </w:p>
        </w:tc>
        <w:tc>
          <w:tcPr>
            <w:tcW w:w="980" w:type="dxa"/>
            <w:shd w:val="clear" w:color="auto" w:fill="auto"/>
            <w:noWrap/>
            <w:vAlign w:val="center"/>
            <w:hideMark/>
          </w:tcPr>
          <w:p w14:paraId="7CDD452B" w14:textId="77777777" w:rsidR="00C63247" w:rsidRPr="0070062A" w:rsidRDefault="00C63247" w:rsidP="00295180">
            <w:pPr>
              <w:spacing w:after="0" w:line="240" w:lineRule="auto"/>
              <w:jc w:val="right"/>
              <w:rPr>
                <w:rFonts w:ascii="Times New Roman" w:eastAsia="Times New Roman" w:hAnsi="Times New Roman" w:cs="Times New Roman"/>
                <w:b/>
                <w:bCs/>
                <w:iCs/>
                <w:lang w:eastAsia="lv-LV"/>
              </w:rPr>
            </w:pPr>
            <w:r w:rsidRPr="0070062A">
              <w:rPr>
                <w:rFonts w:ascii="Times New Roman" w:eastAsia="Times New Roman" w:hAnsi="Times New Roman" w:cs="Times New Roman"/>
                <w:b/>
                <w:bCs/>
                <w:iCs/>
                <w:lang w:eastAsia="lv-LV"/>
              </w:rPr>
              <w:t>1200.0</w:t>
            </w:r>
          </w:p>
        </w:tc>
        <w:tc>
          <w:tcPr>
            <w:tcW w:w="980" w:type="dxa"/>
            <w:shd w:val="clear" w:color="auto" w:fill="auto"/>
            <w:noWrap/>
            <w:vAlign w:val="center"/>
            <w:hideMark/>
          </w:tcPr>
          <w:p w14:paraId="4FB36AFF" w14:textId="77777777" w:rsidR="00C63247" w:rsidRPr="0070062A" w:rsidRDefault="00C63247" w:rsidP="00295180">
            <w:pPr>
              <w:spacing w:after="0" w:line="240" w:lineRule="auto"/>
              <w:jc w:val="right"/>
              <w:rPr>
                <w:rFonts w:ascii="Times New Roman" w:eastAsia="Times New Roman" w:hAnsi="Times New Roman" w:cs="Times New Roman"/>
                <w:b/>
                <w:bCs/>
                <w:iCs/>
                <w:lang w:eastAsia="lv-LV"/>
              </w:rPr>
            </w:pPr>
            <w:r w:rsidRPr="0070062A">
              <w:rPr>
                <w:rFonts w:ascii="Times New Roman" w:eastAsia="Times New Roman" w:hAnsi="Times New Roman" w:cs="Times New Roman"/>
                <w:b/>
                <w:bCs/>
                <w:iCs/>
                <w:lang w:eastAsia="lv-LV"/>
              </w:rPr>
              <w:t>1202.7</w:t>
            </w:r>
          </w:p>
        </w:tc>
      </w:tr>
      <w:tr w:rsidR="00C63247" w:rsidRPr="0070062A" w14:paraId="3B24F853" w14:textId="77777777" w:rsidTr="00295180">
        <w:trPr>
          <w:trHeight w:val="178"/>
        </w:trPr>
        <w:tc>
          <w:tcPr>
            <w:tcW w:w="5088" w:type="dxa"/>
            <w:shd w:val="clear" w:color="auto" w:fill="auto"/>
            <w:noWrap/>
            <w:vAlign w:val="center"/>
            <w:hideMark/>
          </w:tcPr>
          <w:p w14:paraId="3054622F" w14:textId="77777777" w:rsidR="00C63247" w:rsidRPr="0070062A" w:rsidRDefault="00C63247" w:rsidP="00295180">
            <w:pPr>
              <w:spacing w:after="0" w:line="240" w:lineRule="auto"/>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ES fondi un ĀFP</w:t>
            </w:r>
          </w:p>
        </w:tc>
        <w:tc>
          <w:tcPr>
            <w:tcW w:w="980" w:type="dxa"/>
            <w:shd w:val="clear" w:color="auto" w:fill="auto"/>
            <w:noWrap/>
            <w:vAlign w:val="center"/>
            <w:hideMark/>
          </w:tcPr>
          <w:p w14:paraId="30476B22" w14:textId="6C6EECFC" w:rsidR="00C63247" w:rsidRPr="0070062A" w:rsidRDefault="000753D9" w:rsidP="00295180">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35.0</w:t>
            </w:r>
          </w:p>
        </w:tc>
        <w:tc>
          <w:tcPr>
            <w:tcW w:w="980" w:type="dxa"/>
            <w:shd w:val="clear" w:color="auto" w:fill="auto"/>
            <w:noWrap/>
            <w:vAlign w:val="center"/>
            <w:hideMark/>
          </w:tcPr>
          <w:p w14:paraId="3EE5CAD2"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54.7</w:t>
            </w:r>
          </w:p>
        </w:tc>
        <w:tc>
          <w:tcPr>
            <w:tcW w:w="980" w:type="dxa"/>
            <w:shd w:val="clear" w:color="auto" w:fill="auto"/>
            <w:noWrap/>
            <w:vAlign w:val="center"/>
            <w:hideMark/>
          </w:tcPr>
          <w:p w14:paraId="10A2C178"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48.4</w:t>
            </w:r>
          </w:p>
        </w:tc>
        <w:tc>
          <w:tcPr>
            <w:tcW w:w="980" w:type="dxa"/>
            <w:shd w:val="clear" w:color="auto" w:fill="auto"/>
            <w:noWrap/>
            <w:vAlign w:val="center"/>
            <w:hideMark/>
          </w:tcPr>
          <w:p w14:paraId="4EE4D0A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9.3</w:t>
            </w:r>
          </w:p>
        </w:tc>
      </w:tr>
      <w:tr w:rsidR="00C63247" w:rsidRPr="0070062A" w14:paraId="3B6AAD58" w14:textId="77777777" w:rsidTr="00295180">
        <w:trPr>
          <w:trHeight w:val="210"/>
        </w:trPr>
        <w:tc>
          <w:tcPr>
            <w:tcW w:w="5088" w:type="dxa"/>
            <w:shd w:val="clear" w:color="auto" w:fill="auto"/>
            <w:noWrap/>
            <w:vAlign w:val="center"/>
            <w:hideMark/>
          </w:tcPr>
          <w:p w14:paraId="14574C57" w14:textId="77777777" w:rsidR="00C63247" w:rsidRPr="0070062A" w:rsidRDefault="00C63247" w:rsidP="00295180">
            <w:pPr>
              <w:spacing w:after="0" w:line="240" w:lineRule="auto"/>
              <w:ind w:firstLineChars="100" w:firstLine="220"/>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t.sk.VM budžetā</w:t>
            </w:r>
          </w:p>
        </w:tc>
        <w:tc>
          <w:tcPr>
            <w:tcW w:w="980" w:type="dxa"/>
            <w:shd w:val="clear" w:color="auto" w:fill="auto"/>
            <w:noWrap/>
            <w:vAlign w:val="center"/>
            <w:hideMark/>
          </w:tcPr>
          <w:p w14:paraId="74186451" w14:textId="7686831E" w:rsidR="00C63247" w:rsidRPr="0070062A" w:rsidRDefault="000753D9" w:rsidP="00295180">
            <w:pPr>
              <w:spacing w:after="0" w:line="240" w:lineRule="auto"/>
              <w:jc w:val="right"/>
              <w:rPr>
                <w:rFonts w:ascii="Times New Roman" w:eastAsia="Times New Roman" w:hAnsi="Times New Roman" w:cs="Times New Roman"/>
                <w:iCs/>
                <w:lang w:eastAsia="lv-LV"/>
              </w:rPr>
            </w:pPr>
            <w:r>
              <w:rPr>
                <w:rFonts w:ascii="Times New Roman" w:eastAsia="Times New Roman" w:hAnsi="Times New Roman" w:cs="Times New Roman"/>
                <w:iCs/>
                <w:lang w:eastAsia="lv-LV"/>
              </w:rPr>
              <w:t>11.17</w:t>
            </w:r>
          </w:p>
        </w:tc>
        <w:tc>
          <w:tcPr>
            <w:tcW w:w="980" w:type="dxa"/>
            <w:shd w:val="clear" w:color="auto" w:fill="auto"/>
            <w:noWrap/>
            <w:vAlign w:val="center"/>
            <w:hideMark/>
          </w:tcPr>
          <w:p w14:paraId="66CD78E6" w14:textId="77777777" w:rsidR="00C63247" w:rsidRPr="0070062A" w:rsidRDefault="00C63247" w:rsidP="00295180">
            <w:pPr>
              <w:spacing w:after="0" w:line="240" w:lineRule="auto"/>
              <w:jc w:val="right"/>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14.39</w:t>
            </w:r>
          </w:p>
        </w:tc>
        <w:tc>
          <w:tcPr>
            <w:tcW w:w="980" w:type="dxa"/>
            <w:shd w:val="clear" w:color="auto" w:fill="auto"/>
            <w:noWrap/>
            <w:vAlign w:val="center"/>
            <w:hideMark/>
          </w:tcPr>
          <w:p w14:paraId="73A40AF5" w14:textId="77777777" w:rsidR="00C63247" w:rsidRPr="0070062A" w:rsidRDefault="00C63247" w:rsidP="00295180">
            <w:pPr>
              <w:spacing w:after="0" w:line="240" w:lineRule="auto"/>
              <w:jc w:val="right"/>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12.05</w:t>
            </w:r>
          </w:p>
        </w:tc>
        <w:tc>
          <w:tcPr>
            <w:tcW w:w="980" w:type="dxa"/>
            <w:shd w:val="clear" w:color="auto" w:fill="auto"/>
            <w:noWrap/>
            <w:vAlign w:val="center"/>
            <w:hideMark/>
          </w:tcPr>
          <w:p w14:paraId="77455F6C" w14:textId="77777777" w:rsidR="00C63247" w:rsidRPr="0070062A" w:rsidRDefault="00C63247" w:rsidP="00295180">
            <w:pPr>
              <w:spacing w:after="0" w:line="240" w:lineRule="auto"/>
              <w:jc w:val="right"/>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9.32</w:t>
            </w:r>
          </w:p>
        </w:tc>
      </w:tr>
      <w:tr w:rsidR="00C63247" w:rsidRPr="0070062A" w14:paraId="354CAD96" w14:textId="77777777" w:rsidTr="00295180">
        <w:trPr>
          <w:trHeight w:val="113"/>
        </w:trPr>
        <w:tc>
          <w:tcPr>
            <w:tcW w:w="5088" w:type="dxa"/>
            <w:shd w:val="clear" w:color="auto" w:fill="auto"/>
            <w:noWrap/>
            <w:vAlign w:val="center"/>
            <w:hideMark/>
          </w:tcPr>
          <w:p w14:paraId="0688CD3B" w14:textId="77777777" w:rsidR="00C63247" w:rsidRPr="0070062A" w:rsidRDefault="00C63247" w:rsidP="00295180">
            <w:pPr>
              <w:spacing w:after="0" w:line="240" w:lineRule="auto"/>
              <w:ind w:firstLineChars="100" w:firstLine="220"/>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t.sk. FM CFLA budžetā</w:t>
            </w:r>
          </w:p>
        </w:tc>
        <w:tc>
          <w:tcPr>
            <w:tcW w:w="980" w:type="dxa"/>
            <w:shd w:val="clear" w:color="auto" w:fill="auto"/>
            <w:noWrap/>
            <w:vAlign w:val="center"/>
            <w:hideMark/>
          </w:tcPr>
          <w:p w14:paraId="4936161E" w14:textId="77777777" w:rsidR="00C63247" w:rsidRPr="0070062A" w:rsidRDefault="00C63247" w:rsidP="00295180">
            <w:pPr>
              <w:spacing w:after="0" w:line="240" w:lineRule="auto"/>
              <w:jc w:val="right"/>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23.87</w:t>
            </w:r>
          </w:p>
        </w:tc>
        <w:tc>
          <w:tcPr>
            <w:tcW w:w="980" w:type="dxa"/>
            <w:shd w:val="clear" w:color="auto" w:fill="auto"/>
            <w:noWrap/>
            <w:vAlign w:val="center"/>
            <w:hideMark/>
          </w:tcPr>
          <w:p w14:paraId="3AFB53E4" w14:textId="77777777" w:rsidR="00C63247" w:rsidRPr="0070062A" w:rsidRDefault="00C63247" w:rsidP="00295180">
            <w:pPr>
              <w:spacing w:after="0" w:line="240" w:lineRule="auto"/>
              <w:jc w:val="right"/>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40.34</w:t>
            </w:r>
          </w:p>
        </w:tc>
        <w:tc>
          <w:tcPr>
            <w:tcW w:w="980" w:type="dxa"/>
            <w:shd w:val="clear" w:color="auto" w:fill="auto"/>
            <w:noWrap/>
            <w:vAlign w:val="center"/>
            <w:hideMark/>
          </w:tcPr>
          <w:p w14:paraId="56CE273F" w14:textId="77777777" w:rsidR="00C63247" w:rsidRPr="0070062A" w:rsidRDefault="00C63247" w:rsidP="00295180">
            <w:pPr>
              <w:spacing w:after="0" w:line="240" w:lineRule="auto"/>
              <w:jc w:val="right"/>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36.33</w:t>
            </w:r>
          </w:p>
        </w:tc>
        <w:tc>
          <w:tcPr>
            <w:tcW w:w="980" w:type="dxa"/>
            <w:shd w:val="clear" w:color="auto" w:fill="auto"/>
            <w:noWrap/>
            <w:vAlign w:val="center"/>
            <w:hideMark/>
          </w:tcPr>
          <w:p w14:paraId="3DC4786C" w14:textId="77777777" w:rsidR="00C63247" w:rsidRPr="0070062A" w:rsidRDefault="00C63247" w:rsidP="00295180">
            <w:pPr>
              <w:spacing w:after="0" w:line="240" w:lineRule="auto"/>
              <w:rPr>
                <w:rFonts w:ascii="Times New Roman" w:eastAsia="Times New Roman" w:hAnsi="Times New Roman" w:cs="Times New Roman"/>
                <w:iCs/>
                <w:lang w:eastAsia="lv-LV"/>
              </w:rPr>
            </w:pPr>
            <w:r w:rsidRPr="0070062A">
              <w:rPr>
                <w:rFonts w:ascii="Times New Roman" w:eastAsia="Times New Roman" w:hAnsi="Times New Roman" w:cs="Times New Roman"/>
                <w:iCs/>
                <w:lang w:eastAsia="lv-LV"/>
              </w:rPr>
              <w:t> </w:t>
            </w:r>
          </w:p>
        </w:tc>
      </w:tr>
      <w:tr w:rsidR="00C63247" w:rsidRPr="0070062A" w14:paraId="40968CE5" w14:textId="77777777" w:rsidTr="00295180">
        <w:trPr>
          <w:trHeight w:val="205"/>
        </w:trPr>
        <w:tc>
          <w:tcPr>
            <w:tcW w:w="5088" w:type="dxa"/>
            <w:shd w:val="clear" w:color="auto" w:fill="auto"/>
            <w:noWrap/>
            <w:vAlign w:val="center"/>
            <w:hideMark/>
          </w:tcPr>
          <w:p w14:paraId="59AC31FA" w14:textId="77777777" w:rsidR="00C63247" w:rsidRPr="0070062A" w:rsidRDefault="00C63247" w:rsidP="00295180">
            <w:pPr>
              <w:spacing w:after="0" w:line="240" w:lineRule="auto"/>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Pamatfunkcijas</w:t>
            </w:r>
          </w:p>
        </w:tc>
        <w:tc>
          <w:tcPr>
            <w:tcW w:w="980" w:type="dxa"/>
            <w:shd w:val="clear" w:color="auto" w:fill="auto"/>
            <w:noWrap/>
            <w:vAlign w:val="center"/>
            <w:hideMark/>
          </w:tcPr>
          <w:p w14:paraId="3E061F88" w14:textId="2161149B" w:rsidR="00C63247" w:rsidRPr="0070062A" w:rsidRDefault="000753D9" w:rsidP="00295180">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921.0</w:t>
            </w:r>
          </w:p>
        </w:tc>
        <w:tc>
          <w:tcPr>
            <w:tcW w:w="980" w:type="dxa"/>
            <w:shd w:val="clear" w:color="auto" w:fill="auto"/>
            <w:noWrap/>
            <w:vAlign w:val="center"/>
            <w:hideMark/>
          </w:tcPr>
          <w:p w14:paraId="0BF48AD6"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960.6</w:t>
            </w:r>
          </w:p>
        </w:tc>
        <w:tc>
          <w:tcPr>
            <w:tcW w:w="980" w:type="dxa"/>
            <w:shd w:val="clear" w:color="auto" w:fill="auto"/>
            <w:noWrap/>
            <w:vAlign w:val="center"/>
            <w:hideMark/>
          </w:tcPr>
          <w:p w14:paraId="3F7EF2D5"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938.8</w:t>
            </w:r>
          </w:p>
        </w:tc>
        <w:tc>
          <w:tcPr>
            <w:tcW w:w="980" w:type="dxa"/>
            <w:shd w:val="clear" w:color="auto" w:fill="auto"/>
            <w:noWrap/>
            <w:vAlign w:val="center"/>
            <w:hideMark/>
          </w:tcPr>
          <w:p w14:paraId="0436ACF9"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938.8</w:t>
            </w:r>
          </w:p>
        </w:tc>
      </w:tr>
      <w:tr w:rsidR="00C63247" w:rsidRPr="0070062A" w14:paraId="5AA8914E" w14:textId="77777777" w:rsidTr="00295180">
        <w:trPr>
          <w:trHeight w:val="281"/>
        </w:trPr>
        <w:tc>
          <w:tcPr>
            <w:tcW w:w="5088" w:type="dxa"/>
            <w:shd w:val="clear" w:color="auto" w:fill="auto"/>
            <w:noWrap/>
            <w:vAlign w:val="center"/>
            <w:hideMark/>
          </w:tcPr>
          <w:p w14:paraId="6AA80F1F" w14:textId="77777777" w:rsidR="00C63247" w:rsidRPr="0070062A" w:rsidRDefault="00C63247" w:rsidP="00295180">
            <w:pPr>
              <w:spacing w:after="0" w:line="240" w:lineRule="auto"/>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Papildus pamatfunkcijām</w:t>
            </w:r>
          </w:p>
        </w:tc>
        <w:tc>
          <w:tcPr>
            <w:tcW w:w="980" w:type="dxa"/>
            <w:shd w:val="clear" w:color="auto" w:fill="auto"/>
            <w:noWrap/>
            <w:vAlign w:val="center"/>
            <w:hideMark/>
          </w:tcPr>
          <w:p w14:paraId="4C59019C"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249.6</w:t>
            </w:r>
          </w:p>
        </w:tc>
        <w:tc>
          <w:tcPr>
            <w:tcW w:w="980" w:type="dxa"/>
            <w:shd w:val="clear" w:color="auto" w:fill="auto"/>
            <w:noWrap/>
            <w:vAlign w:val="center"/>
            <w:hideMark/>
          </w:tcPr>
          <w:p w14:paraId="0D9FA65A"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244.2</w:t>
            </w:r>
          </w:p>
        </w:tc>
        <w:tc>
          <w:tcPr>
            <w:tcW w:w="980" w:type="dxa"/>
            <w:shd w:val="clear" w:color="auto" w:fill="auto"/>
            <w:noWrap/>
            <w:vAlign w:val="center"/>
            <w:hideMark/>
          </w:tcPr>
          <w:p w14:paraId="40BD74A8"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249.2</w:t>
            </w:r>
          </w:p>
        </w:tc>
        <w:tc>
          <w:tcPr>
            <w:tcW w:w="980" w:type="dxa"/>
            <w:shd w:val="clear" w:color="auto" w:fill="auto"/>
            <w:noWrap/>
            <w:vAlign w:val="center"/>
            <w:hideMark/>
          </w:tcPr>
          <w:p w14:paraId="3F312015"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254.6</w:t>
            </w:r>
          </w:p>
        </w:tc>
      </w:tr>
      <w:tr w:rsidR="00C63247" w:rsidRPr="0070062A" w14:paraId="22E7FD85" w14:textId="77777777" w:rsidTr="00295180">
        <w:trPr>
          <w:trHeight w:val="209"/>
        </w:trPr>
        <w:tc>
          <w:tcPr>
            <w:tcW w:w="5088" w:type="dxa"/>
            <w:shd w:val="clear" w:color="auto" w:fill="auto"/>
            <w:vAlign w:val="center"/>
            <w:hideMark/>
          </w:tcPr>
          <w:p w14:paraId="0FDB48B6"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t.sk. no EK atļautās deficīta atkāpes</w:t>
            </w:r>
          </w:p>
        </w:tc>
        <w:tc>
          <w:tcPr>
            <w:tcW w:w="980" w:type="dxa"/>
            <w:shd w:val="clear" w:color="auto" w:fill="auto"/>
            <w:noWrap/>
            <w:vAlign w:val="center"/>
            <w:hideMark/>
          </w:tcPr>
          <w:p w14:paraId="6A812CC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154.2</w:t>
            </w:r>
          </w:p>
        </w:tc>
        <w:tc>
          <w:tcPr>
            <w:tcW w:w="980" w:type="dxa"/>
            <w:shd w:val="clear" w:color="auto" w:fill="auto"/>
            <w:noWrap/>
            <w:vAlign w:val="center"/>
            <w:hideMark/>
          </w:tcPr>
          <w:p w14:paraId="789EE29E"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0.0</w:t>
            </w:r>
          </w:p>
        </w:tc>
        <w:tc>
          <w:tcPr>
            <w:tcW w:w="980" w:type="dxa"/>
            <w:shd w:val="clear" w:color="auto" w:fill="auto"/>
            <w:noWrap/>
            <w:vAlign w:val="center"/>
            <w:hideMark/>
          </w:tcPr>
          <w:p w14:paraId="0268C6EE"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0.0</w:t>
            </w:r>
          </w:p>
        </w:tc>
        <w:tc>
          <w:tcPr>
            <w:tcW w:w="980" w:type="dxa"/>
            <w:shd w:val="clear" w:color="auto" w:fill="auto"/>
            <w:noWrap/>
            <w:vAlign w:val="center"/>
            <w:hideMark/>
          </w:tcPr>
          <w:p w14:paraId="08A451EF"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0.0</w:t>
            </w:r>
          </w:p>
        </w:tc>
      </w:tr>
      <w:tr w:rsidR="00C63247" w:rsidRPr="0070062A" w14:paraId="6882FFAD" w14:textId="77777777" w:rsidTr="00295180">
        <w:trPr>
          <w:trHeight w:val="383"/>
        </w:trPr>
        <w:tc>
          <w:tcPr>
            <w:tcW w:w="5088" w:type="dxa"/>
            <w:shd w:val="clear" w:color="auto" w:fill="auto"/>
            <w:vAlign w:val="center"/>
            <w:hideMark/>
          </w:tcPr>
          <w:p w14:paraId="38F58A8F"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t.sk. no VSAOI pārdales  (no 2019.gada 2.4 milj. </w:t>
            </w:r>
            <w:r w:rsidRPr="0070062A">
              <w:rPr>
                <w:rFonts w:ascii="Times New Roman" w:eastAsia="Times New Roman" w:hAnsi="Times New Roman" w:cs="Times New Roman"/>
                <w:i/>
                <w:lang w:eastAsia="lv-LV"/>
              </w:rPr>
              <w:t>euro</w:t>
            </w:r>
            <w:r w:rsidRPr="0070062A">
              <w:rPr>
                <w:rFonts w:ascii="Times New Roman" w:eastAsia="Times New Roman" w:hAnsi="Times New Roman" w:cs="Times New Roman"/>
                <w:lang w:eastAsia="lv-LV"/>
              </w:rPr>
              <w:t xml:space="preserve"> citu ministriju budžetos)</w:t>
            </w:r>
          </w:p>
        </w:tc>
        <w:tc>
          <w:tcPr>
            <w:tcW w:w="980" w:type="dxa"/>
            <w:shd w:val="clear" w:color="auto" w:fill="auto"/>
            <w:noWrap/>
            <w:vAlign w:val="center"/>
            <w:hideMark/>
          </w:tcPr>
          <w:p w14:paraId="3ED163D5"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95.4</w:t>
            </w:r>
          </w:p>
        </w:tc>
        <w:tc>
          <w:tcPr>
            <w:tcW w:w="980" w:type="dxa"/>
            <w:shd w:val="clear" w:color="auto" w:fill="auto"/>
            <w:noWrap/>
            <w:vAlign w:val="center"/>
            <w:hideMark/>
          </w:tcPr>
          <w:p w14:paraId="01EFB64D"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100.2</w:t>
            </w:r>
          </w:p>
        </w:tc>
        <w:tc>
          <w:tcPr>
            <w:tcW w:w="980" w:type="dxa"/>
            <w:shd w:val="clear" w:color="auto" w:fill="auto"/>
            <w:noWrap/>
            <w:vAlign w:val="center"/>
            <w:hideMark/>
          </w:tcPr>
          <w:p w14:paraId="64316C3B"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105.2</w:t>
            </w:r>
          </w:p>
        </w:tc>
        <w:tc>
          <w:tcPr>
            <w:tcW w:w="980" w:type="dxa"/>
            <w:shd w:val="clear" w:color="auto" w:fill="auto"/>
            <w:noWrap/>
            <w:vAlign w:val="center"/>
            <w:hideMark/>
          </w:tcPr>
          <w:p w14:paraId="5711FF7B"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110.6</w:t>
            </w:r>
          </w:p>
        </w:tc>
      </w:tr>
      <w:tr w:rsidR="00C63247" w:rsidRPr="0070062A" w14:paraId="3964D1E2" w14:textId="77777777" w:rsidTr="00295180">
        <w:trPr>
          <w:trHeight w:val="205"/>
        </w:trPr>
        <w:tc>
          <w:tcPr>
            <w:tcW w:w="5088" w:type="dxa"/>
            <w:shd w:val="clear" w:color="auto" w:fill="auto"/>
            <w:noWrap/>
            <w:vAlign w:val="center"/>
            <w:hideMark/>
          </w:tcPr>
          <w:p w14:paraId="0497829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t.sk. MK atbalstītais papildu finansējums</w:t>
            </w:r>
          </w:p>
        </w:tc>
        <w:tc>
          <w:tcPr>
            <w:tcW w:w="980" w:type="dxa"/>
            <w:shd w:val="clear" w:color="auto" w:fill="auto"/>
            <w:noWrap/>
            <w:vAlign w:val="center"/>
            <w:hideMark/>
          </w:tcPr>
          <w:p w14:paraId="4378ABA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0.0</w:t>
            </w:r>
          </w:p>
        </w:tc>
        <w:tc>
          <w:tcPr>
            <w:tcW w:w="980" w:type="dxa"/>
            <w:shd w:val="clear" w:color="auto" w:fill="auto"/>
            <w:noWrap/>
            <w:vAlign w:val="center"/>
            <w:hideMark/>
          </w:tcPr>
          <w:p w14:paraId="075ECBC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144.0</w:t>
            </w:r>
          </w:p>
        </w:tc>
        <w:tc>
          <w:tcPr>
            <w:tcW w:w="980" w:type="dxa"/>
            <w:shd w:val="clear" w:color="auto" w:fill="auto"/>
            <w:noWrap/>
            <w:vAlign w:val="center"/>
            <w:hideMark/>
          </w:tcPr>
          <w:p w14:paraId="5ABBCF5B"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144.0</w:t>
            </w:r>
          </w:p>
        </w:tc>
        <w:tc>
          <w:tcPr>
            <w:tcW w:w="980" w:type="dxa"/>
            <w:shd w:val="clear" w:color="auto" w:fill="auto"/>
            <w:noWrap/>
            <w:vAlign w:val="center"/>
            <w:hideMark/>
          </w:tcPr>
          <w:p w14:paraId="720EB5E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144.0</w:t>
            </w:r>
          </w:p>
        </w:tc>
      </w:tr>
      <w:tr w:rsidR="00C63247" w:rsidRPr="0070062A" w14:paraId="12B7C558" w14:textId="77777777" w:rsidTr="00295180">
        <w:trPr>
          <w:trHeight w:val="109"/>
        </w:trPr>
        <w:tc>
          <w:tcPr>
            <w:tcW w:w="5088" w:type="dxa"/>
            <w:shd w:val="clear" w:color="auto" w:fill="auto"/>
            <w:noWrap/>
            <w:vAlign w:val="center"/>
            <w:hideMark/>
          </w:tcPr>
          <w:p w14:paraId="6BD48DDC" w14:textId="6871592A" w:rsidR="00C63247" w:rsidRPr="0070062A" w:rsidRDefault="00C63247" w:rsidP="00295180">
            <w:pPr>
              <w:spacing w:after="0" w:line="240" w:lineRule="auto"/>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IKP</w:t>
            </w:r>
            <w:r w:rsidR="00057A84">
              <w:rPr>
                <w:rFonts w:ascii="Times New Roman" w:eastAsia="Times New Roman" w:hAnsi="Times New Roman" w:cs="Times New Roman"/>
                <w:lang w:eastAsia="lv-LV"/>
              </w:rPr>
              <w:t>*</w:t>
            </w:r>
          </w:p>
        </w:tc>
        <w:tc>
          <w:tcPr>
            <w:tcW w:w="980" w:type="dxa"/>
            <w:shd w:val="clear" w:color="auto" w:fill="auto"/>
            <w:noWrap/>
            <w:vAlign w:val="center"/>
            <w:hideMark/>
          </w:tcPr>
          <w:p w14:paraId="54532B0E" w14:textId="246037C8" w:rsidR="00C63247" w:rsidRPr="0070062A" w:rsidRDefault="00C63247" w:rsidP="00057A84">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31 </w:t>
            </w:r>
            <w:r w:rsidR="00057A84">
              <w:rPr>
                <w:rFonts w:ascii="Times New Roman" w:eastAsia="Times New Roman" w:hAnsi="Times New Roman" w:cs="Times New Roman"/>
                <w:lang w:eastAsia="lv-LV"/>
              </w:rPr>
              <w:t>402</w:t>
            </w:r>
            <w:r w:rsidRPr="0070062A">
              <w:rPr>
                <w:rFonts w:ascii="Times New Roman" w:eastAsia="Times New Roman" w:hAnsi="Times New Roman" w:cs="Times New Roman"/>
                <w:lang w:eastAsia="lv-LV"/>
              </w:rPr>
              <w:t>.0</w:t>
            </w:r>
          </w:p>
        </w:tc>
        <w:tc>
          <w:tcPr>
            <w:tcW w:w="980" w:type="dxa"/>
            <w:shd w:val="clear" w:color="auto" w:fill="auto"/>
            <w:noWrap/>
            <w:vAlign w:val="center"/>
            <w:hideMark/>
          </w:tcPr>
          <w:p w14:paraId="15A794ED"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33 154.0</w:t>
            </w:r>
          </w:p>
        </w:tc>
        <w:tc>
          <w:tcPr>
            <w:tcW w:w="980" w:type="dxa"/>
            <w:shd w:val="clear" w:color="auto" w:fill="auto"/>
            <w:noWrap/>
            <w:vAlign w:val="center"/>
            <w:hideMark/>
          </w:tcPr>
          <w:p w14:paraId="5908FD98"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34 899.0</w:t>
            </w:r>
          </w:p>
        </w:tc>
        <w:tc>
          <w:tcPr>
            <w:tcW w:w="980" w:type="dxa"/>
            <w:shd w:val="clear" w:color="auto" w:fill="auto"/>
            <w:noWrap/>
            <w:vAlign w:val="center"/>
            <w:hideMark/>
          </w:tcPr>
          <w:p w14:paraId="48F5A495"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36 736.0</w:t>
            </w:r>
          </w:p>
        </w:tc>
      </w:tr>
      <w:tr w:rsidR="00C63247" w:rsidRPr="0070062A" w14:paraId="55DC407D" w14:textId="77777777" w:rsidTr="00295180">
        <w:trPr>
          <w:trHeight w:val="297"/>
        </w:trPr>
        <w:tc>
          <w:tcPr>
            <w:tcW w:w="5088" w:type="dxa"/>
            <w:shd w:val="clear" w:color="auto" w:fill="auto"/>
            <w:vAlign w:val="center"/>
            <w:hideMark/>
          </w:tcPr>
          <w:p w14:paraId="2F1A72F3" w14:textId="77777777" w:rsidR="00C63247" w:rsidRPr="0070062A" w:rsidRDefault="00C63247" w:rsidP="00295180">
            <w:pPr>
              <w:spacing w:after="0" w:line="240" w:lineRule="auto"/>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Nozares budžets, % no IKP</w:t>
            </w:r>
          </w:p>
        </w:tc>
        <w:tc>
          <w:tcPr>
            <w:tcW w:w="980" w:type="dxa"/>
            <w:shd w:val="clear" w:color="auto" w:fill="auto"/>
            <w:noWrap/>
            <w:vAlign w:val="center"/>
            <w:hideMark/>
          </w:tcPr>
          <w:p w14:paraId="24B88DAD" w14:textId="1A48B359"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3.8</w:t>
            </w:r>
            <w:r w:rsidR="00057A84">
              <w:rPr>
                <w:rFonts w:ascii="Times New Roman" w:eastAsia="Times New Roman" w:hAnsi="Times New Roman" w:cs="Times New Roman"/>
                <w:b/>
                <w:bCs/>
                <w:lang w:eastAsia="lv-LV"/>
              </w:rPr>
              <w:t>4</w:t>
            </w:r>
          </w:p>
        </w:tc>
        <w:tc>
          <w:tcPr>
            <w:tcW w:w="980" w:type="dxa"/>
            <w:shd w:val="clear" w:color="auto" w:fill="auto"/>
            <w:noWrap/>
            <w:vAlign w:val="center"/>
            <w:hideMark/>
          </w:tcPr>
          <w:p w14:paraId="571FDE91"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3.80</w:t>
            </w:r>
          </w:p>
        </w:tc>
        <w:tc>
          <w:tcPr>
            <w:tcW w:w="980" w:type="dxa"/>
            <w:shd w:val="clear" w:color="auto" w:fill="auto"/>
            <w:noWrap/>
            <w:vAlign w:val="center"/>
            <w:hideMark/>
          </w:tcPr>
          <w:p w14:paraId="7CAA4DC5"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3.54</w:t>
            </w:r>
          </w:p>
        </w:tc>
        <w:tc>
          <w:tcPr>
            <w:tcW w:w="980" w:type="dxa"/>
            <w:shd w:val="clear" w:color="auto" w:fill="auto"/>
            <w:noWrap/>
            <w:vAlign w:val="center"/>
            <w:hideMark/>
          </w:tcPr>
          <w:p w14:paraId="2C766A64" w14:textId="77777777" w:rsidR="00C63247" w:rsidRPr="0070062A" w:rsidRDefault="00C63247" w:rsidP="00295180">
            <w:pPr>
              <w:spacing w:after="0" w:line="240" w:lineRule="auto"/>
              <w:jc w:val="right"/>
              <w:rPr>
                <w:rFonts w:ascii="Times New Roman" w:eastAsia="Times New Roman" w:hAnsi="Times New Roman" w:cs="Times New Roman"/>
                <w:b/>
                <w:bCs/>
                <w:lang w:eastAsia="lv-LV"/>
              </w:rPr>
            </w:pPr>
            <w:r w:rsidRPr="0070062A">
              <w:rPr>
                <w:rFonts w:ascii="Times New Roman" w:eastAsia="Times New Roman" w:hAnsi="Times New Roman" w:cs="Times New Roman"/>
                <w:b/>
                <w:bCs/>
                <w:lang w:eastAsia="lv-LV"/>
              </w:rPr>
              <w:t>3.27</w:t>
            </w:r>
          </w:p>
        </w:tc>
      </w:tr>
    </w:tbl>
    <w:p w14:paraId="7DA2E428" w14:textId="15523700" w:rsidR="00C63247" w:rsidRDefault="00057A84" w:rsidP="000F057F">
      <w:pPr>
        <w:spacing w:after="0" w:line="240" w:lineRule="auto"/>
        <w:rPr>
          <w:rFonts w:ascii="Times New Roman" w:hAnsi="Times New Roman" w:cs="Times New Roman"/>
          <w:sz w:val="20"/>
          <w:szCs w:val="20"/>
        </w:rPr>
      </w:pPr>
      <w:r>
        <w:rPr>
          <w:rFonts w:ascii="Times New Roman" w:hAnsi="Times New Roman" w:cs="Times New Roman"/>
          <w:b/>
          <w:sz w:val="24"/>
          <w:szCs w:val="24"/>
        </w:rPr>
        <w:t>*</w:t>
      </w:r>
      <w:r w:rsidRPr="00057A84">
        <w:rPr>
          <w:rFonts w:ascii="Times New Roman" w:hAnsi="Times New Roman" w:cs="Times New Roman"/>
          <w:sz w:val="20"/>
          <w:szCs w:val="20"/>
        </w:rPr>
        <w:t xml:space="preserve"> </w:t>
      </w:r>
      <w:r w:rsidRPr="0070062A">
        <w:rPr>
          <w:rFonts w:ascii="Times New Roman" w:hAnsi="Times New Roman" w:cs="Times New Roman"/>
          <w:sz w:val="20"/>
          <w:szCs w:val="20"/>
        </w:rPr>
        <w:t>Atbilstoši Latvijas vispārējās valdības budžeta plāna projektam 20</w:t>
      </w:r>
      <w:r>
        <w:rPr>
          <w:rFonts w:ascii="Times New Roman" w:hAnsi="Times New Roman" w:cs="Times New Roman"/>
          <w:sz w:val="20"/>
          <w:szCs w:val="20"/>
        </w:rPr>
        <w:t>20</w:t>
      </w:r>
      <w:r w:rsidRPr="0070062A">
        <w:rPr>
          <w:rFonts w:ascii="Times New Roman" w:hAnsi="Times New Roman" w:cs="Times New Roman"/>
          <w:sz w:val="20"/>
          <w:szCs w:val="20"/>
        </w:rPr>
        <w:t>.gadam</w:t>
      </w:r>
      <w:r>
        <w:rPr>
          <w:rFonts w:ascii="Times New Roman" w:hAnsi="Times New Roman" w:cs="Times New Roman"/>
          <w:sz w:val="20"/>
          <w:szCs w:val="20"/>
        </w:rPr>
        <w:t xml:space="preserve"> un </w:t>
      </w:r>
      <w:r w:rsidRPr="0070062A">
        <w:rPr>
          <w:rFonts w:ascii="Times New Roman" w:hAnsi="Times New Roman" w:cs="Times New Roman"/>
          <w:sz w:val="20"/>
          <w:szCs w:val="20"/>
        </w:rPr>
        <w:t>likumam “Par vidēja termiņa budžeta ietvaru 2020., 2021. un 2022.gadam”</w:t>
      </w:r>
    </w:p>
    <w:p w14:paraId="0E14B9DE" w14:textId="77777777" w:rsidR="00E972FB" w:rsidRPr="0070062A" w:rsidRDefault="00E972FB" w:rsidP="000F057F">
      <w:pPr>
        <w:spacing w:after="0" w:line="240" w:lineRule="auto"/>
        <w:rPr>
          <w:rFonts w:ascii="Times New Roman" w:hAnsi="Times New Roman" w:cs="Times New Roman"/>
          <w:b/>
          <w:sz w:val="24"/>
          <w:szCs w:val="24"/>
        </w:rPr>
      </w:pPr>
    </w:p>
    <w:p w14:paraId="6D17D02F"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Valsts konsolidētā budžeta izdevumiem funkcijai “Veselība” 2020.-2022.gados ar katru nākamo gadu likumā “Par vidēja termiņa budžeta ietvaru 2020., 2021. un 2022.gadam” </w:t>
      </w:r>
      <w:r w:rsidRPr="0070062A">
        <w:rPr>
          <w:rFonts w:ascii="Times New Roman" w:hAnsi="Times New Roman" w:cs="Times New Roman"/>
          <w:b/>
          <w:sz w:val="24"/>
          <w:szCs w:val="24"/>
        </w:rPr>
        <w:t>tiek prognozēts arvien zemāks procents no IKP, no 2020. gada līdz 2022. gadam samazinoties par 0,39 procentpunktiem</w:t>
      </w:r>
      <w:r w:rsidRPr="0070062A">
        <w:rPr>
          <w:rFonts w:ascii="Times New Roman" w:hAnsi="Times New Roman" w:cs="Times New Roman"/>
          <w:sz w:val="24"/>
          <w:szCs w:val="24"/>
        </w:rPr>
        <w:t>, vienlaicīgi ir paredzēts mazāk tērēt funkcijai “Veselība” arī no kopējiem valsts konsolidētā budžeta izdevumiem.</w:t>
      </w:r>
    </w:p>
    <w:p w14:paraId="459A8C71" w14:textId="77777777" w:rsidR="00C63247" w:rsidRPr="0070062A" w:rsidRDefault="00C63247" w:rsidP="00C63247">
      <w:pPr>
        <w:spacing w:after="0" w:line="240" w:lineRule="auto"/>
        <w:ind w:firstLine="709"/>
        <w:jc w:val="both"/>
        <w:rPr>
          <w:rFonts w:ascii="Times New Roman" w:hAnsi="Times New Roman" w:cs="Times New Roman"/>
          <w:b/>
          <w:sz w:val="24"/>
          <w:szCs w:val="24"/>
        </w:rPr>
      </w:pPr>
    </w:p>
    <w:p w14:paraId="550A9E25" w14:textId="77777777" w:rsidR="00C63247" w:rsidRPr="0070062A" w:rsidRDefault="00C63247" w:rsidP="00C63247">
      <w:pPr>
        <w:spacing w:after="0" w:line="240" w:lineRule="auto"/>
        <w:jc w:val="center"/>
        <w:rPr>
          <w:rFonts w:ascii="Times New Roman" w:hAnsi="Times New Roman" w:cs="Times New Roman"/>
          <w:b/>
          <w:sz w:val="24"/>
          <w:szCs w:val="24"/>
        </w:rPr>
      </w:pPr>
      <w:r w:rsidRPr="0070062A">
        <w:rPr>
          <w:rFonts w:ascii="Times New Roman" w:hAnsi="Times New Roman" w:cs="Times New Roman"/>
          <w:b/>
          <w:sz w:val="24"/>
          <w:szCs w:val="24"/>
        </w:rPr>
        <w:t>Valsts konsolidētā budžeta izdevumi funkcijai “Veselība” 2020.-2022.gadā</w:t>
      </w:r>
    </w:p>
    <w:p w14:paraId="1361DC24" w14:textId="77777777" w:rsidR="00C63247" w:rsidRPr="0070062A" w:rsidRDefault="00C63247" w:rsidP="00C63247">
      <w:pPr>
        <w:spacing w:after="120" w:line="240" w:lineRule="auto"/>
        <w:jc w:val="center"/>
        <w:rPr>
          <w:rFonts w:ascii="Times New Roman" w:hAnsi="Times New Roman" w:cs="Times New Roman"/>
          <w:i/>
          <w:sz w:val="20"/>
          <w:szCs w:val="20"/>
        </w:rPr>
      </w:pPr>
      <w:r w:rsidRPr="0070062A">
        <w:rPr>
          <w:rFonts w:ascii="Times New Roman" w:hAnsi="Times New Roman" w:cs="Times New Roman"/>
          <w:i/>
          <w:sz w:val="20"/>
          <w:szCs w:val="20"/>
        </w:rPr>
        <w:t>(Valsts konsolidētā budžeta izdevumus funkcijai “Veselība” veido VM budžets, atskaitot maksājumus starptautiskajās organizācijās, rezidentu apmācības, augstāko medicīnas izglītību, Medicīnas vēstures muzeju un pieskaitot citu ministriju izdevumus funkcijai “Veselība”)</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4663"/>
        <w:gridCol w:w="1276"/>
        <w:gridCol w:w="1559"/>
        <w:gridCol w:w="1559"/>
      </w:tblGrid>
      <w:tr w:rsidR="00C63247" w:rsidRPr="0070062A" w14:paraId="34FED49C" w14:textId="77777777" w:rsidTr="00295180">
        <w:trPr>
          <w:trHeight w:val="242"/>
        </w:trPr>
        <w:tc>
          <w:tcPr>
            <w:tcW w:w="4663" w:type="dxa"/>
            <w:shd w:val="clear" w:color="auto" w:fill="E2EFD9" w:themeFill="accent6" w:themeFillTint="33"/>
            <w:vAlign w:val="center"/>
            <w:hideMark/>
          </w:tcPr>
          <w:p w14:paraId="2C471DBB" w14:textId="77777777" w:rsidR="00C63247" w:rsidRPr="0070062A" w:rsidRDefault="00C63247" w:rsidP="00295180">
            <w:pPr>
              <w:spacing w:after="0" w:line="240" w:lineRule="auto"/>
              <w:jc w:val="center"/>
              <w:rPr>
                <w:rFonts w:ascii="Times New Roman" w:eastAsia="Times New Roman" w:hAnsi="Times New Roman" w:cs="Times New Roman"/>
                <w:b/>
                <w:bCs/>
                <w:i/>
                <w:szCs w:val="20"/>
                <w:lang w:eastAsia="lv-LV"/>
              </w:rPr>
            </w:pPr>
            <w:r w:rsidRPr="0070062A">
              <w:rPr>
                <w:rFonts w:ascii="Times New Roman" w:hAnsi="Times New Roman" w:cs="Times New Roman"/>
                <w:b/>
                <w:i/>
                <w:szCs w:val="20"/>
              </w:rPr>
              <w:t>Funkcija “Veselība”</w:t>
            </w:r>
          </w:p>
        </w:tc>
        <w:tc>
          <w:tcPr>
            <w:tcW w:w="1276" w:type="dxa"/>
            <w:shd w:val="clear" w:color="auto" w:fill="E2EFD9" w:themeFill="accent6" w:themeFillTint="33"/>
            <w:vAlign w:val="center"/>
            <w:hideMark/>
          </w:tcPr>
          <w:p w14:paraId="3F4C61CE" w14:textId="77777777" w:rsidR="00C63247" w:rsidRPr="0070062A" w:rsidRDefault="00C63247" w:rsidP="00295180">
            <w:pPr>
              <w:spacing w:after="0" w:line="240" w:lineRule="auto"/>
              <w:jc w:val="center"/>
              <w:rPr>
                <w:rFonts w:ascii="Times New Roman" w:eastAsia="Times New Roman" w:hAnsi="Times New Roman" w:cs="Times New Roman"/>
                <w:b/>
                <w:bCs/>
                <w:i/>
                <w:szCs w:val="20"/>
                <w:lang w:eastAsia="lv-LV"/>
              </w:rPr>
            </w:pPr>
            <w:r w:rsidRPr="0070062A">
              <w:rPr>
                <w:rFonts w:ascii="Times New Roman" w:eastAsia="Times New Roman" w:hAnsi="Times New Roman" w:cs="Times New Roman"/>
                <w:b/>
                <w:bCs/>
                <w:i/>
                <w:szCs w:val="20"/>
                <w:lang w:eastAsia="lv-LV"/>
              </w:rPr>
              <w:t>2020 plāns</w:t>
            </w:r>
          </w:p>
        </w:tc>
        <w:tc>
          <w:tcPr>
            <w:tcW w:w="1559" w:type="dxa"/>
            <w:shd w:val="clear" w:color="auto" w:fill="E2EFD9" w:themeFill="accent6" w:themeFillTint="33"/>
          </w:tcPr>
          <w:p w14:paraId="7050F1A0" w14:textId="77777777" w:rsidR="00C63247" w:rsidRPr="0070062A" w:rsidRDefault="00C63247" w:rsidP="00295180">
            <w:pPr>
              <w:spacing w:after="0" w:line="240" w:lineRule="auto"/>
              <w:jc w:val="center"/>
              <w:rPr>
                <w:rFonts w:ascii="Times New Roman" w:eastAsia="Times New Roman" w:hAnsi="Times New Roman" w:cs="Times New Roman"/>
                <w:b/>
                <w:bCs/>
                <w:i/>
                <w:szCs w:val="20"/>
                <w:lang w:eastAsia="lv-LV"/>
              </w:rPr>
            </w:pPr>
            <w:r w:rsidRPr="0070062A">
              <w:rPr>
                <w:rFonts w:ascii="Times New Roman" w:eastAsia="Times New Roman" w:hAnsi="Times New Roman" w:cs="Times New Roman"/>
                <w:b/>
                <w:bCs/>
                <w:i/>
                <w:szCs w:val="20"/>
                <w:lang w:eastAsia="lv-LV"/>
              </w:rPr>
              <w:t>2021 prognoze</w:t>
            </w:r>
          </w:p>
        </w:tc>
        <w:tc>
          <w:tcPr>
            <w:tcW w:w="1559" w:type="dxa"/>
            <w:shd w:val="clear" w:color="auto" w:fill="E2EFD9" w:themeFill="accent6" w:themeFillTint="33"/>
          </w:tcPr>
          <w:p w14:paraId="6C528680" w14:textId="77777777" w:rsidR="00C63247" w:rsidRPr="0070062A" w:rsidRDefault="00C63247" w:rsidP="00295180">
            <w:pPr>
              <w:spacing w:after="0" w:line="240" w:lineRule="auto"/>
              <w:jc w:val="center"/>
              <w:rPr>
                <w:rFonts w:ascii="Times New Roman" w:eastAsia="Times New Roman" w:hAnsi="Times New Roman" w:cs="Times New Roman"/>
                <w:b/>
                <w:bCs/>
                <w:i/>
                <w:szCs w:val="20"/>
                <w:lang w:eastAsia="lv-LV"/>
              </w:rPr>
            </w:pPr>
            <w:r w:rsidRPr="0070062A">
              <w:rPr>
                <w:rFonts w:ascii="Times New Roman" w:eastAsia="Times New Roman" w:hAnsi="Times New Roman" w:cs="Times New Roman"/>
                <w:b/>
                <w:bCs/>
                <w:i/>
                <w:szCs w:val="20"/>
                <w:lang w:eastAsia="lv-LV"/>
              </w:rPr>
              <w:t>2022 prognoze</w:t>
            </w:r>
          </w:p>
        </w:tc>
      </w:tr>
      <w:tr w:rsidR="00C63247" w:rsidRPr="0070062A" w14:paraId="4937151E" w14:textId="77777777" w:rsidTr="00295180">
        <w:trPr>
          <w:trHeight w:val="132"/>
        </w:trPr>
        <w:tc>
          <w:tcPr>
            <w:tcW w:w="4663" w:type="dxa"/>
            <w:shd w:val="clear" w:color="auto" w:fill="auto"/>
            <w:noWrap/>
            <w:vAlign w:val="center"/>
          </w:tcPr>
          <w:p w14:paraId="2F2F451B" w14:textId="77777777" w:rsidR="00C63247" w:rsidRPr="0070062A" w:rsidRDefault="00C63247" w:rsidP="00295180">
            <w:pPr>
              <w:spacing w:after="0" w:line="240" w:lineRule="auto"/>
              <w:rPr>
                <w:rFonts w:ascii="Times New Roman" w:eastAsia="Times New Roman" w:hAnsi="Times New Roman" w:cs="Times New Roman"/>
                <w:bCs/>
                <w:iCs/>
                <w:szCs w:val="20"/>
                <w:lang w:eastAsia="lv-LV"/>
              </w:rPr>
            </w:pPr>
            <w:r w:rsidRPr="0070062A">
              <w:rPr>
                <w:rFonts w:ascii="Times New Roman" w:eastAsia="Times New Roman" w:hAnsi="Times New Roman" w:cs="Times New Roman"/>
                <w:bCs/>
                <w:iCs/>
                <w:szCs w:val="20"/>
                <w:lang w:eastAsia="lv-LV"/>
              </w:rPr>
              <w:t xml:space="preserve">Milj. </w:t>
            </w:r>
            <w:r w:rsidRPr="0070062A">
              <w:rPr>
                <w:rFonts w:ascii="Times New Roman" w:eastAsia="Times New Roman" w:hAnsi="Times New Roman" w:cs="Times New Roman"/>
                <w:bCs/>
                <w:i/>
                <w:iCs/>
                <w:szCs w:val="20"/>
                <w:lang w:eastAsia="lv-LV"/>
              </w:rPr>
              <w:t>euro</w:t>
            </w:r>
            <w:r w:rsidRPr="0070062A">
              <w:rPr>
                <w:rFonts w:ascii="Times New Roman" w:eastAsia="Times New Roman" w:hAnsi="Times New Roman" w:cs="Times New Roman"/>
                <w:bCs/>
                <w:iCs/>
                <w:szCs w:val="20"/>
                <w:lang w:eastAsia="lv-LV"/>
              </w:rPr>
              <w:t>*</w:t>
            </w:r>
          </w:p>
        </w:tc>
        <w:tc>
          <w:tcPr>
            <w:tcW w:w="1276" w:type="dxa"/>
            <w:shd w:val="clear" w:color="auto" w:fill="auto"/>
            <w:noWrap/>
            <w:vAlign w:val="center"/>
          </w:tcPr>
          <w:p w14:paraId="437AEDE2" w14:textId="77777777" w:rsidR="00C63247" w:rsidRPr="0070062A" w:rsidRDefault="00C63247" w:rsidP="00295180">
            <w:pPr>
              <w:spacing w:after="0" w:line="240" w:lineRule="auto"/>
              <w:jc w:val="right"/>
              <w:rPr>
                <w:rFonts w:ascii="Times New Roman" w:eastAsia="Times New Roman" w:hAnsi="Times New Roman" w:cs="Times New Roman"/>
                <w:bCs/>
                <w:iCs/>
                <w:szCs w:val="20"/>
                <w:lang w:eastAsia="lv-LV"/>
              </w:rPr>
            </w:pPr>
            <w:r w:rsidRPr="0070062A">
              <w:rPr>
                <w:rFonts w:ascii="Times New Roman" w:eastAsia="Times New Roman" w:hAnsi="Times New Roman" w:cs="Times New Roman"/>
                <w:bCs/>
                <w:iCs/>
                <w:szCs w:val="20"/>
                <w:lang w:eastAsia="lv-LV"/>
              </w:rPr>
              <w:t>1 184.74</w:t>
            </w:r>
          </w:p>
        </w:tc>
        <w:tc>
          <w:tcPr>
            <w:tcW w:w="1559" w:type="dxa"/>
          </w:tcPr>
          <w:p w14:paraId="5E04BF1B" w14:textId="77777777" w:rsidR="00C63247" w:rsidRPr="0070062A" w:rsidRDefault="00C63247" w:rsidP="00295180">
            <w:pPr>
              <w:spacing w:after="0" w:line="240" w:lineRule="auto"/>
              <w:jc w:val="right"/>
              <w:rPr>
                <w:rFonts w:ascii="Times New Roman" w:eastAsia="Times New Roman" w:hAnsi="Times New Roman" w:cs="Times New Roman"/>
                <w:bCs/>
                <w:iCs/>
                <w:szCs w:val="20"/>
                <w:lang w:eastAsia="lv-LV"/>
              </w:rPr>
            </w:pPr>
            <w:r w:rsidRPr="0070062A">
              <w:rPr>
                <w:rFonts w:ascii="Times New Roman" w:eastAsia="Times New Roman" w:hAnsi="Times New Roman" w:cs="Times New Roman"/>
                <w:bCs/>
                <w:iCs/>
                <w:szCs w:val="20"/>
                <w:lang w:eastAsia="lv-LV"/>
              </w:rPr>
              <w:t>1 163.95</w:t>
            </w:r>
          </w:p>
        </w:tc>
        <w:tc>
          <w:tcPr>
            <w:tcW w:w="1559" w:type="dxa"/>
          </w:tcPr>
          <w:p w14:paraId="77245E00" w14:textId="77777777" w:rsidR="00C63247" w:rsidRPr="0070062A" w:rsidRDefault="00C63247" w:rsidP="00295180">
            <w:pPr>
              <w:spacing w:after="0" w:line="240" w:lineRule="auto"/>
              <w:jc w:val="right"/>
              <w:rPr>
                <w:rFonts w:ascii="Times New Roman" w:eastAsia="Times New Roman" w:hAnsi="Times New Roman" w:cs="Times New Roman"/>
                <w:bCs/>
                <w:iCs/>
                <w:szCs w:val="20"/>
                <w:lang w:eastAsia="lv-LV"/>
              </w:rPr>
            </w:pPr>
            <w:r w:rsidRPr="0070062A">
              <w:rPr>
                <w:rFonts w:ascii="Times New Roman" w:eastAsia="Times New Roman" w:hAnsi="Times New Roman" w:cs="Times New Roman"/>
                <w:bCs/>
                <w:iCs/>
                <w:szCs w:val="20"/>
                <w:lang w:eastAsia="lv-LV"/>
              </w:rPr>
              <w:t>1 168.66</w:t>
            </w:r>
          </w:p>
        </w:tc>
      </w:tr>
      <w:tr w:rsidR="00C63247" w:rsidRPr="0070062A" w14:paraId="5C5DC3D8" w14:textId="77777777" w:rsidTr="00295180">
        <w:trPr>
          <w:trHeight w:val="178"/>
        </w:trPr>
        <w:tc>
          <w:tcPr>
            <w:tcW w:w="4663" w:type="dxa"/>
            <w:shd w:val="clear" w:color="auto" w:fill="auto"/>
            <w:noWrap/>
            <w:vAlign w:val="center"/>
          </w:tcPr>
          <w:p w14:paraId="6132081F" w14:textId="77777777" w:rsidR="00C63247" w:rsidRPr="0070062A" w:rsidRDefault="00C63247" w:rsidP="00295180">
            <w:pPr>
              <w:spacing w:after="0" w:line="240" w:lineRule="auto"/>
              <w:rPr>
                <w:rFonts w:ascii="Times New Roman" w:eastAsia="Times New Roman" w:hAnsi="Times New Roman" w:cs="Times New Roman"/>
                <w:szCs w:val="20"/>
                <w:lang w:eastAsia="lv-LV"/>
              </w:rPr>
            </w:pPr>
            <w:r w:rsidRPr="0070062A">
              <w:rPr>
                <w:rFonts w:ascii="Times New Roman" w:eastAsia="Times New Roman" w:hAnsi="Times New Roman" w:cs="Times New Roman"/>
                <w:szCs w:val="20"/>
                <w:lang w:eastAsia="lv-LV"/>
              </w:rPr>
              <w:t>Uz 1 iedzīvotāju**</w:t>
            </w:r>
          </w:p>
        </w:tc>
        <w:tc>
          <w:tcPr>
            <w:tcW w:w="1276" w:type="dxa"/>
            <w:shd w:val="clear" w:color="auto" w:fill="auto"/>
            <w:noWrap/>
            <w:vAlign w:val="center"/>
          </w:tcPr>
          <w:p w14:paraId="576E8080" w14:textId="77777777" w:rsidR="00C63247" w:rsidRPr="0070062A" w:rsidRDefault="00C63247" w:rsidP="00295180">
            <w:pPr>
              <w:spacing w:after="0" w:line="240" w:lineRule="auto"/>
              <w:jc w:val="right"/>
              <w:rPr>
                <w:rFonts w:ascii="Times New Roman" w:eastAsia="Times New Roman" w:hAnsi="Times New Roman" w:cs="Times New Roman"/>
                <w:szCs w:val="20"/>
                <w:lang w:eastAsia="lv-LV"/>
              </w:rPr>
            </w:pPr>
            <w:r w:rsidRPr="0070062A">
              <w:rPr>
                <w:rFonts w:ascii="Times New Roman" w:eastAsia="Times New Roman" w:hAnsi="Times New Roman" w:cs="Times New Roman"/>
                <w:szCs w:val="20"/>
                <w:lang w:eastAsia="lv-LV"/>
              </w:rPr>
              <w:t>617.06</w:t>
            </w:r>
          </w:p>
        </w:tc>
        <w:tc>
          <w:tcPr>
            <w:tcW w:w="1559" w:type="dxa"/>
          </w:tcPr>
          <w:p w14:paraId="45449647" w14:textId="77777777" w:rsidR="00C63247" w:rsidRPr="0070062A" w:rsidRDefault="00C63247" w:rsidP="00295180">
            <w:pPr>
              <w:spacing w:after="0" w:line="240" w:lineRule="auto"/>
              <w:jc w:val="right"/>
              <w:rPr>
                <w:rFonts w:ascii="Times New Roman" w:eastAsia="Times New Roman" w:hAnsi="Times New Roman" w:cs="Times New Roman"/>
                <w:szCs w:val="20"/>
                <w:lang w:eastAsia="lv-LV"/>
              </w:rPr>
            </w:pPr>
            <w:r w:rsidRPr="0070062A">
              <w:rPr>
                <w:rFonts w:ascii="Times New Roman" w:eastAsia="Times New Roman" w:hAnsi="Times New Roman" w:cs="Times New Roman"/>
                <w:szCs w:val="20"/>
                <w:lang w:eastAsia="lv-LV"/>
              </w:rPr>
              <w:t>606.24</w:t>
            </w:r>
          </w:p>
        </w:tc>
        <w:tc>
          <w:tcPr>
            <w:tcW w:w="1559" w:type="dxa"/>
          </w:tcPr>
          <w:p w14:paraId="7345EB38" w14:textId="77777777" w:rsidR="00C63247" w:rsidRPr="0070062A" w:rsidRDefault="00C63247" w:rsidP="00295180">
            <w:pPr>
              <w:spacing w:after="0" w:line="240" w:lineRule="auto"/>
              <w:jc w:val="right"/>
              <w:rPr>
                <w:rFonts w:ascii="Times New Roman" w:eastAsia="Times New Roman" w:hAnsi="Times New Roman" w:cs="Times New Roman"/>
                <w:szCs w:val="20"/>
                <w:lang w:eastAsia="lv-LV"/>
              </w:rPr>
            </w:pPr>
            <w:r w:rsidRPr="0070062A">
              <w:rPr>
                <w:rFonts w:ascii="Times New Roman" w:eastAsia="Times New Roman" w:hAnsi="Times New Roman" w:cs="Times New Roman"/>
                <w:szCs w:val="20"/>
                <w:lang w:eastAsia="lv-LV"/>
              </w:rPr>
              <w:t>608.69</w:t>
            </w:r>
          </w:p>
        </w:tc>
      </w:tr>
      <w:tr w:rsidR="00C63247" w:rsidRPr="0070062A" w14:paraId="5929907A" w14:textId="77777777" w:rsidTr="00295180">
        <w:trPr>
          <w:trHeight w:val="210"/>
        </w:trPr>
        <w:tc>
          <w:tcPr>
            <w:tcW w:w="4663" w:type="dxa"/>
            <w:shd w:val="clear" w:color="auto" w:fill="auto"/>
            <w:noWrap/>
            <w:vAlign w:val="center"/>
          </w:tcPr>
          <w:p w14:paraId="142F2318" w14:textId="77777777" w:rsidR="00C63247" w:rsidRPr="0070062A" w:rsidRDefault="00C63247" w:rsidP="00295180">
            <w:pPr>
              <w:spacing w:after="0" w:line="240" w:lineRule="auto"/>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 no IKP</w:t>
            </w:r>
          </w:p>
        </w:tc>
        <w:tc>
          <w:tcPr>
            <w:tcW w:w="1276" w:type="dxa"/>
            <w:shd w:val="clear" w:color="auto" w:fill="auto"/>
            <w:noWrap/>
            <w:vAlign w:val="center"/>
          </w:tcPr>
          <w:p w14:paraId="6F61F93A" w14:textId="77777777" w:rsidR="00C63247" w:rsidRPr="0070062A" w:rsidRDefault="00C63247" w:rsidP="00295180">
            <w:pPr>
              <w:spacing w:after="0" w:line="240" w:lineRule="auto"/>
              <w:jc w:val="right"/>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3.57</w:t>
            </w:r>
          </w:p>
        </w:tc>
        <w:tc>
          <w:tcPr>
            <w:tcW w:w="1559" w:type="dxa"/>
          </w:tcPr>
          <w:p w14:paraId="1CA3180A" w14:textId="77777777" w:rsidR="00C63247" w:rsidRPr="0070062A" w:rsidRDefault="00C63247" w:rsidP="00295180">
            <w:pPr>
              <w:spacing w:after="0" w:line="240" w:lineRule="auto"/>
              <w:jc w:val="right"/>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3.34</w:t>
            </w:r>
          </w:p>
        </w:tc>
        <w:tc>
          <w:tcPr>
            <w:tcW w:w="1559" w:type="dxa"/>
          </w:tcPr>
          <w:p w14:paraId="37DDF5C0" w14:textId="77777777" w:rsidR="00C63247" w:rsidRPr="0070062A" w:rsidRDefault="00C63247" w:rsidP="00295180">
            <w:pPr>
              <w:spacing w:after="0" w:line="240" w:lineRule="auto"/>
              <w:jc w:val="right"/>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3.18</w:t>
            </w:r>
          </w:p>
        </w:tc>
      </w:tr>
      <w:tr w:rsidR="00C63247" w:rsidRPr="0070062A" w14:paraId="2A9453EA" w14:textId="77777777" w:rsidTr="00295180">
        <w:trPr>
          <w:trHeight w:val="210"/>
        </w:trPr>
        <w:tc>
          <w:tcPr>
            <w:tcW w:w="4663" w:type="dxa"/>
            <w:shd w:val="clear" w:color="auto" w:fill="auto"/>
            <w:noWrap/>
            <w:vAlign w:val="center"/>
          </w:tcPr>
          <w:p w14:paraId="2A988E56" w14:textId="77777777" w:rsidR="00C63247" w:rsidRPr="0070062A" w:rsidRDefault="00C63247" w:rsidP="00295180">
            <w:pPr>
              <w:spacing w:after="0" w:line="240" w:lineRule="auto"/>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 no valsts konsolidētā budžeta izdevumiem</w:t>
            </w:r>
          </w:p>
        </w:tc>
        <w:tc>
          <w:tcPr>
            <w:tcW w:w="1276" w:type="dxa"/>
            <w:shd w:val="clear" w:color="auto" w:fill="auto"/>
            <w:noWrap/>
            <w:vAlign w:val="center"/>
          </w:tcPr>
          <w:p w14:paraId="39992FF1" w14:textId="77777777" w:rsidR="00C63247" w:rsidRPr="0070062A" w:rsidRDefault="00C63247" w:rsidP="00295180">
            <w:pPr>
              <w:spacing w:after="0" w:line="240" w:lineRule="auto"/>
              <w:jc w:val="right"/>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11.83</w:t>
            </w:r>
          </w:p>
        </w:tc>
        <w:tc>
          <w:tcPr>
            <w:tcW w:w="1559" w:type="dxa"/>
            <w:vAlign w:val="center"/>
          </w:tcPr>
          <w:p w14:paraId="44D0FAF4" w14:textId="77777777" w:rsidR="00C63247" w:rsidRPr="0070062A" w:rsidRDefault="00C63247" w:rsidP="00295180">
            <w:pPr>
              <w:spacing w:after="0" w:line="240" w:lineRule="auto"/>
              <w:jc w:val="right"/>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11.21</w:t>
            </w:r>
          </w:p>
        </w:tc>
        <w:tc>
          <w:tcPr>
            <w:tcW w:w="1559" w:type="dxa"/>
            <w:vAlign w:val="center"/>
          </w:tcPr>
          <w:p w14:paraId="20384AA5" w14:textId="77777777" w:rsidR="00C63247" w:rsidRPr="0070062A" w:rsidRDefault="00C63247" w:rsidP="00295180">
            <w:pPr>
              <w:spacing w:after="0" w:line="240" w:lineRule="auto"/>
              <w:jc w:val="right"/>
              <w:rPr>
                <w:rFonts w:ascii="Times New Roman" w:eastAsia="Times New Roman" w:hAnsi="Times New Roman" w:cs="Times New Roman"/>
                <w:b/>
                <w:iCs/>
                <w:szCs w:val="20"/>
                <w:lang w:eastAsia="lv-LV"/>
              </w:rPr>
            </w:pPr>
            <w:r w:rsidRPr="0070062A">
              <w:rPr>
                <w:rFonts w:ascii="Times New Roman" w:eastAsia="Times New Roman" w:hAnsi="Times New Roman" w:cs="Times New Roman"/>
                <w:b/>
                <w:iCs/>
                <w:szCs w:val="20"/>
                <w:lang w:eastAsia="lv-LV"/>
              </w:rPr>
              <w:t>10.88</w:t>
            </w:r>
          </w:p>
        </w:tc>
      </w:tr>
    </w:tbl>
    <w:p w14:paraId="176405C9" w14:textId="77777777" w:rsidR="00C63247" w:rsidRPr="0070062A" w:rsidRDefault="00C63247" w:rsidP="00C63247">
      <w:pPr>
        <w:spacing w:after="0" w:line="240" w:lineRule="auto"/>
        <w:rPr>
          <w:rFonts w:ascii="Times New Roman" w:hAnsi="Times New Roman" w:cs="Times New Roman"/>
          <w:sz w:val="20"/>
          <w:szCs w:val="20"/>
        </w:rPr>
      </w:pPr>
      <w:r w:rsidRPr="0070062A">
        <w:rPr>
          <w:rFonts w:ascii="Times New Roman" w:hAnsi="Times New Roman" w:cs="Times New Roman"/>
          <w:sz w:val="20"/>
          <w:szCs w:val="20"/>
        </w:rPr>
        <w:t>*Atbilstoši likumam “Par vidēja termiņa budžeta ietvaru 2020., 2021. un 2022.gadam”</w:t>
      </w:r>
    </w:p>
    <w:p w14:paraId="733EB853" w14:textId="77777777" w:rsidR="00C63247" w:rsidRPr="0070062A" w:rsidRDefault="00C63247" w:rsidP="00C63247">
      <w:pPr>
        <w:spacing w:after="0" w:line="240" w:lineRule="auto"/>
        <w:rPr>
          <w:rFonts w:ascii="Times New Roman" w:hAnsi="Times New Roman" w:cs="Times New Roman"/>
          <w:sz w:val="20"/>
          <w:szCs w:val="20"/>
        </w:rPr>
      </w:pPr>
      <w:r w:rsidRPr="0070062A">
        <w:rPr>
          <w:rFonts w:ascii="Times New Roman" w:hAnsi="Times New Roman" w:cs="Times New Roman"/>
          <w:sz w:val="20"/>
          <w:szCs w:val="20"/>
        </w:rPr>
        <w:t>**Iedzīvotāju skaits no CSP datiem uz 2019.gada sākumu (1 919 968 cilvēki).</w:t>
      </w:r>
    </w:p>
    <w:p w14:paraId="48322CDB" w14:textId="77777777" w:rsidR="00C63247" w:rsidRPr="0070062A" w:rsidRDefault="00C63247" w:rsidP="00C63247">
      <w:pPr>
        <w:spacing w:after="0" w:line="240" w:lineRule="auto"/>
        <w:jc w:val="center"/>
        <w:rPr>
          <w:rFonts w:ascii="Times New Roman" w:hAnsi="Times New Roman" w:cs="Times New Roman"/>
          <w:b/>
          <w:sz w:val="24"/>
          <w:szCs w:val="24"/>
        </w:rPr>
      </w:pPr>
    </w:p>
    <w:p w14:paraId="47EFAC31" w14:textId="77777777" w:rsidR="00C63247" w:rsidRDefault="00C63247" w:rsidP="00C63247">
      <w:pPr>
        <w:ind w:firstLine="567"/>
        <w:jc w:val="both"/>
        <w:rPr>
          <w:rFonts w:ascii="Times New Roman" w:hAnsi="Times New Roman" w:cs="Times New Roman"/>
          <w:sz w:val="24"/>
          <w:szCs w:val="24"/>
        </w:rPr>
      </w:pPr>
      <w:r w:rsidRPr="0070062A">
        <w:rPr>
          <w:rFonts w:ascii="Times New Roman" w:hAnsi="Times New Roman" w:cs="Times New Roman"/>
          <w:sz w:val="24"/>
          <w:szCs w:val="24"/>
        </w:rPr>
        <w:t>Vispārējās valdības sektora izdevumi veselībai no 3,5% no IKP 2017.gadā ir pieauguši līdz 4,2% no IKP 2019.gadā, savukārt 2020.gadā atbilstoši Latvijas vispārējās valdības budžeta plāna projektam 2020.gadam ir paredzēts vispārējās valdības sektora izdevumu veselībai īpatsvara samazinājums IKP līdz 4,1%.</w:t>
      </w:r>
    </w:p>
    <w:p w14:paraId="50ADBD73" w14:textId="77777777" w:rsidR="00C63247" w:rsidRPr="0070062A" w:rsidRDefault="00C63247" w:rsidP="00C63247">
      <w:pPr>
        <w:ind w:firstLine="567"/>
        <w:jc w:val="both"/>
        <w:rPr>
          <w:rFonts w:ascii="Times New Roman" w:hAnsi="Times New Roman" w:cs="Times New Roman"/>
          <w:sz w:val="24"/>
          <w:szCs w:val="24"/>
        </w:rPr>
      </w:pPr>
    </w:p>
    <w:p w14:paraId="35468AE8" w14:textId="77777777" w:rsidR="00E3543E" w:rsidRDefault="00E3543E">
      <w:pPr>
        <w:rPr>
          <w:rFonts w:ascii="Times New Roman" w:hAnsi="Times New Roman" w:cs="Times New Roman"/>
          <w:b/>
          <w:sz w:val="24"/>
          <w:szCs w:val="24"/>
        </w:rPr>
      </w:pPr>
      <w:r>
        <w:rPr>
          <w:rFonts w:ascii="Times New Roman" w:hAnsi="Times New Roman" w:cs="Times New Roman"/>
          <w:b/>
          <w:sz w:val="24"/>
          <w:szCs w:val="24"/>
        </w:rPr>
        <w:br w:type="page"/>
      </w:r>
    </w:p>
    <w:p w14:paraId="3449C2F7" w14:textId="5637C9D3" w:rsidR="00C63247" w:rsidRPr="0070062A" w:rsidRDefault="00C63247" w:rsidP="00C63247">
      <w:pPr>
        <w:spacing w:after="0" w:line="240" w:lineRule="auto"/>
        <w:jc w:val="center"/>
        <w:rPr>
          <w:rFonts w:ascii="Times New Roman" w:hAnsi="Times New Roman" w:cs="Times New Roman"/>
          <w:b/>
          <w:sz w:val="24"/>
          <w:szCs w:val="24"/>
        </w:rPr>
      </w:pPr>
      <w:r w:rsidRPr="0070062A">
        <w:rPr>
          <w:rFonts w:ascii="Times New Roman" w:hAnsi="Times New Roman" w:cs="Times New Roman"/>
          <w:b/>
          <w:sz w:val="24"/>
          <w:szCs w:val="24"/>
        </w:rPr>
        <w:lastRenderedPageBreak/>
        <w:t>Vispārējās valdības budžeta izdevumi veselībai 2017.-2020.gadam</w:t>
      </w:r>
    </w:p>
    <w:p w14:paraId="0CC93D93" w14:textId="77777777" w:rsidR="00C63247" w:rsidRPr="0070062A" w:rsidRDefault="00C63247" w:rsidP="00C63247">
      <w:pPr>
        <w:spacing w:after="0" w:line="240" w:lineRule="auto"/>
        <w:jc w:val="center"/>
        <w:rPr>
          <w:rFonts w:ascii="Times New Roman" w:hAnsi="Times New Roman" w:cs="Times New Roman"/>
          <w:i/>
          <w:sz w:val="20"/>
          <w:szCs w:val="20"/>
        </w:rPr>
      </w:pPr>
      <w:r w:rsidRPr="0070062A">
        <w:rPr>
          <w:rFonts w:ascii="Times New Roman" w:hAnsi="Times New Roman" w:cs="Times New Roman"/>
          <w:i/>
          <w:sz w:val="20"/>
          <w:szCs w:val="20"/>
        </w:rPr>
        <w:t>(Vispārējās valdības sektora izdevumus veido VM izdevumi, ES fondu projektu realizācija, pašvaldību budžeta izdevumi veselībai, citi izdevumi (vispārējās valdības komersanti, citu ministriju izdevumi veselībai u.c.)</w:t>
      </w:r>
    </w:p>
    <w:tbl>
      <w:tblPr>
        <w:tblStyle w:val="TableGrid"/>
        <w:tblW w:w="9386"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4"/>
        <w:gridCol w:w="1265"/>
        <w:gridCol w:w="1549"/>
        <w:gridCol w:w="1348"/>
        <w:gridCol w:w="1270"/>
      </w:tblGrid>
      <w:tr w:rsidR="00C63247" w:rsidRPr="0070062A" w14:paraId="045CBFEA" w14:textId="77777777" w:rsidTr="00295180">
        <w:tc>
          <w:tcPr>
            <w:tcW w:w="3954" w:type="dxa"/>
            <w:shd w:val="clear" w:color="auto" w:fill="E2EFD9" w:themeFill="accent6" w:themeFillTint="33"/>
            <w:vAlign w:val="center"/>
          </w:tcPr>
          <w:p w14:paraId="1F4BDA97" w14:textId="77777777" w:rsidR="00C63247" w:rsidRPr="0070062A" w:rsidRDefault="00C63247" w:rsidP="00295180">
            <w:pPr>
              <w:jc w:val="center"/>
              <w:rPr>
                <w:rFonts w:ascii="Times New Roman" w:hAnsi="Times New Roman" w:cs="Times New Roman"/>
                <w:i/>
                <w:sz w:val="22"/>
                <w:szCs w:val="20"/>
                <w:lang w:val="lv-LV"/>
              </w:rPr>
            </w:pPr>
            <w:r w:rsidRPr="0070062A">
              <w:rPr>
                <w:rFonts w:ascii="Times New Roman" w:hAnsi="Times New Roman" w:cs="Times New Roman"/>
                <w:b/>
                <w:i/>
                <w:sz w:val="22"/>
                <w:szCs w:val="20"/>
                <w:lang w:val="lv-LV"/>
              </w:rPr>
              <w:t>Vispārējās valdības budžeta izdevumi veselībai</w:t>
            </w:r>
          </w:p>
        </w:tc>
        <w:tc>
          <w:tcPr>
            <w:tcW w:w="1265" w:type="dxa"/>
            <w:shd w:val="clear" w:color="auto" w:fill="E2EFD9" w:themeFill="accent6" w:themeFillTint="33"/>
            <w:vAlign w:val="center"/>
          </w:tcPr>
          <w:p w14:paraId="3C0D9072" w14:textId="77777777"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2017 fakts*</w:t>
            </w:r>
          </w:p>
        </w:tc>
        <w:tc>
          <w:tcPr>
            <w:tcW w:w="1549" w:type="dxa"/>
            <w:shd w:val="clear" w:color="auto" w:fill="E2EFD9" w:themeFill="accent6" w:themeFillTint="33"/>
            <w:vAlign w:val="center"/>
          </w:tcPr>
          <w:p w14:paraId="6F6B4B17" w14:textId="72151FF1"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 xml:space="preserve">2018 </w:t>
            </w:r>
            <w:r w:rsidR="00295180">
              <w:rPr>
                <w:rFonts w:ascii="Times New Roman" w:hAnsi="Times New Roman" w:cs="Times New Roman"/>
                <w:b/>
                <w:i/>
                <w:sz w:val="22"/>
                <w:szCs w:val="20"/>
                <w:lang w:val="lv-LV"/>
              </w:rPr>
              <w:t>fakts</w:t>
            </w:r>
            <w:r w:rsidRPr="0070062A">
              <w:rPr>
                <w:rFonts w:ascii="Times New Roman" w:hAnsi="Times New Roman" w:cs="Times New Roman"/>
                <w:b/>
                <w:i/>
                <w:sz w:val="22"/>
                <w:szCs w:val="20"/>
                <w:lang w:val="lv-LV"/>
              </w:rPr>
              <w:t>*</w:t>
            </w:r>
          </w:p>
        </w:tc>
        <w:tc>
          <w:tcPr>
            <w:tcW w:w="1348" w:type="dxa"/>
            <w:shd w:val="clear" w:color="auto" w:fill="E2EFD9" w:themeFill="accent6" w:themeFillTint="33"/>
            <w:vAlign w:val="center"/>
          </w:tcPr>
          <w:p w14:paraId="022C9DDB" w14:textId="7B806241"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2019 FM prognoze</w:t>
            </w:r>
            <w:r w:rsidR="00295180">
              <w:rPr>
                <w:rFonts w:ascii="Times New Roman" w:hAnsi="Times New Roman" w:cs="Times New Roman"/>
                <w:b/>
                <w:i/>
                <w:sz w:val="22"/>
                <w:szCs w:val="20"/>
                <w:lang w:val="lv-LV"/>
              </w:rPr>
              <w:t>**</w:t>
            </w:r>
          </w:p>
        </w:tc>
        <w:tc>
          <w:tcPr>
            <w:tcW w:w="1270" w:type="dxa"/>
            <w:shd w:val="clear" w:color="auto" w:fill="E2EFD9" w:themeFill="accent6" w:themeFillTint="33"/>
            <w:vAlign w:val="center"/>
          </w:tcPr>
          <w:p w14:paraId="04B08EA3" w14:textId="61D7F4AD"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2020 FM prognoze</w:t>
            </w:r>
            <w:r w:rsidR="00295180">
              <w:rPr>
                <w:rFonts w:ascii="Times New Roman" w:hAnsi="Times New Roman" w:cs="Times New Roman"/>
                <w:b/>
                <w:i/>
                <w:sz w:val="22"/>
                <w:szCs w:val="20"/>
                <w:lang w:val="lv-LV"/>
              </w:rPr>
              <w:t>**</w:t>
            </w:r>
          </w:p>
        </w:tc>
      </w:tr>
      <w:tr w:rsidR="00C63247" w:rsidRPr="0070062A" w14:paraId="6E8375DC" w14:textId="77777777" w:rsidTr="00295180">
        <w:trPr>
          <w:trHeight w:val="195"/>
        </w:trPr>
        <w:tc>
          <w:tcPr>
            <w:tcW w:w="3954" w:type="dxa"/>
          </w:tcPr>
          <w:p w14:paraId="753B1D0E" w14:textId="77777777" w:rsidR="00C63247" w:rsidRPr="0070062A" w:rsidRDefault="00C63247" w:rsidP="00295180">
            <w:pPr>
              <w:rPr>
                <w:rFonts w:ascii="Times New Roman" w:hAnsi="Times New Roman" w:cs="Times New Roman"/>
                <w:i/>
                <w:sz w:val="22"/>
                <w:szCs w:val="20"/>
                <w:lang w:val="lv-LV"/>
              </w:rPr>
            </w:pPr>
            <w:r w:rsidRPr="0070062A">
              <w:rPr>
                <w:rFonts w:ascii="Times New Roman" w:eastAsia="Times New Roman" w:hAnsi="Times New Roman" w:cs="Times New Roman"/>
                <w:bCs/>
                <w:iCs/>
                <w:sz w:val="22"/>
                <w:szCs w:val="20"/>
                <w:lang w:val="lv-LV" w:eastAsia="lv-LV"/>
              </w:rPr>
              <w:t xml:space="preserve">Milj. </w:t>
            </w:r>
            <w:r w:rsidRPr="0070062A">
              <w:rPr>
                <w:rFonts w:ascii="Times New Roman" w:eastAsia="Times New Roman" w:hAnsi="Times New Roman" w:cs="Times New Roman"/>
                <w:bCs/>
                <w:i/>
                <w:iCs/>
                <w:sz w:val="22"/>
                <w:szCs w:val="20"/>
                <w:lang w:val="lv-LV" w:eastAsia="lv-LV"/>
              </w:rPr>
              <w:t>euro</w:t>
            </w:r>
          </w:p>
        </w:tc>
        <w:tc>
          <w:tcPr>
            <w:tcW w:w="1265" w:type="dxa"/>
          </w:tcPr>
          <w:p w14:paraId="77D6A7B5"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948</w:t>
            </w:r>
          </w:p>
        </w:tc>
        <w:tc>
          <w:tcPr>
            <w:tcW w:w="1549" w:type="dxa"/>
          </w:tcPr>
          <w:p w14:paraId="00ECCD35" w14:textId="2F774CC0"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1 1</w:t>
            </w:r>
            <w:r w:rsidR="00295180">
              <w:rPr>
                <w:rFonts w:ascii="Times New Roman" w:hAnsi="Times New Roman" w:cs="Times New Roman"/>
                <w:sz w:val="22"/>
                <w:szCs w:val="20"/>
                <w:lang w:val="lv-LV"/>
              </w:rPr>
              <w:t>72</w:t>
            </w:r>
          </w:p>
        </w:tc>
        <w:tc>
          <w:tcPr>
            <w:tcW w:w="1348" w:type="dxa"/>
          </w:tcPr>
          <w:p w14:paraId="178926E0"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1 317</w:t>
            </w:r>
          </w:p>
        </w:tc>
        <w:tc>
          <w:tcPr>
            <w:tcW w:w="1270" w:type="dxa"/>
          </w:tcPr>
          <w:p w14:paraId="03A510D5"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1 374</w:t>
            </w:r>
          </w:p>
        </w:tc>
      </w:tr>
      <w:tr w:rsidR="00C63247" w:rsidRPr="0070062A" w14:paraId="53E665C2" w14:textId="77777777" w:rsidTr="00295180">
        <w:trPr>
          <w:trHeight w:val="257"/>
        </w:trPr>
        <w:tc>
          <w:tcPr>
            <w:tcW w:w="3954" w:type="dxa"/>
          </w:tcPr>
          <w:p w14:paraId="444D5D23" w14:textId="77777777" w:rsidR="00C63247" w:rsidRPr="0070062A" w:rsidRDefault="00C63247" w:rsidP="00295180">
            <w:pPr>
              <w:rPr>
                <w:rFonts w:ascii="Times New Roman" w:hAnsi="Times New Roman" w:cs="Times New Roman"/>
                <w:i/>
                <w:sz w:val="22"/>
                <w:szCs w:val="20"/>
                <w:lang w:val="lv-LV"/>
              </w:rPr>
            </w:pPr>
            <w:r w:rsidRPr="0070062A">
              <w:rPr>
                <w:rFonts w:ascii="Times New Roman" w:eastAsia="Times New Roman" w:hAnsi="Times New Roman" w:cs="Times New Roman"/>
                <w:b/>
                <w:iCs/>
                <w:sz w:val="22"/>
                <w:szCs w:val="20"/>
                <w:lang w:val="lv-LV" w:eastAsia="lv-LV"/>
              </w:rPr>
              <w:t>% no IKP</w:t>
            </w:r>
          </w:p>
        </w:tc>
        <w:tc>
          <w:tcPr>
            <w:tcW w:w="1265" w:type="dxa"/>
          </w:tcPr>
          <w:p w14:paraId="66FAF2A3" w14:textId="77777777"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3.5</w:t>
            </w:r>
          </w:p>
        </w:tc>
        <w:tc>
          <w:tcPr>
            <w:tcW w:w="1549" w:type="dxa"/>
          </w:tcPr>
          <w:p w14:paraId="443B38C6" w14:textId="2E8C909A" w:rsidR="00C63247" w:rsidRPr="0070062A" w:rsidRDefault="00295180" w:rsidP="00295180">
            <w:pPr>
              <w:jc w:val="center"/>
              <w:rPr>
                <w:rFonts w:ascii="Times New Roman" w:hAnsi="Times New Roman" w:cs="Times New Roman"/>
                <w:b/>
                <w:sz w:val="22"/>
                <w:szCs w:val="20"/>
                <w:lang w:val="lv-LV"/>
              </w:rPr>
            </w:pPr>
            <w:r>
              <w:rPr>
                <w:rFonts w:ascii="Times New Roman" w:hAnsi="Times New Roman" w:cs="Times New Roman"/>
                <w:b/>
                <w:sz w:val="22"/>
                <w:szCs w:val="20"/>
                <w:lang w:val="lv-LV"/>
              </w:rPr>
              <w:t>4</w:t>
            </w:r>
            <w:r w:rsidR="00C63247" w:rsidRPr="0070062A">
              <w:rPr>
                <w:rFonts w:ascii="Times New Roman" w:hAnsi="Times New Roman" w:cs="Times New Roman"/>
                <w:b/>
                <w:sz w:val="22"/>
                <w:szCs w:val="20"/>
                <w:lang w:val="lv-LV"/>
              </w:rPr>
              <w:t>.</w:t>
            </w:r>
            <w:r>
              <w:rPr>
                <w:rFonts w:ascii="Times New Roman" w:hAnsi="Times New Roman" w:cs="Times New Roman"/>
                <w:b/>
                <w:sz w:val="22"/>
                <w:szCs w:val="20"/>
                <w:lang w:val="lv-LV"/>
              </w:rPr>
              <w:t>0</w:t>
            </w:r>
          </w:p>
        </w:tc>
        <w:tc>
          <w:tcPr>
            <w:tcW w:w="1348" w:type="dxa"/>
          </w:tcPr>
          <w:p w14:paraId="2EFDCA70" w14:textId="77777777"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4.2</w:t>
            </w:r>
          </w:p>
        </w:tc>
        <w:tc>
          <w:tcPr>
            <w:tcW w:w="1270" w:type="dxa"/>
          </w:tcPr>
          <w:p w14:paraId="594C019A" w14:textId="77777777"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4.1</w:t>
            </w:r>
          </w:p>
        </w:tc>
      </w:tr>
      <w:tr w:rsidR="00C63247" w:rsidRPr="0070062A" w14:paraId="15AEDD7B" w14:textId="77777777" w:rsidTr="00295180">
        <w:trPr>
          <w:trHeight w:val="191"/>
        </w:trPr>
        <w:tc>
          <w:tcPr>
            <w:tcW w:w="3954" w:type="dxa"/>
          </w:tcPr>
          <w:p w14:paraId="48DAA422" w14:textId="77777777" w:rsidR="00C63247" w:rsidRPr="0070062A" w:rsidRDefault="00C63247" w:rsidP="00295180">
            <w:pPr>
              <w:rPr>
                <w:rFonts w:ascii="Times New Roman" w:hAnsi="Times New Roman" w:cs="Times New Roman"/>
                <w:b/>
                <w:i/>
                <w:sz w:val="22"/>
                <w:szCs w:val="20"/>
                <w:lang w:val="lv-LV"/>
              </w:rPr>
            </w:pPr>
            <w:r w:rsidRPr="0070062A">
              <w:rPr>
                <w:rFonts w:ascii="Times New Roman" w:hAnsi="Times New Roman" w:cs="Times New Roman"/>
                <w:b/>
                <w:sz w:val="22"/>
                <w:szCs w:val="20"/>
                <w:lang w:val="lv-LV"/>
              </w:rPr>
              <w:t>% no vispārējiem valdības izdevumiem</w:t>
            </w:r>
          </w:p>
        </w:tc>
        <w:tc>
          <w:tcPr>
            <w:tcW w:w="1265" w:type="dxa"/>
          </w:tcPr>
          <w:p w14:paraId="06D79255" w14:textId="77777777"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9.3</w:t>
            </w:r>
          </w:p>
        </w:tc>
        <w:tc>
          <w:tcPr>
            <w:tcW w:w="1549" w:type="dxa"/>
          </w:tcPr>
          <w:p w14:paraId="17158286" w14:textId="6194413B"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10.</w:t>
            </w:r>
            <w:r w:rsidR="0002319F">
              <w:rPr>
                <w:rFonts w:ascii="Times New Roman" w:hAnsi="Times New Roman" w:cs="Times New Roman"/>
                <w:b/>
                <w:sz w:val="22"/>
                <w:szCs w:val="20"/>
                <w:lang w:val="lv-LV"/>
              </w:rPr>
              <w:t>4</w:t>
            </w:r>
          </w:p>
        </w:tc>
        <w:tc>
          <w:tcPr>
            <w:tcW w:w="1348" w:type="dxa"/>
          </w:tcPr>
          <w:p w14:paraId="2F3D18A3" w14:textId="77777777"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11.3</w:t>
            </w:r>
          </w:p>
        </w:tc>
        <w:tc>
          <w:tcPr>
            <w:tcW w:w="1270" w:type="dxa"/>
          </w:tcPr>
          <w:p w14:paraId="55E6E368" w14:textId="77777777" w:rsidR="00C63247" w:rsidRPr="0070062A" w:rsidRDefault="00C63247" w:rsidP="00295180">
            <w:pPr>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11.3</w:t>
            </w:r>
          </w:p>
        </w:tc>
      </w:tr>
    </w:tbl>
    <w:p w14:paraId="70738335" w14:textId="0F9753BF" w:rsidR="00C63247" w:rsidRPr="0070062A" w:rsidRDefault="00C63247" w:rsidP="00C63247">
      <w:pPr>
        <w:spacing w:after="0" w:line="240" w:lineRule="auto"/>
        <w:rPr>
          <w:rFonts w:ascii="Times New Roman" w:hAnsi="Times New Roman" w:cs="Times New Roman"/>
          <w:sz w:val="20"/>
          <w:szCs w:val="20"/>
        </w:rPr>
      </w:pPr>
      <w:r w:rsidRPr="0070062A">
        <w:rPr>
          <w:rFonts w:ascii="Times New Roman" w:hAnsi="Times New Roman" w:cs="Times New Roman"/>
          <w:sz w:val="20"/>
          <w:szCs w:val="20"/>
        </w:rPr>
        <w:t>*Eurostat</w:t>
      </w:r>
      <w:r w:rsidR="00295180">
        <w:rPr>
          <w:rFonts w:ascii="Times New Roman" w:hAnsi="Times New Roman" w:cs="Times New Roman"/>
          <w:sz w:val="20"/>
          <w:szCs w:val="20"/>
        </w:rPr>
        <w:t>, CSP</w:t>
      </w:r>
      <w:r w:rsidRPr="0070062A">
        <w:rPr>
          <w:rFonts w:ascii="Times New Roman" w:hAnsi="Times New Roman" w:cs="Times New Roman"/>
          <w:sz w:val="20"/>
          <w:szCs w:val="20"/>
        </w:rPr>
        <w:t xml:space="preserve"> dati</w:t>
      </w:r>
    </w:p>
    <w:p w14:paraId="1A7D8C0E" w14:textId="3B747BA9" w:rsidR="00C63247" w:rsidRPr="0070062A" w:rsidRDefault="00C63247" w:rsidP="00C63247">
      <w:pPr>
        <w:spacing w:after="0" w:line="240" w:lineRule="auto"/>
        <w:rPr>
          <w:rFonts w:ascii="Times New Roman" w:hAnsi="Times New Roman" w:cs="Times New Roman"/>
          <w:sz w:val="20"/>
          <w:szCs w:val="20"/>
        </w:rPr>
      </w:pPr>
      <w:r w:rsidRPr="0070062A">
        <w:rPr>
          <w:rFonts w:ascii="Times New Roman" w:hAnsi="Times New Roman" w:cs="Times New Roman"/>
          <w:sz w:val="20"/>
          <w:szCs w:val="20"/>
        </w:rPr>
        <w:t>**Atbilstoši Latvijas vispārējās valdības budžeta plāna projektam 20</w:t>
      </w:r>
      <w:r w:rsidR="00057A84">
        <w:rPr>
          <w:rFonts w:ascii="Times New Roman" w:hAnsi="Times New Roman" w:cs="Times New Roman"/>
          <w:sz w:val="20"/>
          <w:szCs w:val="20"/>
        </w:rPr>
        <w:t>20</w:t>
      </w:r>
      <w:r w:rsidRPr="0070062A">
        <w:rPr>
          <w:rFonts w:ascii="Times New Roman" w:hAnsi="Times New Roman" w:cs="Times New Roman"/>
          <w:sz w:val="20"/>
          <w:szCs w:val="20"/>
        </w:rPr>
        <w:t>.gadam</w:t>
      </w:r>
    </w:p>
    <w:p w14:paraId="5D72BC0B" w14:textId="77777777" w:rsidR="00C63247" w:rsidRPr="0070062A" w:rsidRDefault="00C63247" w:rsidP="00C63247">
      <w:pPr>
        <w:spacing w:after="0" w:line="240" w:lineRule="auto"/>
        <w:ind w:firstLine="567"/>
        <w:jc w:val="both"/>
        <w:rPr>
          <w:rFonts w:ascii="Times New Roman" w:hAnsi="Times New Roman" w:cs="Times New Roman"/>
          <w:sz w:val="24"/>
        </w:rPr>
      </w:pPr>
    </w:p>
    <w:p w14:paraId="15A4CC5D" w14:textId="77777777" w:rsidR="00C63247" w:rsidRPr="0070062A" w:rsidRDefault="00C63247" w:rsidP="00C63247">
      <w:pPr>
        <w:spacing w:after="120" w:line="240" w:lineRule="auto"/>
        <w:ind w:firstLine="567"/>
        <w:jc w:val="center"/>
        <w:rPr>
          <w:rFonts w:ascii="Times New Roman" w:hAnsi="Times New Roman" w:cs="Times New Roman"/>
          <w:sz w:val="24"/>
        </w:rPr>
      </w:pPr>
      <w:r w:rsidRPr="0070062A">
        <w:rPr>
          <w:rFonts w:ascii="Times New Roman" w:hAnsi="Times New Roman" w:cs="Times New Roman"/>
          <w:b/>
          <w:bCs/>
          <w:sz w:val="24"/>
        </w:rPr>
        <w:t xml:space="preserve">Reformu plānā </w:t>
      </w:r>
      <w:r>
        <w:rPr>
          <w:rFonts w:ascii="Times New Roman" w:hAnsi="Times New Roman" w:cs="Times New Roman"/>
          <w:b/>
          <w:bCs/>
          <w:sz w:val="24"/>
        </w:rPr>
        <w:t>ietvertais</w:t>
      </w:r>
      <w:r w:rsidRPr="0070062A">
        <w:rPr>
          <w:rFonts w:ascii="Times New Roman" w:hAnsi="Times New Roman" w:cs="Times New Roman"/>
          <w:b/>
          <w:bCs/>
          <w:sz w:val="24"/>
        </w:rPr>
        <w:t xml:space="preserve"> un VM budžetā faktiski paredzētais finansējums 2018.-2023.gados </w:t>
      </w:r>
    </w:p>
    <w:tbl>
      <w:tblPr>
        <w:tblW w:w="9351" w:type="dxa"/>
        <w:tblLook w:val="04A0" w:firstRow="1" w:lastRow="0" w:firstColumn="1" w:lastColumn="0" w:noHBand="0" w:noVBand="1"/>
      </w:tblPr>
      <w:tblGrid>
        <w:gridCol w:w="3813"/>
        <w:gridCol w:w="850"/>
        <w:gridCol w:w="931"/>
        <w:gridCol w:w="16"/>
        <w:gridCol w:w="834"/>
        <w:gridCol w:w="16"/>
        <w:gridCol w:w="1039"/>
        <w:gridCol w:w="10"/>
        <w:gridCol w:w="982"/>
        <w:gridCol w:w="10"/>
        <w:gridCol w:w="840"/>
        <w:gridCol w:w="10"/>
      </w:tblGrid>
      <w:tr w:rsidR="00C63247" w:rsidRPr="0070062A" w14:paraId="089BCEAC" w14:textId="77777777" w:rsidTr="00295180">
        <w:trPr>
          <w:gridAfter w:val="1"/>
          <w:wAfter w:w="10" w:type="dxa"/>
          <w:trHeight w:val="270"/>
        </w:trPr>
        <w:tc>
          <w:tcPr>
            <w:tcW w:w="3813" w:type="dxa"/>
            <w:tcBorders>
              <w:top w:val="single" w:sz="12" w:space="0" w:color="auto"/>
              <w:left w:val="single" w:sz="12" w:space="0" w:color="auto"/>
              <w:bottom w:val="single" w:sz="12" w:space="0" w:color="auto"/>
              <w:right w:val="single" w:sz="4" w:space="0" w:color="auto"/>
            </w:tcBorders>
            <w:shd w:val="clear" w:color="auto" w:fill="E2EFD9" w:themeFill="accent6" w:themeFillTint="33"/>
            <w:vAlign w:val="center"/>
            <w:hideMark/>
          </w:tcPr>
          <w:p w14:paraId="6E40C182"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p>
        </w:tc>
        <w:tc>
          <w:tcPr>
            <w:tcW w:w="850" w:type="dxa"/>
            <w:tcBorders>
              <w:top w:val="single" w:sz="12" w:space="0" w:color="auto"/>
              <w:left w:val="nil"/>
              <w:bottom w:val="single" w:sz="12" w:space="0" w:color="auto"/>
              <w:right w:val="single" w:sz="4" w:space="0" w:color="auto"/>
            </w:tcBorders>
            <w:shd w:val="clear" w:color="auto" w:fill="E2EFD9" w:themeFill="accent6" w:themeFillTint="33"/>
            <w:vAlign w:val="center"/>
            <w:hideMark/>
          </w:tcPr>
          <w:p w14:paraId="454C7B22"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2018</w:t>
            </w:r>
          </w:p>
        </w:tc>
        <w:tc>
          <w:tcPr>
            <w:tcW w:w="931" w:type="dxa"/>
            <w:tcBorders>
              <w:top w:val="single" w:sz="12" w:space="0" w:color="auto"/>
              <w:left w:val="nil"/>
              <w:bottom w:val="single" w:sz="12" w:space="0" w:color="auto"/>
              <w:right w:val="single" w:sz="4" w:space="0" w:color="auto"/>
            </w:tcBorders>
            <w:shd w:val="clear" w:color="auto" w:fill="E2EFD9" w:themeFill="accent6" w:themeFillTint="33"/>
            <w:vAlign w:val="center"/>
            <w:hideMark/>
          </w:tcPr>
          <w:p w14:paraId="221C9834"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2019</w:t>
            </w:r>
          </w:p>
        </w:tc>
        <w:tc>
          <w:tcPr>
            <w:tcW w:w="850" w:type="dxa"/>
            <w:gridSpan w:val="2"/>
            <w:tcBorders>
              <w:top w:val="single" w:sz="12" w:space="0" w:color="auto"/>
              <w:left w:val="nil"/>
              <w:bottom w:val="single" w:sz="12" w:space="0" w:color="auto"/>
              <w:right w:val="single" w:sz="4" w:space="0" w:color="auto"/>
            </w:tcBorders>
            <w:shd w:val="clear" w:color="auto" w:fill="E2EFD9" w:themeFill="accent6" w:themeFillTint="33"/>
            <w:vAlign w:val="center"/>
            <w:hideMark/>
          </w:tcPr>
          <w:p w14:paraId="3E07B5FE"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2020</w:t>
            </w:r>
          </w:p>
        </w:tc>
        <w:tc>
          <w:tcPr>
            <w:tcW w:w="1055" w:type="dxa"/>
            <w:gridSpan w:val="2"/>
            <w:tcBorders>
              <w:top w:val="single" w:sz="12" w:space="0" w:color="auto"/>
              <w:left w:val="nil"/>
              <w:bottom w:val="single" w:sz="12" w:space="0" w:color="auto"/>
              <w:right w:val="single" w:sz="4" w:space="0" w:color="auto"/>
            </w:tcBorders>
            <w:shd w:val="clear" w:color="auto" w:fill="E2EFD9" w:themeFill="accent6" w:themeFillTint="33"/>
            <w:vAlign w:val="center"/>
            <w:hideMark/>
          </w:tcPr>
          <w:p w14:paraId="48DDA677"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2021</w:t>
            </w:r>
          </w:p>
        </w:tc>
        <w:tc>
          <w:tcPr>
            <w:tcW w:w="992" w:type="dxa"/>
            <w:gridSpan w:val="2"/>
            <w:tcBorders>
              <w:top w:val="single" w:sz="12" w:space="0" w:color="auto"/>
              <w:left w:val="nil"/>
              <w:bottom w:val="single" w:sz="12" w:space="0" w:color="auto"/>
              <w:right w:val="single" w:sz="4" w:space="0" w:color="auto"/>
            </w:tcBorders>
            <w:shd w:val="clear" w:color="auto" w:fill="E2EFD9" w:themeFill="accent6" w:themeFillTint="33"/>
            <w:vAlign w:val="center"/>
            <w:hideMark/>
          </w:tcPr>
          <w:p w14:paraId="7A481139"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2022</w:t>
            </w:r>
          </w:p>
        </w:tc>
        <w:tc>
          <w:tcPr>
            <w:tcW w:w="850" w:type="dxa"/>
            <w:gridSpan w:val="2"/>
            <w:tcBorders>
              <w:top w:val="single" w:sz="12" w:space="0" w:color="auto"/>
              <w:left w:val="nil"/>
              <w:bottom w:val="single" w:sz="12" w:space="0" w:color="auto"/>
              <w:right w:val="single" w:sz="12" w:space="0" w:color="auto"/>
            </w:tcBorders>
            <w:shd w:val="clear" w:color="auto" w:fill="E2EFD9" w:themeFill="accent6" w:themeFillTint="33"/>
            <w:vAlign w:val="center"/>
            <w:hideMark/>
          </w:tcPr>
          <w:p w14:paraId="39C9AA6C" w14:textId="77777777" w:rsidR="00C63247" w:rsidRPr="0070062A" w:rsidRDefault="00C63247" w:rsidP="00295180">
            <w:pPr>
              <w:spacing w:after="0" w:line="240" w:lineRule="auto"/>
              <w:jc w:val="center"/>
              <w:rPr>
                <w:rFonts w:ascii="Times New Roman" w:eastAsia="Times New Roman" w:hAnsi="Times New Roman" w:cs="Times New Roman"/>
                <w:b/>
                <w:bCs/>
                <w:i/>
                <w:lang w:eastAsia="lv-LV"/>
              </w:rPr>
            </w:pPr>
            <w:r w:rsidRPr="0070062A">
              <w:rPr>
                <w:rFonts w:ascii="Times New Roman" w:eastAsia="Times New Roman" w:hAnsi="Times New Roman" w:cs="Times New Roman"/>
                <w:b/>
                <w:bCs/>
                <w:i/>
                <w:lang w:eastAsia="lv-LV"/>
              </w:rPr>
              <w:t>2023</w:t>
            </w:r>
          </w:p>
        </w:tc>
      </w:tr>
      <w:tr w:rsidR="00C63247" w:rsidRPr="0070062A" w14:paraId="436399AB" w14:textId="77777777" w:rsidTr="00295180">
        <w:trPr>
          <w:gridAfter w:val="1"/>
          <w:wAfter w:w="10" w:type="dxa"/>
          <w:trHeight w:val="510"/>
        </w:trPr>
        <w:tc>
          <w:tcPr>
            <w:tcW w:w="3813"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5C54635D" w14:textId="77777777" w:rsidR="00C63247" w:rsidRPr="0070062A" w:rsidRDefault="00C63247" w:rsidP="00295180">
            <w:pPr>
              <w:spacing w:after="0" w:line="240" w:lineRule="auto"/>
              <w:jc w:val="both"/>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Reformu plānā plānotais VM budžets, milj. </w:t>
            </w:r>
            <w:r w:rsidRPr="0070062A">
              <w:rPr>
                <w:rFonts w:ascii="Times New Roman" w:eastAsia="Times New Roman" w:hAnsi="Times New Roman" w:cs="Times New Roman"/>
                <w:i/>
                <w:lang w:eastAsia="lv-LV"/>
              </w:rPr>
              <w:t>euro</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C74E08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1079.2</w:t>
            </w:r>
          </w:p>
        </w:tc>
        <w:tc>
          <w:tcPr>
            <w:tcW w:w="931"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AD714B5"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w:t>
            </w:r>
            <w:r w:rsidRPr="0070062A">
              <w:rPr>
                <w:rFonts w:ascii="Times New Roman" w:eastAsia="Times New Roman" w:hAnsi="Times New Roman" w:cs="Times New Roman"/>
                <w:lang w:eastAsia="lv-LV"/>
              </w:rPr>
              <w:t>214.8</w:t>
            </w:r>
          </w:p>
        </w:tc>
        <w:tc>
          <w:tcPr>
            <w:tcW w:w="85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48421FE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1321.8</w:t>
            </w:r>
          </w:p>
        </w:tc>
        <w:tc>
          <w:tcPr>
            <w:tcW w:w="1055"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2BCF751B"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1451.3</w:t>
            </w:r>
          </w:p>
        </w:tc>
        <w:tc>
          <w:tcPr>
            <w:tcW w:w="992"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50CC548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1578.7</w:t>
            </w:r>
          </w:p>
        </w:tc>
        <w:tc>
          <w:tcPr>
            <w:tcW w:w="850" w:type="dxa"/>
            <w:gridSpan w:val="2"/>
            <w:tcBorders>
              <w:top w:val="single" w:sz="12" w:space="0" w:color="auto"/>
              <w:left w:val="single" w:sz="6" w:space="0" w:color="auto"/>
              <w:bottom w:val="single" w:sz="6" w:space="0" w:color="auto"/>
              <w:right w:val="single" w:sz="12" w:space="0" w:color="auto"/>
            </w:tcBorders>
            <w:shd w:val="clear" w:color="auto" w:fill="auto"/>
            <w:vAlign w:val="center"/>
            <w:hideMark/>
          </w:tcPr>
          <w:p w14:paraId="49D31F46"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1687.1</w:t>
            </w:r>
          </w:p>
        </w:tc>
      </w:tr>
      <w:tr w:rsidR="00C63247" w:rsidRPr="0070062A" w14:paraId="13EEEA84" w14:textId="77777777" w:rsidTr="00295180">
        <w:trPr>
          <w:gridAfter w:val="1"/>
          <w:wAfter w:w="10" w:type="dxa"/>
          <w:trHeight w:val="510"/>
        </w:trPr>
        <w:tc>
          <w:tcPr>
            <w:tcW w:w="38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F0B1BC5" w14:textId="77777777" w:rsidR="00C63247" w:rsidRPr="0070062A" w:rsidRDefault="00C63247" w:rsidP="00295180">
            <w:pPr>
              <w:spacing w:after="0" w:line="240" w:lineRule="auto"/>
              <w:jc w:val="both"/>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Faktiski apstiprinātais VM budžets, milj. </w:t>
            </w:r>
            <w:r w:rsidRPr="0070062A">
              <w:rPr>
                <w:rFonts w:ascii="Times New Roman" w:eastAsia="Times New Roman" w:hAnsi="Times New Roman" w:cs="Times New Roman"/>
                <w:i/>
                <w:lang w:eastAsia="lv-LV"/>
              </w:rPr>
              <w:t>euro</w:t>
            </w:r>
            <w:r w:rsidRPr="0070062A">
              <w:rPr>
                <w:rFonts w:ascii="Times New Roman" w:eastAsia="Times New Roman" w:hAnsi="Times New Roman" w:cs="Times New Roman"/>
                <w:lang w:eastAsia="lv-LV"/>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54EED"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1036.5</w:t>
            </w:r>
          </w:p>
        </w:tc>
        <w:tc>
          <w:tcPr>
            <w:tcW w:w="9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1A553" w14:textId="7EB8E1DA" w:rsidR="00C63247" w:rsidRPr="0070062A" w:rsidRDefault="000753D9" w:rsidP="00295180">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1181.8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D04913"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1219.2</w:t>
            </w:r>
          </w:p>
        </w:tc>
        <w:tc>
          <w:tcPr>
            <w:tcW w:w="10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905BA3"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1200.0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1827BF"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1202.7</w:t>
            </w:r>
          </w:p>
        </w:tc>
        <w:tc>
          <w:tcPr>
            <w:tcW w:w="850"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14:paraId="74B9B8AE"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r w:rsidR="00C63247" w:rsidRPr="0070062A" w14:paraId="691E00F4" w14:textId="77777777" w:rsidTr="00295180">
        <w:trPr>
          <w:gridAfter w:val="1"/>
          <w:wAfter w:w="10" w:type="dxa"/>
          <w:trHeight w:val="345"/>
        </w:trPr>
        <w:tc>
          <w:tcPr>
            <w:tcW w:w="38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FA794CE"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Starpība starp plānoto un faktisko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48E48"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-42.7</w:t>
            </w:r>
          </w:p>
        </w:tc>
        <w:tc>
          <w:tcPr>
            <w:tcW w:w="9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D34C21" w14:textId="15BD51C6"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w:t>
            </w:r>
            <w:r w:rsidR="000753D9">
              <w:rPr>
                <w:rFonts w:ascii="Times New Roman" w:eastAsia="Times New Roman" w:hAnsi="Times New Roman" w:cs="Times New Roman"/>
                <w:i/>
                <w:iCs/>
                <w:lang w:eastAsia="lv-LV"/>
              </w:rPr>
              <w:t>33.0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1C5E16"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-102.6</w:t>
            </w:r>
          </w:p>
        </w:tc>
        <w:tc>
          <w:tcPr>
            <w:tcW w:w="10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525280"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-251.3</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33D08A"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-376.0</w:t>
            </w:r>
          </w:p>
        </w:tc>
        <w:tc>
          <w:tcPr>
            <w:tcW w:w="850"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14:paraId="5FD4286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r w:rsidR="00C63247" w:rsidRPr="0070062A" w14:paraId="33CE6A4D" w14:textId="77777777" w:rsidTr="00295180">
        <w:trPr>
          <w:trHeight w:val="585"/>
        </w:trPr>
        <w:tc>
          <w:tcPr>
            <w:tcW w:w="5610" w:type="dxa"/>
            <w:gridSpan w:val="4"/>
            <w:tcBorders>
              <w:top w:val="single" w:sz="6" w:space="0" w:color="auto"/>
              <w:left w:val="single" w:sz="12" w:space="0" w:color="auto"/>
              <w:bottom w:val="single" w:sz="12" w:space="0" w:color="auto"/>
              <w:right w:val="single" w:sz="6" w:space="0" w:color="auto"/>
            </w:tcBorders>
            <w:shd w:val="clear" w:color="auto" w:fill="auto"/>
            <w:vAlign w:val="center"/>
            <w:hideMark/>
          </w:tcPr>
          <w:p w14:paraId="3F178A2D"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Veselības nozarei papildus pieprasītais finansējums prioritāriem pasākumiem 2020.-2022.gadam</w:t>
            </w:r>
          </w:p>
        </w:tc>
        <w:tc>
          <w:tcPr>
            <w:tcW w:w="85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051CABA8"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279.4</w:t>
            </w:r>
          </w:p>
        </w:tc>
        <w:tc>
          <w:tcPr>
            <w:tcW w:w="1049"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37F1EE33"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445.0</w:t>
            </w:r>
          </w:p>
        </w:tc>
        <w:tc>
          <w:tcPr>
            <w:tcW w:w="992"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574BEDC6"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606.8</w:t>
            </w:r>
          </w:p>
        </w:tc>
        <w:tc>
          <w:tcPr>
            <w:tcW w:w="850" w:type="dxa"/>
            <w:gridSpan w:val="2"/>
            <w:tcBorders>
              <w:top w:val="single" w:sz="6" w:space="0" w:color="auto"/>
              <w:left w:val="single" w:sz="6" w:space="0" w:color="auto"/>
              <w:bottom w:val="single" w:sz="12" w:space="0" w:color="auto"/>
              <w:right w:val="single" w:sz="12" w:space="0" w:color="auto"/>
            </w:tcBorders>
            <w:shd w:val="clear" w:color="auto" w:fill="auto"/>
            <w:vAlign w:val="center"/>
            <w:hideMark/>
          </w:tcPr>
          <w:p w14:paraId="16ED973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r w:rsidR="00C63247" w:rsidRPr="0070062A" w14:paraId="13E926DB" w14:textId="77777777" w:rsidTr="00295180">
        <w:trPr>
          <w:gridAfter w:val="1"/>
          <w:wAfter w:w="10" w:type="dxa"/>
          <w:trHeight w:val="510"/>
        </w:trPr>
        <w:tc>
          <w:tcPr>
            <w:tcW w:w="3813"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0D0DF99" w14:textId="77777777" w:rsidR="00C63247" w:rsidRPr="0070062A" w:rsidRDefault="00C63247" w:rsidP="00295180">
            <w:pPr>
              <w:spacing w:after="0" w:line="240" w:lineRule="auto"/>
              <w:jc w:val="both"/>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Reformu plānā plānotais VM budžets % no valsts konsolidētā budžeta</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14:paraId="381E98F8"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12.42</w:t>
            </w:r>
          </w:p>
        </w:tc>
        <w:tc>
          <w:tcPr>
            <w:tcW w:w="931" w:type="dxa"/>
            <w:tcBorders>
              <w:top w:val="single" w:sz="12" w:space="0" w:color="auto"/>
              <w:left w:val="nil"/>
              <w:bottom w:val="single" w:sz="4" w:space="0" w:color="auto"/>
              <w:right w:val="single" w:sz="4" w:space="0" w:color="auto"/>
            </w:tcBorders>
            <w:shd w:val="clear" w:color="auto" w:fill="auto"/>
            <w:vAlign w:val="center"/>
            <w:hideMark/>
          </w:tcPr>
          <w:p w14:paraId="08DF384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13.80</w:t>
            </w:r>
          </w:p>
        </w:tc>
        <w:tc>
          <w:tcPr>
            <w:tcW w:w="850" w:type="dxa"/>
            <w:gridSpan w:val="2"/>
            <w:tcBorders>
              <w:top w:val="single" w:sz="12" w:space="0" w:color="auto"/>
              <w:left w:val="nil"/>
              <w:bottom w:val="single" w:sz="4" w:space="0" w:color="auto"/>
              <w:right w:val="single" w:sz="4" w:space="0" w:color="auto"/>
            </w:tcBorders>
            <w:shd w:val="clear" w:color="auto" w:fill="auto"/>
            <w:vAlign w:val="center"/>
            <w:hideMark/>
          </w:tcPr>
          <w:p w14:paraId="767E37D4"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14.34</w:t>
            </w:r>
          </w:p>
        </w:tc>
        <w:tc>
          <w:tcPr>
            <w:tcW w:w="1055" w:type="dxa"/>
            <w:gridSpan w:val="2"/>
            <w:tcBorders>
              <w:top w:val="single" w:sz="12" w:space="0" w:color="auto"/>
              <w:left w:val="nil"/>
              <w:bottom w:val="single" w:sz="4" w:space="0" w:color="auto"/>
              <w:right w:val="single" w:sz="4" w:space="0" w:color="auto"/>
            </w:tcBorders>
            <w:shd w:val="clear" w:color="auto" w:fill="auto"/>
            <w:vAlign w:val="center"/>
            <w:hideMark/>
          </w:tcPr>
          <w:p w14:paraId="6330C9E2"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14.39</w:t>
            </w:r>
          </w:p>
        </w:tc>
        <w:tc>
          <w:tcPr>
            <w:tcW w:w="992" w:type="dxa"/>
            <w:gridSpan w:val="2"/>
            <w:tcBorders>
              <w:top w:val="single" w:sz="12" w:space="0" w:color="auto"/>
              <w:left w:val="nil"/>
              <w:bottom w:val="single" w:sz="4" w:space="0" w:color="auto"/>
              <w:right w:val="single" w:sz="4" w:space="0" w:color="auto"/>
            </w:tcBorders>
            <w:shd w:val="clear" w:color="auto" w:fill="auto"/>
            <w:vAlign w:val="center"/>
            <w:hideMark/>
          </w:tcPr>
          <w:p w14:paraId="61BDC555"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14.37</w:t>
            </w:r>
          </w:p>
        </w:tc>
        <w:tc>
          <w:tcPr>
            <w:tcW w:w="850" w:type="dxa"/>
            <w:gridSpan w:val="2"/>
            <w:tcBorders>
              <w:top w:val="single" w:sz="12" w:space="0" w:color="auto"/>
              <w:left w:val="nil"/>
              <w:bottom w:val="single" w:sz="4" w:space="0" w:color="auto"/>
              <w:right w:val="single" w:sz="12" w:space="0" w:color="auto"/>
            </w:tcBorders>
            <w:shd w:val="clear" w:color="auto" w:fill="auto"/>
            <w:vAlign w:val="center"/>
            <w:hideMark/>
          </w:tcPr>
          <w:p w14:paraId="48482CBD"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14.33</w:t>
            </w:r>
          </w:p>
        </w:tc>
      </w:tr>
      <w:tr w:rsidR="00C63247" w:rsidRPr="0070062A" w14:paraId="67A2CA93" w14:textId="77777777" w:rsidTr="00295180">
        <w:trPr>
          <w:gridAfter w:val="1"/>
          <w:wAfter w:w="10" w:type="dxa"/>
          <w:trHeight w:val="510"/>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2844B04" w14:textId="77777777" w:rsidR="00C63247" w:rsidRPr="0070062A" w:rsidRDefault="00C63247" w:rsidP="00295180">
            <w:pPr>
              <w:spacing w:after="0" w:line="240" w:lineRule="auto"/>
              <w:jc w:val="both"/>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VM faktiski apstiprinātie budžeta izdevumi % no valsts konsolidēta budžeta izdevumiem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3EBFC7"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11.36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A5021B6" w14:textId="7E768865"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12.5</w:t>
            </w:r>
            <w:r w:rsidR="00FC5EAE">
              <w:rPr>
                <w:rFonts w:ascii="Times New Roman" w:eastAsia="Times New Roman" w:hAnsi="Times New Roman" w:cs="Times New Roman"/>
                <w:b/>
                <w:lang w:eastAsia="lv-LV"/>
              </w:rPr>
              <w:t>8</w:t>
            </w:r>
            <w:r w:rsidRPr="0070062A">
              <w:rPr>
                <w:rFonts w:ascii="Times New Roman" w:eastAsia="Times New Roman" w:hAnsi="Times New Roman" w:cs="Times New Roman"/>
                <w:b/>
                <w:lang w:eastAsia="lv-LV"/>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F2A3CF3"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12.17</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14:paraId="42711D9B"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11.55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889895F"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11.20</w:t>
            </w:r>
          </w:p>
        </w:tc>
        <w:tc>
          <w:tcPr>
            <w:tcW w:w="850" w:type="dxa"/>
            <w:gridSpan w:val="2"/>
            <w:tcBorders>
              <w:top w:val="single" w:sz="4" w:space="0" w:color="auto"/>
              <w:left w:val="nil"/>
              <w:bottom w:val="single" w:sz="4" w:space="0" w:color="auto"/>
              <w:right w:val="single" w:sz="12" w:space="0" w:color="auto"/>
            </w:tcBorders>
            <w:shd w:val="clear" w:color="auto" w:fill="auto"/>
            <w:vAlign w:val="center"/>
            <w:hideMark/>
          </w:tcPr>
          <w:p w14:paraId="1F67AE9F"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 </w:t>
            </w:r>
          </w:p>
        </w:tc>
      </w:tr>
      <w:tr w:rsidR="00C63247" w:rsidRPr="0070062A" w14:paraId="51424AB5" w14:textId="77777777" w:rsidTr="00295180">
        <w:trPr>
          <w:gridAfter w:val="1"/>
          <w:wAfter w:w="10" w:type="dxa"/>
          <w:trHeight w:val="360"/>
        </w:trPr>
        <w:tc>
          <w:tcPr>
            <w:tcW w:w="3813"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6B4247CF"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Starpība starp plānoto un faktisko, procentpunktos</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14:paraId="68C9CB4E"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-1.06</w:t>
            </w:r>
          </w:p>
        </w:tc>
        <w:tc>
          <w:tcPr>
            <w:tcW w:w="931" w:type="dxa"/>
            <w:tcBorders>
              <w:top w:val="single" w:sz="4" w:space="0" w:color="auto"/>
              <w:left w:val="nil"/>
              <w:bottom w:val="single" w:sz="12" w:space="0" w:color="auto"/>
              <w:right w:val="single" w:sz="4" w:space="0" w:color="auto"/>
            </w:tcBorders>
            <w:shd w:val="clear" w:color="auto" w:fill="auto"/>
            <w:vAlign w:val="center"/>
            <w:hideMark/>
          </w:tcPr>
          <w:p w14:paraId="208959F6" w14:textId="245B8E88"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-1.2</w:t>
            </w:r>
            <w:r w:rsidR="00FC5EAE">
              <w:rPr>
                <w:rFonts w:ascii="Times New Roman" w:eastAsia="Times New Roman" w:hAnsi="Times New Roman" w:cs="Times New Roman"/>
                <w:i/>
                <w:iCs/>
                <w:lang w:eastAsia="lv-LV"/>
              </w:rPr>
              <w:t>2</w:t>
            </w:r>
          </w:p>
        </w:tc>
        <w:tc>
          <w:tcPr>
            <w:tcW w:w="850" w:type="dxa"/>
            <w:gridSpan w:val="2"/>
            <w:tcBorders>
              <w:top w:val="single" w:sz="4" w:space="0" w:color="auto"/>
              <w:left w:val="nil"/>
              <w:bottom w:val="single" w:sz="12" w:space="0" w:color="auto"/>
              <w:right w:val="single" w:sz="4" w:space="0" w:color="auto"/>
            </w:tcBorders>
            <w:shd w:val="clear" w:color="auto" w:fill="auto"/>
            <w:vAlign w:val="center"/>
            <w:hideMark/>
          </w:tcPr>
          <w:p w14:paraId="504CF80D"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-2.17</w:t>
            </w:r>
          </w:p>
        </w:tc>
        <w:tc>
          <w:tcPr>
            <w:tcW w:w="1055" w:type="dxa"/>
            <w:gridSpan w:val="2"/>
            <w:tcBorders>
              <w:top w:val="single" w:sz="4" w:space="0" w:color="auto"/>
              <w:left w:val="nil"/>
              <w:bottom w:val="single" w:sz="12" w:space="0" w:color="auto"/>
              <w:right w:val="single" w:sz="4" w:space="0" w:color="auto"/>
            </w:tcBorders>
            <w:shd w:val="clear" w:color="auto" w:fill="auto"/>
            <w:vAlign w:val="center"/>
            <w:hideMark/>
          </w:tcPr>
          <w:p w14:paraId="33D4E1B7"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-2.84</w:t>
            </w:r>
          </w:p>
        </w:tc>
        <w:tc>
          <w:tcPr>
            <w:tcW w:w="992" w:type="dxa"/>
            <w:gridSpan w:val="2"/>
            <w:tcBorders>
              <w:top w:val="single" w:sz="4" w:space="0" w:color="auto"/>
              <w:left w:val="nil"/>
              <w:bottom w:val="single" w:sz="12" w:space="0" w:color="auto"/>
              <w:right w:val="single" w:sz="4" w:space="0" w:color="auto"/>
            </w:tcBorders>
            <w:shd w:val="clear" w:color="auto" w:fill="auto"/>
            <w:vAlign w:val="center"/>
            <w:hideMark/>
          </w:tcPr>
          <w:p w14:paraId="08E3FEE7"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-3.17</w:t>
            </w:r>
          </w:p>
        </w:tc>
        <w:tc>
          <w:tcPr>
            <w:tcW w:w="850" w:type="dxa"/>
            <w:gridSpan w:val="2"/>
            <w:tcBorders>
              <w:top w:val="single" w:sz="4" w:space="0" w:color="auto"/>
              <w:left w:val="nil"/>
              <w:bottom w:val="single" w:sz="12" w:space="0" w:color="auto"/>
              <w:right w:val="single" w:sz="12" w:space="0" w:color="auto"/>
            </w:tcBorders>
            <w:shd w:val="clear" w:color="auto" w:fill="auto"/>
            <w:vAlign w:val="center"/>
            <w:hideMark/>
          </w:tcPr>
          <w:p w14:paraId="2DB69A18"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r w:rsidR="00C63247" w:rsidRPr="0070062A" w14:paraId="077D469A" w14:textId="77777777" w:rsidTr="00295180">
        <w:trPr>
          <w:gridAfter w:val="1"/>
          <w:wAfter w:w="10" w:type="dxa"/>
          <w:trHeight w:val="510"/>
        </w:trPr>
        <w:tc>
          <w:tcPr>
            <w:tcW w:w="3813"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738E03C" w14:textId="77777777" w:rsidR="00C63247" w:rsidRPr="0070062A" w:rsidRDefault="00C63247" w:rsidP="00295180">
            <w:pPr>
              <w:spacing w:after="0" w:line="240" w:lineRule="auto"/>
              <w:jc w:val="both"/>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Reformu plānā plānotais VM budžets % no IKP</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14:paraId="5BFF5FDF"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3.92</w:t>
            </w:r>
          </w:p>
        </w:tc>
        <w:tc>
          <w:tcPr>
            <w:tcW w:w="931" w:type="dxa"/>
            <w:tcBorders>
              <w:top w:val="single" w:sz="12" w:space="0" w:color="auto"/>
              <w:left w:val="nil"/>
              <w:bottom w:val="single" w:sz="4" w:space="0" w:color="auto"/>
              <w:right w:val="single" w:sz="4" w:space="0" w:color="auto"/>
            </w:tcBorders>
            <w:shd w:val="clear" w:color="auto" w:fill="auto"/>
            <w:vAlign w:val="center"/>
            <w:hideMark/>
          </w:tcPr>
          <w:p w14:paraId="6F0DD470"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4.16</w:t>
            </w:r>
          </w:p>
        </w:tc>
        <w:tc>
          <w:tcPr>
            <w:tcW w:w="850" w:type="dxa"/>
            <w:gridSpan w:val="2"/>
            <w:tcBorders>
              <w:top w:val="single" w:sz="12" w:space="0" w:color="auto"/>
              <w:left w:val="nil"/>
              <w:bottom w:val="single" w:sz="4" w:space="0" w:color="auto"/>
              <w:right w:val="single" w:sz="4" w:space="0" w:color="auto"/>
            </w:tcBorders>
            <w:shd w:val="clear" w:color="auto" w:fill="auto"/>
            <w:vAlign w:val="center"/>
            <w:hideMark/>
          </w:tcPr>
          <w:p w14:paraId="009BB225"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4.29</w:t>
            </w:r>
          </w:p>
        </w:tc>
        <w:tc>
          <w:tcPr>
            <w:tcW w:w="1055" w:type="dxa"/>
            <w:gridSpan w:val="2"/>
            <w:tcBorders>
              <w:top w:val="single" w:sz="12" w:space="0" w:color="auto"/>
              <w:left w:val="nil"/>
              <w:bottom w:val="single" w:sz="4" w:space="0" w:color="auto"/>
              <w:right w:val="single" w:sz="4" w:space="0" w:color="auto"/>
            </w:tcBorders>
            <w:shd w:val="clear" w:color="auto" w:fill="auto"/>
            <w:vAlign w:val="center"/>
            <w:hideMark/>
          </w:tcPr>
          <w:p w14:paraId="700DE6D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4.46</w:t>
            </w:r>
          </w:p>
        </w:tc>
        <w:tc>
          <w:tcPr>
            <w:tcW w:w="992" w:type="dxa"/>
            <w:gridSpan w:val="2"/>
            <w:tcBorders>
              <w:top w:val="single" w:sz="12" w:space="0" w:color="auto"/>
              <w:left w:val="nil"/>
              <w:bottom w:val="single" w:sz="4" w:space="0" w:color="auto"/>
              <w:right w:val="single" w:sz="4" w:space="0" w:color="auto"/>
            </w:tcBorders>
            <w:shd w:val="clear" w:color="auto" w:fill="auto"/>
            <w:vAlign w:val="center"/>
            <w:hideMark/>
          </w:tcPr>
          <w:p w14:paraId="605CD4AA"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4.60</w:t>
            </w:r>
          </w:p>
        </w:tc>
        <w:tc>
          <w:tcPr>
            <w:tcW w:w="850" w:type="dxa"/>
            <w:gridSpan w:val="2"/>
            <w:tcBorders>
              <w:top w:val="single" w:sz="12" w:space="0" w:color="auto"/>
              <w:left w:val="nil"/>
              <w:bottom w:val="single" w:sz="4" w:space="0" w:color="auto"/>
              <w:right w:val="single" w:sz="12" w:space="0" w:color="auto"/>
            </w:tcBorders>
            <w:shd w:val="clear" w:color="auto" w:fill="auto"/>
            <w:vAlign w:val="center"/>
            <w:hideMark/>
          </w:tcPr>
          <w:p w14:paraId="645762F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4.66</w:t>
            </w:r>
          </w:p>
        </w:tc>
      </w:tr>
      <w:tr w:rsidR="00C63247" w:rsidRPr="0070062A" w14:paraId="5A9B5AA5" w14:textId="77777777" w:rsidTr="00295180">
        <w:trPr>
          <w:gridAfter w:val="1"/>
          <w:wAfter w:w="10" w:type="dxa"/>
          <w:trHeight w:val="255"/>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C0A2862" w14:textId="77777777" w:rsidR="00C63247" w:rsidRPr="0070062A" w:rsidRDefault="00C63247" w:rsidP="00295180">
            <w:pPr>
              <w:spacing w:after="0" w:line="240" w:lineRule="auto"/>
              <w:jc w:val="both"/>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Faktiskai apstiprinātais VM budžets % no IKP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BC1868" w14:textId="6777AEA0" w:rsidR="00C63247" w:rsidRPr="0070062A" w:rsidRDefault="006B6A7E" w:rsidP="00295180">
            <w:pPr>
              <w:spacing w:after="0" w:line="240" w:lineRule="auto"/>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3.56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70141B2" w14:textId="75732B4E"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3.</w:t>
            </w:r>
            <w:r w:rsidR="00561B1E">
              <w:rPr>
                <w:rFonts w:ascii="Times New Roman" w:eastAsia="Times New Roman" w:hAnsi="Times New Roman" w:cs="Times New Roman"/>
                <w:b/>
                <w:lang w:eastAsia="lv-LV"/>
              </w:rPr>
              <w:t>76</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642236E"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3.68</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14:paraId="7255FDA9"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3.44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7F14044"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3.27</w:t>
            </w:r>
          </w:p>
        </w:tc>
        <w:tc>
          <w:tcPr>
            <w:tcW w:w="850" w:type="dxa"/>
            <w:gridSpan w:val="2"/>
            <w:tcBorders>
              <w:top w:val="single" w:sz="4" w:space="0" w:color="auto"/>
              <w:left w:val="nil"/>
              <w:bottom w:val="single" w:sz="4" w:space="0" w:color="auto"/>
              <w:right w:val="single" w:sz="12" w:space="0" w:color="auto"/>
            </w:tcBorders>
            <w:shd w:val="clear" w:color="auto" w:fill="auto"/>
            <w:vAlign w:val="center"/>
            <w:hideMark/>
          </w:tcPr>
          <w:p w14:paraId="2D3B64EB" w14:textId="77777777" w:rsidR="00C63247" w:rsidRPr="0070062A" w:rsidRDefault="00C63247" w:rsidP="00295180">
            <w:pPr>
              <w:spacing w:after="0" w:line="240" w:lineRule="auto"/>
              <w:jc w:val="right"/>
              <w:rPr>
                <w:rFonts w:ascii="Times New Roman" w:eastAsia="Times New Roman" w:hAnsi="Times New Roman" w:cs="Times New Roman"/>
                <w:b/>
                <w:lang w:eastAsia="lv-LV"/>
              </w:rPr>
            </w:pPr>
            <w:r w:rsidRPr="0070062A">
              <w:rPr>
                <w:rFonts w:ascii="Times New Roman" w:eastAsia="Times New Roman" w:hAnsi="Times New Roman" w:cs="Times New Roman"/>
                <w:b/>
                <w:lang w:eastAsia="lv-LV"/>
              </w:rPr>
              <w:t> </w:t>
            </w:r>
          </w:p>
        </w:tc>
      </w:tr>
      <w:tr w:rsidR="00C63247" w:rsidRPr="0070062A" w14:paraId="55C669E4" w14:textId="77777777" w:rsidTr="00295180">
        <w:trPr>
          <w:gridAfter w:val="1"/>
          <w:wAfter w:w="10" w:type="dxa"/>
          <w:trHeight w:val="390"/>
        </w:trPr>
        <w:tc>
          <w:tcPr>
            <w:tcW w:w="3813"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14F14C87"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Starpība starp plānoto un faktisko, procentpunktos</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14:paraId="08118FB1" w14:textId="5E5140DA"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w:t>
            </w:r>
            <w:r w:rsidR="006B6A7E">
              <w:rPr>
                <w:rFonts w:ascii="Times New Roman" w:eastAsia="Times New Roman" w:hAnsi="Times New Roman" w:cs="Times New Roman"/>
                <w:lang w:eastAsia="lv-LV"/>
              </w:rPr>
              <w:t>36</w:t>
            </w:r>
          </w:p>
        </w:tc>
        <w:tc>
          <w:tcPr>
            <w:tcW w:w="931" w:type="dxa"/>
            <w:tcBorders>
              <w:top w:val="single" w:sz="4" w:space="0" w:color="auto"/>
              <w:left w:val="nil"/>
              <w:bottom w:val="single" w:sz="12" w:space="0" w:color="auto"/>
              <w:right w:val="single" w:sz="4" w:space="0" w:color="auto"/>
            </w:tcBorders>
            <w:shd w:val="clear" w:color="auto" w:fill="auto"/>
            <w:vAlign w:val="center"/>
            <w:hideMark/>
          </w:tcPr>
          <w:p w14:paraId="24C23911" w14:textId="6E31CC3A"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w:t>
            </w:r>
            <w:r w:rsidR="00561B1E">
              <w:rPr>
                <w:rFonts w:ascii="Times New Roman" w:eastAsia="Times New Roman" w:hAnsi="Times New Roman" w:cs="Times New Roman"/>
                <w:lang w:eastAsia="lv-LV"/>
              </w:rPr>
              <w:t>40</w:t>
            </w:r>
          </w:p>
        </w:tc>
        <w:tc>
          <w:tcPr>
            <w:tcW w:w="850" w:type="dxa"/>
            <w:gridSpan w:val="2"/>
            <w:tcBorders>
              <w:top w:val="single" w:sz="4" w:space="0" w:color="auto"/>
              <w:left w:val="nil"/>
              <w:bottom w:val="single" w:sz="12" w:space="0" w:color="auto"/>
              <w:right w:val="single" w:sz="4" w:space="0" w:color="auto"/>
            </w:tcBorders>
            <w:shd w:val="clear" w:color="auto" w:fill="auto"/>
            <w:vAlign w:val="center"/>
            <w:hideMark/>
          </w:tcPr>
          <w:p w14:paraId="4A140AC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-0.61</w:t>
            </w:r>
          </w:p>
        </w:tc>
        <w:tc>
          <w:tcPr>
            <w:tcW w:w="1055" w:type="dxa"/>
            <w:gridSpan w:val="2"/>
            <w:tcBorders>
              <w:top w:val="single" w:sz="4" w:space="0" w:color="auto"/>
              <w:left w:val="nil"/>
              <w:bottom w:val="single" w:sz="12" w:space="0" w:color="auto"/>
              <w:right w:val="single" w:sz="4" w:space="0" w:color="auto"/>
            </w:tcBorders>
            <w:shd w:val="clear" w:color="auto" w:fill="auto"/>
            <w:vAlign w:val="center"/>
            <w:hideMark/>
          </w:tcPr>
          <w:p w14:paraId="7DED762F"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-1.02</w:t>
            </w:r>
          </w:p>
        </w:tc>
        <w:tc>
          <w:tcPr>
            <w:tcW w:w="992" w:type="dxa"/>
            <w:gridSpan w:val="2"/>
            <w:tcBorders>
              <w:top w:val="single" w:sz="4" w:space="0" w:color="auto"/>
              <w:left w:val="nil"/>
              <w:bottom w:val="single" w:sz="12" w:space="0" w:color="auto"/>
              <w:right w:val="single" w:sz="4" w:space="0" w:color="auto"/>
            </w:tcBorders>
            <w:shd w:val="clear" w:color="auto" w:fill="auto"/>
            <w:vAlign w:val="center"/>
            <w:hideMark/>
          </w:tcPr>
          <w:p w14:paraId="19DBF4BE"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-1.33</w:t>
            </w:r>
          </w:p>
        </w:tc>
        <w:tc>
          <w:tcPr>
            <w:tcW w:w="850" w:type="dxa"/>
            <w:gridSpan w:val="2"/>
            <w:tcBorders>
              <w:top w:val="single" w:sz="4" w:space="0" w:color="auto"/>
              <w:left w:val="nil"/>
              <w:bottom w:val="single" w:sz="12" w:space="0" w:color="auto"/>
              <w:right w:val="single" w:sz="12" w:space="0" w:color="auto"/>
            </w:tcBorders>
            <w:shd w:val="clear" w:color="auto" w:fill="auto"/>
            <w:vAlign w:val="center"/>
            <w:hideMark/>
          </w:tcPr>
          <w:p w14:paraId="2648E6AE"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r w:rsidR="00C63247" w:rsidRPr="0070062A" w14:paraId="671C8FE6" w14:textId="77777777" w:rsidTr="00295180">
        <w:trPr>
          <w:gridAfter w:val="1"/>
          <w:wAfter w:w="10" w:type="dxa"/>
          <w:trHeight w:val="510"/>
        </w:trPr>
        <w:tc>
          <w:tcPr>
            <w:tcW w:w="3813"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37D93103" w14:textId="77777777" w:rsidR="00C63247" w:rsidRPr="0070062A" w:rsidRDefault="00C63247" w:rsidP="00295180">
            <w:pPr>
              <w:spacing w:after="0" w:line="240" w:lineRule="auto"/>
              <w:jc w:val="both"/>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Konceptuālajā ziņojumā plānotais VM budžets uz 1 iedzīvotāju, </w:t>
            </w:r>
            <w:r w:rsidRPr="0070062A">
              <w:rPr>
                <w:rFonts w:ascii="Times New Roman" w:eastAsia="Times New Roman" w:hAnsi="Times New Roman" w:cs="Times New Roman"/>
                <w:i/>
                <w:lang w:eastAsia="lv-LV"/>
              </w:rPr>
              <w:t>euro</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14:paraId="223A0A1F"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559.23</w:t>
            </w:r>
          </w:p>
        </w:tc>
        <w:tc>
          <w:tcPr>
            <w:tcW w:w="931" w:type="dxa"/>
            <w:tcBorders>
              <w:top w:val="single" w:sz="12" w:space="0" w:color="auto"/>
              <w:left w:val="nil"/>
              <w:bottom w:val="single" w:sz="4" w:space="0" w:color="auto"/>
              <w:right w:val="single" w:sz="4" w:space="0" w:color="auto"/>
            </w:tcBorders>
            <w:shd w:val="clear" w:color="auto" w:fill="auto"/>
            <w:vAlign w:val="center"/>
            <w:hideMark/>
          </w:tcPr>
          <w:p w14:paraId="27A30C6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635.86</w:t>
            </w:r>
          </w:p>
        </w:tc>
        <w:tc>
          <w:tcPr>
            <w:tcW w:w="850" w:type="dxa"/>
            <w:gridSpan w:val="2"/>
            <w:tcBorders>
              <w:top w:val="single" w:sz="12" w:space="0" w:color="auto"/>
              <w:left w:val="nil"/>
              <w:bottom w:val="single" w:sz="4" w:space="0" w:color="auto"/>
              <w:right w:val="single" w:sz="4" w:space="0" w:color="auto"/>
            </w:tcBorders>
            <w:shd w:val="clear" w:color="auto" w:fill="auto"/>
            <w:vAlign w:val="center"/>
            <w:hideMark/>
          </w:tcPr>
          <w:p w14:paraId="352057D0"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698.85</w:t>
            </w:r>
          </w:p>
        </w:tc>
        <w:tc>
          <w:tcPr>
            <w:tcW w:w="1055" w:type="dxa"/>
            <w:gridSpan w:val="2"/>
            <w:tcBorders>
              <w:top w:val="single" w:sz="12" w:space="0" w:color="auto"/>
              <w:left w:val="nil"/>
              <w:bottom w:val="single" w:sz="4" w:space="0" w:color="auto"/>
              <w:right w:val="single" w:sz="4" w:space="0" w:color="auto"/>
            </w:tcBorders>
            <w:shd w:val="clear" w:color="auto" w:fill="auto"/>
            <w:vAlign w:val="center"/>
            <w:hideMark/>
          </w:tcPr>
          <w:p w14:paraId="34D59277"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775.05</w:t>
            </w:r>
          </w:p>
        </w:tc>
        <w:tc>
          <w:tcPr>
            <w:tcW w:w="992" w:type="dxa"/>
            <w:gridSpan w:val="2"/>
            <w:tcBorders>
              <w:top w:val="single" w:sz="12" w:space="0" w:color="auto"/>
              <w:left w:val="nil"/>
              <w:bottom w:val="single" w:sz="4" w:space="0" w:color="auto"/>
              <w:right w:val="single" w:sz="4" w:space="0" w:color="auto"/>
            </w:tcBorders>
            <w:shd w:val="clear" w:color="auto" w:fill="auto"/>
            <w:vAlign w:val="center"/>
            <w:hideMark/>
          </w:tcPr>
          <w:p w14:paraId="0060B926"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851.66</w:t>
            </w:r>
          </w:p>
        </w:tc>
        <w:tc>
          <w:tcPr>
            <w:tcW w:w="850" w:type="dxa"/>
            <w:gridSpan w:val="2"/>
            <w:tcBorders>
              <w:top w:val="single" w:sz="12" w:space="0" w:color="auto"/>
              <w:left w:val="nil"/>
              <w:bottom w:val="single" w:sz="4" w:space="0" w:color="auto"/>
              <w:right w:val="single" w:sz="12" w:space="0" w:color="auto"/>
            </w:tcBorders>
            <w:shd w:val="clear" w:color="auto" w:fill="auto"/>
            <w:vAlign w:val="center"/>
            <w:hideMark/>
          </w:tcPr>
          <w:p w14:paraId="19AB9916"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919.34</w:t>
            </w:r>
          </w:p>
        </w:tc>
      </w:tr>
      <w:tr w:rsidR="00C63247" w:rsidRPr="0070062A" w14:paraId="36EDE879" w14:textId="77777777" w:rsidTr="00295180">
        <w:trPr>
          <w:gridAfter w:val="1"/>
          <w:wAfter w:w="10" w:type="dxa"/>
          <w:trHeight w:val="255"/>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DC94785" w14:textId="77777777" w:rsidR="00C63247" w:rsidRPr="0070062A" w:rsidRDefault="00C63247" w:rsidP="00295180">
            <w:pPr>
              <w:spacing w:after="0" w:line="240" w:lineRule="auto"/>
              <w:jc w:val="both"/>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Faktiskais VM budžets uz 1 iedzīvotāju, </w:t>
            </w:r>
            <w:r w:rsidRPr="0070062A">
              <w:rPr>
                <w:rFonts w:ascii="Times New Roman" w:eastAsia="Times New Roman" w:hAnsi="Times New Roman" w:cs="Times New Roman"/>
                <w:i/>
                <w:lang w:eastAsia="lv-LV"/>
              </w:rPr>
              <w:t>euro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C9AAF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            535.84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CB14E13" w14:textId="0774AF88"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               </w:t>
            </w:r>
            <w:r w:rsidR="00FC5EAE">
              <w:rPr>
                <w:rFonts w:ascii="Times New Roman" w:eastAsia="Times New Roman" w:hAnsi="Times New Roman" w:cs="Times New Roman"/>
                <w:lang w:eastAsia="lv-LV"/>
              </w:rPr>
              <w:t>615.52</w:t>
            </w:r>
            <w:r w:rsidRPr="0070062A">
              <w:rPr>
                <w:rFonts w:ascii="Times New Roman" w:eastAsia="Times New Roman" w:hAnsi="Times New Roman" w:cs="Times New Roman"/>
                <w:lang w:eastAsia="lv-LV"/>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0D2883"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            635.01 </w:t>
            </w:r>
          </w:p>
        </w:tc>
        <w:tc>
          <w:tcPr>
            <w:tcW w:w="10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D7FBF0"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            625.00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8F19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            626.42 </w:t>
            </w:r>
          </w:p>
        </w:tc>
        <w:tc>
          <w:tcPr>
            <w:tcW w:w="850" w:type="dxa"/>
            <w:gridSpan w:val="2"/>
            <w:tcBorders>
              <w:top w:val="single" w:sz="4" w:space="0" w:color="auto"/>
              <w:left w:val="nil"/>
              <w:bottom w:val="single" w:sz="4" w:space="0" w:color="auto"/>
              <w:right w:val="single" w:sz="12" w:space="0" w:color="auto"/>
            </w:tcBorders>
            <w:shd w:val="clear" w:color="auto" w:fill="auto"/>
            <w:noWrap/>
            <w:vAlign w:val="center"/>
            <w:hideMark/>
          </w:tcPr>
          <w:p w14:paraId="2388172D"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r w:rsidR="00C63247" w:rsidRPr="0070062A" w14:paraId="6CF62248" w14:textId="77777777" w:rsidTr="00295180">
        <w:trPr>
          <w:gridAfter w:val="1"/>
          <w:wAfter w:w="10" w:type="dxa"/>
          <w:trHeight w:val="270"/>
        </w:trPr>
        <w:tc>
          <w:tcPr>
            <w:tcW w:w="3813"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5FFC3C9A" w14:textId="77777777" w:rsidR="00C63247" w:rsidRPr="0070062A" w:rsidRDefault="00C63247" w:rsidP="00295180">
            <w:pPr>
              <w:spacing w:after="0" w:line="240" w:lineRule="auto"/>
              <w:jc w:val="right"/>
              <w:rPr>
                <w:rFonts w:ascii="Times New Roman" w:eastAsia="Times New Roman" w:hAnsi="Times New Roman" w:cs="Times New Roman"/>
                <w:i/>
                <w:iCs/>
                <w:lang w:eastAsia="lv-LV"/>
              </w:rPr>
            </w:pPr>
            <w:r w:rsidRPr="0070062A">
              <w:rPr>
                <w:rFonts w:ascii="Times New Roman" w:eastAsia="Times New Roman" w:hAnsi="Times New Roman" w:cs="Times New Roman"/>
                <w:i/>
                <w:iCs/>
                <w:lang w:eastAsia="lv-LV"/>
              </w:rPr>
              <w:t>Starpība starp plānoto un faktisko, euro</w:t>
            </w:r>
          </w:p>
        </w:tc>
        <w:tc>
          <w:tcPr>
            <w:tcW w:w="850" w:type="dxa"/>
            <w:tcBorders>
              <w:top w:val="single" w:sz="4" w:space="0" w:color="auto"/>
              <w:left w:val="nil"/>
              <w:bottom w:val="single" w:sz="12" w:space="0" w:color="auto"/>
              <w:right w:val="single" w:sz="4" w:space="0" w:color="auto"/>
            </w:tcBorders>
            <w:shd w:val="clear" w:color="auto" w:fill="auto"/>
            <w:noWrap/>
            <w:vAlign w:val="center"/>
            <w:hideMark/>
          </w:tcPr>
          <w:p w14:paraId="6AADC732"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-23.39 </w:t>
            </w:r>
          </w:p>
        </w:tc>
        <w:tc>
          <w:tcPr>
            <w:tcW w:w="931" w:type="dxa"/>
            <w:tcBorders>
              <w:top w:val="single" w:sz="4" w:space="0" w:color="auto"/>
              <w:left w:val="nil"/>
              <w:bottom w:val="single" w:sz="12" w:space="0" w:color="auto"/>
              <w:right w:val="single" w:sz="4" w:space="0" w:color="auto"/>
            </w:tcBorders>
            <w:shd w:val="clear" w:color="auto" w:fill="auto"/>
            <w:noWrap/>
            <w:vAlign w:val="center"/>
            <w:hideMark/>
          </w:tcPr>
          <w:p w14:paraId="27BFAE8B" w14:textId="227E9B99"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w:t>
            </w:r>
            <w:r w:rsidR="00561B1E">
              <w:rPr>
                <w:rFonts w:ascii="Times New Roman" w:eastAsia="Times New Roman" w:hAnsi="Times New Roman" w:cs="Times New Roman"/>
                <w:lang w:eastAsia="lv-LV"/>
              </w:rPr>
              <w:t>20.34</w:t>
            </w:r>
            <w:r w:rsidRPr="0070062A">
              <w:rPr>
                <w:rFonts w:ascii="Times New Roman" w:eastAsia="Times New Roman" w:hAnsi="Times New Roman" w:cs="Times New Roman"/>
                <w:lang w:eastAsia="lv-LV"/>
              </w:rPr>
              <w:t xml:space="preserve"> </w:t>
            </w:r>
          </w:p>
        </w:tc>
        <w:tc>
          <w:tcPr>
            <w:tcW w:w="85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F97DB1E"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-63.84 </w:t>
            </w:r>
          </w:p>
        </w:tc>
        <w:tc>
          <w:tcPr>
            <w:tcW w:w="1055"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FBDF8D1"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-150.05 </w:t>
            </w:r>
          </w:p>
        </w:tc>
        <w:tc>
          <w:tcPr>
            <w:tcW w:w="992" w:type="dxa"/>
            <w:gridSpan w:val="2"/>
            <w:tcBorders>
              <w:top w:val="single" w:sz="4" w:space="0" w:color="auto"/>
              <w:left w:val="nil"/>
              <w:bottom w:val="single" w:sz="12" w:space="0" w:color="auto"/>
              <w:right w:val="single" w:sz="4" w:space="0" w:color="auto"/>
            </w:tcBorders>
            <w:shd w:val="clear" w:color="auto" w:fill="auto"/>
            <w:noWrap/>
            <w:vAlign w:val="center"/>
            <w:hideMark/>
          </w:tcPr>
          <w:p w14:paraId="35FF71EC" w14:textId="77777777" w:rsidR="00C63247" w:rsidRPr="0070062A" w:rsidRDefault="00C63247" w:rsidP="00295180">
            <w:pPr>
              <w:spacing w:after="0" w:line="240" w:lineRule="auto"/>
              <w:jc w:val="right"/>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xml:space="preserve">-225.24 </w:t>
            </w:r>
          </w:p>
        </w:tc>
        <w:tc>
          <w:tcPr>
            <w:tcW w:w="850" w:type="dxa"/>
            <w:gridSpan w:val="2"/>
            <w:tcBorders>
              <w:top w:val="single" w:sz="4" w:space="0" w:color="auto"/>
              <w:left w:val="nil"/>
              <w:bottom w:val="single" w:sz="12" w:space="0" w:color="auto"/>
              <w:right w:val="single" w:sz="12" w:space="0" w:color="auto"/>
            </w:tcBorders>
            <w:shd w:val="clear" w:color="auto" w:fill="auto"/>
            <w:noWrap/>
            <w:vAlign w:val="center"/>
            <w:hideMark/>
          </w:tcPr>
          <w:p w14:paraId="23C2384A" w14:textId="77777777" w:rsidR="00C63247" w:rsidRPr="0070062A" w:rsidRDefault="00C63247" w:rsidP="00295180">
            <w:pPr>
              <w:spacing w:after="0" w:line="240" w:lineRule="auto"/>
              <w:rPr>
                <w:rFonts w:ascii="Times New Roman" w:eastAsia="Times New Roman" w:hAnsi="Times New Roman" w:cs="Times New Roman"/>
                <w:lang w:eastAsia="lv-LV"/>
              </w:rPr>
            </w:pPr>
            <w:r w:rsidRPr="0070062A">
              <w:rPr>
                <w:rFonts w:ascii="Times New Roman" w:eastAsia="Times New Roman" w:hAnsi="Times New Roman" w:cs="Times New Roman"/>
                <w:lang w:eastAsia="lv-LV"/>
              </w:rPr>
              <w:t> </w:t>
            </w:r>
          </w:p>
        </w:tc>
      </w:tr>
    </w:tbl>
    <w:p w14:paraId="398E1539" w14:textId="77777777" w:rsidR="00C63247" w:rsidRPr="0070062A" w:rsidRDefault="00C63247" w:rsidP="00C63247">
      <w:pPr>
        <w:spacing w:after="0" w:line="240" w:lineRule="auto"/>
        <w:jc w:val="both"/>
        <w:rPr>
          <w:rFonts w:ascii="Times New Roman" w:hAnsi="Times New Roman" w:cs="Times New Roman"/>
          <w:sz w:val="20"/>
          <w:szCs w:val="20"/>
        </w:rPr>
      </w:pPr>
      <w:r w:rsidRPr="0070062A">
        <w:rPr>
          <w:rFonts w:ascii="Times New Roman" w:hAnsi="Times New Roman" w:cs="Times New Roman"/>
          <w:sz w:val="20"/>
          <w:szCs w:val="20"/>
        </w:rPr>
        <w:t>*2018.gadam noslēgumā atbilstoši likumam “Par budžetu 2018.gadam” un Finanšu ministrijas rīkojumiem gada laikā, 2019.gadam aktuālais atbilstoši likumam “Par budžetu 2019.gadam” un Finanšu ministrijas rīkojumiem gada laikā uz ziņojuma sagatavošanas brīdi, 2020.-2022.gadiem atbilstoši likumam “Par vidēja termiņa budžeta ietvaru 2020., 2021. un 2022.gadam”</w:t>
      </w:r>
    </w:p>
    <w:p w14:paraId="1AD1094C" w14:textId="77777777" w:rsidR="00C63247" w:rsidRPr="0070062A" w:rsidRDefault="00C63247" w:rsidP="00C63247">
      <w:pPr>
        <w:spacing w:after="0" w:line="240" w:lineRule="auto"/>
        <w:jc w:val="both"/>
        <w:rPr>
          <w:rFonts w:ascii="Times New Roman" w:hAnsi="Times New Roman" w:cs="Times New Roman"/>
          <w:sz w:val="20"/>
          <w:szCs w:val="20"/>
        </w:rPr>
      </w:pPr>
      <w:r w:rsidRPr="0070062A">
        <w:rPr>
          <w:rFonts w:ascii="Times New Roman" w:hAnsi="Times New Roman" w:cs="Times New Roman"/>
          <w:sz w:val="20"/>
          <w:szCs w:val="20"/>
        </w:rPr>
        <w:t>**Valsts konsolidēta budžeta izdevumi atbilstoši likumam “Par budžetu 2019.gadam”.</w:t>
      </w:r>
    </w:p>
    <w:p w14:paraId="605E5710" w14:textId="77777777" w:rsidR="00C63247" w:rsidRPr="0070062A" w:rsidRDefault="00C63247" w:rsidP="00C63247">
      <w:pPr>
        <w:spacing w:after="0" w:line="240" w:lineRule="auto"/>
        <w:ind w:firstLine="567"/>
        <w:jc w:val="both"/>
        <w:rPr>
          <w:rFonts w:ascii="Times New Roman" w:hAnsi="Times New Roman" w:cs="Times New Roman"/>
          <w:sz w:val="24"/>
        </w:rPr>
      </w:pPr>
    </w:p>
    <w:p w14:paraId="1E3EF255" w14:textId="77777777" w:rsidR="00C63247"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Salīdzinājumā ar Reformu plānā aprakstīto, kopš reformu uzsākšanas 2017.gadā ir nākušas klāt jaun</w:t>
      </w:r>
      <w:r>
        <w:rPr>
          <w:rFonts w:ascii="Times New Roman" w:hAnsi="Times New Roman" w:cs="Times New Roman"/>
          <w:sz w:val="24"/>
          <w:szCs w:val="24"/>
        </w:rPr>
        <w:t>a</w:t>
      </w:r>
      <w:r w:rsidRPr="0070062A">
        <w:rPr>
          <w:rFonts w:ascii="Times New Roman" w:hAnsi="Times New Roman" w:cs="Times New Roman"/>
          <w:sz w:val="24"/>
          <w:szCs w:val="24"/>
        </w:rPr>
        <w:t xml:space="preserve">s veselības nozares prioritātes: Psihiskās veselības aprūpes pieejamības uzlabošanas plāna 2019.-2020.gadam īstenošana; jauni inovatīvie medikamenti; </w:t>
      </w:r>
      <w:r w:rsidRPr="0070062A">
        <w:rPr>
          <w:rFonts w:ascii="Times New Roman" w:hAnsi="Times New Roman" w:cs="Times New Roman"/>
          <w:sz w:val="24"/>
        </w:rPr>
        <w:t>Antimikrobiālās rezistences ierobežošanas un piesardzīgas antibiotiku lietošanas plāns “Viena veselība” 2019.-2020.gadam; pacientu līdzmaksājumu kompensācijas paplašināšana; jauni vides uzlabošanas un infrastruktūras efektivizēšanas pasākumi; valsts pētījumu programmas veselības jomā attīstība un citi.</w:t>
      </w:r>
    </w:p>
    <w:p w14:paraId="6FE36178" w14:textId="77777777" w:rsidR="00C63247" w:rsidRPr="00B1192C" w:rsidRDefault="00C63247" w:rsidP="00C63247">
      <w:pPr>
        <w:spacing w:after="0" w:line="240" w:lineRule="auto"/>
        <w:jc w:val="center"/>
        <w:rPr>
          <w:rFonts w:ascii="Times New Roman" w:hAnsi="Times New Roman" w:cs="Times New Roman"/>
          <w:b/>
          <w:sz w:val="28"/>
          <w:szCs w:val="28"/>
        </w:rPr>
      </w:pPr>
    </w:p>
    <w:p w14:paraId="011F3A73" w14:textId="77777777" w:rsidR="00C63247" w:rsidRPr="0070062A" w:rsidRDefault="00C63247" w:rsidP="00C63247">
      <w:pPr>
        <w:spacing w:after="12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lastRenderedPageBreak/>
        <w:t>1. Infrastruktūra un kartējums</w:t>
      </w:r>
    </w:p>
    <w:p w14:paraId="2611F903" w14:textId="77777777" w:rsidR="00C63247" w:rsidRDefault="00C63247" w:rsidP="00C63247">
      <w:pPr>
        <w:spacing w:after="12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PB ierosinātās infrastruktūras, aprīkojuma un cilvēkresursu kartējuma izmaiņas paredz</w:t>
      </w:r>
      <w:r>
        <w:rPr>
          <w:rFonts w:ascii="Times New Roman" w:hAnsi="Times New Roman" w:cs="Times New Roman"/>
          <w:sz w:val="24"/>
          <w:szCs w:val="24"/>
        </w:rPr>
        <w:t>:</w:t>
      </w:r>
    </w:p>
    <w:p w14:paraId="1A8ABA84" w14:textId="77777777" w:rsidR="00C63247" w:rsidRDefault="00C63247" w:rsidP="00C63247">
      <w:pPr>
        <w:pStyle w:val="ListParagraph"/>
        <w:numPr>
          <w:ilvl w:val="0"/>
          <w:numId w:val="5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paplašināt </w:t>
      </w:r>
      <w:r w:rsidRPr="00B963EB">
        <w:rPr>
          <w:rFonts w:ascii="Times New Roman" w:hAnsi="Times New Roman" w:cs="Times New Roman"/>
          <w:sz w:val="24"/>
          <w:szCs w:val="24"/>
        </w:rPr>
        <w:t>primār</w:t>
      </w:r>
      <w:r>
        <w:rPr>
          <w:rFonts w:ascii="Times New Roman" w:hAnsi="Times New Roman" w:cs="Times New Roman"/>
          <w:sz w:val="24"/>
          <w:szCs w:val="24"/>
        </w:rPr>
        <w:t>ās</w:t>
      </w:r>
      <w:r w:rsidRPr="00B963EB">
        <w:rPr>
          <w:rFonts w:ascii="Times New Roman" w:hAnsi="Times New Roman" w:cs="Times New Roman"/>
          <w:sz w:val="24"/>
          <w:szCs w:val="24"/>
        </w:rPr>
        <w:t xml:space="preserve"> veselības aprūp</w:t>
      </w:r>
      <w:r>
        <w:rPr>
          <w:rFonts w:ascii="Times New Roman" w:hAnsi="Times New Roman" w:cs="Times New Roman"/>
          <w:sz w:val="24"/>
          <w:szCs w:val="24"/>
        </w:rPr>
        <w:t>es</w:t>
      </w:r>
      <w:r w:rsidRPr="00B963EB">
        <w:rPr>
          <w:rFonts w:ascii="Times New Roman" w:hAnsi="Times New Roman" w:cs="Times New Roman"/>
          <w:sz w:val="24"/>
          <w:szCs w:val="24"/>
        </w:rPr>
        <w:t xml:space="preserve"> (turpmāk – PVA)</w:t>
      </w:r>
      <w:r>
        <w:rPr>
          <w:rFonts w:ascii="Times New Roman" w:hAnsi="Times New Roman" w:cs="Times New Roman"/>
          <w:sz w:val="24"/>
          <w:szCs w:val="24"/>
        </w:rPr>
        <w:t xml:space="preserve"> </w:t>
      </w:r>
      <w:r w:rsidRPr="00B963EB">
        <w:rPr>
          <w:rFonts w:ascii="Times New Roman" w:hAnsi="Times New Roman" w:cs="Times New Roman"/>
          <w:sz w:val="24"/>
          <w:szCs w:val="24"/>
        </w:rPr>
        <w:t>komand</w:t>
      </w:r>
      <w:r>
        <w:rPr>
          <w:rFonts w:ascii="Times New Roman" w:hAnsi="Times New Roman" w:cs="Times New Roman"/>
          <w:sz w:val="24"/>
          <w:szCs w:val="24"/>
        </w:rPr>
        <w:t>u</w:t>
      </w:r>
      <w:r w:rsidRPr="00B963EB">
        <w:rPr>
          <w:rFonts w:ascii="Times New Roman" w:hAnsi="Times New Roman" w:cs="Times New Roman"/>
          <w:sz w:val="24"/>
          <w:szCs w:val="24"/>
        </w:rPr>
        <w:t>,</w:t>
      </w:r>
      <w:r>
        <w:rPr>
          <w:rFonts w:ascii="Times New Roman" w:hAnsi="Times New Roman" w:cs="Times New Roman"/>
          <w:sz w:val="24"/>
          <w:szCs w:val="24"/>
        </w:rPr>
        <w:t xml:space="preserve"> piesaistot</w:t>
      </w:r>
      <w:r w:rsidRPr="00B963EB">
        <w:rPr>
          <w:rFonts w:ascii="Times New Roman" w:hAnsi="Times New Roman" w:cs="Times New Roman"/>
          <w:sz w:val="24"/>
          <w:szCs w:val="24"/>
        </w:rPr>
        <w:t xml:space="preserve"> </w:t>
      </w:r>
      <w:r>
        <w:rPr>
          <w:rFonts w:ascii="Times New Roman" w:hAnsi="Times New Roman" w:cs="Times New Roman"/>
          <w:sz w:val="24"/>
          <w:szCs w:val="24"/>
        </w:rPr>
        <w:t>atsevišķu jomu speciālistus,</w:t>
      </w:r>
    </w:p>
    <w:p w14:paraId="57221170" w14:textId="77777777" w:rsidR="00C63247" w:rsidRDefault="00C63247" w:rsidP="00C63247">
      <w:pPr>
        <w:pStyle w:val="ListParagraph"/>
        <w:numPr>
          <w:ilvl w:val="0"/>
          <w:numId w:val="51"/>
        </w:numPr>
        <w:spacing w:after="120" w:line="240" w:lineRule="auto"/>
        <w:jc w:val="both"/>
        <w:rPr>
          <w:rFonts w:ascii="Times New Roman" w:hAnsi="Times New Roman" w:cs="Times New Roman"/>
          <w:sz w:val="24"/>
          <w:szCs w:val="24"/>
        </w:rPr>
      </w:pPr>
      <w:r w:rsidRPr="00B963EB">
        <w:rPr>
          <w:rFonts w:ascii="Times New Roman" w:hAnsi="Times New Roman" w:cs="Times New Roman"/>
          <w:sz w:val="24"/>
          <w:szCs w:val="24"/>
        </w:rPr>
        <w:t xml:space="preserve">centralizēt noteiktus pakalpojumus, lai uzlabotu kvalitāti un efektivitāti, </w:t>
      </w:r>
      <w:r>
        <w:rPr>
          <w:rFonts w:ascii="Times New Roman" w:hAnsi="Times New Roman" w:cs="Times New Roman"/>
          <w:sz w:val="24"/>
          <w:szCs w:val="24"/>
        </w:rPr>
        <w:t>un</w:t>
      </w:r>
    </w:p>
    <w:p w14:paraId="5103CFB7" w14:textId="77777777" w:rsidR="00C63247" w:rsidRDefault="00C63247" w:rsidP="00C63247">
      <w:pPr>
        <w:pStyle w:val="ListParagraph"/>
        <w:numPr>
          <w:ilvl w:val="0"/>
          <w:numId w:val="51"/>
        </w:numPr>
        <w:spacing w:after="120" w:line="240" w:lineRule="auto"/>
        <w:jc w:val="both"/>
        <w:rPr>
          <w:rFonts w:ascii="Times New Roman" w:hAnsi="Times New Roman" w:cs="Times New Roman"/>
          <w:sz w:val="24"/>
          <w:szCs w:val="24"/>
        </w:rPr>
      </w:pPr>
      <w:r w:rsidRPr="00B963EB">
        <w:rPr>
          <w:rFonts w:ascii="Times New Roman" w:hAnsi="Times New Roman" w:cs="Times New Roman"/>
          <w:sz w:val="24"/>
          <w:szCs w:val="24"/>
        </w:rPr>
        <w:t>decentralizēt citus pakalpojumus, lai uzlabotu vienlīdzību un piekļuvi aprūpei atbilstoši vietējo iedzīvotāju veselības aprūpes vajadzībām</w:t>
      </w:r>
      <w:r>
        <w:rPr>
          <w:rFonts w:ascii="Times New Roman" w:hAnsi="Times New Roman" w:cs="Times New Roman"/>
          <w:sz w:val="24"/>
          <w:szCs w:val="24"/>
        </w:rPr>
        <w:t>,</w:t>
      </w:r>
      <w:r w:rsidRPr="00B963EB">
        <w:rPr>
          <w:rFonts w:ascii="Times New Roman" w:hAnsi="Times New Roman" w:cs="Times New Roman"/>
          <w:sz w:val="24"/>
          <w:szCs w:val="24"/>
        </w:rPr>
        <w:t xml:space="preserve"> </w:t>
      </w:r>
    </w:p>
    <w:p w14:paraId="1A446F5B" w14:textId="77777777" w:rsidR="00C63247" w:rsidRPr="00B963EB" w:rsidRDefault="00C63247" w:rsidP="00C63247">
      <w:pPr>
        <w:pStyle w:val="ListParagraph"/>
        <w:numPr>
          <w:ilvl w:val="0"/>
          <w:numId w:val="51"/>
        </w:numPr>
        <w:spacing w:after="120" w:line="240" w:lineRule="auto"/>
        <w:jc w:val="both"/>
        <w:rPr>
          <w:rFonts w:ascii="Times New Roman" w:hAnsi="Times New Roman" w:cs="Times New Roman"/>
          <w:sz w:val="24"/>
          <w:szCs w:val="24"/>
        </w:rPr>
      </w:pPr>
      <w:r w:rsidRPr="00B963EB">
        <w:rPr>
          <w:rFonts w:ascii="Times New Roman" w:hAnsi="Times New Roman" w:cs="Times New Roman"/>
          <w:sz w:val="24"/>
          <w:szCs w:val="24"/>
        </w:rPr>
        <w:t>veikt investīcijas ārstniecības iestāžu infrastruktūras atjaunošanai, tai skaitā dārgo tehnoloģiju iegādei, ņemot vērā veselības aprūpes pakalpojumu tarifu un aprūpes epizožu neatbilstību faktiskajām izmaksām.</w:t>
      </w:r>
    </w:p>
    <w:p w14:paraId="4E70C1A9" w14:textId="77777777" w:rsidR="00C63247" w:rsidRPr="0070062A" w:rsidRDefault="00C63247" w:rsidP="00C632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2019.gada 1.aprīlī stājās spēkā </w:t>
      </w:r>
      <w:r w:rsidRPr="0070062A">
        <w:rPr>
          <w:rFonts w:ascii="Times New Roman" w:hAnsi="Times New Roman" w:cs="Times New Roman"/>
          <w:sz w:val="24"/>
          <w:szCs w:val="24"/>
        </w:rPr>
        <w:t xml:space="preserve">stacionāro veselības aprūpes pakalpojumu sniedzēju </w:t>
      </w:r>
      <w:r w:rsidRPr="0070062A">
        <w:rPr>
          <w:rFonts w:ascii="Times New Roman" w:hAnsi="Times New Roman" w:cs="Times New Roman"/>
          <w:b/>
          <w:bCs/>
          <w:sz w:val="24"/>
          <w:szCs w:val="24"/>
        </w:rPr>
        <w:t>dalījums pa līmeņiem</w:t>
      </w:r>
      <w:r>
        <w:rPr>
          <w:rFonts w:ascii="Times New Roman" w:hAnsi="Times New Roman" w:cs="Times New Roman"/>
          <w:sz w:val="24"/>
          <w:szCs w:val="24"/>
        </w:rPr>
        <w:t>.</w:t>
      </w:r>
      <w:r w:rsidRPr="0070062A">
        <w:rPr>
          <w:rFonts w:ascii="Times New Roman" w:hAnsi="Times New Roman" w:cs="Times New Roman"/>
          <w:sz w:val="24"/>
          <w:szCs w:val="24"/>
        </w:rPr>
        <w:t xml:space="preserve"> </w:t>
      </w:r>
      <w:r>
        <w:rPr>
          <w:rFonts w:ascii="Times New Roman" w:hAnsi="Times New Roman" w:cs="Times New Roman"/>
          <w:sz w:val="24"/>
          <w:szCs w:val="24"/>
        </w:rPr>
        <w:t>K</w:t>
      </w:r>
      <w:r w:rsidRPr="0070062A">
        <w:rPr>
          <w:rFonts w:ascii="Times New Roman" w:hAnsi="Times New Roman" w:cs="Times New Roman"/>
          <w:sz w:val="24"/>
          <w:szCs w:val="24"/>
        </w:rPr>
        <w:t xml:space="preserve">atram līmenim </w:t>
      </w:r>
      <w:r>
        <w:rPr>
          <w:rFonts w:ascii="Times New Roman" w:hAnsi="Times New Roman" w:cs="Times New Roman"/>
          <w:sz w:val="24"/>
          <w:szCs w:val="24"/>
        </w:rPr>
        <w:t xml:space="preserve">ir noteikti </w:t>
      </w:r>
      <w:r w:rsidRPr="0070062A">
        <w:rPr>
          <w:rFonts w:ascii="Times New Roman" w:hAnsi="Times New Roman" w:cs="Times New Roman"/>
          <w:sz w:val="24"/>
          <w:szCs w:val="24"/>
        </w:rPr>
        <w:t>sniedzamo pakalpojumu veidi.</w:t>
      </w:r>
      <w:r w:rsidRPr="0070062A">
        <w:rPr>
          <w:rStyle w:val="FootnoteReference"/>
          <w:rFonts w:ascii="Times New Roman" w:hAnsi="Times New Roman" w:cs="Times New Roman"/>
          <w:sz w:val="24"/>
          <w:szCs w:val="24"/>
        </w:rPr>
        <w:footnoteReference w:id="16"/>
      </w:r>
      <w:r w:rsidRPr="0070062A">
        <w:rPr>
          <w:rFonts w:ascii="Times New Roman" w:hAnsi="Times New Roman" w:cs="Times New Roman"/>
          <w:sz w:val="24"/>
          <w:szCs w:val="24"/>
        </w:rPr>
        <w:t xml:space="preserve"> Nacionālais veselības dienests (turpmāk – NVD) sadarbībā ar VI </w:t>
      </w:r>
      <w:r w:rsidRPr="00B963EB">
        <w:rPr>
          <w:rFonts w:ascii="Times New Roman" w:hAnsi="Times New Roman" w:cs="Times New Roman"/>
          <w:b/>
          <w:bCs/>
          <w:sz w:val="24"/>
          <w:szCs w:val="24"/>
        </w:rPr>
        <w:t>katru gadu pārskatīs</w:t>
      </w:r>
      <w:r w:rsidRPr="0070062A">
        <w:rPr>
          <w:rFonts w:ascii="Times New Roman" w:hAnsi="Times New Roman" w:cs="Times New Roman"/>
          <w:sz w:val="24"/>
          <w:szCs w:val="24"/>
        </w:rPr>
        <w:t xml:space="preserve"> slimnīcu sniegto pakalpojumu atbilstību piešķirtajam līmenim</w:t>
      </w:r>
      <w:r>
        <w:rPr>
          <w:rFonts w:ascii="Times New Roman" w:hAnsi="Times New Roman" w:cs="Times New Roman"/>
          <w:sz w:val="24"/>
          <w:szCs w:val="24"/>
        </w:rPr>
        <w:t>,</w:t>
      </w:r>
      <w:r w:rsidRPr="00745C31">
        <w:t xml:space="preserve"> </w:t>
      </w:r>
      <w:r w:rsidRPr="00745C31">
        <w:rPr>
          <w:rFonts w:ascii="Times New Roman" w:hAnsi="Times New Roman" w:cs="Times New Roman"/>
          <w:sz w:val="24"/>
          <w:szCs w:val="24"/>
        </w:rPr>
        <w:t>izvērtējot katras slimnīcas ārstnieciskā personāla skaitu, viņu noslodzi un pakalpojumu pieejamību</w:t>
      </w:r>
      <w:r>
        <w:rPr>
          <w:rFonts w:ascii="Times New Roman" w:hAnsi="Times New Roman" w:cs="Times New Roman"/>
          <w:sz w:val="24"/>
          <w:szCs w:val="24"/>
        </w:rPr>
        <w:t>.</w:t>
      </w:r>
      <w:r w:rsidRPr="0070062A">
        <w:rPr>
          <w:rFonts w:ascii="Times New Roman" w:hAnsi="Times New Roman" w:cs="Times New Roman"/>
          <w:sz w:val="24"/>
          <w:szCs w:val="24"/>
        </w:rPr>
        <w:t xml:space="preserve"> </w:t>
      </w:r>
    </w:p>
    <w:p w14:paraId="56C254CC" w14:textId="77777777" w:rsidR="00C63247" w:rsidRPr="0070062A" w:rsidRDefault="00C63247" w:rsidP="00C63247">
      <w:pPr>
        <w:spacing w:after="120" w:line="240" w:lineRule="auto"/>
        <w:jc w:val="center"/>
        <w:rPr>
          <w:rFonts w:ascii="Times New Roman" w:hAnsi="Times New Roman" w:cs="Times New Roman"/>
          <w:b/>
          <w:bCs/>
          <w:sz w:val="24"/>
          <w:szCs w:val="24"/>
        </w:rPr>
      </w:pPr>
      <w:r w:rsidRPr="0070062A">
        <w:rPr>
          <w:rFonts w:ascii="Times New Roman" w:hAnsi="Times New Roman" w:cs="Times New Roman"/>
          <w:b/>
          <w:bCs/>
          <w:sz w:val="24"/>
          <w:szCs w:val="24"/>
        </w:rPr>
        <w:t xml:space="preserve">Slimnīcu dalījums pa līmeņiem </w:t>
      </w:r>
    </w:p>
    <w:tbl>
      <w:tblPr>
        <w:tblStyle w:val="TableGrid"/>
        <w:tblW w:w="9628" w:type="dxa"/>
        <w:tblInd w:w="0" w:type="dxa"/>
        <w:tblLook w:val="04A0" w:firstRow="1" w:lastRow="0" w:firstColumn="1" w:lastColumn="0" w:noHBand="0" w:noVBand="1"/>
      </w:tblPr>
      <w:tblGrid>
        <w:gridCol w:w="2405"/>
        <w:gridCol w:w="5528"/>
        <w:gridCol w:w="1695"/>
      </w:tblGrid>
      <w:tr w:rsidR="00C63247" w:rsidRPr="0070062A" w14:paraId="4CED6C74" w14:textId="77777777" w:rsidTr="00295180">
        <w:tc>
          <w:tcPr>
            <w:tcW w:w="2405" w:type="dxa"/>
            <w:shd w:val="clear" w:color="auto" w:fill="E2EFD9" w:themeFill="accent6" w:themeFillTint="33"/>
            <w:vAlign w:val="center"/>
          </w:tcPr>
          <w:p w14:paraId="783BFF3B" w14:textId="77777777" w:rsidR="00C63247" w:rsidRPr="0070062A" w:rsidRDefault="00C63247" w:rsidP="00295180">
            <w:pPr>
              <w:contextualSpacing/>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Slimnīcas līmenis</w:t>
            </w:r>
          </w:p>
        </w:tc>
        <w:tc>
          <w:tcPr>
            <w:tcW w:w="5528" w:type="dxa"/>
            <w:shd w:val="clear" w:color="auto" w:fill="E2EFD9" w:themeFill="accent6" w:themeFillTint="33"/>
            <w:vAlign w:val="center"/>
          </w:tcPr>
          <w:p w14:paraId="30BB7491" w14:textId="77777777" w:rsidR="00C63247" w:rsidRPr="0070062A" w:rsidRDefault="00C63247" w:rsidP="00295180">
            <w:pPr>
              <w:contextualSpacing/>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Sniedzamie obligātie pakalpojumi</w:t>
            </w:r>
          </w:p>
        </w:tc>
        <w:tc>
          <w:tcPr>
            <w:tcW w:w="1695" w:type="dxa"/>
            <w:shd w:val="clear" w:color="auto" w:fill="E2EFD9" w:themeFill="accent6" w:themeFillTint="33"/>
            <w:vAlign w:val="center"/>
          </w:tcPr>
          <w:p w14:paraId="2273BB84" w14:textId="77777777" w:rsidR="00C63247" w:rsidRPr="0070062A" w:rsidRDefault="00C63247" w:rsidP="00295180">
            <w:pPr>
              <w:contextualSpacing/>
              <w:jc w:val="center"/>
              <w:rPr>
                <w:rFonts w:ascii="Times New Roman" w:hAnsi="Times New Roman" w:cs="Times New Roman"/>
                <w:b/>
                <w:sz w:val="22"/>
                <w:szCs w:val="20"/>
                <w:lang w:val="lv-LV"/>
              </w:rPr>
            </w:pPr>
            <w:r w:rsidRPr="0070062A">
              <w:rPr>
                <w:rFonts w:ascii="Times New Roman" w:hAnsi="Times New Roman" w:cs="Times New Roman"/>
                <w:b/>
                <w:sz w:val="22"/>
                <w:szCs w:val="20"/>
                <w:lang w:val="lv-LV"/>
              </w:rPr>
              <w:t>Slimnīcu skaits valstī</w:t>
            </w:r>
          </w:p>
        </w:tc>
      </w:tr>
      <w:tr w:rsidR="00C63247" w:rsidRPr="0070062A" w14:paraId="7BB12B76" w14:textId="77777777" w:rsidTr="00295180">
        <w:tc>
          <w:tcPr>
            <w:tcW w:w="2405" w:type="dxa"/>
          </w:tcPr>
          <w:p w14:paraId="4B666C24"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V līmeņa jeb universitāšu slimnīcas</w:t>
            </w:r>
          </w:p>
        </w:tc>
        <w:tc>
          <w:tcPr>
            <w:tcW w:w="5528" w:type="dxa"/>
          </w:tcPr>
          <w:p w14:paraId="334F7E4A"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Aprūpe vismaz 21 obligāto jomu specialitātē, kā arī neatliekamo palīdzību. Ir iespējami papildu profili katrai slimnīcai (piemēram, infekcijas slimības, mātes aprūpe u.c.)</w:t>
            </w:r>
          </w:p>
        </w:tc>
        <w:tc>
          <w:tcPr>
            <w:tcW w:w="1695" w:type="dxa"/>
            <w:vAlign w:val="center"/>
          </w:tcPr>
          <w:p w14:paraId="0BACB53A"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3</w:t>
            </w:r>
          </w:p>
        </w:tc>
      </w:tr>
      <w:tr w:rsidR="00C63247" w:rsidRPr="0070062A" w14:paraId="73782A08" w14:textId="77777777" w:rsidTr="00295180">
        <w:tc>
          <w:tcPr>
            <w:tcW w:w="2405" w:type="dxa"/>
          </w:tcPr>
          <w:p w14:paraId="56DD5350"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IV līmeņa jeb reģionālās slimnīcas</w:t>
            </w:r>
          </w:p>
        </w:tc>
        <w:tc>
          <w:tcPr>
            <w:tcW w:w="5528" w:type="dxa"/>
          </w:tcPr>
          <w:p w14:paraId="03D2113D" w14:textId="77777777" w:rsidR="00C63247" w:rsidRPr="0070062A" w:rsidRDefault="00C63247" w:rsidP="00295180">
            <w:pPr>
              <w:pStyle w:val="FootnoteText"/>
              <w:contextualSpacing/>
              <w:jc w:val="both"/>
              <w:rPr>
                <w:rFonts w:ascii="Times New Roman" w:hAnsi="Times New Roman" w:cs="Times New Roman"/>
                <w:sz w:val="22"/>
                <w:lang w:val="lv-LV"/>
              </w:rPr>
            </w:pPr>
            <w:r w:rsidRPr="0070062A">
              <w:rPr>
                <w:rFonts w:ascii="Times New Roman" w:hAnsi="Times New Roman" w:cs="Times New Roman"/>
                <w:sz w:val="22"/>
                <w:lang w:val="lv-LV"/>
              </w:rPr>
              <w:t>Aprūpe vismaz 13 obligāto jomu specialitātēs, kā arī neatliekamā palīdzība</w:t>
            </w:r>
          </w:p>
        </w:tc>
        <w:tc>
          <w:tcPr>
            <w:tcW w:w="1695" w:type="dxa"/>
            <w:vAlign w:val="center"/>
          </w:tcPr>
          <w:p w14:paraId="2CEBF73A"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7</w:t>
            </w:r>
          </w:p>
        </w:tc>
      </w:tr>
      <w:tr w:rsidR="00C63247" w:rsidRPr="0070062A" w14:paraId="0E19FF70" w14:textId="77777777" w:rsidTr="00295180">
        <w:tc>
          <w:tcPr>
            <w:tcW w:w="2405" w:type="dxa"/>
          </w:tcPr>
          <w:p w14:paraId="63F17D6C"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III līmeņa slimnīcas</w:t>
            </w:r>
          </w:p>
        </w:tc>
        <w:tc>
          <w:tcPr>
            <w:tcW w:w="5528" w:type="dxa"/>
          </w:tcPr>
          <w:p w14:paraId="426596A3"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Aprūpe 5 obligāto jomu specialitātēs, kā arī neatliekamā palīdzībā</w:t>
            </w:r>
          </w:p>
        </w:tc>
        <w:tc>
          <w:tcPr>
            <w:tcW w:w="1695" w:type="dxa"/>
            <w:vAlign w:val="center"/>
          </w:tcPr>
          <w:p w14:paraId="4E50D576"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7</w:t>
            </w:r>
          </w:p>
        </w:tc>
      </w:tr>
      <w:tr w:rsidR="00C63247" w:rsidRPr="0070062A" w14:paraId="1BD7E77B" w14:textId="77777777" w:rsidTr="00295180">
        <w:tc>
          <w:tcPr>
            <w:tcW w:w="2405" w:type="dxa"/>
          </w:tcPr>
          <w:p w14:paraId="166930ED"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II līmeņa slimnīcas</w:t>
            </w:r>
          </w:p>
        </w:tc>
        <w:tc>
          <w:tcPr>
            <w:tcW w:w="5528" w:type="dxa"/>
          </w:tcPr>
          <w:p w14:paraId="5C86A147"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Terapija, ķirurģija, neatliekamā palīdzība</w:t>
            </w:r>
          </w:p>
        </w:tc>
        <w:tc>
          <w:tcPr>
            <w:tcW w:w="1695" w:type="dxa"/>
            <w:vAlign w:val="center"/>
          </w:tcPr>
          <w:p w14:paraId="33E60EF0"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4</w:t>
            </w:r>
          </w:p>
        </w:tc>
      </w:tr>
      <w:tr w:rsidR="00C63247" w:rsidRPr="0070062A" w14:paraId="6DB0C8A0" w14:textId="77777777" w:rsidTr="00295180">
        <w:tc>
          <w:tcPr>
            <w:tcW w:w="2405" w:type="dxa"/>
          </w:tcPr>
          <w:p w14:paraId="44D80870"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I līmeņa slimnīcas</w:t>
            </w:r>
          </w:p>
        </w:tc>
        <w:tc>
          <w:tcPr>
            <w:tcW w:w="5528" w:type="dxa"/>
          </w:tcPr>
          <w:p w14:paraId="2EC897B7"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Terapija, aprūpe, neatliekamā palīdzība</w:t>
            </w:r>
          </w:p>
        </w:tc>
        <w:tc>
          <w:tcPr>
            <w:tcW w:w="1695" w:type="dxa"/>
            <w:vAlign w:val="center"/>
          </w:tcPr>
          <w:p w14:paraId="607117F4"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5</w:t>
            </w:r>
          </w:p>
        </w:tc>
      </w:tr>
      <w:tr w:rsidR="00C63247" w:rsidRPr="0070062A" w14:paraId="585D5A9D" w14:textId="77777777" w:rsidTr="00295180">
        <w:tc>
          <w:tcPr>
            <w:tcW w:w="2405" w:type="dxa"/>
          </w:tcPr>
          <w:p w14:paraId="320D8BED"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Specializētās slimnīcas</w:t>
            </w:r>
          </w:p>
        </w:tc>
        <w:tc>
          <w:tcPr>
            <w:tcW w:w="5528" w:type="dxa"/>
          </w:tcPr>
          <w:p w14:paraId="4CBDC8DB"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Traumatoloģija, rehabilitācija, dzemdniecība, psihiatrija</w:t>
            </w:r>
          </w:p>
        </w:tc>
        <w:tc>
          <w:tcPr>
            <w:tcW w:w="1695" w:type="dxa"/>
            <w:vAlign w:val="center"/>
          </w:tcPr>
          <w:p w14:paraId="27CF5785"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12</w:t>
            </w:r>
          </w:p>
        </w:tc>
      </w:tr>
      <w:tr w:rsidR="00C63247" w:rsidRPr="0070062A" w14:paraId="1CD7724B" w14:textId="77777777" w:rsidTr="00295180">
        <w:tc>
          <w:tcPr>
            <w:tcW w:w="2405" w:type="dxa"/>
          </w:tcPr>
          <w:p w14:paraId="106A15F3"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Citas slimnīcas</w:t>
            </w:r>
          </w:p>
        </w:tc>
        <w:tc>
          <w:tcPr>
            <w:tcW w:w="5528" w:type="dxa"/>
          </w:tcPr>
          <w:p w14:paraId="50D8C7BE" w14:textId="77777777" w:rsidR="00C63247" w:rsidRPr="0070062A" w:rsidRDefault="00C63247" w:rsidP="00295180">
            <w:pPr>
              <w:contextualSpacing/>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Aprūpe</w:t>
            </w:r>
          </w:p>
        </w:tc>
        <w:tc>
          <w:tcPr>
            <w:tcW w:w="1695" w:type="dxa"/>
            <w:vAlign w:val="center"/>
          </w:tcPr>
          <w:p w14:paraId="2773B445" w14:textId="77777777" w:rsidR="00C63247" w:rsidRPr="0070062A" w:rsidRDefault="00C63247" w:rsidP="00295180">
            <w:pPr>
              <w:contextualSpacing/>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2</w:t>
            </w:r>
          </w:p>
        </w:tc>
      </w:tr>
    </w:tbl>
    <w:p w14:paraId="104855B4" w14:textId="77777777" w:rsidR="00C63247" w:rsidRPr="0070062A" w:rsidRDefault="00C63247" w:rsidP="00C63247">
      <w:pPr>
        <w:pStyle w:val="CommentText"/>
        <w:spacing w:before="120"/>
        <w:jc w:val="both"/>
        <w:rPr>
          <w:rFonts w:ascii="Times New Roman" w:hAnsi="Times New Roman" w:cs="Times New Roman"/>
          <w:sz w:val="24"/>
          <w:szCs w:val="24"/>
        </w:rPr>
      </w:pPr>
      <w:r w:rsidRPr="0070062A">
        <w:rPr>
          <w:rFonts w:ascii="Times New Roman" w:hAnsi="Times New Roman" w:cs="Times New Roman"/>
          <w:sz w:val="24"/>
          <w:szCs w:val="24"/>
        </w:rPr>
        <w:t xml:space="preserve">I–V līmeņa slimnīcām jānodrošina uzņemšanas nodaļas darbs 24/7, </w:t>
      </w:r>
      <w:r>
        <w:rPr>
          <w:rFonts w:ascii="Times New Roman" w:hAnsi="Times New Roman" w:cs="Times New Roman"/>
          <w:sz w:val="24"/>
          <w:szCs w:val="24"/>
        </w:rPr>
        <w:t xml:space="preserve">tāpēc </w:t>
      </w:r>
      <w:r w:rsidRPr="0070062A">
        <w:rPr>
          <w:rFonts w:ascii="Times New Roman" w:hAnsi="Times New Roman" w:cs="Times New Roman"/>
          <w:sz w:val="24"/>
          <w:szCs w:val="24"/>
        </w:rPr>
        <w:t xml:space="preserve">2018.gadā tika </w:t>
      </w:r>
      <w:r w:rsidRPr="0070062A">
        <w:rPr>
          <w:rFonts w:ascii="Times New Roman" w:hAnsi="Times New Roman" w:cs="Times New Roman"/>
          <w:b/>
          <w:sz w:val="24"/>
          <w:szCs w:val="24"/>
        </w:rPr>
        <w:t>pārskatīts</w:t>
      </w:r>
      <w:r w:rsidRPr="0070062A">
        <w:rPr>
          <w:rFonts w:ascii="Times New Roman" w:hAnsi="Times New Roman" w:cs="Times New Roman"/>
          <w:sz w:val="24"/>
          <w:szCs w:val="24"/>
        </w:rPr>
        <w:t xml:space="preserve"> steidzamās medicīniskās palīdzības punkt</w:t>
      </w:r>
      <w:r>
        <w:rPr>
          <w:rFonts w:ascii="Times New Roman" w:hAnsi="Times New Roman" w:cs="Times New Roman"/>
          <w:sz w:val="24"/>
          <w:szCs w:val="24"/>
        </w:rPr>
        <w:t>u</w:t>
      </w:r>
      <w:r w:rsidRPr="0070062A">
        <w:rPr>
          <w:rFonts w:ascii="Times New Roman" w:hAnsi="Times New Roman" w:cs="Times New Roman"/>
          <w:sz w:val="24"/>
          <w:szCs w:val="24"/>
        </w:rPr>
        <w:t xml:space="preserve"> (turpmāk – SMPP) izvietojums</w:t>
      </w:r>
      <w:r>
        <w:rPr>
          <w:rFonts w:ascii="Times New Roman" w:hAnsi="Times New Roman" w:cs="Times New Roman"/>
          <w:sz w:val="24"/>
          <w:szCs w:val="24"/>
        </w:rPr>
        <w:t>, tajos</w:t>
      </w:r>
      <w:r w:rsidRPr="0070062A">
        <w:rPr>
          <w:rFonts w:ascii="Times New Roman" w:hAnsi="Times New Roman" w:cs="Times New Roman"/>
          <w:sz w:val="24"/>
          <w:szCs w:val="24"/>
        </w:rPr>
        <w:t xml:space="preserve"> sniedzamā pakalpojuma apjoms un sniegto pakalpojumu saņemšanas un samaksas kārtība. Rezultātā pašlaik ir 7 SMP (iepriekš bija 17).</w:t>
      </w:r>
      <w:r w:rsidRPr="0070062A">
        <w:rPr>
          <w:rStyle w:val="FootnoteReference"/>
          <w:rFonts w:ascii="Times New Roman" w:hAnsi="Times New Roman" w:cs="Times New Roman"/>
          <w:sz w:val="24"/>
          <w:szCs w:val="24"/>
        </w:rPr>
        <w:footnoteReference w:id="17"/>
      </w:r>
      <w:r w:rsidRPr="0070062A">
        <w:rPr>
          <w:rFonts w:ascii="Times New Roman" w:hAnsi="Times New Roman" w:cs="Times New Roman"/>
          <w:sz w:val="24"/>
          <w:szCs w:val="24"/>
        </w:rPr>
        <w:t xml:space="preserve"> </w:t>
      </w:r>
    </w:p>
    <w:p w14:paraId="420CA58B" w14:textId="77777777" w:rsidR="00C63247" w:rsidRDefault="00C63247" w:rsidP="00C63247">
      <w:pPr>
        <w:spacing w:before="120"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VI sadarbībā ar NVD </w:t>
      </w:r>
      <w:r>
        <w:rPr>
          <w:rFonts w:ascii="Times New Roman" w:hAnsi="Times New Roman" w:cs="Times New Roman"/>
          <w:sz w:val="24"/>
          <w:szCs w:val="24"/>
        </w:rPr>
        <w:t xml:space="preserve">2019.gadā </w:t>
      </w:r>
      <w:r w:rsidRPr="0070062A">
        <w:rPr>
          <w:rFonts w:ascii="Times New Roman" w:hAnsi="Times New Roman" w:cs="Times New Roman"/>
          <w:sz w:val="24"/>
          <w:szCs w:val="24"/>
        </w:rPr>
        <w:t xml:space="preserve">ir uzsākusi </w:t>
      </w:r>
      <w:r w:rsidRPr="00173B5E">
        <w:rPr>
          <w:rFonts w:ascii="Times New Roman" w:hAnsi="Times New Roman" w:cs="Times New Roman"/>
          <w:b/>
          <w:bCs/>
          <w:sz w:val="24"/>
          <w:szCs w:val="24"/>
        </w:rPr>
        <w:t>neplānotas pārbaudes slimnīcās</w:t>
      </w:r>
      <w:r w:rsidRPr="0070062A">
        <w:rPr>
          <w:rFonts w:ascii="Times New Roman" w:hAnsi="Times New Roman" w:cs="Times New Roman"/>
          <w:sz w:val="24"/>
          <w:szCs w:val="24"/>
        </w:rPr>
        <w:t xml:space="preserve"> un vērtē to darbību atbilstoši Ministru kabineta 2018.gada 28.augusta noteikumos Nr.555 “Veselības aprūpes organizēšanas un samaksas kārtība” noteiktajam </w:t>
      </w:r>
      <w:r>
        <w:rPr>
          <w:rFonts w:ascii="Times New Roman" w:hAnsi="Times New Roman" w:cs="Times New Roman"/>
          <w:sz w:val="24"/>
          <w:szCs w:val="24"/>
        </w:rPr>
        <w:t xml:space="preserve">slimnīcas </w:t>
      </w:r>
      <w:r w:rsidRPr="0070062A">
        <w:rPr>
          <w:rFonts w:ascii="Times New Roman" w:hAnsi="Times New Roman" w:cs="Times New Roman"/>
          <w:sz w:val="24"/>
          <w:szCs w:val="24"/>
        </w:rPr>
        <w:t>līmenim.</w:t>
      </w:r>
      <w:r>
        <w:rPr>
          <w:rStyle w:val="FootnoteReference"/>
          <w:rFonts w:ascii="Times New Roman" w:hAnsi="Times New Roman" w:cs="Times New Roman"/>
          <w:sz w:val="24"/>
          <w:szCs w:val="24"/>
        </w:rPr>
        <w:footnoteReference w:id="18"/>
      </w:r>
      <w:r w:rsidRPr="0070062A">
        <w:rPr>
          <w:rFonts w:ascii="Times New Roman" w:hAnsi="Times New Roman" w:cs="Times New Roman"/>
          <w:sz w:val="24"/>
          <w:szCs w:val="24"/>
        </w:rPr>
        <w:t xml:space="preserve"> VI 2019.gada rudenī ir veikusi pārbaudes 10 slimnīcās, kur viens no </w:t>
      </w:r>
      <w:r>
        <w:rPr>
          <w:rFonts w:ascii="Times New Roman" w:hAnsi="Times New Roman" w:cs="Times New Roman"/>
          <w:sz w:val="24"/>
          <w:szCs w:val="24"/>
        </w:rPr>
        <w:t xml:space="preserve">vērtēšanas </w:t>
      </w:r>
      <w:r w:rsidRPr="0070062A">
        <w:rPr>
          <w:rFonts w:ascii="Times New Roman" w:hAnsi="Times New Roman" w:cs="Times New Roman"/>
          <w:sz w:val="24"/>
          <w:szCs w:val="24"/>
        </w:rPr>
        <w:t xml:space="preserve">kritērijiem bija speciālistu skaita uzņemšanas nodaļās atbilstība noteiktajam slimnīcas līmenim. Pēc provizoriskiem datiem 30% slimnīcas neatbilst noteiktajam līmenim un līmenis būtu jāpārskata. </w:t>
      </w:r>
      <w:r>
        <w:rPr>
          <w:rFonts w:ascii="Times New Roman" w:hAnsi="Times New Roman" w:cs="Times New Roman"/>
          <w:sz w:val="24"/>
          <w:szCs w:val="24"/>
        </w:rPr>
        <w:t>Slimnīcas līmeņa pārskatīšanas shēma pievienota šī ziņojuma 1.pielikumā.</w:t>
      </w:r>
    </w:p>
    <w:p w14:paraId="7A37A673" w14:textId="77777777" w:rsidR="00C63247" w:rsidRPr="00BE16CF" w:rsidRDefault="00C63247" w:rsidP="00C63247">
      <w:p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lastRenderedPageBreak/>
        <w:t>Slimnīcu auditā  piedalās seši VI darbinieki, kuru amata pienākumos ietilpst ārstniecības iestāžu un medicīnisko ierīču kontroles jautājumi. Audita laikā tiek veikta un vērtēta:</w:t>
      </w:r>
    </w:p>
    <w:p w14:paraId="43F98BA1"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darba organizācijas kvalitāte un specifika (veicot intervijas ar slimnīcas vadību, ārstniecības personām un pacientiem);</w:t>
      </w:r>
    </w:p>
    <w:p w14:paraId="576E7116"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ārstniecības personas, kuras pārbaudes laikā faktiski atradās uz vietas slimnīcā atbilstoši slimnīcas nodaļu dežūras grafikiem;</w:t>
      </w:r>
    </w:p>
    <w:p w14:paraId="42F52B6A"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faktisko pacientu un gultu skaits nodaļās pārbaudes brīdī;</w:t>
      </w:r>
    </w:p>
    <w:p w14:paraId="528F53DA"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obligātajās prasībās noteikto medicīnas ierīču esamība uzņemšanas, intensīvās terapijas un radioloģijas nodaļās, kompetencei atbilstošas ārstniecības personas un faktiskā diagnostiskā pakalpojuma sniegšanas procesa gaita;</w:t>
      </w:r>
    </w:p>
    <w:p w14:paraId="5F90C3EF"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izņemtas darba laika uzskaites tabulas par 2019.gada jūniju un septembri, oktobra un decembra dežūru grafiki,( dežūrārstiem, dežūrradiologiem un radiologu asistentiem, ārstiem pa nodaļām) un kopijas no operāciju žurnāla (jūnijs, septembris un oktobris);</w:t>
      </w:r>
    </w:p>
    <w:p w14:paraId="4FB99DB0"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aktuālais strādājošo ārstniecības personu saraksts pa nodaļām, ieskaitot rezidentus, ar norādi par rezidentūras gadu. Rīkojumi par rezidentu uzraudzību/vadību.</w:t>
      </w:r>
    </w:p>
    <w:p w14:paraId="1EE33810"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sniegtos ķirurģiskos pakalpojumu daudzums un kvalitāte atbilstoši ierakstiem operāciju žurnālā;</w:t>
      </w:r>
    </w:p>
    <w:p w14:paraId="0DEA9076"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slimnīcas sniegto neatliekamās medicīniskās palīdzības pakalpojumu pieejamība atbilstoši NVD tīmekļa vietnē izvietotajam slimnieku hospitalizācijas vietu plānam (turpmāk – Hospitalizācijas plāns) saistībā ar faktisko ārstniecības personāla sarakstu un slimnīcā pieejamo aprīkojumu;</w:t>
      </w:r>
    </w:p>
    <w:p w14:paraId="7AB4BFC0"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informācija no pacientu hospitalizācijas, pārvešanas un atteikumu žurnāla;</w:t>
      </w:r>
    </w:p>
    <w:p w14:paraId="032D347F" w14:textId="77777777" w:rsidR="00C63247" w:rsidRPr="00BE16CF" w:rsidRDefault="00C63247" w:rsidP="00C63247">
      <w:pPr>
        <w:pStyle w:val="ListParagraph"/>
        <w:numPr>
          <w:ilvl w:val="0"/>
          <w:numId w:val="59"/>
        </w:num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aktuālais gultu skaits un pacientu skaits.</w:t>
      </w:r>
    </w:p>
    <w:p w14:paraId="78439678" w14:textId="77777777" w:rsidR="00C63247" w:rsidRPr="001B2708" w:rsidRDefault="00C63247" w:rsidP="00C63247">
      <w:pPr>
        <w:spacing w:after="120" w:line="240" w:lineRule="auto"/>
        <w:jc w:val="both"/>
        <w:rPr>
          <w:rFonts w:ascii="Times New Roman" w:hAnsi="Times New Roman" w:cs="Times New Roman"/>
          <w:color w:val="C45911" w:themeColor="accent2" w:themeShade="BF"/>
          <w:sz w:val="24"/>
          <w:szCs w:val="24"/>
        </w:rPr>
      </w:pPr>
      <w:r w:rsidRPr="001B2708">
        <w:rPr>
          <w:rFonts w:ascii="Times New Roman" w:hAnsi="Times New Roman" w:cs="Times New Roman"/>
          <w:sz w:val="24"/>
          <w:szCs w:val="24"/>
        </w:rPr>
        <w:t xml:space="preserve">Lai uzlabotu slimnīcu infrastruktūru, 2017. gadā uzsākta ES fondu </w:t>
      </w:r>
      <w:r w:rsidRPr="001B2708">
        <w:rPr>
          <w:rFonts w:ascii="Times New Roman" w:hAnsi="Times New Roman" w:cs="Times New Roman"/>
          <w:b/>
          <w:sz w:val="24"/>
          <w:szCs w:val="24"/>
        </w:rPr>
        <w:t>investīciju projektu īstenošana</w:t>
      </w:r>
      <w:r w:rsidRPr="001B2708">
        <w:rPr>
          <w:rFonts w:ascii="Times New Roman" w:hAnsi="Times New Roman" w:cs="Times New Roman"/>
          <w:sz w:val="24"/>
          <w:szCs w:val="24"/>
        </w:rPr>
        <w:t xml:space="preserve"> 10 V un IV līmeņa slimnīcās, kā arī 3 </w:t>
      </w:r>
      <w:r>
        <w:rPr>
          <w:rFonts w:ascii="Times New Roman" w:hAnsi="Times New Roman" w:cs="Times New Roman"/>
          <w:sz w:val="24"/>
          <w:szCs w:val="24"/>
        </w:rPr>
        <w:t xml:space="preserve">V līmeņa </w:t>
      </w:r>
      <w:r w:rsidRPr="001B2708">
        <w:rPr>
          <w:rFonts w:ascii="Times New Roman" w:hAnsi="Times New Roman" w:cs="Times New Roman"/>
          <w:sz w:val="24"/>
          <w:szCs w:val="24"/>
        </w:rPr>
        <w:t>specializētajās slimnīcās, kas nodrošina rehabilitācijas, dzemdību palīdzības un traumatoloģijas pakalpojumu sniegšanu.</w:t>
      </w:r>
      <w:r w:rsidRPr="00670E26">
        <w:t xml:space="preserve"> </w:t>
      </w:r>
      <w:r w:rsidRPr="001B2708">
        <w:rPr>
          <w:rFonts w:ascii="Times New Roman" w:hAnsi="Times New Roman" w:cs="Times New Roman"/>
          <w:sz w:val="24"/>
          <w:szCs w:val="24"/>
        </w:rPr>
        <w:t xml:space="preserve">2018. gadā uzsākta ES fondu investīciju projektu īstenošana 18 I, II un III līmeņa slimnīcās un 4 steidzamās medicīniskās palīdzības pakalpojumu sniedzēju iestādēs. </w:t>
      </w:r>
    </w:p>
    <w:p w14:paraId="53F06B7C"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Lai uzlabotu veselības aprūpes pakalpojumu kvalitāti un efektivitāti, </w:t>
      </w:r>
      <w:r w:rsidRPr="00670E26">
        <w:rPr>
          <w:rFonts w:ascii="Times New Roman" w:hAnsi="Times New Roman" w:cs="Times New Roman"/>
          <w:sz w:val="24"/>
          <w:szCs w:val="24"/>
        </w:rPr>
        <w:t xml:space="preserve">2017.gadā nodefinētas </w:t>
      </w:r>
      <w:r w:rsidRPr="00670E26">
        <w:rPr>
          <w:rFonts w:ascii="Times New Roman" w:hAnsi="Times New Roman" w:cs="Times New Roman"/>
          <w:b/>
          <w:sz w:val="24"/>
          <w:szCs w:val="24"/>
        </w:rPr>
        <w:t>slimnīcu sadarbības teritorijas</w:t>
      </w:r>
      <w:r w:rsidRPr="00670E26">
        <w:rPr>
          <w:rFonts w:ascii="Times New Roman" w:hAnsi="Times New Roman" w:cs="Times New Roman"/>
          <w:sz w:val="24"/>
          <w:szCs w:val="24"/>
        </w:rPr>
        <w:t xml:space="preserve"> un I, II un III līmeņa slimnīcām piešķirts ERAF finansējums sadarbības teritoriju attīstībai. Izvērtējot 2018.gada slimnīcu sadarbības līgumu izpildi, secināts, ka visas teritorijas </w:t>
      </w:r>
      <w:r w:rsidRPr="00670E26">
        <w:rPr>
          <w:rFonts w:ascii="Times New Roman" w:hAnsi="Times New Roman" w:cs="Times New Roman"/>
          <w:b/>
          <w:bCs/>
          <w:sz w:val="24"/>
          <w:szCs w:val="24"/>
        </w:rPr>
        <w:t>ir īstenojušas sadarbību</w:t>
      </w:r>
      <w:r w:rsidRPr="00670E26">
        <w:rPr>
          <w:rFonts w:ascii="Times New Roman" w:hAnsi="Times New Roman" w:cs="Times New Roman"/>
          <w:sz w:val="24"/>
          <w:szCs w:val="24"/>
        </w:rPr>
        <w:t xml:space="preserve"> saskaņā ar noslēgtajiem līgumiem</w:t>
      </w:r>
      <w:r w:rsidRPr="00DD1266">
        <w:rPr>
          <w:rFonts w:ascii="Times New Roman" w:hAnsi="Times New Roman" w:cs="Times New Roman"/>
          <w:sz w:val="24"/>
          <w:szCs w:val="24"/>
        </w:rPr>
        <w:t>.</w:t>
      </w:r>
      <w:r w:rsidRPr="0070062A">
        <w:rPr>
          <w:rFonts w:ascii="Times New Roman" w:hAnsi="Times New Roman" w:cs="Times New Roman"/>
          <w:sz w:val="24"/>
          <w:szCs w:val="24"/>
        </w:rPr>
        <w:t xml:space="preserve"> Labās prakses sadarbības piemēri ir: kopīgu procedūru izstrāde pacientu plūsmai starp dažādu līmeņu slimnīcām, kopīga cilvēkresursu plānošana sadarbības teritorijā, kopēja veselības pakalpojumu sniegšanas plānošana utt. Attīstot slimnīcu sadarbību, paredzēts izstrādāt veselības aprūpes pakalpojumu plānošanas stratēģiju slimnīcu sadarbības teritorijām un vadlīnijas veselības aprūpes iestādēm attiecībā uz telemedicīnas pakalpojumu ieviešanu un nodrošināšanu.</w:t>
      </w:r>
      <w:r w:rsidRPr="0070062A">
        <w:rPr>
          <w:rStyle w:val="FootnoteReference"/>
          <w:rFonts w:ascii="Times New Roman" w:hAnsi="Times New Roman" w:cs="Times New Roman"/>
          <w:sz w:val="24"/>
          <w:szCs w:val="24"/>
        </w:rPr>
        <w:footnoteReference w:id="19"/>
      </w:r>
    </w:p>
    <w:p w14:paraId="6711253B" w14:textId="77777777" w:rsidR="00E3543E" w:rsidRDefault="00E3543E">
      <w:pPr>
        <w:rPr>
          <w:rFonts w:ascii="Times New Roman" w:hAnsi="Times New Roman" w:cs="Times New Roman"/>
          <w:b/>
          <w:sz w:val="24"/>
          <w:szCs w:val="24"/>
        </w:rPr>
      </w:pPr>
      <w:r>
        <w:rPr>
          <w:rFonts w:ascii="Times New Roman" w:hAnsi="Times New Roman" w:cs="Times New Roman"/>
          <w:b/>
          <w:sz w:val="24"/>
          <w:szCs w:val="24"/>
        </w:rPr>
        <w:br w:type="page"/>
      </w:r>
    </w:p>
    <w:p w14:paraId="4958688F" w14:textId="6E4BA54B" w:rsidR="00C63247" w:rsidRPr="0031101B" w:rsidRDefault="00C63247" w:rsidP="00C63247">
      <w:pPr>
        <w:pStyle w:val="CommentText"/>
        <w:spacing w:before="120"/>
        <w:jc w:val="center"/>
        <w:rPr>
          <w:rFonts w:ascii="Times New Roman" w:hAnsi="Times New Roman" w:cs="Times New Roman"/>
          <w:b/>
          <w:sz w:val="24"/>
          <w:szCs w:val="24"/>
        </w:rPr>
      </w:pPr>
      <w:r w:rsidRPr="0031101B">
        <w:rPr>
          <w:rFonts w:ascii="Times New Roman" w:hAnsi="Times New Roman" w:cs="Times New Roman"/>
          <w:b/>
          <w:sz w:val="24"/>
          <w:szCs w:val="24"/>
        </w:rPr>
        <w:lastRenderedPageBreak/>
        <w:t>Slimnīcu sadarbības teritorijas</w:t>
      </w:r>
    </w:p>
    <w:tbl>
      <w:tblPr>
        <w:tblW w:w="9531" w:type="dxa"/>
        <w:tblLook w:val="04A0" w:firstRow="1" w:lastRow="0" w:firstColumn="1" w:lastColumn="0" w:noHBand="0" w:noVBand="1"/>
      </w:tblPr>
      <w:tblGrid>
        <w:gridCol w:w="5800"/>
        <w:gridCol w:w="1231"/>
        <w:gridCol w:w="1520"/>
        <w:gridCol w:w="980"/>
      </w:tblGrid>
      <w:tr w:rsidR="00C63247" w:rsidRPr="0070062A" w14:paraId="5ECDE5DA" w14:textId="77777777" w:rsidTr="00295180">
        <w:trPr>
          <w:trHeight w:val="1265"/>
        </w:trPr>
        <w:tc>
          <w:tcPr>
            <w:tcW w:w="5800" w:type="dxa"/>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5FB02118" w14:textId="77777777" w:rsidR="00C63247" w:rsidRPr="0070062A" w:rsidRDefault="00C63247" w:rsidP="00295180">
            <w:pPr>
              <w:spacing w:after="0" w:line="240" w:lineRule="auto"/>
              <w:jc w:val="center"/>
              <w:rPr>
                <w:rFonts w:ascii="Times New Roman" w:eastAsia="Times New Roman" w:hAnsi="Times New Roman" w:cs="Times New Roman"/>
                <w:b/>
                <w:i/>
                <w:color w:val="000000"/>
                <w:lang w:eastAsia="lv-LV"/>
              </w:rPr>
            </w:pPr>
            <w:r w:rsidRPr="0070062A">
              <w:rPr>
                <w:rFonts w:ascii="Times New Roman" w:eastAsia="Times New Roman" w:hAnsi="Times New Roman" w:cs="Times New Roman"/>
                <w:b/>
                <w:i/>
                <w:color w:val="000000"/>
                <w:lang w:eastAsia="lv-LV"/>
              </w:rPr>
              <w:t>Slimnīca</w:t>
            </w:r>
          </w:p>
        </w:tc>
        <w:tc>
          <w:tcPr>
            <w:tcW w:w="1231" w:type="dxa"/>
            <w:tcBorders>
              <w:top w:val="single" w:sz="4" w:space="0" w:color="auto"/>
              <w:left w:val="single" w:sz="4" w:space="0" w:color="auto"/>
              <w:bottom w:val="single" w:sz="4" w:space="0" w:color="000000"/>
              <w:right w:val="single" w:sz="4" w:space="0" w:color="auto"/>
            </w:tcBorders>
            <w:shd w:val="clear" w:color="000000" w:fill="C6E0B4"/>
            <w:vAlign w:val="center"/>
            <w:hideMark/>
          </w:tcPr>
          <w:p w14:paraId="02F28C2F" w14:textId="77777777" w:rsidR="00C63247" w:rsidRPr="0070062A" w:rsidRDefault="00C63247" w:rsidP="00295180">
            <w:pPr>
              <w:spacing w:after="0" w:line="240" w:lineRule="auto"/>
              <w:jc w:val="center"/>
              <w:rPr>
                <w:rFonts w:ascii="Times New Roman" w:eastAsia="Times New Roman" w:hAnsi="Times New Roman" w:cs="Times New Roman"/>
                <w:b/>
                <w:i/>
                <w:color w:val="000000"/>
                <w:lang w:eastAsia="lv-LV"/>
              </w:rPr>
            </w:pPr>
            <w:r w:rsidRPr="0070062A">
              <w:rPr>
                <w:rFonts w:ascii="Times New Roman" w:eastAsia="Times New Roman" w:hAnsi="Times New Roman" w:cs="Times New Roman"/>
                <w:b/>
                <w:i/>
                <w:color w:val="000000"/>
                <w:lang w:eastAsia="lv-LV"/>
              </w:rPr>
              <w:t>Sadarbības teritorija</w:t>
            </w:r>
          </w:p>
        </w:tc>
        <w:tc>
          <w:tcPr>
            <w:tcW w:w="1520" w:type="dxa"/>
            <w:tcBorders>
              <w:top w:val="single" w:sz="4" w:space="0" w:color="auto"/>
              <w:left w:val="single" w:sz="4" w:space="0" w:color="auto"/>
              <w:bottom w:val="single" w:sz="4" w:space="0" w:color="000000"/>
              <w:right w:val="single" w:sz="4" w:space="0" w:color="auto"/>
            </w:tcBorders>
            <w:shd w:val="clear" w:color="000000" w:fill="C6E0B4"/>
            <w:vAlign w:val="center"/>
            <w:hideMark/>
          </w:tcPr>
          <w:p w14:paraId="2DF8A138" w14:textId="77777777" w:rsidR="00C63247" w:rsidRPr="0070062A" w:rsidRDefault="00C63247" w:rsidP="00295180">
            <w:pPr>
              <w:spacing w:after="0" w:line="240" w:lineRule="auto"/>
              <w:jc w:val="center"/>
              <w:rPr>
                <w:rFonts w:ascii="Times New Roman" w:eastAsia="Times New Roman" w:hAnsi="Times New Roman" w:cs="Times New Roman"/>
                <w:b/>
                <w:i/>
                <w:color w:val="000000"/>
                <w:lang w:eastAsia="lv-LV"/>
              </w:rPr>
            </w:pPr>
            <w:r w:rsidRPr="0070062A">
              <w:rPr>
                <w:rFonts w:ascii="Times New Roman" w:eastAsia="Times New Roman" w:hAnsi="Times New Roman" w:cs="Times New Roman"/>
                <w:b/>
                <w:i/>
                <w:color w:val="000000"/>
                <w:lang w:eastAsia="lv-LV"/>
              </w:rPr>
              <w:t>Vai ir sadarbība ar 4. un 5.līmeņa slimnīcu?</w:t>
            </w:r>
          </w:p>
        </w:tc>
        <w:tc>
          <w:tcPr>
            <w:tcW w:w="980" w:type="dxa"/>
            <w:tcBorders>
              <w:top w:val="single" w:sz="4" w:space="0" w:color="auto"/>
              <w:left w:val="single" w:sz="4" w:space="0" w:color="auto"/>
              <w:bottom w:val="single" w:sz="4" w:space="0" w:color="000000"/>
              <w:right w:val="single" w:sz="4" w:space="0" w:color="auto"/>
            </w:tcBorders>
            <w:shd w:val="clear" w:color="000000" w:fill="C6E0B4"/>
            <w:vAlign w:val="center"/>
            <w:hideMark/>
          </w:tcPr>
          <w:p w14:paraId="364DB963" w14:textId="77777777" w:rsidR="00C63247" w:rsidRPr="0070062A" w:rsidRDefault="00C63247" w:rsidP="00295180">
            <w:pPr>
              <w:spacing w:after="0" w:line="240" w:lineRule="auto"/>
              <w:jc w:val="center"/>
              <w:rPr>
                <w:rFonts w:ascii="Times New Roman" w:eastAsia="Times New Roman" w:hAnsi="Times New Roman" w:cs="Times New Roman"/>
                <w:b/>
                <w:i/>
                <w:color w:val="000000"/>
                <w:lang w:eastAsia="lv-LV"/>
              </w:rPr>
            </w:pPr>
            <w:r w:rsidRPr="0070062A">
              <w:rPr>
                <w:rFonts w:ascii="Times New Roman" w:eastAsia="Times New Roman" w:hAnsi="Times New Roman" w:cs="Times New Roman"/>
                <w:b/>
                <w:i/>
                <w:color w:val="000000"/>
                <w:lang w:eastAsia="lv-LV"/>
              </w:rPr>
              <w:t>Līmenis</w:t>
            </w:r>
          </w:p>
        </w:tc>
      </w:tr>
      <w:tr w:rsidR="00C63247" w:rsidRPr="0070062A" w14:paraId="1D9BB87C"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1BF7C2B3"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"Balvu un Gulbenes slimnīcu apvienība"</w:t>
            </w:r>
          </w:p>
        </w:tc>
        <w:tc>
          <w:tcPr>
            <w:tcW w:w="1231" w:type="dxa"/>
            <w:tcBorders>
              <w:top w:val="nil"/>
              <w:left w:val="nil"/>
              <w:bottom w:val="single" w:sz="4" w:space="0" w:color="auto"/>
              <w:right w:val="single" w:sz="4" w:space="0" w:color="auto"/>
            </w:tcBorders>
            <w:shd w:val="clear" w:color="auto" w:fill="auto"/>
            <w:vAlign w:val="center"/>
            <w:hideMark/>
          </w:tcPr>
          <w:p w14:paraId="0AF51317"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Rēzekne</w:t>
            </w:r>
          </w:p>
        </w:tc>
        <w:tc>
          <w:tcPr>
            <w:tcW w:w="1520" w:type="dxa"/>
            <w:tcBorders>
              <w:top w:val="nil"/>
              <w:left w:val="nil"/>
              <w:bottom w:val="single" w:sz="4" w:space="0" w:color="auto"/>
              <w:right w:val="single" w:sz="4" w:space="0" w:color="auto"/>
            </w:tcBorders>
            <w:shd w:val="clear" w:color="auto" w:fill="auto"/>
            <w:vAlign w:val="center"/>
            <w:hideMark/>
          </w:tcPr>
          <w:p w14:paraId="76EA0676"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0B06C40C"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3</w:t>
            </w:r>
          </w:p>
        </w:tc>
      </w:tr>
      <w:tr w:rsidR="00C63247" w:rsidRPr="0070062A" w14:paraId="27113837"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A012265"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"Cēsu klīnika"</w:t>
            </w:r>
          </w:p>
        </w:tc>
        <w:tc>
          <w:tcPr>
            <w:tcW w:w="1231" w:type="dxa"/>
            <w:tcBorders>
              <w:top w:val="nil"/>
              <w:left w:val="nil"/>
              <w:bottom w:val="single" w:sz="4" w:space="0" w:color="auto"/>
              <w:right w:val="single" w:sz="4" w:space="0" w:color="auto"/>
            </w:tcBorders>
            <w:shd w:val="clear" w:color="auto" w:fill="auto"/>
            <w:vAlign w:val="center"/>
            <w:hideMark/>
          </w:tcPr>
          <w:p w14:paraId="1891631F"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Valmiera</w:t>
            </w:r>
          </w:p>
        </w:tc>
        <w:tc>
          <w:tcPr>
            <w:tcW w:w="1520" w:type="dxa"/>
            <w:tcBorders>
              <w:top w:val="nil"/>
              <w:left w:val="nil"/>
              <w:bottom w:val="single" w:sz="4" w:space="0" w:color="auto"/>
              <w:right w:val="single" w:sz="4" w:space="0" w:color="auto"/>
            </w:tcBorders>
            <w:shd w:val="clear" w:color="auto" w:fill="auto"/>
            <w:vAlign w:val="center"/>
            <w:hideMark/>
          </w:tcPr>
          <w:p w14:paraId="1C945B6E"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02844329"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3</w:t>
            </w:r>
          </w:p>
        </w:tc>
      </w:tr>
      <w:tr w:rsidR="00C63247" w:rsidRPr="0070062A" w14:paraId="4C47992A"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AA651ED"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"Kuldīgas slimnīca"</w:t>
            </w:r>
          </w:p>
        </w:tc>
        <w:tc>
          <w:tcPr>
            <w:tcW w:w="1231" w:type="dxa"/>
            <w:tcBorders>
              <w:top w:val="nil"/>
              <w:left w:val="nil"/>
              <w:bottom w:val="single" w:sz="4" w:space="0" w:color="auto"/>
              <w:right w:val="single" w:sz="4" w:space="0" w:color="auto"/>
            </w:tcBorders>
            <w:shd w:val="clear" w:color="auto" w:fill="auto"/>
            <w:vAlign w:val="center"/>
            <w:hideMark/>
          </w:tcPr>
          <w:p w14:paraId="39A1C791"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Liepāja</w:t>
            </w:r>
          </w:p>
        </w:tc>
        <w:tc>
          <w:tcPr>
            <w:tcW w:w="1520" w:type="dxa"/>
            <w:tcBorders>
              <w:top w:val="nil"/>
              <w:left w:val="nil"/>
              <w:bottom w:val="single" w:sz="4" w:space="0" w:color="auto"/>
              <w:right w:val="single" w:sz="4" w:space="0" w:color="auto"/>
            </w:tcBorders>
            <w:shd w:val="clear" w:color="auto" w:fill="auto"/>
            <w:vAlign w:val="center"/>
            <w:hideMark/>
          </w:tcPr>
          <w:p w14:paraId="0E71D0AF"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3F5F763B"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3</w:t>
            </w:r>
          </w:p>
        </w:tc>
      </w:tr>
      <w:tr w:rsidR="00C63247" w:rsidRPr="0070062A" w14:paraId="7367EA59"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1CBB107"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"Alūksnes slimnīca"</w:t>
            </w:r>
          </w:p>
        </w:tc>
        <w:tc>
          <w:tcPr>
            <w:tcW w:w="1231" w:type="dxa"/>
            <w:tcBorders>
              <w:top w:val="nil"/>
              <w:left w:val="nil"/>
              <w:bottom w:val="single" w:sz="4" w:space="0" w:color="auto"/>
              <w:right w:val="single" w:sz="4" w:space="0" w:color="auto"/>
            </w:tcBorders>
            <w:shd w:val="clear" w:color="auto" w:fill="auto"/>
            <w:vAlign w:val="center"/>
            <w:hideMark/>
          </w:tcPr>
          <w:p w14:paraId="2E535267"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Valmiera</w:t>
            </w:r>
          </w:p>
        </w:tc>
        <w:tc>
          <w:tcPr>
            <w:tcW w:w="1520" w:type="dxa"/>
            <w:tcBorders>
              <w:top w:val="nil"/>
              <w:left w:val="nil"/>
              <w:bottom w:val="single" w:sz="4" w:space="0" w:color="auto"/>
              <w:right w:val="single" w:sz="4" w:space="0" w:color="auto"/>
            </w:tcBorders>
            <w:shd w:val="clear" w:color="auto" w:fill="auto"/>
            <w:vAlign w:val="center"/>
            <w:hideMark/>
          </w:tcPr>
          <w:p w14:paraId="4D8D12CF"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38175D6D"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2</w:t>
            </w:r>
          </w:p>
        </w:tc>
      </w:tr>
      <w:tr w:rsidR="00C63247" w:rsidRPr="0070062A" w14:paraId="24F51C94"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74964AAB"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"Krāslavas slimnīca"</w:t>
            </w:r>
          </w:p>
        </w:tc>
        <w:tc>
          <w:tcPr>
            <w:tcW w:w="1231" w:type="dxa"/>
            <w:tcBorders>
              <w:top w:val="nil"/>
              <w:left w:val="nil"/>
              <w:bottom w:val="single" w:sz="4" w:space="0" w:color="auto"/>
              <w:right w:val="single" w:sz="4" w:space="0" w:color="auto"/>
            </w:tcBorders>
            <w:shd w:val="clear" w:color="auto" w:fill="auto"/>
            <w:vAlign w:val="center"/>
            <w:hideMark/>
          </w:tcPr>
          <w:p w14:paraId="44BB8984"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Daugavpils</w:t>
            </w:r>
          </w:p>
        </w:tc>
        <w:tc>
          <w:tcPr>
            <w:tcW w:w="1520" w:type="dxa"/>
            <w:tcBorders>
              <w:top w:val="nil"/>
              <w:left w:val="nil"/>
              <w:bottom w:val="single" w:sz="4" w:space="0" w:color="auto"/>
              <w:right w:val="single" w:sz="4" w:space="0" w:color="auto"/>
            </w:tcBorders>
            <w:shd w:val="clear" w:color="auto" w:fill="auto"/>
            <w:vAlign w:val="center"/>
            <w:hideMark/>
          </w:tcPr>
          <w:p w14:paraId="69976F7B"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719CBC6A"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2</w:t>
            </w:r>
          </w:p>
        </w:tc>
      </w:tr>
      <w:tr w:rsidR="00C63247" w:rsidRPr="0070062A" w14:paraId="2E4F73A9"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6A562D29"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"Preiļu slimnīca"</w:t>
            </w:r>
          </w:p>
        </w:tc>
        <w:tc>
          <w:tcPr>
            <w:tcW w:w="1231" w:type="dxa"/>
            <w:tcBorders>
              <w:top w:val="nil"/>
              <w:left w:val="nil"/>
              <w:bottom w:val="single" w:sz="4" w:space="0" w:color="auto"/>
              <w:right w:val="single" w:sz="4" w:space="0" w:color="auto"/>
            </w:tcBorders>
            <w:shd w:val="clear" w:color="auto" w:fill="auto"/>
            <w:vAlign w:val="center"/>
            <w:hideMark/>
          </w:tcPr>
          <w:p w14:paraId="070F5E1B"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Daugavpils</w:t>
            </w:r>
          </w:p>
        </w:tc>
        <w:tc>
          <w:tcPr>
            <w:tcW w:w="1520" w:type="dxa"/>
            <w:tcBorders>
              <w:top w:val="nil"/>
              <w:left w:val="nil"/>
              <w:bottom w:val="single" w:sz="4" w:space="0" w:color="auto"/>
              <w:right w:val="single" w:sz="4" w:space="0" w:color="auto"/>
            </w:tcBorders>
            <w:shd w:val="clear" w:color="auto" w:fill="auto"/>
            <w:vAlign w:val="center"/>
            <w:hideMark/>
          </w:tcPr>
          <w:p w14:paraId="7399EDF9"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734B6430"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2</w:t>
            </w:r>
          </w:p>
        </w:tc>
      </w:tr>
      <w:tr w:rsidR="00C63247" w:rsidRPr="0070062A" w14:paraId="435C1B87"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914D55D"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Līvānu novada domes pašvaldības SIA "Līvānu slimnīca"</w:t>
            </w:r>
          </w:p>
        </w:tc>
        <w:tc>
          <w:tcPr>
            <w:tcW w:w="1231" w:type="dxa"/>
            <w:tcBorders>
              <w:top w:val="nil"/>
              <w:left w:val="nil"/>
              <w:bottom w:val="single" w:sz="4" w:space="0" w:color="auto"/>
              <w:right w:val="single" w:sz="4" w:space="0" w:color="auto"/>
            </w:tcBorders>
            <w:shd w:val="clear" w:color="auto" w:fill="auto"/>
            <w:vAlign w:val="center"/>
            <w:hideMark/>
          </w:tcPr>
          <w:p w14:paraId="6F4A28C0"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Jēkabpils</w:t>
            </w:r>
          </w:p>
        </w:tc>
        <w:tc>
          <w:tcPr>
            <w:tcW w:w="1520" w:type="dxa"/>
            <w:tcBorders>
              <w:top w:val="nil"/>
              <w:left w:val="nil"/>
              <w:bottom w:val="single" w:sz="4" w:space="0" w:color="auto"/>
              <w:right w:val="single" w:sz="4" w:space="0" w:color="auto"/>
            </w:tcBorders>
            <w:shd w:val="clear" w:color="auto" w:fill="auto"/>
            <w:vAlign w:val="center"/>
            <w:hideMark/>
          </w:tcPr>
          <w:p w14:paraId="0B0A3109"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2107CD4F"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1</w:t>
            </w:r>
          </w:p>
        </w:tc>
      </w:tr>
      <w:tr w:rsidR="00C63247" w:rsidRPr="0070062A" w14:paraId="4B48E242"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3F98DCFD"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"Limbažu slimnīca"</w:t>
            </w:r>
          </w:p>
        </w:tc>
        <w:tc>
          <w:tcPr>
            <w:tcW w:w="1231" w:type="dxa"/>
            <w:tcBorders>
              <w:top w:val="nil"/>
              <w:left w:val="nil"/>
              <w:bottom w:val="single" w:sz="4" w:space="0" w:color="auto"/>
              <w:right w:val="single" w:sz="4" w:space="0" w:color="auto"/>
            </w:tcBorders>
            <w:shd w:val="clear" w:color="auto" w:fill="auto"/>
            <w:vAlign w:val="center"/>
            <w:hideMark/>
          </w:tcPr>
          <w:p w14:paraId="6662B2AB"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Valmiera</w:t>
            </w:r>
          </w:p>
        </w:tc>
        <w:tc>
          <w:tcPr>
            <w:tcW w:w="1520" w:type="dxa"/>
            <w:tcBorders>
              <w:top w:val="nil"/>
              <w:left w:val="nil"/>
              <w:bottom w:val="single" w:sz="4" w:space="0" w:color="auto"/>
              <w:right w:val="single" w:sz="4" w:space="0" w:color="auto"/>
            </w:tcBorders>
            <w:shd w:val="clear" w:color="auto" w:fill="auto"/>
            <w:vAlign w:val="center"/>
            <w:hideMark/>
          </w:tcPr>
          <w:p w14:paraId="736D4560"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420B6C5C"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1</w:t>
            </w:r>
          </w:p>
        </w:tc>
      </w:tr>
      <w:tr w:rsidR="00C63247" w:rsidRPr="0070062A" w14:paraId="264C4E4B"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61CD9D7"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"Saldus medicīnas centrs"</w:t>
            </w:r>
          </w:p>
        </w:tc>
        <w:tc>
          <w:tcPr>
            <w:tcW w:w="1231" w:type="dxa"/>
            <w:tcBorders>
              <w:top w:val="nil"/>
              <w:left w:val="nil"/>
              <w:bottom w:val="single" w:sz="4" w:space="0" w:color="auto"/>
              <w:right w:val="single" w:sz="4" w:space="0" w:color="auto"/>
            </w:tcBorders>
            <w:shd w:val="clear" w:color="auto" w:fill="auto"/>
            <w:vAlign w:val="center"/>
            <w:hideMark/>
          </w:tcPr>
          <w:p w14:paraId="5BDDDB1B"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Liepāja</w:t>
            </w:r>
          </w:p>
        </w:tc>
        <w:tc>
          <w:tcPr>
            <w:tcW w:w="1520" w:type="dxa"/>
            <w:tcBorders>
              <w:top w:val="nil"/>
              <w:left w:val="nil"/>
              <w:bottom w:val="single" w:sz="4" w:space="0" w:color="auto"/>
              <w:right w:val="single" w:sz="4" w:space="0" w:color="auto"/>
            </w:tcBorders>
            <w:shd w:val="clear" w:color="auto" w:fill="auto"/>
            <w:vAlign w:val="center"/>
            <w:hideMark/>
          </w:tcPr>
          <w:p w14:paraId="692B7804"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43A83028"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1</w:t>
            </w:r>
          </w:p>
        </w:tc>
      </w:tr>
      <w:tr w:rsidR="00C63247" w:rsidRPr="0070062A" w14:paraId="7E415E8F"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8644BF7"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Pašvaldības SIA "Saulkrastu slimnīca"</w:t>
            </w:r>
          </w:p>
        </w:tc>
        <w:tc>
          <w:tcPr>
            <w:tcW w:w="1231" w:type="dxa"/>
            <w:tcBorders>
              <w:top w:val="nil"/>
              <w:left w:val="nil"/>
              <w:bottom w:val="single" w:sz="4" w:space="0" w:color="auto"/>
              <w:right w:val="single" w:sz="4" w:space="0" w:color="auto"/>
            </w:tcBorders>
            <w:shd w:val="clear" w:color="auto" w:fill="auto"/>
            <w:vAlign w:val="center"/>
            <w:hideMark/>
          </w:tcPr>
          <w:p w14:paraId="1AC32FD4"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Rīga</w:t>
            </w:r>
          </w:p>
        </w:tc>
        <w:tc>
          <w:tcPr>
            <w:tcW w:w="1520" w:type="dxa"/>
            <w:tcBorders>
              <w:top w:val="nil"/>
              <w:left w:val="nil"/>
              <w:bottom w:val="single" w:sz="4" w:space="0" w:color="auto"/>
              <w:right w:val="single" w:sz="4" w:space="0" w:color="auto"/>
            </w:tcBorders>
            <w:shd w:val="clear" w:color="auto" w:fill="auto"/>
            <w:vAlign w:val="center"/>
            <w:hideMark/>
          </w:tcPr>
          <w:p w14:paraId="4D0E9D79"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44BC1368"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N/A</w:t>
            </w:r>
          </w:p>
        </w:tc>
      </w:tr>
      <w:tr w:rsidR="00C63247" w:rsidRPr="0070062A" w14:paraId="74DF9E49"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2CD595BA"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"Priekules slimnīca"</w:t>
            </w:r>
          </w:p>
        </w:tc>
        <w:tc>
          <w:tcPr>
            <w:tcW w:w="1231" w:type="dxa"/>
            <w:tcBorders>
              <w:top w:val="nil"/>
              <w:left w:val="nil"/>
              <w:bottom w:val="single" w:sz="4" w:space="0" w:color="auto"/>
              <w:right w:val="single" w:sz="4" w:space="0" w:color="auto"/>
            </w:tcBorders>
            <w:shd w:val="clear" w:color="auto" w:fill="auto"/>
            <w:vAlign w:val="center"/>
            <w:hideMark/>
          </w:tcPr>
          <w:p w14:paraId="18DDCB20"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Liepāja</w:t>
            </w:r>
          </w:p>
        </w:tc>
        <w:tc>
          <w:tcPr>
            <w:tcW w:w="1520" w:type="dxa"/>
            <w:tcBorders>
              <w:top w:val="nil"/>
              <w:left w:val="nil"/>
              <w:bottom w:val="single" w:sz="4" w:space="0" w:color="auto"/>
              <w:right w:val="single" w:sz="4" w:space="0" w:color="auto"/>
            </w:tcBorders>
            <w:shd w:val="clear" w:color="auto" w:fill="auto"/>
            <w:vAlign w:val="center"/>
            <w:hideMark/>
          </w:tcPr>
          <w:p w14:paraId="0FC65A34"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477F2C9F"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N/A</w:t>
            </w:r>
          </w:p>
        </w:tc>
      </w:tr>
      <w:tr w:rsidR="00C63247" w:rsidRPr="0070062A" w14:paraId="009FE9FC" w14:textId="77777777" w:rsidTr="00295180">
        <w:trPr>
          <w:trHeight w:val="312"/>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1C83E25"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SIA "Sarkanā Krusta Smiltenes slimnīca"</w:t>
            </w:r>
          </w:p>
        </w:tc>
        <w:tc>
          <w:tcPr>
            <w:tcW w:w="1231" w:type="dxa"/>
            <w:tcBorders>
              <w:top w:val="nil"/>
              <w:left w:val="nil"/>
              <w:bottom w:val="single" w:sz="4" w:space="0" w:color="auto"/>
              <w:right w:val="single" w:sz="4" w:space="0" w:color="auto"/>
            </w:tcBorders>
            <w:shd w:val="clear" w:color="auto" w:fill="auto"/>
            <w:vAlign w:val="center"/>
            <w:hideMark/>
          </w:tcPr>
          <w:p w14:paraId="3A04F360" w14:textId="77777777" w:rsidR="00C63247" w:rsidRPr="0070062A" w:rsidRDefault="00C63247" w:rsidP="00295180">
            <w:pPr>
              <w:spacing w:after="0" w:line="240" w:lineRule="auto"/>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Valmiera</w:t>
            </w:r>
          </w:p>
        </w:tc>
        <w:tc>
          <w:tcPr>
            <w:tcW w:w="1520" w:type="dxa"/>
            <w:tcBorders>
              <w:top w:val="nil"/>
              <w:left w:val="nil"/>
              <w:bottom w:val="single" w:sz="4" w:space="0" w:color="auto"/>
              <w:right w:val="single" w:sz="4" w:space="0" w:color="auto"/>
            </w:tcBorders>
            <w:shd w:val="clear" w:color="auto" w:fill="auto"/>
            <w:vAlign w:val="center"/>
            <w:hideMark/>
          </w:tcPr>
          <w:p w14:paraId="6AF96CDC"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Jā</w:t>
            </w:r>
          </w:p>
        </w:tc>
        <w:tc>
          <w:tcPr>
            <w:tcW w:w="980" w:type="dxa"/>
            <w:tcBorders>
              <w:top w:val="nil"/>
              <w:left w:val="nil"/>
              <w:bottom w:val="single" w:sz="4" w:space="0" w:color="auto"/>
              <w:right w:val="single" w:sz="4" w:space="0" w:color="auto"/>
            </w:tcBorders>
            <w:shd w:val="clear" w:color="auto" w:fill="auto"/>
            <w:vAlign w:val="center"/>
            <w:hideMark/>
          </w:tcPr>
          <w:p w14:paraId="7DD21C98" w14:textId="77777777" w:rsidR="00C63247" w:rsidRPr="0070062A" w:rsidRDefault="00C63247" w:rsidP="00295180">
            <w:pPr>
              <w:spacing w:after="0" w:line="240" w:lineRule="auto"/>
              <w:jc w:val="center"/>
              <w:rPr>
                <w:rFonts w:ascii="Times New Roman" w:eastAsia="Times New Roman" w:hAnsi="Times New Roman" w:cs="Times New Roman"/>
                <w:color w:val="000000"/>
                <w:lang w:eastAsia="lv-LV"/>
              </w:rPr>
            </w:pPr>
            <w:r w:rsidRPr="0070062A">
              <w:rPr>
                <w:rFonts w:ascii="Times New Roman" w:eastAsia="Times New Roman" w:hAnsi="Times New Roman" w:cs="Times New Roman"/>
                <w:color w:val="000000"/>
                <w:lang w:eastAsia="lv-LV"/>
              </w:rPr>
              <w:t>N/A</w:t>
            </w:r>
          </w:p>
        </w:tc>
      </w:tr>
      <w:tr w:rsidR="00C63247" w:rsidRPr="0070062A" w14:paraId="4B21774C" w14:textId="77777777" w:rsidTr="00295180">
        <w:trPr>
          <w:trHeight w:val="312"/>
        </w:trPr>
        <w:tc>
          <w:tcPr>
            <w:tcW w:w="5800" w:type="dxa"/>
            <w:tcBorders>
              <w:top w:val="nil"/>
              <w:left w:val="single" w:sz="4" w:space="0" w:color="auto"/>
              <w:bottom w:val="single" w:sz="4" w:space="0" w:color="auto"/>
              <w:right w:val="single" w:sz="4" w:space="0" w:color="auto"/>
            </w:tcBorders>
            <w:shd w:val="clear" w:color="000000" w:fill="C6E0B4"/>
            <w:noWrap/>
            <w:vAlign w:val="bottom"/>
            <w:hideMark/>
          </w:tcPr>
          <w:p w14:paraId="11E01848" w14:textId="77777777" w:rsidR="00C63247" w:rsidRPr="0070062A" w:rsidRDefault="00C63247" w:rsidP="00295180">
            <w:pPr>
              <w:spacing w:after="0" w:line="240" w:lineRule="auto"/>
              <w:rPr>
                <w:rFonts w:ascii="Times New Roman" w:eastAsia="Times New Roman" w:hAnsi="Times New Roman" w:cs="Times New Roman"/>
                <w:b/>
                <w:bCs/>
                <w:color w:val="000000"/>
                <w:lang w:eastAsia="lv-LV"/>
              </w:rPr>
            </w:pPr>
            <w:r w:rsidRPr="0070062A">
              <w:rPr>
                <w:rFonts w:ascii="Times New Roman" w:eastAsia="Times New Roman" w:hAnsi="Times New Roman" w:cs="Times New Roman"/>
                <w:b/>
                <w:bCs/>
                <w:color w:val="000000"/>
                <w:lang w:eastAsia="lv-LV"/>
              </w:rPr>
              <w:t>Kopā:</w:t>
            </w:r>
          </w:p>
        </w:tc>
        <w:tc>
          <w:tcPr>
            <w:tcW w:w="1231" w:type="dxa"/>
            <w:tcBorders>
              <w:top w:val="nil"/>
              <w:left w:val="nil"/>
              <w:bottom w:val="single" w:sz="4" w:space="0" w:color="auto"/>
              <w:right w:val="single" w:sz="4" w:space="0" w:color="auto"/>
            </w:tcBorders>
            <w:shd w:val="clear" w:color="000000" w:fill="C6E0B4"/>
            <w:noWrap/>
            <w:vAlign w:val="bottom"/>
            <w:hideMark/>
          </w:tcPr>
          <w:p w14:paraId="5D102A51" w14:textId="77777777" w:rsidR="00C63247" w:rsidRPr="0070062A" w:rsidRDefault="00C63247" w:rsidP="00295180">
            <w:pPr>
              <w:spacing w:after="0" w:line="240" w:lineRule="auto"/>
              <w:rPr>
                <w:rFonts w:ascii="Times New Roman" w:eastAsia="Times New Roman" w:hAnsi="Times New Roman" w:cs="Times New Roman"/>
                <w:b/>
                <w:bCs/>
                <w:color w:val="000000"/>
                <w:lang w:eastAsia="lv-LV"/>
              </w:rPr>
            </w:pPr>
            <w:r w:rsidRPr="0070062A">
              <w:rPr>
                <w:rFonts w:ascii="Times New Roman" w:eastAsia="Times New Roman" w:hAnsi="Times New Roman" w:cs="Times New Roman"/>
                <w:b/>
                <w:bCs/>
                <w:color w:val="000000"/>
                <w:lang w:eastAsia="lv-LV"/>
              </w:rPr>
              <w:t> </w:t>
            </w:r>
          </w:p>
        </w:tc>
        <w:tc>
          <w:tcPr>
            <w:tcW w:w="1520" w:type="dxa"/>
            <w:tcBorders>
              <w:top w:val="nil"/>
              <w:left w:val="nil"/>
              <w:bottom w:val="single" w:sz="4" w:space="0" w:color="auto"/>
              <w:right w:val="single" w:sz="4" w:space="0" w:color="auto"/>
            </w:tcBorders>
            <w:shd w:val="clear" w:color="000000" w:fill="C6E0B4"/>
            <w:noWrap/>
            <w:vAlign w:val="center"/>
            <w:hideMark/>
          </w:tcPr>
          <w:p w14:paraId="5034588D" w14:textId="77777777" w:rsidR="00C63247" w:rsidRPr="0070062A" w:rsidRDefault="00C63247" w:rsidP="00295180">
            <w:pPr>
              <w:spacing w:after="0" w:line="240" w:lineRule="auto"/>
              <w:jc w:val="center"/>
              <w:rPr>
                <w:rFonts w:ascii="Times New Roman" w:eastAsia="Times New Roman" w:hAnsi="Times New Roman" w:cs="Times New Roman"/>
                <w:b/>
                <w:bCs/>
                <w:color w:val="000000"/>
                <w:lang w:eastAsia="lv-LV"/>
              </w:rPr>
            </w:pPr>
            <w:r w:rsidRPr="0070062A">
              <w:rPr>
                <w:rFonts w:ascii="Times New Roman" w:eastAsia="Times New Roman" w:hAnsi="Times New Roman" w:cs="Times New Roman"/>
                <w:b/>
                <w:bCs/>
                <w:color w:val="000000"/>
                <w:lang w:eastAsia="lv-LV"/>
              </w:rPr>
              <w:t>12</w:t>
            </w:r>
          </w:p>
        </w:tc>
        <w:tc>
          <w:tcPr>
            <w:tcW w:w="980" w:type="dxa"/>
            <w:tcBorders>
              <w:top w:val="nil"/>
              <w:left w:val="nil"/>
              <w:bottom w:val="single" w:sz="4" w:space="0" w:color="auto"/>
              <w:right w:val="single" w:sz="4" w:space="0" w:color="auto"/>
            </w:tcBorders>
            <w:shd w:val="clear" w:color="000000" w:fill="C6E0B4"/>
            <w:noWrap/>
            <w:vAlign w:val="bottom"/>
            <w:hideMark/>
          </w:tcPr>
          <w:p w14:paraId="033609C5" w14:textId="77777777" w:rsidR="00C63247" w:rsidRPr="0070062A" w:rsidRDefault="00C63247" w:rsidP="00295180">
            <w:pPr>
              <w:spacing w:after="0" w:line="240" w:lineRule="auto"/>
              <w:rPr>
                <w:rFonts w:ascii="Times New Roman" w:eastAsia="Times New Roman" w:hAnsi="Times New Roman" w:cs="Times New Roman"/>
                <w:b/>
                <w:bCs/>
                <w:color w:val="000000"/>
                <w:lang w:eastAsia="lv-LV"/>
              </w:rPr>
            </w:pPr>
            <w:r w:rsidRPr="0070062A">
              <w:rPr>
                <w:rFonts w:ascii="Times New Roman" w:eastAsia="Times New Roman" w:hAnsi="Times New Roman" w:cs="Times New Roman"/>
                <w:b/>
                <w:bCs/>
                <w:color w:val="000000"/>
                <w:lang w:eastAsia="lv-LV"/>
              </w:rPr>
              <w:t> </w:t>
            </w:r>
          </w:p>
        </w:tc>
      </w:tr>
    </w:tbl>
    <w:p w14:paraId="352C4597" w14:textId="77777777" w:rsidR="000F057F" w:rsidRDefault="000F057F" w:rsidP="00C63247">
      <w:pPr>
        <w:spacing w:after="120" w:line="240" w:lineRule="auto"/>
        <w:jc w:val="both"/>
        <w:rPr>
          <w:rFonts w:ascii="Times New Roman" w:hAnsi="Times New Roman" w:cs="Times New Roman"/>
          <w:sz w:val="24"/>
          <w:szCs w:val="24"/>
        </w:rPr>
      </w:pPr>
    </w:p>
    <w:p w14:paraId="5DEA894F" w14:textId="017D0B6F"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2018. gadā uzsākta ES fondu investīciju projektu īstenošana </w:t>
      </w:r>
      <w:r w:rsidRPr="0070062A">
        <w:rPr>
          <w:rFonts w:ascii="Times New Roman" w:hAnsi="Times New Roman" w:cs="Times New Roman"/>
          <w:b/>
          <w:sz w:val="24"/>
          <w:szCs w:val="24"/>
        </w:rPr>
        <w:t>PVA infrastruktūras uzlabošanai</w:t>
      </w:r>
      <w:r w:rsidRPr="0070062A">
        <w:rPr>
          <w:rFonts w:ascii="Times New Roman" w:hAnsi="Times New Roman" w:cs="Times New Roman"/>
          <w:sz w:val="24"/>
          <w:szCs w:val="24"/>
        </w:rPr>
        <w:t>. Tika iesniegti 140 projektu priekšlikumi, kas aptver vairāk nekā 200 ģimenes ārstu prakses (šobrīd apstiprināti 132 projekti).</w:t>
      </w:r>
      <w:r w:rsidRPr="0070062A">
        <w:t xml:space="preserve"> </w:t>
      </w:r>
    </w:p>
    <w:p w14:paraId="09A27F5C"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2019. gadā </w:t>
      </w:r>
      <w:r w:rsidRPr="0070062A">
        <w:rPr>
          <w:rFonts w:ascii="Times New Roman" w:hAnsi="Times New Roman" w:cs="Times New Roman"/>
          <w:b/>
          <w:bCs/>
          <w:sz w:val="24"/>
          <w:szCs w:val="24"/>
        </w:rPr>
        <w:t>pārrēķināti tarifi</w:t>
      </w:r>
      <w:r w:rsidRPr="0070062A">
        <w:rPr>
          <w:rFonts w:ascii="Times New Roman" w:hAnsi="Times New Roman" w:cs="Times New Roman"/>
          <w:sz w:val="24"/>
          <w:szCs w:val="24"/>
        </w:rPr>
        <w:t xml:space="preserve"> rehabilitācijā (15 manipulācijas stacionārā, 24 manipulācijas ambulatori) un piešķirts 2,4 milj. </w:t>
      </w:r>
      <w:r w:rsidRPr="0070062A">
        <w:rPr>
          <w:rFonts w:ascii="Times New Roman" w:hAnsi="Times New Roman" w:cs="Times New Roman"/>
          <w:i/>
          <w:sz w:val="24"/>
          <w:szCs w:val="24"/>
        </w:rPr>
        <w:t>euro</w:t>
      </w:r>
      <w:r w:rsidRPr="0070062A">
        <w:rPr>
          <w:rFonts w:ascii="Times New Roman" w:hAnsi="Times New Roman" w:cs="Times New Roman"/>
          <w:sz w:val="24"/>
          <w:szCs w:val="24"/>
        </w:rPr>
        <w:t xml:space="preserve"> liels papildus finansējumu. Pārrēķināti arī tarifi oftalmoloģijā (26 manipulācijas, lai ieviestu, papildus nepieciešams 1,4 milj. </w:t>
      </w:r>
      <w:r w:rsidRPr="0070062A">
        <w:rPr>
          <w:rFonts w:ascii="Times New Roman" w:hAnsi="Times New Roman" w:cs="Times New Roman"/>
          <w:i/>
          <w:sz w:val="24"/>
          <w:szCs w:val="24"/>
        </w:rPr>
        <w:t>euro</w:t>
      </w:r>
      <w:r w:rsidRPr="0070062A">
        <w:rPr>
          <w:rFonts w:ascii="Times New Roman" w:hAnsi="Times New Roman" w:cs="Times New Roman"/>
          <w:sz w:val="24"/>
          <w:szCs w:val="24"/>
        </w:rPr>
        <w:t xml:space="preserve"> liels finansējums), ķirurģijā (12 manipulācijas, nepieciešamais papildus finansējums 5 milj. </w:t>
      </w:r>
      <w:r w:rsidRPr="0070062A">
        <w:rPr>
          <w:rFonts w:ascii="Times New Roman" w:hAnsi="Times New Roman" w:cs="Times New Roman"/>
          <w:i/>
          <w:sz w:val="24"/>
          <w:szCs w:val="24"/>
        </w:rPr>
        <w:t>euro</w:t>
      </w:r>
      <w:r w:rsidRPr="0070062A">
        <w:rPr>
          <w:rFonts w:ascii="Times New Roman" w:hAnsi="Times New Roman" w:cs="Times New Roman"/>
          <w:sz w:val="24"/>
          <w:szCs w:val="24"/>
        </w:rPr>
        <w:t xml:space="preserve">), kā arī 54 jaunas manipulācijas un 27 pārrēķinātas no citām jomām (t.sk. mugurkaula ķirurģijai), kas prasa papildus 8,2 milj. </w:t>
      </w:r>
      <w:r w:rsidRPr="0070062A">
        <w:rPr>
          <w:rFonts w:ascii="Times New Roman" w:hAnsi="Times New Roman" w:cs="Times New Roman"/>
          <w:i/>
          <w:sz w:val="24"/>
          <w:szCs w:val="24"/>
        </w:rPr>
        <w:t>euro</w:t>
      </w:r>
      <w:r w:rsidRPr="0070062A">
        <w:rPr>
          <w:rFonts w:ascii="Times New Roman" w:hAnsi="Times New Roman" w:cs="Times New Roman"/>
          <w:sz w:val="24"/>
          <w:szCs w:val="24"/>
        </w:rPr>
        <w:t xml:space="preserve"> lielu finansējumu. Lai nodrošinātu tarifu atbilstību faktiskajām izmaksām, </w:t>
      </w:r>
      <w:r w:rsidRPr="00670E26">
        <w:rPr>
          <w:rFonts w:ascii="Times New Roman" w:hAnsi="Times New Roman" w:cs="Times New Roman"/>
          <w:b/>
          <w:bCs/>
          <w:sz w:val="24"/>
          <w:szCs w:val="24"/>
        </w:rPr>
        <w:t>nepieciešams papildu finansējums</w:t>
      </w:r>
      <w:r w:rsidRPr="0070062A">
        <w:rPr>
          <w:rFonts w:ascii="Times New Roman" w:hAnsi="Times New Roman" w:cs="Times New Roman"/>
          <w:sz w:val="24"/>
          <w:szCs w:val="24"/>
        </w:rPr>
        <w:t>.</w:t>
      </w:r>
    </w:p>
    <w:p w14:paraId="39FC8FDD"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Noteikts </w:t>
      </w:r>
      <w:r w:rsidRPr="0070062A">
        <w:rPr>
          <w:rFonts w:ascii="Times New Roman" w:hAnsi="Times New Roman" w:cs="Times New Roman"/>
          <w:b/>
          <w:bCs/>
          <w:sz w:val="24"/>
          <w:szCs w:val="24"/>
        </w:rPr>
        <w:t>optimālais pacientu skaits</w:t>
      </w:r>
      <w:r w:rsidRPr="0070062A">
        <w:rPr>
          <w:rFonts w:ascii="Times New Roman" w:hAnsi="Times New Roman" w:cs="Times New Roman"/>
          <w:sz w:val="24"/>
          <w:szCs w:val="24"/>
        </w:rPr>
        <w:t xml:space="preserve"> ģimenes ārstu praksē – 1800 pacienti, ja praksē ir reģistrēti tikai pieaugušie vai 800 – ja tikai bērni.</w:t>
      </w:r>
      <w:r w:rsidRPr="0070062A">
        <w:rPr>
          <w:rStyle w:val="FootnoteReference"/>
          <w:rFonts w:ascii="Times New Roman" w:hAnsi="Times New Roman" w:cs="Times New Roman"/>
          <w:sz w:val="24"/>
          <w:szCs w:val="24"/>
        </w:rPr>
        <w:footnoteReference w:id="20"/>
      </w:r>
    </w:p>
    <w:p w14:paraId="2927E7E7" w14:textId="77777777" w:rsidR="00C63247" w:rsidRDefault="00C63247" w:rsidP="00C63247">
      <w:pPr>
        <w:spacing w:after="0" w:line="240" w:lineRule="auto"/>
        <w:jc w:val="center"/>
        <w:rPr>
          <w:rFonts w:ascii="Times New Roman" w:hAnsi="Times New Roman" w:cs="Times New Roman"/>
          <w:b/>
          <w:sz w:val="28"/>
          <w:szCs w:val="28"/>
        </w:rPr>
      </w:pPr>
    </w:p>
    <w:p w14:paraId="7AF861DB" w14:textId="77777777" w:rsidR="00C63247" w:rsidRPr="0070062A" w:rsidRDefault="00C63247" w:rsidP="00C63247">
      <w:pPr>
        <w:spacing w:after="12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t>2. Pašvaldību lomas definēšana veselības aprūpes sistēmā</w:t>
      </w:r>
    </w:p>
    <w:p w14:paraId="25CEFFB4" w14:textId="77777777" w:rsidR="00C63247" w:rsidRPr="0070062A" w:rsidRDefault="00C63247" w:rsidP="00C63247">
      <w:pPr>
        <w:spacing w:after="120" w:line="240" w:lineRule="auto"/>
        <w:jc w:val="both"/>
        <w:rPr>
          <w:rFonts w:ascii="Times New Roman" w:hAnsi="Times New Roman" w:cs="Times New Roman"/>
          <w:sz w:val="28"/>
          <w:szCs w:val="28"/>
        </w:rPr>
      </w:pPr>
      <w:r w:rsidRPr="0070062A">
        <w:rPr>
          <w:rFonts w:ascii="Times New Roman" w:eastAsia="Calibri" w:hAnsi="Times New Roman" w:cs="Times New Roman"/>
          <w:sz w:val="24"/>
          <w:szCs w:val="24"/>
        </w:rPr>
        <w:t xml:space="preserve">Pašvaldības “Likumā par pašvaldībām” autonomo deleģēto veselības aprūpes pieejamības nodrošināšanas funkciju traktē dažādi, tādēļ VM reformas ietvaros rosināts </w:t>
      </w:r>
      <w:r w:rsidRPr="0070062A">
        <w:rPr>
          <w:rFonts w:ascii="Times New Roman" w:eastAsia="Calibri" w:hAnsi="Times New Roman" w:cs="Times New Roman"/>
          <w:b/>
          <w:bCs/>
          <w:sz w:val="24"/>
          <w:szCs w:val="24"/>
        </w:rPr>
        <w:t>precizēt pašvaldības lomu veselības aprūpē</w:t>
      </w:r>
      <w:r w:rsidRPr="0070062A">
        <w:rPr>
          <w:rFonts w:ascii="Times New Roman" w:eastAsia="Calibri" w:hAnsi="Times New Roman" w:cs="Times New Roman"/>
          <w:sz w:val="24"/>
          <w:szCs w:val="24"/>
        </w:rPr>
        <w:t>.</w:t>
      </w:r>
    </w:p>
    <w:p w14:paraId="11345AA9"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VM </w:t>
      </w:r>
      <w:r>
        <w:rPr>
          <w:rFonts w:ascii="Times New Roman" w:hAnsi="Times New Roman" w:cs="Times New Roman"/>
          <w:sz w:val="24"/>
          <w:szCs w:val="24"/>
        </w:rPr>
        <w:t>sniegusi</w:t>
      </w:r>
      <w:r w:rsidRPr="0070062A">
        <w:rPr>
          <w:rFonts w:ascii="Times New Roman" w:hAnsi="Times New Roman" w:cs="Times New Roman"/>
          <w:sz w:val="24"/>
          <w:szCs w:val="24"/>
        </w:rPr>
        <w:t xml:space="preserve"> priekšlikumus likumprojektam “Par pašvaldībām”, kas ietver </w:t>
      </w:r>
      <w:r w:rsidRPr="0070062A">
        <w:rPr>
          <w:rFonts w:ascii="Times New Roman" w:hAnsi="Times New Roman" w:cs="Times New Roman"/>
          <w:b/>
          <w:bCs/>
          <w:sz w:val="24"/>
          <w:szCs w:val="24"/>
        </w:rPr>
        <w:t>pašvaldību lomas precizēšanu</w:t>
      </w:r>
      <w:r w:rsidRPr="0070062A">
        <w:rPr>
          <w:rFonts w:ascii="Times New Roman" w:hAnsi="Times New Roman" w:cs="Times New Roman"/>
          <w:sz w:val="24"/>
          <w:szCs w:val="24"/>
        </w:rPr>
        <w:t xml:space="preserve"> veselības aprūpes pieejamības uzlabošanā</w:t>
      </w:r>
      <w:r>
        <w:rPr>
          <w:rFonts w:ascii="Times New Roman" w:hAnsi="Times New Roman" w:cs="Times New Roman"/>
          <w:sz w:val="24"/>
          <w:szCs w:val="24"/>
        </w:rPr>
        <w:t>, lai</w:t>
      </w:r>
      <w:r w:rsidRPr="0070062A">
        <w:rPr>
          <w:rFonts w:ascii="Times New Roman" w:hAnsi="Times New Roman" w:cs="Times New Roman"/>
          <w:sz w:val="24"/>
          <w:szCs w:val="24"/>
        </w:rPr>
        <w:t xml:space="preserve"> nodrošināt</w:t>
      </w:r>
      <w:r>
        <w:rPr>
          <w:rFonts w:ascii="Times New Roman" w:hAnsi="Times New Roman" w:cs="Times New Roman"/>
          <w:sz w:val="24"/>
          <w:szCs w:val="24"/>
        </w:rPr>
        <w:t>u</w:t>
      </w:r>
      <w:r w:rsidRPr="0070062A">
        <w:rPr>
          <w:rFonts w:ascii="Times New Roman" w:hAnsi="Times New Roman" w:cs="Times New Roman"/>
          <w:sz w:val="24"/>
          <w:szCs w:val="24"/>
        </w:rPr>
        <w:t xml:space="preserve"> piekļuvi ārstniecības iestādei un nepieciešamo ārstniecības personu piesaisti darbam pašvaldības teritorijā esošajās ārstniecības iestādēs.</w:t>
      </w:r>
      <w:r w:rsidRPr="0070062A" w:rsidDel="00134AEC">
        <w:rPr>
          <w:rFonts w:ascii="Times New Roman" w:hAnsi="Times New Roman" w:cs="Times New Roman"/>
          <w:sz w:val="24"/>
          <w:szCs w:val="24"/>
        </w:rPr>
        <w:t xml:space="preserve"> </w:t>
      </w:r>
      <w:r w:rsidRPr="0070062A">
        <w:rPr>
          <w:rFonts w:ascii="Times New Roman" w:hAnsi="Times New Roman" w:cs="Times New Roman"/>
          <w:color w:val="000000" w:themeColor="text1"/>
          <w:sz w:val="24"/>
        </w:rPr>
        <w:t>Administratīvi teritoriālās reformas ietvaros 2020.gadā VM vērtēs</w:t>
      </w:r>
      <w:r w:rsidRPr="0070062A">
        <w:rPr>
          <w:rStyle w:val="FootnoteReference"/>
          <w:rFonts w:ascii="Times New Roman" w:hAnsi="Times New Roman" w:cs="Times New Roman"/>
          <w:color w:val="000000" w:themeColor="text1"/>
          <w:sz w:val="24"/>
        </w:rPr>
        <w:footnoteReference w:id="21"/>
      </w:r>
      <w:r w:rsidRPr="0070062A">
        <w:rPr>
          <w:rFonts w:ascii="Times New Roman" w:hAnsi="Times New Roman" w:cs="Times New Roman"/>
          <w:color w:val="000000" w:themeColor="text1"/>
          <w:sz w:val="24"/>
        </w:rPr>
        <w:t xml:space="preserve"> plānošanas reģioniem (reģionālās pārvaldes līmenim) nododamās funkcijas, uzdevumus.</w:t>
      </w:r>
    </w:p>
    <w:p w14:paraId="2086B6B3"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lastRenderedPageBreak/>
        <w:t>Pēc VM ieteikumiem, Reģionālās politikas pamatnostādnēs 2021.-2027. gadam</w:t>
      </w:r>
      <w:r w:rsidRPr="0070062A">
        <w:rPr>
          <w:rStyle w:val="FootnoteReference"/>
          <w:rFonts w:ascii="Times New Roman" w:hAnsi="Times New Roman" w:cs="Times New Roman"/>
          <w:sz w:val="24"/>
          <w:szCs w:val="24"/>
        </w:rPr>
        <w:footnoteReference w:id="22"/>
      </w:r>
      <w:r w:rsidRPr="0070062A">
        <w:rPr>
          <w:rFonts w:ascii="Times New Roman" w:hAnsi="Times New Roman" w:cs="Times New Roman"/>
          <w:sz w:val="24"/>
          <w:szCs w:val="24"/>
        </w:rPr>
        <w:t xml:space="preserve"> iekļauti uzdevumi pašvaldību funkcijas veselības aprūpes pieejamības nodrošināšanā, piemēram, iekļauts uzdevums attīstīt transporta piedāvājumu pašvaldībās pēc pieprasījuma, tai skaitā iedzīvotāju nokļūšanai ārstniecības iestādēs.</w:t>
      </w:r>
    </w:p>
    <w:p w14:paraId="6B1BB86F" w14:textId="77777777" w:rsidR="00C63247" w:rsidRPr="000348AF" w:rsidRDefault="00C63247" w:rsidP="00C63247">
      <w:pPr>
        <w:spacing w:after="120" w:line="240" w:lineRule="auto"/>
        <w:jc w:val="both"/>
        <w:rPr>
          <w:rFonts w:ascii="Times New Roman" w:hAnsi="Times New Roman" w:cs="Times New Roman"/>
          <w:sz w:val="24"/>
          <w:szCs w:val="24"/>
        </w:rPr>
      </w:pPr>
      <w:r w:rsidRPr="000348AF">
        <w:rPr>
          <w:rFonts w:ascii="Times New Roman" w:hAnsi="Times New Roman" w:cs="Times New Roman"/>
          <w:sz w:val="24"/>
          <w:szCs w:val="24"/>
        </w:rPr>
        <w:t>Lai uzlabotu hronisko slimību pacientu un pacientu ar ilgtermiņa aprūpes vajadzībām veselības aprūpes kvalitāti un efektivitāti,</w:t>
      </w:r>
      <w:r>
        <w:rPr>
          <w:rFonts w:ascii="Times New Roman" w:hAnsi="Times New Roman" w:cs="Times New Roman"/>
          <w:sz w:val="24"/>
          <w:szCs w:val="24"/>
        </w:rPr>
        <w:t xml:space="preserve"> </w:t>
      </w:r>
      <w:r w:rsidRPr="000348AF">
        <w:rPr>
          <w:rFonts w:ascii="Times New Roman" w:hAnsi="Times New Roman" w:cs="Times New Roman"/>
          <w:sz w:val="24"/>
          <w:szCs w:val="24"/>
        </w:rPr>
        <w:t>VM uzsākusi pētījumu</w:t>
      </w:r>
      <w:r w:rsidRPr="000348AF">
        <w:rPr>
          <w:rStyle w:val="FootnoteReference"/>
          <w:rFonts w:ascii="Times New Roman" w:hAnsi="Times New Roman" w:cs="Times New Roman"/>
          <w:sz w:val="24"/>
          <w:szCs w:val="24"/>
        </w:rPr>
        <w:footnoteReference w:id="23"/>
      </w:r>
      <w:r w:rsidRPr="000348AF">
        <w:rPr>
          <w:rFonts w:ascii="Times New Roman" w:hAnsi="Times New Roman" w:cs="Times New Roman"/>
          <w:sz w:val="24"/>
          <w:szCs w:val="24"/>
        </w:rPr>
        <w:t xml:space="preserve">. Pētījuma mērķis ir </w:t>
      </w:r>
      <w:r w:rsidRPr="000348AF">
        <w:rPr>
          <w:rFonts w:ascii="Times New Roman" w:hAnsi="Times New Roman" w:cs="Times New Roman"/>
          <w:b/>
          <w:sz w:val="24"/>
          <w:szCs w:val="24"/>
        </w:rPr>
        <w:t>uzlabot aprūpes pakalpojumu pieejamību</w:t>
      </w:r>
      <w:r w:rsidRPr="000348AF">
        <w:rPr>
          <w:rFonts w:ascii="Times New Roman" w:hAnsi="Times New Roman" w:cs="Times New Roman"/>
          <w:sz w:val="24"/>
          <w:szCs w:val="24"/>
        </w:rPr>
        <w:t xml:space="preserve"> un attīstīt pacientu-orientētas aprūpes pakalpojumu sniegšanas modeli pacientiem </w:t>
      </w:r>
      <w:r w:rsidRPr="000348AF">
        <w:rPr>
          <w:rFonts w:ascii="Times New Roman" w:hAnsi="Times New Roman" w:cs="Times New Roman"/>
          <w:b/>
          <w:sz w:val="24"/>
          <w:szCs w:val="24"/>
        </w:rPr>
        <w:t>ar hroniskām slimībām un ilgstošas aprūpes vajadzībām</w:t>
      </w:r>
      <w:r w:rsidRPr="000348AF">
        <w:rPr>
          <w:rFonts w:ascii="Times New Roman" w:hAnsi="Times New Roman" w:cs="Times New Roman"/>
          <w:sz w:val="24"/>
          <w:szCs w:val="24"/>
        </w:rPr>
        <w:t xml:space="preserve"> (t.sk. nedziedināmi slimiem pacientiem). </w:t>
      </w:r>
    </w:p>
    <w:p w14:paraId="217F5823" w14:textId="77777777" w:rsidR="00C63247" w:rsidRPr="0070062A" w:rsidRDefault="00C63247" w:rsidP="00C63247">
      <w:pPr>
        <w:spacing w:after="0" w:line="240" w:lineRule="auto"/>
        <w:jc w:val="center"/>
        <w:rPr>
          <w:rFonts w:ascii="Times New Roman" w:hAnsi="Times New Roman" w:cs="Times New Roman"/>
          <w:b/>
          <w:sz w:val="28"/>
          <w:szCs w:val="28"/>
        </w:rPr>
      </w:pPr>
    </w:p>
    <w:p w14:paraId="2D64FA14" w14:textId="77777777" w:rsidR="00C63247" w:rsidRPr="0070062A" w:rsidRDefault="00C63247" w:rsidP="00C63247">
      <w:pPr>
        <w:spacing w:after="12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t>3. Cilvēkresursi</w:t>
      </w:r>
    </w:p>
    <w:p w14:paraId="15DA900F" w14:textId="77777777" w:rsidR="00C63247" w:rsidRDefault="00C63247" w:rsidP="00C632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Mediķu</w:t>
      </w:r>
      <w:r w:rsidRPr="0070062A">
        <w:rPr>
          <w:rFonts w:ascii="Times New Roman" w:hAnsi="Times New Roman" w:cs="Times New Roman"/>
          <w:sz w:val="24"/>
          <w:szCs w:val="24"/>
        </w:rPr>
        <w:t xml:space="preserve"> </w:t>
      </w:r>
      <w:r>
        <w:rPr>
          <w:rFonts w:ascii="Times New Roman" w:hAnsi="Times New Roman" w:cs="Times New Roman"/>
          <w:sz w:val="24"/>
          <w:szCs w:val="24"/>
        </w:rPr>
        <w:t xml:space="preserve">optimāla skaita </w:t>
      </w:r>
      <w:r w:rsidRPr="0070062A">
        <w:rPr>
          <w:rFonts w:ascii="Times New Roman" w:hAnsi="Times New Roman" w:cs="Times New Roman"/>
          <w:sz w:val="24"/>
          <w:szCs w:val="24"/>
        </w:rPr>
        <w:t xml:space="preserve">nodrošināšanai PB priekšlikumi un reformu plāns paredz: </w:t>
      </w:r>
    </w:p>
    <w:p w14:paraId="7CD54B2A"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piesaistīt un noturētu </w:t>
      </w:r>
      <w:r>
        <w:rPr>
          <w:rFonts w:ascii="Times New Roman" w:hAnsi="Times New Roman" w:cs="Times New Roman"/>
          <w:sz w:val="24"/>
          <w:szCs w:val="24"/>
        </w:rPr>
        <w:t>mediķus</w:t>
      </w:r>
      <w:r w:rsidRPr="00670E26">
        <w:rPr>
          <w:rFonts w:ascii="Times New Roman" w:hAnsi="Times New Roman" w:cs="Times New Roman"/>
          <w:sz w:val="24"/>
          <w:szCs w:val="24"/>
        </w:rPr>
        <w:t xml:space="preserve"> lauku rajonos; </w:t>
      </w:r>
    </w:p>
    <w:p w14:paraId="1DB1818C"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palielināt mediķu</w:t>
      </w:r>
      <w:r w:rsidRPr="00670E26">
        <w:rPr>
          <w:rFonts w:ascii="Times New Roman" w:hAnsi="Times New Roman" w:cs="Times New Roman"/>
          <w:sz w:val="24"/>
          <w:szCs w:val="24"/>
        </w:rPr>
        <w:t xml:space="preserve"> skait</w:t>
      </w:r>
      <w:r>
        <w:rPr>
          <w:rFonts w:ascii="Times New Roman" w:hAnsi="Times New Roman" w:cs="Times New Roman"/>
          <w:sz w:val="24"/>
          <w:szCs w:val="24"/>
        </w:rPr>
        <w:t>u</w:t>
      </w:r>
      <w:r w:rsidRPr="00670E26">
        <w:rPr>
          <w:rFonts w:ascii="Times New Roman" w:hAnsi="Times New Roman" w:cs="Times New Roman"/>
          <w:sz w:val="24"/>
          <w:szCs w:val="24"/>
        </w:rPr>
        <w:t xml:space="preserve"> </w:t>
      </w:r>
      <w:r>
        <w:rPr>
          <w:rFonts w:ascii="Times New Roman" w:hAnsi="Times New Roman" w:cs="Times New Roman"/>
          <w:sz w:val="24"/>
          <w:szCs w:val="24"/>
        </w:rPr>
        <w:t>noteiktās</w:t>
      </w:r>
      <w:r w:rsidRPr="00670E26">
        <w:rPr>
          <w:rFonts w:ascii="Times New Roman" w:hAnsi="Times New Roman" w:cs="Times New Roman"/>
          <w:sz w:val="24"/>
          <w:szCs w:val="24"/>
        </w:rPr>
        <w:t xml:space="preserve"> specialitātēs un ģeogrāfiskajos punktos; </w:t>
      </w:r>
    </w:p>
    <w:p w14:paraId="3DC391EE"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uzlabot </w:t>
      </w:r>
      <w:r w:rsidRPr="00670E26">
        <w:rPr>
          <w:rFonts w:ascii="Times New Roman" w:hAnsi="Times New Roman" w:cs="Times New Roman"/>
          <w:sz w:val="24"/>
          <w:szCs w:val="24"/>
        </w:rPr>
        <w:t>ārstniecības personu, farmaceitu un sociālo darbinieku kvalifikācij</w:t>
      </w:r>
      <w:r>
        <w:rPr>
          <w:rFonts w:ascii="Times New Roman" w:hAnsi="Times New Roman" w:cs="Times New Roman"/>
          <w:sz w:val="24"/>
          <w:szCs w:val="24"/>
        </w:rPr>
        <w:t>u</w:t>
      </w:r>
      <w:r w:rsidRPr="00670E26">
        <w:rPr>
          <w:rFonts w:ascii="Times New Roman" w:hAnsi="Times New Roman" w:cs="Times New Roman"/>
          <w:sz w:val="24"/>
          <w:szCs w:val="24"/>
        </w:rPr>
        <w:t xml:space="preserve">; </w:t>
      </w:r>
    </w:p>
    <w:p w14:paraId="12C22889"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izveidot māsas profesijas pamatspecialitāti – vispārējas aprūpes māsa; </w:t>
      </w:r>
    </w:p>
    <w:p w14:paraId="3D99D7C7"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uzlabot ārstniecības pamatstudiju un rezidentūras uzņemšanas plānošanu; </w:t>
      </w:r>
    </w:p>
    <w:p w14:paraId="51F7B61F"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slimnīcu uzņemšanas un stacionāro nodaļu personāla plānošanā kā pamatkritēriju izmantot posteņu skaitu; </w:t>
      </w:r>
    </w:p>
    <w:p w14:paraId="2712B262" w14:textId="77777777" w:rsidR="00C63247" w:rsidRDefault="00C63247" w:rsidP="00C63247">
      <w:pPr>
        <w:pStyle w:val="ListParagraph"/>
        <w:numPr>
          <w:ilvl w:val="0"/>
          <w:numId w:val="52"/>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ieviest slimnīcās māsu skaita plānošanu, pamatojoties uz pacientu vajadzībām (aprūpes līmeņiem); ārstniecības personu amatu kategoriju pārskatīšanu; </w:t>
      </w:r>
    </w:p>
    <w:p w14:paraId="13521B64" w14:textId="77777777" w:rsidR="00C63247" w:rsidRPr="00670E26" w:rsidRDefault="00C63247" w:rsidP="00C63247">
      <w:pPr>
        <w:pStyle w:val="ListParagraph"/>
        <w:numPr>
          <w:ilvl w:val="0"/>
          <w:numId w:val="5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paaugtsināt </w:t>
      </w:r>
      <w:r w:rsidRPr="00670E26">
        <w:rPr>
          <w:rFonts w:ascii="Times New Roman" w:hAnsi="Times New Roman" w:cs="Times New Roman"/>
          <w:sz w:val="24"/>
          <w:szCs w:val="24"/>
        </w:rPr>
        <w:t>darba samaks</w:t>
      </w:r>
      <w:r>
        <w:rPr>
          <w:rFonts w:ascii="Times New Roman" w:hAnsi="Times New Roman" w:cs="Times New Roman"/>
          <w:sz w:val="24"/>
          <w:szCs w:val="24"/>
        </w:rPr>
        <w:t>u</w:t>
      </w:r>
      <w:r w:rsidRPr="00670E26">
        <w:rPr>
          <w:rFonts w:ascii="Times New Roman" w:hAnsi="Times New Roman" w:cs="Times New Roman"/>
          <w:sz w:val="24"/>
          <w:szCs w:val="24"/>
        </w:rPr>
        <w:t xml:space="preserve"> </w:t>
      </w:r>
      <w:r>
        <w:rPr>
          <w:rFonts w:ascii="Times New Roman" w:hAnsi="Times New Roman" w:cs="Times New Roman"/>
          <w:sz w:val="24"/>
          <w:szCs w:val="24"/>
        </w:rPr>
        <w:t>mediķiem</w:t>
      </w:r>
      <w:r w:rsidRPr="00670E26">
        <w:rPr>
          <w:rFonts w:ascii="Times New Roman" w:hAnsi="Times New Roman" w:cs="Times New Roman"/>
          <w:sz w:val="24"/>
          <w:szCs w:val="24"/>
        </w:rPr>
        <w:t>.</w:t>
      </w:r>
    </w:p>
    <w:p w14:paraId="4FF1913C" w14:textId="77777777" w:rsidR="00C63247" w:rsidRPr="0070062A" w:rsidRDefault="00C63247" w:rsidP="00C63247">
      <w:pPr>
        <w:spacing w:after="120" w:line="240" w:lineRule="auto"/>
        <w:jc w:val="both"/>
        <w:rPr>
          <w:rFonts w:ascii="Times New Roman" w:hAnsi="Times New Roman" w:cs="Times New Roman"/>
          <w:sz w:val="24"/>
          <w:szCs w:val="24"/>
        </w:rPr>
      </w:pPr>
      <w:r w:rsidRPr="00B96958">
        <w:rPr>
          <w:rFonts w:ascii="Times New Roman" w:hAnsi="Times New Roman" w:cs="Times New Roman"/>
          <w:sz w:val="24"/>
          <w:szCs w:val="28"/>
        </w:rPr>
        <w:t>Lai ārstniecības personu darba samaksas noteikšan</w:t>
      </w:r>
      <w:r>
        <w:rPr>
          <w:rFonts w:ascii="Times New Roman" w:hAnsi="Times New Roman" w:cs="Times New Roman"/>
          <w:sz w:val="24"/>
          <w:szCs w:val="28"/>
        </w:rPr>
        <w:t>ā</w:t>
      </w:r>
      <w:r w:rsidRPr="00B96958">
        <w:rPr>
          <w:rFonts w:ascii="Times New Roman" w:hAnsi="Times New Roman" w:cs="Times New Roman"/>
          <w:sz w:val="24"/>
          <w:szCs w:val="28"/>
        </w:rPr>
        <w:t xml:space="preserve"> </w:t>
      </w:r>
      <w:r>
        <w:rPr>
          <w:rFonts w:ascii="Times New Roman" w:hAnsi="Times New Roman" w:cs="Times New Roman"/>
          <w:sz w:val="24"/>
          <w:szCs w:val="28"/>
        </w:rPr>
        <w:t>nodrošinātu</w:t>
      </w:r>
      <w:r w:rsidRPr="00B96958">
        <w:rPr>
          <w:rFonts w:ascii="Times New Roman" w:hAnsi="Times New Roman" w:cs="Times New Roman"/>
          <w:sz w:val="24"/>
          <w:szCs w:val="28"/>
        </w:rPr>
        <w:t xml:space="preserve"> efektīv</w:t>
      </w:r>
      <w:r>
        <w:rPr>
          <w:rFonts w:ascii="Times New Roman" w:hAnsi="Times New Roman" w:cs="Times New Roman"/>
          <w:sz w:val="24"/>
          <w:szCs w:val="28"/>
        </w:rPr>
        <w:t>itāti</w:t>
      </w:r>
      <w:r w:rsidRPr="00B96958">
        <w:rPr>
          <w:rFonts w:ascii="Times New Roman" w:hAnsi="Times New Roman" w:cs="Times New Roman"/>
          <w:sz w:val="24"/>
          <w:szCs w:val="28"/>
        </w:rPr>
        <w:t xml:space="preserve"> un </w:t>
      </w:r>
      <w:r>
        <w:rPr>
          <w:rFonts w:ascii="Times New Roman" w:hAnsi="Times New Roman" w:cs="Times New Roman"/>
          <w:sz w:val="24"/>
          <w:szCs w:val="28"/>
        </w:rPr>
        <w:t>caurspīdīgumu,</w:t>
      </w:r>
      <w:r w:rsidRPr="00B96958">
        <w:rPr>
          <w:rFonts w:ascii="Times New Roman" w:hAnsi="Times New Roman" w:cs="Times New Roman"/>
          <w:sz w:val="24"/>
          <w:szCs w:val="28"/>
        </w:rPr>
        <w:t xml:space="preserve">, tika </w:t>
      </w:r>
      <w:r w:rsidRPr="00B96958">
        <w:rPr>
          <w:rFonts w:ascii="Times New Roman" w:hAnsi="Times New Roman" w:cs="Times New Roman"/>
          <w:b/>
          <w:bCs/>
          <w:sz w:val="24"/>
          <w:szCs w:val="28"/>
        </w:rPr>
        <w:t>pārskatīts ārstniecības personu sadalījums amatu kategorijās</w:t>
      </w:r>
      <w:r w:rsidRPr="00B96958">
        <w:rPr>
          <w:rFonts w:ascii="Times New Roman" w:hAnsi="Times New Roman" w:cs="Times New Roman"/>
          <w:sz w:val="24"/>
          <w:szCs w:val="28"/>
        </w:rPr>
        <w:t>, no 13 kategorijām izveidojot 6 kategorijas</w:t>
      </w:r>
      <w:r w:rsidRPr="00B96958">
        <w:rPr>
          <w:rStyle w:val="FootnoteReference"/>
          <w:rFonts w:ascii="Times New Roman" w:hAnsi="Times New Roman" w:cs="Times New Roman"/>
          <w:sz w:val="24"/>
          <w:szCs w:val="28"/>
        </w:rPr>
        <w:footnoteReference w:id="24"/>
      </w:r>
      <w:r w:rsidRPr="00B96958">
        <w:rPr>
          <w:rFonts w:ascii="Times New Roman" w:hAnsi="Times New Roman" w:cs="Times New Roman"/>
          <w:sz w:val="24"/>
          <w:szCs w:val="28"/>
        </w:rPr>
        <w:t>, precizēts normatīvais regulējums par ārstniecības personu zemākās mēnešalgas noteikšanu, svītrotas ārstniecības struktūrvienību administratīvo vadītāju kategorijas</w:t>
      </w:r>
      <w:r w:rsidRPr="00B96958">
        <w:rPr>
          <w:rFonts w:ascii="Times New Roman" w:hAnsi="Times New Roman" w:cs="Times New Roman"/>
          <w:sz w:val="24"/>
          <w:szCs w:val="24"/>
        </w:rPr>
        <w:t>.</w:t>
      </w:r>
    </w:p>
    <w:p w14:paraId="015D96B3" w14:textId="77777777" w:rsidR="00C63247" w:rsidRPr="0070062A" w:rsidRDefault="00C63247" w:rsidP="00C63247">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70062A">
        <w:rPr>
          <w:rFonts w:ascii="Times New Roman" w:eastAsia="Times New Roman" w:hAnsi="Times New Roman" w:cs="Times New Roman"/>
          <w:b/>
          <w:bCs/>
          <w:color w:val="000000"/>
          <w:sz w:val="24"/>
          <w:szCs w:val="24"/>
          <w:lang w:eastAsia="lv-LV"/>
        </w:rPr>
        <w:t>Noteikta jauna zemākā mēnešalga</w:t>
      </w:r>
      <w:r w:rsidRPr="0070062A">
        <w:rPr>
          <w:rFonts w:ascii="Times New Roman" w:eastAsia="Times New Roman" w:hAnsi="Times New Roman" w:cs="Times New Roman"/>
          <w:color w:val="000000"/>
          <w:sz w:val="24"/>
          <w:szCs w:val="24"/>
          <w:lang w:eastAsia="lv-LV"/>
        </w:rPr>
        <w:t>:</w:t>
      </w:r>
    </w:p>
    <w:tbl>
      <w:tblPr>
        <w:tblStyle w:val="TableGrid"/>
        <w:tblW w:w="9351" w:type="dxa"/>
        <w:tblInd w:w="0" w:type="dxa"/>
        <w:tblLook w:val="04A0" w:firstRow="1" w:lastRow="0" w:firstColumn="1" w:lastColumn="0" w:noHBand="0" w:noVBand="1"/>
      </w:tblPr>
      <w:tblGrid>
        <w:gridCol w:w="1551"/>
        <w:gridCol w:w="1279"/>
        <w:gridCol w:w="1276"/>
        <w:gridCol w:w="1701"/>
        <w:gridCol w:w="1843"/>
        <w:gridCol w:w="1701"/>
      </w:tblGrid>
      <w:tr w:rsidR="00C63247" w:rsidRPr="0070062A" w14:paraId="0F00EC4A" w14:textId="77777777" w:rsidTr="00295180">
        <w:tc>
          <w:tcPr>
            <w:tcW w:w="1551" w:type="dxa"/>
            <w:shd w:val="clear" w:color="auto" w:fill="E2EFD9" w:themeFill="accent6" w:themeFillTint="33"/>
            <w:vAlign w:val="center"/>
          </w:tcPr>
          <w:p w14:paraId="7E6AF3B7" w14:textId="77777777" w:rsidR="00C63247" w:rsidRPr="0070062A" w:rsidRDefault="00C63247" w:rsidP="00295180">
            <w:pPr>
              <w:pStyle w:val="naislab"/>
              <w:spacing w:before="0" w:after="0"/>
              <w:jc w:val="center"/>
              <w:rPr>
                <w:b/>
                <w:i/>
                <w:sz w:val="22"/>
                <w:szCs w:val="22"/>
                <w:lang w:val="lv-LV"/>
              </w:rPr>
            </w:pPr>
            <w:r w:rsidRPr="0070062A">
              <w:rPr>
                <w:b/>
                <w:i/>
                <w:sz w:val="22"/>
                <w:szCs w:val="22"/>
                <w:lang w:val="lv-LV"/>
              </w:rPr>
              <w:t>Ārstniecības personas amata kvalifikācijas kategorija</w:t>
            </w:r>
          </w:p>
        </w:tc>
        <w:tc>
          <w:tcPr>
            <w:tcW w:w="1279" w:type="dxa"/>
            <w:shd w:val="clear" w:color="auto" w:fill="E2EFD9" w:themeFill="accent6" w:themeFillTint="33"/>
            <w:vAlign w:val="center"/>
          </w:tcPr>
          <w:p w14:paraId="6814B781" w14:textId="77777777" w:rsidR="00C63247" w:rsidRPr="0070062A" w:rsidRDefault="00C63247" w:rsidP="00295180">
            <w:pPr>
              <w:pStyle w:val="naislab"/>
              <w:spacing w:before="0" w:after="0"/>
              <w:jc w:val="center"/>
              <w:rPr>
                <w:b/>
                <w:i/>
                <w:sz w:val="22"/>
                <w:szCs w:val="22"/>
                <w:lang w:val="lv-LV"/>
              </w:rPr>
            </w:pPr>
            <w:r w:rsidRPr="0070062A">
              <w:rPr>
                <w:b/>
                <w:i/>
                <w:sz w:val="22"/>
                <w:szCs w:val="22"/>
                <w:lang w:val="lv-LV"/>
              </w:rPr>
              <w:t>2017.gadā (euro)</w:t>
            </w:r>
          </w:p>
        </w:tc>
        <w:tc>
          <w:tcPr>
            <w:tcW w:w="1276" w:type="dxa"/>
            <w:shd w:val="clear" w:color="auto" w:fill="E2EFD9" w:themeFill="accent6" w:themeFillTint="33"/>
            <w:vAlign w:val="center"/>
          </w:tcPr>
          <w:p w14:paraId="7DD0B730" w14:textId="77777777" w:rsidR="00C63247" w:rsidRPr="0070062A" w:rsidRDefault="00C63247" w:rsidP="00295180">
            <w:pPr>
              <w:pStyle w:val="naislab"/>
              <w:spacing w:before="0" w:after="0"/>
              <w:jc w:val="center"/>
              <w:rPr>
                <w:b/>
                <w:i/>
                <w:sz w:val="22"/>
                <w:szCs w:val="22"/>
                <w:lang w:val="lv-LV"/>
              </w:rPr>
            </w:pPr>
            <w:r w:rsidRPr="0070062A">
              <w:rPr>
                <w:b/>
                <w:i/>
                <w:sz w:val="22"/>
                <w:szCs w:val="22"/>
                <w:lang w:val="lv-LV"/>
              </w:rPr>
              <w:t>2018.gadā (euro)</w:t>
            </w:r>
          </w:p>
        </w:tc>
        <w:tc>
          <w:tcPr>
            <w:tcW w:w="1701" w:type="dxa"/>
            <w:shd w:val="clear" w:color="auto" w:fill="E2EFD9" w:themeFill="accent6" w:themeFillTint="33"/>
            <w:vAlign w:val="center"/>
          </w:tcPr>
          <w:p w14:paraId="4B1098C9" w14:textId="77777777" w:rsidR="00C63247" w:rsidRPr="0070062A" w:rsidRDefault="00C63247" w:rsidP="00295180">
            <w:pPr>
              <w:pStyle w:val="naislab"/>
              <w:spacing w:before="0" w:after="0"/>
              <w:jc w:val="center"/>
              <w:rPr>
                <w:b/>
                <w:i/>
                <w:sz w:val="22"/>
                <w:szCs w:val="22"/>
                <w:lang w:val="lv-LV"/>
              </w:rPr>
            </w:pPr>
            <w:r w:rsidRPr="0070062A">
              <w:rPr>
                <w:b/>
                <w:i/>
                <w:sz w:val="22"/>
                <w:szCs w:val="22"/>
                <w:lang w:val="lv-LV"/>
              </w:rPr>
              <w:t>Starpība (2018.gada pieaugums pret 2017.gadu)</w:t>
            </w:r>
          </w:p>
        </w:tc>
        <w:tc>
          <w:tcPr>
            <w:tcW w:w="1843" w:type="dxa"/>
            <w:shd w:val="clear" w:color="auto" w:fill="E2EFD9" w:themeFill="accent6" w:themeFillTint="33"/>
            <w:vAlign w:val="center"/>
          </w:tcPr>
          <w:p w14:paraId="56C223AC" w14:textId="77777777" w:rsidR="00C63247" w:rsidRPr="0070062A" w:rsidRDefault="00C63247" w:rsidP="00295180">
            <w:pPr>
              <w:pStyle w:val="naislab"/>
              <w:spacing w:before="0" w:after="0"/>
              <w:jc w:val="center"/>
              <w:rPr>
                <w:b/>
                <w:i/>
                <w:sz w:val="22"/>
                <w:szCs w:val="22"/>
                <w:lang w:val="lv-LV"/>
              </w:rPr>
            </w:pPr>
            <w:r w:rsidRPr="0070062A">
              <w:rPr>
                <w:b/>
                <w:i/>
                <w:sz w:val="22"/>
                <w:szCs w:val="22"/>
                <w:lang w:val="lv-LV"/>
              </w:rPr>
              <w:t>2019.gadā (euro) (2019.gada pieaugums pret 2018.gadu)</w:t>
            </w:r>
          </w:p>
        </w:tc>
        <w:tc>
          <w:tcPr>
            <w:tcW w:w="1701" w:type="dxa"/>
            <w:shd w:val="clear" w:color="auto" w:fill="E2EFD9" w:themeFill="accent6" w:themeFillTint="33"/>
          </w:tcPr>
          <w:p w14:paraId="70DF505A" w14:textId="77777777" w:rsidR="00C63247" w:rsidRPr="0070062A" w:rsidRDefault="00C63247" w:rsidP="00295180">
            <w:pPr>
              <w:pStyle w:val="naislab"/>
              <w:spacing w:before="0" w:after="0"/>
              <w:jc w:val="center"/>
              <w:rPr>
                <w:b/>
                <w:i/>
                <w:sz w:val="22"/>
                <w:szCs w:val="20"/>
                <w:lang w:val="lv-LV"/>
              </w:rPr>
            </w:pPr>
            <w:r w:rsidRPr="0070062A">
              <w:rPr>
                <w:b/>
                <w:i/>
                <w:sz w:val="22"/>
                <w:szCs w:val="20"/>
                <w:lang w:val="lv-LV"/>
              </w:rPr>
              <w:t>No 2020.gada (euro)</w:t>
            </w:r>
          </w:p>
          <w:p w14:paraId="421A88DA" w14:textId="77777777" w:rsidR="00C63247" w:rsidRPr="0070062A" w:rsidRDefault="00C63247" w:rsidP="00295180">
            <w:pPr>
              <w:pStyle w:val="naislab"/>
              <w:spacing w:before="0" w:after="0"/>
              <w:jc w:val="center"/>
              <w:rPr>
                <w:b/>
                <w:i/>
                <w:sz w:val="22"/>
                <w:szCs w:val="22"/>
                <w:lang w:val="lv-LV"/>
              </w:rPr>
            </w:pPr>
            <w:r w:rsidRPr="0070062A">
              <w:rPr>
                <w:b/>
                <w:i/>
                <w:sz w:val="22"/>
                <w:szCs w:val="20"/>
                <w:lang w:val="lv-LV"/>
              </w:rPr>
              <w:t>(2020.gada pieaugums pret 2019.gadu)</w:t>
            </w:r>
          </w:p>
        </w:tc>
      </w:tr>
      <w:tr w:rsidR="00C63247" w:rsidRPr="0070062A" w14:paraId="650CA4EA" w14:textId="77777777" w:rsidTr="00295180">
        <w:tc>
          <w:tcPr>
            <w:tcW w:w="1551" w:type="dxa"/>
          </w:tcPr>
          <w:p w14:paraId="3175853C" w14:textId="77777777" w:rsidR="00C63247" w:rsidRPr="0070062A" w:rsidRDefault="00C63247" w:rsidP="00295180">
            <w:pPr>
              <w:pStyle w:val="naislab"/>
              <w:spacing w:before="0" w:after="0"/>
              <w:jc w:val="center"/>
              <w:rPr>
                <w:sz w:val="22"/>
                <w:szCs w:val="22"/>
                <w:lang w:val="lv-LV"/>
              </w:rPr>
            </w:pPr>
            <w:r w:rsidRPr="0070062A">
              <w:rPr>
                <w:sz w:val="22"/>
                <w:szCs w:val="22"/>
                <w:lang w:val="lv-LV"/>
              </w:rPr>
              <w:t>1</w:t>
            </w:r>
          </w:p>
        </w:tc>
        <w:tc>
          <w:tcPr>
            <w:tcW w:w="1279" w:type="dxa"/>
          </w:tcPr>
          <w:p w14:paraId="04852B0A"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569-770</w:t>
            </w:r>
          </w:p>
        </w:tc>
        <w:tc>
          <w:tcPr>
            <w:tcW w:w="1276" w:type="dxa"/>
          </w:tcPr>
          <w:p w14:paraId="03D0C2C1" w14:textId="77777777" w:rsidR="00C63247" w:rsidRPr="0070062A" w:rsidRDefault="00C63247" w:rsidP="00295180">
            <w:pPr>
              <w:pStyle w:val="naislab"/>
              <w:spacing w:before="0" w:after="0"/>
              <w:jc w:val="center"/>
              <w:rPr>
                <w:sz w:val="22"/>
                <w:szCs w:val="22"/>
                <w:lang w:val="lv-LV"/>
              </w:rPr>
            </w:pPr>
            <w:r w:rsidRPr="0070062A">
              <w:rPr>
                <w:sz w:val="22"/>
                <w:szCs w:val="22"/>
                <w:lang w:val="lv-LV"/>
              </w:rPr>
              <w:t>899</w:t>
            </w:r>
          </w:p>
        </w:tc>
        <w:tc>
          <w:tcPr>
            <w:tcW w:w="1701" w:type="dxa"/>
          </w:tcPr>
          <w:p w14:paraId="7ACC085A" w14:textId="77777777" w:rsidR="00C63247" w:rsidRPr="0070062A" w:rsidRDefault="00C63247" w:rsidP="00295180">
            <w:pPr>
              <w:pStyle w:val="naislab"/>
              <w:spacing w:before="0" w:after="0"/>
              <w:jc w:val="center"/>
              <w:rPr>
                <w:sz w:val="22"/>
                <w:szCs w:val="22"/>
                <w:lang w:val="lv-LV"/>
              </w:rPr>
            </w:pPr>
            <w:r w:rsidRPr="0070062A">
              <w:rPr>
                <w:sz w:val="22"/>
                <w:szCs w:val="22"/>
                <w:lang w:val="lv-LV"/>
              </w:rPr>
              <w:t>+17-58%</w:t>
            </w:r>
          </w:p>
        </w:tc>
        <w:tc>
          <w:tcPr>
            <w:tcW w:w="1843" w:type="dxa"/>
          </w:tcPr>
          <w:p w14:paraId="00696547" w14:textId="77777777" w:rsidR="00C63247" w:rsidRPr="0070062A" w:rsidRDefault="00C63247" w:rsidP="00295180">
            <w:pPr>
              <w:pStyle w:val="naislab"/>
              <w:spacing w:before="0" w:after="0"/>
              <w:jc w:val="center"/>
              <w:rPr>
                <w:sz w:val="22"/>
                <w:szCs w:val="22"/>
                <w:lang w:val="lv-LV"/>
              </w:rPr>
            </w:pPr>
            <w:r w:rsidRPr="0070062A">
              <w:rPr>
                <w:sz w:val="22"/>
                <w:szCs w:val="22"/>
                <w:lang w:val="lv-LV"/>
              </w:rPr>
              <w:t>1079 (+20%)</w:t>
            </w:r>
          </w:p>
        </w:tc>
        <w:tc>
          <w:tcPr>
            <w:tcW w:w="1701" w:type="dxa"/>
          </w:tcPr>
          <w:p w14:paraId="665EFC94" w14:textId="77777777" w:rsidR="00C63247" w:rsidRPr="0070062A" w:rsidRDefault="00C63247" w:rsidP="00295180">
            <w:pPr>
              <w:pStyle w:val="naislab"/>
              <w:spacing w:before="0" w:after="0"/>
              <w:jc w:val="center"/>
              <w:rPr>
                <w:sz w:val="22"/>
                <w:szCs w:val="22"/>
                <w:lang w:val="lv-LV"/>
              </w:rPr>
            </w:pPr>
            <w:r w:rsidRPr="0070062A">
              <w:rPr>
                <w:sz w:val="22"/>
                <w:szCs w:val="20"/>
                <w:lang w:val="lv-LV"/>
              </w:rPr>
              <w:t>1 187 (+10%)</w:t>
            </w:r>
          </w:p>
        </w:tc>
      </w:tr>
      <w:tr w:rsidR="00C63247" w:rsidRPr="0070062A" w14:paraId="30BD24E3" w14:textId="77777777" w:rsidTr="00295180">
        <w:tc>
          <w:tcPr>
            <w:tcW w:w="1551" w:type="dxa"/>
          </w:tcPr>
          <w:p w14:paraId="311F837E" w14:textId="77777777" w:rsidR="00C63247" w:rsidRPr="0070062A" w:rsidRDefault="00C63247" w:rsidP="00295180">
            <w:pPr>
              <w:pStyle w:val="naislab"/>
              <w:spacing w:before="0" w:after="0"/>
              <w:jc w:val="center"/>
              <w:rPr>
                <w:sz w:val="22"/>
                <w:szCs w:val="22"/>
                <w:lang w:val="lv-LV"/>
              </w:rPr>
            </w:pPr>
            <w:r w:rsidRPr="0070062A">
              <w:rPr>
                <w:sz w:val="22"/>
                <w:szCs w:val="22"/>
                <w:lang w:val="lv-LV"/>
              </w:rPr>
              <w:t>2</w:t>
            </w:r>
          </w:p>
        </w:tc>
        <w:tc>
          <w:tcPr>
            <w:tcW w:w="1279" w:type="dxa"/>
          </w:tcPr>
          <w:p w14:paraId="2104547D" w14:textId="77777777" w:rsidR="00C63247" w:rsidRPr="0070062A" w:rsidRDefault="00C63247" w:rsidP="00295180">
            <w:pPr>
              <w:pStyle w:val="naislab"/>
              <w:spacing w:before="0" w:after="0"/>
              <w:jc w:val="center"/>
              <w:rPr>
                <w:sz w:val="22"/>
                <w:szCs w:val="22"/>
                <w:lang w:val="lv-LV"/>
              </w:rPr>
            </w:pPr>
            <w:r w:rsidRPr="0070062A">
              <w:rPr>
                <w:sz w:val="22"/>
                <w:szCs w:val="22"/>
                <w:lang w:val="lv-LV"/>
              </w:rPr>
              <w:t>471-646</w:t>
            </w:r>
          </w:p>
        </w:tc>
        <w:tc>
          <w:tcPr>
            <w:tcW w:w="1276" w:type="dxa"/>
          </w:tcPr>
          <w:p w14:paraId="3E29FF79" w14:textId="77777777" w:rsidR="00C63247" w:rsidRPr="0070062A" w:rsidRDefault="00C63247" w:rsidP="00295180">
            <w:pPr>
              <w:pStyle w:val="naislab"/>
              <w:spacing w:before="0" w:after="0"/>
              <w:jc w:val="center"/>
              <w:rPr>
                <w:sz w:val="22"/>
                <w:szCs w:val="22"/>
                <w:lang w:val="lv-LV"/>
              </w:rPr>
            </w:pPr>
            <w:r w:rsidRPr="0070062A">
              <w:rPr>
                <w:sz w:val="22"/>
                <w:szCs w:val="22"/>
                <w:lang w:val="lv-LV"/>
              </w:rPr>
              <w:t>792</w:t>
            </w:r>
          </w:p>
        </w:tc>
        <w:tc>
          <w:tcPr>
            <w:tcW w:w="1701" w:type="dxa"/>
          </w:tcPr>
          <w:p w14:paraId="6C3AAA68" w14:textId="77777777" w:rsidR="00C63247" w:rsidRPr="0070062A" w:rsidRDefault="00C63247" w:rsidP="00295180">
            <w:pPr>
              <w:pStyle w:val="naislab"/>
              <w:spacing w:before="0" w:after="0"/>
              <w:jc w:val="center"/>
              <w:rPr>
                <w:sz w:val="22"/>
                <w:szCs w:val="22"/>
                <w:lang w:val="lv-LV"/>
              </w:rPr>
            </w:pPr>
            <w:r w:rsidRPr="0070062A">
              <w:rPr>
                <w:sz w:val="22"/>
                <w:szCs w:val="22"/>
                <w:lang w:val="lv-LV"/>
              </w:rPr>
              <w:t>+23-68%</w:t>
            </w:r>
          </w:p>
        </w:tc>
        <w:tc>
          <w:tcPr>
            <w:tcW w:w="1843" w:type="dxa"/>
          </w:tcPr>
          <w:p w14:paraId="21A855BD" w14:textId="77777777" w:rsidR="00C63247" w:rsidRPr="0070062A" w:rsidRDefault="00C63247" w:rsidP="00295180">
            <w:pPr>
              <w:pStyle w:val="naislab"/>
              <w:spacing w:before="0" w:after="0"/>
              <w:jc w:val="center"/>
              <w:rPr>
                <w:sz w:val="22"/>
                <w:szCs w:val="22"/>
                <w:lang w:val="lv-LV"/>
              </w:rPr>
            </w:pPr>
            <w:r w:rsidRPr="0070062A">
              <w:rPr>
                <w:sz w:val="22"/>
                <w:szCs w:val="22"/>
                <w:lang w:val="lv-LV"/>
              </w:rPr>
              <w:t>950 (+20%)</w:t>
            </w:r>
          </w:p>
        </w:tc>
        <w:tc>
          <w:tcPr>
            <w:tcW w:w="1701" w:type="dxa"/>
          </w:tcPr>
          <w:p w14:paraId="51EDF42C" w14:textId="77777777" w:rsidR="00C63247" w:rsidRPr="0070062A" w:rsidRDefault="00C63247" w:rsidP="00295180">
            <w:pPr>
              <w:pStyle w:val="naislab"/>
              <w:spacing w:before="0" w:after="0"/>
              <w:jc w:val="center"/>
              <w:rPr>
                <w:sz w:val="22"/>
                <w:szCs w:val="22"/>
                <w:lang w:val="lv-LV"/>
              </w:rPr>
            </w:pPr>
            <w:r w:rsidRPr="0070062A">
              <w:rPr>
                <w:sz w:val="22"/>
                <w:szCs w:val="20"/>
                <w:lang w:val="lv-LV"/>
              </w:rPr>
              <w:t>1 045 (+10%)</w:t>
            </w:r>
          </w:p>
        </w:tc>
      </w:tr>
      <w:tr w:rsidR="00C63247" w:rsidRPr="0070062A" w14:paraId="56FDDA42" w14:textId="77777777" w:rsidTr="00295180">
        <w:tc>
          <w:tcPr>
            <w:tcW w:w="1551" w:type="dxa"/>
          </w:tcPr>
          <w:p w14:paraId="633CD754" w14:textId="77777777" w:rsidR="00C63247" w:rsidRPr="0070062A" w:rsidRDefault="00C63247" w:rsidP="00295180">
            <w:pPr>
              <w:pStyle w:val="naislab"/>
              <w:spacing w:before="0" w:after="0"/>
              <w:jc w:val="center"/>
              <w:rPr>
                <w:sz w:val="22"/>
                <w:szCs w:val="22"/>
                <w:lang w:val="lv-LV"/>
              </w:rPr>
            </w:pPr>
            <w:r w:rsidRPr="0070062A">
              <w:rPr>
                <w:sz w:val="22"/>
                <w:szCs w:val="22"/>
                <w:lang w:val="lv-LV"/>
              </w:rPr>
              <w:t>3</w:t>
            </w:r>
          </w:p>
        </w:tc>
        <w:tc>
          <w:tcPr>
            <w:tcW w:w="1279" w:type="dxa"/>
          </w:tcPr>
          <w:p w14:paraId="301D9A91" w14:textId="77777777" w:rsidR="00C63247" w:rsidRPr="0070062A" w:rsidRDefault="00C63247" w:rsidP="00295180">
            <w:pPr>
              <w:pStyle w:val="naislab"/>
              <w:spacing w:before="0" w:after="0"/>
              <w:jc w:val="center"/>
              <w:rPr>
                <w:sz w:val="22"/>
                <w:szCs w:val="22"/>
                <w:lang w:val="lv-LV"/>
              </w:rPr>
            </w:pPr>
            <w:r w:rsidRPr="0070062A">
              <w:rPr>
                <w:sz w:val="22"/>
                <w:szCs w:val="22"/>
                <w:lang w:val="lv-LV"/>
              </w:rPr>
              <w:t>418-569</w:t>
            </w:r>
          </w:p>
        </w:tc>
        <w:tc>
          <w:tcPr>
            <w:tcW w:w="1276" w:type="dxa"/>
          </w:tcPr>
          <w:p w14:paraId="7ABF7979"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595</w:t>
            </w:r>
          </w:p>
        </w:tc>
        <w:tc>
          <w:tcPr>
            <w:tcW w:w="1701" w:type="dxa"/>
          </w:tcPr>
          <w:p w14:paraId="1EA41E21"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+5-42%</w:t>
            </w:r>
          </w:p>
        </w:tc>
        <w:tc>
          <w:tcPr>
            <w:tcW w:w="1843" w:type="dxa"/>
          </w:tcPr>
          <w:p w14:paraId="1924A58B" w14:textId="77777777" w:rsidR="00C63247" w:rsidRPr="0070062A" w:rsidRDefault="00C63247" w:rsidP="00295180">
            <w:pPr>
              <w:pStyle w:val="naislab"/>
              <w:spacing w:before="0" w:after="0"/>
              <w:jc w:val="center"/>
              <w:rPr>
                <w:sz w:val="22"/>
                <w:szCs w:val="22"/>
                <w:lang w:val="lv-LV"/>
              </w:rPr>
            </w:pPr>
            <w:r w:rsidRPr="0070062A">
              <w:rPr>
                <w:sz w:val="22"/>
                <w:szCs w:val="22"/>
                <w:lang w:val="lv-LV"/>
              </w:rPr>
              <w:t>714 (+20%)</w:t>
            </w:r>
          </w:p>
        </w:tc>
        <w:tc>
          <w:tcPr>
            <w:tcW w:w="1701" w:type="dxa"/>
          </w:tcPr>
          <w:p w14:paraId="2DEF78E6" w14:textId="77777777" w:rsidR="00C63247" w:rsidRPr="0070062A" w:rsidRDefault="00C63247" w:rsidP="00295180">
            <w:pPr>
              <w:pStyle w:val="naislab"/>
              <w:spacing w:before="0" w:after="0"/>
              <w:jc w:val="center"/>
              <w:rPr>
                <w:sz w:val="22"/>
                <w:szCs w:val="22"/>
                <w:lang w:val="lv-LV"/>
              </w:rPr>
            </w:pPr>
            <w:r w:rsidRPr="0070062A">
              <w:rPr>
                <w:sz w:val="22"/>
                <w:szCs w:val="20"/>
                <w:lang w:val="lv-LV"/>
              </w:rPr>
              <w:t>785 (</w:t>
            </w:r>
            <w:r>
              <w:rPr>
                <w:sz w:val="22"/>
                <w:szCs w:val="20"/>
                <w:lang w:val="lv-LV"/>
              </w:rPr>
              <w:t>+10</w:t>
            </w:r>
            <w:r w:rsidRPr="0070062A">
              <w:rPr>
                <w:sz w:val="22"/>
                <w:szCs w:val="20"/>
                <w:lang w:val="lv-LV"/>
              </w:rPr>
              <w:t>%)</w:t>
            </w:r>
          </w:p>
        </w:tc>
      </w:tr>
      <w:tr w:rsidR="00C63247" w:rsidRPr="0070062A" w14:paraId="7CEC0B39" w14:textId="77777777" w:rsidTr="00295180">
        <w:tc>
          <w:tcPr>
            <w:tcW w:w="1551" w:type="dxa"/>
          </w:tcPr>
          <w:p w14:paraId="63AAF37C" w14:textId="77777777" w:rsidR="00C63247" w:rsidRPr="0070062A" w:rsidRDefault="00C63247" w:rsidP="00295180">
            <w:pPr>
              <w:pStyle w:val="naislab"/>
              <w:spacing w:before="0" w:after="0"/>
              <w:jc w:val="center"/>
              <w:rPr>
                <w:sz w:val="22"/>
                <w:szCs w:val="22"/>
                <w:lang w:val="lv-LV"/>
              </w:rPr>
            </w:pPr>
            <w:r w:rsidRPr="0070062A">
              <w:rPr>
                <w:sz w:val="22"/>
                <w:szCs w:val="22"/>
                <w:lang w:val="lv-LV"/>
              </w:rPr>
              <w:t>4</w:t>
            </w:r>
          </w:p>
        </w:tc>
        <w:tc>
          <w:tcPr>
            <w:tcW w:w="1279" w:type="dxa"/>
          </w:tcPr>
          <w:p w14:paraId="304BD043" w14:textId="77777777" w:rsidR="00C63247" w:rsidRPr="0070062A" w:rsidRDefault="00C63247" w:rsidP="00295180">
            <w:pPr>
              <w:pStyle w:val="naislab"/>
              <w:spacing w:before="0" w:after="0"/>
              <w:jc w:val="center"/>
              <w:rPr>
                <w:sz w:val="22"/>
                <w:szCs w:val="22"/>
                <w:lang w:val="lv-LV"/>
              </w:rPr>
            </w:pPr>
            <w:r w:rsidRPr="0070062A">
              <w:rPr>
                <w:sz w:val="22"/>
                <w:szCs w:val="22"/>
                <w:lang w:val="lv-LV"/>
              </w:rPr>
              <w:t>393-471</w:t>
            </w:r>
          </w:p>
        </w:tc>
        <w:tc>
          <w:tcPr>
            <w:tcW w:w="1276" w:type="dxa"/>
          </w:tcPr>
          <w:p w14:paraId="6781699D"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524</w:t>
            </w:r>
          </w:p>
        </w:tc>
        <w:tc>
          <w:tcPr>
            <w:tcW w:w="1701" w:type="dxa"/>
          </w:tcPr>
          <w:p w14:paraId="6ABD8C9E" w14:textId="77777777" w:rsidR="00C63247" w:rsidRPr="0070062A" w:rsidRDefault="00C63247" w:rsidP="00295180">
            <w:pPr>
              <w:pStyle w:val="naislab"/>
              <w:spacing w:before="0" w:after="0"/>
              <w:jc w:val="center"/>
              <w:rPr>
                <w:sz w:val="22"/>
                <w:szCs w:val="22"/>
                <w:lang w:val="lv-LV"/>
              </w:rPr>
            </w:pPr>
            <w:r w:rsidRPr="0070062A">
              <w:rPr>
                <w:sz w:val="22"/>
                <w:szCs w:val="22"/>
                <w:lang w:val="lv-LV"/>
              </w:rPr>
              <w:t>+11-33%</w:t>
            </w:r>
          </w:p>
        </w:tc>
        <w:tc>
          <w:tcPr>
            <w:tcW w:w="1843" w:type="dxa"/>
          </w:tcPr>
          <w:p w14:paraId="04C86869" w14:textId="77777777" w:rsidR="00C63247" w:rsidRPr="0070062A" w:rsidRDefault="00C63247" w:rsidP="00295180">
            <w:pPr>
              <w:pStyle w:val="naislab"/>
              <w:spacing w:before="0" w:after="0"/>
              <w:jc w:val="center"/>
              <w:rPr>
                <w:sz w:val="22"/>
                <w:szCs w:val="22"/>
                <w:lang w:val="lv-LV"/>
              </w:rPr>
            </w:pPr>
            <w:r w:rsidRPr="0070062A">
              <w:rPr>
                <w:sz w:val="22"/>
                <w:szCs w:val="22"/>
                <w:lang w:val="lv-LV"/>
              </w:rPr>
              <w:t>629 (+20%)</w:t>
            </w:r>
          </w:p>
        </w:tc>
        <w:tc>
          <w:tcPr>
            <w:tcW w:w="1701" w:type="dxa"/>
          </w:tcPr>
          <w:p w14:paraId="175A43E9" w14:textId="77777777" w:rsidR="00C63247" w:rsidRPr="0070062A" w:rsidRDefault="00C63247" w:rsidP="00295180">
            <w:pPr>
              <w:pStyle w:val="naislab"/>
              <w:spacing w:before="0" w:after="0"/>
              <w:jc w:val="center"/>
              <w:rPr>
                <w:sz w:val="22"/>
                <w:szCs w:val="22"/>
                <w:lang w:val="lv-LV"/>
              </w:rPr>
            </w:pPr>
            <w:r w:rsidRPr="0070062A">
              <w:rPr>
                <w:sz w:val="22"/>
                <w:szCs w:val="20"/>
                <w:lang w:val="lv-LV"/>
              </w:rPr>
              <w:t>692 (</w:t>
            </w:r>
            <w:r>
              <w:rPr>
                <w:sz w:val="22"/>
                <w:szCs w:val="20"/>
                <w:lang w:val="lv-LV"/>
              </w:rPr>
              <w:t>+</w:t>
            </w:r>
            <w:r w:rsidRPr="0070062A">
              <w:rPr>
                <w:sz w:val="22"/>
                <w:szCs w:val="20"/>
                <w:lang w:val="lv-LV"/>
              </w:rPr>
              <w:t>10%)</w:t>
            </w:r>
          </w:p>
        </w:tc>
      </w:tr>
      <w:tr w:rsidR="00C63247" w:rsidRPr="0070062A" w14:paraId="37E6612C" w14:textId="77777777" w:rsidTr="00295180">
        <w:tc>
          <w:tcPr>
            <w:tcW w:w="1551" w:type="dxa"/>
          </w:tcPr>
          <w:p w14:paraId="067771C9"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w:t>
            </w:r>
          </w:p>
        </w:tc>
        <w:tc>
          <w:tcPr>
            <w:tcW w:w="1279" w:type="dxa"/>
          </w:tcPr>
          <w:p w14:paraId="2F54EB09" w14:textId="77777777" w:rsidR="00C63247" w:rsidRPr="0070062A" w:rsidRDefault="00C63247" w:rsidP="00295180">
            <w:pPr>
              <w:pStyle w:val="naislab"/>
              <w:spacing w:before="0" w:after="0"/>
              <w:jc w:val="center"/>
              <w:rPr>
                <w:sz w:val="22"/>
                <w:szCs w:val="22"/>
                <w:lang w:val="lv-LV"/>
              </w:rPr>
            </w:pPr>
            <w:r w:rsidRPr="0070062A">
              <w:rPr>
                <w:sz w:val="22"/>
                <w:szCs w:val="22"/>
                <w:lang w:val="lv-LV"/>
              </w:rPr>
              <w:t>393-418</w:t>
            </w:r>
          </w:p>
        </w:tc>
        <w:tc>
          <w:tcPr>
            <w:tcW w:w="1276" w:type="dxa"/>
          </w:tcPr>
          <w:p w14:paraId="67C988E4" w14:textId="77777777" w:rsidR="00C63247" w:rsidRPr="0070062A" w:rsidRDefault="00C63247" w:rsidP="00295180">
            <w:pPr>
              <w:pStyle w:val="naislab"/>
              <w:spacing w:before="0" w:after="0"/>
              <w:jc w:val="center"/>
              <w:rPr>
                <w:sz w:val="22"/>
                <w:szCs w:val="22"/>
                <w:lang w:val="lv-LV"/>
              </w:rPr>
            </w:pPr>
            <w:r w:rsidRPr="0070062A">
              <w:rPr>
                <w:sz w:val="22"/>
                <w:szCs w:val="22"/>
                <w:lang w:val="lv-LV"/>
              </w:rPr>
              <w:t>466</w:t>
            </w:r>
          </w:p>
        </w:tc>
        <w:tc>
          <w:tcPr>
            <w:tcW w:w="1701" w:type="dxa"/>
          </w:tcPr>
          <w:p w14:paraId="39957DC0" w14:textId="77777777" w:rsidR="00C63247" w:rsidRPr="0070062A" w:rsidRDefault="00C63247" w:rsidP="00295180">
            <w:pPr>
              <w:pStyle w:val="naislab"/>
              <w:spacing w:before="0" w:after="0"/>
              <w:jc w:val="center"/>
              <w:rPr>
                <w:sz w:val="22"/>
                <w:szCs w:val="22"/>
                <w:lang w:val="lv-LV"/>
              </w:rPr>
            </w:pPr>
            <w:r w:rsidRPr="0070062A">
              <w:rPr>
                <w:sz w:val="22"/>
                <w:szCs w:val="22"/>
                <w:lang w:val="lv-LV"/>
              </w:rPr>
              <w:t>+11-19%</w:t>
            </w:r>
          </w:p>
        </w:tc>
        <w:tc>
          <w:tcPr>
            <w:tcW w:w="1843" w:type="dxa"/>
          </w:tcPr>
          <w:p w14:paraId="3706104F"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559 (+20%)</w:t>
            </w:r>
          </w:p>
        </w:tc>
        <w:tc>
          <w:tcPr>
            <w:tcW w:w="1701" w:type="dxa"/>
          </w:tcPr>
          <w:p w14:paraId="7EAC6D34" w14:textId="77777777" w:rsidR="00C63247" w:rsidRPr="0070062A" w:rsidRDefault="00C63247" w:rsidP="00295180">
            <w:pPr>
              <w:pStyle w:val="naislab"/>
              <w:spacing w:before="0" w:after="0"/>
              <w:jc w:val="center"/>
              <w:rPr>
                <w:sz w:val="22"/>
                <w:szCs w:val="22"/>
                <w:lang w:val="lv-LV"/>
              </w:rPr>
            </w:pPr>
            <w:r w:rsidRPr="0070062A">
              <w:rPr>
                <w:sz w:val="22"/>
                <w:szCs w:val="20"/>
                <w:lang w:val="lv-LV"/>
              </w:rPr>
              <w:t>615 (</w:t>
            </w:r>
            <w:r>
              <w:rPr>
                <w:sz w:val="22"/>
                <w:szCs w:val="20"/>
                <w:lang w:val="lv-LV"/>
              </w:rPr>
              <w:t>+</w:t>
            </w:r>
            <w:r w:rsidRPr="0070062A">
              <w:rPr>
                <w:sz w:val="22"/>
                <w:szCs w:val="20"/>
                <w:lang w:val="lv-LV"/>
              </w:rPr>
              <w:t>10%)</w:t>
            </w:r>
          </w:p>
        </w:tc>
      </w:tr>
      <w:tr w:rsidR="00C63247" w:rsidRPr="0070062A" w14:paraId="7D56735F" w14:textId="77777777" w:rsidTr="00295180">
        <w:tc>
          <w:tcPr>
            <w:tcW w:w="1551" w:type="dxa"/>
          </w:tcPr>
          <w:p w14:paraId="1C2AA370" w14:textId="77777777" w:rsidR="00C63247" w:rsidRPr="0070062A" w:rsidRDefault="00C63247" w:rsidP="00295180">
            <w:pPr>
              <w:pStyle w:val="naislab"/>
              <w:spacing w:before="0" w:after="0"/>
              <w:jc w:val="center"/>
              <w:rPr>
                <w:sz w:val="22"/>
                <w:szCs w:val="22"/>
                <w:lang w:val="lv-LV"/>
              </w:rPr>
            </w:pPr>
            <w:r w:rsidRPr="0070062A">
              <w:rPr>
                <w:sz w:val="22"/>
                <w:szCs w:val="22"/>
                <w:lang w:val="lv-LV"/>
              </w:rPr>
              <w:t>6</w:t>
            </w:r>
          </w:p>
        </w:tc>
        <w:tc>
          <w:tcPr>
            <w:tcW w:w="1279" w:type="dxa"/>
          </w:tcPr>
          <w:p w14:paraId="2ACCB9FC" w14:textId="77777777" w:rsidR="00C63247" w:rsidRPr="0070062A" w:rsidRDefault="00C63247" w:rsidP="00295180">
            <w:pPr>
              <w:pStyle w:val="naislab"/>
              <w:spacing w:before="0" w:after="0"/>
              <w:jc w:val="center"/>
              <w:rPr>
                <w:sz w:val="22"/>
                <w:szCs w:val="22"/>
                <w:lang w:val="lv-LV"/>
              </w:rPr>
            </w:pPr>
            <w:r w:rsidRPr="0070062A">
              <w:rPr>
                <w:sz w:val="22"/>
                <w:szCs w:val="22"/>
                <w:lang w:val="lv-LV"/>
              </w:rPr>
              <w:t>385-393</w:t>
            </w:r>
          </w:p>
        </w:tc>
        <w:tc>
          <w:tcPr>
            <w:tcW w:w="1276" w:type="dxa"/>
          </w:tcPr>
          <w:p w14:paraId="0B07B82A" w14:textId="77777777" w:rsidR="00C63247" w:rsidRPr="0070062A" w:rsidRDefault="00C63247" w:rsidP="00295180">
            <w:pPr>
              <w:pStyle w:val="naislab"/>
              <w:spacing w:before="0" w:after="0"/>
              <w:jc w:val="center"/>
              <w:rPr>
                <w:sz w:val="22"/>
                <w:szCs w:val="22"/>
                <w:lang w:val="lv-LV"/>
              </w:rPr>
            </w:pPr>
            <w:r w:rsidRPr="0070062A">
              <w:rPr>
                <w:sz w:val="22"/>
                <w:szCs w:val="22"/>
                <w:lang w:val="lv-LV"/>
              </w:rPr>
              <w:t>437</w:t>
            </w:r>
          </w:p>
        </w:tc>
        <w:tc>
          <w:tcPr>
            <w:tcW w:w="1701" w:type="dxa"/>
          </w:tcPr>
          <w:p w14:paraId="4230DEE7" w14:textId="77777777" w:rsidR="00C63247" w:rsidRPr="0070062A" w:rsidRDefault="00C63247" w:rsidP="00295180">
            <w:pPr>
              <w:pStyle w:val="naislab"/>
              <w:spacing w:before="0" w:after="0"/>
              <w:jc w:val="center"/>
              <w:rPr>
                <w:sz w:val="22"/>
                <w:szCs w:val="22"/>
                <w:lang w:val="lv-LV"/>
              </w:rPr>
            </w:pPr>
            <w:r w:rsidRPr="0070062A">
              <w:rPr>
                <w:sz w:val="22"/>
                <w:szCs w:val="22"/>
                <w:lang w:val="lv-LV"/>
              </w:rPr>
              <w:t>+11-14%</w:t>
            </w:r>
          </w:p>
        </w:tc>
        <w:tc>
          <w:tcPr>
            <w:tcW w:w="1843" w:type="dxa"/>
          </w:tcPr>
          <w:p w14:paraId="67E40DDF" w14:textId="77777777" w:rsidR="00C63247" w:rsidRPr="0070062A" w:rsidRDefault="00C63247" w:rsidP="00295180">
            <w:pPr>
              <w:pStyle w:val="naislab"/>
              <w:spacing w:before="0" w:after="0"/>
              <w:jc w:val="center"/>
              <w:rPr>
                <w:sz w:val="22"/>
                <w:szCs w:val="22"/>
                <w:lang w:val="lv-LV"/>
              </w:rPr>
            </w:pPr>
            <w:r w:rsidRPr="0070062A">
              <w:rPr>
                <w:sz w:val="22"/>
                <w:szCs w:val="22"/>
                <w:lang w:val="lv-LV"/>
              </w:rPr>
              <w:t>524 (+20%)</w:t>
            </w:r>
          </w:p>
        </w:tc>
        <w:tc>
          <w:tcPr>
            <w:tcW w:w="1701" w:type="dxa"/>
          </w:tcPr>
          <w:p w14:paraId="32F50891" w14:textId="77777777" w:rsidR="00C63247" w:rsidRPr="0070062A" w:rsidRDefault="00C63247" w:rsidP="00295180">
            <w:pPr>
              <w:pStyle w:val="naislab"/>
              <w:spacing w:before="0" w:after="0"/>
              <w:jc w:val="center"/>
              <w:rPr>
                <w:sz w:val="22"/>
                <w:szCs w:val="22"/>
                <w:lang w:val="lv-LV"/>
              </w:rPr>
            </w:pPr>
            <w:r w:rsidRPr="0070062A">
              <w:rPr>
                <w:sz w:val="22"/>
                <w:szCs w:val="20"/>
                <w:lang w:val="lv-LV"/>
              </w:rPr>
              <w:t>576 (</w:t>
            </w:r>
            <w:r>
              <w:rPr>
                <w:sz w:val="22"/>
                <w:szCs w:val="20"/>
                <w:lang w:val="lv-LV"/>
              </w:rPr>
              <w:t>+10</w:t>
            </w:r>
            <w:r w:rsidRPr="0070062A">
              <w:rPr>
                <w:sz w:val="22"/>
                <w:szCs w:val="20"/>
                <w:lang w:val="lv-LV"/>
              </w:rPr>
              <w:t>%)</w:t>
            </w:r>
          </w:p>
        </w:tc>
      </w:tr>
    </w:tbl>
    <w:p w14:paraId="7894F566" w14:textId="77777777" w:rsidR="00C63247" w:rsidRDefault="00C63247" w:rsidP="00C63247">
      <w:pPr>
        <w:spacing w:after="120" w:line="240" w:lineRule="auto"/>
        <w:jc w:val="both"/>
        <w:rPr>
          <w:rFonts w:ascii="Times New Roman" w:hAnsi="Times New Roman" w:cs="Times New Roman"/>
          <w:b/>
          <w:bCs/>
          <w:sz w:val="24"/>
          <w:szCs w:val="24"/>
        </w:rPr>
      </w:pPr>
    </w:p>
    <w:p w14:paraId="05974DDC"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b/>
          <w:bCs/>
          <w:sz w:val="24"/>
          <w:szCs w:val="24"/>
        </w:rPr>
        <w:t>Palielināta vidējā darba samaksa</w:t>
      </w:r>
      <w:r w:rsidRPr="0070062A">
        <w:rPr>
          <w:rFonts w:ascii="Times New Roman" w:hAnsi="Times New Roman" w:cs="Times New Roman"/>
          <w:sz w:val="24"/>
          <w:szCs w:val="24"/>
        </w:rPr>
        <w:t xml:space="preserve"> ārstniecības personām pakalpojumu tarifā: </w:t>
      </w:r>
    </w:p>
    <w:tbl>
      <w:tblPr>
        <w:tblStyle w:val="TableGrid"/>
        <w:tblpPr w:leftFromText="180" w:rightFromText="180" w:vertAnchor="text" w:horzAnchor="margin" w:tblpY="75"/>
        <w:tblW w:w="9492" w:type="dxa"/>
        <w:tblInd w:w="0" w:type="dxa"/>
        <w:tblLook w:val="04A0" w:firstRow="1" w:lastRow="0" w:firstColumn="1" w:lastColumn="0" w:noHBand="0" w:noVBand="1"/>
      </w:tblPr>
      <w:tblGrid>
        <w:gridCol w:w="3964"/>
        <w:gridCol w:w="1275"/>
        <w:gridCol w:w="1418"/>
        <w:gridCol w:w="1417"/>
        <w:gridCol w:w="1418"/>
      </w:tblGrid>
      <w:tr w:rsidR="00C63247" w:rsidRPr="0070062A" w14:paraId="16A37A8C" w14:textId="77777777" w:rsidTr="00295180">
        <w:tc>
          <w:tcPr>
            <w:tcW w:w="3964" w:type="dxa"/>
            <w:shd w:val="clear" w:color="auto" w:fill="E2EFD9" w:themeFill="accent6" w:themeFillTint="33"/>
          </w:tcPr>
          <w:p w14:paraId="18929185" w14:textId="77777777" w:rsidR="00C63247" w:rsidRPr="0070062A" w:rsidRDefault="00C63247" w:rsidP="00295180">
            <w:pPr>
              <w:jc w:val="both"/>
              <w:rPr>
                <w:rFonts w:ascii="Times New Roman" w:hAnsi="Times New Roman" w:cs="Times New Roman"/>
                <w:sz w:val="22"/>
                <w:szCs w:val="22"/>
                <w:lang w:val="lv-LV"/>
              </w:rPr>
            </w:pPr>
          </w:p>
        </w:tc>
        <w:tc>
          <w:tcPr>
            <w:tcW w:w="1275" w:type="dxa"/>
            <w:shd w:val="clear" w:color="auto" w:fill="E2EFD9" w:themeFill="accent6" w:themeFillTint="33"/>
          </w:tcPr>
          <w:p w14:paraId="49E54F51" w14:textId="77777777" w:rsidR="00C63247" w:rsidRPr="0070062A" w:rsidRDefault="00C63247" w:rsidP="00295180">
            <w:pPr>
              <w:jc w:val="center"/>
              <w:rPr>
                <w:rFonts w:ascii="Times New Roman" w:hAnsi="Times New Roman" w:cs="Times New Roman"/>
                <w:b/>
                <w:i/>
                <w:sz w:val="22"/>
                <w:szCs w:val="22"/>
                <w:lang w:val="lv-LV"/>
              </w:rPr>
            </w:pPr>
            <w:r w:rsidRPr="0070062A">
              <w:rPr>
                <w:rFonts w:ascii="Times New Roman" w:hAnsi="Times New Roman" w:cs="Times New Roman"/>
                <w:b/>
                <w:i/>
                <w:sz w:val="22"/>
                <w:szCs w:val="22"/>
                <w:lang w:val="lv-LV"/>
              </w:rPr>
              <w:t>2017.gads</w:t>
            </w:r>
          </w:p>
          <w:p w14:paraId="7D20B282" w14:textId="77777777" w:rsidR="00C63247" w:rsidRPr="0070062A" w:rsidRDefault="00C63247" w:rsidP="00295180">
            <w:pPr>
              <w:jc w:val="center"/>
              <w:rPr>
                <w:rFonts w:ascii="Times New Roman" w:hAnsi="Times New Roman" w:cs="Times New Roman"/>
                <w:b/>
                <w:i/>
                <w:iCs/>
                <w:sz w:val="22"/>
                <w:szCs w:val="22"/>
                <w:lang w:val="lv-LV"/>
              </w:rPr>
            </w:pPr>
            <w:r w:rsidRPr="0070062A">
              <w:rPr>
                <w:rFonts w:ascii="Times New Roman" w:hAnsi="Times New Roman" w:cs="Times New Roman"/>
                <w:b/>
                <w:i/>
                <w:iCs/>
                <w:sz w:val="22"/>
                <w:szCs w:val="22"/>
                <w:lang w:val="lv-LV"/>
              </w:rPr>
              <w:t>(euro)</w:t>
            </w:r>
          </w:p>
          <w:p w14:paraId="6A6D2E7E" w14:textId="77777777" w:rsidR="00C63247" w:rsidRPr="0070062A" w:rsidRDefault="00C63247" w:rsidP="00295180">
            <w:pPr>
              <w:jc w:val="center"/>
              <w:rPr>
                <w:rFonts w:ascii="Times New Roman" w:hAnsi="Times New Roman" w:cs="Times New Roman"/>
                <w:b/>
                <w:i/>
                <w:sz w:val="22"/>
                <w:szCs w:val="22"/>
                <w:lang w:val="lv-LV"/>
              </w:rPr>
            </w:pPr>
          </w:p>
        </w:tc>
        <w:tc>
          <w:tcPr>
            <w:tcW w:w="1418" w:type="dxa"/>
            <w:shd w:val="clear" w:color="auto" w:fill="E2EFD9" w:themeFill="accent6" w:themeFillTint="33"/>
          </w:tcPr>
          <w:p w14:paraId="799D8EFB" w14:textId="77777777" w:rsidR="00C63247" w:rsidRPr="0070062A" w:rsidRDefault="00C63247" w:rsidP="00295180">
            <w:pPr>
              <w:jc w:val="center"/>
              <w:rPr>
                <w:rFonts w:ascii="Times New Roman" w:hAnsi="Times New Roman" w:cs="Times New Roman"/>
                <w:b/>
                <w:i/>
                <w:sz w:val="22"/>
                <w:szCs w:val="22"/>
                <w:lang w:val="lv-LV"/>
              </w:rPr>
            </w:pPr>
            <w:r w:rsidRPr="0070062A">
              <w:rPr>
                <w:rFonts w:ascii="Times New Roman" w:hAnsi="Times New Roman" w:cs="Times New Roman"/>
                <w:b/>
                <w:i/>
                <w:sz w:val="22"/>
                <w:szCs w:val="22"/>
                <w:lang w:val="lv-LV"/>
              </w:rPr>
              <w:t>2018.gads</w:t>
            </w:r>
          </w:p>
          <w:p w14:paraId="2C833303" w14:textId="77777777" w:rsidR="00C63247" w:rsidRPr="0070062A" w:rsidRDefault="00C63247" w:rsidP="00295180">
            <w:pPr>
              <w:jc w:val="center"/>
              <w:rPr>
                <w:rFonts w:ascii="Times New Roman" w:hAnsi="Times New Roman" w:cs="Times New Roman"/>
                <w:b/>
                <w:i/>
                <w:iCs/>
                <w:sz w:val="22"/>
                <w:szCs w:val="22"/>
                <w:lang w:val="lv-LV"/>
              </w:rPr>
            </w:pPr>
            <w:r w:rsidRPr="0070062A">
              <w:rPr>
                <w:rFonts w:ascii="Times New Roman" w:hAnsi="Times New Roman" w:cs="Times New Roman"/>
                <w:b/>
                <w:i/>
                <w:iCs/>
                <w:sz w:val="22"/>
                <w:szCs w:val="22"/>
                <w:lang w:val="lv-LV"/>
              </w:rPr>
              <w:t>(euro)</w:t>
            </w:r>
          </w:p>
          <w:p w14:paraId="4048CF6F" w14:textId="77777777" w:rsidR="00C63247" w:rsidRPr="0070062A" w:rsidRDefault="00C63247" w:rsidP="00295180">
            <w:pPr>
              <w:jc w:val="center"/>
              <w:rPr>
                <w:rFonts w:ascii="Times New Roman" w:hAnsi="Times New Roman" w:cs="Times New Roman"/>
                <w:b/>
                <w:i/>
                <w:sz w:val="22"/>
                <w:szCs w:val="22"/>
                <w:lang w:val="lv-LV"/>
              </w:rPr>
            </w:pPr>
            <w:r w:rsidRPr="0070062A">
              <w:rPr>
                <w:rFonts w:ascii="Times New Roman" w:hAnsi="Times New Roman" w:cs="Times New Roman"/>
                <w:b/>
                <w:i/>
                <w:sz w:val="22"/>
                <w:szCs w:val="22"/>
                <w:lang w:val="lv-LV"/>
              </w:rPr>
              <w:t>(2018.gada pieaugums pret 2017.gadu)</w:t>
            </w:r>
          </w:p>
        </w:tc>
        <w:tc>
          <w:tcPr>
            <w:tcW w:w="1417" w:type="dxa"/>
            <w:shd w:val="clear" w:color="auto" w:fill="E2EFD9" w:themeFill="accent6" w:themeFillTint="33"/>
          </w:tcPr>
          <w:p w14:paraId="444AAAE4" w14:textId="77777777" w:rsidR="00C63247" w:rsidRPr="0070062A" w:rsidRDefault="00C63247" w:rsidP="00295180">
            <w:pPr>
              <w:jc w:val="center"/>
              <w:rPr>
                <w:rFonts w:ascii="Times New Roman" w:hAnsi="Times New Roman" w:cs="Times New Roman"/>
                <w:b/>
                <w:i/>
                <w:sz w:val="22"/>
                <w:szCs w:val="22"/>
                <w:lang w:val="lv-LV"/>
              </w:rPr>
            </w:pPr>
            <w:r w:rsidRPr="0070062A">
              <w:rPr>
                <w:rFonts w:ascii="Times New Roman" w:hAnsi="Times New Roman" w:cs="Times New Roman"/>
                <w:b/>
                <w:i/>
                <w:sz w:val="22"/>
                <w:szCs w:val="22"/>
                <w:lang w:val="lv-LV"/>
              </w:rPr>
              <w:t>2019.gads</w:t>
            </w:r>
          </w:p>
          <w:p w14:paraId="7F8AD74C" w14:textId="77777777" w:rsidR="00C63247" w:rsidRPr="0070062A" w:rsidRDefault="00C63247" w:rsidP="00295180">
            <w:pPr>
              <w:jc w:val="center"/>
              <w:rPr>
                <w:rFonts w:ascii="Times New Roman" w:hAnsi="Times New Roman" w:cs="Times New Roman"/>
                <w:b/>
                <w:i/>
                <w:iCs/>
                <w:sz w:val="22"/>
                <w:szCs w:val="22"/>
                <w:lang w:val="lv-LV"/>
              </w:rPr>
            </w:pPr>
            <w:r w:rsidRPr="0070062A">
              <w:rPr>
                <w:rFonts w:ascii="Times New Roman" w:hAnsi="Times New Roman" w:cs="Times New Roman"/>
                <w:b/>
                <w:i/>
                <w:iCs/>
                <w:sz w:val="22"/>
                <w:szCs w:val="22"/>
                <w:lang w:val="lv-LV"/>
              </w:rPr>
              <w:t>(euro)</w:t>
            </w:r>
          </w:p>
          <w:p w14:paraId="0C728316" w14:textId="77777777" w:rsidR="00C63247" w:rsidRPr="0070062A" w:rsidRDefault="00C63247" w:rsidP="00295180">
            <w:pPr>
              <w:jc w:val="center"/>
              <w:rPr>
                <w:rFonts w:ascii="Times New Roman" w:hAnsi="Times New Roman" w:cs="Times New Roman"/>
                <w:b/>
                <w:i/>
                <w:iCs/>
                <w:sz w:val="22"/>
                <w:szCs w:val="22"/>
                <w:lang w:val="lv-LV"/>
              </w:rPr>
            </w:pPr>
            <w:r w:rsidRPr="0070062A">
              <w:rPr>
                <w:rFonts w:ascii="Times New Roman" w:hAnsi="Times New Roman" w:cs="Times New Roman"/>
                <w:b/>
                <w:i/>
                <w:sz w:val="22"/>
                <w:szCs w:val="22"/>
                <w:lang w:val="lv-LV"/>
              </w:rPr>
              <w:t>(2019.gada pieaugums pret 2018.gadu)</w:t>
            </w:r>
          </w:p>
        </w:tc>
        <w:tc>
          <w:tcPr>
            <w:tcW w:w="1418" w:type="dxa"/>
            <w:shd w:val="clear" w:color="auto" w:fill="E2EFD9" w:themeFill="accent6" w:themeFillTint="33"/>
          </w:tcPr>
          <w:p w14:paraId="201B9BDD" w14:textId="77777777" w:rsidR="00C63247" w:rsidRPr="0070062A" w:rsidRDefault="00C63247" w:rsidP="00295180">
            <w:pPr>
              <w:jc w:val="center"/>
              <w:rPr>
                <w:rFonts w:ascii="Times New Roman" w:hAnsi="Times New Roman" w:cs="Times New Roman"/>
                <w:b/>
                <w:i/>
                <w:sz w:val="22"/>
                <w:szCs w:val="22"/>
                <w:lang w:val="lv-LV"/>
              </w:rPr>
            </w:pPr>
            <w:r w:rsidRPr="0070062A">
              <w:rPr>
                <w:rFonts w:ascii="Times New Roman" w:hAnsi="Times New Roman" w:cs="Times New Roman"/>
                <w:b/>
                <w:i/>
                <w:sz w:val="22"/>
                <w:szCs w:val="22"/>
                <w:lang w:val="lv-LV"/>
              </w:rPr>
              <w:t>2020.gadā</w:t>
            </w:r>
          </w:p>
          <w:p w14:paraId="5E3741F4" w14:textId="77777777" w:rsidR="00C63247" w:rsidRPr="0070062A" w:rsidRDefault="00C63247" w:rsidP="00295180">
            <w:pPr>
              <w:jc w:val="center"/>
              <w:rPr>
                <w:rFonts w:ascii="Times New Roman" w:hAnsi="Times New Roman" w:cs="Times New Roman"/>
                <w:b/>
                <w:i/>
                <w:iCs/>
                <w:sz w:val="22"/>
                <w:szCs w:val="22"/>
                <w:lang w:val="lv-LV"/>
              </w:rPr>
            </w:pPr>
            <w:r w:rsidRPr="0070062A">
              <w:rPr>
                <w:rFonts w:ascii="Times New Roman" w:hAnsi="Times New Roman" w:cs="Times New Roman"/>
                <w:b/>
                <w:i/>
                <w:iCs/>
                <w:sz w:val="22"/>
                <w:szCs w:val="22"/>
                <w:lang w:val="lv-LV"/>
              </w:rPr>
              <w:t>(euro)</w:t>
            </w:r>
          </w:p>
          <w:p w14:paraId="08EA1139" w14:textId="77777777" w:rsidR="00C63247" w:rsidRPr="0070062A" w:rsidRDefault="00C63247" w:rsidP="00295180">
            <w:pPr>
              <w:jc w:val="center"/>
              <w:rPr>
                <w:rFonts w:ascii="Times New Roman" w:hAnsi="Times New Roman" w:cs="Times New Roman"/>
                <w:b/>
                <w:i/>
                <w:iCs/>
                <w:sz w:val="22"/>
                <w:szCs w:val="22"/>
                <w:lang w:val="lv-LV"/>
              </w:rPr>
            </w:pPr>
            <w:r w:rsidRPr="0070062A">
              <w:rPr>
                <w:rFonts w:ascii="Times New Roman" w:hAnsi="Times New Roman" w:cs="Times New Roman"/>
                <w:b/>
                <w:i/>
                <w:sz w:val="22"/>
                <w:szCs w:val="22"/>
                <w:lang w:val="lv-LV"/>
              </w:rPr>
              <w:t>(2020.gada pieaugums pret 2019.gadu)</w:t>
            </w:r>
          </w:p>
        </w:tc>
      </w:tr>
      <w:tr w:rsidR="00C63247" w:rsidRPr="0070062A" w14:paraId="4A2DF964" w14:textId="77777777" w:rsidTr="00295180">
        <w:tc>
          <w:tcPr>
            <w:tcW w:w="3964" w:type="dxa"/>
          </w:tcPr>
          <w:p w14:paraId="18A1013D" w14:textId="77777777" w:rsidR="00C63247" w:rsidRPr="0070062A" w:rsidRDefault="00C63247" w:rsidP="00295180">
            <w:pPr>
              <w:jc w:val="both"/>
              <w:rPr>
                <w:rFonts w:ascii="Times New Roman" w:hAnsi="Times New Roman" w:cs="Times New Roman"/>
                <w:sz w:val="22"/>
                <w:szCs w:val="22"/>
                <w:lang w:val="lv-LV"/>
              </w:rPr>
            </w:pPr>
            <w:r w:rsidRPr="0070062A">
              <w:rPr>
                <w:rFonts w:ascii="Times New Roman" w:hAnsi="Times New Roman" w:cs="Times New Roman"/>
                <w:sz w:val="22"/>
                <w:szCs w:val="22"/>
                <w:lang w:val="lv-LV"/>
              </w:rPr>
              <w:t>Ārstiem un funkcionālajiem speciālistiem</w:t>
            </w:r>
          </w:p>
        </w:tc>
        <w:tc>
          <w:tcPr>
            <w:tcW w:w="1275" w:type="dxa"/>
            <w:vAlign w:val="center"/>
          </w:tcPr>
          <w:p w14:paraId="73B9335C"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859</w:t>
            </w:r>
          </w:p>
        </w:tc>
        <w:tc>
          <w:tcPr>
            <w:tcW w:w="1418" w:type="dxa"/>
            <w:vAlign w:val="center"/>
          </w:tcPr>
          <w:p w14:paraId="22F44516"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1125 (+31%)</w:t>
            </w:r>
          </w:p>
        </w:tc>
        <w:tc>
          <w:tcPr>
            <w:tcW w:w="1417" w:type="dxa"/>
            <w:vAlign w:val="center"/>
          </w:tcPr>
          <w:p w14:paraId="100B2FCB"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1350 (+20%)</w:t>
            </w:r>
          </w:p>
        </w:tc>
        <w:tc>
          <w:tcPr>
            <w:tcW w:w="1418" w:type="dxa"/>
            <w:vAlign w:val="center"/>
          </w:tcPr>
          <w:p w14:paraId="18352736"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1485 (+10%)</w:t>
            </w:r>
          </w:p>
        </w:tc>
      </w:tr>
      <w:tr w:rsidR="00C63247" w:rsidRPr="0070062A" w14:paraId="644C9762" w14:textId="77777777" w:rsidTr="00295180">
        <w:tc>
          <w:tcPr>
            <w:tcW w:w="3964" w:type="dxa"/>
          </w:tcPr>
          <w:p w14:paraId="60C542B3" w14:textId="77777777" w:rsidR="00C63247" w:rsidRPr="0070062A" w:rsidRDefault="00C63247" w:rsidP="00295180">
            <w:pPr>
              <w:jc w:val="both"/>
              <w:rPr>
                <w:rFonts w:ascii="Times New Roman" w:hAnsi="Times New Roman" w:cs="Times New Roman"/>
                <w:sz w:val="22"/>
                <w:szCs w:val="22"/>
                <w:lang w:val="lv-LV"/>
              </w:rPr>
            </w:pPr>
            <w:r w:rsidRPr="0070062A">
              <w:rPr>
                <w:rFonts w:ascii="Times New Roman" w:hAnsi="Times New Roman" w:cs="Times New Roman"/>
                <w:sz w:val="22"/>
                <w:szCs w:val="22"/>
                <w:lang w:val="lv-LV"/>
              </w:rPr>
              <w:t>Ārstniecības un pacientu aprūpes personām un funkcionālo speciālistu asistentiem</w:t>
            </w:r>
          </w:p>
        </w:tc>
        <w:tc>
          <w:tcPr>
            <w:tcW w:w="1275" w:type="dxa"/>
            <w:vAlign w:val="center"/>
          </w:tcPr>
          <w:p w14:paraId="0A9CB0E9"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537</w:t>
            </w:r>
          </w:p>
        </w:tc>
        <w:tc>
          <w:tcPr>
            <w:tcW w:w="1418" w:type="dxa"/>
            <w:vAlign w:val="center"/>
          </w:tcPr>
          <w:p w14:paraId="383B92FE"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675 (+26%)</w:t>
            </w:r>
          </w:p>
        </w:tc>
        <w:tc>
          <w:tcPr>
            <w:tcW w:w="1417" w:type="dxa"/>
            <w:vAlign w:val="center"/>
          </w:tcPr>
          <w:p w14:paraId="6082E487"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810 (+20%)</w:t>
            </w:r>
          </w:p>
        </w:tc>
        <w:tc>
          <w:tcPr>
            <w:tcW w:w="1418" w:type="dxa"/>
            <w:vAlign w:val="center"/>
          </w:tcPr>
          <w:p w14:paraId="1885E91C"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891 (+10%)</w:t>
            </w:r>
          </w:p>
        </w:tc>
      </w:tr>
      <w:tr w:rsidR="00C63247" w:rsidRPr="0070062A" w14:paraId="376B8516" w14:textId="77777777" w:rsidTr="00295180">
        <w:tc>
          <w:tcPr>
            <w:tcW w:w="3964" w:type="dxa"/>
          </w:tcPr>
          <w:p w14:paraId="69587DFD" w14:textId="77777777" w:rsidR="00C63247" w:rsidRPr="0070062A" w:rsidRDefault="00C63247" w:rsidP="00295180">
            <w:pPr>
              <w:jc w:val="both"/>
              <w:rPr>
                <w:rFonts w:ascii="Times New Roman" w:hAnsi="Times New Roman" w:cs="Times New Roman"/>
                <w:sz w:val="22"/>
                <w:szCs w:val="22"/>
                <w:lang w:val="lv-LV"/>
              </w:rPr>
            </w:pPr>
            <w:r w:rsidRPr="0070062A">
              <w:rPr>
                <w:rFonts w:ascii="Times New Roman" w:hAnsi="Times New Roman" w:cs="Times New Roman"/>
                <w:sz w:val="22"/>
                <w:szCs w:val="22"/>
                <w:lang w:val="lv-LV"/>
              </w:rPr>
              <w:t>Ārstniecības un pacientu aprūpes atbalsta personā</w:t>
            </w:r>
          </w:p>
        </w:tc>
        <w:tc>
          <w:tcPr>
            <w:tcW w:w="1275" w:type="dxa"/>
            <w:vAlign w:val="center"/>
          </w:tcPr>
          <w:p w14:paraId="02E648A0"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400</w:t>
            </w:r>
          </w:p>
        </w:tc>
        <w:tc>
          <w:tcPr>
            <w:tcW w:w="1418" w:type="dxa"/>
            <w:vAlign w:val="center"/>
          </w:tcPr>
          <w:p w14:paraId="577CE350"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450 (+13%)</w:t>
            </w:r>
          </w:p>
        </w:tc>
        <w:tc>
          <w:tcPr>
            <w:tcW w:w="1417" w:type="dxa"/>
            <w:vAlign w:val="center"/>
          </w:tcPr>
          <w:p w14:paraId="6D294EF3"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540 (+20%)</w:t>
            </w:r>
          </w:p>
        </w:tc>
        <w:tc>
          <w:tcPr>
            <w:tcW w:w="1418" w:type="dxa"/>
            <w:vAlign w:val="center"/>
          </w:tcPr>
          <w:p w14:paraId="64C6BDC8" w14:textId="77777777" w:rsidR="00C63247" w:rsidRPr="0070062A" w:rsidRDefault="00C63247" w:rsidP="00295180">
            <w:pPr>
              <w:jc w:val="center"/>
              <w:rPr>
                <w:rFonts w:ascii="Times New Roman" w:hAnsi="Times New Roman" w:cs="Times New Roman"/>
                <w:sz w:val="22"/>
                <w:szCs w:val="22"/>
                <w:lang w:val="lv-LV"/>
              </w:rPr>
            </w:pPr>
            <w:r w:rsidRPr="0070062A">
              <w:rPr>
                <w:rFonts w:ascii="Times New Roman" w:hAnsi="Times New Roman" w:cs="Times New Roman"/>
                <w:sz w:val="22"/>
                <w:szCs w:val="22"/>
                <w:lang w:val="lv-LV"/>
              </w:rPr>
              <w:t>594 (+10%)</w:t>
            </w:r>
          </w:p>
        </w:tc>
      </w:tr>
    </w:tbl>
    <w:p w14:paraId="32DD7842" w14:textId="77777777" w:rsidR="00C63247" w:rsidRPr="0070062A" w:rsidRDefault="00C63247" w:rsidP="00C63247">
      <w:pPr>
        <w:spacing w:after="0" w:line="240" w:lineRule="auto"/>
        <w:jc w:val="both"/>
        <w:rPr>
          <w:rFonts w:ascii="Times New Roman" w:hAnsi="Times New Roman" w:cs="Times New Roman"/>
          <w:sz w:val="24"/>
          <w:szCs w:val="24"/>
        </w:rPr>
      </w:pPr>
    </w:p>
    <w:p w14:paraId="755B3897"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Saskaņā ar NVD datiem (no ārstniecības iestāžu sagatavotā pārskata par strādājošo faktisko vidējo atlīdzību, vidējo atalgojumu un vidējo mēneša amatalgu) vidējais atalgojums par slodzi mēnesī ir </w:t>
      </w:r>
      <w:r w:rsidRPr="0070062A">
        <w:rPr>
          <w:rFonts w:ascii="Times New Roman" w:hAnsi="Times New Roman" w:cs="Times New Roman"/>
          <w:b/>
          <w:sz w:val="24"/>
          <w:szCs w:val="24"/>
        </w:rPr>
        <w:t>augstāks</w:t>
      </w:r>
      <w:r w:rsidRPr="0070062A">
        <w:rPr>
          <w:rStyle w:val="FootnoteReference"/>
          <w:rFonts w:ascii="Times New Roman" w:hAnsi="Times New Roman" w:cs="Times New Roman"/>
          <w:b/>
          <w:sz w:val="24"/>
          <w:szCs w:val="24"/>
        </w:rPr>
        <w:footnoteReference w:id="25"/>
      </w:r>
      <w:r w:rsidRPr="0070062A">
        <w:rPr>
          <w:rFonts w:ascii="Times New Roman" w:hAnsi="Times New Roman" w:cs="Times New Roman"/>
          <w:sz w:val="24"/>
          <w:szCs w:val="24"/>
        </w:rPr>
        <w:t>:</w:t>
      </w:r>
    </w:p>
    <w:tbl>
      <w:tblPr>
        <w:tblStyle w:val="TableGrid"/>
        <w:tblW w:w="9634" w:type="dxa"/>
        <w:tblInd w:w="0" w:type="dxa"/>
        <w:tblLayout w:type="fixed"/>
        <w:tblLook w:val="04A0" w:firstRow="1" w:lastRow="0" w:firstColumn="1" w:lastColumn="0" w:noHBand="0" w:noVBand="1"/>
      </w:tblPr>
      <w:tblGrid>
        <w:gridCol w:w="4673"/>
        <w:gridCol w:w="1271"/>
        <w:gridCol w:w="1843"/>
        <w:gridCol w:w="1847"/>
      </w:tblGrid>
      <w:tr w:rsidR="00C63247" w:rsidRPr="0070062A" w14:paraId="1FCEB06F" w14:textId="77777777" w:rsidTr="00295180">
        <w:tc>
          <w:tcPr>
            <w:tcW w:w="4673" w:type="dxa"/>
            <w:shd w:val="clear" w:color="auto" w:fill="E2EFD9" w:themeFill="accent6" w:themeFillTint="33"/>
            <w:vAlign w:val="center"/>
          </w:tcPr>
          <w:p w14:paraId="4796F709" w14:textId="77777777" w:rsidR="00C63247" w:rsidRPr="0070062A" w:rsidRDefault="00C63247" w:rsidP="00295180">
            <w:pPr>
              <w:jc w:val="right"/>
              <w:rPr>
                <w:rFonts w:ascii="Times New Roman" w:hAnsi="Times New Roman" w:cs="Times New Roman"/>
                <w:b/>
                <w:i/>
                <w:sz w:val="22"/>
                <w:szCs w:val="20"/>
                <w:lang w:val="lv-LV"/>
              </w:rPr>
            </w:pPr>
          </w:p>
        </w:tc>
        <w:tc>
          <w:tcPr>
            <w:tcW w:w="1271" w:type="dxa"/>
            <w:shd w:val="clear" w:color="auto" w:fill="E2EFD9" w:themeFill="accent6" w:themeFillTint="33"/>
            <w:vAlign w:val="center"/>
          </w:tcPr>
          <w:p w14:paraId="058FE99E" w14:textId="77777777"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2017.gadā (euro)</w:t>
            </w:r>
          </w:p>
        </w:tc>
        <w:tc>
          <w:tcPr>
            <w:tcW w:w="1843" w:type="dxa"/>
            <w:shd w:val="clear" w:color="auto" w:fill="E2EFD9" w:themeFill="accent6" w:themeFillTint="33"/>
            <w:vAlign w:val="center"/>
          </w:tcPr>
          <w:p w14:paraId="7D02019A" w14:textId="77777777"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2018.gadā (euro)</w:t>
            </w:r>
          </w:p>
          <w:p w14:paraId="51045B6B" w14:textId="77777777"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(2018.gada pieaugums pret 2017.gadu)</w:t>
            </w:r>
          </w:p>
        </w:tc>
        <w:tc>
          <w:tcPr>
            <w:tcW w:w="1847" w:type="dxa"/>
            <w:shd w:val="clear" w:color="auto" w:fill="E2EFD9" w:themeFill="accent6" w:themeFillTint="33"/>
            <w:vAlign w:val="center"/>
          </w:tcPr>
          <w:p w14:paraId="2F33F60F" w14:textId="77777777"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2019.gadā (euro)</w:t>
            </w:r>
          </w:p>
          <w:p w14:paraId="77735D49" w14:textId="77777777" w:rsidR="00C63247" w:rsidRPr="0070062A" w:rsidRDefault="00C63247" w:rsidP="00295180">
            <w:pPr>
              <w:jc w:val="center"/>
              <w:rPr>
                <w:rFonts w:ascii="Times New Roman" w:hAnsi="Times New Roman" w:cs="Times New Roman"/>
                <w:b/>
                <w:i/>
                <w:sz w:val="22"/>
                <w:szCs w:val="20"/>
                <w:lang w:val="lv-LV"/>
              </w:rPr>
            </w:pPr>
            <w:r w:rsidRPr="0070062A">
              <w:rPr>
                <w:rFonts w:ascii="Times New Roman" w:hAnsi="Times New Roman" w:cs="Times New Roman"/>
                <w:b/>
                <w:i/>
                <w:sz w:val="22"/>
                <w:szCs w:val="20"/>
                <w:lang w:val="lv-LV"/>
              </w:rPr>
              <w:t>(2019.gada pieaugums pret 2018.gadu)</w:t>
            </w:r>
          </w:p>
        </w:tc>
      </w:tr>
      <w:tr w:rsidR="00C63247" w:rsidRPr="0070062A" w14:paraId="49F8303F" w14:textId="77777777" w:rsidTr="00295180">
        <w:tc>
          <w:tcPr>
            <w:tcW w:w="4673" w:type="dxa"/>
          </w:tcPr>
          <w:p w14:paraId="57534FFD" w14:textId="77777777" w:rsidR="00C63247" w:rsidRPr="0070062A" w:rsidRDefault="00C63247" w:rsidP="00295180">
            <w:pPr>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Ārstiem un funkcionālajiem speciālisti</w:t>
            </w:r>
          </w:p>
        </w:tc>
        <w:tc>
          <w:tcPr>
            <w:tcW w:w="1271" w:type="dxa"/>
            <w:vAlign w:val="center"/>
          </w:tcPr>
          <w:p w14:paraId="3230898F"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1 438</w:t>
            </w:r>
          </w:p>
        </w:tc>
        <w:tc>
          <w:tcPr>
            <w:tcW w:w="1843" w:type="dxa"/>
            <w:vAlign w:val="center"/>
          </w:tcPr>
          <w:p w14:paraId="0B19F4F7"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1 678 (+17%)</w:t>
            </w:r>
          </w:p>
        </w:tc>
        <w:tc>
          <w:tcPr>
            <w:tcW w:w="1847" w:type="dxa"/>
            <w:vAlign w:val="center"/>
          </w:tcPr>
          <w:p w14:paraId="7DD75C2D"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1 950 (+16%)</w:t>
            </w:r>
          </w:p>
        </w:tc>
      </w:tr>
      <w:tr w:rsidR="00C63247" w:rsidRPr="0070062A" w14:paraId="552D99CC" w14:textId="77777777" w:rsidTr="00295180">
        <w:tc>
          <w:tcPr>
            <w:tcW w:w="4673" w:type="dxa"/>
          </w:tcPr>
          <w:p w14:paraId="515FAB24" w14:textId="77777777" w:rsidR="00C63247" w:rsidRPr="0070062A" w:rsidRDefault="00C63247" w:rsidP="00295180">
            <w:pPr>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Ārstniecības un pacientu aprūpes personas un funkcionālo speciālistu asistenti</w:t>
            </w:r>
          </w:p>
        </w:tc>
        <w:tc>
          <w:tcPr>
            <w:tcW w:w="1271" w:type="dxa"/>
            <w:vAlign w:val="center"/>
          </w:tcPr>
          <w:p w14:paraId="5E355E24"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809</w:t>
            </w:r>
          </w:p>
        </w:tc>
        <w:tc>
          <w:tcPr>
            <w:tcW w:w="1843" w:type="dxa"/>
            <w:vAlign w:val="center"/>
          </w:tcPr>
          <w:p w14:paraId="406971A8"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974 (+20%)</w:t>
            </w:r>
          </w:p>
        </w:tc>
        <w:tc>
          <w:tcPr>
            <w:tcW w:w="1847" w:type="dxa"/>
            <w:vAlign w:val="center"/>
          </w:tcPr>
          <w:p w14:paraId="283A070F"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1 110 (+14%)</w:t>
            </w:r>
          </w:p>
        </w:tc>
      </w:tr>
      <w:tr w:rsidR="00C63247" w:rsidRPr="0070062A" w14:paraId="19A2CE9D" w14:textId="77777777" w:rsidTr="00295180">
        <w:tc>
          <w:tcPr>
            <w:tcW w:w="4673" w:type="dxa"/>
          </w:tcPr>
          <w:p w14:paraId="51720EA9" w14:textId="77777777" w:rsidR="00C63247" w:rsidRPr="0070062A" w:rsidRDefault="00C63247" w:rsidP="00295180">
            <w:pPr>
              <w:jc w:val="both"/>
              <w:rPr>
                <w:rFonts w:ascii="Times New Roman" w:hAnsi="Times New Roman" w:cs="Times New Roman"/>
                <w:sz w:val="22"/>
                <w:szCs w:val="20"/>
                <w:lang w:val="lv-LV"/>
              </w:rPr>
            </w:pPr>
            <w:r w:rsidRPr="0070062A">
              <w:rPr>
                <w:rFonts w:ascii="Times New Roman" w:hAnsi="Times New Roman" w:cs="Times New Roman"/>
                <w:sz w:val="22"/>
                <w:szCs w:val="20"/>
                <w:lang w:val="lv-LV"/>
              </w:rPr>
              <w:t>Ārstniecības un pacientu aprūpes atbalsta personas</w:t>
            </w:r>
          </w:p>
        </w:tc>
        <w:tc>
          <w:tcPr>
            <w:tcW w:w="1271" w:type="dxa"/>
            <w:vAlign w:val="center"/>
          </w:tcPr>
          <w:p w14:paraId="1FA94449"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543</w:t>
            </w:r>
          </w:p>
        </w:tc>
        <w:tc>
          <w:tcPr>
            <w:tcW w:w="1843" w:type="dxa"/>
            <w:vAlign w:val="center"/>
          </w:tcPr>
          <w:p w14:paraId="3BAD64A9"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647 (+19%)</w:t>
            </w:r>
          </w:p>
        </w:tc>
        <w:tc>
          <w:tcPr>
            <w:tcW w:w="1847" w:type="dxa"/>
            <w:vAlign w:val="center"/>
          </w:tcPr>
          <w:p w14:paraId="05FB6D75" w14:textId="77777777" w:rsidR="00C63247" w:rsidRPr="0070062A" w:rsidRDefault="00C63247" w:rsidP="00295180">
            <w:pPr>
              <w:jc w:val="center"/>
              <w:rPr>
                <w:rFonts w:ascii="Times New Roman" w:hAnsi="Times New Roman" w:cs="Times New Roman"/>
                <w:sz w:val="22"/>
                <w:szCs w:val="20"/>
                <w:lang w:val="lv-LV"/>
              </w:rPr>
            </w:pPr>
            <w:r w:rsidRPr="0070062A">
              <w:rPr>
                <w:rFonts w:ascii="Times New Roman" w:hAnsi="Times New Roman" w:cs="Times New Roman"/>
                <w:sz w:val="22"/>
                <w:szCs w:val="20"/>
                <w:lang w:val="lv-LV"/>
              </w:rPr>
              <w:t>726 (+12%)</w:t>
            </w:r>
          </w:p>
        </w:tc>
      </w:tr>
    </w:tbl>
    <w:p w14:paraId="15DD1DDA" w14:textId="77777777" w:rsidR="00C63247" w:rsidRPr="0070062A" w:rsidRDefault="00C63247" w:rsidP="00C63247">
      <w:pPr>
        <w:spacing w:after="120" w:line="240" w:lineRule="auto"/>
        <w:jc w:val="both"/>
        <w:rPr>
          <w:rFonts w:ascii="Times New Roman" w:hAnsi="Times New Roman" w:cs="Times New Roman"/>
          <w:sz w:val="24"/>
          <w:szCs w:val="24"/>
        </w:rPr>
      </w:pPr>
    </w:p>
    <w:p w14:paraId="5ECEEC3D"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Par 20% palielināta ģimenes ārstu kapitācijas nauda no 1,601602 uz 1,921918 euro mēnesī, ņemot vērā ģimenes ārstu darba samaksas pieaugumu 2019.gadā par 20%.</w:t>
      </w:r>
    </w:p>
    <w:p w14:paraId="4349DB44" w14:textId="77777777" w:rsidR="00C63247" w:rsidRPr="0070062A" w:rsidRDefault="00C63247" w:rsidP="00C63247">
      <w:pPr>
        <w:spacing w:after="120" w:line="240" w:lineRule="auto"/>
        <w:jc w:val="both"/>
        <w:rPr>
          <w:rFonts w:ascii="Times New Roman" w:hAnsi="Times New Roman" w:cs="Times New Roman"/>
          <w:sz w:val="24"/>
          <w:szCs w:val="28"/>
        </w:rPr>
      </w:pPr>
      <w:r w:rsidRPr="00B96958">
        <w:rPr>
          <w:rFonts w:ascii="Times New Roman" w:hAnsi="Times New Roman" w:cs="Times New Roman"/>
          <w:sz w:val="24"/>
          <w:szCs w:val="28"/>
        </w:rPr>
        <w:t xml:space="preserve">Sākot ar 2018./2019. studiju gadu rezidentūras vietu skaita plānošanā tiek ņemtas vērā </w:t>
      </w:r>
      <w:r w:rsidRPr="00B96958">
        <w:rPr>
          <w:rFonts w:ascii="Times New Roman" w:hAnsi="Times New Roman" w:cs="Times New Roman"/>
          <w:b/>
          <w:sz w:val="24"/>
          <w:szCs w:val="28"/>
        </w:rPr>
        <w:t>ārstniecības personu skaita prognozes</w:t>
      </w:r>
      <w:r w:rsidRPr="00B96958">
        <w:rPr>
          <w:rFonts w:ascii="Times New Roman" w:hAnsi="Times New Roman" w:cs="Times New Roman"/>
          <w:sz w:val="24"/>
          <w:szCs w:val="28"/>
        </w:rPr>
        <w:t xml:space="preserve"> pilna laika slodzēm</w:t>
      </w:r>
      <w:r w:rsidRPr="0070062A">
        <w:rPr>
          <w:rStyle w:val="FootnoteReference"/>
          <w:rFonts w:ascii="Times New Roman" w:hAnsi="Times New Roman" w:cs="Times New Roman"/>
          <w:sz w:val="24"/>
          <w:szCs w:val="24"/>
        </w:rPr>
        <w:footnoteReference w:id="26"/>
      </w:r>
      <w:r w:rsidRPr="0070062A">
        <w:rPr>
          <w:rFonts w:ascii="Times New Roman" w:hAnsi="Times New Roman" w:cs="Times New Roman"/>
          <w:sz w:val="24"/>
          <w:szCs w:val="28"/>
        </w:rPr>
        <w:t xml:space="preserve">. </w:t>
      </w:r>
    </w:p>
    <w:p w14:paraId="036DAA41" w14:textId="77777777" w:rsidR="00C63247" w:rsidRPr="0070062A" w:rsidRDefault="00C63247" w:rsidP="00C63247">
      <w:pPr>
        <w:spacing w:after="120" w:line="240" w:lineRule="auto"/>
        <w:jc w:val="both"/>
        <w:rPr>
          <w:rFonts w:ascii="Times New Roman" w:hAnsi="Times New Roman" w:cs="Times New Roman"/>
          <w:sz w:val="24"/>
          <w:szCs w:val="24"/>
        </w:rPr>
      </w:pPr>
      <w:r w:rsidRPr="00B96958">
        <w:rPr>
          <w:rFonts w:ascii="Times New Roman" w:hAnsi="Times New Roman" w:cs="Times New Roman"/>
          <w:b/>
          <w:bCs/>
          <w:sz w:val="24"/>
          <w:szCs w:val="24"/>
        </w:rPr>
        <w:t>Pārskatīts rezidentūras ilgums</w:t>
      </w:r>
      <w:r w:rsidRPr="00B96958">
        <w:rPr>
          <w:rFonts w:ascii="Times New Roman" w:hAnsi="Times New Roman" w:cs="Times New Roman"/>
          <w:sz w:val="24"/>
          <w:szCs w:val="24"/>
        </w:rPr>
        <w:t xml:space="preserve"> ārsta specialitāšu iegūšanai</w:t>
      </w:r>
      <w:r>
        <w:rPr>
          <w:rFonts w:ascii="Times New Roman" w:hAnsi="Times New Roman" w:cs="Times New Roman"/>
          <w:sz w:val="24"/>
          <w:szCs w:val="24"/>
        </w:rPr>
        <w:t>,</w:t>
      </w:r>
      <w:r w:rsidRPr="00B96958">
        <w:t xml:space="preserve"> </w:t>
      </w:r>
      <w:r w:rsidRPr="00B96958">
        <w:rPr>
          <w:rFonts w:ascii="Times New Roman" w:hAnsi="Times New Roman" w:cs="Times New Roman"/>
          <w:sz w:val="24"/>
          <w:szCs w:val="24"/>
        </w:rPr>
        <w:t>lai palielinātu konktētās jomas speciālistu skaitu</w:t>
      </w:r>
      <w:r>
        <w:rPr>
          <w:rFonts w:ascii="Times New Roman" w:hAnsi="Times New Roman" w:cs="Times New Roman"/>
          <w:sz w:val="24"/>
          <w:szCs w:val="24"/>
        </w:rPr>
        <w:t xml:space="preserve">. </w:t>
      </w:r>
      <w:r w:rsidRPr="0070062A">
        <w:rPr>
          <w:rFonts w:ascii="Times New Roman" w:hAnsi="Times New Roman" w:cs="Times New Roman"/>
          <w:sz w:val="24"/>
          <w:szCs w:val="24"/>
        </w:rPr>
        <w:t xml:space="preserve">2019.gadā </w:t>
      </w:r>
      <w:r w:rsidRPr="0070062A">
        <w:rPr>
          <w:rFonts w:ascii="Times New Roman" w:hAnsi="Times New Roman" w:cs="Times New Roman"/>
          <w:b/>
          <w:bCs/>
          <w:sz w:val="24"/>
          <w:szCs w:val="24"/>
        </w:rPr>
        <w:t>saīsināts rezidentūras</w:t>
      </w:r>
      <w:r w:rsidRPr="0070062A">
        <w:rPr>
          <w:rFonts w:ascii="Times New Roman" w:hAnsi="Times New Roman" w:cs="Times New Roman"/>
          <w:sz w:val="24"/>
          <w:szCs w:val="24"/>
        </w:rPr>
        <w:t xml:space="preserve"> </w:t>
      </w:r>
      <w:r w:rsidRPr="0070062A">
        <w:rPr>
          <w:rFonts w:ascii="Times New Roman" w:hAnsi="Times New Roman" w:cs="Times New Roman"/>
          <w:b/>
          <w:bCs/>
          <w:sz w:val="24"/>
          <w:szCs w:val="24"/>
        </w:rPr>
        <w:t>ilgums</w:t>
      </w:r>
      <w:r w:rsidRPr="0070062A">
        <w:rPr>
          <w:rFonts w:ascii="Times New Roman" w:hAnsi="Times New Roman" w:cs="Times New Roman"/>
          <w:sz w:val="24"/>
          <w:szCs w:val="24"/>
        </w:rPr>
        <w:t xml:space="preserve"> bērnu psihiatri</w:t>
      </w:r>
      <w:r>
        <w:rPr>
          <w:rFonts w:ascii="Times New Roman" w:hAnsi="Times New Roman" w:cs="Times New Roman"/>
          <w:sz w:val="24"/>
          <w:szCs w:val="24"/>
        </w:rPr>
        <w:t>em</w:t>
      </w:r>
      <w:r w:rsidRPr="0070062A">
        <w:rPr>
          <w:rFonts w:ascii="Times New Roman" w:hAnsi="Times New Roman" w:cs="Times New Roman"/>
          <w:sz w:val="24"/>
          <w:szCs w:val="24"/>
        </w:rPr>
        <w:t xml:space="preserve"> un transfuziolo</w:t>
      </w:r>
      <w:r>
        <w:rPr>
          <w:rFonts w:ascii="Times New Roman" w:hAnsi="Times New Roman" w:cs="Times New Roman"/>
          <w:sz w:val="24"/>
          <w:szCs w:val="24"/>
        </w:rPr>
        <w:t>giem</w:t>
      </w:r>
      <w:r w:rsidRPr="0070062A">
        <w:rPr>
          <w:rFonts w:ascii="Times New Roman" w:hAnsi="Times New Roman" w:cs="Times New Roman"/>
          <w:sz w:val="24"/>
          <w:szCs w:val="24"/>
        </w:rPr>
        <w:t>,.</w:t>
      </w:r>
      <w:r w:rsidRPr="0070062A">
        <w:rPr>
          <w:rStyle w:val="FootnoteReference"/>
          <w:rFonts w:ascii="Times New Roman" w:hAnsi="Times New Roman" w:cs="Times New Roman"/>
          <w:sz w:val="24"/>
          <w:szCs w:val="24"/>
        </w:rPr>
        <w:footnoteReference w:id="27"/>
      </w:r>
      <w:r w:rsidRPr="0070062A">
        <w:rPr>
          <w:rFonts w:ascii="Times New Roman" w:hAnsi="Times New Roman" w:cs="Times New Roman"/>
          <w:sz w:val="24"/>
          <w:szCs w:val="24"/>
        </w:rPr>
        <w:t xml:space="preserve"> Rezidentūras ilgums bērnu psihiatru specialitātē noteikts 4 gadi,</w:t>
      </w:r>
      <w:r>
        <w:rPr>
          <w:rFonts w:ascii="Times New Roman" w:hAnsi="Times New Roman" w:cs="Times New Roman"/>
          <w:sz w:val="24"/>
          <w:szCs w:val="24"/>
        </w:rPr>
        <w:t xml:space="preserve"> turklāt nosakot bērnu psihiatriju kā pamatspecialitāti,</w:t>
      </w:r>
      <w:r w:rsidRPr="0070062A">
        <w:rPr>
          <w:rFonts w:ascii="Times New Roman" w:hAnsi="Times New Roman" w:cs="Times New Roman"/>
          <w:sz w:val="24"/>
          <w:szCs w:val="24"/>
        </w:rPr>
        <w:t xml:space="preserve"> savukārt rezidentūras ilgums transfuziologa papildspecialitātē – 1 gads.  </w:t>
      </w:r>
    </w:p>
    <w:p w14:paraId="21293E55" w14:textId="77777777" w:rsidR="00C63247" w:rsidRPr="0070062A" w:rsidRDefault="00C63247" w:rsidP="00C63247">
      <w:pPr>
        <w:spacing w:after="120" w:line="240" w:lineRule="auto"/>
        <w:jc w:val="both"/>
        <w:rPr>
          <w:rFonts w:ascii="Times New Roman" w:hAnsi="Times New Roman" w:cs="Times New Roman"/>
          <w:sz w:val="24"/>
          <w:szCs w:val="28"/>
        </w:rPr>
      </w:pPr>
      <w:r w:rsidRPr="0070062A">
        <w:rPr>
          <w:rFonts w:ascii="Times New Roman" w:hAnsi="Times New Roman" w:cs="Times New Roman"/>
          <w:sz w:val="24"/>
          <w:szCs w:val="28"/>
        </w:rPr>
        <w:t xml:space="preserve">29.10.2019. MK tika apstiprināts VM un Latvijas Māsu asociācijas izstrādātais konceptuālais ziņojums “Par māsas profesijas attīstību”. </w:t>
      </w:r>
    </w:p>
    <w:p w14:paraId="4648F7A1" w14:textId="77777777" w:rsidR="00C63247" w:rsidRPr="0070062A" w:rsidRDefault="00C63247" w:rsidP="00C63247">
      <w:pPr>
        <w:spacing w:after="120" w:line="240" w:lineRule="auto"/>
        <w:jc w:val="both"/>
        <w:rPr>
          <w:rFonts w:ascii="Times New Roman" w:hAnsi="Times New Roman" w:cs="Times New Roman"/>
          <w:sz w:val="24"/>
          <w:szCs w:val="28"/>
        </w:rPr>
      </w:pPr>
      <w:r w:rsidRPr="0070062A">
        <w:rPr>
          <w:rFonts w:ascii="Times New Roman" w:hAnsi="Times New Roman" w:cs="Times New Roman"/>
          <w:sz w:val="24"/>
          <w:szCs w:val="28"/>
        </w:rPr>
        <w:t xml:space="preserve">Salīdzinot ar citām ES valstīm, Latvijā ārstniecības iestādēs strādā maz māsu, un ir izteikts to deficīts – trūkst vairāk kā 1500 māsu. Lai uzlabotu aprūpes kvalitāti, māsu skaitu slimnīcās </w:t>
      </w:r>
      <w:r w:rsidRPr="0070062A">
        <w:rPr>
          <w:rFonts w:ascii="Times New Roman" w:hAnsi="Times New Roman" w:cs="Times New Roman"/>
          <w:sz w:val="24"/>
          <w:szCs w:val="28"/>
        </w:rPr>
        <w:lastRenderedPageBreak/>
        <w:t xml:space="preserve">nepieciešams būtiski palielināt, tai skaitā, plānot to </w:t>
      </w:r>
      <w:r w:rsidRPr="0070062A">
        <w:rPr>
          <w:rFonts w:ascii="Times New Roman" w:hAnsi="Times New Roman" w:cs="Times New Roman"/>
          <w:b/>
          <w:bCs/>
          <w:sz w:val="24"/>
          <w:szCs w:val="28"/>
        </w:rPr>
        <w:t>pamatojoties uz pacientu vajadzībām</w:t>
      </w:r>
      <w:r w:rsidRPr="0070062A">
        <w:rPr>
          <w:rFonts w:ascii="Times New Roman" w:hAnsi="Times New Roman" w:cs="Times New Roman"/>
          <w:sz w:val="24"/>
          <w:szCs w:val="28"/>
        </w:rPr>
        <w:t xml:space="preserve"> </w:t>
      </w:r>
      <w:r w:rsidRPr="0070062A">
        <w:rPr>
          <w:rFonts w:ascii="Times New Roman" w:hAnsi="Times New Roman" w:cs="Times New Roman"/>
          <w:b/>
          <w:bCs/>
          <w:sz w:val="24"/>
          <w:szCs w:val="28"/>
        </w:rPr>
        <w:t>(aprūpes līmeņiem)</w:t>
      </w:r>
      <w:r w:rsidRPr="0070062A">
        <w:rPr>
          <w:rFonts w:ascii="Times New Roman" w:hAnsi="Times New Roman" w:cs="Times New Roman"/>
          <w:sz w:val="24"/>
          <w:szCs w:val="28"/>
        </w:rPr>
        <w:t>. Tas šobrīd nav iespējama, jo radītu vēl lielāku māsu deficītu. Līdz ar to svarīgs priekšnosacījums ir turpināt mediķu atalgojuma palielināšanu, lai mazinātu vai apturētu māsu aizplūšanu prom no slimnīcām un radītu motivējošu darba vidi.</w:t>
      </w:r>
    </w:p>
    <w:p w14:paraId="7850B087" w14:textId="77777777" w:rsidR="00C63247" w:rsidRPr="0070062A" w:rsidRDefault="00C63247" w:rsidP="00C63247">
      <w:pPr>
        <w:spacing w:after="120" w:line="240" w:lineRule="auto"/>
        <w:jc w:val="both"/>
        <w:rPr>
          <w:rFonts w:ascii="Times New Roman" w:hAnsi="Times New Roman" w:cs="Times New Roman"/>
          <w:sz w:val="24"/>
          <w:szCs w:val="24"/>
          <w:highlight w:val="green"/>
        </w:rPr>
      </w:pPr>
      <w:r w:rsidRPr="00670E26">
        <w:rPr>
          <w:rFonts w:ascii="Times New Roman" w:hAnsi="Times New Roman" w:cs="Times New Roman"/>
          <w:sz w:val="24"/>
          <w:szCs w:val="24"/>
        </w:rPr>
        <w:t xml:space="preserve">Lai motivētu ārstniecības personas </w:t>
      </w:r>
      <w:r w:rsidRPr="00670E26">
        <w:rPr>
          <w:rFonts w:ascii="Times New Roman" w:hAnsi="Times New Roman" w:cs="Times New Roman"/>
          <w:b/>
          <w:sz w:val="24"/>
          <w:szCs w:val="24"/>
        </w:rPr>
        <w:t>strādāt reģionos</w:t>
      </w:r>
      <w:r w:rsidRPr="00670E26">
        <w:rPr>
          <w:rFonts w:ascii="Times New Roman" w:hAnsi="Times New Roman" w:cs="Times New Roman"/>
          <w:sz w:val="24"/>
          <w:szCs w:val="24"/>
        </w:rPr>
        <w:t xml:space="preserve">, tiek īstenoti </w:t>
      </w:r>
      <w:r w:rsidRPr="00670E26">
        <w:rPr>
          <w:rFonts w:ascii="Times New Roman" w:hAnsi="Times New Roman" w:cs="Times New Roman"/>
          <w:b/>
          <w:bCs/>
          <w:sz w:val="24"/>
          <w:szCs w:val="24"/>
        </w:rPr>
        <w:t>atbalsta pasākumi</w:t>
      </w:r>
      <w:r w:rsidRPr="00670E26">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 sk. </w:t>
      </w:r>
      <w:r w:rsidRPr="0070062A">
        <w:rPr>
          <w:rFonts w:ascii="Times New Roman" w:hAnsi="Times New Roman" w:cs="Times New Roman"/>
          <w:sz w:val="24"/>
          <w:szCs w:val="24"/>
        </w:rPr>
        <w:t xml:space="preserve"> vienreizēja pārcelšanās kompensācija par darbu reģionos</w:t>
      </w:r>
      <w:r>
        <w:rPr>
          <w:rFonts w:ascii="Times New Roman" w:hAnsi="Times New Roman" w:cs="Times New Roman"/>
          <w:sz w:val="24"/>
          <w:szCs w:val="24"/>
        </w:rPr>
        <w:t>.</w:t>
      </w:r>
      <w:r w:rsidRPr="0070062A">
        <w:rPr>
          <w:rFonts w:ascii="Times New Roman" w:hAnsi="Times New Roman" w:cs="Times New Roman"/>
          <w:sz w:val="24"/>
          <w:szCs w:val="24"/>
        </w:rPr>
        <w:t xml:space="preserve"> </w:t>
      </w:r>
      <w:bookmarkStart w:id="1" w:name="_Hlk26217561"/>
    </w:p>
    <w:bookmarkEnd w:id="1"/>
    <w:p w14:paraId="4A913177"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Ārstniecības un ārstniecības atbalsta personām tiek nodrošināta</w:t>
      </w:r>
      <w:r>
        <w:rPr>
          <w:rFonts w:ascii="Times New Roman" w:hAnsi="Times New Roman" w:cs="Times New Roman"/>
          <w:sz w:val="24"/>
          <w:szCs w:val="24"/>
        </w:rPr>
        <w:t>s</w:t>
      </w:r>
      <w:r w:rsidRPr="0070062A">
        <w:rPr>
          <w:rFonts w:ascii="Times New Roman" w:hAnsi="Times New Roman" w:cs="Times New Roman"/>
          <w:sz w:val="24"/>
          <w:szCs w:val="24"/>
        </w:rPr>
        <w:t xml:space="preserve"> </w:t>
      </w:r>
      <w:r w:rsidRPr="0070062A">
        <w:rPr>
          <w:rFonts w:ascii="Times New Roman" w:hAnsi="Times New Roman" w:cs="Times New Roman"/>
          <w:b/>
          <w:bCs/>
          <w:sz w:val="24"/>
          <w:szCs w:val="24"/>
        </w:rPr>
        <w:t xml:space="preserve">bezmaksas </w:t>
      </w:r>
      <w:r>
        <w:rPr>
          <w:rFonts w:ascii="Times New Roman" w:hAnsi="Times New Roman" w:cs="Times New Roman"/>
          <w:sz w:val="24"/>
          <w:szCs w:val="24"/>
        </w:rPr>
        <w:t>tālākizglītības</w:t>
      </w:r>
      <w:r w:rsidRPr="0070062A">
        <w:rPr>
          <w:rFonts w:ascii="Times New Roman" w:hAnsi="Times New Roman" w:cs="Times New Roman"/>
          <w:b/>
          <w:bCs/>
          <w:sz w:val="24"/>
          <w:szCs w:val="24"/>
        </w:rPr>
        <w:t xml:space="preserve"> iespēja </w:t>
      </w:r>
      <w:r>
        <w:rPr>
          <w:rFonts w:ascii="Times New Roman" w:hAnsi="Times New Roman" w:cs="Times New Roman"/>
          <w:b/>
          <w:bCs/>
          <w:sz w:val="24"/>
          <w:szCs w:val="24"/>
        </w:rPr>
        <w:t>kā arī iespēja</w:t>
      </w:r>
      <w:r w:rsidRPr="0070062A">
        <w:rPr>
          <w:rFonts w:ascii="Times New Roman" w:hAnsi="Times New Roman" w:cs="Times New Roman"/>
          <w:b/>
          <w:bCs/>
          <w:sz w:val="24"/>
          <w:szCs w:val="24"/>
        </w:rPr>
        <w:t xml:space="preserve"> atjaunot ārstniecības personas sertifikātu</w:t>
      </w:r>
      <w:r w:rsidRPr="0070062A">
        <w:rPr>
          <w:rFonts w:ascii="Times New Roman" w:hAnsi="Times New Roman" w:cs="Times New Roman"/>
          <w:sz w:val="24"/>
          <w:szCs w:val="24"/>
        </w:rPr>
        <w:t xml:space="preserve"> un atgriezties darba tirgū.</w:t>
      </w:r>
      <w:r w:rsidRPr="0070062A">
        <w:rPr>
          <w:rStyle w:val="FootnoteReference"/>
          <w:rFonts w:ascii="Times New Roman" w:hAnsi="Times New Roman" w:cs="Times New Roman"/>
          <w:sz w:val="24"/>
          <w:szCs w:val="24"/>
        </w:rPr>
        <w:footnoteReference w:id="29"/>
      </w:r>
    </w:p>
    <w:p w14:paraId="3F2376FA" w14:textId="77777777" w:rsidR="00C63247" w:rsidRPr="00B1192C" w:rsidRDefault="00C63247" w:rsidP="00C63247">
      <w:pPr>
        <w:spacing w:after="0" w:line="240" w:lineRule="auto"/>
        <w:jc w:val="both"/>
        <w:rPr>
          <w:rFonts w:ascii="Times New Roman" w:hAnsi="Times New Roman" w:cs="Times New Roman"/>
          <w:sz w:val="28"/>
          <w:szCs w:val="24"/>
        </w:rPr>
      </w:pPr>
    </w:p>
    <w:p w14:paraId="4E981901" w14:textId="77777777" w:rsidR="00C63247" w:rsidRPr="0070062A" w:rsidRDefault="00C63247" w:rsidP="00C63247">
      <w:pPr>
        <w:spacing w:after="12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t>4. Valsts apmaksātu veselības aprūpes pakalpojumu sniedzēju atlases procesa pilnveidošana</w:t>
      </w:r>
    </w:p>
    <w:p w14:paraId="3C042071" w14:textId="77777777" w:rsidR="00C63247" w:rsidRPr="0070062A" w:rsidRDefault="00C63247" w:rsidP="00C63247">
      <w:pPr>
        <w:spacing w:after="0" w:line="240" w:lineRule="auto"/>
        <w:ind w:firstLine="567"/>
        <w:jc w:val="both"/>
        <w:rPr>
          <w:rFonts w:ascii="Times New Roman" w:hAnsi="Times New Roman" w:cs="Times New Roman"/>
          <w:sz w:val="24"/>
          <w:szCs w:val="24"/>
        </w:rPr>
      </w:pPr>
      <w:r w:rsidRPr="0070062A">
        <w:rPr>
          <w:rFonts w:ascii="Times New Roman" w:hAnsi="Times New Roman" w:cs="Times New Roman"/>
          <w:sz w:val="24"/>
          <w:szCs w:val="24"/>
        </w:rPr>
        <w:t xml:space="preserve">Veselības aprūpes finansiālās efektivitātes paaugstināšanai PB priekšlikumi un reformu plāns paredz ieviest jaunus pakalpojumu sniedzēju maksājumu mehānismus un paaugstināt konkurenci starp veselības aprūpes pakalpojumu sniedzējiem, veicot </w:t>
      </w:r>
      <w:r w:rsidRPr="0070062A">
        <w:rPr>
          <w:rFonts w:ascii="Times New Roman" w:hAnsi="Times New Roman" w:cs="Times New Roman"/>
          <w:b/>
          <w:sz w:val="24"/>
          <w:szCs w:val="24"/>
        </w:rPr>
        <w:t>stratēģisko iepirkumu</w:t>
      </w:r>
      <w:r w:rsidRPr="0070062A">
        <w:rPr>
          <w:rFonts w:ascii="Times New Roman" w:hAnsi="Times New Roman" w:cs="Times New Roman"/>
          <w:sz w:val="24"/>
          <w:szCs w:val="24"/>
        </w:rPr>
        <w:t xml:space="preserve">. </w:t>
      </w:r>
    </w:p>
    <w:p w14:paraId="055D6A2B" w14:textId="77777777" w:rsidR="00C63247" w:rsidRPr="0070062A" w:rsidRDefault="00C63247" w:rsidP="00C63247">
      <w:pPr>
        <w:spacing w:after="0" w:line="240" w:lineRule="auto"/>
        <w:jc w:val="both"/>
        <w:rPr>
          <w:rFonts w:ascii="Times New Roman" w:hAnsi="Times New Roman" w:cs="Times New Roman"/>
          <w:sz w:val="24"/>
          <w:szCs w:val="24"/>
        </w:rPr>
      </w:pPr>
    </w:p>
    <w:p w14:paraId="6BBEA24D" w14:textId="77777777" w:rsidR="00C63247" w:rsidRPr="00267705" w:rsidRDefault="00C63247" w:rsidP="00C63247">
      <w:pPr>
        <w:pStyle w:val="NormalWeb"/>
        <w:shd w:val="clear" w:color="auto" w:fill="FFFFFF"/>
        <w:spacing w:before="0" w:beforeAutospacing="0" w:after="0" w:afterAutospacing="0"/>
        <w:ind w:firstLine="567"/>
        <w:jc w:val="both"/>
        <w:textAlignment w:val="baseline"/>
        <w:rPr>
          <w:b/>
        </w:rPr>
      </w:pPr>
      <w:r w:rsidRPr="003C3771">
        <w:t>Stratēģisko iepirkumu NVD ir veicis  šādās veselības aprūpes pakalpojumu jomās</w:t>
      </w:r>
      <w:r>
        <w:t xml:space="preserve">: </w:t>
      </w:r>
      <w:r w:rsidRPr="003C3771">
        <w:rPr>
          <w:color w:val="000000" w:themeColor="text1"/>
          <w:bdr w:val="none" w:sz="0" w:space="0" w:color="auto" w:frame="1"/>
        </w:rPr>
        <w:t>stacionārā ārstniecības iestādē plānveidā veicama onkoloģiskā ārstēšana (2017)</w:t>
      </w:r>
      <w:r>
        <w:rPr>
          <w:color w:val="000000" w:themeColor="text1"/>
          <w:bdr w:val="none" w:sz="0" w:space="0" w:color="auto" w:frame="1"/>
        </w:rPr>
        <w:t>:</w:t>
      </w:r>
      <w:r w:rsidRPr="003C3771">
        <w:rPr>
          <w:color w:val="000000" w:themeColor="text1"/>
          <w:bdr w:val="none" w:sz="0" w:space="0" w:color="auto" w:frame="1"/>
        </w:rPr>
        <w:t>ambulatorā mamogrāfija (2017), medicīniskā apaugļošana (2017), pozitronu emisijas tomogrāfija ar datortomogrāfiju (2018) un</w:t>
      </w:r>
      <w:r>
        <w:rPr>
          <w:color w:val="000000" w:themeColor="text1"/>
          <w:bdr w:val="none" w:sz="0" w:space="0" w:color="auto" w:frame="1"/>
        </w:rPr>
        <w:t xml:space="preserve"> </w:t>
      </w:r>
      <w:r w:rsidRPr="00267705">
        <w:rPr>
          <w:color w:val="000000" w:themeColor="text1"/>
          <w:bdr w:val="none" w:sz="0" w:space="0" w:color="auto" w:frame="1"/>
        </w:rPr>
        <w:t>medicīniskās rehabilitācijas pakalpojumi stacionārā.</w:t>
      </w:r>
      <w:r w:rsidRPr="003C3771">
        <w:t xml:space="preserve"> </w:t>
      </w:r>
    </w:p>
    <w:p w14:paraId="0B654409" w14:textId="77777777" w:rsidR="00C63247" w:rsidRPr="0070062A" w:rsidRDefault="00C63247" w:rsidP="00C63247">
      <w:pPr>
        <w:spacing w:after="0" w:line="240" w:lineRule="auto"/>
        <w:rPr>
          <w:rFonts w:ascii="Times New Roman" w:hAnsi="Times New Roman" w:cs="Times New Roman"/>
          <w:b/>
          <w:sz w:val="28"/>
          <w:szCs w:val="28"/>
        </w:rPr>
      </w:pPr>
    </w:p>
    <w:p w14:paraId="46EFBBA6" w14:textId="77777777" w:rsidR="00C63247" w:rsidRPr="0070062A" w:rsidRDefault="00C63247" w:rsidP="00C63247">
      <w:pPr>
        <w:spacing w:after="12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t>5. Veselības aprūpes kvalitātes sistēma</w:t>
      </w:r>
    </w:p>
    <w:p w14:paraId="75FEB9DA"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Veselības aprūpes kvalitātes uzlabošanai PB priekšlikumi un reformu plāns paredz</w:t>
      </w:r>
      <w:r>
        <w:rPr>
          <w:rFonts w:ascii="Times New Roman" w:hAnsi="Times New Roman" w:cs="Times New Roman"/>
          <w:sz w:val="24"/>
          <w:szCs w:val="24"/>
        </w:rPr>
        <w:t>:</w:t>
      </w:r>
    </w:p>
    <w:p w14:paraId="482CC546" w14:textId="77777777" w:rsidR="00C63247" w:rsidRPr="00670E26" w:rsidRDefault="00C63247" w:rsidP="00C63247">
      <w:pPr>
        <w:pStyle w:val="ListParagraph"/>
        <w:numPr>
          <w:ilvl w:val="0"/>
          <w:numId w:val="53"/>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klīnisko algoritmu/protokolu un pacientu ceļu izstrādi, </w:t>
      </w:r>
    </w:p>
    <w:p w14:paraId="7898E99D" w14:textId="77777777" w:rsidR="00C63247" w:rsidRDefault="00C63247" w:rsidP="00C63247">
      <w:pPr>
        <w:pStyle w:val="ListParagraph"/>
        <w:numPr>
          <w:ilvl w:val="0"/>
          <w:numId w:val="53"/>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ārstniecības iestāžu uzraudzības pilnveidošanu, </w:t>
      </w:r>
    </w:p>
    <w:p w14:paraId="1D472E6A" w14:textId="77777777" w:rsidR="00C63247" w:rsidRPr="00670E26" w:rsidRDefault="00C63247" w:rsidP="00C63247">
      <w:pPr>
        <w:pStyle w:val="ListParagraph"/>
        <w:numPr>
          <w:ilvl w:val="0"/>
          <w:numId w:val="53"/>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veselības tehnoloģiju (tostarp zāļu, medicīnisko ierīču, vakcīnu, procedūru un sistēmu) novērtēšanas pilnveidošanu. </w:t>
      </w:r>
    </w:p>
    <w:p w14:paraId="4ECC4E15"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No 01.10.2017. ir spēkā </w:t>
      </w:r>
      <w:r w:rsidRPr="0070062A">
        <w:rPr>
          <w:rFonts w:ascii="Times New Roman" w:hAnsi="Times New Roman" w:cs="Times New Roman"/>
          <w:b/>
          <w:bCs/>
          <w:sz w:val="24"/>
          <w:szCs w:val="24"/>
        </w:rPr>
        <w:t>stingrākas veselības aprūpes kvalitātes un pacientu drošības prasības</w:t>
      </w:r>
      <w:r w:rsidRPr="0070062A">
        <w:rPr>
          <w:rFonts w:ascii="Times New Roman" w:hAnsi="Times New Roman" w:cs="Times New Roman"/>
          <w:sz w:val="24"/>
          <w:szCs w:val="24"/>
        </w:rPr>
        <w:t>.</w:t>
      </w:r>
      <w:r w:rsidRPr="0070062A">
        <w:rPr>
          <w:rStyle w:val="FootnoteReference"/>
          <w:rFonts w:ascii="Times New Roman" w:hAnsi="Times New Roman" w:cs="Times New Roman"/>
          <w:sz w:val="24"/>
          <w:szCs w:val="24"/>
        </w:rPr>
        <w:footnoteReference w:id="30"/>
      </w:r>
      <w:r w:rsidRPr="0070062A">
        <w:rPr>
          <w:rFonts w:ascii="Times New Roman" w:hAnsi="Times New Roman" w:cs="Times New Roman"/>
          <w:sz w:val="24"/>
          <w:szCs w:val="24"/>
        </w:rPr>
        <w:t xml:space="preserve"> Ir noteiktas arī stingrākas prasības dzemdību pakalpojumu (grūtniecības periodā, dzemdībās un pēcdzemdību periodā) kvalitātes nodrošināšanai.</w:t>
      </w:r>
    </w:p>
    <w:p w14:paraId="0EDC509A"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Slimību profilakses un kontroles centrā (turpmāk – SPKC) izveidota Pacientu drošības un veselības aprūpes kvalitātes pilnveides nodaļa, kas </w:t>
      </w:r>
      <w:r w:rsidRPr="0070062A">
        <w:rPr>
          <w:rFonts w:ascii="Times New Roman" w:hAnsi="Times New Roman" w:cs="Times New Roman"/>
          <w:b/>
          <w:bCs/>
          <w:sz w:val="24"/>
          <w:szCs w:val="24"/>
        </w:rPr>
        <w:t>sniedz metodisko atbalstu</w:t>
      </w:r>
      <w:r w:rsidRPr="0070062A">
        <w:rPr>
          <w:rFonts w:ascii="Times New Roman" w:hAnsi="Times New Roman" w:cs="Times New Roman"/>
          <w:sz w:val="24"/>
          <w:szCs w:val="24"/>
        </w:rPr>
        <w:t xml:space="preserve"> ārstniecības iestādēm ārstniecības kvalitātes un pacientu drošības paaugstināšanai</w:t>
      </w:r>
      <w:r>
        <w:rPr>
          <w:rFonts w:ascii="Times New Roman" w:hAnsi="Times New Roman" w:cs="Times New Roman"/>
          <w:sz w:val="24"/>
          <w:szCs w:val="24"/>
        </w:rPr>
        <w:t xml:space="preserve">, </w:t>
      </w:r>
    </w:p>
    <w:p w14:paraId="350CD6AC"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Lai īstenotu personāla apmācību kvalitātes jautājumos, tika </w:t>
      </w:r>
      <w:r w:rsidRPr="0070062A">
        <w:rPr>
          <w:rFonts w:ascii="Times New Roman" w:hAnsi="Times New Roman" w:cs="Times New Roman"/>
          <w:b/>
          <w:bCs/>
          <w:sz w:val="24"/>
          <w:szCs w:val="24"/>
        </w:rPr>
        <w:t>organizētas ārstniecības personu  mācības</w:t>
      </w:r>
      <w:r w:rsidRPr="0070062A">
        <w:rPr>
          <w:rFonts w:ascii="Times New Roman" w:hAnsi="Times New Roman" w:cs="Times New Roman"/>
          <w:sz w:val="24"/>
          <w:szCs w:val="24"/>
        </w:rPr>
        <w:t xml:space="preserve"> par veselības aprūpes pakalpojumu kvalitātes un pacientu drošības jautājumiem</w:t>
      </w:r>
      <w:r w:rsidRPr="0070062A">
        <w:rPr>
          <w:rStyle w:val="FootnoteReference"/>
          <w:rFonts w:ascii="Times New Roman" w:hAnsi="Times New Roman" w:cs="Times New Roman"/>
          <w:sz w:val="24"/>
          <w:szCs w:val="24"/>
        </w:rPr>
        <w:footnoteReference w:id="31"/>
      </w:r>
      <w:r w:rsidRPr="0070062A">
        <w:rPr>
          <w:rFonts w:ascii="Times New Roman" w:hAnsi="Times New Roman" w:cs="Times New Roman"/>
          <w:sz w:val="24"/>
          <w:szCs w:val="24"/>
        </w:rPr>
        <w:t xml:space="preserve">. Līdz 30.09.2018. apmācītas vairāk kā 2000 personas visā Latvijas teritorijā. </w:t>
      </w:r>
    </w:p>
    <w:p w14:paraId="48945D33" w14:textId="77777777" w:rsidR="00C63247" w:rsidRPr="00BE16CF" w:rsidRDefault="00C63247" w:rsidP="00C63247">
      <w:p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 xml:space="preserve">2019.gadā izstrādāti </w:t>
      </w:r>
      <w:r w:rsidRPr="00BE16CF">
        <w:rPr>
          <w:rFonts w:ascii="Times New Roman" w:hAnsi="Times New Roman" w:cs="Times New Roman"/>
          <w:b/>
          <w:bCs/>
          <w:color w:val="000000" w:themeColor="text1"/>
          <w:sz w:val="24"/>
          <w:szCs w:val="24"/>
        </w:rPr>
        <w:t>klīniskie algoritmi, klīniskie pacientu ceļi un kvalitātes indikatori</w:t>
      </w:r>
      <w:r w:rsidRPr="00BE16CF">
        <w:rPr>
          <w:rStyle w:val="FootnoteReference"/>
          <w:rFonts w:ascii="Times New Roman" w:hAnsi="Times New Roman" w:cs="Times New Roman"/>
          <w:color w:val="000000" w:themeColor="text1"/>
          <w:sz w:val="24"/>
          <w:szCs w:val="24"/>
        </w:rPr>
        <w:footnoteReference w:id="32"/>
      </w:r>
      <w:r w:rsidRPr="00BE16CF">
        <w:rPr>
          <w:rFonts w:ascii="Times New Roman" w:hAnsi="Times New Roman" w:cs="Times New Roman"/>
          <w:color w:val="000000" w:themeColor="text1"/>
          <w:sz w:val="24"/>
          <w:szCs w:val="24"/>
        </w:rPr>
        <w:t xml:space="preserve">, kuru ieviešanas uzraudzību un kontroli ārstniecības iestādēs veic VI, īstenojot veselības aprūpes </w:t>
      </w:r>
      <w:r w:rsidRPr="00BE16CF">
        <w:rPr>
          <w:rFonts w:ascii="Times New Roman" w:hAnsi="Times New Roman" w:cs="Times New Roman"/>
          <w:color w:val="000000" w:themeColor="text1"/>
          <w:sz w:val="24"/>
          <w:szCs w:val="24"/>
        </w:rPr>
        <w:lastRenderedPageBreak/>
        <w:t xml:space="preserve">uzraudzības funkciju. SPKC funkcijās ietilpst ārstniecības iestāžu darbības un rezultātu indikatoru klāsta izstrāde, uzturēšana un analīze. </w:t>
      </w:r>
    </w:p>
    <w:p w14:paraId="7EC849C3" w14:textId="77777777" w:rsidR="00C63247" w:rsidRPr="00BE16CF" w:rsidRDefault="00C63247" w:rsidP="00C63247">
      <w:p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 xml:space="preserve">Palielināti maksājumi ģimenes ārstiem par kvalitātes indikatoru izpildi. </w:t>
      </w:r>
    </w:p>
    <w:p w14:paraId="64C2AEAE" w14:textId="77777777" w:rsidR="00C63247" w:rsidRPr="00BE16CF" w:rsidRDefault="00C63247" w:rsidP="00C63247">
      <w:pPr>
        <w:spacing w:after="120" w:line="240" w:lineRule="auto"/>
        <w:jc w:val="both"/>
        <w:rPr>
          <w:rFonts w:ascii="Times New Roman" w:hAnsi="Times New Roman" w:cs="Times New Roman"/>
          <w:color w:val="000000" w:themeColor="text1"/>
          <w:sz w:val="24"/>
          <w:szCs w:val="24"/>
        </w:rPr>
      </w:pPr>
      <w:r w:rsidRPr="00BE16CF">
        <w:rPr>
          <w:rFonts w:ascii="Times New Roman" w:hAnsi="Times New Roman" w:cs="Times New Roman"/>
          <w:color w:val="000000" w:themeColor="text1"/>
          <w:sz w:val="24"/>
          <w:szCs w:val="24"/>
        </w:rPr>
        <w:t xml:space="preserve">01.09.2019. VM uzsāka Eiropas Komisijas Strukturālo reformu atbalsta programmas (turpmāk tekstā – SRSS) 2017-2020 finansēto projektu “Pacientu aptaujas izstrāde par veselības aprūpes kvalitāti valstī un šīs aptaujas rezultātu integrācija veselības sistēmas darbības novērtēšanas sistēmā (HSPA)”. Tā mērķis ir ieviest vienotu un sistemātisku </w:t>
      </w:r>
      <w:r w:rsidRPr="00BE16CF">
        <w:rPr>
          <w:rFonts w:ascii="Times New Roman" w:hAnsi="Times New Roman" w:cs="Times New Roman"/>
          <w:b/>
          <w:bCs/>
          <w:color w:val="000000" w:themeColor="text1"/>
          <w:sz w:val="24"/>
          <w:szCs w:val="24"/>
        </w:rPr>
        <w:t>datu vākšanu par pacientu pieredzi valstī</w:t>
      </w:r>
      <w:r w:rsidRPr="00BE16CF">
        <w:rPr>
          <w:rFonts w:ascii="Times New Roman" w:hAnsi="Times New Roman" w:cs="Times New Roman"/>
          <w:color w:val="000000" w:themeColor="text1"/>
          <w:sz w:val="24"/>
          <w:szCs w:val="24"/>
        </w:rPr>
        <w:t xml:space="preserve"> (PREMs). Pilotprojekts sāksies 2020. gada jūlijā un ieinteresētību tajā piedalīties ir izteikušas septiņas ārstniecības iestādes. Projekts noslēgsies 01.07.2021. </w:t>
      </w:r>
    </w:p>
    <w:p w14:paraId="1BB43855" w14:textId="77777777" w:rsidR="00C63247" w:rsidRPr="0070062A" w:rsidRDefault="00C63247" w:rsidP="00C63247">
      <w:p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Lai nodrošinātu veselības sistēmas efektīvu un kvalitatīvu pārvaldi, Veselības inspekcija (turpmāk – VI) ir veikusi </w:t>
      </w:r>
      <w:r>
        <w:rPr>
          <w:rFonts w:ascii="Times New Roman" w:hAnsi="Times New Roman" w:cs="Times New Roman"/>
          <w:sz w:val="24"/>
          <w:szCs w:val="24"/>
        </w:rPr>
        <w:t>šādus</w:t>
      </w:r>
      <w:r w:rsidRPr="0070062A">
        <w:rPr>
          <w:rFonts w:ascii="Times New Roman" w:hAnsi="Times New Roman" w:cs="Times New Roman"/>
          <w:sz w:val="24"/>
          <w:szCs w:val="24"/>
        </w:rPr>
        <w:t xml:space="preserve"> </w:t>
      </w:r>
      <w:r w:rsidRPr="0070062A">
        <w:rPr>
          <w:rFonts w:ascii="Times New Roman" w:hAnsi="Times New Roman" w:cs="Times New Roman"/>
          <w:b/>
          <w:bCs/>
          <w:sz w:val="24"/>
          <w:szCs w:val="24"/>
        </w:rPr>
        <w:t>tematiskos auditus</w:t>
      </w:r>
      <w:r w:rsidRPr="0070062A">
        <w:rPr>
          <w:rFonts w:ascii="Times New Roman" w:hAnsi="Times New Roman" w:cs="Times New Roman"/>
          <w:sz w:val="24"/>
          <w:szCs w:val="24"/>
        </w:rPr>
        <w:t xml:space="preserve"> veselības aprūpes jomā:</w:t>
      </w:r>
    </w:p>
    <w:p w14:paraId="6BE1D6AA" w14:textId="77777777" w:rsidR="00C63247" w:rsidRPr="0070062A" w:rsidRDefault="00C63247" w:rsidP="00C63247">
      <w:pPr>
        <w:numPr>
          <w:ilvl w:val="0"/>
          <w:numId w:val="25"/>
        </w:numPr>
        <w:spacing w:after="0" w:line="240" w:lineRule="auto"/>
        <w:ind w:left="851"/>
        <w:contextualSpacing/>
        <w:jc w:val="both"/>
        <w:rPr>
          <w:rFonts w:ascii="Times New Roman" w:hAnsi="Times New Roman" w:cs="Times New Roman"/>
          <w:sz w:val="24"/>
          <w:szCs w:val="24"/>
        </w:rPr>
      </w:pPr>
      <w:r w:rsidRPr="0070062A">
        <w:rPr>
          <w:rFonts w:ascii="Times New Roman" w:hAnsi="Times New Roman" w:cs="Times New Roman"/>
          <w:sz w:val="24"/>
          <w:szCs w:val="24"/>
        </w:rPr>
        <w:t xml:space="preserve">2018.-2019.gadā valsts apmaksāto </w:t>
      </w:r>
      <w:r w:rsidRPr="0070062A">
        <w:rPr>
          <w:rFonts w:ascii="Times New Roman" w:hAnsi="Times New Roman" w:cs="Times New Roman"/>
          <w:b/>
          <w:bCs/>
          <w:sz w:val="24"/>
          <w:szCs w:val="24"/>
        </w:rPr>
        <w:t>skrīninga mamogrāfijas pakalpojumu</w:t>
      </w:r>
      <w:r w:rsidRPr="0070062A">
        <w:rPr>
          <w:rFonts w:ascii="Times New Roman" w:hAnsi="Times New Roman" w:cs="Times New Roman"/>
          <w:sz w:val="24"/>
          <w:szCs w:val="24"/>
        </w:rPr>
        <w:t xml:space="preserve"> sniedzēju darbības audits; </w:t>
      </w:r>
    </w:p>
    <w:p w14:paraId="51F52407" w14:textId="77777777" w:rsidR="00C63247" w:rsidRPr="0070062A" w:rsidRDefault="00C63247" w:rsidP="00C63247">
      <w:pPr>
        <w:numPr>
          <w:ilvl w:val="0"/>
          <w:numId w:val="25"/>
        </w:numPr>
        <w:spacing w:after="0" w:line="240" w:lineRule="auto"/>
        <w:ind w:left="851"/>
        <w:contextualSpacing/>
        <w:jc w:val="both"/>
        <w:rPr>
          <w:rFonts w:ascii="Times New Roman" w:hAnsi="Times New Roman" w:cs="Times New Roman"/>
          <w:sz w:val="24"/>
          <w:szCs w:val="24"/>
        </w:rPr>
      </w:pPr>
      <w:r w:rsidRPr="0070062A">
        <w:rPr>
          <w:rFonts w:ascii="Times New Roman" w:hAnsi="Times New Roman" w:cs="Times New Roman"/>
          <w:sz w:val="24"/>
          <w:szCs w:val="24"/>
        </w:rPr>
        <w:t xml:space="preserve">2019.gadā </w:t>
      </w:r>
      <w:r w:rsidRPr="0070062A">
        <w:rPr>
          <w:rFonts w:ascii="Times New Roman" w:hAnsi="Times New Roman" w:cs="Times New Roman"/>
          <w:b/>
          <w:bCs/>
          <w:sz w:val="24"/>
          <w:szCs w:val="24"/>
        </w:rPr>
        <w:t>insulta pacientu veselības aprūpes audits</w:t>
      </w:r>
      <w:r w:rsidRPr="0070062A">
        <w:rPr>
          <w:rFonts w:ascii="Times New Roman" w:hAnsi="Times New Roman" w:cs="Times New Roman"/>
          <w:sz w:val="24"/>
          <w:szCs w:val="24"/>
        </w:rPr>
        <w:t xml:space="preserve"> stacionārajās ārstniecības iestādēs;</w:t>
      </w:r>
    </w:p>
    <w:p w14:paraId="44740C84" w14:textId="77777777" w:rsidR="00C63247" w:rsidRPr="0070062A" w:rsidRDefault="00C63247" w:rsidP="00C63247">
      <w:pPr>
        <w:numPr>
          <w:ilvl w:val="0"/>
          <w:numId w:val="25"/>
        </w:numPr>
        <w:spacing w:after="0" w:line="240" w:lineRule="auto"/>
        <w:ind w:left="851"/>
        <w:contextualSpacing/>
        <w:jc w:val="both"/>
        <w:rPr>
          <w:rFonts w:ascii="Times New Roman" w:hAnsi="Times New Roman" w:cs="Times New Roman"/>
          <w:sz w:val="24"/>
          <w:szCs w:val="24"/>
        </w:rPr>
      </w:pPr>
      <w:r w:rsidRPr="0070062A">
        <w:rPr>
          <w:rFonts w:ascii="Times New Roman" w:hAnsi="Times New Roman" w:cs="Times New Roman"/>
          <w:sz w:val="24"/>
          <w:szCs w:val="24"/>
        </w:rPr>
        <w:t xml:space="preserve">2019. - 2020.gadā </w:t>
      </w:r>
      <w:r w:rsidRPr="0070062A">
        <w:rPr>
          <w:rFonts w:ascii="Times New Roman" w:hAnsi="Times New Roman" w:cs="Times New Roman"/>
          <w:b/>
          <w:bCs/>
          <w:sz w:val="24"/>
          <w:szCs w:val="24"/>
        </w:rPr>
        <w:t>dzemdību pakalpojumus</w:t>
      </w:r>
      <w:r w:rsidRPr="0070062A">
        <w:rPr>
          <w:rFonts w:ascii="Times New Roman" w:hAnsi="Times New Roman" w:cs="Times New Roman"/>
          <w:sz w:val="24"/>
          <w:szCs w:val="24"/>
        </w:rPr>
        <w:t xml:space="preserve"> audits;</w:t>
      </w:r>
    </w:p>
    <w:p w14:paraId="3310F3FA" w14:textId="77777777" w:rsidR="00C63247" w:rsidRPr="0070062A" w:rsidRDefault="00C63247" w:rsidP="00C63247">
      <w:pPr>
        <w:numPr>
          <w:ilvl w:val="0"/>
          <w:numId w:val="25"/>
        </w:numPr>
        <w:spacing w:after="0" w:line="240" w:lineRule="auto"/>
        <w:ind w:left="851"/>
        <w:contextualSpacing/>
        <w:jc w:val="both"/>
        <w:rPr>
          <w:rFonts w:ascii="Times New Roman" w:hAnsi="Times New Roman" w:cs="Times New Roman"/>
          <w:sz w:val="24"/>
          <w:szCs w:val="24"/>
        </w:rPr>
      </w:pPr>
      <w:r w:rsidRPr="0070062A">
        <w:rPr>
          <w:rFonts w:ascii="Times New Roman" w:hAnsi="Times New Roman" w:cs="Times New Roman"/>
          <w:sz w:val="24"/>
          <w:szCs w:val="24"/>
        </w:rPr>
        <w:t>Tiek veikta  SIA „Nacionālais rehabilitācijas centrs Vaivari” insulta pacientu anketēšana par rehabilitācijas pakalpojumiem.</w:t>
      </w:r>
    </w:p>
    <w:p w14:paraId="2C6C975C" w14:textId="77777777" w:rsidR="00C63247" w:rsidRPr="0070062A" w:rsidRDefault="00C63247" w:rsidP="00C63247">
      <w:pPr>
        <w:numPr>
          <w:ilvl w:val="0"/>
          <w:numId w:val="25"/>
        </w:numPr>
        <w:spacing w:after="0" w:line="240" w:lineRule="auto"/>
        <w:ind w:left="851"/>
        <w:contextualSpacing/>
        <w:jc w:val="both"/>
        <w:rPr>
          <w:rFonts w:ascii="Times New Roman" w:hAnsi="Times New Roman" w:cs="Times New Roman"/>
          <w:sz w:val="24"/>
          <w:szCs w:val="24"/>
        </w:rPr>
      </w:pPr>
      <w:r w:rsidRPr="0070062A">
        <w:rPr>
          <w:rFonts w:ascii="Times New Roman" w:hAnsi="Times New Roman" w:cs="Times New Roman"/>
          <w:sz w:val="24"/>
          <w:szCs w:val="24"/>
        </w:rPr>
        <w:t xml:space="preserve">2019.-2020.gadā pārbaude par slimnīcu atbilstību noteiktajiem līmeņiem. </w:t>
      </w:r>
    </w:p>
    <w:p w14:paraId="5CF78095" w14:textId="77777777" w:rsidR="00C63247" w:rsidRPr="0070062A" w:rsidRDefault="00C63247" w:rsidP="00C63247">
      <w:pPr>
        <w:numPr>
          <w:ilvl w:val="0"/>
          <w:numId w:val="25"/>
        </w:numPr>
        <w:spacing w:after="120" w:line="240" w:lineRule="auto"/>
        <w:ind w:left="851" w:hanging="357"/>
        <w:jc w:val="both"/>
        <w:rPr>
          <w:rFonts w:ascii="Times New Roman" w:hAnsi="Times New Roman" w:cs="Times New Roman"/>
          <w:sz w:val="24"/>
          <w:szCs w:val="24"/>
        </w:rPr>
      </w:pPr>
      <w:r w:rsidRPr="0070062A">
        <w:rPr>
          <w:rFonts w:ascii="Times New Roman" w:hAnsi="Times New Roman" w:cs="Times New Roman"/>
          <w:sz w:val="24"/>
          <w:szCs w:val="24"/>
        </w:rPr>
        <w:t>2019.gadā izvērtējums par ģimenes ārstu praksi vakcinācijas kalendāra ieviešanā.</w:t>
      </w:r>
    </w:p>
    <w:p w14:paraId="1E0CBE01" w14:textId="77777777" w:rsidR="00C63247" w:rsidRPr="0070062A" w:rsidRDefault="00C63247" w:rsidP="00C63247">
      <w:pPr>
        <w:spacing w:after="0" w:line="240" w:lineRule="auto"/>
        <w:jc w:val="center"/>
        <w:rPr>
          <w:rFonts w:ascii="Times New Roman" w:hAnsi="Times New Roman" w:cs="Times New Roman"/>
          <w:b/>
          <w:sz w:val="28"/>
          <w:szCs w:val="28"/>
        </w:rPr>
      </w:pPr>
    </w:p>
    <w:p w14:paraId="69E1F916" w14:textId="77777777" w:rsidR="00C63247" w:rsidRPr="0070062A" w:rsidRDefault="00C63247" w:rsidP="00C63247">
      <w:pPr>
        <w:spacing w:after="120" w:line="240" w:lineRule="auto"/>
        <w:jc w:val="center"/>
        <w:rPr>
          <w:rFonts w:ascii="Times New Roman" w:hAnsi="Times New Roman" w:cs="Times New Roman"/>
          <w:sz w:val="28"/>
          <w:szCs w:val="28"/>
        </w:rPr>
      </w:pPr>
      <w:r w:rsidRPr="0070062A">
        <w:rPr>
          <w:rFonts w:ascii="Times New Roman" w:hAnsi="Times New Roman" w:cs="Times New Roman"/>
          <w:b/>
          <w:sz w:val="28"/>
          <w:szCs w:val="28"/>
        </w:rPr>
        <w:t>6. E-veselība un pacientu identifikācija</w:t>
      </w:r>
    </w:p>
    <w:p w14:paraId="1D1DC132"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Lai nodrošinātu uz pierādījumiem balstītu reformu īstenošanu, PB priekšlikumi un reformu plāns paredz</w:t>
      </w:r>
      <w:r>
        <w:rPr>
          <w:rFonts w:ascii="Times New Roman" w:hAnsi="Times New Roman" w:cs="Times New Roman"/>
          <w:sz w:val="24"/>
          <w:szCs w:val="24"/>
        </w:rPr>
        <w:t>:</w:t>
      </w:r>
    </w:p>
    <w:p w14:paraId="19896CD7" w14:textId="77777777" w:rsidR="00C63247" w:rsidRPr="00670E26"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uzlabot esošo veselības aprūpes informācijas infrastruktūru un Latvijā pieejamās analītiskās iespējas, </w:t>
      </w:r>
    </w:p>
    <w:p w14:paraId="48212722" w14:textId="77777777" w:rsidR="00C63247" w:rsidRPr="00670E26"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ieviest nepieciešamo IKT infrastruktūru obligātās veselības apdrošināšanas ieviešanai.</w:t>
      </w:r>
    </w:p>
    <w:p w14:paraId="3AE71194"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Izveidota veselības aprūpes pakalpojumu saņēmēju datubāze</w:t>
      </w:r>
      <w:r w:rsidRPr="0070062A">
        <w:rPr>
          <w:rStyle w:val="FootnoteReference"/>
          <w:rFonts w:ascii="Times New Roman" w:hAnsi="Times New Roman" w:cs="Times New Roman"/>
          <w:sz w:val="24"/>
          <w:szCs w:val="24"/>
        </w:rPr>
        <w:footnoteReference w:id="33"/>
      </w:r>
      <w:r w:rsidRPr="0070062A">
        <w:rPr>
          <w:rFonts w:ascii="Times New Roman" w:hAnsi="Times New Roman" w:cs="Times New Roman"/>
          <w:sz w:val="24"/>
          <w:szCs w:val="24"/>
        </w:rPr>
        <w:t>.</w:t>
      </w:r>
    </w:p>
    <w:p w14:paraId="4D9A2685"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2019.gadā izstrādāts </w:t>
      </w:r>
      <w:r w:rsidRPr="0070062A">
        <w:rPr>
          <w:rFonts w:ascii="Times New Roman" w:hAnsi="Times New Roman" w:cs="Times New Roman"/>
          <w:b/>
          <w:bCs/>
          <w:sz w:val="24"/>
          <w:szCs w:val="24"/>
        </w:rPr>
        <w:t>jauns</w:t>
      </w:r>
      <w:r w:rsidRPr="0070062A">
        <w:rPr>
          <w:rFonts w:ascii="Times New Roman" w:hAnsi="Times New Roman" w:cs="Times New Roman"/>
          <w:sz w:val="24"/>
          <w:szCs w:val="24"/>
        </w:rPr>
        <w:t xml:space="preserve"> mūsdienu prasībām un vajadzībām atbilstošs </w:t>
      </w:r>
      <w:r w:rsidRPr="0070062A">
        <w:rPr>
          <w:rFonts w:ascii="Times New Roman" w:hAnsi="Times New Roman" w:cs="Times New Roman"/>
          <w:b/>
          <w:bCs/>
          <w:sz w:val="24"/>
          <w:szCs w:val="24"/>
        </w:rPr>
        <w:t>tehniskais risinājums</w:t>
      </w:r>
      <w:r w:rsidRPr="0070062A">
        <w:rPr>
          <w:rFonts w:ascii="Times New Roman" w:hAnsi="Times New Roman" w:cs="Times New Roman"/>
          <w:sz w:val="24"/>
          <w:szCs w:val="24"/>
        </w:rPr>
        <w:t xml:space="preserve"> HIV/AIDS gadījumu valsts reģistram, kas uzlabos epidemioloģisko datu ieguvi, uzglabāšanu un izmantošanu par saslimšanas gadījumiem ar HIV/AIDS, kā arī mazinās administratīvo slogu ārstniecības personām.</w:t>
      </w:r>
    </w:p>
    <w:p w14:paraId="2DC4884C" w14:textId="77777777" w:rsidR="00C63247" w:rsidRPr="0070062A" w:rsidRDefault="00C63247" w:rsidP="00C63247">
      <w:pPr>
        <w:spacing w:after="120" w:line="240" w:lineRule="auto"/>
        <w:jc w:val="both"/>
        <w:rPr>
          <w:rFonts w:ascii="Times New Roman" w:hAnsi="Times New Roman" w:cs="Times New Roman"/>
          <w:sz w:val="24"/>
          <w:szCs w:val="24"/>
        </w:rPr>
      </w:pPr>
      <w:r w:rsidRPr="00682841">
        <w:rPr>
          <w:rFonts w:ascii="Times New Roman" w:hAnsi="Times New Roman" w:cs="Times New Roman"/>
          <w:sz w:val="24"/>
          <w:szCs w:val="24"/>
        </w:rPr>
        <w:t>Sākot ar 01.01.2018., gan visiem ģimenes, gan citiem ārstiem, kā arī ārstu palīgiem ambulatorajās un stacionārajās ārstniecības iestādēs noteikts pienākums izmantot e-veselības sistēmu, piemēram, darbnespējas lapu un recepšu recepšu izrakstīšanai.</w:t>
      </w:r>
      <w:r w:rsidRPr="00682841">
        <w:rPr>
          <w:rStyle w:val="FootnoteReference"/>
          <w:rFonts w:ascii="Times New Roman" w:hAnsi="Times New Roman" w:cs="Times New Roman"/>
          <w:sz w:val="24"/>
          <w:szCs w:val="24"/>
        </w:rPr>
        <w:footnoteReference w:id="34"/>
      </w:r>
      <w:r w:rsidRPr="0070062A">
        <w:rPr>
          <w:rFonts w:ascii="Times New Roman" w:hAnsi="Times New Roman" w:cs="Times New Roman"/>
          <w:sz w:val="24"/>
          <w:szCs w:val="24"/>
        </w:rPr>
        <w:t xml:space="preserve"> </w:t>
      </w:r>
    </w:p>
    <w:p w14:paraId="67AD8620"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Lai nodrošinātu regulāru informācijas apmaiņu starp NVD un E-veselības sistēmas lietotājiem, kā arī labāk iesaistītu sistēmas lietotājus E-veselība attīstības plānošanā, VM 2019. gadā izveidoja </w:t>
      </w:r>
      <w:r w:rsidRPr="0070062A">
        <w:rPr>
          <w:rFonts w:ascii="Times New Roman" w:hAnsi="Times New Roman" w:cs="Times New Roman"/>
          <w:b/>
          <w:bCs/>
          <w:sz w:val="24"/>
          <w:szCs w:val="24"/>
        </w:rPr>
        <w:t>E-veselības lietotāju padomi</w:t>
      </w:r>
      <w:r w:rsidRPr="0070062A">
        <w:rPr>
          <w:rFonts w:ascii="Times New Roman" w:hAnsi="Times New Roman" w:cs="Times New Roman"/>
          <w:sz w:val="24"/>
          <w:szCs w:val="24"/>
        </w:rPr>
        <w:t>.</w:t>
      </w:r>
      <w:r w:rsidRPr="0070062A">
        <w:rPr>
          <w:rStyle w:val="FootnoteReference"/>
          <w:rFonts w:ascii="Times New Roman" w:hAnsi="Times New Roman" w:cs="Times New Roman"/>
          <w:sz w:val="24"/>
          <w:szCs w:val="24"/>
        </w:rPr>
        <w:footnoteReference w:id="35"/>
      </w:r>
      <w:r w:rsidRPr="0070062A">
        <w:rPr>
          <w:rFonts w:ascii="Times New Roman" w:hAnsi="Times New Roman" w:cs="Times New Roman"/>
          <w:sz w:val="24"/>
          <w:szCs w:val="24"/>
        </w:rPr>
        <w:t xml:space="preserve"> </w:t>
      </w:r>
    </w:p>
    <w:p w14:paraId="06FF7483" w14:textId="77777777" w:rsidR="00C63247" w:rsidRPr="0070062A" w:rsidRDefault="00C63247" w:rsidP="00C632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 SRSS finansētā projekta ietvaros īstenotas VM resorā nodarbināto personu mācības, lai stiprinātu iemaņas un prasmes politikas plānošanā, ieviešanā un  novērtēšanā. </w:t>
      </w:r>
    </w:p>
    <w:p w14:paraId="7FE9FE57" w14:textId="77777777" w:rsidR="00C63247" w:rsidRPr="0070062A" w:rsidRDefault="00C63247" w:rsidP="00C63247">
      <w:pPr>
        <w:spacing w:after="120" w:line="240" w:lineRule="auto"/>
        <w:jc w:val="center"/>
        <w:rPr>
          <w:rFonts w:ascii="Times New Roman" w:hAnsi="Times New Roman" w:cs="Times New Roman"/>
          <w:sz w:val="24"/>
          <w:szCs w:val="24"/>
        </w:rPr>
      </w:pPr>
      <w:r w:rsidRPr="0070062A">
        <w:rPr>
          <w:rFonts w:ascii="Times New Roman" w:hAnsi="Times New Roman" w:cs="Times New Roman"/>
          <w:b/>
          <w:sz w:val="28"/>
          <w:szCs w:val="28"/>
        </w:rPr>
        <w:lastRenderedPageBreak/>
        <w:t>7. Veselības nozares pārvaldība</w:t>
      </w:r>
    </w:p>
    <w:p w14:paraId="4ECF5594"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Lai nodrošinātu veselības reformu ieviešanu, reformu plāns paredz VM padotības iestāžu reorganizāciju.</w:t>
      </w:r>
    </w:p>
    <w:p w14:paraId="0312DFEB" w14:textId="77777777" w:rsidR="00C63247" w:rsidRPr="0070062A" w:rsidRDefault="00C63247" w:rsidP="00C63247">
      <w:p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14.12.2017. </w:t>
      </w:r>
      <w:r w:rsidRPr="00670E26">
        <w:rPr>
          <w:rFonts w:ascii="Times New Roman" w:hAnsi="Times New Roman" w:cs="Times New Roman"/>
          <w:b/>
          <w:bCs/>
          <w:sz w:val="24"/>
          <w:szCs w:val="24"/>
        </w:rPr>
        <w:t>pieņemts Veselības aprūpes finansēšanas likums</w:t>
      </w:r>
      <w:r w:rsidRPr="00670E26">
        <w:rPr>
          <w:rFonts w:ascii="Times New Roman" w:hAnsi="Times New Roman" w:cs="Times New Roman"/>
          <w:sz w:val="24"/>
          <w:szCs w:val="24"/>
        </w:rPr>
        <w:t xml:space="preserve"> un apstiprināti saistītie MK noteikumi</w:t>
      </w:r>
      <w:r w:rsidRPr="00670E26">
        <w:rPr>
          <w:rStyle w:val="FootnoteReference"/>
          <w:rFonts w:ascii="Times New Roman" w:hAnsi="Times New Roman" w:cs="Times New Roman"/>
          <w:sz w:val="24"/>
          <w:szCs w:val="24"/>
        </w:rPr>
        <w:footnoteReference w:id="36"/>
      </w:r>
      <w:r w:rsidRPr="00670E26">
        <w:rPr>
          <w:rFonts w:ascii="Times New Roman" w:hAnsi="Times New Roman" w:cs="Times New Roman"/>
          <w:sz w:val="24"/>
          <w:szCs w:val="24"/>
        </w:rPr>
        <w:t>.</w:t>
      </w:r>
      <w:r w:rsidRPr="0070062A">
        <w:rPr>
          <w:rFonts w:ascii="Times New Roman" w:hAnsi="Times New Roman" w:cs="Times New Roman"/>
          <w:sz w:val="24"/>
          <w:szCs w:val="24"/>
        </w:rPr>
        <w:t xml:space="preserve"> 13.06.2019.  Saeima ir pieņēmusi grozījumus Veselības aprūpes finansēšanas likumā, kas nosaka, ka VM izstrādās un līdz 01.03.2020. MK iesniegs likumprojektu par vienota valsts apmaksāto veselības aprūpes pakalpojumu apjoma un visaptverošas valsts obligātās veselības apdrošināšanas ieviešanu. </w:t>
      </w:r>
    </w:p>
    <w:p w14:paraId="0624E2FC"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b/>
          <w:bCs/>
          <w:sz w:val="24"/>
          <w:szCs w:val="24"/>
        </w:rPr>
        <w:t>Reorganizēts NVD, SPKC, Zāļu valsts aģentūra (ZVA), VI</w:t>
      </w:r>
      <w:r>
        <w:rPr>
          <w:rFonts w:ascii="Times New Roman" w:hAnsi="Times New Roman" w:cs="Times New Roman"/>
          <w:b/>
          <w:bCs/>
          <w:sz w:val="24"/>
          <w:szCs w:val="24"/>
        </w:rPr>
        <w:t>.</w:t>
      </w:r>
      <w:r w:rsidRPr="0070062A">
        <w:rPr>
          <w:rFonts w:ascii="Times New Roman" w:hAnsi="Times New Roman" w:cs="Times New Roman"/>
          <w:b/>
          <w:bCs/>
          <w:sz w:val="24"/>
          <w:szCs w:val="24"/>
        </w:rPr>
        <w:t xml:space="preserve"> Valsts sporta medicīnas aģentūra</w:t>
      </w:r>
      <w:r w:rsidRPr="0070062A">
        <w:rPr>
          <w:rFonts w:ascii="Times New Roman" w:hAnsi="Times New Roman" w:cs="Times New Roman"/>
          <w:sz w:val="24"/>
          <w:szCs w:val="24"/>
        </w:rPr>
        <w:t>, pārveido</w:t>
      </w:r>
      <w:r>
        <w:rPr>
          <w:rFonts w:ascii="Times New Roman" w:hAnsi="Times New Roman" w:cs="Times New Roman"/>
          <w:sz w:val="24"/>
          <w:szCs w:val="24"/>
        </w:rPr>
        <w:t>ta</w:t>
      </w:r>
      <w:r w:rsidRPr="0070062A">
        <w:rPr>
          <w:rFonts w:ascii="Times New Roman" w:hAnsi="Times New Roman" w:cs="Times New Roman"/>
          <w:sz w:val="24"/>
          <w:szCs w:val="24"/>
        </w:rPr>
        <w:t xml:space="preserve"> par VM pārraudzībā esošu tiešās pārvaldes iestādi – Latvijas Antidopinga biroju</w:t>
      </w:r>
      <w:r w:rsidRPr="0070062A">
        <w:rPr>
          <w:rStyle w:val="FootnoteReference"/>
          <w:rFonts w:ascii="Times New Roman" w:hAnsi="Times New Roman" w:cs="Times New Roman"/>
          <w:sz w:val="24"/>
          <w:szCs w:val="24"/>
        </w:rPr>
        <w:footnoteReference w:id="37"/>
      </w:r>
      <w:r w:rsidRPr="0070062A">
        <w:rPr>
          <w:rFonts w:ascii="Times New Roman" w:hAnsi="Times New Roman" w:cs="Times New Roman"/>
          <w:sz w:val="24"/>
          <w:szCs w:val="24"/>
        </w:rPr>
        <w:t>:</w:t>
      </w:r>
    </w:p>
    <w:p w14:paraId="5024A242" w14:textId="77777777" w:rsidR="00C63247" w:rsidRPr="0070062A" w:rsidRDefault="00C63247" w:rsidP="00C63247">
      <w:pPr>
        <w:pStyle w:val="ListParagraph"/>
        <w:numPr>
          <w:ilvl w:val="0"/>
          <w:numId w:val="37"/>
        </w:numPr>
        <w:spacing w:after="120" w:line="240" w:lineRule="auto"/>
        <w:ind w:left="709"/>
        <w:jc w:val="both"/>
        <w:rPr>
          <w:rFonts w:ascii="Times New Roman" w:hAnsi="Times New Roman" w:cs="Times New Roman"/>
          <w:sz w:val="24"/>
          <w:szCs w:val="24"/>
        </w:rPr>
      </w:pPr>
      <w:r w:rsidRPr="0070062A">
        <w:rPr>
          <w:rFonts w:ascii="Times New Roman" w:hAnsi="Times New Roman" w:cs="Times New Roman"/>
          <w:sz w:val="24"/>
          <w:szCs w:val="24"/>
        </w:rPr>
        <w:t xml:space="preserve">SPKC nodota NVD funkcija – sagatavot izstrādājamo klīnisko vadlīniju sarakstu, izvērtēt klīniskās vadlīnijas un nodrošināt to ieviešanas metodisko vadību. Tādējādi attīstot SPKC kā metodiskā atbalsta sniedzēju ārstniecības iestādēm ārstniecības kvalitātes un pacientu drošības jautājumos. </w:t>
      </w:r>
    </w:p>
    <w:p w14:paraId="28719E1A" w14:textId="77777777" w:rsidR="00C63247" w:rsidRPr="0070062A" w:rsidRDefault="00C63247" w:rsidP="00C63247">
      <w:pPr>
        <w:pStyle w:val="ListParagraph"/>
        <w:numPr>
          <w:ilvl w:val="0"/>
          <w:numId w:val="37"/>
        </w:numPr>
        <w:spacing w:after="120" w:line="240" w:lineRule="auto"/>
        <w:ind w:left="709"/>
        <w:jc w:val="both"/>
        <w:rPr>
          <w:rFonts w:ascii="Times New Roman" w:hAnsi="Times New Roman" w:cs="Times New Roman"/>
          <w:sz w:val="24"/>
          <w:szCs w:val="24"/>
        </w:rPr>
      </w:pPr>
      <w:r w:rsidRPr="0070062A">
        <w:rPr>
          <w:rFonts w:ascii="Times New Roman" w:hAnsi="Times New Roman" w:cs="Times New Roman"/>
          <w:sz w:val="24"/>
          <w:szCs w:val="24"/>
        </w:rPr>
        <w:t>NVD nodota VI funkcija – līgumu izpildes uzraudzība par valsts apmaksājamo veselības aprūpes pakalpojumu sniegšanu. Tādējādi NVD funkcijas fokusētas tieši uz veselības aprūpes līdzekļu plānošanu, administrēšanu un uzraudzību, kā arī e-veselības sistēmas uzturēšanu.</w:t>
      </w:r>
    </w:p>
    <w:p w14:paraId="29CB17B9" w14:textId="77777777" w:rsidR="00C63247" w:rsidRPr="0070062A" w:rsidRDefault="00C63247" w:rsidP="00C63247">
      <w:pPr>
        <w:pStyle w:val="ListParagraph"/>
        <w:numPr>
          <w:ilvl w:val="0"/>
          <w:numId w:val="37"/>
        </w:numPr>
        <w:spacing w:after="0" w:line="240" w:lineRule="auto"/>
        <w:ind w:left="709"/>
        <w:jc w:val="both"/>
        <w:rPr>
          <w:rFonts w:ascii="Times New Roman" w:hAnsi="Times New Roman" w:cs="Times New Roman"/>
          <w:sz w:val="24"/>
          <w:szCs w:val="24"/>
        </w:rPr>
      </w:pPr>
      <w:r w:rsidRPr="0070062A">
        <w:rPr>
          <w:rFonts w:ascii="Times New Roman" w:hAnsi="Times New Roman" w:cs="Times New Roman"/>
          <w:sz w:val="24"/>
          <w:szCs w:val="24"/>
        </w:rPr>
        <w:t>ZVA nodotas NVD funkcijas: a) Novērtēt ārstniecībā lietojamo zāļu, medicīnisko ierīču un medicīnisko tehnoloģiju izmaksu efektivitāti; b)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p>
    <w:p w14:paraId="6F59EA99" w14:textId="77777777" w:rsidR="00C63247" w:rsidRPr="0070062A" w:rsidRDefault="00C63247" w:rsidP="00C63247">
      <w:pPr>
        <w:pStyle w:val="ListParagraph"/>
        <w:numPr>
          <w:ilvl w:val="0"/>
          <w:numId w:val="37"/>
        </w:numPr>
        <w:spacing w:after="0" w:line="240" w:lineRule="auto"/>
        <w:ind w:left="709"/>
        <w:jc w:val="both"/>
        <w:rPr>
          <w:rFonts w:ascii="Times New Roman" w:hAnsi="Times New Roman" w:cs="Times New Roman"/>
          <w:sz w:val="24"/>
          <w:szCs w:val="24"/>
        </w:rPr>
      </w:pPr>
      <w:r w:rsidRPr="0070062A">
        <w:rPr>
          <w:rFonts w:ascii="Times New Roman" w:hAnsi="Times New Roman" w:cs="Times New Roman"/>
          <w:sz w:val="24"/>
          <w:szCs w:val="24"/>
        </w:rPr>
        <w:t>VI ir nodota gala lēmuma pieņemšana par atlīdzības izmaksu no Ārstniecības riska fonda (līdz tam to veica NVD), lai efektivizētu iestāžu resursus un optimizētu lēmumu pieņemšanas procesu)</w:t>
      </w:r>
      <w:r w:rsidRPr="0070062A">
        <w:rPr>
          <w:rStyle w:val="FootnoteReference"/>
          <w:rFonts w:ascii="Times New Roman" w:hAnsi="Times New Roman" w:cs="Times New Roman"/>
          <w:sz w:val="24"/>
          <w:szCs w:val="24"/>
        </w:rPr>
        <w:footnoteReference w:id="38"/>
      </w:r>
      <w:r w:rsidRPr="0070062A">
        <w:rPr>
          <w:rFonts w:ascii="Times New Roman" w:hAnsi="Times New Roman" w:cs="Times New Roman"/>
          <w:sz w:val="24"/>
          <w:szCs w:val="24"/>
        </w:rPr>
        <w:t>. VI uzsāka izmaiņas sūdzību analīzē, kā arī Ārstniecības riska fonda darbības uzlabošanu, ņemot vērā EURinSPECT sniegtos ieteikumus</w:t>
      </w:r>
      <w:r w:rsidRPr="0070062A">
        <w:rPr>
          <w:rStyle w:val="FootnoteReference"/>
          <w:rFonts w:ascii="Times New Roman" w:hAnsi="Times New Roman" w:cs="Times New Roman"/>
          <w:sz w:val="24"/>
          <w:szCs w:val="24"/>
        </w:rPr>
        <w:footnoteReference w:id="39"/>
      </w:r>
      <w:r w:rsidRPr="0070062A">
        <w:rPr>
          <w:rFonts w:ascii="Times New Roman" w:hAnsi="Times New Roman" w:cs="Times New Roman"/>
          <w:sz w:val="24"/>
          <w:szCs w:val="24"/>
        </w:rPr>
        <w:t>.</w:t>
      </w:r>
    </w:p>
    <w:p w14:paraId="6789D9FA" w14:textId="77777777" w:rsidR="00C63247" w:rsidRPr="0070062A" w:rsidRDefault="00C63247" w:rsidP="00C63247">
      <w:pPr>
        <w:pStyle w:val="ListParagraph"/>
        <w:numPr>
          <w:ilvl w:val="0"/>
          <w:numId w:val="37"/>
        </w:numPr>
        <w:spacing w:after="120" w:line="240" w:lineRule="auto"/>
        <w:ind w:left="709"/>
        <w:contextualSpacing w:val="0"/>
        <w:jc w:val="both"/>
        <w:rPr>
          <w:rFonts w:ascii="Times New Roman" w:hAnsi="Times New Roman" w:cs="Times New Roman"/>
          <w:sz w:val="24"/>
          <w:szCs w:val="24"/>
        </w:rPr>
      </w:pPr>
      <w:r w:rsidRPr="0070062A">
        <w:rPr>
          <w:rFonts w:ascii="Times New Roman" w:hAnsi="Times New Roman" w:cs="Times New Roman"/>
          <w:sz w:val="24"/>
          <w:szCs w:val="24"/>
        </w:rPr>
        <w:t>VSIA "Bērnu klīniskā universitātes slimnīca", deleģēti šādi valsts pārvaldes uzdevumi: a) apkopot un analizēt datus, kas saistīti ar nepilngadīgu sportistu un bērnu ar paaugstinātu fizisku slodzi fizisko attīstību un sagatavotību; b) nodrošināt veselības aprūpi un medicīnisko uzraudzību sportistiem un bērniem ar paaugstinātu fizisko slodzi, koordinēt veselības aprūpes un medicīniskās uzraudzības pasākumus un īstenot sporta medicīnas un iedzīvotāju fiziskās veselības aprūpes programmas; c) sniegt valsts un pašvaldību iestādēm, kā arī privātpersonām sporta medicīnas, iedzīvotāju fiziskās veselības aprūpes un medicīniskās rehabilitācijas pakalpojumus.</w:t>
      </w:r>
    </w:p>
    <w:p w14:paraId="2E7C4954" w14:textId="4A4E93FA"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Tiek veidotas </w:t>
      </w:r>
      <w:r w:rsidRPr="0070062A">
        <w:rPr>
          <w:rFonts w:ascii="Times New Roman" w:hAnsi="Times New Roman" w:cs="Times New Roman"/>
          <w:b/>
          <w:bCs/>
          <w:sz w:val="24"/>
          <w:szCs w:val="24"/>
        </w:rPr>
        <w:t>Valsts kapitālsabiedrību padomes</w:t>
      </w:r>
      <w:r w:rsidRPr="0070062A">
        <w:rPr>
          <w:rFonts w:ascii="Times New Roman" w:hAnsi="Times New Roman" w:cs="Times New Roman"/>
          <w:sz w:val="24"/>
          <w:szCs w:val="24"/>
        </w:rPr>
        <w:t xml:space="preserve"> </w:t>
      </w:r>
      <w:r>
        <w:rPr>
          <w:rFonts w:ascii="Times New Roman" w:hAnsi="Times New Roman" w:cs="Times New Roman"/>
          <w:sz w:val="24"/>
          <w:szCs w:val="24"/>
        </w:rPr>
        <w:t xml:space="preserve">universitāšu </w:t>
      </w:r>
      <w:r w:rsidRPr="0070062A">
        <w:rPr>
          <w:rFonts w:ascii="Times New Roman" w:hAnsi="Times New Roman" w:cs="Times New Roman"/>
          <w:sz w:val="24"/>
          <w:szCs w:val="24"/>
        </w:rPr>
        <w:t xml:space="preserve">slimnīcās. 30.08.2019. notika Nominēšanas sanāksme. Septembrī visās trīs universitāšu slimnīcās izsludināts konkurss uz </w:t>
      </w:r>
      <w:r w:rsidRPr="0070062A">
        <w:rPr>
          <w:rFonts w:ascii="Times New Roman" w:hAnsi="Times New Roman" w:cs="Times New Roman"/>
          <w:sz w:val="24"/>
          <w:szCs w:val="24"/>
        </w:rPr>
        <w:lastRenderedPageBreak/>
        <w:t>Valsts kapitālsabiedrību padom</w:t>
      </w:r>
      <w:r w:rsidR="000305EF">
        <w:rPr>
          <w:rFonts w:ascii="Times New Roman" w:hAnsi="Times New Roman" w:cs="Times New Roman"/>
          <w:sz w:val="24"/>
          <w:szCs w:val="24"/>
        </w:rPr>
        <w:t>ju</w:t>
      </w:r>
      <w:r w:rsidRPr="0070062A">
        <w:rPr>
          <w:rFonts w:ascii="Times New Roman" w:hAnsi="Times New Roman" w:cs="Times New Roman"/>
          <w:sz w:val="24"/>
          <w:szCs w:val="24"/>
        </w:rPr>
        <w:t xml:space="preserve"> locekļu vietām. 20</w:t>
      </w:r>
      <w:r w:rsidR="007C56F2">
        <w:rPr>
          <w:rFonts w:ascii="Times New Roman" w:hAnsi="Times New Roman" w:cs="Times New Roman"/>
          <w:sz w:val="24"/>
          <w:szCs w:val="24"/>
        </w:rPr>
        <w:t>20</w:t>
      </w:r>
      <w:r w:rsidRPr="0070062A">
        <w:rPr>
          <w:rFonts w:ascii="Times New Roman" w:hAnsi="Times New Roman" w:cs="Times New Roman"/>
          <w:sz w:val="24"/>
          <w:szCs w:val="24"/>
        </w:rPr>
        <w:t xml:space="preserve">.gada </w:t>
      </w:r>
      <w:r w:rsidR="007C56F2">
        <w:rPr>
          <w:rFonts w:ascii="Times New Roman" w:hAnsi="Times New Roman" w:cs="Times New Roman"/>
          <w:sz w:val="24"/>
          <w:szCs w:val="24"/>
        </w:rPr>
        <w:t>februārī</w:t>
      </w:r>
      <w:r w:rsidRPr="0070062A">
        <w:rPr>
          <w:rFonts w:ascii="Times New Roman" w:hAnsi="Times New Roman" w:cs="Times New Roman"/>
          <w:sz w:val="24"/>
          <w:szCs w:val="24"/>
        </w:rPr>
        <w:t xml:space="preserve"> </w:t>
      </w:r>
      <w:r w:rsidR="000305EF">
        <w:rPr>
          <w:rFonts w:ascii="Times New Roman" w:hAnsi="Times New Roman" w:cs="Times New Roman"/>
          <w:sz w:val="24"/>
          <w:szCs w:val="24"/>
        </w:rPr>
        <w:t xml:space="preserve">padomes </w:t>
      </w:r>
      <w:r w:rsidRPr="0070062A">
        <w:rPr>
          <w:rFonts w:ascii="Times New Roman" w:hAnsi="Times New Roman" w:cs="Times New Roman"/>
          <w:sz w:val="24"/>
          <w:szCs w:val="24"/>
        </w:rPr>
        <w:t>plānots apstiprināt.</w:t>
      </w:r>
    </w:p>
    <w:p w14:paraId="7115D881"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ES SRSS finansētajā projektā “Veselības sistēmas veiktspējas novērtējuma izstrāde Slovēnijai un Latvijai” </w:t>
      </w:r>
      <w:r w:rsidRPr="0070062A">
        <w:rPr>
          <w:rFonts w:ascii="Times New Roman" w:hAnsi="Times New Roman" w:cs="Times New Roman"/>
          <w:b/>
          <w:bCs/>
          <w:sz w:val="24"/>
          <w:szCs w:val="24"/>
        </w:rPr>
        <w:t>izveidota veselības sistēmas darbības novērtēšanas sistēma</w:t>
      </w:r>
      <w:r w:rsidRPr="0070062A">
        <w:rPr>
          <w:rFonts w:ascii="Times New Roman" w:hAnsi="Times New Roman" w:cs="Times New Roman"/>
          <w:sz w:val="24"/>
          <w:szCs w:val="24"/>
        </w:rPr>
        <w:t>, stiprināta SPKC personāla kapacitāte, lai sekmētu veselības sistēmas darbības novērtēšanu bez ārēja atbalsta, izstrādāts rīcības plāns veselības sistēmas darbības novērtēšanas sistēmas ieviešanai. HSPA izstrāde ir nozīmīga reformas daļa, nodrošinot fiskālo ilgtspējību un Latvijas veselības sistēmas efektivitāti.</w:t>
      </w:r>
    </w:p>
    <w:p w14:paraId="6E1FC785" w14:textId="77777777" w:rsidR="00C63247" w:rsidRPr="00B1192C" w:rsidRDefault="00C63247" w:rsidP="00C63247">
      <w:pPr>
        <w:spacing w:after="0" w:line="240" w:lineRule="auto"/>
        <w:jc w:val="both"/>
        <w:rPr>
          <w:rFonts w:ascii="Times New Roman" w:hAnsi="Times New Roman" w:cs="Times New Roman"/>
          <w:sz w:val="28"/>
          <w:szCs w:val="24"/>
        </w:rPr>
      </w:pPr>
    </w:p>
    <w:p w14:paraId="5436207E" w14:textId="77777777" w:rsidR="00C63247" w:rsidRPr="0070062A" w:rsidRDefault="00C63247" w:rsidP="00C63247">
      <w:pPr>
        <w:spacing w:after="120" w:line="240" w:lineRule="auto"/>
        <w:jc w:val="center"/>
        <w:rPr>
          <w:rFonts w:ascii="Times New Roman" w:hAnsi="Times New Roman" w:cs="Times New Roman"/>
          <w:b/>
          <w:sz w:val="28"/>
          <w:szCs w:val="28"/>
        </w:rPr>
      </w:pPr>
      <w:r w:rsidRPr="0070062A">
        <w:rPr>
          <w:rFonts w:ascii="Times New Roman" w:hAnsi="Times New Roman" w:cs="Times New Roman"/>
          <w:b/>
          <w:sz w:val="28"/>
          <w:szCs w:val="28"/>
        </w:rPr>
        <w:t>8. Veselības aprūpes pakalpojumu pieejamība</w:t>
      </w:r>
    </w:p>
    <w:p w14:paraId="3B896042" w14:textId="77777777" w:rsidR="00C63247" w:rsidRPr="0070062A" w:rsidRDefault="00C63247" w:rsidP="00C63247">
      <w:pPr>
        <w:spacing w:after="120" w:line="240" w:lineRule="auto"/>
        <w:jc w:val="both"/>
        <w:rPr>
          <w:rFonts w:ascii="Times New Roman" w:hAnsi="Times New Roman" w:cs="Times New Roman"/>
          <w:bCs/>
          <w:sz w:val="24"/>
          <w:szCs w:val="24"/>
        </w:rPr>
      </w:pPr>
      <w:r w:rsidRPr="0070062A">
        <w:rPr>
          <w:rFonts w:ascii="Times New Roman" w:hAnsi="Times New Roman" w:cs="Times New Roman"/>
          <w:bCs/>
          <w:sz w:val="24"/>
          <w:szCs w:val="24"/>
        </w:rPr>
        <w:t xml:space="preserve">Ņemot vērā ļoti zemos valsts budžeta izdevumus veselības aprūpei, uz ko vairāku gadu garumā norāda gan Eiropas Komisija Eiropas Semestra ietvaros, gan OECD un par ko liecina sliktā aprūpes pakalpojumu pieejamību iedzīvotājiem (augsti pacientu tiešie maksājumi par veselības aprūpi un ilgi pakalpojumu gaidīšanas laiki), reformu plāns paredz uzlabot veselības aprūpes pakalpojumu pieejamību. </w:t>
      </w:r>
    </w:p>
    <w:p w14:paraId="203E9FB1" w14:textId="77777777" w:rsidR="00C63247" w:rsidRPr="0070062A" w:rsidRDefault="00C63247" w:rsidP="00C63247">
      <w:p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Ņemot vērā papildus piešķirto finansējumu, </w:t>
      </w:r>
      <w:r w:rsidRPr="0070062A">
        <w:rPr>
          <w:rFonts w:ascii="Times New Roman" w:hAnsi="Times New Roman" w:cs="Times New Roman"/>
          <w:b/>
          <w:sz w:val="24"/>
          <w:szCs w:val="24"/>
        </w:rPr>
        <w:t xml:space="preserve">samazinātas veselības pakalpojumu gaidīšanas rindas </w:t>
      </w:r>
      <w:r w:rsidRPr="0070062A">
        <w:rPr>
          <w:rFonts w:ascii="Times New Roman" w:hAnsi="Times New Roman" w:cs="Times New Roman"/>
          <w:bCs/>
          <w:sz w:val="24"/>
          <w:szCs w:val="24"/>
        </w:rPr>
        <w:t>(dati</w:t>
      </w:r>
      <w:r w:rsidRPr="0070062A">
        <w:rPr>
          <w:rFonts w:ascii="Times New Roman" w:hAnsi="Times New Roman" w:cs="Times New Roman"/>
          <w:b/>
          <w:sz w:val="24"/>
          <w:szCs w:val="24"/>
        </w:rPr>
        <w:t xml:space="preserve"> </w:t>
      </w:r>
      <w:r w:rsidRPr="0070062A">
        <w:rPr>
          <w:rFonts w:ascii="Times New Roman" w:hAnsi="Times New Roman" w:cs="Times New Roman"/>
          <w:sz w:val="24"/>
          <w:szCs w:val="24"/>
        </w:rPr>
        <w:t xml:space="preserve">uz 01.07.2019.): </w:t>
      </w:r>
    </w:p>
    <w:p w14:paraId="1D81095E" w14:textId="77777777" w:rsidR="00C63247" w:rsidRPr="0070062A" w:rsidRDefault="00C63247" w:rsidP="00C63247">
      <w:pPr>
        <w:pStyle w:val="ListParagraph"/>
        <w:numPr>
          <w:ilvl w:val="0"/>
          <w:numId w:val="19"/>
        </w:numPr>
        <w:spacing w:after="120" w:line="240" w:lineRule="auto"/>
        <w:ind w:left="851" w:hanging="284"/>
        <w:jc w:val="both"/>
        <w:rPr>
          <w:rFonts w:ascii="Times New Roman" w:hAnsi="Times New Roman" w:cs="Times New Roman"/>
          <w:sz w:val="24"/>
          <w:szCs w:val="24"/>
        </w:rPr>
      </w:pPr>
      <w:r w:rsidRPr="0070062A">
        <w:rPr>
          <w:rFonts w:ascii="Times New Roman" w:hAnsi="Times New Roman" w:cs="Times New Roman"/>
          <w:sz w:val="24"/>
          <w:szCs w:val="24"/>
        </w:rPr>
        <w:t>uz speciālistu konsultācijām ir samazinājušās vidēji līdz 92,27 dienām (pirms reformas līdz 100,48 dienām);</w:t>
      </w:r>
    </w:p>
    <w:p w14:paraId="7A511A3C" w14:textId="77777777" w:rsidR="00C63247" w:rsidRPr="0070062A" w:rsidRDefault="00C63247" w:rsidP="00C63247">
      <w:pPr>
        <w:pStyle w:val="ListParagraph"/>
        <w:numPr>
          <w:ilvl w:val="0"/>
          <w:numId w:val="19"/>
        </w:numPr>
        <w:spacing w:after="120" w:line="240" w:lineRule="auto"/>
        <w:ind w:left="851" w:hanging="284"/>
        <w:jc w:val="both"/>
        <w:rPr>
          <w:rFonts w:ascii="Times New Roman" w:hAnsi="Times New Roman" w:cs="Times New Roman"/>
          <w:sz w:val="24"/>
          <w:szCs w:val="24"/>
        </w:rPr>
      </w:pPr>
      <w:r w:rsidRPr="0070062A">
        <w:rPr>
          <w:rFonts w:ascii="Times New Roman" w:hAnsi="Times New Roman" w:cs="Times New Roman"/>
          <w:sz w:val="24"/>
          <w:szCs w:val="24"/>
        </w:rPr>
        <w:t>uz dienas stacionārā sniegtajiem pakalpojumiem ir samazinājušās vidēji līdz 207,22 dienām (pirms reformas līdz 407 dienām);</w:t>
      </w:r>
    </w:p>
    <w:p w14:paraId="14686DC1" w14:textId="77777777" w:rsidR="00C63247" w:rsidRPr="0070062A" w:rsidRDefault="00C63247" w:rsidP="00C63247">
      <w:pPr>
        <w:pStyle w:val="ListParagraph"/>
        <w:numPr>
          <w:ilvl w:val="0"/>
          <w:numId w:val="19"/>
        </w:numPr>
        <w:spacing w:after="120" w:line="240" w:lineRule="auto"/>
        <w:ind w:left="851" w:hanging="284"/>
        <w:jc w:val="both"/>
        <w:rPr>
          <w:rFonts w:ascii="Times New Roman" w:hAnsi="Times New Roman" w:cs="Times New Roman"/>
          <w:sz w:val="24"/>
          <w:szCs w:val="24"/>
        </w:rPr>
      </w:pPr>
      <w:r w:rsidRPr="0070062A">
        <w:rPr>
          <w:rFonts w:ascii="Times New Roman" w:hAnsi="Times New Roman" w:cs="Times New Roman"/>
          <w:sz w:val="24"/>
          <w:szCs w:val="24"/>
        </w:rPr>
        <w:t>uz ambulatorās rehabilitācijas pakalpojumiem ir samazinājušās vidēji līdz 113,25 dienām (pirms reformas līdz 500,2 dienām).</w:t>
      </w:r>
    </w:p>
    <w:p w14:paraId="054745A1" w14:textId="77777777" w:rsidR="00C63247" w:rsidRPr="0070062A"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Ir uzsākts darbs, lai nodefinētu veselības aprūpes pakalpojumu </w:t>
      </w:r>
      <w:r w:rsidRPr="0070062A">
        <w:rPr>
          <w:rFonts w:ascii="Times New Roman" w:hAnsi="Times New Roman" w:cs="Times New Roman"/>
          <w:b/>
          <w:bCs/>
          <w:sz w:val="24"/>
          <w:szCs w:val="24"/>
        </w:rPr>
        <w:t>maksimālo gaidīšanas laiku</w:t>
      </w:r>
      <w:r w:rsidRPr="0070062A">
        <w:rPr>
          <w:rFonts w:ascii="Times New Roman" w:hAnsi="Times New Roman" w:cs="Times New Roman"/>
          <w:sz w:val="24"/>
          <w:szCs w:val="24"/>
        </w:rPr>
        <w:t xml:space="preserve"> un izstrādātu vienotu metodiku rindas uz veselības aprūpes pakalpojumu saņemšanu veidošanai. Būtiski uzsvērt, ka bez papildus finansējuma piešķiršanas gaidīšanas laiku uz veselības aprūpes pakalpojumiem nebūs iespējams samazināt. </w:t>
      </w:r>
    </w:p>
    <w:p w14:paraId="1A46F407" w14:textId="77777777" w:rsidR="00C63247" w:rsidRPr="0070062A" w:rsidRDefault="00C63247" w:rsidP="00C63247">
      <w:pPr>
        <w:spacing w:after="120" w:line="240" w:lineRule="auto"/>
        <w:jc w:val="both"/>
        <w:rPr>
          <w:rStyle w:val="normaltextrun"/>
          <w:rFonts w:ascii="Times New Roman" w:eastAsia="Times New Roman" w:hAnsi="Times New Roman" w:cs="Times New Roman"/>
          <w:color w:val="000000"/>
          <w:sz w:val="24"/>
          <w:szCs w:val="24"/>
          <w:shd w:val="clear" w:color="auto" w:fill="FFFFFF"/>
          <w:lang w:eastAsia="lv-LV"/>
        </w:rPr>
      </w:pPr>
      <w:r w:rsidRPr="0070062A">
        <w:rPr>
          <w:rStyle w:val="normaltextrun"/>
          <w:rFonts w:ascii="Times New Roman" w:eastAsia="Times New Roman" w:hAnsi="Times New Roman" w:cs="Times New Roman"/>
          <w:color w:val="000000"/>
          <w:sz w:val="24"/>
          <w:szCs w:val="24"/>
          <w:shd w:val="clear" w:color="auto" w:fill="FFFFFF"/>
          <w:lang w:eastAsia="lv-LV"/>
        </w:rPr>
        <w:t>No 01.04.2020. ārstiem, izrakstot pacientam medikamentus no kompensējamo zāļu saraksta, receptē būs jānorāda zāļu starptautisko nepatentētais nosaukums (SNN) un aptiekā pacientam tiks izsniegts references jeb zemākās cenas līdzvērtīgas efektivitātes medikaments</w:t>
      </w:r>
      <w:r w:rsidRPr="0070062A">
        <w:rPr>
          <w:rStyle w:val="FootnoteReference"/>
          <w:rFonts w:ascii="Times New Roman" w:eastAsia="Times New Roman" w:hAnsi="Times New Roman" w:cs="Times New Roman"/>
          <w:color w:val="000000"/>
          <w:sz w:val="24"/>
          <w:szCs w:val="24"/>
          <w:shd w:val="clear" w:color="auto" w:fill="FFFFFF"/>
          <w:lang w:eastAsia="lv-LV"/>
        </w:rPr>
        <w:footnoteReference w:id="40"/>
      </w:r>
      <w:r w:rsidRPr="0070062A">
        <w:rPr>
          <w:rStyle w:val="normaltextrun"/>
          <w:rFonts w:ascii="Times New Roman" w:eastAsia="Times New Roman" w:hAnsi="Times New Roman" w:cs="Times New Roman"/>
          <w:color w:val="000000"/>
          <w:sz w:val="24"/>
          <w:szCs w:val="24"/>
          <w:shd w:val="clear" w:color="auto" w:fill="FFFFFF"/>
          <w:lang w:eastAsia="lv-LV"/>
        </w:rPr>
        <w:t xml:space="preserve">. </w:t>
      </w:r>
    </w:p>
    <w:p w14:paraId="2F0C6F69" w14:textId="77777777" w:rsidR="00C63247" w:rsidRDefault="00C63247" w:rsidP="00C63247">
      <w:p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Valsts apmaksāto veselības aprūpes pakalpojumu klāstā ir iekļauti </w:t>
      </w:r>
      <w:r w:rsidRPr="00670E26">
        <w:rPr>
          <w:rFonts w:ascii="Times New Roman" w:hAnsi="Times New Roman" w:cs="Times New Roman"/>
          <w:b/>
          <w:bCs/>
          <w:sz w:val="24"/>
          <w:szCs w:val="24"/>
        </w:rPr>
        <w:t>vairāki jauni pakalpojumi</w:t>
      </w:r>
      <w:r w:rsidRPr="00670E26">
        <w:rPr>
          <w:rFonts w:ascii="Times New Roman" w:hAnsi="Times New Roman" w:cs="Times New Roman"/>
          <w:sz w:val="24"/>
          <w:szCs w:val="24"/>
        </w:rPr>
        <w:t>:</w:t>
      </w:r>
    </w:p>
    <w:p w14:paraId="0B1AD1D6" w14:textId="77777777" w:rsidR="00C63247" w:rsidRDefault="00C63247" w:rsidP="00C63247">
      <w:pPr>
        <w:pStyle w:val="ListParagraph"/>
        <w:numPr>
          <w:ilvl w:val="0"/>
          <w:numId w:val="57"/>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aknu transplantācija un aortālā vārstuļa transkatetrālā implantācija, </w:t>
      </w:r>
    </w:p>
    <w:p w14:paraId="1EF0A52F" w14:textId="77777777" w:rsidR="00C63247" w:rsidRPr="00670E26" w:rsidRDefault="00C63247" w:rsidP="00C63247">
      <w:pPr>
        <w:pStyle w:val="ListParagraph"/>
        <w:numPr>
          <w:ilvl w:val="0"/>
          <w:numId w:val="57"/>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diabēta apmācības kabineta pakalpojumi, </w:t>
      </w:r>
    </w:p>
    <w:p w14:paraId="10FDB686"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pediatra kabineti III un IV līmeņa slimnīcās, </w:t>
      </w:r>
    </w:p>
    <w:p w14:paraId="704FD9DD"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sāpju mazināšanas kabineti, </w:t>
      </w:r>
    </w:p>
    <w:p w14:paraId="4265F36A"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paplašināta PET/DET izmeklējumu pieejamība, </w:t>
      </w:r>
    </w:p>
    <w:p w14:paraId="5C37F45C"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SCORE, </w:t>
      </w:r>
    </w:p>
    <w:p w14:paraId="69A658DE"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pierādījumos balstīta jauniešu psihiskās veselības sekundārās profilakses programma garastāvokļa un uzvedības traucējumu novēršanai un seku mazināšanai, </w:t>
      </w:r>
    </w:p>
    <w:p w14:paraId="2DAC289F"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robotizēta stereotaktiskā radioķirurģija dienas stacionārā, </w:t>
      </w:r>
    </w:p>
    <w:p w14:paraId="409F2BC9"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psihoemocionālā atbalsta pasākumi vēža pacientiem un viņu ģimenes locekļiem,</w:t>
      </w:r>
    </w:p>
    <w:p w14:paraId="355F978F"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kabineti HIV ārstēšanas līzdestības veicināšanai, </w:t>
      </w:r>
    </w:p>
    <w:p w14:paraId="2F46251D"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psiholoģiskā atbalsta pakalpojumi personām ar primāri diagnosticētu HIV, </w:t>
      </w:r>
    </w:p>
    <w:p w14:paraId="310A8D0C"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lastRenderedPageBreak/>
        <w:t xml:space="preserve">mobilās vienības kaitējuma mazināšanai un HIV un citu STS infekciju izplatības novēršanai, </w:t>
      </w:r>
    </w:p>
    <w:p w14:paraId="7CD1D215"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zobu ekstrakcija vispārējā narkozē personām ar 1.grupas invaliditāti psihisku un uzvedības traucējumu dēļ, </w:t>
      </w:r>
    </w:p>
    <w:p w14:paraId="18756FD5"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 xml:space="preserve">veselība saprūpe mājās personām ar psihiskiem un uzvedības traucējumiem, </w:t>
      </w:r>
    </w:p>
    <w:p w14:paraId="6C501020" w14:textId="77777777" w:rsidR="00C63247" w:rsidRDefault="00C63247" w:rsidP="00C63247">
      <w:pPr>
        <w:pStyle w:val="ListParagraph"/>
        <w:numPr>
          <w:ilvl w:val="0"/>
          <w:numId w:val="54"/>
        </w:numPr>
        <w:spacing w:after="120" w:line="240" w:lineRule="auto"/>
        <w:jc w:val="both"/>
        <w:rPr>
          <w:rFonts w:ascii="Times New Roman" w:hAnsi="Times New Roman" w:cs="Times New Roman"/>
          <w:sz w:val="24"/>
          <w:szCs w:val="24"/>
        </w:rPr>
      </w:pPr>
      <w:r w:rsidRPr="00670E26">
        <w:rPr>
          <w:rFonts w:ascii="Times New Roman" w:hAnsi="Times New Roman" w:cs="Times New Roman"/>
          <w:sz w:val="24"/>
          <w:szCs w:val="24"/>
        </w:rPr>
        <w:t>ieviesta efektīvāka un lietošanā ērtāka taisnās zarnas vēža skrīninga metode</w:t>
      </w:r>
      <w:r>
        <w:rPr>
          <w:rFonts w:ascii="Times New Roman" w:hAnsi="Times New Roman" w:cs="Times New Roman"/>
          <w:sz w:val="24"/>
          <w:szCs w:val="24"/>
        </w:rPr>
        <w:t>,</w:t>
      </w:r>
    </w:p>
    <w:p w14:paraId="56877BFB" w14:textId="77777777" w:rsidR="00C63247" w:rsidRPr="00670E26" w:rsidRDefault="00C63247" w:rsidP="00C63247">
      <w:pPr>
        <w:pStyle w:val="ListParagraph"/>
        <w:numPr>
          <w:ilvl w:val="0"/>
          <w:numId w:val="54"/>
        </w:numPr>
        <w:spacing w:after="120" w:line="240" w:lineRule="auto"/>
        <w:jc w:val="both"/>
        <w:rPr>
          <w:rStyle w:val="normaltextrun"/>
          <w:rFonts w:ascii="Times New Roman" w:hAnsi="Times New Roman" w:cs="Times New Roman"/>
          <w:sz w:val="24"/>
          <w:szCs w:val="24"/>
        </w:rPr>
      </w:pPr>
      <w:r w:rsidRPr="00670E26">
        <w:rPr>
          <w:rStyle w:val="normaltextrun"/>
          <w:rFonts w:ascii="Times New Roman" w:eastAsia="Times New Roman" w:hAnsi="Times New Roman" w:cs="Times New Roman"/>
          <w:color w:val="000000"/>
          <w:sz w:val="24"/>
          <w:szCs w:val="24"/>
          <w:lang w:eastAsia="lv-LV"/>
        </w:rPr>
        <w:t xml:space="preserve">bērnu revakcinācija (2.pote) pret vējbakām. Revakcinācija ir paredzēta 7–12 gadu veciem bērniem. </w:t>
      </w:r>
    </w:p>
    <w:p w14:paraId="26AC3CCD" w14:textId="77777777" w:rsidR="00C63247" w:rsidRPr="00670E26" w:rsidRDefault="00C63247" w:rsidP="00C63247">
      <w:pPr>
        <w:pStyle w:val="ListParagraph"/>
        <w:numPr>
          <w:ilvl w:val="0"/>
          <w:numId w:val="54"/>
        </w:numPr>
        <w:spacing w:after="120" w:line="240" w:lineRule="auto"/>
        <w:jc w:val="both"/>
        <w:rPr>
          <w:rStyle w:val="normaltextrun"/>
          <w:rFonts w:ascii="Times New Roman" w:hAnsi="Times New Roman" w:cs="Times New Roman"/>
          <w:sz w:val="24"/>
          <w:szCs w:val="24"/>
        </w:rPr>
      </w:pPr>
      <w:r w:rsidRPr="00670E26">
        <w:rPr>
          <w:rStyle w:val="normaltextrun"/>
          <w:rFonts w:ascii="Times New Roman" w:eastAsia="Times New Roman" w:hAnsi="Times New Roman" w:cs="Times New Roman"/>
          <w:b/>
          <w:bCs/>
          <w:color w:val="000000"/>
          <w:sz w:val="24"/>
          <w:szCs w:val="24"/>
          <w:lang w:eastAsia="lv-LV"/>
        </w:rPr>
        <w:t>gripas vakcīna</w:t>
      </w:r>
      <w:r w:rsidRPr="00670E26">
        <w:rPr>
          <w:rStyle w:val="normaltextrun"/>
          <w:rFonts w:ascii="Times New Roman" w:eastAsia="Times New Roman" w:hAnsi="Times New Roman" w:cs="Times New Roman"/>
          <w:color w:val="000000"/>
          <w:sz w:val="24"/>
          <w:szCs w:val="24"/>
          <w:lang w:eastAsia="lv-LV"/>
        </w:rPr>
        <w:t xml:space="preserve"> bērniem no 6 mēnešu līdz 2 gadu vecumam un grūtniecēm tiek apmaksāta no valsts budžeta līdzekļiem.</w:t>
      </w:r>
    </w:p>
    <w:p w14:paraId="38A55E8A" w14:textId="77777777" w:rsidR="00C63247" w:rsidRPr="00670E26" w:rsidRDefault="00C63247" w:rsidP="00C63247">
      <w:pPr>
        <w:pStyle w:val="ListParagraph"/>
        <w:numPr>
          <w:ilvl w:val="0"/>
          <w:numId w:val="54"/>
        </w:numPr>
        <w:spacing w:after="120" w:line="240" w:lineRule="auto"/>
        <w:jc w:val="both"/>
        <w:rPr>
          <w:rStyle w:val="normaltextrun"/>
          <w:rFonts w:ascii="Times New Roman" w:hAnsi="Times New Roman" w:cs="Times New Roman"/>
          <w:sz w:val="24"/>
          <w:szCs w:val="24"/>
        </w:rPr>
      </w:pPr>
      <w:r w:rsidRPr="00670E26">
        <w:rPr>
          <w:rStyle w:val="normaltextrun"/>
          <w:rFonts w:ascii="Times New Roman" w:eastAsia="Times New Roman" w:hAnsi="Times New Roman" w:cs="Times New Roman"/>
          <w:color w:val="000000"/>
          <w:sz w:val="24"/>
          <w:szCs w:val="24"/>
          <w:lang w:eastAsia="lv-LV"/>
        </w:rPr>
        <w:t xml:space="preserve">jaundzimušo ģenētiski </w:t>
      </w:r>
      <w:r w:rsidRPr="00670E26">
        <w:rPr>
          <w:rStyle w:val="normaltextrun"/>
          <w:rFonts w:ascii="Times New Roman" w:eastAsia="Times New Roman" w:hAnsi="Times New Roman" w:cs="Times New Roman"/>
          <w:b/>
          <w:bCs/>
          <w:color w:val="000000"/>
          <w:sz w:val="24"/>
          <w:szCs w:val="24"/>
          <w:lang w:eastAsia="lv-LV"/>
        </w:rPr>
        <w:t>iedzimto slimību skrīnings ir paplašināts</w:t>
      </w:r>
      <w:r w:rsidRPr="00670E26">
        <w:rPr>
          <w:rStyle w:val="normaltextrun"/>
          <w:rFonts w:ascii="Times New Roman" w:eastAsia="Times New Roman" w:hAnsi="Times New Roman" w:cs="Times New Roman"/>
          <w:color w:val="000000"/>
          <w:sz w:val="24"/>
          <w:szCs w:val="24"/>
          <w:lang w:eastAsia="lv-LV"/>
        </w:rPr>
        <w:t xml:space="preserve"> ar 4 jauniem izmeklējumiem agrīnai ārstējamu patoloģiju diagnosticēšanai. </w:t>
      </w:r>
    </w:p>
    <w:p w14:paraId="3B289459" w14:textId="77777777" w:rsidR="00C63247" w:rsidRDefault="00C63247" w:rsidP="00C63247">
      <w:pPr>
        <w:spacing w:after="120" w:line="240" w:lineRule="auto"/>
        <w:jc w:val="both"/>
        <w:rPr>
          <w:rFonts w:ascii="Times New Roman" w:hAnsi="Times New Roman" w:cs="Times New Roman"/>
          <w:sz w:val="24"/>
          <w:szCs w:val="24"/>
        </w:rPr>
      </w:pPr>
      <w:r w:rsidRPr="0070062A">
        <w:rPr>
          <w:rFonts w:ascii="Times New Roman" w:hAnsi="Times New Roman" w:cs="Times New Roman"/>
          <w:b/>
          <w:bCs/>
          <w:sz w:val="24"/>
          <w:szCs w:val="24"/>
        </w:rPr>
        <w:t>Uzlabota valsts kompensēto zāļu pieejamība</w:t>
      </w:r>
      <w:r w:rsidRPr="0070062A">
        <w:rPr>
          <w:rFonts w:ascii="Times New Roman" w:hAnsi="Times New Roman" w:cs="Times New Roman"/>
          <w:sz w:val="24"/>
          <w:szCs w:val="24"/>
        </w:rPr>
        <w:t>, iekļaujot valsts kompensēto zāļu sarakstā jaunas zāles un samazinot kompensācijas apmēru.</w:t>
      </w:r>
    </w:p>
    <w:p w14:paraId="1ECFE75C" w14:textId="77777777" w:rsidR="00C63247" w:rsidRDefault="00C63247" w:rsidP="00C63247">
      <w:pPr>
        <w:spacing w:after="120" w:line="240" w:lineRule="auto"/>
        <w:jc w:val="both"/>
        <w:rPr>
          <w:rFonts w:ascii="Times New Roman" w:hAnsi="Times New Roman" w:cs="Times New Roman"/>
          <w:sz w:val="24"/>
          <w:szCs w:val="24"/>
        </w:rPr>
      </w:pPr>
    </w:p>
    <w:p w14:paraId="28EB83C6" w14:textId="77777777" w:rsidR="00C63247" w:rsidRDefault="00C63247" w:rsidP="00C632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Pielikumā:</w:t>
      </w:r>
    </w:p>
    <w:p w14:paraId="6E2B041D" w14:textId="77777777" w:rsidR="00C63247" w:rsidRDefault="00C63247" w:rsidP="00C632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Slimnīcas līmeņa pārskatīšanas shēma.</w:t>
      </w:r>
    </w:p>
    <w:p w14:paraId="0349CDCA" w14:textId="77777777" w:rsidR="00C63247" w:rsidRPr="0070062A" w:rsidRDefault="00C63247" w:rsidP="00C632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E7749">
        <w:rPr>
          <w:rFonts w:ascii="Times New Roman" w:hAnsi="Times New Roman" w:cs="Times New Roman"/>
          <w:sz w:val="24"/>
          <w:szCs w:val="24"/>
        </w:rPr>
        <w:t>Veselības sistēmas reformas ietvaros plānoto rīcību īstenošana un turpmāk veicamās darbības</w:t>
      </w:r>
      <w:r>
        <w:rPr>
          <w:rFonts w:ascii="Times New Roman" w:hAnsi="Times New Roman" w:cs="Times New Roman"/>
          <w:sz w:val="24"/>
          <w:szCs w:val="24"/>
        </w:rPr>
        <w:t>.</w:t>
      </w:r>
    </w:p>
    <w:p w14:paraId="129F0FAB" w14:textId="77777777" w:rsidR="00C63247" w:rsidRPr="0070062A" w:rsidRDefault="00C63247" w:rsidP="000804BE">
      <w:pPr>
        <w:spacing w:after="0" w:line="240" w:lineRule="auto"/>
        <w:jc w:val="both"/>
        <w:rPr>
          <w:rFonts w:ascii="Times New Roman" w:hAnsi="Times New Roman" w:cs="Times New Roman"/>
          <w:b/>
          <w:bCs/>
          <w:sz w:val="24"/>
          <w:szCs w:val="24"/>
        </w:rPr>
      </w:pPr>
    </w:p>
    <w:p w14:paraId="7B28C877" w14:textId="77777777" w:rsidR="00C63247" w:rsidRPr="0070062A" w:rsidRDefault="00C63247" w:rsidP="00C63247">
      <w:pPr>
        <w:spacing w:after="0" w:line="240" w:lineRule="auto"/>
        <w:jc w:val="both"/>
        <w:rPr>
          <w:rFonts w:ascii="Times New Roman" w:hAnsi="Times New Roman" w:cs="Times New Roman"/>
          <w:sz w:val="24"/>
          <w:szCs w:val="24"/>
        </w:rPr>
      </w:pPr>
      <w:r w:rsidRPr="0070062A">
        <w:rPr>
          <w:rFonts w:ascii="Times New Roman" w:hAnsi="Times New Roman" w:cs="Times New Roman"/>
          <w:sz w:val="24"/>
          <w:szCs w:val="24"/>
        </w:rPr>
        <w:t xml:space="preserve">Veselības ministre                                  </w:t>
      </w:r>
      <w:r w:rsidRPr="0070062A">
        <w:rPr>
          <w:rFonts w:ascii="Times New Roman" w:hAnsi="Times New Roman" w:cs="Times New Roman"/>
          <w:sz w:val="20"/>
          <w:szCs w:val="24"/>
        </w:rPr>
        <w:t>(paraksts*)</w:t>
      </w:r>
      <w:r w:rsidRPr="00700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062A">
        <w:rPr>
          <w:rFonts w:ascii="Times New Roman" w:hAnsi="Times New Roman" w:cs="Times New Roman"/>
          <w:sz w:val="24"/>
          <w:szCs w:val="24"/>
        </w:rPr>
        <w:t>Ilze Viņķele</w:t>
      </w:r>
    </w:p>
    <w:p w14:paraId="669F8A05" w14:textId="77777777" w:rsidR="00C63247" w:rsidRPr="0070062A" w:rsidRDefault="00C63247" w:rsidP="00C63247">
      <w:pPr>
        <w:spacing w:after="0" w:line="240" w:lineRule="auto"/>
        <w:ind w:firstLine="567"/>
        <w:jc w:val="both"/>
        <w:rPr>
          <w:rFonts w:ascii="Times New Roman" w:hAnsi="Times New Roman" w:cs="Times New Roman"/>
          <w:sz w:val="24"/>
          <w:szCs w:val="24"/>
        </w:rPr>
      </w:pPr>
    </w:p>
    <w:p w14:paraId="117EC759" w14:textId="77777777" w:rsidR="00C63247" w:rsidRPr="0070062A" w:rsidRDefault="00C63247" w:rsidP="00C63247">
      <w:pPr>
        <w:spacing w:after="0" w:line="240" w:lineRule="auto"/>
        <w:ind w:firstLine="567"/>
        <w:jc w:val="both"/>
        <w:rPr>
          <w:rFonts w:ascii="Times New Roman" w:hAnsi="Times New Roman" w:cs="Times New Roman"/>
          <w:sz w:val="24"/>
          <w:szCs w:val="24"/>
        </w:rPr>
      </w:pPr>
    </w:p>
    <w:p w14:paraId="47B25987" w14:textId="77777777" w:rsidR="00C63247" w:rsidRPr="00B1192C" w:rsidRDefault="00C63247" w:rsidP="00C63247">
      <w:pPr>
        <w:spacing w:after="0" w:line="240" w:lineRule="auto"/>
        <w:ind w:firstLine="567"/>
        <w:jc w:val="both"/>
        <w:rPr>
          <w:rFonts w:ascii="Times New Roman" w:hAnsi="Times New Roman" w:cs="Times New Roman"/>
          <w:sz w:val="24"/>
          <w:szCs w:val="24"/>
        </w:rPr>
      </w:pPr>
    </w:p>
    <w:p w14:paraId="202172BA" w14:textId="77777777" w:rsidR="00C63247" w:rsidRPr="00B1192C" w:rsidRDefault="00C63247" w:rsidP="00C63247">
      <w:pPr>
        <w:spacing w:after="0" w:line="240" w:lineRule="auto"/>
        <w:ind w:firstLine="567"/>
        <w:jc w:val="both"/>
        <w:rPr>
          <w:rFonts w:ascii="Times New Roman" w:hAnsi="Times New Roman" w:cs="Times New Roman"/>
          <w:sz w:val="24"/>
          <w:szCs w:val="24"/>
        </w:rPr>
      </w:pPr>
    </w:p>
    <w:p w14:paraId="3E3B0583" w14:textId="77777777" w:rsidR="00C63247" w:rsidRPr="00B1192C" w:rsidRDefault="00C63247" w:rsidP="00C63247">
      <w:pPr>
        <w:spacing w:after="0" w:line="240" w:lineRule="auto"/>
        <w:ind w:firstLine="567"/>
        <w:jc w:val="both"/>
        <w:rPr>
          <w:rFonts w:ascii="Times New Roman" w:hAnsi="Times New Roman" w:cs="Times New Roman"/>
          <w:sz w:val="24"/>
          <w:szCs w:val="24"/>
        </w:rPr>
      </w:pPr>
    </w:p>
    <w:p w14:paraId="794F586A" w14:textId="77777777" w:rsidR="00C63247" w:rsidRPr="00B1192C" w:rsidRDefault="00C63247" w:rsidP="00C63247">
      <w:pPr>
        <w:spacing w:after="0" w:line="240" w:lineRule="auto"/>
        <w:ind w:firstLine="567"/>
        <w:jc w:val="both"/>
        <w:rPr>
          <w:rFonts w:ascii="Times New Roman" w:hAnsi="Times New Roman" w:cs="Times New Roman"/>
          <w:sz w:val="24"/>
          <w:szCs w:val="24"/>
        </w:rPr>
      </w:pPr>
    </w:p>
    <w:p w14:paraId="73FFD4F0" w14:textId="77777777" w:rsidR="00C63247" w:rsidRPr="00B1192C" w:rsidRDefault="00C63247" w:rsidP="00C63247">
      <w:pPr>
        <w:spacing w:after="0" w:line="240" w:lineRule="auto"/>
        <w:ind w:firstLine="567"/>
        <w:jc w:val="both"/>
        <w:rPr>
          <w:rFonts w:ascii="Times New Roman" w:hAnsi="Times New Roman" w:cs="Times New Roman"/>
          <w:sz w:val="24"/>
          <w:szCs w:val="24"/>
        </w:rPr>
      </w:pPr>
    </w:p>
    <w:p w14:paraId="3898F3E6" w14:textId="77777777" w:rsidR="00C63247" w:rsidRPr="00B1192C" w:rsidRDefault="00C63247" w:rsidP="00C63247">
      <w:pPr>
        <w:spacing w:after="0" w:line="240" w:lineRule="auto"/>
        <w:jc w:val="both"/>
        <w:rPr>
          <w:rFonts w:ascii="Times New Roman" w:hAnsi="Times New Roman" w:cs="Times New Roman"/>
          <w:sz w:val="20"/>
          <w:szCs w:val="20"/>
        </w:rPr>
      </w:pPr>
      <w:r w:rsidRPr="00B1192C">
        <w:rPr>
          <w:rFonts w:ascii="Times New Roman" w:hAnsi="Times New Roman" w:cs="Times New Roman"/>
          <w:sz w:val="20"/>
          <w:szCs w:val="20"/>
        </w:rPr>
        <w:t>Laura Boltāne, 67876154</w:t>
      </w:r>
    </w:p>
    <w:p w14:paraId="5ED18A02" w14:textId="77777777" w:rsidR="00C63247" w:rsidRPr="00B1192C" w:rsidRDefault="00C0637F" w:rsidP="00C63247">
      <w:pPr>
        <w:spacing w:after="0" w:line="240" w:lineRule="auto"/>
        <w:jc w:val="both"/>
        <w:rPr>
          <w:rFonts w:ascii="Times New Roman" w:hAnsi="Times New Roman" w:cs="Times New Roman"/>
          <w:sz w:val="20"/>
          <w:szCs w:val="20"/>
        </w:rPr>
      </w:pPr>
      <w:hyperlink r:id="rId9" w:history="1">
        <w:r w:rsidR="00C63247" w:rsidRPr="00B1192C">
          <w:rPr>
            <w:rStyle w:val="Hyperlink"/>
            <w:rFonts w:ascii="Times New Roman" w:hAnsi="Times New Roman" w:cs="Times New Roman"/>
            <w:sz w:val="20"/>
            <w:szCs w:val="20"/>
          </w:rPr>
          <w:t>laura.boltane@vm.gov.lv</w:t>
        </w:r>
      </w:hyperlink>
    </w:p>
    <w:p w14:paraId="27A84532" w14:textId="77777777" w:rsidR="00C63247" w:rsidRPr="00B1192C" w:rsidRDefault="00C63247" w:rsidP="00C63247">
      <w:pPr>
        <w:spacing w:after="0" w:line="240" w:lineRule="auto"/>
        <w:ind w:firstLine="567"/>
        <w:jc w:val="both"/>
        <w:rPr>
          <w:rFonts w:ascii="Times New Roman" w:hAnsi="Times New Roman" w:cs="Times New Roman"/>
          <w:sz w:val="20"/>
          <w:szCs w:val="20"/>
        </w:rPr>
      </w:pPr>
    </w:p>
    <w:p w14:paraId="7D735A2A" w14:textId="0D706EB3" w:rsidR="00C63247" w:rsidRPr="00B1192C" w:rsidRDefault="00C63247" w:rsidP="00C63247">
      <w:pPr>
        <w:spacing w:after="0" w:line="240" w:lineRule="auto"/>
        <w:jc w:val="both"/>
        <w:rPr>
          <w:rFonts w:ascii="Times New Roman" w:hAnsi="Times New Roman" w:cs="Times New Roman"/>
          <w:sz w:val="20"/>
          <w:szCs w:val="20"/>
        </w:rPr>
      </w:pPr>
      <w:r w:rsidRPr="00B1192C">
        <w:rPr>
          <w:rFonts w:ascii="Times New Roman" w:hAnsi="Times New Roman" w:cs="Times New Roman"/>
          <w:sz w:val="20"/>
          <w:szCs w:val="20"/>
        </w:rPr>
        <w:t xml:space="preserve">Evija Zača, </w:t>
      </w:r>
      <w:r w:rsidR="000804BE" w:rsidRPr="000804BE">
        <w:rPr>
          <w:rFonts w:ascii="Times New Roman" w:hAnsi="Times New Roman" w:cs="Times New Roman"/>
          <w:color w:val="3D3D3D"/>
          <w:sz w:val="20"/>
          <w:szCs w:val="20"/>
        </w:rPr>
        <w:t>67876045</w:t>
      </w:r>
    </w:p>
    <w:p w14:paraId="4D56F6A4" w14:textId="77777777" w:rsidR="00C63247" w:rsidRPr="00B1192C" w:rsidRDefault="00C0637F" w:rsidP="00C63247">
      <w:pPr>
        <w:spacing w:after="0" w:line="240" w:lineRule="auto"/>
        <w:jc w:val="both"/>
        <w:rPr>
          <w:rFonts w:ascii="Times New Roman" w:hAnsi="Times New Roman" w:cs="Times New Roman"/>
          <w:sz w:val="20"/>
          <w:szCs w:val="20"/>
        </w:rPr>
      </w:pPr>
      <w:hyperlink r:id="rId10" w:history="1">
        <w:r w:rsidR="00C63247" w:rsidRPr="00B1192C">
          <w:rPr>
            <w:rStyle w:val="Hyperlink"/>
            <w:rFonts w:ascii="Times New Roman" w:hAnsi="Times New Roman" w:cs="Times New Roman"/>
            <w:sz w:val="20"/>
            <w:szCs w:val="20"/>
          </w:rPr>
          <w:t>evija.zača@vm.gov.lv</w:t>
        </w:r>
      </w:hyperlink>
    </w:p>
    <w:p w14:paraId="1C40D54F" w14:textId="77777777" w:rsidR="00C63247" w:rsidRPr="00B1192C" w:rsidRDefault="00C63247" w:rsidP="00C63247">
      <w:pPr>
        <w:spacing w:after="0" w:line="240" w:lineRule="auto"/>
        <w:ind w:firstLine="567"/>
        <w:jc w:val="both"/>
        <w:rPr>
          <w:rFonts w:ascii="Times New Roman" w:hAnsi="Times New Roman" w:cs="Times New Roman"/>
          <w:sz w:val="20"/>
          <w:szCs w:val="20"/>
        </w:rPr>
      </w:pPr>
    </w:p>
    <w:p w14:paraId="2C69787D" w14:textId="5C1FFC98" w:rsidR="006B1752" w:rsidRDefault="006B1752" w:rsidP="001B690E">
      <w:pPr>
        <w:spacing w:after="0" w:line="240" w:lineRule="auto"/>
        <w:ind w:firstLine="567"/>
        <w:jc w:val="both"/>
        <w:rPr>
          <w:rFonts w:ascii="Times New Roman" w:hAnsi="Times New Roman" w:cs="Times New Roman"/>
          <w:b/>
          <w:sz w:val="28"/>
          <w:szCs w:val="28"/>
        </w:rPr>
      </w:pPr>
    </w:p>
    <w:sectPr w:rsidR="006B1752" w:rsidSect="002610D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50C1" w14:textId="77777777" w:rsidR="00A10A9A" w:rsidRDefault="00A10A9A" w:rsidP="000455C4">
      <w:pPr>
        <w:spacing w:after="0" w:line="240" w:lineRule="auto"/>
      </w:pPr>
      <w:r>
        <w:separator/>
      </w:r>
    </w:p>
  </w:endnote>
  <w:endnote w:type="continuationSeparator" w:id="0">
    <w:p w14:paraId="628E4C29" w14:textId="77777777" w:rsidR="00A10A9A" w:rsidRDefault="00A10A9A" w:rsidP="000455C4">
      <w:pPr>
        <w:spacing w:after="0" w:line="240" w:lineRule="auto"/>
      </w:pPr>
      <w:r>
        <w:continuationSeparator/>
      </w:r>
    </w:p>
  </w:endnote>
  <w:endnote w:type="continuationNotice" w:id="1">
    <w:p w14:paraId="6AF71DA9" w14:textId="77777777" w:rsidR="00A10A9A" w:rsidRDefault="00A10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B4DB" w14:textId="54A9715A" w:rsidR="00FC5EAE" w:rsidRPr="00C111DB" w:rsidRDefault="00FC5EAE" w:rsidP="00C111DB">
    <w:pPr>
      <w:pStyle w:val="Footer"/>
    </w:pPr>
    <w:r w:rsidRPr="00C111DB">
      <w:rPr>
        <w:rFonts w:ascii="Times New Roman" w:hAnsi="Times New Roman" w:cs="Times New Roman"/>
      </w:rPr>
      <w:t>VMzin_</w:t>
    </w:r>
    <w:r w:rsidR="000F057F">
      <w:rPr>
        <w:rFonts w:ascii="Times New Roman" w:hAnsi="Times New Roman" w:cs="Times New Roman"/>
      </w:rPr>
      <w:t>0302</w:t>
    </w:r>
    <w:r w:rsidRPr="00C111DB">
      <w:rPr>
        <w:rFonts w:ascii="Times New Roman" w:hAnsi="Times New Roman" w:cs="Times New Roman"/>
      </w:rPr>
      <w:t>20_reformu_plans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7EDD" w14:textId="58BF989C" w:rsidR="00FC5EAE" w:rsidRPr="00C111DB" w:rsidRDefault="00FC5EAE" w:rsidP="00C111DB">
    <w:pPr>
      <w:pStyle w:val="Footer"/>
    </w:pPr>
    <w:r w:rsidRPr="00C111DB">
      <w:rPr>
        <w:rFonts w:ascii="Times New Roman" w:hAnsi="Times New Roman" w:cs="Times New Roman"/>
      </w:rPr>
      <w:t>VMzin_</w:t>
    </w:r>
    <w:r w:rsidR="000F057F">
      <w:rPr>
        <w:rFonts w:ascii="Times New Roman" w:hAnsi="Times New Roman" w:cs="Times New Roman"/>
      </w:rPr>
      <w:t>0302</w:t>
    </w:r>
    <w:r w:rsidRPr="00C111DB">
      <w:rPr>
        <w:rFonts w:ascii="Times New Roman" w:hAnsi="Times New Roman" w:cs="Times New Roman"/>
      </w:rPr>
      <w:t>20_reformu_plans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8751" w14:textId="77777777" w:rsidR="00A10A9A" w:rsidRDefault="00A10A9A" w:rsidP="000455C4">
      <w:pPr>
        <w:spacing w:after="0" w:line="240" w:lineRule="auto"/>
      </w:pPr>
      <w:r>
        <w:separator/>
      </w:r>
    </w:p>
  </w:footnote>
  <w:footnote w:type="continuationSeparator" w:id="0">
    <w:p w14:paraId="4961ECA2" w14:textId="77777777" w:rsidR="00A10A9A" w:rsidRDefault="00A10A9A" w:rsidP="000455C4">
      <w:pPr>
        <w:spacing w:after="0" w:line="240" w:lineRule="auto"/>
      </w:pPr>
      <w:r>
        <w:continuationSeparator/>
      </w:r>
    </w:p>
  </w:footnote>
  <w:footnote w:type="continuationNotice" w:id="1">
    <w:p w14:paraId="767CAFBD" w14:textId="77777777" w:rsidR="00A10A9A" w:rsidRDefault="00A10A9A">
      <w:pPr>
        <w:spacing w:after="0" w:line="240" w:lineRule="auto"/>
      </w:pPr>
    </w:p>
  </w:footnote>
  <w:footnote w:id="2">
    <w:p w14:paraId="4B75C49B" w14:textId="77777777" w:rsidR="00FC5EAE" w:rsidRPr="00AE7749" w:rsidRDefault="00FC5EAE" w:rsidP="00C63247">
      <w:pPr>
        <w:pStyle w:val="FootnoteText"/>
        <w:jc w:val="both"/>
        <w:rPr>
          <w:rFonts w:ascii="Times New Roman" w:hAnsi="Times New Roman" w:cs="Times New Roman"/>
        </w:rPr>
      </w:pPr>
      <w:r w:rsidRPr="00AE7749">
        <w:rPr>
          <w:rStyle w:val="FootnoteReference"/>
          <w:rFonts w:ascii="Times New Roman" w:hAnsi="Times New Roman" w:cs="Times New Roman"/>
        </w:rPr>
        <w:footnoteRef/>
      </w:r>
      <w:r w:rsidRPr="00AE7749">
        <w:rPr>
          <w:rFonts w:ascii="Times New Roman" w:hAnsi="Times New Roman" w:cs="Times New Roman"/>
        </w:rPr>
        <w:t xml:space="preserve"> </w:t>
      </w:r>
      <w:r>
        <w:rPr>
          <w:rFonts w:ascii="Times New Roman" w:hAnsi="Times New Roman" w:cs="Times New Roman"/>
        </w:rPr>
        <w:t xml:space="preserve">Apstiprināts ar </w:t>
      </w:r>
      <w:r w:rsidRPr="00AE7749">
        <w:rPr>
          <w:rFonts w:ascii="Times New Roman" w:hAnsi="Times New Roman" w:cs="Times New Roman"/>
        </w:rPr>
        <w:t>MK 07.08.2017.rīkojum</w:t>
      </w:r>
      <w:r>
        <w:rPr>
          <w:rFonts w:ascii="Times New Roman" w:hAnsi="Times New Roman" w:cs="Times New Roman"/>
        </w:rPr>
        <w:t>u</w:t>
      </w:r>
      <w:r w:rsidRPr="00AE7749">
        <w:rPr>
          <w:rFonts w:ascii="Times New Roman" w:hAnsi="Times New Roman" w:cs="Times New Roman"/>
        </w:rPr>
        <w:t xml:space="preserve"> Nr. 394 “Par konceptuālo ziņojumu "Par veselības aprūpes sistēmas reformu"</w:t>
      </w:r>
      <w:r>
        <w:rPr>
          <w:rFonts w:ascii="Times New Roman" w:hAnsi="Times New Roman" w:cs="Times New Roman"/>
        </w:rPr>
        <w:t>.</w:t>
      </w:r>
    </w:p>
  </w:footnote>
  <w:footnote w:id="3">
    <w:p w14:paraId="00043A4A"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w:t>
      </w:r>
      <w:hyperlink r:id="rId1" w:history="1">
        <w:r w:rsidRPr="005A16E4">
          <w:rPr>
            <w:rStyle w:val="Hyperlink"/>
            <w:rFonts w:ascii="Times New Roman" w:hAnsi="Times New Roman" w:cs="Times New Roman"/>
          </w:rPr>
          <w:t>http://www.vmnvd.gov.lv/lv/esf-projekts/zinojumi</w:t>
        </w:r>
      </w:hyperlink>
      <w:r w:rsidRPr="005A16E4">
        <w:rPr>
          <w:rFonts w:ascii="Times New Roman" w:hAnsi="Times New Roman" w:cs="Times New Roman"/>
        </w:rPr>
        <w:t xml:space="preserve"> </w:t>
      </w:r>
    </w:p>
  </w:footnote>
  <w:footnote w:id="4">
    <w:p w14:paraId="3D3CE367"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2019. gada ziņojums par Latviju, Eiropas Komisija. Briselē, 27.2.2019.SWD(2019) 1013 final</w:t>
      </w:r>
      <w:r>
        <w:rPr>
          <w:rFonts w:ascii="Times New Roman" w:hAnsi="Times New Roman" w:cs="Times New Roman"/>
        </w:rPr>
        <w:t>.</w:t>
      </w:r>
    </w:p>
  </w:footnote>
  <w:footnote w:id="5">
    <w:p w14:paraId="63ECBAF0"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OECD (2019), OECD Economic Surveys: Latvia 2019, OECD Publishing, Paris, </w:t>
      </w:r>
      <w:hyperlink r:id="rId2" w:history="1">
        <w:r w:rsidRPr="004678F5">
          <w:rPr>
            <w:rStyle w:val="Hyperlink"/>
            <w:rFonts w:ascii="Times New Roman" w:hAnsi="Times New Roman" w:cs="Times New Roman"/>
          </w:rPr>
          <w:t>https://doi.org/10.1787/f8c2f493-en</w:t>
        </w:r>
      </w:hyperlink>
      <w:r w:rsidRPr="005A16E4">
        <w:rPr>
          <w:rFonts w:ascii="Times New Roman" w:hAnsi="Times New Roman" w:cs="Times New Roman"/>
        </w:rPr>
        <w:t>.</w:t>
      </w:r>
      <w:r>
        <w:rPr>
          <w:rFonts w:ascii="Times New Roman" w:hAnsi="Times New Roman" w:cs="Times New Roman"/>
        </w:rPr>
        <w:t xml:space="preserve"> </w:t>
      </w:r>
    </w:p>
  </w:footnote>
  <w:footnote w:id="6">
    <w:p w14:paraId="0BCC6CB2"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Konceptuālais ziņojums par veselības aprūpes “Par veselības aprūpes sistēmas reformu”(MK 07.08.2017. rīkojums Nr.394)</w:t>
      </w:r>
      <w:r>
        <w:rPr>
          <w:rFonts w:ascii="Times New Roman" w:hAnsi="Times New Roman" w:cs="Times New Roman"/>
        </w:rPr>
        <w:t>.</w:t>
      </w:r>
    </w:p>
  </w:footnote>
  <w:footnote w:id="7">
    <w:p w14:paraId="3C72A488"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Valsts kontroles revīziju ziņojumi pieejami VK tīmekļa vietnē </w:t>
      </w:r>
      <w:hyperlink r:id="rId3" w:history="1">
        <w:r w:rsidRPr="005A16E4">
          <w:rPr>
            <w:rStyle w:val="Hyperlink"/>
            <w:rFonts w:ascii="Times New Roman" w:hAnsi="Times New Roman" w:cs="Times New Roman"/>
          </w:rPr>
          <w:t>http://www.lrvk.gov.lv/revizija/</w:t>
        </w:r>
      </w:hyperlink>
      <w:r w:rsidRPr="005A16E4">
        <w:rPr>
          <w:rFonts w:ascii="Times New Roman" w:hAnsi="Times New Roman" w:cs="Times New Roman"/>
        </w:rPr>
        <w:t xml:space="preserve"> </w:t>
      </w:r>
    </w:p>
  </w:footnote>
  <w:footnote w:id="8">
    <w:p w14:paraId="151ED445"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Ekspertu ziņojums “Latvijas Republikas Veselības inspekcija”pieejams </w:t>
      </w:r>
      <w:hyperlink r:id="rId4" w:history="1">
        <w:r w:rsidRPr="005A16E4">
          <w:rPr>
            <w:rStyle w:val="Hyperlink"/>
            <w:rFonts w:ascii="Times New Roman" w:hAnsi="Times New Roman" w:cs="Times New Roman"/>
          </w:rPr>
          <w:t>http://www.vmnvd.gov.lv/uploads/files/5c5842f37f78d.pdf</w:t>
        </w:r>
      </w:hyperlink>
      <w:r w:rsidRPr="005A16E4">
        <w:rPr>
          <w:rFonts w:ascii="Times New Roman" w:hAnsi="Times New Roman" w:cs="Times New Roman"/>
        </w:rPr>
        <w:t xml:space="preserve"> </w:t>
      </w:r>
    </w:p>
  </w:footnote>
  <w:footnote w:id="9">
    <w:p w14:paraId="5AC20CE4"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1) Radīt uz datiem balstītu veselības aprūpes sistēmu, izstrādājot galvenos darbības indikatorus pieejai, kvalitātei, efektivitātei un ilgtspējai; virzīties uz pakalpojumu sniedzēja līmeņa darbības pasākumu atklātību un salīdzinošo novērtēšanu.</w:t>
      </w:r>
    </w:p>
    <w:p w14:paraId="61757F03" w14:textId="77777777" w:rsidR="00FC5EAE" w:rsidRPr="005A16E4" w:rsidRDefault="00FC5EAE" w:rsidP="00C63247">
      <w:pPr>
        <w:pStyle w:val="FootnoteText"/>
        <w:jc w:val="both"/>
        <w:rPr>
          <w:rFonts w:ascii="Times New Roman" w:hAnsi="Times New Roman" w:cs="Times New Roman"/>
        </w:rPr>
      </w:pPr>
      <w:r w:rsidRPr="005A16E4">
        <w:rPr>
          <w:rFonts w:ascii="Times New Roman" w:hAnsi="Times New Roman" w:cs="Times New Roman"/>
        </w:rPr>
        <w:t>2) Uzlabot piekļuvi aprūpei, jo īpaši samazinot pacienta līdzmaksājumu  un apsverot atkārtotu ieviešanu atbrīvojumam no līdzmaksājuma neaizsargātām un maznodrošinātām grupām.</w:t>
      </w:r>
    </w:p>
    <w:p w14:paraId="73967D6A" w14:textId="77777777" w:rsidR="00FC5EAE" w:rsidRPr="005A16E4" w:rsidRDefault="00FC5EAE" w:rsidP="00C63247">
      <w:pPr>
        <w:pStyle w:val="FootnoteText"/>
        <w:jc w:val="both"/>
        <w:rPr>
          <w:rFonts w:ascii="Times New Roman" w:hAnsi="Times New Roman" w:cs="Times New Roman"/>
        </w:rPr>
      </w:pPr>
      <w:r w:rsidRPr="005A16E4">
        <w:rPr>
          <w:rFonts w:ascii="Times New Roman" w:hAnsi="Times New Roman" w:cs="Times New Roman"/>
        </w:rPr>
        <w:t>3) Uzlabot aprūpes kvalitāti, labāk izmantojot valsts pacientu reģistru, plašāku kvalitātes un rezultātu datu vākšanu, un ieviešot valsts sistēmu, lai mācītos no nevēlamiem notikumiem.</w:t>
      </w:r>
    </w:p>
    <w:p w14:paraId="6F5637DA" w14:textId="77777777" w:rsidR="00FC5EAE" w:rsidRPr="005A16E4" w:rsidRDefault="00FC5EAE" w:rsidP="00C63247">
      <w:pPr>
        <w:pStyle w:val="FootnoteText"/>
        <w:jc w:val="both"/>
        <w:rPr>
          <w:rFonts w:ascii="Times New Roman" w:hAnsi="Times New Roman" w:cs="Times New Roman"/>
        </w:rPr>
      </w:pPr>
      <w:r w:rsidRPr="005A16E4">
        <w:rPr>
          <w:rFonts w:ascii="Times New Roman" w:hAnsi="Times New Roman" w:cs="Times New Roman"/>
        </w:rPr>
        <w:t>4) Efektīvāk sniegt profilaktisko aprūpi, izmantojot plašāku starpnozaru darbu, labāk izmantojot māsas ģimenes ārstu praksēs un labāk iesaistot farmaceitus profilaktiskajā aprūpē.</w:t>
      </w:r>
    </w:p>
    <w:p w14:paraId="59A99936" w14:textId="77777777" w:rsidR="00FC5EAE" w:rsidRPr="005A16E4" w:rsidRDefault="00FC5EAE" w:rsidP="00C63247">
      <w:pPr>
        <w:pStyle w:val="FootnoteText"/>
        <w:jc w:val="both"/>
        <w:rPr>
          <w:rFonts w:ascii="Times New Roman" w:hAnsi="Times New Roman" w:cs="Times New Roman"/>
        </w:rPr>
      </w:pPr>
      <w:r w:rsidRPr="005A16E4">
        <w:rPr>
          <w:rFonts w:ascii="Times New Roman" w:hAnsi="Times New Roman" w:cs="Times New Roman"/>
        </w:rPr>
        <w:t>5) Palielināt veselības izdevumus uz vienu iedzīvotāju līdz līmenim, kas tuvinās OECD vidējam rādītājam, izmantojot mērķtiecīgu un regulāru izdevumu pieaugumu.</w:t>
      </w:r>
    </w:p>
  </w:footnote>
  <w:footnote w:id="10">
    <w:p w14:paraId="5A677F90"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Secretariat note on Latvia’s implementation of the Health Committee recommendations, DELSA/HEA/ACS(2018)1, OECD. </w:t>
      </w:r>
    </w:p>
  </w:footnote>
  <w:footnote w:id="11">
    <w:p w14:paraId="4F959413"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w:t>
      </w:r>
      <w:hyperlink r:id="rId5" w:history="1">
        <w:r w:rsidRPr="005A16E4">
          <w:rPr>
            <w:rStyle w:val="Hyperlink"/>
            <w:rFonts w:ascii="Times New Roman" w:hAnsi="Times New Roman" w:cs="Times New Roman"/>
          </w:rPr>
          <w:t>http://www.euro.who.int/__data/assets/pdf_file/0020/402059/WHO-FP-016-Latvia-in-Latvian-digital-single-pages.pdf?ua=1</w:t>
        </w:r>
      </w:hyperlink>
    </w:p>
  </w:footnote>
  <w:footnote w:id="12">
    <w:p w14:paraId="385E71CC" w14:textId="77777777" w:rsidR="00FC5EAE" w:rsidRPr="005A16E4" w:rsidRDefault="00FC5EAE" w:rsidP="00C63247">
      <w:pPr>
        <w:pStyle w:val="FootnoteText"/>
        <w:ind w:left="142"/>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State of Health in the EU Latvija.Valsts veselības profils 2019. Pieejams: </w:t>
      </w:r>
      <w:hyperlink r:id="rId6" w:history="1">
        <w:r w:rsidRPr="005A16E4">
          <w:rPr>
            <w:rStyle w:val="Hyperlink"/>
            <w:rFonts w:ascii="Times New Roman" w:hAnsi="Times New Roman" w:cs="Times New Roman"/>
          </w:rPr>
          <w:t>https://ec.europa.eu/health/sites/health/files/state/docs/2019_chp_lv_latvian.pdf</w:t>
        </w:r>
      </w:hyperlink>
    </w:p>
  </w:footnote>
  <w:footnote w:id="13">
    <w:p w14:paraId="1A40713C"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Atbilstoši likumam “Par budžetu 2018.gadam” un Finanšu ministrijas rīkojumiem gada laikā</w:t>
      </w:r>
      <w:r>
        <w:rPr>
          <w:rFonts w:ascii="Times New Roman" w:hAnsi="Times New Roman" w:cs="Times New Roman"/>
        </w:rPr>
        <w:t>.</w:t>
      </w:r>
    </w:p>
  </w:footnote>
  <w:footnote w:id="14">
    <w:p w14:paraId="3544C145"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Atbilstoši likumam “Par budžetu 2019.gadam” un Finanšu ministrijas rīkojumiem gada laikā</w:t>
      </w:r>
      <w:r>
        <w:rPr>
          <w:rFonts w:ascii="Times New Roman" w:hAnsi="Times New Roman" w:cs="Times New Roman"/>
        </w:rPr>
        <w:t>.</w:t>
      </w:r>
    </w:p>
  </w:footnote>
  <w:footnote w:id="15">
    <w:p w14:paraId="29B74FEE"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Atbilstoši Saeimā 14.11.2019. apstiprinātajam likumam “Par valsts budžetu 2020.gadam”</w:t>
      </w:r>
      <w:r>
        <w:rPr>
          <w:rFonts w:ascii="Times New Roman" w:hAnsi="Times New Roman" w:cs="Times New Roman"/>
        </w:rPr>
        <w:t>.</w:t>
      </w:r>
      <w:r w:rsidRPr="005A16E4">
        <w:rPr>
          <w:rFonts w:ascii="Times New Roman" w:hAnsi="Times New Roman" w:cs="Times New Roman"/>
        </w:rPr>
        <w:t xml:space="preserve"> </w:t>
      </w:r>
    </w:p>
  </w:footnote>
  <w:footnote w:id="16">
    <w:p w14:paraId="78822B75" w14:textId="77777777" w:rsidR="00FC5EAE" w:rsidRPr="005A16E4" w:rsidRDefault="00FC5EAE" w:rsidP="00C63247">
      <w:pPr>
        <w:spacing w:after="0" w:line="240" w:lineRule="auto"/>
        <w:jc w:val="both"/>
        <w:rPr>
          <w:rFonts w:ascii="Times New Roman" w:hAnsi="Times New Roman" w:cs="Times New Roman"/>
          <w:sz w:val="20"/>
          <w:szCs w:val="20"/>
        </w:rPr>
      </w:pPr>
      <w:r w:rsidRPr="005A16E4">
        <w:rPr>
          <w:rStyle w:val="FootnoteReference"/>
          <w:rFonts w:ascii="Times New Roman" w:hAnsi="Times New Roman" w:cs="Times New Roman"/>
          <w:sz w:val="20"/>
          <w:szCs w:val="20"/>
        </w:rPr>
        <w:footnoteRef/>
      </w:r>
      <w:r w:rsidRPr="005A16E4">
        <w:rPr>
          <w:rFonts w:ascii="Times New Roman" w:hAnsi="Times New Roman" w:cs="Times New Roman"/>
          <w:sz w:val="20"/>
          <w:szCs w:val="20"/>
        </w:rPr>
        <w:t>Slimnīcu sniedzamās palīdzības apjoms atbilstoši slimnīcu līmenim ir noteikts 28.08.2018. MK noteikumu  Nr.555 “Veselības aprūpes organizācijas un finansēšanas kārtība” 6.pielikumam. Savukārt samaksas apmēra plānošana ir noteikta noteikumu 14. pielikumā</w:t>
      </w:r>
      <w:r>
        <w:rPr>
          <w:rFonts w:ascii="Times New Roman" w:hAnsi="Times New Roman" w:cs="Times New Roman"/>
          <w:sz w:val="20"/>
          <w:szCs w:val="20"/>
        </w:rPr>
        <w:t>.</w:t>
      </w:r>
    </w:p>
  </w:footnote>
  <w:footnote w:id="17">
    <w:p w14:paraId="34CA2B14" w14:textId="77777777" w:rsidR="00FC5EAE" w:rsidRPr="005A16E4" w:rsidRDefault="00FC5EAE" w:rsidP="00C63247">
      <w:pPr>
        <w:spacing w:after="0" w:line="240" w:lineRule="auto"/>
        <w:jc w:val="both"/>
        <w:rPr>
          <w:rFonts w:ascii="Times New Roman" w:hAnsi="Times New Roman" w:cs="Times New Roman"/>
          <w:sz w:val="20"/>
          <w:szCs w:val="20"/>
        </w:rPr>
      </w:pPr>
      <w:r w:rsidRPr="005A16E4">
        <w:rPr>
          <w:rStyle w:val="FootnoteReference"/>
          <w:rFonts w:ascii="Times New Roman" w:hAnsi="Times New Roman" w:cs="Times New Roman"/>
          <w:sz w:val="20"/>
          <w:szCs w:val="20"/>
        </w:rPr>
        <w:footnoteRef/>
      </w:r>
      <w:r w:rsidRPr="005A16E4">
        <w:rPr>
          <w:rFonts w:ascii="Times New Roman" w:hAnsi="Times New Roman" w:cs="Times New Roman"/>
          <w:sz w:val="20"/>
          <w:szCs w:val="20"/>
        </w:rPr>
        <w:t xml:space="preserve"> MK 28.06.2018. noteikumu  Nr.555 “Veselības aprūpes organizācijas un finansēšanas kārtība” 3.9. apkašnodaļā noteikta steidzamās medicīniskās palīdzības punktā sniegto veselības aprūpes pakalpojumu saņemšanas kārtība, 4.5. apakšnodaļa paredz samaksas kārtību, bet steidzamās medicīniskās palīdzības punkti ir noteikti 10.pielikumā. </w:t>
      </w:r>
    </w:p>
  </w:footnote>
  <w:footnote w:id="18">
    <w:p w14:paraId="4AE3769B" w14:textId="77777777" w:rsidR="00FC5EAE" w:rsidRPr="00173B5E" w:rsidRDefault="00FC5EAE" w:rsidP="00C63247">
      <w:pPr>
        <w:pStyle w:val="FootnoteText"/>
        <w:jc w:val="both"/>
        <w:rPr>
          <w:rFonts w:ascii="Times New Roman" w:hAnsi="Times New Roman" w:cs="Times New Roman"/>
        </w:rPr>
      </w:pPr>
      <w:r w:rsidRPr="00173B5E">
        <w:rPr>
          <w:rStyle w:val="FootnoteReference"/>
          <w:rFonts w:ascii="Times New Roman" w:hAnsi="Times New Roman" w:cs="Times New Roman"/>
        </w:rPr>
        <w:footnoteRef/>
      </w:r>
      <w:r w:rsidRPr="00173B5E">
        <w:rPr>
          <w:rFonts w:ascii="Times New Roman" w:hAnsi="Times New Roman" w:cs="Times New Roman"/>
        </w:rPr>
        <w:t xml:space="preserve"> Atbilstoši informatīvajā ziņojuma “Par izmaiņām slimnīcu darbībā” (apstiprināts Ministru kabineta 2019.gada 10.septembra sēdē, prot. Nr.39 33§, TA-1648) minētajiem turpmākās rīcības virzieniem</w:t>
      </w:r>
      <w:r>
        <w:rPr>
          <w:rFonts w:ascii="Times New Roman" w:hAnsi="Times New Roman" w:cs="Times New Roman"/>
        </w:rPr>
        <w:t>.</w:t>
      </w:r>
    </w:p>
  </w:footnote>
  <w:footnote w:id="19">
    <w:p w14:paraId="1349F812"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Slimnīcu sadarbības modeļa attīstīšana paredzēta EK strukturālo reformu atbalsta dienesta finansētā VM projekta „Slimnīcu sadarbības modelis” 2.kārtas (provizoriski sākot no 2020.gada septembra)</w:t>
      </w:r>
      <w:r>
        <w:rPr>
          <w:rFonts w:ascii="Times New Roman" w:hAnsi="Times New Roman" w:cs="Times New Roman"/>
        </w:rPr>
        <w:t>.</w:t>
      </w:r>
    </w:p>
  </w:footnote>
  <w:footnote w:id="20">
    <w:p w14:paraId="17BE8343"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28.08.2018. noteikumi Nr.555 “Veselības aprūpes organizācijas un finansēšanas kārtība”</w:t>
      </w:r>
      <w:r>
        <w:rPr>
          <w:rFonts w:ascii="Times New Roman" w:hAnsi="Times New Roman" w:cs="Times New Roman"/>
        </w:rPr>
        <w:t>.</w:t>
      </w:r>
    </w:p>
  </w:footnote>
  <w:footnote w:id="21">
    <w:p w14:paraId="02BE6814"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Informatīvais ziņojums "Par plānošanas reģionu darbības pilnveidošanu" (VSS 17.10.2019. 39.prot. 28.§)</w:t>
      </w:r>
      <w:r>
        <w:rPr>
          <w:rFonts w:ascii="Times New Roman" w:hAnsi="Times New Roman" w:cs="Times New Roman"/>
        </w:rPr>
        <w:t>.</w:t>
      </w:r>
    </w:p>
  </w:footnote>
  <w:footnote w:id="22">
    <w:p w14:paraId="5DAB665C"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26.11.2019. rīkojums Nr. 587 “Par Reģionālās politikas pamatnostādnēm 2021.-2027. gadam”</w:t>
      </w:r>
      <w:r>
        <w:rPr>
          <w:rFonts w:ascii="Times New Roman" w:hAnsi="Times New Roman" w:cs="Times New Roman"/>
        </w:rPr>
        <w:t>.</w:t>
      </w:r>
    </w:p>
  </w:footnote>
  <w:footnote w:id="23">
    <w:p w14:paraId="1382BFE1"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“Izvērtējums par veselības aprūpes pakalpojumu pieejamību ar hroniskām slimībām ilgstoši slimojošiem pacientiem, tajā skaitā pacientiem ar funkcionāliem traucējumiem, un nepieciešamajiem ieguldījumiem, lai ieviestu jaunu uz pacientu orientētu integrētu aprūpes pakalpojumu sniegšanas modeli”.  </w:t>
      </w:r>
      <w:hyperlink r:id="rId7" w:history="1">
        <w:r w:rsidRPr="005A16E4">
          <w:rPr>
            <w:rStyle w:val="Hyperlink"/>
            <w:rFonts w:ascii="Times New Roman" w:hAnsi="Times New Roman" w:cs="Times New Roman"/>
          </w:rPr>
          <w:t>https://komitejas.esfondi.lv/Shared%20Documents/VM_izvertejums_hroniskas_slimibas_15082019.docx</w:t>
        </w:r>
      </w:hyperlink>
    </w:p>
  </w:footnote>
  <w:footnote w:id="24">
    <w:p w14:paraId="1A07C6CC"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18.12.2018. noteikumi Nr. 851 “Noteikumi par zemāko mēnešalgu un speciālo piemaksu veselības aprūpes jomā nodarbinātajiem”</w:t>
      </w:r>
      <w:r>
        <w:rPr>
          <w:rFonts w:ascii="Times New Roman" w:hAnsi="Times New Roman" w:cs="Times New Roman"/>
        </w:rPr>
        <w:t>.</w:t>
      </w:r>
    </w:p>
  </w:footnote>
  <w:footnote w:id="25">
    <w:p w14:paraId="37625275"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Informatīvais ziņojums "Par ārstniecības iestādēs nodarbināto darba samaksas izmaiņām 2020.gadā" (MK 12.11.2019. prot. Nr.53, 6.§).</w:t>
      </w:r>
    </w:p>
  </w:footnote>
  <w:footnote w:id="26">
    <w:p w14:paraId="52021DE2"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30.08.2011. noteikumi Nr. 685 “Rezidentu uzņemšanas, sadales un rezidentūras finansēšanas kārtība” 3. punkts: </w:t>
      </w:r>
      <w:hyperlink r:id="rId8" w:history="1">
        <w:r w:rsidRPr="005A16E4">
          <w:rPr>
            <w:rStyle w:val="Hyperlink"/>
            <w:rFonts w:ascii="Times New Roman" w:hAnsi="Times New Roman" w:cs="Times New Roman"/>
          </w:rPr>
          <w:t>https://likumi.lv/ta/id/235421-rezidentu-uznemsanas-sadales-un-rezidenturas-finansesanas-kartiba</w:t>
        </w:r>
      </w:hyperlink>
    </w:p>
  </w:footnote>
  <w:footnote w:id="27">
    <w:p w14:paraId="3641369A"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Grozījumi MK 24.03.2009. noteikumos Nr.268 “Noteikumi par ārstniecības personu un studējošo, kuri apgūst pirmā vai otrā līmeņa profesionālās augstākās medicīniskās izglītības programmas, kompetenci ārstniecībā un šo personu teorētisko un praktisko zināšanu apjomu”; Grozījumi MK 23.07.2002. noteikumos Nr.315 „Izglītības programmu minimālās prasības ārsta profesionālās kvalifikācijas iegūšanai”; Grozījumi MK 24.05.2016. noteikumos Nr.317 “Ārstniecības personu un ārstniecības atbalsta personu reģistra izveides, papildināšanas un uzturēšanas kārtība”; Grozījumi MK 06.06.2006. noteikumos Nr.460 „Noteikumi par specialitāšu, apakšspecialitāšu un papildspecialitāšu sarakstu reglamentētajām profesijām”; Grozījums MK 05.11.2013. noteikumos Nr.1268 „Ārstniecības riska fonda darbības noteikumi”.</w:t>
      </w:r>
    </w:p>
  </w:footnote>
  <w:footnote w:id="28">
    <w:p w14:paraId="7ED88111"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ES fondu 2014.-2020.gada plānošanas perioda projekts Nr.9.2.5.0/17/I/001 “Ārstniecības un ārstniecības atbalsta personu pieejamības uzlabošana ārpus Rīgas”</w:t>
      </w:r>
      <w:r>
        <w:rPr>
          <w:rFonts w:ascii="Times New Roman" w:hAnsi="Times New Roman" w:cs="Times New Roman"/>
        </w:rPr>
        <w:t>.</w:t>
      </w:r>
    </w:p>
  </w:footnote>
  <w:footnote w:id="29">
    <w:p w14:paraId="52DC622F"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Pasākumi tiek īstenoti ES fondu 2014.-2020.gada plānošanas perioda projektā Nr.9.2.6.0/17/I/001 </w:t>
      </w:r>
      <w:r>
        <w:rPr>
          <w:rFonts w:ascii="Times New Roman" w:hAnsi="Times New Roman" w:cs="Times New Roman"/>
        </w:rPr>
        <w:t>“</w:t>
      </w:r>
      <w:r w:rsidRPr="005A16E4">
        <w:rPr>
          <w:rFonts w:ascii="Times New Roman" w:hAnsi="Times New Roman" w:cs="Times New Roman"/>
        </w:rPr>
        <w:t>Ārstniecības un ārstniecības atbalsta personāla kvalifikācijas uzlabošana</w:t>
      </w:r>
      <w:r>
        <w:rPr>
          <w:rFonts w:ascii="Times New Roman" w:hAnsi="Times New Roman" w:cs="Times New Roman"/>
        </w:rPr>
        <w:t>”.</w:t>
      </w:r>
    </w:p>
  </w:footnote>
  <w:footnote w:id="30">
    <w:p w14:paraId="6BAF8C66"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20.01.2009. noteikumi Nr.60 “Noteikumi par obligātajām prasībām ārstniecības iestādēm un to struktūrvienībām”</w:t>
      </w:r>
      <w:r>
        <w:rPr>
          <w:rFonts w:ascii="Times New Roman" w:hAnsi="Times New Roman" w:cs="Times New Roman"/>
        </w:rPr>
        <w:t>.</w:t>
      </w:r>
    </w:p>
  </w:footnote>
  <w:footnote w:id="31">
    <w:p w14:paraId="48AA1167"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Izstrādātais mācību materiāls pieejams </w:t>
      </w:r>
      <w:hyperlink r:id="rId9" w:history="1">
        <w:r w:rsidRPr="005A16E4">
          <w:rPr>
            <w:rStyle w:val="Hyperlink"/>
            <w:rFonts w:ascii="Times New Roman" w:hAnsi="Times New Roman" w:cs="Times New Roman"/>
          </w:rPr>
          <w:t>http://www.vmnvd.gov.lv/uploads/files/5a1e83ec88da1.pdf</w:t>
        </w:r>
      </w:hyperlink>
      <w:r w:rsidRPr="005A16E4">
        <w:rPr>
          <w:rFonts w:ascii="Times New Roman" w:hAnsi="Times New Roman" w:cs="Times New Roman"/>
        </w:rPr>
        <w:t xml:space="preserve"> </w:t>
      </w:r>
    </w:p>
  </w:footnote>
  <w:footnote w:id="32">
    <w:p w14:paraId="3F6A6912"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Izstrādāti šādi klīniskie pacientu ceļi un kvalitātes indikatori: 1) sirds-asinsvadu jomā 22 klīniskie algoritmi un 20 klīniskie pacientu ceļi; 2) garīgās veselības jomā 30 klīniskie algoritmi un 30 klīniskie ceļi; 3) perinatālajā aprūpē 27 klīniskie algoritmi un 8 klīniskie ceļi; 4) bērnu (sākot no neonatālā perioda) aprūpes jomā 17 klīniskie algoritmi un 17 klīniskie ceļi; 5) onkoloģijā 13 klīniskie algoritmi un 11 klīniskie pacientu ceļi.</w:t>
      </w:r>
    </w:p>
  </w:footnote>
  <w:footnote w:id="33">
    <w:p w14:paraId="704DAA68"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2018. gada 18. maija noteikumi Nr.271 “Veselības aprūpes pakalpojumu saņēmēju datubāzes noteikumi”</w:t>
      </w:r>
    </w:p>
  </w:footnote>
  <w:footnote w:id="34">
    <w:p w14:paraId="6E8F53EF"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E-veselības sistēmas izmantošanas statistika pieejama e-veselības portālā </w:t>
      </w:r>
      <w:hyperlink r:id="rId10" w:history="1">
        <w:r w:rsidRPr="004678F5">
          <w:rPr>
            <w:rStyle w:val="Hyperlink"/>
            <w:rFonts w:ascii="Times New Roman" w:hAnsi="Times New Roman" w:cs="Times New Roman"/>
          </w:rPr>
          <w:t>https://www.eveseliba.gov.lv/sakums/about-portal/e-vesel%C4%ABbas-statistika</w:t>
        </w:r>
      </w:hyperlink>
      <w:r w:rsidRPr="005A16E4">
        <w:rPr>
          <w:rFonts w:ascii="Times New Roman" w:hAnsi="Times New Roman" w:cs="Times New Roman"/>
        </w:rPr>
        <w:t xml:space="preserve"> </w:t>
      </w:r>
    </w:p>
  </w:footnote>
  <w:footnote w:id="35">
    <w:p w14:paraId="0B93F748"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Informācija par padomes personālsastāvu un sēdēm pieejama NVD tīmekļa vietnē </w:t>
      </w:r>
      <w:hyperlink r:id="rId11" w:history="1">
        <w:r w:rsidRPr="005A16E4">
          <w:rPr>
            <w:rStyle w:val="Hyperlink"/>
            <w:rFonts w:ascii="Times New Roman" w:hAnsi="Times New Roman" w:cs="Times New Roman"/>
          </w:rPr>
          <w:t>https://www.eveseliba.gov.lv/sakums/e-vesel%C4%ABbas-lietot%C4%81ju-padome</w:t>
        </w:r>
      </w:hyperlink>
      <w:r w:rsidRPr="005A16E4">
        <w:rPr>
          <w:rFonts w:ascii="Times New Roman" w:hAnsi="Times New Roman" w:cs="Times New Roman"/>
        </w:rPr>
        <w:t xml:space="preserve"> </w:t>
      </w:r>
    </w:p>
  </w:footnote>
  <w:footnote w:id="36">
    <w:p w14:paraId="46823795"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03.05.2018. noteikumi Nr. 261 "Veselības apdrošināšanas iemaksu veikšanas un atmaksāšanas kārtība"; MK 08.05.2018. noteikumi Nr. 271 "Veselības aprūpes pakalpojumu saņēmēju datubāzes noteikumi"; MK 03.05.2018. noteikumi Nr. 260 "Nacionālā veselības dienesta konsultatīvās padomes nolikums".</w:t>
      </w:r>
    </w:p>
  </w:footnote>
  <w:footnote w:id="37">
    <w:p w14:paraId="0C9B3256"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MK 29.05.2018. rīkojums Nr.227 „Par Veselības ministrijas padotībā esošo valsts pārvaldes iestāžu reorganizāciju”; MK 07.08.2019. noteikumos Nr. 486 “Grozījumi Ministru kabineta 2012. gada 3. aprīļa noteikumos Nr. 241 "Slimību profilakses un kontroles centra nolikums"”; MK 21.11.2018. noteikumi Nr. 713 “Grozījumi Ministru kabineta 01.11.2011. noteikumos Nr. 850 "Nacionālā veselības dienesta nolikums"”; MK 02.07.2019. noteikumi Nr. 301 “Grozījumi Ministru kabineta 31.07.2012. noteikumos Nr. 537 "Zāļu valsts aģentūras nolikums"; MK 09.07.2019. noteikumi Nr.309 “Veselības inspekcijas nolikums”; MK 26.06.2018. Nr.377 “Latvijas Antidopinga biroja nolikums”.</w:t>
      </w:r>
    </w:p>
  </w:footnote>
  <w:footnote w:id="38">
    <w:p w14:paraId="38E6D39A"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201.11.018. ir pieņemti un ar 01.01.2019. stājušies spēkā grozījumi Pacientu tiesību likumā</w:t>
      </w:r>
      <w:r>
        <w:rPr>
          <w:rFonts w:ascii="Times New Roman" w:hAnsi="Times New Roman" w:cs="Times New Roman"/>
        </w:rPr>
        <w:t>.</w:t>
      </w:r>
    </w:p>
  </w:footnote>
  <w:footnote w:id="39">
    <w:p w14:paraId="0A5083EE" w14:textId="77777777" w:rsidR="00FC5EAE" w:rsidRPr="005A16E4" w:rsidRDefault="00FC5EAE" w:rsidP="00C63247">
      <w:pPr>
        <w:pStyle w:val="FootnoteText"/>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Ekspertu ziņojums “Latvijas Republikas Veselības inspekcija”pieejams </w:t>
      </w:r>
      <w:hyperlink r:id="rId12" w:history="1">
        <w:r w:rsidRPr="005A16E4">
          <w:rPr>
            <w:rStyle w:val="Hyperlink"/>
            <w:rFonts w:ascii="Times New Roman" w:hAnsi="Times New Roman" w:cs="Times New Roman"/>
          </w:rPr>
          <w:t>http://www.vmnvd.gov.lv/uploads/files/5c5842f37f78d.pdf</w:t>
        </w:r>
      </w:hyperlink>
    </w:p>
  </w:footnote>
  <w:footnote w:id="40">
    <w:p w14:paraId="4DE1F1CA" w14:textId="77777777" w:rsidR="00FC5EAE" w:rsidRPr="005A16E4" w:rsidRDefault="00FC5EAE" w:rsidP="00C63247">
      <w:pPr>
        <w:pStyle w:val="FootnoteText"/>
        <w:jc w:val="both"/>
        <w:rPr>
          <w:rFonts w:ascii="Times New Roman" w:hAnsi="Times New Roman" w:cs="Times New Roman"/>
        </w:rPr>
      </w:pPr>
      <w:r w:rsidRPr="005A16E4">
        <w:rPr>
          <w:rStyle w:val="FootnoteReference"/>
          <w:rFonts w:ascii="Times New Roman" w:hAnsi="Times New Roman" w:cs="Times New Roman"/>
        </w:rPr>
        <w:footnoteRef/>
      </w:r>
      <w:r w:rsidRPr="005A16E4">
        <w:rPr>
          <w:rFonts w:ascii="Times New Roman" w:hAnsi="Times New Roman" w:cs="Times New Roman"/>
        </w:rPr>
        <w:t xml:space="preserve"> </w:t>
      </w:r>
      <w:r w:rsidRPr="005A16E4">
        <w:rPr>
          <w:rStyle w:val="normaltextrun"/>
          <w:rFonts w:ascii="Times New Roman" w:eastAsia="Times New Roman" w:hAnsi="Times New Roman" w:cs="Times New Roman"/>
          <w:color w:val="000000"/>
          <w:shd w:val="clear" w:color="auto" w:fill="FFFFFF"/>
          <w:lang w:eastAsia="lv-LV"/>
        </w:rPr>
        <w:t xml:space="preserve">MK 16.07.2019. noteikumi Nr. 347 ”Grozījumi MK 31.10.2006. noteikumos Nr. 899 "Ambulatorai ārstēšanai paredzēto zāļu un medicīnisko ierīču iegādes izdevumu kompensācijas kārtība". </w:t>
      </w:r>
      <w:r w:rsidRPr="005A16E4">
        <w:rPr>
          <w:rFonts w:ascii="Times New Roman" w:hAnsi="Times New Roman" w:cs="Times New Roman"/>
        </w:rPr>
        <w:t xml:space="preserve">Statistikas dati liecina, ka 2017. gadā pacienti, iegādājoties nereferences medikamentus, pārmaksājuši gandrīz 25 milj. </w:t>
      </w:r>
      <w:r w:rsidRPr="005A16E4">
        <w:rPr>
          <w:rFonts w:ascii="Times New Roman" w:hAnsi="Times New Roman" w:cs="Times New Roman"/>
          <w:i/>
        </w:rPr>
        <w:t>euro.</w:t>
      </w:r>
      <w:r w:rsidRPr="005A16E4">
        <w:rPr>
          <w:rFonts w:ascii="Times New Roman" w:hAnsi="Times New Roman" w:cs="Times New Roman"/>
        </w:rPr>
        <w:t xml:space="preserve"> Līdz ar to izmaiņas sekmēs arī racionālu zāļu lietošanu.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1277"/>
      <w:docPartObj>
        <w:docPartGallery w:val="Page Numbers (Top of Page)"/>
        <w:docPartUnique/>
      </w:docPartObj>
    </w:sdtPr>
    <w:sdtEndPr>
      <w:rPr>
        <w:rFonts w:ascii="Times New Roman" w:hAnsi="Times New Roman" w:cs="Times New Roman"/>
        <w:noProof/>
      </w:rPr>
    </w:sdtEndPr>
    <w:sdtContent>
      <w:p w14:paraId="0FC482C5" w14:textId="78E1910C" w:rsidR="00FC5EAE" w:rsidRPr="002610D0" w:rsidRDefault="00FC5EAE">
        <w:pPr>
          <w:pStyle w:val="Header"/>
          <w:jc w:val="center"/>
          <w:rPr>
            <w:rFonts w:ascii="Times New Roman" w:hAnsi="Times New Roman" w:cs="Times New Roman"/>
          </w:rPr>
        </w:pPr>
        <w:r w:rsidRPr="002610D0">
          <w:rPr>
            <w:rFonts w:ascii="Times New Roman" w:hAnsi="Times New Roman" w:cs="Times New Roman"/>
          </w:rPr>
          <w:fldChar w:fldCharType="begin"/>
        </w:r>
        <w:r w:rsidRPr="002610D0">
          <w:rPr>
            <w:rFonts w:ascii="Times New Roman" w:hAnsi="Times New Roman" w:cs="Times New Roman"/>
          </w:rPr>
          <w:instrText xml:space="preserve"> PAGE   \* MERGEFORMAT </w:instrText>
        </w:r>
        <w:r w:rsidRPr="002610D0">
          <w:rPr>
            <w:rFonts w:ascii="Times New Roman" w:hAnsi="Times New Roman" w:cs="Times New Roman"/>
          </w:rPr>
          <w:fldChar w:fldCharType="separate"/>
        </w:r>
        <w:r>
          <w:rPr>
            <w:rFonts w:ascii="Times New Roman" w:hAnsi="Times New Roman" w:cs="Times New Roman"/>
            <w:noProof/>
          </w:rPr>
          <w:t>16</w:t>
        </w:r>
        <w:r w:rsidRPr="002610D0">
          <w:rPr>
            <w:rFonts w:ascii="Times New Roman" w:hAnsi="Times New Roman" w:cs="Times New Roman"/>
            <w:noProof/>
          </w:rPr>
          <w:fldChar w:fldCharType="end"/>
        </w:r>
      </w:p>
    </w:sdtContent>
  </w:sdt>
  <w:p w14:paraId="0F5B9D36" w14:textId="77777777" w:rsidR="00FC5EAE" w:rsidRDefault="00FC5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5B9"/>
    <w:multiLevelType w:val="hybridMultilevel"/>
    <w:tmpl w:val="F4723BD4"/>
    <w:lvl w:ilvl="0" w:tplc="C8922F9C">
      <w:start w:val="1"/>
      <w:numFmt w:val="bullet"/>
      <w:lvlText w:val=""/>
      <w:lvlJc w:val="left"/>
      <w:pPr>
        <w:tabs>
          <w:tab w:val="num" w:pos="720"/>
        </w:tabs>
        <w:ind w:left="720" w:hanging="360"/>
      </w:pPr>
      <w:rPr>
        <w:rFonts w:ascii="Wingdings" w:hAnsi="Wingdings" w:hint="default"/>
      </w:rPr>
    </w:lvl>
    <w:lvl w:ilvl="1" w:tplc="E7182782" w:tentative="1">
      <w:start w:val="1"/>
      <w:numFmt w:val="bullet"/>
      <w:lvlText w:val=""/>
      <w:lvlJc w:val="left"/>
      <w:pPr>
        <w:tabs>
          <w:tab w:val="num" w:pos="1440"/>
        </w:tabs>
        <w:ind w:left="1440" w:hanging="360"/>
      </w:pPr>
      <w:rPr>
        <w:rFonts w:ascii="Wingdings" w:hAnsi="Wingdings" w:hint="default"/>
      </w:rPr>
    </w:lvl>
    <w:lvl w:ilvl="2" w:tplc="072676C4" w:tentative="1">
      <w:start w:val="1"/>
      <w:numFmt w:val="bullet"/>
      <w:lvlText w:val=""/>
      <w:lvlJc w:val="left"/>
      <w:pPr>
        <w:tabs>
          <w:tab w:val="num" w:pos="2160"/>
        </w:tabs>
        <w:ind w:left="2160" w:hanging="360"/>
      </w:pPr>
      <w:rPr>
        <w:rFonts w:ascii="Wingdings" w:hAnsi="Wingdings" w:hint="default"/>
      </w:rPr>
    </w:lvl>
    <w:lvl w:ilvl="3" w:tplc="B42CAFA8" w:tentative="1">
      <w:start w:val="1"/>
      <w:numFmt w:val="bullet"/>
      <w:lvlText w:val=""/>
      <w:lvlJc w:val="left"/>
      <w:pPr>
        <w:tabs>
          <w:tab w:val="num" w:pos="2880"/>
        </w:tabs>
        <w:ind w:left="2880" w:hanging="360"/>
      </w:pPr>
      <w:rPr>
        <w:rFonts w:ascii="Wingdings" w:hAnsi="Wingdings" w:hint="default"/>
      </w:rPr>
    </w:lvl>
    <w:lvl w:ilvl="4" w:tplc="4A701416" w:tentative="1">
      <w:start w:val="1"/>
      <w:numFmt w:val="bullet"/>
      <w:lvlText w:val=""/>
      <w:lvlJc w:val="left"/>
      <w:pPr>
        <w:tabs>
          <w:tab w:val="num" w:pos="3600"/>
        </w:tabs>
        <w:ind w:left="3600" w:hanging="360"/>
      </w:pPr>
      <w:rPr>
        <w:rFonts w:ascii="Wingdings" w:hAnsi="Wingdings" w:hint="default"/>
      </w:rPr>
    </w:lvl>
    <w:lvl w:ilvl="5" w:tplc="D8C454D8" w:tentative="1">
      <w:start w:val="1"/>
      <w:numFmt w:val="bullet"/>
      <w:lvlText w:val=""/>
      <w:lvlJc w:val="left"/>
      <w:pPr>
        <w:tabs>
          <w:tab w:val="num" w:pos="4320"/>
        </w:tabs>
        <w:ind w:left="4320" w:hanging="360"/>
      </w:pPr>
      <w:rPr>
        <w:rFonts w:ascii="Wingdings" w:hAnsi="Wingdings" w:hint="default"/>
      </w:rPr>
    </w:lvl>
    <w:lvl w:ilvl="6" w:tplc="487E8A56" w:tentative="1">
      <w:start w:val="1"/>
      <w:numFmt w:val="bullet"/>
      <w:lvlText w:val=""/>
      <w:lvlJc w:val="left"/>
      <w:pPr>
        <w:tabs>
          <w:tab w:val="num" w:pos="5040"/>
        </w:tabs>
        <w:ind w:left="5040" w:hanging="360"/>
      </w:pPr>
      <w:rPr>
        <w:rFonts w:ascii="Wingdings" w:hAnsi="Wingdings" w:hint="default"/>
      </w:rPr>
    </w:lvl>
    <w:lvl w:ilvl="7" w:tplc="960E2C00" w:tentative="1">
      <w:start w:val="1"/>
      <w:numFmt w:val="bullet"/>
      <w:lvlText w:val=""/>
      <w:lvlJc w:val="left"/>
      <w:pPr>
        <w:tabs>
          <w:tab w:val="num" w:pos="5760"/>
        </w:tabs>
        <w:ind w:left="5760" w:hanging="360"/>
      </w:pPr>
      <w:rPr>
        <w:rFonts w:ascii="Wingdings" w:hAnsi="Wingdings" w:hint="default"/>
      </w:rPr>
    </w:lvl>
    <w:lvl w:ilvl="8" w:tplc="415240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368C9"/>
    <w:multiLevelType w:val="hybridMultilevel"/>
    <w:tmpl w:val="E0DAB302"/>
    <w:lvl w:ilvl="0" w:tplc="27241C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0A43B8D"/>
    <w:multiLevelType w:val="hybridMultilevel"/>
    <w:tmpl w:val="BCB03FD4"/>
    <w:lvl w:ilvl="0" w:tplc="2B9A0958">
      <w:start w:val="1"/>
      <w:numFmt w:val="bullet"/>
      <w:lvlText w:val=""/>
      <w:lvlJc w:val="left"/>
      <w:pPr>
        <w:tabs>
          <w:tab w:val="num" w:pos="720"/>
        </w:tabs>
        <w:ind w:left="720" w:hanging="360"/>
      </w:pPr>
      <w:rPr>
        <w:rFonts w:ascii="Wingdings" w:hAnsi="Wingdings" w:hint="default"/>
      </w:rPr>
    </w:lvl>
    <w:lvl w:ilvl="1" w:tplc="E1E6B696" w:tentative="1">
      <w:start w:val="1"/>
      <w:numFmt w:val="bullet"/>
      <w:lvlText w:val=""/>
      <w:lvlJc w:val="left"/>
      <w:pPr>
        <w:tabs>
          <w:tab w:val="num" w:pos="1440"/>
        </w:tabs>
        <w:ind w:left="1440" w:hanging="360"/>
      </w:pPr>
      <w:rPr>
        <w:rFonts w:ascii="Wingdings" w:hAnsi="Wingdings" w:hint="default"/>
      </w:rPr>
    </w:lvl>
    <w:lvl w:ilvl="2" w:tplc="114E4FFC" w:tentative="1">
      <w:start w:val="1"/>
      <w:numFmt w:val="bullet"/>
      <w:lvlText w:val=""/>
      <w:lvlJc w:val="left"/>
      <w:pPr>
        <w:tabs>
          <w:tab w:val="num" w:pos="2160"/>
        </w:tabs>
        <w:ind w:left="2160" w:hanging="360"/>
      </w:pPr>
      <w:rPr>
        <w:rFonts w:ascii="Wingdings" w:hAnsi="Wingdings" w:hint="default"/>
      </w:rPr>
    </w:lvl>
    <w:lvl w:ilvl="3" w:tplc="D138F6CA" w:tentative="1">
      <w:start w:val="1"/>
      <w:numFmt w:val="bullet"/>
      <w:lvlText w:val=""/>
      <w:lvlJc w:val="left"/>
      <w:pPr>
        <w:tabs>
          <w:tab w:val="num" w:pos="2880"/>
        </w:tabs>
        <w:ind w:left="2880" w:hanging="360"/>
      </w:pPr>
      <w:rPr>
        <w:rFonts w:ascii="Wingdings" w:hAnsi="Wingdings" w:hint="default"/>
      </w:rPr>
    </w:lvl>
    <w:lvl w:ilvl="4" w:tplc="24345BB4" w:tentative="1">
      <w:start w:val="1"/>
      <w:numFmt w:val="bullet"/>
      <w:lvlText w:val=""/>
      <w:lvlJc w:val="left"/>
      <w:pPr>
        <w:tabs>
          <w:tab w:val="num" w:pos="3600"/>
        </w:tabs>
        <w:ind w:left="3600" w:hanging="360"/>
      </w:pPr>
      <w:rPr>
        <w:rFonts w:ascii="Wingdings" w:hAnsi="Wingdings" w:hint="default"/>
      </w:rPr>
    </w:lvl>
    <w:lvl w:ilvl="5" w:tplc="6CC424CA" w:tentative="1">
      <w:start w:val="1"/>
      <w:numFmt w:val="bullet"/>
      <w:lvlText w:val=""/>
      <w:lvlJc w:val="left"/>
      <w:pPr>
        <w:tabs>
          <w:tab w:val="num" w:pos="4320"/>
        </w:tabs>
        <w:ind w:left="4320" w:hanging="360"/>
      </w:pPr>
      <w:rPr>
        <w:rFonts w:ascii="Wingdings" w:hAnsi="Wingdings" w:hint="default"/>
      </w:rPr>
    </w:lvl>
    <w:lvl w:ilvl="6" w:tplc="CC0C92A4" w:tentative="1">
      <w:start w:val="1"/>
      <w:numFmt w:val="bullet"/>
      <w:lvlText w:val=""/>
      <w:lvlJc w:val="left"/>
      <w:pPr>
        <w:tabs>
          <w:tab w:val="num" w:pos="5040"/>
        </w:tabs>
        <w:ind w:left="5040" w:hanging="360"/>
      </w:pPr>
      <w:rPr>
        <w:rFonts w:ascii="Wingdings" w:hAnsi="Wingdings" w:hint="default"/>
      </w:rPr>
    </w:lvl>
    <w:lvl w:ilvl="7" w:tplc="1D3857C6" w:tentative="1">
      <w:start w:val="1"/>
      <w:numFmt w:val="bullet"/>
      <w:lvlText w:val=""/>
      <w:lvlJc w:val="left"/>
      <w:pPr>
        <w:tabs>
          <w:tab w:val="num" w:pos="5760"/>
        </w:tabs>
        <w:ind w:left="5760" w:hanging="360"/>
      </w:pPr>
      <w:rPr>
        <w:rFonts w:ascii="Wingdings" w:hAnsi="Wingdings" w:hint="default"/>
      </w:rPr>
    </w:lvl>
    <w:lvl w:ilvl="8" w:tplc="DE3417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11227B"/>
    <w:multiLevelType w:val="hybridMultilevel"/>
    <w:tmpl w:val="182CC66A"/>
    <w:lvl w:ilvl="0" w:tplc="9252DFAA">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674E63"/>
    <w:multiLevelType w:val="hybridMultilevel"/>
    <w:tmpl w:val="91840642"/>
    <w:lvl w:ilvl="0" w:tplc="D6F408C4">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A5565E"/>
    <w:multiLevelType w:val="hybridMultilevel"/>
    <w:tmpl w:val="51269008"/>
    <w:lvl w:ilvl="0" w:tplc="04260011">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6" w15:restartNumberingAfterBreak="0">
    <w:nsid w:val="0DAC3A25"/>
    <w:multiLevelType w:val="hybridMultilevel"/>
    <w:tmpl w:val="CD7ED6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ED6F0A"/>
    <w:multiLevelType w:val="hybridMultilevel"/>
    <w:tmpl w:val="A720F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FF1D65"/>
    <w:multiLevelType w:val="hybridMultilevel"/>
    <w:tmpl w:val="D1F072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5AA52FA"/>
    <w:multiLevelType w:val="hybridMultilevel"/>
    <w:tmpl w:val="F5EE77AE"/>
    <w:lvl w:ilvl="0" w:tplc="C17681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F93771"/>
    <w:multiLevelType w:val="hybridMultilevel"/>
    <w:tmpl w:val="FEB29854"/>
    <w:lvl w:ilvl="0" w:tplc="9252DF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7303AD2"/>
    <w:multiLevelType w:val="hybridMultilevel"/>
    <w:tmpl w:val="AB683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AD2588"/>
    <w:multiLevelType w:val="hybridMultilevel"/>
    <w:tmpl w:val="F64C57E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633BC9"/>
    <w:multiLevelType w:val="hybridMultilevel"/>
    <w:tmpl w:val="7AD22F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7F0A51"/>
    <w:multiLevelType w:val="hybridMultilevel"/>
    <w:tmpl w:val="91840642"/>
    <w:lvl w:ilvl="0" w:tplc="D6F408C4">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52784C"/>
    <w:multiLevelType w:val="hybridMultilevel"/>
    <w:tmpl w:val="837CB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246F2C"/>
    <w:multiLevelType w:val="hybridMultilevel"/>
    <w:tmpl w:val="62945C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B00CD3"/>
    <w:multiLevelType w:val="hybridMultilevel"/>
    <w:tmpl w:val="682CD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8A2754"/>
    <w:multiLevelType w:val="hybridMultilevel"/>
    <w:tmpl w:val="AC24864E"/>
    <w:lvl w:ilvl="0" w:tplc="4F48F1C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A7D2ADF"/>
    <w:multiLevelType w:val="hybridMultilevel"/>
    <w:tmpl w:val="DFD20DC4"/>
    <w:lvl w:ilvl="0" w:tplc="9252DFAA">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E57796"/>
    <w:multiLevelType w:val="hybridMultilevel"/>
    <w:tmpl w:val="297496F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2D222349"/>
    <w:multiLevelType w:val="hybridMultilevel"/>
    <w:tmpl w:val="4EC08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D8C1DFC"/>
    <w:multiLevelType w:val="hybridMultilevel"/>
    <w:tmpl w:val="09E4D1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5838C8"/>
    <w:multiLevelType w:val="hybridMultilevel"/>
    <w:tmpl w:val="3F04E1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3BC5EF0"/>
    <w:multiLevelType w:val="hybridMultilevel"/>
    <w:tmpl w:val="BF5CE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F26E71"/>
    <w:multiLevelType w:val="hybridMultilevel"/>
    <w:tmpl w:val="4994497A"/>
    <w:lvl w:ilvl="0" w:tplc="1EB09604">
      <w:start w:val="2020"/>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4377C9"/>
    <w:multiLevelType w:val="hybridMultilevel"/>
    <w:tmpl w:val="9A8461D6"/>
    <w:lvl w:ilvl="0" w:tplc="E556ADCA">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8951B4"/>
    <w:multiLevelType w:val="hybridMultilevel"/>
    <w:tmpl w:val="A6D84F7C"/>
    <w:lvl w:ilvl="0" w:tplc="1EB09604">
      <w:start w:val="2020"/>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C409CD"/>
    <w:multiLevelType w:val="hybridMultilevel"/>
    <w:tmpl w:val="4B58D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C21BC9"/>
    <w:multiLevelType w:val="hybridMultilevel"/>
    <w:tmpl w:val="65EECA70"/>
    <w:lvl w:ilvl="0" w:tplc="0310FB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027C8A"/>
    <w:multiLevelType w:val="hybridMultilevel"/>
    <w:tmpl w:val="2B00FE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824C9C"/>
    <w:multiLevelType w:val="hybridMultilevel"/>
    <w:tmpl w:val="9D183AD4"/>
    <w:lvl w:ilvl="0" w:tplc="189C81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DBF6F6E"/>
    <w:multiLevelType w:val="hybridMultilevel"/>
    <w:tmpl w:val="5FC8D8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A24A06"/>
    <w:multiLevelType w:val="hybridMultilevel"/>
    <w:tmpl w:val="418AD180"/>
    <w:lvl w:ilvl="0" w:tplc="A014CA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B525BF"/>
    <w:multiLevelType w:val="hybridMultilevel"/>
    <w:tmpl w:val="E1B6C784"/>
    <w:lvl w:ilvl="0" w:tplc="B1F243EA">
      <w:start w:val="16"/>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0965EB0"/>
    <w:multiLevelType w:val="hybridMultilevel"/>
    <w:tmpl w:val="9DEA8682"/>
    <w:lvl w:ilvl="0" w:tplc="1EB09604">
      <w:start w:val="2020"/>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0C56B03"/>
    <w:multiLevelType w:val="hybridMultilevel"/>
    <w:tmpl w:val="EDCE78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D7107C"/>
    <w:multiLevelType w:val="hybridMultilevel"/>
    <w:tmpl w:val="93942A90"/>
    <w:lvl w:ilvl="0" w:tplc="04260001">
      <w:start w:val="1"/>
      <w:numFmt w:val="bullet"/>
      <w:lvlText w:val=""/>
      <w:lvlJc w:val="left"/>
      <w:pPr>
        <w:ind w:left="1080" w:hanging="360"/>
      </w:pPr>
      <w:rPr>
        <w:rFonts w:ascii="Symbol" w:hAnsi="Symbol" w:hint="default"/>
        <w:color w:val="000000" w:themeColor="text1"/>
      </w:rPr>
    </w:lvl>
    <w:lvl w:ilvl="1" w:tplc="0426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82F39BE"/>
    <w:multiLevelType w:val="hybridMultilevel"/>
    <w:tmpl w:val="A70E6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83B2ACD"/>
    <w:multiLevelType w:val="hybridMultilevel"/>
    <w:tmpl w:val="03984C3A"/>
    <w:lvl w:ilvl="0" w:tplc="633C5C8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754C09"/>
    <w:multiLevelType w:val="hybridMultilevel"/>
    <w:tmpl w:val="ED86F7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F88314F"/>
    <w:multiLevelType w:val="hybridMultilevel"/>
    <w:tmpl w:val="195C44BA"/>
    <w:lvl w:ilvl="0" w:tplc="1EB09604">
      <w:start w:val="2020"/>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0CF416A"/>
    <w:multiLevelType w:val="hybridMultilevel"/>
    <w:tmpl w:val="98F8E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0F445D7"/>
    <w:multiLevelType w:val="hybridMultilevel"/>
    <w:tmpl w:val="FFA86BE6"/>
    <w:lvl w:ilvl="0" w:tplc="189C8122">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62105E31"/>
    <w:multiLevelType w:val="hybridMultilevel"/>
    <w:tmpl w:val="7922903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8177D00"/>
    <w:multiLevelType w:val="hybridMultilevel"/>
    <w:tmpl w:val="7346AB80"/>
    <w:lvl w:ilvl="0" w:tplc="1EB09604">
      <w:start w:val="2020"/>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A131F4B"/>
    <w:multiLevelType w:val="hybridMultilevel"/>
    <w:tmpl w:val="776CFC16"/>
    <w:lvl w:ilvl="0" w:tplc="A014CA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AA6230E"/>
    <w:multiLevelType w:val="hybridMultilevel"/>
    <w:tmpl w:val="35B4AA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AB271F8"/>
    <w:multiLevelType w:val="hybridMultilevel"/>
    <w:tmpl w:val="2586D51E"/>
    <w:lvl w:ilvl="0" w:tplc="1EB09604">
      <w:start w:val="2020"/>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BD049B3"/>
    <w:multiLevelType w:val="multilevel"/>
    <w:tmpl w:val="27F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7A4696"/>
    <w:multiLevelType w:val="hybridMultilevel"/>
    <w:tmpl w:val="337A1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3B461E"/>
    <w:multiLevelType w:val="hybridMultilevel"/>
    <w:tmpl w:val="2514D964"/>
    <w:lvl w:ilvl="0" w:tplc="217C0A86">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6DB0425"/>
    <w:multiLevelType w:val="hybridMultilevel"/>
    <w:tmpl w:val="57EC8674"/>
    <w:lvl w:ilvl="0" w:tplc="A014CA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83B33EA"/>
    <w:multiLevelType w:val="hybridMultilevel"/>
    <w:tmpl w:val="9B44288E"/>
    <w:lvl w:ilvl="0" w:tplc="211E01E4">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953415C"/>
    <w:multiLevelType w:val="hybridMultilevel"/>
    <w:tmpl w:val="27F67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AE73EC3"/>
    <w:multiLevelType w:val="hybridMultilevel"/>
    <w:tmpl w:val="F7B20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CD83C21"/>
    <w:multiLevelType w:val="hybridMultilevel"/>
    <w:tmpl w:val="1E782CE0"/>
    <w:lvl w:ilvl="0" w:tplc="061E0F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D782C7A"/>
    <w:multiLevelType w:val="hybridMultilevel"/>
    <w:tmpl w:val="ADF65216"/>
    <w:lvl w:ilvl="0" w:tplc="9288F85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D05E0A"/>
    <w:multiLevelType w:val="hybridMultilevel"/>
    <w:tmpl w:val="2AE873F8"/>
    <w:lvl w:ilvl="0" w:tplc="62EEAF4A">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0"/>
  </w:num>
  <w:num w:numId="2">
    <w:abstractNumId w:val="50"/>
  </w:num>
  <w:num w:numId="3">
    <w:abstractNumId w:val="56"/>
  </w:num>
  <w:num w:numId="4">
    <w:abstractNumId w:val="55"/>
  </w:num>
  <w:num w:numId="5">
    <w:abstractNumId w:val="27"/>
  </w:num>
  <w:num w:numId="6">
    <w:abstractNumId w:val="48"/>
  </w:num>
  <w:num w:numId="7">
    <w:abstractNumId w:val="41"/>
  </w:num>
  <w:num w:numId="8">
    <w:abstractNumId w:val="2"/>
  </w:num>
  <w:num w:numId="9">
    <w:abstractNumId w:val="0"/>
  </w:num>
  <w:num w:numId="10">
    <w:abstractNumId w:val="20"/>
  </w:num>
  <w:num w:numId="11">
    <w:abstractNumId w:val="32"/>
  </w:num>
  <w:num w:numId="12">
    <w:abstractNumId w:val="57"/>
  </w:num>
  <w:num w:numId="13">
    <w:abstractNumId w:val="52"/>
  </w:num>
  <w:num w:numId="14">
    <w:abstractNumId w:val="33"/>
  </w:num>
  <w:num w:numId="15">
    <w:abstractNumId w:val="34"/>
  </w:num>
  <w:num w:numId="16">
    <w:abstractNumId w:val="53"/>
  </w:num>
  <w:num w:numId="17">
    <w:abstractNumId w:val="35"/>
  </w:num>
  <w:num w:numId="18">
    <w:abstractNumId w:val="37"/>
  </w:num>
  <w:num w:numId="19">
    <w:abstractNumId w:val="45"/>
  </w:num>
  <w:num w:numId="20">
    <w:abstractNumId w:val="46"/>
  </w:num>
  <w:num w:numId="21">
    <w:abstractNumId w:val="15"/>
  </w:num>
  <w:num w:numId="22">
    <w:abstractNumId w:val="25"/>
  </w:num>
  <w:num w:numId="23">
    <w:abstractNumId w:val="12"/>
  </w:num>
  <w:num w:numId="24">
    <w:abstractNumId w:val="11"/>
  </w:num>
  <w:num w:numId="25">
    <w:abstractNumId w:val="42"/>
  </w:num>
  <w:num w:numId="26">
    <w:abstractNumId w:val="44"/>
  </w:num>
  <w:num w:numId="27">
    <w:abstractNumId w:val="1"/>
  </w:num>
  <w:num w:numId="28">
    <w:abstractNumId w:val="51"/>
  </w:num>
  <w:num w:numId="29">
    <w:abstractNumId w:val="7"/>
  </w:num>
  <w:num w:numId="30">
    <w:abstractNumId w:val="4"/>
  </w:num>
  <w:num w:numId="31">
    <w:abstractNumId w:val="39"/>
  </w:num>
  <w:num w:numId="32">
    <w:abstractNumId w:val="14"/>
  </w:num>
  <w:num w:numId="33">
    <w:abstractNumId w:val="13"/>
  </w:num>
  <w:num w:numId="34">
    <w:abstractNumId w:val="24"/>
  </w:num>
  <w:num w:numId="35">
    <w:abstractNumId w:val="58"/>
  </w:num>
  <w:num w:numId="36">
    <w:abstractNumId w:val="18"/>
  </w:num>
  <w:num w:numId="37">
    <w:abstractNumId w:val="6"/>
  </w:num>
  <w:num w:numId="38">
    <w:abstractNumId w:val="54"/>
  </w:num>
  <w:num w:numId="39">
    <w:abstractNumId w:val="21"/>
  </w:num>
  <w:num w:numId="40">
    <w:abstractNumId w:val="49"/>
  </w:num>
  <w:num w:numId="41">
    <w:abstractNumId w:val="38"/>
  </w:num>
  <w:num w:numId="42">
    <w:abstractNumId w:val="8"/>
  </w:num>
  <w:num w:numId="43">
    <w:abstractNumId w:val="31"/>
  </w:num>
  <w:num w:numId="44">
    <w:abstractNumId w:val="43"/>
  </w:num>
  <w:num w:numId="45">
    <w:abstractNumId w:val="10"/>
  </w:num>
  <w:num w:numId="46">
    <w:abstractNumId w:val="19"/>
  </w:num>
  <w:num w:numId="47">
    <w:abstractNumId w:val="3"/>
  </w:num>
  <w:num w:numId="48">
    <w:abstractNumId w:val="26"/>
  </w:num>
  <w:num w:numId="49">
    <w:abstractNumId w:val="29"/>
  </w:num>
  <w:num w:numId="50">
    <w:abstractNumId w:val="9"/>
  </w:num>
  <w:num w:numId="51">
    <w:abstractNumId w:val="5"/>
  </w:num>
  <w:num w:numId="52">
    <w:abstractNumId w:val="22"/>
  </w:num>
  <w:num w:numId="53">
    <w:abstractNumId w:val="28"/>
  </w:num>
  <w:num w:numId="54">
    <w:abstractNumId w:val="36"/>
  </w:num>
  <w:num w:numId="55">
    <w:abstractNumId w:val="30"/>
  </w:num>
  <w:num w:numId="56">
    <w:abstractNumId w:val="47"/>
  </w:num>
  <w:num w:numId="57">
    <w:abstractNumId w:val="23"/>
  </w:num>
  <w:num w:numId="58">
    <w:abstractNumId w:val="17"/>
  </w:num>
  <w:num w:numId="59">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MrM0N7AwNzI0MTBQ0lEKTi0uzszPAykwrAUAOat2eywAAAA="/>
  </w:docVars>
  <w:rsids>
    <w:rsidRoot w:val="0011542F"/>
    <w:rsid w:val="00007355"/>
    <w:rsid w:val="00007C96"/>
    <w:rsid w:val="00012719"/>
    <w:rsid w:val="00015CC2"/>
    <w:rsid w:val="0002319F"/>
    <w:rsid w:val="000305EF"/>
    <w:rsid w:val="0003293E"/>
    <w:rsid w:val="0003464B"/>
    <w:rsid w:val="000348AF"/>
    <w:rsid w:val="0003520E"/>
    <w:rsid w:val="000455C4"/>
    <w:rsid w:val="000571DF"/>
    <w:rsid w:val="000575CC"/>
    <w:rsid w:val="00057A84"/>
    <w:rsid w:val="00072096"/>
    <w:rsid w:val="000722D3"/>
    <w:rsid w:val="0007484E"/>
    <w:rsid w:val="000753D9"/>
    <w:rsid w:val="000804BE"/>
    <w:rsid w:val="00081EC0"/>
    <w:rsid w:val="00086723"/>
    <w:rsid w:val="0009588E"/>
    <w:rsid w:val="00097FC9"/>
    <w:rsid w:val="000A059D"/>
    <w:rsid w:val="000A67B9"/>
    <w:rsid w:val="000B660A"/>
    <w:rsid w:val="000D0075"/>
    <w:rsid w:val="000D0D2A"/>
    <w:rsid w:val="000E0370"/>
    <w:rsid w:val="000E2867"/>
    <w:rsid w:val="000F057F"/>
    <w:rsid w:val="000F13B9"/>
    <w:rsid w:val="000F283B"/>
    <w:rsid w:val="00102A7D"/>
    <w:rsid w:val="00102A91"/>
    <w:rsid w:val="00105B82"/>
    <w:rsid w:val="0011542F"/>
    <w:rsid w:val="0011609A"/>
    <w:rsid w:val="0011659C"/>
    <w:rsid w:val="00123364"/>
    <w:rsid w:val="00134AEC"/>
    <w:rsid w:val="00136C87"/>
    <w:rsid w:val="00153FCD"/>
    <w:rsid w:val="001640D2"/>
    <w:rsid w:val="00166912"/>
    <w:rsid w:val="0016751C"/>
    <w:rsid w:val="0016752F"/>
    <w:rsid w:val="0017129C"/>
    <w:rsid w:val="001737D3"/>
    <w:rsid w:val="001A3999"/>
    <w:rsid w:val="001A65D6"/>
    <w:rsid w:val="001A792C"/>
    <w:rsid w:val="001B2708"/>
    <w:rsid w:val="001B690E"/>
    <w:rsid w:val="001D4C29"/>
    <w:rsid w:val="0020782D"/>
    <w:rsid w:val="00210161"/>
    <w:rsid w:val="00214CBD"/>
    <w:rsid w:val="00243484"/>
    <w:rsid w:val="00243DEF"/>
    <w:rsid w:val="002466F9"/>
    <w:rsid w:val="00251772"/>
    <w:rsid w:val="002610D0"/>
    <w:rsid w:val="002643BF"/>
    <w:rsid w:val="00265E9F"/>
    <w:rsid w:val="00267705"/>
    <w:rsid w:val="00287A2D"/>
    <w:rsid w:val="00292209"/>
    <w:rsid w:val="0029343E"/>
    <w:rsid w:val="00295180"/>
    <w:rsid w:val="002A4BF5"/>
    <w:rsid w:val="002A51EA"/>
    <w:rsid w:val="002A65F3"/>
    <w:rsid w:val="002B3DFC"/>
    <w:rsid w:val="002C24FB"/>
    <w:rsid w:val="002D4C84"/>
    <w:rsid w:val="003005D3"/>
    <w:rsid w:val="00300BA7"/>
    <w:rsid w:val="00305E0C"/>
    <w:rsid w:val="0031101B"/>
    <w:rsid w:val="00317839"/>
    <w:rsid w:val="00321095"/>
    <w:rsid w:val="0032478E"/>
    <w:rsid w:val="00324FBB"/>
    <w:rsid w:val="003363B8"/>
    <w:rsid w:val="00336F0A"/>
    <w:rsid w:val="00346190"/>
    <w:rsid w:val="00352131"/>
    <w:rsid w:val="003619F9"/>
    <w:rsid w:val="0037278E"/>
    <w:rsid w:val="00375900"/>
    <w:rsid w:val="003864C8"/>
    <w:rsid w:val="00390BB3"/>
    <w:rsid w:val="003C3771"/>
    <w:rsid w:val="003C5EEE"/>
    <w:rsid w:val="003D3B6A"/>
    <w:rsid w:val="003E0646"/>
    <w:rsid w:val="003E07A1"/>
    <w:rsid w:val="003E15FC"/>
    <w:rsid w:val="003E1E92"/>
    <w:rsid w:val="00400055"/>
    <w:rsid w:val="00400B9B"/>
    <w:rsid w:val="0040125A"/>
    <w:rsid w:val="0040152B"/>
    <w:rsid w:val="0040195A"/>
    <w:rsid w:val="004067D5"/>
    <w:rsid w:val="00411CCD"/>
    <w:rsid w:val="00415BD9"/>
    <w:rsid w:val="004405BE"/>
    <w:rsid w:val="00450DFC"/>
    <w:rsid w:val="004624CA"/>
    <w:rsid w:val="00467DE3"/>
    <w:rsid w:val="004850A9"/>
    <w:rsid w:val="004953ED"/>
    <w:rsid w:val="004A1BF7"/>
    <w:rsid w:val="004A2011"/>
    <w:rsid w:val="004A46E7"/>
    <w:rsid w:val="004B4488"/>
    <w:rsid w:val="004C042B"/>
    <w:rsid w:val="004C0BF6"/>
    <w:rsid w:val="004C4036"/>
    <w:rsid w:val="004C5ABC"/>
    <w:rsid w:val="004D77D2"/>
    <w:rsid w:val="004E0857"/>
    <w:rsid w:val="004E3F87"/>
    <w:rsid w:val="004F0C0F"/>
    <w:rsid w:val="004F169B"/>
    <w:rsid w:val="004F3235"/>
    <w:rsid w:val="004F7AC5"/>
    <w:rsid w:val="005033D2"/>
    <w:rsid w:val="0051032C"/>
    <w:rsid w:val="0052104A"/>
    <w:rsid w:val="005228A5"/>
    <w:rsid w:val="0052530F"/>
    <w:rsid w:val="00561B1E"/>
    <w:rsid w:val="0057553E"/>
    <w:rsid w:val="005832BF"/>
    <w:rsid w:val="00583396"/>
    <w:rsid w:val="00591D5C"/>
    <w:rsid w:val="00592E81"/>
    <w:rsid w:val="00596752"/>
    <w:rsid w:val="005A16E4"/>
    <w:rsid w:val="005A2864"/>
    <w:rsid w:val="005C5727"/>
    <w:rsid w:val="005D7A4A"/>
    <w:rsid w:val="005E2C57"/>
    <w:rsid w:val="005E59A6"/>
    <w:rsid w:val="005E7D7C"/>
    <w:rsid w:val="005F459E"/>
    <w:rsid w:val="00607E57"/>
    <w:rsid w:val="006115E7"/>
    <w:rsid w:val="00620617"/>
    <w:rsid w:val="006276F2"/>
    <w:rsid w:val="00636AA0"/>
    <w:rsid w:val="00641B8B"/>
    <w:rsid w:val="00643C43"/>
    <w:rsid w:val="006445FD"/>
    <w:rsid w:val="00651C76"/>
    <w:rsid w:val="0066037E"/>
    <w:rsid w:val="00663DE1"/>
    <w:rsid w:val="00670E26"/>
    <w:rsid w:val="006729CE"/>
    <w:rsid w:val="0068178B"/>
    <w:rsid w:val="00682841"/>
    <w:rsid w:val="006A6B1F"/>
    <w:rsid w:val="006A7F44"/>
    <w:rsid w:val="006B1474"/>
    <w:rsid w:val="006B1752"/>
    <w:rsid w:val="006B6A7E"/>
    <w:rsid w:val="006C2CA5"/>
    <w:rsid w:val="006C3FE8"/>
    <w:rsid w:val="006C605B"/>
    <w:rsid w:val="006D6317"/>
    <w:rsid w:val="006F42EF"/>
    <w:rsid w:val="006F6773"/>
    <w:rsid w:val="0070062A"/>
    <w:rsid w:val="007035EA"/>
    <w:rsid w:val="00706349"/>
    <w:rsid w:val="00712AF7"/>
    <w:rsid w:val="00745C31"/>
    <w:rsid w:val="00750F08"/>
    <w:rsid w:val="00755767"/>
    <w:rsid w:val="00756ECF"/>
    <w:rsid w:val="0076209D"/>
    <w:rsid w:val="007657DC"/>
    <w:rsid w:val="00767368"/>
    <w:rsid w:val="0077360A"/>
    <w:rsid w:val="00776AC3"/>
    <w:rsid w:val="00792351"/>
    <w:rsid w:val="00794525"/>
    <w:rsid w:val="00797041"/>
    <w:rsid w:val="00797164"/>
    <w:rsid w:val="007A1484"/>
    <w:rsid w:val="007A4798"/>
    <w:rsid w:val="007C37FE"/>
    <w:rsid w:val="007C56F2"/>
    <w:rsid w:val="007D2FE8"/>
    <w:rsid w:val="007D5C6D"/>
    <w:rsid w:val="008111C2"/>
    <w:rsid w:val="008124EB"/>
    <w:rsid w:val="00816BFD"/>
    <w:rsid w:val="008279DB"/>
    <w:rsid w:val="00846770"/>
    <w:rsid w:val="00847A09"/>
    <w:rsid w:val="00853085"/>
    <w:rsid w:val="008545F5"/>
    <w:rsid w:val="008730D1"/>
    <w:rsid w:val="0088072A"/>
    <w:rsid w:val="008812F9"/>
    <w:rsid w:val="00886D0B"/>
    <w:rsid w:val="00890AB7"/>
    <w:rsid w:val="00890DA1"/>
    <w:rsid w:val="0089235C"/>
    <w:rsid w:val="00895F57"/>
    <w:rsid w:val="008A4A17"/>
    <w:rsid w:val="008A5928"/>
    <w:rsid w:val="008A7221"/>
    <w:rsid w:val="008B0F6F"/>
    <w:rsid w:val="008C3415"/>
    <w:rsid w:val="008E0EB5"/>
    <w:rsid w:val="008E1674"/>
    <w:rsid w:val="008E5606"/>
    <w:rsid w:val="00911841"/>
    <w:rsid w:val="009144CE"/>
    <w:rsid w:val="00922151"/>
    <w:rsid w:val="0092644B"/>
    <w:rsid w:val="00934189"/>
    <w:rsid w:val="009419C5"/>
    <w:rsid w:val="009504FA"/>
    <w:rsid w:val="00950968"/>
    <w:rsid w:val="00951FD1"/>
    <w:rsid w:val="00964DED"/>
    <w:rsid w:val="0096757F"/>
    <w:rsid w:val="009700C5"/>
    <w:rsid w:val="00970C0D"/>
    <w:rsid w:val="009A3FF9"/>
    <w:rsid w:val="009A715F"/>
    <w:rsid w:val="009C07A0"/>
    <w:rsid w:val="009E2377"/>
    <w:rsid w:val="009E2A93"/>
    <w:rsid w:val="009E7526"/>
    <w:rsid w:val="009F16C7"/>
    <w:rsid w:val="00A00C5E"/>
    <w:rsid w:val="00A0142D"/>
    <w:rsid w:val="00A054B7"/>
    <w:rsid w:val="00A07DC6"/>
    <w:rsid w:val="00A10A9A"/>
    <w:rsid w:val="00A11FBC"/>
    <w:rsid w:val="00A13262"/>
    <w:rsid w:val="00A212D9"/>
    <w:rsid w:val="00A22C66"/>
    <w:rsid w:val="00A3040D"/>
    <w:rsid w:val="00A31CB3"/>
    <w:rsid w:val="00A54FF6"/>
    <w:rsid w:val="00A71620"/>
    <w:rsid w:val="00A94885"/>
    <w:rsid w:val="00AB0F2D"/>
    <w:rsid w:val="00AC0384"/>
    <w:rsid w:val="00AC5FBD"/>
    <w:rsid w:val="00AD5077"/>
    <w:rsid w:val="00AE57BB"/>
    <w:rsid w:val="00AE7749"/>
    <w:rsid w:val="00AF1128"/>
    <w:rsid w:val="00B02404"/>
    <w:rsid w:val="00B0427A"/>
    <w:rsid w:val="00B1192C"/>
    <w:rsid w:val="00B14172"/>
    <w:rsid w:val="00B16802"/>
    <w:rsid w:val="00B170EB"/>
    <w:rsid w:val="00B17490"/>
    <w:rsid w:val="00B200D9"/>
    <w:rsid w:val="00B20B27"/>
    <w:rsid w:val="00B34B51"/>
    <w:rsid w:val="00B365BD"/>
    <w:rsid w:val="00B44D1E"/>
    <w:rsid w:val="00B45430"/>
    <w:rsid w:val="00B57CCF"/>
    <w:rsid w:val="00B657F3"/>
    <w:rsid w:val="00B727F3"/>
    <w:rsid w:val="00B758D2"/>
    <w:rsid w:val="00B763F8"/>
    <w:rsid w:val="00B80EB4"/>
    <w:rsid w:val="00B821C3"/>
    <w:rsid w:val="00B82E35"/>
    <w:rsid w:val="00B91E8A"/>
    <w:rsid w:val="00B925C1"/>
    <w:rsid w:val="00B93930"/>
    <w:rsid w:val="00B963EB"/>
    <w:rsid w:val="00B96958"/>
    <w:rsid w:val="00BA7CF9"/>
    <w:rsid w:val="00BB026E"/>
    <w:rsid w:val="00BB4712"/>
    <w:rsid w:val="00BB5B87"/>
    <w:rsid w:val="00BC14A6"/>
    <w:rsid w:val="00BD54DE"/>
    <w:rsid w:val="00BE16CF"/>
    <w:rsid w:val="00BE3883"/>
    <w:rsid w:val="00BF3F01"/>
    <w:rsid w:val="00C001FD"/>
    <w:rsid w:val="00C01419"/>
    <w:rsid w:val="00C036DC"/>
    <w:rsid w:val="00C0637F"/>
    <w:rsid w:val="00C111DB"/>
    <w:rsid w:val="00C163FB"/>
    <w:rsid w:val="00C22590"/>
    <w:rsid w:val="00C50058"/>
    <w:rsid w:val="00C5380A"/>
    <w:rsid w:val="00C63247"/>
    <w:rsid w:val="00C702DF"/>
    <w:rsid w:val="00C715CF"/>
    <w:rsid w:val="00C85A74"/>
    <w:rsid w:val="00CA01E3"/>
    <w:rsid w:val="00CA290E"/>
    <w:rsid w:val="00CA7675"/>
    <w:rsid w:val="00CB0EBB"/>
    <w:rsid w:val="00CB5F16"/>
    <w:rsid w:val="00CC34C9"/>
    <w:rsid w:val="00CE61A4"/>
    <w:rsid w:val="00CE7352"/>
    <w:rsid w:val="00CF20D8"/>
    <w:rsid w:val="00CF6A93"/>
    <w:rsid w:val="00D015EC"/>
    <w:rsid w:val="00D02983"/>
    <w:rsid w:val="00D06BDA"/>
    <w:rsid w:val="00D11DDE"/>
    <w:rsid w:val="00D20987"/>
    <w:rsid w:val="00D22322"/>
    <w:rsid w:val="00D41EDC"/>
    <w:rsid w:val="00D43225"/>
    <w:rsid w:val="00D47CF5"/>
    <w:rsid w:val="00D535A5"/>
    <w:rsid w:val="00D55B6C"/>
    <w:rsid w:val="00D80E64"/>
    <w:rsid w:val="00D8547E"/>
    <w:rsid w:val="00D93787"/>
    <w:rsid w:val="00DA6505"/>
    <w:rsid w:val="00DC034C"/>
    <w:rsid w:val="00DC2D5B"/>
    <w:rsid w:val="00DC4450"/>
    <w:rsid w:val="00DC5B3B"/>
    <w:rsid w:val="00DD1266"/>
    <w:rsid w:val="00DD3ACE"/>
    <w:rsid w:val="00E05B7E"/>
    <w:rsid w:val="00E05C1D"/>
    <w:rsid w:val="00E116A2"/>
    <w:rsid w:val="00E16937"/>
    <w:rsid w:val="00E269AC"/>
    <w:rsid w:val="00E27701"/>
    <w:rsid w:val="00E31038"/>
    <w:rsid w:val="00E3543E"/>
    <w:rsid w:val="00E46350"/>
    <w:rsid w:val="00E54D94"/>
    <w:rsid w:val="00E62631"/>
    <w:rsid w:val="00E6585E"/>
    <w:rsid w:val="00E66944"/>
    <w:rsid w:val="00E80AC9"/>
    <w:rsid w:val="00E8489E"/>
    <w:rsid w:val="00E85226"/>
    <w:rsid w:val="00E91659"/>
    <w:rsid w:val="00E92723"/>
    <w:rsid w:val="00E9537B"/>
    <w:rsid w:val="00E972FB"/>
    <w:rsid w:val="00EB42F5"/>
    <w:rsid w:val="00EB6D6E"/>
    <w:rsid w:val="00ED378F"/>
    <w:rsid w:val="00EE09BE"/>
    <w:rsid w:val="00EE54C2"/>
    <w:rsid w:val="00EF17BD"/>
    <w:rsid w:val="00EF1D46"/>
    <w:rsid w:val="00F04BCB"/>
    <w:rsid w:val="00F12C98"/>
    <w:rsid w:val="00F15C16"/>
    <w:rsid w:val="00F17071"/>
    <w:rsid w:val="00F2358F"/>
    <w:rsid w:val="00F26351"/>
    <w:rsid w:val="00F32AD3"/>
    <w:rsid w:val="00F34CCE"/>
    <w:rsid w:val="00F40C3B"/>
    <w:rsid w:val="00F53177"/>
    <w:rsid w:val="00F53AD3"/>
    <w:rsid w:val="00F6199D"/>
    <w:rsid w:val="00F6712B"/>
    <w:rsid w:val="00F83DE9"/>
    <w:rsid w:val="00F87488"/>
    <w:rsid w:val="00F92A6A"/>
    <w:rsid w:val="00F92EF5"/>
    <w:rsid w:val="00F95CC9"/>
    <w:rsid w:val="00FA1379"/>
    <w:rsid w:val="00FA5AA8"/>
    <w:rsid w:val="00FB344A"/>
    <w:rsid w:val="00FC2A12"/>
    <w:rsid w:val="00FC46C1"/>
    <w:rsid w:val="00FC50E1"/>
    <w:rsid w:val="00FC5EAE"/>
    <w:rsid w:val="00FE0466"/>
    <w:rsid w:val="00FE1EC3"/>
    <w:rsid w:val="00FE32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212D"/>
  <w15:chartTrackingRefBased/>
  <w15:docId w15:val="{9C829999-EEA5-4140-8B3E-1B420562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1"/>
    <w:qFormat/>
    <w:rsid w:val="00BB026E"/>
    <w:pPr>
      <w:ind w:left="720"/>
      <w:contextualSpacing/>
    </w:pPr>
  </w:style>
  <w:style w:type="character" w:styleId="CommentReference">
    <w:name w:val="annotation reference"/>
    <w:basedOn w:val="DefaultParagraphFont"/>
    <w:uiPriority w:val="99"/>
    <w:semiHidden/>
    <w:unhideWhenUsed/>
    <w:rsid w:val="00F15C16"/>
    <w:rPr>
      <w:sz w:val="16"/>
      <w:szCs w:val="16"/>
    </w:rPr>
  </w:style>
  <w:style w:type="paragraph" w:styleId="CommentText">
    <w:name w:val="annotation text"/>
    <w:basedOn w:val="Normal"/>
    <w:link w:val="CommentTextChar"/>
    <w:uiPriority w:val="99"/>
    <w:unhideWhenUsed/>
    <w:rsid w:val="00F15C16"/>
    <w:pPr>
      <w:spacing w:line="240" w:lineRule="auto"/>
    </w:pPr>
    <w:rPr>
      <w:sz w:val="20"/>
      <w:szCs w:val="20"/>
    </w:rPr>
  </w:style>
  <w:style w:type="character" w:customStyle="1" w:styleId="CommentTextChar">
    <w:name w:val="Comment Text Char"/>
    <w:basedOn w:val="DefaultParagraphFont"/>
    <w:link w:val="CommentText"/>
    <w:uiPriority w:val="99"/>
    <w:rsid w:val="00F15C16"/>
    <w:rPr>
      <w:sz w:val="20"/>
      <w:szCs w:val="20"/>
    </w:rPr>
  </w:style>
  <w:style w:type="table" w:styleId="TableGrid">
    <w:name w:val="Table Grid"/>
    <w:basedOn w:val="TableNormal"/>
    <w:uiPriority w:val="39"/>
    <w:rsid w:val="00F15C16"/>
    <w:pPr>
      <w:spacing w:after="0" w:line="240" w:lineRule="auto"/>
    </w:pPr>
    <w:rPr>
      <w:rFonts w:eastAsiaTheme="minorEastAsia"/>
      <w:sz w:val="21"/>
      <w:szCs w:val="21"/>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5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16"/>
    <w:rPr>
      <w:rFonts w:ascii="Segoe UI" w:hAnsi="Segoe UI" w:cs="Segoe UI"/>
      <w:sz w:val="18"/>
      <w:szCs w:val="18"/>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0455C4"/>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0455C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0455C4"/>
    <w:rPr>
      <w:vertAlign w:val="superscript"/>
    </w:rPr>
  </w:style>
  <w:style w:type="character" w:styleId="Hyperlink">
    <w:name w:val="Hyperlink"/>
    <w:basedOn w:val="DefaultParagraphFont"/>
    <w:uiPriority w:val="99"/>
    <w:unhideWhenUsed/>
    <w:rsid w:val="00B16802"/>
    <w:rPr>
      <w:color w:val="0000FF"/>
      <w:u w:val="single"/>
    </w:rPr>
  </w:style>
  <w:style w:type="character" w:customStyle="1" w:styleId="UnresolvedMention1">
    <w:name w:val="Unresolved Mention1"/>
    <w:basedOn w:val="DefaultParagraphFont"/>
    <w:uiPriority w:val="99"/>
    <w:semiHidden/>
    <w:unhideWhenUsed/>
    <w:rsid w:val="004E0857"/>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097FC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072096"/>
    <w:rPr>
      <w:b/>
      <w:bCs/>
    </w:rPr>
  </w:style>
  <w:style w:type="character" w:customStyle="1" w:styleId="CommentSubjectChar">
    <w:name w:val="Comment Subject Char"/>
    <w:basedOn w:val="CommentTextChar"/>
    <w:link w:val="CommentSubject"/>
    <w:uiPriority w:val="99"/>
    <w:semiHidden/>
    <w:rsid w:val="00072096"/>
    <w:rPr>
      <w:b/>
      <w:bCs/>
      <w:sz w:val="20"/>
      <w:szCs w:val="20"/>
    </w:rPr>
  </w:style>
  <w:style w:type="paragraph" w:styleId="NormalWeb">
    <w:name w:val="Normal (Web)"/>
    <w:basedOn w:val="Normal"/>
    <w:uiPriority w:val="99"/>
    <w:unhideWhenUsed/>
    <w:rsid w:val="000720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72096"/>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626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631"/>
  </w:style>
  <w:style w:type="paragraph" w:styleId="Footer">
    <w:name w:val="footer"/>
    <w:basedOn w:val="Normal"/>
    <w:link w:val="FooterChar"/>
    <w:uiPriority w:val="99"/>
    <w:unhideWhenUsed/>
    <w:rsid w:val="00E626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631"/>
  </w:style>
  <w:style w:type="paragraph" w:customStyle="1" w:styleId="naislab">
    <w:name w:val="naislab"/>
    <w:basedOn w:val="Normal"/>
    <w:rsid w:val="00756ECF"/>
    <w:pPr>
      <w:spacing w:before="75" w:after="75" w:line="240" w:lineRule="auto"/>
      <w:jc w:val="right"/>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56ECF"/>
  </w:style>
  <w:style w:type="character" w:customStyle="1" w:styleId="normaltextrun">
    <w:name w:val="normaltextrun"/>
    <w:basedOn w:val="DefaultParagraphFont"/>
    <w:rsid w:val="009E7526"/>
  </w:style>
  <w:style w:type="character" w:customStyle="1" w:styleId="ts-alignment-element">
    <w:name w:val="ts-alignment-element"/>
    <w:basedOn w:val="DefaultParagraphFont"/>
    <w:rsid w:val="000E2867"/>
  </w:style>
  <w:style w:type="character" w:styleId="Strong">
    <w:name w:val="Strong"/>
    <w:basedOn w:val="DefaultParagraphFont"/>
    <w:uiPriority w:val="22"/>
    <w:qFormat/>
    <w:rsid w:val="00015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ja.za&#269;a@vm.gov.lv" TargetMode="External"/><Relationship Id="rId4" Type="http://schemas.openxmlformats.org/officeDocument/2006/relationships/settings" Target="settings.xml"/><Relationship Id="rId9" Type="http://schemas.openxmlformats.org/officeDocument/2006/relationships/hyperlink" Target="mailto:laura.boltane@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35421-rezidentu-uznemsanas-sadales-un-rezidenturas-finansesanas-kartiba" TargetMode="External"/><Relationship Id="rId3" Type="http://schemas.openxmlformats.org/officeDocument/2006/relationships/hyperlink" Target="http://www.lrvk.gov.lv/revizija/" TargetMode="External"/><Relationship Id="rId7" Type="http://schemas.openxmlformats.org/officeDocument/2006/relationships/hyperlink" Target="https://komitejas.esfondi.lv/Shared%20Documents/VM_izvertejums_hroniskas_slimibas_15082019.docx" TargetMode="External"/><Relationship Id="rId12" Type="http://schemas.openxmlformats.org/officeDocument/2006/relationships/hyperlink" Target="http://www.vmnvd.gov.lv/uploads/files/5c5842f37f78d.pdf" TargetMode="External"/><Relationship Id="rId2" Type="http://schemas.openxmlformats.org/officeDocument/2006/relationships/hyperlink" Target="https://doi.org/10.1787/f8c2f493-en" TargetMode="External"/><Relationship Id="rId1" Type="http://schemas.openxmlformats.org/officeDocument/2006/relationships/hyperlink" Target="http://www.vmnvd.gov.lv/lv/esf-projekts/zinojumi" TargetMode="External"/><Relationship Id="rId6" Type="http://schemas.openxmlformats.org/officeDocument/2006/relationships/hyperlink" Target="https://ec.europa.eu/health/sites/health/files/state/docs/2019_chp_lv_latvian.pdf" TargetMode="External"/><Relationship Id="rId11" Type="http://schemas.openxmlformats.org/officeDocument/2006/relationships/hyperlink" Target="https://www.eveseliba.gov.lv/sakums/e-vesel%C4%ABbas-lietot%C4%81ju-padome" TargetMode="External"/><Relationship Id="rId5" Type="http://schemas.openxmlformats.org/officeDocument/2006/relationships/hyperlink" Target="http://www.euro.who.int/__data/assets/pdf_file/0020/402059/WHO-FP-016-Latvia-in-Latvian-digital-single-pages.pdf?ua=1" TargetMode="External"/><Relationship Id="rId10" Type="http://schemas.openxmlformats.org/officeDocument/2006/relationships/hyperlink" Target="https://www.eveseliba.gov.lv/sakums/about-portal/e-vesel%C4%ABbas-statistika" TargetMode="External"/><Relationship Id="rId4" Type="http://schemas.openxmlformats.org/officeDocument/2006/relationships/hyperlink" Target="http://www.vmnvd.gov.lv/uploads/files/5c5842f37f78d.pdf" TargetMode="External"/><Relationship Id="rId9" Type="http://schemas.openxmlformats.org/officeDocument/2006/relationships/hyperlink" Target="http://www.vmnvd.gov.lv/uploads/files/5a1e83ec88d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EBFB-4027-4945-B8AE-C6C3226F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26020</Words>
  <Characters>14832</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Gundega Ozoliņa</cp:lastModifiedBy>
  <cp:revision>34</cp:revision>
  <cp:lastPrinted>2019-12-06T13:27:00Z</cp:lastPrinted>
  <dcterms:created xsi:type="dcterms:W3CDTF">2019-12-19T22:36:00Z</dcterms:created>
  <dcterms:modified xsi:type="dcterms:W3CDTF">2020-02-03T11:38:00Z</dcterms:modified>
</cp:coreProperties>
</file>