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0C6EB8" w:rsidP="000F072E" w14:paraId="1F417981" w14:textId="51629E8F">
      <w:pPr>
        <w:spacing w:after="0" w:line="240" w:lineRule="auto"/>
        <w:rPr>
          <w:b/>
        </w:rPr>
      </w:pPr>
    </w:p>
    <w:p w:rsidR="000F072E" w:rsidRPr="00E8789E" w:rsidP="000F072E" w14:paraId="3796C7F6" w14:textId="7585334D">
      <w:pPr>
        <w:tabs>
          <w:tab w:val="center" w:pos="4677"/>
        </w:tabs>
        <w:jc w:val="right"/>
        <w:rPr>
          <w:b/>
          <w:bCs/>
          <w:color w:val="000000"/>
        </w:rPr>
      </w:pPr>
      <w:r w:rsidRPr="00E8789E">
        <w:rPr>
          <w:b/>
          <w:bCs/>
          <w:color w:val="000000"/>
        </w:rPr>
        <w:t>Valsts kancelejai</w:t>
      </w:r>
    </w:p>
    <w:p w:rsidR="000F072E" w:rsidP="00C17D36" w14:paraId="4C4540CE" w14:textId="4CFE6902">
      <w:pPr>
        <w:ind w:right="4123"/>
        <w:rPr>
          <w:i/>
        </w:rPr>
      </w:pPr>
      <w:r w:rsidRPr="008F1C91">
        <w:rPr>
          <w:i/>
          <w:noProof/>
        </w:rPr>
        <w:t>Par Ministru kabineta sēdes protokollēmuma proj</w:t>
      </w:r>
      <w:r>
        <w:rPr>
          <w:i/>
          <w:noProof/>
        </w:rPr>
        <w:t>ekta "Par Ministru kabineta 2016</w:t>
      </w:r>
      <w:r w:rsidRPr="008F1C91">
        <w:rPr>
          <w:i/>
          <w:noProof/>
        </w:rPr>
        <w:t>.</w:t>
      </w:r>
      <w:r>
        <w:rPr>
          <w:i/>
          <w:noProof/>
        </w:rPr>
        <w:t> </w:t>
      </w:r>
      <w:r w:rsidRPr="008F1C91">
        <w:rPr>
          <w:i/>
          <w:noProof/>
        </w:rPr>
        <w:t xml:space="preserve">gada </w:t>
      </w:r>
      <w:r>
        <w:rPr>
          <w:i/>
          <w:noProof/>
        </w:rPr>
        <w:t>13</w:t>
      </w:r>
      <w:r w:rsidRPr="008F1C91">
        <w:rPr>
          <w:i/>
          <w:noProof/>
        </w:rPr>
        <w:t>.</w:t>
      </w:r>
      <w:r>
        <w:rPr>
          <w:i/>
          <w:noProof/>
        </w:rPr>
        <w:t> septe</w:t>
      </w:r>
      <w:r w:rsidRPr="008F1C91">
        <w:rPr>
          <w:i/>
          <w:noProof/>
        </w:rPr>
        <w:t>mbra sēdes protokollēmuma (prot. Nr.</w:t>
      </w:r>
      <w:r>
        <w:rPr>
          <w:i/>
          <w:noProof/>
        </w:rPr>
        <w:t> 45 2</w:t>
      </w:r>
      <w:r w:rsidRPr="008F1C91">
        <w:rPr>
          <w:i/>
          <w:noProof/>
        </w:rPr>
        <w:t>9.</w:t>
      </w:r>
      <w:r>
        <w:rPr>
          <w:i/>
          <w:noProof/>
        </w:rPr>
        <w:t> </w:t>
      </w:r>
      <w:r w:rsidRPr="008F1C91">
        <w:rPr>
          <w:i/>
          <w:noProof/>
        </w:rPr>
        <w:t>§) "</w:t>
      </w:r>
      <w:r w:rsidRPr="001915A8">
        <w:rPr>
          <w:i/>
        </w:rPr>
        <w:t>Par Aizsardzības ministrijas informatīvo ziņojumu "Par aizsardzības nozares sadarbības stiprināšanu ar Latvijas aizsardzības un drošības industriju""</w:t>
      </w:r>
      <w:r>
        <w:rPr>
          <w:i/>
        </w:rPr>
        <w:t xml:space="preserve"> </w:t>
      </w:r>
      <w:r w:rsidR="00250CD7">
        <w:rPr>
          <w:i/>
        </w:rPr>
        <w:t xml:space="preserve">              </w:t>
      </w:r>
      <w:r>
        <w:rPr>
          <w:i/>
        </w:rPr>
        <w:t>6</w:t>
      </w:r>
      <w:r w:rsidRPr="008F1C91">
        <w:rPr>
          <w:i/>
          <w:noProof/>
        </w:rPr>
        <w:t>.</w:t>
      </w:r>
      <w:r>
        <w:rPr>
          <w:i/>
          <w:noProof/>
        </w:rPr>
        <w:t xml:space="preserve"> </w:t>
      </w:r>
      <w:r w:rsidRPr="008F1C91">
        <w:rPr>
          <w:i/>
          <w:noProof/>
        </w:rPr>
        <w:t xml:space="preserve">punktā </w:t>
      </w:r>
      <w:r>
        <w:rPr>
          <w:i/>
          <w:noProof/>
        </w:rPr>
        <w:t>Aizsardzības</w:t>
      </w:r>
      <w:r w:rsidRPr="008F1C91">
        <w:rPr>
          <w:i/>
          <w:noProof/>
        </w:rPr>
        <w:t xml:space="preserve"> ministrijai dotā uzdevuma atzīšanu par aktualitāti zaudējušu" iesniegšanu</w:t>
      </w:r>
    </w:p>
    <w:p w:rsidR="000F072E" w:rsidRPr="00E8789E" w:rsidP="004C45ED" w14:paraId="3B2E488E" w14:textId="0BC7796C">
      <w:pPr>
        <w:ind w:firstLine="709"/>
        <w:jc w:val="both"/>
      </w:pPr>
      <w:r>
        <w:t>Pamatojoties uz</w:t>
      </w:r>
      <w:r w:rsidRPr="004C3689">
        <w:t xml:space="preserve"> Ministru kabineta 2009.</w:t>
      </w:r>
      <w:r>
        <w:t> </w:t>
      </w:r>
      <w:r w:rsidRPr="004C3689">
        <w:t>gada 7.</w:t>
      </w:r>
      <w:r>
        <w:t> </w:t>
      </w:r>
      <w:r w:rsidRPr="004C3689">
        <w:t>aprīļa noteikumu Nr.</w:t>
      </w:r>
      <w:r>
        <w:t> </w:t>
      </w:r>
      <w:r w:rsidRPr="004C3689">
        <w:t xml:space="preserve">300 </w:t>
      </w:r>
      <w:r>
        <w:t>"</w:t>
      </w:r>
      <w:r w:rsidRPr="004C3689">
        <w:t>Ministru kabineta kārtības rullis</w:t>
      </w:r>
      <w:r>
        <w:t>"</w:t>
      </w:r>
      <w:r w:rsidRPr="004C3689">
        <w:t xml:space="preserve"> 164.4.</w:t>
      </w:r>
      <w:r>
        <w:t> apakš</w:t>
      </w:r>
      <w:r w:rsidRPr="004C3689">
        <w:t>punktu iesniedz</w:t>
      </w:r>
      <w:r>
        <w:t>u</w:t>
      </w:r>
      <w:r w:rsidRPr="004C3689">
        <w:t xml:space="preserve"> izskatīšanai Ministru kabineta sēdē Ministru kabineta </w:t>
      </w:r>
      <w:r>
        <w:t xml:space="preserve">sēdes </w:t>
      </w:r>
      <w:r w:rsidRPr="004C3689">
        <w:t xml:space="preserve">protokollēmuma projektu </w:t>
      </w:r>
      <w:r w:rsidRPr="00EA106D">
        <w:rPr>
          <w:noProof/>
        </w:rPr>
        <w:t>"Par Ministru kabineta 2016. gada 13. septembra sēdes protokollēmuma (prot. Nr. 45 29. §) "</w:t>
      </w:r>
      <w:r w:rsidRPr="00EA106D">
        <w:t>Par Aizsardzības ministrijas informatīvo ziņojumu "Par aizsardzības nozares sadarbības stiprināšanu ar Latvijas aizsardzības un drošības industriju""</w:t>
      </w:r>
      <w:r w:rsidR="00C17D36">
        <w:t xml:space="preserve"> </w:t>
      </w:r>
      <w:r w:rsidRPr="00EA106D">
        <w:t>6</w:t>
      </w:r>
      <w:r w:rsidRPr="00EA106D">
        <w:rPr>
          <w:noProof/>
        </w:rPr>
        <w:t>. punktā Aizsardzības ministrijai dotā uzdevuma atzīšanu par aktualitāti zaudējušu"</w:t>
      </w:r>
      <w:r w:rsidRPr="008F1C91">
        <w:rPr>
          <w:i/>
          <w:noProof/>
        </w:rPr>
        <w:t xml:space="preserve"> </w:t>
      </w:r>
      <w:r>
        <w:t xml:space="preserve"> (turpmāk – projekts)</w:t>
      </w:r>
      <w:r w:rsidRPr="004C3689">
        <w:t>.</w:t>
      </w:r>
    </w:p>
    <w:tbl>
      <w:tblPr>
        <w:tblW w:w="4976"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31"/>
        <w:gridCol w:w="7452"/>
      </w:tblGrid>
      <w:tr w14:paraId="032EBC92" w14:textId="77777777" w:rsidTr="000803E9">
        <w:tblPrEx>
          <w:tblW w:w="4976"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1029" w:type="pct"/>
            <w:tcBorders>
              <w:top w:val="outset" w:sz="6" w:space="0" w:color="auto"/>
              <w:left w:val="outset" w:sz="6" w:space="0" w:color="auto"/>
              <w:bottom w:val="outset" w:sz="6" w:space="0" w:color="auto"/>
              <w:right w:val="outset" w:sz="6" w:space="0" w:color="auto"/>
            </w:tcBorders>
            <w:hideMark/>
          </w:tcPr>
          <w:p w:rsidR="000F072E" w:rsidRPr="00E8789E" w:rsidP="000803E9" w14:paraId="79A231E5" w14:textId="77777777">
            <w:r w:rsidRPr="00E8789E">
              <w:t>Iesniegšanas pamatojums</w:t>
            </w:r>
          </w:p>
        </w:tc>
        <w:tc>
          <w:tcPr>
            <w:tcW w:w="3971" w:type="pct"/>
            <w:tcBorders>
              <w:top w:val="outset" w:sz="6" w:space="0" w:color="auto"/>
              <w:left w:val="outset" w:sz="6" w:space="0" w:color="auto"/>
              <w:bottom w:val="outset" w:sz="6" w:space="0" w:color="auto"/>
              <w:right w:val="outset" w:sz="6" w:space="0" w:color="auto"/>
            </w:tcBorders>
            <w:hideMark/>
          </w:tcPr>
          <w:p w:rsidR="000F072E" w:rsidRPr="00562E7F" w:rsidP="004C45ED" w14:paraId="5E6114E0" w14:textId="77777777">
            <w:pPr>
              <w:jc w:val="both"/>
            </w:pPr>
            <w:r>
              <w:t xml:space="preserve">         </w:t>
            </w:r>
            <w:r w:rsidRPr="00562E7F">
              <w:t xml:space="preserve">Pēc Aizsardzības ministrijas iniciatīvas nepieciešams atzīt par aktualitāti zaudējušu Ministru kabineta 2016. gada 13. septembra sēdes protokollēmuma (Nr. 45 29. §) </w:t>
            </w:r>
            <w:r w:rsidRPr="00562E7F">
              <w:rPr>
                <w:noProof/>
              </w:rPr>
              <w:t>"</w:t>
            </w:r>
            <w:r w:rsidRPr="00562E7F">
              <w:t>Par Aizsardzības ministrijas informatīvo ziņojumu "Par aizsardzības nozares sadarbības stiprināšanu ar Latvijas aizsardzības un drošības industriju"" (turpmāk – Protokols) 6. punktā Aizsardzības ministrijai doto uzdevumu.</w:t>
            </w:r>
          </w:p>
          <w:p w:rsidR="000F072E" w:rsidRPr="00562E7F" w:rsidP="004C45ED" w14:paraId="4D6ACACA" w14:textId="2D8310D6">
            <w:pPr>
              <w:jc w:val="both"/>
            </w:pPr>
            <w:r>
              <w:t xml:space="preserve">         </w:t>
            </w:r>
            <w:r w:rsidRPr="00562E7F">
              <w:t xml:space="preserve">Protokola 6. punkts paredz Aizsardzības ministrijai ne vēlāk kā līdz 2018. gada 31. septembrim aktualizēt un iesniegt Ministru kabinetā informatīvo ziņojumu  "Par aizsardzības nozares sadarbības stiprināšanu ar Latvijas aizsardzības un drošības industriju". </w:t>
            </w:r>
          </w:p>
          <w:p w:rsidR="000F072E" w:rsidRPr="00562E7F" w:rsidP="00C17D36" w14:paraId="14F27310" w14:textId="684FBDC9">
            <w:pPr>
              <w:jc w:val="both"/>
              <w:rPr>
                <w:sz w:val="22"/>
              </w:rPr>
            </w:pPr>
            <w:r>
              <w:t xml:space="preserve">         </w:t>
            </w:r>
            <w:r w:rsidRPr="00562E7F">
              <w:t xml:space="preserve">Aizsardzības ministrija šobrīd gatavo priekšlikumus konceptuāli jauniem sadarbības formātiem ar nacionālo aizsardzības industriju, attiecīgo mandātu paredzot iekļaut jaunajā Valsts aizsardzības koncepcijā, kura saskaņā ar Nacionālā drošības likumā noteikto kārtību jāapstiprina Saeimā </w:t>
            </w:r>
            <w:r w:rsidRPr="00562E7F">
              <w:t>līdz š.</w:t>
            </w:r>
            <w:r w:rsidR="004C45ED">
              <w:t> </w:t>
            </w:r>
            <w:r w:rsidRPr="00562E7F">
              <w:t>g. oktobrim.</w:t>
            </w:r>
            <w:bookmarkStart w:id="0" w:name="_GoBack"/>
            <w:bookmarkEnd w:id="0"/>
          </w:p>
          <w:p w:rsidR="000F072E" w:rsidP="00C17D36" w14:paraId="3434F1D3" w14:textId="09403004">
            <w:pPr>
              <w:jc w:val="both"/>
            </w:pPr>
            <w:r>
              <w:t xml:space="preserve">         </w:t>
            </w:r>
            <w:r w:rsidRPr="00562E7F">
              <w:t>Aizsardzības ministrija tāpat šobrīd veic padziļinātu analīzi par turpmākajiem industrijas attīstības un sadarbības formātiem, kā arī to ieviešanai nepieciešamajiem papildinājumiem nacionālajā normatīvajā bāzē, kas saskaņā ar Saeimas Aizsardzības, iekšlietu un korupcijas novēršanas</w:t>
            </w:r>
            <w:r>
              <w:t xml:space="preserve"> komisijas</w:t>
            </w:r>
            <w:r w:rsidRPr="00562E7F">
              <w:t xml:space="preserve"> uzdevumu Aizsardzības ministrijai jāiesniedz komisijā līdz š.</w:t>
            </w:r>
            <w:r w:rsidR="004C45ED">
              <w:t> g. 1. </w:t>
            </w:r>
            <w:r w:rsidRPr="00562E7F">
              <w:t xml:space="preserve">martam. </w:t>
            </w:r>
          </w:p>
          <w:p w:rsidR="000F072E" w:rsidRPr="00562E7F" w:rsidP="004C45ED" w14:paraId="6E2DEA4A" w14:textId="2AE691E3">
            <w:pPr>
              <w:jc w:val="both"/>
            </w:pPr>
            <w:r>
              <w:t xml:space="preserve">           </w:t>
            </w:r>
            <w:r w:rsidRPr="00562E7F">
              <w:t>Pēc šī uzdevuma izpildes un ņ</w:t>
            </w:r>
            <w:r>
              <w:t xml:space="preserve">emot vērā iespējamos Saeimas </w:t>
            </w:r>
            <w:r w:rsidRPr="00562E7F">
              <w:t xml:space="preserve"> Aizsardzības, iekšlietu un korupcijas novēršanas</w:t>
            </w:r>
            <w:r>
              <w:t xml:space="preserve"> komisijas</w:t>
            </w:r>
            <w:r w:rsidRPr="00562E7F">
              <w:t xml:space="preserve"> secinājumus, A</w:t>
            </w:r>
            <w:r>
              <w:t>izsardzības ministrija</w:t>
            </w:r>
            <w:r w:rsidRPr="00562E7F">
              <w:t xml:space="preserve"> vispārnoteiktajā kārtībā iesniegs Mini</w:t>
            </w:r>
            <w:r w:rsidR="004C45ED">
              <w:t xml:space="preserve">stru kabinetā priekšlikumus </w:t>
            </w:r>
            <w:r w:rsidRPr="00562E7F">
              <w:t>normatīv</w:t>
            </w:r>
            <w:r w:rsidR="004C45ED">
              <w:t>ā</w:t>
            </w:r>
            <w:r>
              <w:t>s</w:t>
            </w:r>
            <w:r w:rsidR="004C45ED">
              <w:t xml:space="preserve"> bāzes precizēšanai</w:t>
            </w:r>
            <w:r w:rsidRPr="00562E7F">
              <w:t>, kas nepieciešami</w:t>
            </w:r>
            <w:r w:rsidR="004C45ED">
              <w:t xml:space="preserve">, lai  turpmāk organizētu </w:t>
            </w:r>
            <w:r w:rsidRPr="00562E7F">
              <w:t>aizsardzības nozares un nacionālās aizsardzības indu</w:t>
            </w:r>
            <w:r w:rsidR="004C45ED">
              <w:t>strijas sadarbību</w:t>
            </w:r>
            <w:r w:rsidRPr="00562E7F">
              <w:t>.</w:t>
            </w:r>
          </w:p>
          <w:p w:rsidR="000F072E" w:rsidRPr="00562E7F" w:rsidP="000803E9" w14:paraId="72821363" w14:textId="070E3CD3">
            <w:r>
              <w:t xml:space="preserve">            Tādējādi </w:t>
            </w:r>
            <w:r w:rsidRPr="00562E7F">
              <w:t xml:space="preserve">Protokola 6. punktā iekļautais uzdevums </w:t>
            </w:r>
            <w:r>
              <w:t xml:space="preserve">– </w:t>
            </w:r>
            <w:r w:rsidRPr="00562E7F">
              <w:t xml:space="preserve">aktualizēt </w:t>
            </w:r>
            <w:r>
              <w:t xml:space="preserve">esošo </w:t>
            </w:r>
            <w:r w:rsidRPr="00562E7F">
              <w:t xml:space="preserve">informatīvo ziņojumu </w:t>
            </w:r>
            <w:r>
              <w:t xml:space="preserve">– </w:t>
            </w:r>
            <w:r w:rsidRPr="00562E7F">
              <w:t>nav aktuāls.</w:t>
            </w:r>
          </w:p>
        </w:tc>
      </w:tr>
      <w:tr w14:paraId="2C3584B7" w14:textId="77777777" w:rsidTr="000803E9">
        <w:tblPrEx>
          <w:tblW w:w="4976" w:type="pct"/>
          <w:tblCellMar>
            <w:top w:w="30" w:type="dxa"/>
            <w:left w:w="30" w:type="dxa"/>
            <w:bottom w:w="30" w:type="dxa"/>
            <w:right w:w="30" w:type="dxa"/>
          </w:tblCellMar>
          <w:tblLook w:val="04A0"/>
        </w:tblPrEx>
        <w:tc>
          <w:tcPr>
            <w:tcW w:w="1029" w:type="pct"/>
            <w:tcBorders>
              <w:top w:val="outset" w:sz="6" w:space="0" w:color="auto"/>
              <w:left w:val="outset" w:sz="6" w:space="0" w:color="auto"/>
              <w:bottom w:val="outset" w:sz="6" w:space="0" w:color="auto"/>
              <w:right w:val="outset" w:sz="6" w:space="0" w:color="auto"/>
            </w:tcBorders>
            <w:hideMark/>
          </w:tcPr>
          <w:p w:rsidR="000F072E" w:rsidRPr="00E8789E" w:rsidP="000803E9" w14:paraId="3304ED67" w14:textId="77777777">
            <w:r w:rsidRPr="00E8789E">
              <w:t>Valsts sekretāru sanāksmes datums un numurs</w:t>
            </w:r>
          </w:p>
        </w:tc>
        <w:tc>
          <w:tcPr>
            <w:tcW w:w="3971" w:type="pct"/>
            <w:tcBorders>
              <w:top w:val="outset" w:sz="6" w:space="0" w:color="auto"/>
              <w:left w:val="outset" w:sz="6" w:space="0" w:color="auto"/>
              <w:bottom w:val="outset" w:sz="6" w:space="0" w:color="auto"/>
              <w:right w:val="outset" w:sz="6" w:space="0" w:color="auto"/>
            </w:tcBorders>
            <w:hideMark/>
          </w:tcPr>
          <w:p w:rsidR="000F072E" w:rsidRPr="005315A7" w:rsidP="00F80334" w14:paraId="5F146362" w14:textId="77777777">
            <w:pPr>
              <w:jc w:val="both"/>
              <w:rPr>
                <w:u w:val="single"/>
              </w:rPr>
            </w:pPr>
            <w:r>
              <w:t xml:space="preserve">         </w:t>
            </w:r>
            <w:r w:rsidRPr="005315A7">
              <w:t>Saskaņā ar Ministru kabineta 2009.</w:t>
            </w:r>
            <w:r>
              <w:t> </w:t>
            </w:r>
            <w:r w:rsidRPr="005315A7">
              <w:t>gada 7.</w:t>
            </w:r>
            <w:r>
              <w:t> </w:t>
            </w:r>
            <w:r w:rsidRPr="005315A7">
              <w:t>aprīļa noteikumu Nr.</w:t>
            </w:r>
            <w:r>
              <w:t> </w:t>
            </w:r>
            <w:r w:rsidRPr="005315A7">
              <w:t xml:space="preserve">300 </w:t>
            </w:r>
            <w:r>
              <w:t>"</w:t>
            </w:r>
            <w:r w:rsidRPr="005315A7">
              <w:t>Ministru kabineta kārtības rullis</w:t>
            </w:r>
            <w:r>
              <w:t>"</w:t>
            </w:r>
            <w:r w:rsidRPr="005315A7">
              <w:t xml:space="preserve"> 73.1.</w:t>
            </w:r>
            <w:r>
              <w:t> </w:t>
            </w:r>
            <w:r w:rsidRPr="005315A7">
              <w:t>apakšpunktu projekts nav izsludināms Valsts sekretāru sanāksmē.</w:t>
            </w:r>
          </w:p>
        </w:tc>
      </w:tr>
      <w:tr w14:paraId="64B1E15D" w14:textId="77777777" w:rsidTr="000803E9">
        <w:tblPrEx>
          <w:tblW w:w="4976" w:type="pct"/>
          <w:tblCellMar>
            <w:top w:w="30" w:type="dxa"/>
            <w:left w:w="30" w:type="dxa"/>
            <w:bottom w:w="30" w:type="dxa"/>
            <w:right w:w="30" w:type="dxa"/>
          </w:tblCellMar>
          <w:tblLook w:val="04A0"/>
        </w:tblPrEx>
        <w:tc>
          <w:tcPr>
            <w:tcW w:w="1029" w:type="pct"/>
            <w:tcBorders>
              <w:top w:val="outset" w:sz="6" w:space="0" w:color="auto"/>
              <w:left w:val="outset" w:sz="6" w:space="0" w:color="auto"/>
              <w:bottom w:val="outset" w:sz="6" w:space="0" w:color="auto"/>
              <w:right w:val="outset" w:sz="6" w:space="0" w:color="auto"/>
            </w:tcBorders>
            <w:hideMark/>
          </w:tcPr>
          <w:p w:rsidR="000F072E" w:rsidRPr="00E8789E" w:rsidP="000803E9" w14:paraId="1C31195B" w14:textId="77777777">
            <w:r w:rsidRPr="00E8789E">
              <w:t>Informācija par saskaņojumiem</w:t>
            </w:r>
          </w:p>
        </w:tc>
        <w:tc>
          <w:tcPr>
            <w:tcW w:w="3971" w:type="pct"/>
            <w:tcBorders>
              <w:top w:val="outset" w:sz="6" w:space="0" w:color="auto"/>
              <w:left w:val="outset" w:sz="6" w:space="0" w:color="auto"/>
              <w:bottom w:val="outset" w:sz="6" w:space="0" w:color="auto"/>
              <w:right w:val="outset" w:sz="6" w:space="0" w:color="auto"/>
            </w:tcBorders>
            <w:hideMark/>
          </w:tcPr>
          <w:p w:rsidR="000F072E" w:rsidRPr="00211FAC" w:rsidP="000803E9" w14:paraId="22A6665E" w14:textId="77777777">
            <w:r>
              <w:t xml:space="preserve">         P</w:t>
            </w:r>
            <w:r w:rsidRPr="00211FAC">
              <w:t>rojektam nav nepieciešams saskaņojums</w:t>
            </w:r>
            <w:r>
              <w:t>, jo uzdevums, kas atzīstams par aktualitāti zaudējušu, attiecināms tikai uz Aizsardzības ministriju un citu institūciju kompetenci neskar.</w:t>
            </w:r>
          </w:p>
        </w:tc>
      </w:tr>
      <w:tr w14:paraId="23BC2C16" w14:textId="77777777" w:rsidTr="000803E9">
        <w:tblPrEx>
          <w:tblW w:w="4976" w:type="pct"/>
          <w:tblCellMar>
            <w:top w:w="30" w:type="dxa"/>
            <w:left w:w="30" w:type="dxa"/>
            <w:bottom w:w="30" w:type="dxa"/>
            <w:right w:w="30" w:type="dxa"/>
          </w:tblCellMar>
          <w:tblLook w:val="04A0"/>
        </w:tblPrEx>
        <w:tc>
          <w:tcPr>
            <w:tcW w:w="1029" w:type="pct"/>
            <w:tcBorders>
              <w:top w:val="outset" w:sz="6" w:space="0" w:color="auto"/>
              <w:left w:val="outset" w:sz="6" w:space="0" w:color="auto"/>
              <w:bottom w:val="outset" w:sz="6" w:space="0" w:color="auto"/>
              <w:right w:val="outset" w:sz="6" w:space="0" w:color="auto"/>
            </w:tcBorders>
            <w:hideMark/>
          </w:tcPr>
          <w:p w:rsidR="000F072E" w:rsidRPr="00E8789E" w:rsidP="000803E9" w14:paraId="171F95FD" w14:textId="77777777">
            <w:r w:rsidRPr="00E8789E">
              <w:t>Informācija par saskaņojumu ar Eiropas Savienības institūcijām</w:t>
            </w:r>
          </w:p>
        </w:tc>
        <w:tc>
          <w:tcPr>
            <w:tcW w:w="3971" w:type="pct"/>
            <w:tcBorders>
              <w:top w:val="outset" w:sz="6" w:space="0" w:color="auto"/>
              <w:left w:val="outset" w:sz="6" w:space="0" w:color="auto"/>
              <w:bottom w:val="outset" w:sz="6" w:space="0" w:color="auto"/>
              <w:right w:val="outset" w:sz="6" w:space="0" w:color="auto"/>
            </w:tcBorders>
          </w:tcPr>
          <w:p w:rsidR="000F072E" w:rsidRPr="002D31A4" w:rsidP="000803E9" w14:paraId="31C9BF49" w14:textId="77777777">
            <w:r>
              <w:t xml:space="preserve">         </w:t>
            </w:r>
            <w:r w:rsidRPr="002D31A4">
              <w:t>Nav attiecināms.</w:t>
            </w:r>
          </w:p>
        </w:tc>
      </w:tr>
      <w:tr w14:paraId="070CAAF4" w14:textId="77777777" w:rsidTr="000803E9">
        <w:tblPrEx>
          <w:tblW w:w="4976" w:type="pct"/>
          <w:tblCellMar>
            <w:top w:w="30" w:type="dxa"/>
            <w:left w:w="30" w:type="dxa"/>
            <w:bottom w:w="30" w:type="dxa"/>
            <w:right w:w="30" w:type="dxa"/>
          </w:tblCellMar>
          <w:tblLook w:val="04A0"/>
        </w:tblPrEx>
        <w:tc>
          <w:tcPr>
            <w:tcW w:w="1029" w:type="pct"/>
            <w:tcBorders>
              <w:top w:val="outset" w:sz="6" w:space="0" w:color="auto"/>
              <w:left w:val="outset" w:sz="6" w:space="0" w:color="auto"/>
              <w:bottom w:val="outset" w:sz="6" w:space="0" w:color="auto"/>
              <w:right w:val="outset" w:sz="6" w:space="0" w:color="auto"/>
            </w:tcBorders>
            <w:hideMark/>
          </w:tcPr>
          <w:p w:rsidR="000F072E" w:rsidRPr="00E8789E" w:rsidP="000803E9" w14:paraId="04F4164C" w14:textId="77777777">
            <w:r w:rsidRPr="00E8789E">
              <w:t>Politikas joma</w:t>
            </w:r>
          </w:p>
        </w:tc>
        <w:tc>
          <w:tcPr>
            <w:tcW w:w="3971" w:type="pct"/>
            <w:tcBorders>
              <w:top w:val="outset" w:sz="6" w:space="0" w:color="auto"/>
              <w:left w:val="outset" w:sz="6" w:space="0" w:color="auto"/>
              <w:bottom w:val="outset" w:sz="6" w:space="0" w:color="auto"/>
              <w:right w:val="outset" w:sz="6" w:space="0" w:color="auto"/>
            </w:tcBorders>
            <w:hideMark/>
          </w:tcPr>
          <w:p w:rsidR="000F072E" w:rsidRPr="00685107" w:rsidP="000803E9" w14:paraId="23080DF8" w14:textId="77777777">
            <w:r>
              <w:t xml:space="preserve">         </w:t>
            </w:r>
            <w:r w:rsidRPr="00685107">
              <w:t>Tieslietu politika</w:t>
            </w:r>
            <w:r>
              <w:t>.</w:t>
            </w:r>
          </w:p>
        </w:tc>
      </w:tr>
      <w:tr w14:paraId="4279739B" w14:textId="77777777" w:rsidTr="000803E9">
        <w:tblPrEx>
          <w:tblW w:w="4976" w:type="pct"/>
          <w:tblCellMar>
            <w:top w:w="30" w:type="dxa"/>
            <w:left w:w="30" w:type="dxa"/>
            <w:bottom w:w="30" w:type="dxa"/>
            <w:right w:w="30" w:type="dxa"/>
          </w:tblCellMar>
          <w:tblLook w:val="04A0"/>
        </w:tblPrEx>
        <w:tc>
          <w:tcPr>
            <w:tcW w:w="1029" w:type="pct"/>
            <w:tcBorders>
              <w:top w:val="outset" w:sz="6" w:space="0" w:color="auto"/>
              <w:left w:val="outset" w:sz="6" w:space="0" w:color="auto"/>
              <w:bottom w:val="outset" w:sz="6" w:space="0" w:color="auto"/>
              <w:right w:val="outset" w:sz="6" w:space="0" w:color="auto"/>
            </w:tcBorders>
            <w:hideMark/>
          </w:tcPr>
          <w:p w:rsidR="000F072E" w:rsidRPr="00E8789E" w:rsidP="000803E9" w14:paraId="0C070D8A" w14:textId="77777777">
            <w:r w:rsidRPr="00E8789E">
              <w:t>Atbildīgā amatpersona</w:t>
            </w:r>
          </w:p>
        </w:tc>
        <w:tc>
          <w:tcPr>
            <w:tcW w:w="3971" w:type="pct"/>
            <w:tcBorders>
              <w:top w:val="outset" w:sz="6" w:space="0" w:color="auto"/>
              <w:left w:val="outset" w:sz="6" w:space="0" w:color="auto"/>
              <w:bottom w:val="outset" w:sz="6" w:space="0" w:color="auto"/>
              <w:right w:val="outset" w:sz="6" w:space="0" w:color="auto"/>
            </w:tcBorders>
          </w:tcPr>
          <w:p w:rsidR="000F072E" w:rsidRPr="00685107" w:rsidP="000803E9" w14:paraId="059F11C5" w14:textId="77777777">
            <w:r>
              <w:t xml:space="preserve">         Aizsardzības ministrijas vecākā eksperte Helēna Brinkmane.</w:t>
            </w:r>
          </w:p>
        </w:tc>
      </w:tr>
      <w:tr w14:paraId="6E4A8683" w14:textId="77777777" w:rsidTr="000803E9">
        <w:tblPrEx>
          <w:tblW w:w="4976" w:type="pct"/>
          <w:tblCellMar>
            <w:top w:w="30" w:type="dxa"/>
            <w:left w:w="30" w:type="dxa"/>
            <w:bottom w:w="30" w:type="dxa"/>
            <w:right w:w="30" w:type="dxa"/>
          </w:tblCellMar>
          <w:tblLook w:val="04A0"/>
        </w:tblPrEx>
        <w:tc>
          <w:tcPr>
            <w:tcW w:w="1029" w:type="pct"/>
            <w:tcBorders>
              <w:top w:val="outset" w:sz="6" w:space="0" w:color="auto"/>
              <w:left w:val="outset" w:sz="6" w:space="0" w:color="auto"/>
              <w:bottom w:val="outset" w:sz="6" w:space="0" w:color="auto"/>
              <w:right w:val="outset" w:sz="6" w:space="0" w:color="auto"/>
            </w:tcBorders>
            <w:hideMark/>
          </w:tcPr>
          <w:p w:rsidR="000F072E" w:rsidRPr="00E8789E" w:rsidP="000803E9" w14:paraId="4854CE43" w14:textId="77777777">
            <w:r w:rsidRPr="00E8789E">
              <w:t>Uzaicināmās personas</w:t>
            </w:r>
          </w:p>
        </w:tc>
        <w:tc>
          <w:tcPr>
            <w:tcW w:w="3971" w:type="pct"/>
            <w:tcBorders>
              <w:top w:val="outset" w:sz="6" w:space="0" w:color="auto"/>
              <w:left w:val="outset" w:sz="6" w:space="0" w:color="auto"/>
              <w:bottom w:val="outset" w:sz="6" w:space="0" w:color="auto"/>
              <w:right w:val="outset" w:sz="6" w:space="0" w:color="auto"/>
            </w:tcBorders>
            <w:hideMark/>
          </w:tcPr>
          <w:p w:rsidR="000F072E" w:rsidRPr="00685107" w:rsidP="000803E9" w14:paraId="7879A8B8" w14:textId="77777777">
            <w:r>
              <w:t xml:space="preserve">         </w:t>
            </w:r>
            <w:r w:rsidRPr="00685107">
              <w:t>Nav.</w:t>
            </w:r>
          </w:p>
        </w:tc>
      </w:tr>
      <w:tr w14:paraId="0843150B" w14:textId="77777777" w:rsidTr="000803E9">
        <w:tblPrEx>
          <w:tblW w:w="4976" w:type="pct"/>
          <w:tblCellMar>
            <w:top w:w="30" w:type="dxa"/>
            <w:left w:w="30" w:type="dxa"/>
            <w:bottom w:w="30" w:type="dxa"/>
            <w:right w:w="30" w:type="dxa"/>
          </w:tblCellMar>
          <w:tblLook w:val="04A0"/>
        </w:tblPrEx>
        <w:tc>
          <w:tcPr>
            <w:tcW w:w="1029" w:type="pct"/>
            <w:tcBorders>
              <w:top w:val="outset" w:sz="6" w:space="0" w:color="auto"/>
              <w:left w:val="outset" w:sz="6" w:space="0" w:color="auto"/>
              <w:bottom w:val="outset" w:sz="6" w:space="0" w:color="auto"/>
              <w:right w:val="outset" w:sz="6" w:space="0" w:color="auto"/>
            </w:tcBorders>
            <w:hideMark/>
          </w:tcPr>
          <w:p w:rsidR="000F072E" w:rsidRPr="00E8789E" w:rsidP="000803E9" w14:paraId="3C17508B" w14:textId="77777777">
            <w:r w:rsidRPr="00E8789E">
              <w:t>Projekta ierobežotas pieejamības statuss</w:t>
            </w:r>
          </w:p>
        </w:tc>
        <w:tc>
          <w:tcPr>
            <w:tcW w:w="3971" w:type="pct"/>
            <w:tcBorders>
              <w:top w:val="outset" w:sz="6" w:space="0" w:color="auto"/>
              <w:left w:val="outset" w:sz="6" w:space="0" w:color="auto"/>
              <w:bottom w:val="outset" w:sz="6" w:space="0" w:color="auto"/>
              <w:right w:val="outset" w:sz="6" w:space="0" w:color="auto"/>
            </w:tcBorders>
          </w:tcPr>
          <w:p w:rsidR="000F072E" w:rsidRPr="00685107" w:rsidP="000803E9" w14:paraId="6579AF33" w14:textId="77777777">
            <w:r>
              <w:t xml:space="preserve">         </w:t>
            </w:r>
            <w:r w:rsidRPr="00685107">
              <w:t>Nav attiecināms.</w:t>
            </w:r>
          </w:p>
        </w:tc>
      </w:tr>
      <w:tr w14:paraId="3F235C5F" w14:textId="77777777" w:rsidTr="000803E9">
        <w:tblPrEx>
          <w:tblW w:w="4976" w:type="pct"/>
          <w:tblCellMar>
            <w:top w:w="30" w:type="dxa"/>
            <w:left w:w="30" w:type="dxa"/>
            <w:bottom w:w="30" w:type="dxa"/>
            <w:right w:w="30" w:type="dxa"/>
          </w:tblCellMar>
          <w:tblLook w:val="04A0"/>
        </w:tblPrEx>
        <w:tc>
          <w:tcPr>
            <w:tcW w:w="1029" w:type="pct"/>
            <w:tcBorders>
              <w:top w:val="outset" w:sz="6" w:space="0" w:color="auto"/>
              <w:left w:val="outset" w:sz="6" w:space="0" w:color="auto"/>
              <w:bottom w:val="outset" w:sz="6" w:space="0" w:color="auto"/>
              <w:right w:val="outset" w:sz="6" w:space="0" w:color="auto"/>
            </w:tcBorders>
            <w:hideMark/>
          </w:tcPr>
          <w:p w:rsidR="000F072E" w:rsidRPr="00E8789E" w:rsidP="000803E9" w14:paraId="108AEE7D" w14:textId="77777777">
            <w:r w:rsidRPr="00E8789E">
              <w:t>Cita informācija</w:t>
            </w:r>
          </w:p>
        </w:tc>
        <w:tc>
          <w:tcPr>
            <w:tcW w:w="3971" w:type="pct"/>
            <w:tcBorders>
              <w:top w:val="outset" w:sz="6" w:space="0" w:color="auto"/>
              <w:left w:val="outset" w:sz="6" w:space="0" w:color="auto"/>
              <w:bottom w:val="outset" w:sz="6" w:space="0" w:color="auto"/>
              <w:right w:val="outset" w:sz="6" w:space="0" w:color="auto"/>
            </w:tcBorders>
          </w:tcPr>
          <w:p w:rsidR="000F072E" w:rsidRPr="00CC2180" w:rsidP="000803E9" w14:paraId="3CEBDA52" w14:textId="77777777">
            <w:r>
              <w:t xml:space="preserve">         </w:t>
            </w:r>
            <w:r w:rsidRPr="00CC2180">
              <w:t>Nav.</w:t>
            </w:r>
          </w:p>
        </w:tc>
      </w:tr>
    </w:tbl>
    <w:p w:rsidR="000F072E" w:rsidRPr="00E8789E" w:rsidP="000F072E" w14:paraId="4A9B8785" w14:textId="77777777"/>
    <w:p w:rsidR="000F072E" w:rsidP="000F072E" w14:paraId="4BAADF71" w14:textId="183586B6">
      <w:pPr>
        <w:tabs>
          <w:tab w:val="right" w:pos="9074"/>
        </w:tabs>
      </w:pPr>
      <w:r>
        <w:t>Pielikumā: P</w:t>
      </w:r>
      <w:r>
        <w:t>rojekts</w:t>
      </w:r>
      <w:r w:rsidRPr="00E86AA2">
        <w:t xml:space="preserve"> uz 1 l</w:t>
      </w:r>
      <w:r>
        <w:t>p.</w:t>
      </w:r>
      <w:r w:rsidRPr="00E86AA2">
        <w:t xml:space="preserve"> (datne: </w:t>
      </w:r>
      <w:r>
        <w:t>AMP</w:t>
      </w:r>
      <w:r w:rsidRPr="00E86AA2">
        <w:t>rot_</w:t>
      </w:r>
      <w:r>
        <w:t>300120_MK</w:t>
      </w:r>
      <w:r w:rsidRPr="00E86AA2">
        <w:t>).</w:t>
      </w:r>
    </w:p>
    <w:p w:rsidR="000F072E" w:rsidP="000F072E" w14:paraId="754AE1FE" w14:textId="671D03F3">
      <w:pPr>
        <w:tabs>
          <w:tab w:val="right" w:pos="9074"/>
        </w:tabs>
      </w:pPr>
    </w:p>
    <w:p w:rsidR="00F80334" w:rsidP="00B85566" w14:paraId="44EB875A" w14:textId="679C3999">
      <w:pPr>
        <w:tabs>
          <w:tab w:val="left" w:pos="6663"/>
        </w:tabs>
        <w:spacing w:after="0" w:line="240" w:lineRule="auto"/>
        <w:rPr>
          <w:noProof/>
        </w:rPr>
      </w:pPr>
      <w:r>
        <w:rPr>
          <w:noProof/>
        </w:rPr>
        <w:t>Ministru prezidenta biedrs,</w:t>
      </w:r>
    </w:p>
    <w:p w:rsidR="00831C01" w:rsidRPr="00F80334" w:rsidP="00B85566" w14:paraId="1F417988" w14:textId="67C94C1F">
      <w:pPr>
        <w:tabs>
          <w:tab w:val="left" w:pos="6663"/>
        </w:tabs>
        <w:spacing w:after="0" w:line="240" w:lineRule="auto"/>
      </w:pPr>
      <w:r>
        <w:rPr>
          <w:noProof/>
        </w:rPr>
        <w:t>a</w:t>
      </w:r>
      <w:r w:rsidRPr="00F80334" w:rsidR="000F072E">
        <w:rPr>
          <w:noProof/>
        </w:rPr>
        <w:t>izsardzības ministrs</w:t>
      </w:r>
      <w:r w:rsidRPr="00F80334" w:rsidR="000F072E">
        <w:tab/>
      </w:r>
      <w:r>
        <w:t>Dr. </w:t>
      </w:r>
      <w:r w:rsidRPr="00F80334" w:rsidR="000F072E">
        <w:rPr>
          <w:noProof/>
        </w:rPr>
        <w:t>Artis Pabriks</w:t>
      </w:r>
    </w:p>
    <w:p w:rsidR="000F072E" w:rsidP="00831C01" w14:paraId="6A44B180" w14:textId="77777777">
      <w:pPr>
        <w:tabs>
          <w:tab w:val="left" w:pos="6804"/>
        </w:tabs>
        <w:spacing w:before="720" w:after="0" w:line="240" w:lineRule="auto"/>
        <w:rPr>
          <w:noProof/>
          <w:sz w:val="16"/>
          <w:szCs w:val="16"/>
        </w:rPr>
      </w:pPr>
    </w:p>
    <w:p w:rsidR="000F072E" w:rsidP="00831C01" w14:paraId="7A7E3032" w14:textId="77777777">
      <w:pPr>
        <w:tabs>
          <w:tab w:val="left" w:pos="6804"/>
        </w:tabs>
        <w:spacing w:before="720" w:after="0" w:line="240" w:lineRule="auto"/>
        <w:rPr>
          <w:noProof/>
          <w:sz w:val="16"/>
          <w:szCs w:val="16"/>
        </w:rPr>
      </w:pPr>
    </w:p>
    <w:p w:rsidR="000F072E" w:rsidP="00831C01" w14:paraId="7126C505" w14:textId="77777777">
      <w:pPr>
        <w:tabs>
          <w:tab w:val="left" w:pos="6804"/>
        </w:tabs>
        <w:spacing w:before="720" w:after="0" w:line="240" w:lineRule="auto"/>
        <w:rPr>
          <w:noProof/>
          <w:sz w:val="16"/>
          <w:szCs w:val="16"/>
        </w:rPr>
      </w:pPr>
    </w:p>
    <w:p w:rsidR="000F072E" w:rsidP="00831C01" w14:paraId="02AC3C8B" w14:textId="77777777">
      <w:pPr>
        <w:tabs>
          <w:tab w:val="left" w:pos="6804"/>
        </w:tabs>
        <w:spacing w:before="720" w:after="0" w:line="240" w:lineRule="auto"/>
        <w:rPr>
          <w:noProof/>
          <w:sz w:val="16"/>
          <w:szCs w:val="16"/>
        </w:rPr>
      </w:pPr>
    </w:p>
    <w:p w:rsidR="00831C01" w:rsidRPr="006C787C" w:rsidP="00831C01" w14:paraId="1F417989" w14:textId="1E6ACFA2">
      <w:pPr>
        <w:tabs>
          <w:tab w:val="left" w:pos="6804"/>
        </w:tabs>
        <w:spacing w:before="720" w:after="0" w:line="240" w:lineRule="auto"/>
        <w:rPr>
          <w:sz w:val="16"/>
          <w:szCs w:val="16"/>
        </w:rPr>
      </w:pPr>
      <w:r w:rsidRPr="006C787C">
        <w:rPr>
          <w:noProof/>
          <w:sz w:val="16"/>
          <w:szCs w:val="16"/>
        </w:rPr>
        <w:t>Helēna Brinkmane</w:t>
      </w:r>
      <w:r w:rsidRPr="006C787C">
        <w:rPr>
          <w:sz w:val="16"/>
          <w:szCs w:val="16"/>
        </w:rPr>
        <w:t xml:space="preserve">, </w:t>
      </w:r>
      <w:r w:rsidRPr="006C787C">
        <w:rPr>
          <w:noProof/>
          <w:sz w:val="16"/>
          <w:szCs w:val="16"/>
        </w:rPr>
        <w:t>67335233</w:t>
      </w:r>
    </w:p>
    <w:p w:rsidR="00A650A4" w:rsidRPr="00A339EF" w:rsidP="00A339EF" w14:paraId="1F41798A" w14:textId="77777777">
      <w:pPr>
        <w:tabs>
          <w:tab w:val="left" w:pos="6804"/>
        </w:tabs>
        <w:spacing w:after="0" w:line="240" w:lineRule="auto"/>
        <w:rPr>
          <w:sz w:val="16"/>
          <w:szCs w:val="16"/>
        </w:rPr>
      </w:pPr>
      <w:r w:rsidRPr="006C787C">
        <w:rPr>
          <w:noProof/>
          <w:sz w:val="16"/>
          <w:szCs w:val="16"/>
        </w:rPr>
        <w:t>Helena.Brinkmane</w:t>
      </w:r>
      <w:r w:rsidR="00B10D3E">
        <w:rPr>
          <w:noProof/>
          <w:sz w:val="16"/>
          <w:szCs w:val="16"/>
        </w:rPr>
        <w:t>@mod.gov.lv</w:t>
      </w:r>
    </w:p>
    <w:sectPr w:rsidSect="00330D43">
      <w:footerReference w:type="default" r:id="rId4"/>
      <w:headerReference w:type="first" r:id="rId5"/>
      <w:footerReference w:type="first" r:id="rId6"/>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962959"/>
      <w:docPartObj>
        <w:docPartGallery w:val="Page Numbers (Bottom of Page)"/>
        <w:docPartUnique/>
      </w:docPartObj>
    </w:sdtPr>
    <w:sdtContent>
      <w:sdt>
        <w:sdtPr>
          <w:id w:val="1908800064"/>
          <w:docPartObj>
            <w:docPartGallery w:val="Page Numbers (Top of Page)"/>
            <w:docPartUnique/>
          </w:docPartObj>
        </w:sdtPr>
        <w:sdtContent>
          <w:p w:rsidR="000F072E" w:rsidP="000F072E" w14:paraId="569FFA3F" w14:textId="77777777">
            <w:pPr>
              <w:spacing w:after="0" w:line="240" w:lineRule="auto"/>
            </w:pPr>
          </w:p>
          <w:p w:rsidR="000F072E" w:rsidRPr="000F072E" w:rsidP="000F072E" w14:paraId="56C04EC7" w14:textId="49EA7673">
            <w:pPr>
              <w:spacing w:after="0" w:line="240" w:lineRule="auto"/>
              <w:rPr>
                <w:rFonts w:ascii="TimesNewRomanPS-ItalicMT" w:hAnsi="TimesNewRomanPS-ItalicMT"/>
                <w:iCs/>
                <w:sz w:val="16"/>
                <w:szCs w:val="16"/>
              </w:rPr>
            </w:pPr>
            <w:r w:rsidRPr="000F072E">
              <w:rPr>
                <w:rFonts w:ascii="TimesNewRomanPS-ItalicMT" w:hAnsi="TimesNewRomanPS-ItalicMT"/>
                <w:iCs/>
                <w:sz w:val="16"/>
                <w:szCs w:val="16"/>
              </w:rPr>
              <w:t>AMPav_300120_M</w:t>
            </w:r>
            <w:r w:rsidR="00250CD7">
              <w:rPr>
                <w:rFonts w:ascii="TimesNewRomanPS-ItalicMT" w:hAnsi="TimesNewRomanPS-ItalicMT"/>
                <w:iCs/>
                <w:sz w:val="16"/>
                <w:szCs w:val="16"/>
              </w:rPr>
              <w:t>K</w:t>
            </w:r>
          </w:p>
          <w:p w:rsidR="00A339EF" w:rsidRPr="00A339EF" w:rsidP="00A339EF" w14:paraId="1F41798B" w14:textId="77777777">
            <w:pPr>
              <w:spacing w:after="0" w:line="240" w:lineRule="auto"/>
              <w:jc w:val="center"/>
              <w:rPr>
                <w:rFonts w:ascii="TimesNewRomanPS-ItalicMT" w:hAnsi="TimesNewRomanPS-ItalicMT"/>
                <w:iCs/>
                <w:sz w:val="20"/>
                <w:szCs w:val="20"/>
              </w:rPr>
            </w:pPr>
            <w:r w:rsidRPr="002D7FAB">
              <w:rPr>
                <w:rFonts w:ascii="TimesNewRomanPS-ItalicMT" w:hAnsi="TimesNewRomanPS-ItalicMT"/>
                <w:iCs/>
                <w:sz w:val="20"/>
                <w:szCs w:val="20"/>
              </w:rPr>
              <w:t>DOKUMENTS IR ELEKTRONISKI PARAKSTĪTS AR DROŠU ELEKTRONISKO PARAKSTU UN SATUR LAIKA ZĪMOGU</w:t>
            </w:r>
          </w:p>
          <w:p w:rsidR="00A339EF" w:rsidRPr="00A339EF" w:rsidP="00A339EF" w14:paraId="1F41798C" w14:textId="19217829">
            <w:pPr>
              <w:pStyle w:val="Footer"/>
              <w:jc w:val="right"/>
            </w:pPr>
            <w:r w:rsidRPr="00A339EF">
              <w:rPr>
                <w:bCs/>
              </w:rPr>
              <w:fldChar w:fldCharType="begin"/>
            </w:r>
            <w:r w:rsidRPr="00A339EF">
              <w:rPr>
                <w:bCs/>
              </w:rPr>
              <w:instrText xml:space="preserve"> PAGE </w:instrText>
            </w:r>
            <w:r w:rsidRPr="00A339EF">
              <w:rPr>
                <w:bCs/>
              </w:rPr>
              <w:fldChar w:fldCharType="separate"/>
            </w:r>
            <w:r w:rsidRPr="00A339EF">
              <w:rPr>
                <w:bCs/>
              </w:rPr>
              <w:t>3</w:t>
            </w:r>
            <w:r w:rsidRPr="00A339EF">
              <w:rPr>
                <w:bCs/>
              </w:rPr>
              <w:fldChar w:fldCharType="end"/>
            </w:r>
            <w:r w:rsidRPr="00A339EF">
              <w:t xml:space="preserve"> - </w:t>
            </w:r>
            <w:r w:rsidRPr="00A339EF">
              <w:rPr>
                <w:bCs/>
              </w:rPr>
              <w:fldChar w:fldCharType="begin"/>
            </w:r>
            <w:r w:rsidRPr="00A339EF">
              <w:rPr>
                <w:bCs/>
              </w:rPr>
              <w:instrText xml:space="preserve"> NUMPAGES  </w:instrText>
            </w:r>
            <w:r w:rsidRPr="00A339EF">
              <w:rPr>
                <w:bCs/>
              </w:rPr>
              <w:fldChar w:fldCharType="separate"/>
            </w:r>
            <w:r w:rsidRPr="00A339EF">
              <w:rPr>
                <w:bCs/>
              </w:rPr>
              <w:t>3</w:t>
            </w:r>
            <w:r w:rsidRPr="00A339EF">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72E" w:rsidRPr="000F072E" w:rsidP="000F072E" w14:paraId="0F53C769" w14:textId="766B3DC3">
    <w:pPr>
      <w:spacing w:after="0" w:line="240" w:lineRule="auto"/>
      <w:rPr>
        <w:rFonts w:ascii="TimesNewRomanPS-ItalicMT" w:hAnsi="TimesNewRomanPS-ItalicMT"/>
        <w:iCs/>
        <w:sz w:val="16"/>
        <w:szCs w:val="16"/>
      </w:rPr>
    </w:pPr>
    <w:r>
      <w:rPr>
        <w:rFonts w:ascii="TimesNewRomanPS-ItalicMT" w:hAnsi="TimesNewRomanPS-ItalicMT"/>
        <w:iCs/>
        <w:sz w:val="16"/>
        <w:szCs w:val="16"/>
      </w:rPr>
      <w:t>AMPav_300120_MK</w:t>
    </w:r>
  </w:p>
  <w:p w:rsidR="000F072E" w:rsidP="000F072E" w14:paraId="6BBBE5E0" w14:textId="77777777">
    <w:pPr>
      <w:spacing w:after="0" w:line="240" w:lineRule="auto"/>
      <w:rPr>
        <w:rFonts w:ascii="TimesNewRomanPS-ItalicMT" w:hAnsi="TimesNewRomanPS-ItalicMT"/>
        <w:iCs/>
        <w:sz w:val="20"/>
        <w:szCs w:val="20"/>
      </w:rPr>
    </w:pPr>
  </w:p>
  <w:p w:rsidR="003D6612" w:rsidRPr="00A339EF" w:rsidP="00A339EF" w14:paraId="1F417992" w14:textId="3E6DA4B0">
    <w:pPr>
      <w:spacing w:after="0" w:line="240" w:lineRule="auto"/>
      <w:jc w:val="center"/>
      <w:rPr>
        <w:rFonts w:ascii="TimesNewRomanPS-ItalicMT" w:hAnsi="TimesNewRomanPS-ItalicMT"/>
        <w:iCs/>
        <w:sz w:val="20"/>
        <w:szCs w:val="20"/>
      </w:rPr>
    </w:pPr>
    <w:r w:rsidRPr="002D7FAB">
      <w:rPr>
        <w:rFonts w:ascii="TimesNewRomanPS-ItalicMT" w:hAnsi="TimesNewRomanPS-ItalicMT"/>
        <w:iCs/>
        <w:sz w:val="20"/>
        <w:szCs w:val="20"/>
      </w:rPr>
      <w:t>DOKUMENTS IR ELEKTRONISKI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AF3" w:rsidRPr="008669E5" w:rsidP="000473E9" w14:paraId="1F41798D" w14:textId="77777777">
    <w:pPr>
      <w:spacing w:before="2520" w:after="120"/>
    </w:pPr>
    <w:r w:rsidRPr="008669E5">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1973580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40B4" w:rsidRPr="008669E5" w:rsidP="009A40B4"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033F4">
                            <w:rPr>
                              <w:rFonts w:eastAsia="Times New Roman"/>
                              <w:color w:val="231F20"/>
                              <w:sz w:val="17"/>
                              <w:szCs w:val="17"/>
                            </w:rPr>
                            <w:t>emāra iela 10/12, Rīga, LV-1473;</w:t>
                          </w:r>
                          <w:r w:rsidRPr="008669E5">
                            <w:rPr>
                              <w:rFonts w:eastAsia="Times New Roman"/>
                              <w:color w:val="231F20"/>
                              <w:sz w:val="17"/>
                              <w:szCs w:val="17"/>
                            </w:rPr>
                            <w:t xml:space="preserve"> tālr</w:t>
                          </w:r>
                          <w:r w:rsidR="004033F4">
                            <w:rPr>
                              <w:rFonts w:eastAsia="Times New Roman"/>
                              <w:color w:val="231F20"/>
                              <w:sz w:val="17"/>
                              <w:szCs w:val="17"/>
                            </w:rPr>
                            <w:t>.: 67210124;</w:t>
                          </w:r>
                          <w:r w:rsidRPr="008669E5">
                            <w:rPr>
                              <w:rFonts w:eastAsia="Times New Roman"/>
                              <w:color w:val="231F20"/>
                              <w:sz w:val="17"/>
                              <w:szCs w:val="17"/>
                            </w:rPr>
                            <w:t xml:space="preserve"> fakss</w:t>
                          </w:r>
                          <w:r w:rsidR="004033F4">
                            <w:rPr>
                              <w:rFonts w:eastAsia="Times New Roman"/>
                              <w:color w:val="231F20"/>
                              <w:sz w:val="17"/>
                              <w:szCs w:val="17"/>
                            </w:rPr>
                            <w:t>: 67212307;</w:t>
                          </w:r>
                          <w:r w:rsidRPr="008669E5">
                            <w:rPr>
                              <w:rFonts w:eastAsia="Times New Roman"/>
                              <w:color w:val="231F20"/>
                              <w:sz w:val="17"/>
                              <w:szCs w:val="17"/>
                            </w:rPr>
                            <w:t xml:space="preserve"> e-pasts</w:t>
                          </w:r>
                          <w:r w:rsidR="004033F4">
                            <w:rPr>
                              <w:rFonts w:eastAsia="Times New Roman"/>
                              <w:color w:val="231F20"/>
                              <w:sz w:val="17"/>
                              <w:szCs w:val="17"/>
                            </w:rPr>
                            <w:t>:</w:t>
                          </w:r>
                          <w:r w:rsidRPr="008669E5">
                            <w:rPr>
                              <w:rFonts w:eastAsia="Times New Roman"/>
                              <w:color w:val="231F20"/>
                              <w:sz w:val="17"/>
                              <w:szCs w:val="17"/>
                            </w:rPr>
                            <w:t xml:space="preserve"> kanceleja@mod.gov.lv</w:t>
                          </w:r>
                          <w:r w:rsidR="004033F4">
                            <w:rPr>
                              <w:rFonts w:eastAsia="Times New Roman"/>
                              <w:color w:val="231F20"/>
                              <w:sz w:val="17"/>
                              <w:szCs w:val="17"/>
                            </w:rPr>
                            <w:t>;</w:t>
                          </w:r>
                          <w:r w:rsidRPr="008669E5">
                            <w:rPr>
                              <w:rFonts w:eastAsia="Times New Roman"/>
                              <w:color w:val="231F20"/>
                              <w:sz w:val="17"/>
                              <w:szCs w:val="17"/>
                            </w:rPr>
                            <w:t xml:space="preserve"> www.mod.gov.lv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5.4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9A40B4" w:rsidRPr="008669E5" w:rsidP="009A40B4" w14:paraId="1F417999" w14:textId="77777777">
                    <w:pPr>
                      <w:spacing w:after="0" w:line="194" w:lineRule="exact"/>
                      <w:ind w:left="20" w:right="-45"/>
                      <w:jc w:val="center"/>
                      <w:rPr>
                        <w:rFonts w:eastAsia="Times New Roman"/>
                        <w:sz w:val="17"/>
                        <w:szCs w:val="17"/>
                      </w:rPr>
                    </w:pPr>
                    <w:r w:rsidRPr="008669E5">
                      <w:rPr>
                        <w:rFonts w:eastAsia="Times New Roman"/>
                        <w:color w:val="231F20"/>
                        <w:sz w:val="17"/>
                        <w:szCs w:val="17"/>
                      </w:rPr>
                      <w:t>K. Vald</w:t>
                    </w:r>
                    <w:r w:rsidR="004033F4">
                      <w:rPr>
                        <w:rFonts w:eastAsia="Times New Roman"/>
                        <w:color w:val="231F20"/>
                        <w:sz w:val="17"/>
                        <w:szCs w:val="17"/>
                      </w:rPr>
                      <w:t>emāra iela 10/12, Rīga, LV-1473;</w:t>
                    </w:r>
                    <w:r w:rsidRPr="008669E5">
                      <w:rPr>
                        <w:rFonts w:eastAsia="Times New Roman"/>
                        <w:color w:val="231F20"/>
                        <w:sz w:val="17"/>
                        <w:szCs w:val="17"/>
                      </w:rPr>
                      <w:t xml:space="preserve"> tālr</w:t>
                    </w:r>
                    <w:r w:rsidR="004033F4">
                      <w:rPr>
                        <w:rFonts w:eastAsia="Times New Roman"/>
                        <w:color w:val="231F20"/>
                        <w:sz w:val="17"/>
                        <w:szCs w:val="17"/>
                      </w:rPr>
                      <w:t>.: 67210124;</w:t>
                    </w:r>
                    <w:r w:rsidRPr="008669E5">
                      <w:rPr>
                        <w:rFonts w:eastAsia="Times New Roman"/>
                        <w:color w:val="231F20"/>
                        <w:sz w:val="17"/>
                        <w:szCs w:val="17"/>
                      </w:rPr>
                      <w:t xml:space="preserve"> fakss</w:t>
                    </w:r>
                    <w:r w:rsidR="004033F4">
                      <w:rPr>
                        <w:rFonts w:eastAsia="Times New Roman"/>
                        <w:color w:val="231F20"/>
                        <w:sz w:val="17"/>
                        <w:szCs w:val="17"/>
                      </w:rPr>
                      <w:t>: 67212307;</w:t>
                    </w:r>
                    <w:r w:rsidRPr="008669E5">
                      <w:rPr>
                        <w:rFonts w:eastAsia="Times New Roman"/>
                        <w:color w:val="231F20"/>
                        <w:sz w:val="17"/>
                        <w:szCs w:val="17"/>
                      </w:rPr>
                      <w:t xml:space="preserve"> e-pasts</w:t>
                    </w:r>
                    <w:r w:rsidR="004033F4">
                      <w:rPr>
                        <w:rFonts w:eastAsia="Times New Roman"/>
                        <w:color w:val="231F20"/>
                        <w:sz w:val="17"/>
                        <w:szCs w:val="17"/>
                      </w:rPr>
                      <w:t>:</w:t>
                    </w:r>
                    <w:r w:rsidRPr="008669E5">
                      <w:rPr>
                        <w:rFonts w:eastAsia="Times New Roman"/>
                        <w:color w:val="231F20"/>
                        <w:sz w:val="17"/>
                        <w:szCs w:val="17"/>
                      </w:rPr>
                      <w:t xml:space="preserve"> kanceleja@mod.gov.lv</w:t>
                    </w:r>
                    <w:r w:rsidR="004033F4">
                      <w:rPr>
                        <w:rFonts w:eastAsia="Times New Roman"/>
                        <w:color w:val="231F20"/>
                        <w:sz w:val="17"/>
                        <w:szCs w:val="17"/>
                      </w:rPr>
                      <w:t>;</w:t>
                    </w:r>
                    <w:r w:rsidRPr="008669E5">
                      <w:rPr>
                        <w:rFonts w:eastAsia="Times New Roman"/>
                        <w:color w:val="231F20"/>
                        <w:sz w:val="17"/>
                        <w:szCs w:val="17"/>
                      </w:rPr>
                      <w:t xml:space="preserve"> www.mod.gov.lv</w:t>
                    </w:r>
                  </w:p>
                </w:txbxContent>
              </v:textbox>
            </v:shape>
          </w:pict>
        </mc:Fallback>
      </mc:AlternateContent>
    </w:r>
    <w:r w:rsidRPr="008669E5">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1826895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3.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Pr="008669E5">
      <w:rPr>
        <w:noProof/>
      </w:rPr>
      <w:drawing>
        <wp:anchor distT="0" distB="0" distL="114300" distR="114300" simplePos="0" relativeHeight="251658240" behindDoc="1" locked="0" layoutInCell="1" allowOverlap="1">
          <wp:simplePos x="0" y="0"/>
          <wp:positionH relativeFrom="page">
            <wp:posOffset>1117600</wp:posOffset>
          </wp:positionH>
          <wp:positionV relativeFrom="page">
            <wp:posOffset>590550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449125"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tbl>
    <w:tblPr>
      <w:tblW w:w="7796" w:type="dxa"/>
      <w:tblInd w:w="108" w:type="dxa"/>
      <w:tblLayout w:type="fixed"/>
      <w:tblLook w:val="0000"/>
    </w:tblPr>
    <w:tblGrid>
      <w:gridCol w:w="3969"/>
      <w:gridCol w:w="3827"/>
    </w:tblGrid>
    <w:tr w14:paraId="1F417990" w14:textId="77777777" w:rsidTr="00DD3458">
      <w:tblPrEx>
        <w:tblW w:w="7796" w:type="dxa"/>
        <w:tblInd w:w="108" w:type="dxa"/>
        <w:tblLayout w:type="fixed"/>
        <w:tblLook w:val="0000"/>
      </w:tblPrEx>
      <w:trPr>
        <w:cantSplit/>
      </w:trPr>
      <w:tc>
        <w:tcPr>
          <w:tcW w:w="3969" w:type="dxa"/>
        </w:tcPr>
        <w:p w:rsidR="000473E9" w:rsidRPr="00C56EDF" w:rsidP="007E69BC" w14:paraId="1F41798E" w14:textId="77777777">
          <w:pPr>
            <w:pStyle w:val="Header"/>
            <w:tabs>
              <w:tab w:val="clear" w:pos="4320"/>
            </w:tabs>
            <w:spacing w:before="120"/>
            <w:rPr>
              <w:color w:val="000000"/>
              <w:lang w:eastAsia="en-US"/>
            </w:rPr>
          </w:pPr>
          <w:r w:rsidRPr="00C56EDF">
            <w:rPr>
              <w:color w:val="000000"/>
              <w:lang w:eastAsia="en-US"/>
            </w:rPr>
            <w:t>Rīgā,</w:t>
          </w:r>
          <w:r w:rsidR="007E69BC">
            <w:rPr>
              <w:color w:val="000000"/>
              <w:lang w:eastAsia="en-US"/>
            </w:rPr>
            <w:t xml:space="preserve"> </w:t>
          </w:r>
          <w:r w:rsidR="007E69BC">
            <w:rPr>
              <w:noProof/>
              <w:color w:val="000000"/>
              <w:lang w:eastAsia="en-US"/>
            </w:rPr>
            <w:t>04.02.2020</w:t>
          </w:r>
          <w:r w:rsidRPr="00437554" w:rsidR="00437554">
            <w:rPr>
              <w:color w:val="000000"/>
              <w:lang w:eastAsia="en-US"/>
            </w:rPr>
            <w:t>.</w:t>
          </w:r>
        </w:p>
      </w:tc>
      <w:tc>
        <w:tcPr>
          <w:tcW w:w="3827" w:type="dxa"/>
        </w:tcPr>
        <w:p w:rsidR="000473E9" w:rsidRPr="0099125D" w:rsidP="00DD3458" w14:paraId="1F41798F" w14:textId="77777777">
          <w:pPr>
            <w:pStyle w:val="Header"/>
            <w:tabs>
              <w:tab w:val="clear" w:pos="4320"/>
            </w:tabs>
            <w:spacing w:before="120"/>
            <w:rPr>
              <w:color w:val="000000"/>
              <w:lang w:val="en-US" w:eastAsia="en-US"/>
            </w:rPr>
          </w:pPr>
          <w:r>
            <w:rPr>
              <w:color w:val="000000"/>
              <w:lang w:val="en-US" w:eastAsia="en-US"/>
            </w:rPr>
            <w:t xml:space="preserve">Nr. </w:t>
          </w:r>
          <w:r>
            <w:rPr>
              <w:noProof/>
              <w:color w:val="000000"/>
              <w:lang w:val="en-US" w:eastAsia="en-US"/>
            </w:rPr>
            <w:t>MV-N/262</w:t>
          </w:r>
        </w:p>
      </w:tc>
    </w:tr>
  </w:tbl>
  <w:p w:rsidR="008D4AF3" w:rsidRPr="008669E5" w:rsidP="008D4AF3" w14:paraId="1F417991"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01"/>
    <w:rsid w:val="00006384"/>
    <w:rsid w:val="0002064A"/>
    <w:rsid w:val="00030349"/>
    <w:rsid w:val="000473E9"/>
    <w:rsid w:val="000803E9"/>
    <w:rsid w:val="000B5336"/>
    <w:rsid w:val="000C6EB8"/>
    <w:rsid w:val="000F072E"/>
    <w:rsid w:val="00124173"/>
    <w:rsid w:val="001268C6"/>
    <w:rsid w:val="001915A8"/>
    <w:rsid w:val="001C02FA"/>
    <w:rsid w:val="001D06AC"/>
    <w:rsid w:val="001D79E4"/>
    <w:rsid w:val="00211FAC"/>
    <w:rsid w:val="00250CD7"/>
    <w:rsid w:val="00265D4A"/>
    <w:rsid w:val="00275B9E"/>
    <w:rsid w:val="00290B9D"/>
    <w:rsid w:val="002B3077"/>
    <w:rsid w:val="002B3604"/>
    <w:rsid w:val="002D31A4"/>
    <w:rsid w:val="002D7FAB"/>
    <w:rsid w:val="002E1474"/>
    <w:rsid w:val="002E5B36"/>
    <w:rsid w:val="002E75AE"/>
    <w:rsid w:val="00330D43"/>
    <w:rsid w:val="003D6612"/>
    <w:rsid w:val="004033F4"/>
    <w:rsid w:val="00437554"/>
    <w:rsid w:val="004B29B1"/>
    <w:rsid w:val="004C3689"/>
    <w:rsid w:val="004C45ED"/>
    <w:rsid w:val="004F08C0"/>
    <w:rsid w:val="005073A5"/>
    <w:rsid w:val="005315A7"/>
    <w:rsid w:val="00535564"/>
    <w:rsid w:val="00562E7F"/>
    <w:rsid w:val="005B495A"/>
    <w:rsid w:val="00636739"/>
    <w:rsid w:val="0064477B"/>
    <w:rsid w:val="00663C3A"/>
    <w:rsid w:val="00685107"/>
    <w:rsid w:val="006C1639"/>
    <w:rsid w:val="006C787C"/>
    <w:rsid w:val="00760DE7"/>
    <w:rsid w:val="007B3BA5"/>
    <w:rsid w:val="007B48EC"/>
    <w:rsid w:val="007B7238"/>
    <w:rsid w:val="007E4D1F"/>
    <w:rsid w:val="007E69BC"/>
    <w:rsid w:val="00815277"/>
    <w:rsid w:val="00831C01"/>
    <w:rsid w:val="008669E5"/>
    <w:rsid w:val="00876C21"/>
    <w:rsid w:val="008D4AF3"/>
    <w:rsid w:val="008F1C91"/>
    <w:rsid w:val="00954D5A"/>
    <w:rsid w:val="0099125D"/>
    <w:rsid w:val="009A40B4"/>
    <w:rsid w:val="00A03A13"/>
    <w:rsid w:val="00A339EF"/>
    <w:rsid w:val="00A650A4"/>
    <w:rsid w:val="00A844DB"/>
    <w:rsid w:val="00AD76C6"/>
    <w:rsid w:val="00AF0E90"/>
    <w:rsid w:val="00B10D3E"/>
    <w:rsid w:val="00B85566"/>
    <w:rsid w:val="00BB112A"/>
    <w:rsid w:val="00C17D36"/>
    <w:rsid w:val="00C47F57"/>
    <w:rsid w:val="00C56EDF"/>
    <w:rsid w:val="00C732CE"/>
    <w:rsid w:val="00CA407F"/>
    <w:rsid w:val="00CC2180"/>
    <w:rsid w:val="00D21FA6"/>
    <w:rsid w:val="00D53AC1"/>
    <w:rsid w:val="00D55B4B"/>
    <w:rsid w:val="00D82F0A"/>
    <w:rsid w:val="00DD3458"/>
    <w:rsid w:val="00E276FD"/>
    <w:rsid w:val="00E365CE"/>
    <w:rsid w:val="00E86AA2"/>
    <w:rsid w:val="00E8789E"/>
    <w:rsid w:val="00EA106D"/>
    <w:rsid w:val="00EF676E"/>
    <w:rsid w:val="00F0003C"/>
    <w:rsid w:val="00F25DA3"/>
    <w:rsid w:val="00F60586"/>
    <w:rsid w:val="00F80334"/>
    <w:rsid w:val="00FB2E50"/>
    <w:rsid w:val="00FF0EE8"/>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D82B2C58-274C-49A3-A4AD-DD2AF398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0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2460</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Inese Matisane</cp:lastModifiedBy>
  <cp:revision>12</cp:revision>
  <cp:lastPrinted>2014-12-29T13:45:00Z</cp:lastPrinted>
  <dcterms:created xsi:type="dcterms:W3CDTF">2017-10-20T13:03:00Z</dcterms:created>
  <dcterms:modified xsi:type="dcterms:W3CDTF">2020-01-30T13:35:00Z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