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3DE00" w14:textId="113B6B08" w:rsidR="00310924" w:rsidRPr="00583CBA" w:rsidRDefault="00032471" w:rsidP="00B043DE">
      <w:pPr>
        <w:shd w:val="clear" w:color="auto" w:fill="FFFFFF"/>
        <w:contextualSpacing/>
        <w:jc w:val="center"/>
        <w:rPr>
          <w:b/>
          <w:sz w:val="26"/>
          <w:lang w:val="lv-LV"/>
        </w:rPr>
      </w:pPr>
      <w:bookmarkStart w:id="0" w:name="OLE_LINK3"/>
      <w:bookmarkStart w:id="1" w:name="OLE_LINK1"/>
      <w:bookmarkStart w:id="2" w:name="OLE_LINK2"/>
      <w:bookmarkStart w:id="3" w:name="_GoBack"/>
      <w:bookmarkEnd w:id="3"/>
      <w:r w:rsidRPr="00583CBA">
        <w:rPr>
          <w:b/>
          <w:sz w:val="26"/>
          <w:szCs w:val="26"/>
          <w:lang w:val="lv-LV"/>
        </w:rPr>
        <w:t xml:space="preserve">Ministru kabineta noteikumu projekta </w:t>
      </w:r>
      <w:r w:rsidR="003D3CA2" w:rsidRPr="00583CBA">
        <w:rPr>
          <w:b/>
          <w:bCs/>
          <w:sz w:val="26"/>
          <w:szCs w:val="26"/>
          <w:lang w:val="lv-LV"/>
        </w:rPr>
        <w:t>“</w:t>
      </w:r>
      <w:r w:rsidR="00930FB4" w:rsidRPr="00930FB4">
        <w:rPr>
          <w:b/>
          <w:sz w:val="26"/>
          <w:lang w:val="lv-LV"/>
        </w:rPr>
        <w:t>Grozījumi Ministru kabineta 2017.</w:t>
      </w:r>
      <w:r w:rsidR="00F5245C">
        <w:rPr>
          <w:b/>
          <w:sz w:val="26"/>
          <w:lang w:val="lv-LV"/>
        </w:rPr>
        <w:t> </w:t>
      </w:r>
      <w:r w:rsidR="00930FB4" w:rsidRPr="00930FB4">
        <w:rPr>
          <w:b/>
          <w:sz w:val="26"/>
          <w:lang w:val="lv-LV"/>
        </w:rPr>
        <w:t>gada 5.</w:t>
      </w:r>
      <w:r w:rsidR="00F5245C">
        <w:rPr>
          <w:b/>
          <w:sz w:val="26"/>
          <w:lang w:val="lv-LV"/>
        </w:rPr>
        <w:t> </w:t>
      </w:r>
      <w:r w:rsidR="00930FB4" w:rsidRPr="00930FB4">
        <w:rPr>
          <w:b/>
          <w:sz w:val="26"/>
          <w:lang w:val="lv-LV"/>
        </w:rPr>
        <w:t>septembra noteikumos Nr.</w:t>
      </w:r>
      <w:r w:rsidR="00F5245C">
        <w:rPr>
          <w:b/>
          <w:sz w:val="26"/>
          <w:lang w:val="lv-LV"/>
        </w:rPr>
        <w:t> </w:t>
      </w:r>
      <w:r w:rsidR="00930FB4" w:rsidRPr="00930FB4">
        <w:rPr>
          <w:b/>
          <w:sz w:val="26"/>
          <w:lang w:val="lv-LV"/>
        </w:rPr>
        <w:t>537 "Noteikumi par portfeļgarantijām sīko (mikro), mazo un vidējo komersantu kreditēšanas veicināšanai</w:t>
      </w:r>
      <w:r w:rsidR="000A3654" w:rsidRPr="000A3654">
        <w:rPr>
          <w:b/>
          <w:sz w:val="26"/>
          <w:lang w:val="lv-LV"/>
        </w:rPr>
        <w:t>”</w:t>
      </w:r>
      <w:r w:rsidRPr="00583CBA">
        <w:rPr>
          <w:b/>
          <w:sz w:val="26"/>
          <w:szCs w:val="26"/>
          <w:lang w:val="lv-LV"/>
        </w:rPr>
        <w:t>”</w:t>
      </w:r>
      <w:r w:rsidR="003C585E">
        <w:rPr>
          <w:b/>
          <w:sz w:val="26"/>
          <w:szCs w:val="26"/>
          <w:lang w:val="lv-LV"/>
        </w:rPr>
        <w:t xml:space="preserve"> </w:t>
      </w:r>
      <w:r w:rsidRPr="00583CBA">
        <w:rPr>
          <w:b/>
          <w:sz w:val="26"/>
          <w:szCs w:val="26"/>
          <w:lang w:val="lv-LV"/>
        </w:rPr>
        <w:t>sākotnējās ietekmes novērtējuma ziņojums (anotācija)</w:t>
      </w:r>
    </w:p>
    <w:p w14:paraId="286653D2" w14:textId="77777777" w:rsidR="00032471" w:rsidRPr="00583CBA" w:rsidRDefault="00032471" w:rsidP="00B043DE">
      <w:pPr>
        <w:contextualSpacing/>
        <w:rPr>
          <w:b/>
          <w:sz w:val="26"/>
          <w:szCs w:val="26"/>
          <w:lang w:val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6"/>
        <w:gridCol w:w="6109"/>
      </w:tblGrid>
      <w:tr w:rsidR="00310924" w:rsidRPr="00583CBA" w14:paraId="06A3987D" w14:textId="77777777" w:rsidTr="00BB0042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bookmarkEnd w:id="1"/>
          <w:bookmarkEnd w:id="2"/>
          <w:p w14:paraId="0723E20C" w14:textId="77777777" w:rsidR="00310924" w:rsidRPr="00583CBA" w:rsidRDefault="00310924" w:rsidP="006D34D6">
            <w:pPr>
              <w:contextualSpacing/>
              <w:jc w:val="center"/>
              <w:rPr>
                <w:rFonts w:eastAsia="Times New Roman"/>
                <w:b/>
                <w:bCs/>
                <w:iCs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b/>
                <w:bCs/>
                <w:iCs/>
                <w:sz w:val="26"/>
                <w:szCs w:val="26"/>
                <w:lang w:val="lv-LV" w:eastAsia="lv-LV"/>
              </w:rPr>
              <w:t>Tiesību akta projekta anotācijas kopsavilkums</w:t>
            </w:r>
          </w:p>
        </w:tc>
      </w:tr>
      <w:tr w:rsidR="00310924" w:rsidRPr="00030D4A" w14:paraId="5F92C921" w14:textId="77777777" w:rsidTr="00BB0042">
        <w:trPr>
          <w:tblCellSpacing w:w="15" w:type="dxa"/>
        </w:trPr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DBABE" w14:textId="77777777" w:rsidR="00310924" w:rsidRPr="00583CBA" w:rsidRDefault="00310924" w:rsidP="00376F40">
            <w:pPr>
              <w:contextualSpacing/>
              <w:jc w:val="both"/>
              <w:rPr>
                <w:rFonts w:eastAsia="Times New Roman"/>
                <w:iCs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Mērķis, risinājums un projekta spēkā stāšanās laiks (500 zīmes bez atstarpēm)</w:t>
            </w:r>
          </w:p>
        </w:tc>
        <w:tc>
          <w:tcPr>
            <w:tcW w:w="3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E6E14" w14:textId="77777777" w:rsidR="0039106A" w:rsidRDefault="0039106A" w:rsidP="0039106A">
            <w:pPr>
              <w:contextualSpacing/>
              <w:jc w:val="both"/>
              <w:rPr>
                <w:rFonts w:eastAsia="Times New Roman"/>
                <w:iCs/>
                <w:sz w:val="26"/>
                <w:szCs w:val="26"/>
                <w:lang w:val="lv-LV"/>
              </w:rPr>
            </w:pPr>
            <w:r>
              <w:rPr>
                <w:rFonts w:eastAsia="Times New Roman"/>
                <w:iCs/>
                <w:sz w:val="26"/>
                <w:szCs w:val="26"/>
                <w:lang w:val="lv-LV"/>
              </w:rPr>
              <w:t>Ministru kabineta noteikuma</w:t>
            </w:r>
            <w:r w:rsidRPr="00583CBA">
              <w:rPr>
                <w:rFonts w:eastAsia="Times New Roman"/>
                <w:iCs/>
                <w:sz w:val="26"/>
                <w:szCs w:val="26"/>
                <w:lang w:val="lv-LV"/>
              </w:rPr>
              <w:t xml:space="preserve"> projekts paredz </w:t>
            </w:r>
            <w:r>
              <w:rPr>
                <w:rFonts w:eastAsia="Times New Roman"/>
                <w:iCs/>
                <w:sz w:val="26"/>
                <w:szCs w:val="26"/>
                <w:lang w:val="lv-LV"/>
              </w:rPr>
              <w:t>grozīt</w:t>
            </w:r>
            <w:r w:rsidRPr="00C1251A">
              <w:rPr>
                <w:lang w:val="lv-LV"/>
              </w:rPr>
              <w:t xml:space="preserve"> </w:t>
            </w:r>
            <w:r w:rsidRPr="000A3654">
              <w:rPr>
                <w:rFonts w:eastAsia="Times New Roman"/>
                <w:iCs/>
                <w:sz w:val="26"/>
                <w:szCs w:val="26"/>
                <w:lang w:val="lv-LV"/>
              </w:rPr>
              <w:t xml:space="preserve"> Ministru kabineta </w:t>
            </w:r>
            <w:r w:rsidRPr="00930FB4">
              <w:rPr>
                <w:rFonts w:eastAsia="Times New Roman"/>
                <w:iCs/>
                <w:sz w:val="26"/>
                <w:szCs w:val="26"/>
                <w:lang w:val="lv-LV"/>
              </w:rPr>
              <w:t>2017.</w:t>
            </w:r>
            <w:r>
              <w:rPr>
                <w:rFonts w:eastAsia="Times New Roman"/>
                <w:iCs/>
                <w:sz w:val="26"/>
                <w:szCs w:val="26"/>
                <w:lang w:val="lv-LV"/>
              </w:rPr>
              <w:t> </w:t>
            </w:r>
            <w:r w:rsidRPr="00930FB4">
              <w:rPr>
                <w:rFonts w:eastAsia="Times New Roman"/>
                <w:iCs/>
                <w:sz w:val="26"/>
                <w:szCs w:val="26"/>
                <w:lang w:val="lv-LV"/>
              </w:rPr>
              <w:t>gada 5.</w:t>
            </w:r>
            <w:r>
              <w:rPr>
                <w:rFonts w:eastAsia="Times New Roman"/>
                <w:iCs/>
                <w:sz w:val="26"/>
                <w:szCs w:val="26"/>
                <w:lang w:val="lv-LV"/>
              </w:rPr>
              <w:t> </w:t>
            </w:r>
            <w:r w:rsidRPr="00930FB4">
              <w:rPr>
                <w:rFonts w:eastAsia="Times New Roman"/>
                <w:iCs/>
                <w:sz w:val="26"/>
                <w:szCs w:val="26"/>
                <w:lang w:val="lv-LV"/>
              </w:rPr>
              <w:t>septembra noteikum</w:t>
            </w:r>
            <w:r>
              <w:rPr>
                <w:rFonts w:eastAsia="Times New Roman"/>
                <w:iCs/>
                <w:sz w:val="26"/>
                <w:szCs w:val="26"/>
                <w:lang w:val="lv-LV"/>
              </w:rPr>
              <w:t>us</w:t>
            </w:r>
            <w:r w:rsidRPr="00930FB4">
              <w:rPr>
                <w:rFonts w:eastAsia="Times New Roman"/>
                <w:iCs/>
                <w:sz w:val="26"/>
                <w:szCs w:val="26"/>
                <w:lang w:val="lv-LV"/>
              </w:rPr>
              <w:t xml:space="preserve"> Nr.</w:t>
            </w:r>
            <w:r>
              <w:rPr>
                <w:rFonts w:eastAsia="Times New Roman"/>
                <w:iCs/>
                <w:sz w:val="26"/>
                <w:szCs w:val="26"/>
                <w:lang w:val="lv-LV"/>
              </w:rPr>
              <w:t xml:space="preserve"> </w:t>
            </w:r>
            <w:r w:rsidRPr="00930FB4">
              <w:rPr>
                <w:rFonts w:eastAsia="Times New Roman"/>
                <w:iCs/>
                <w:sz w:val="26"/>
                <w:szCs w:val="26"/>
                <w:lang w:val="lv-LV"/>
              </w:rPr>
              <w:t xml:space="preserve">537 </w:t>
            </w:r>
            <w:r>
              <w:rPr>
                <w:rFonts w:eastAsia="Times New Roman"/>
                <w:iCs/>
                <w:sz w:val="26"/>
                <w:szCs w:val="26"/>
                <w:lang w:val="lv-LV"/>
              </w:rPr>
              <w:t>“</w:t>
            </w:r>
            <w:r w:rsidRPr="00930FB4">
              <w:rPr>
                <w:rFonts w:eastAsia="Times New Roman"/>
                <w:iCs/>
                <w:sz w:val="26"/>
                <w:szCs w:val="26"/>
                <w:lang w:val="lv-LV"/>
              </w:rPr>
              <w:t>Noteikumi par portfeļgarantijām sīko (mikro), mazo un vidējo komersantu kreditēšanas veicināšanai”</w:t>
            </w:r>
            <w:r>
              <w:rPr>
                <w:rFonts w:eastAsia="Times New Roman"/>
                <w:iCs/>
                <w:sz w:val="26"/>
                <w:szCs w:val="26"/>
                <w:lang w:val="lv-LV"/>
              </w:rPr>
              <w:t xml:space="preserve"> (turpmāk – MK  noteikumi Nr. 537), lai papildinātu ar nosacījumiem attiecībā uz portfeļgarantijām, kas paredzētas Covid-19 izraisītu seku mazināšanai saimnieciskās darbības veicējiem.</w:t>
            </w:r>
          </w:p>
          <w:p w14:paraId="0891E1DE" w14:textId="5801E4AF" w:rsidR="00DD696D" w:rsidRPr="00583CBA" w:rsidRDefault="0039106A" w:rsidP="0039106A">
            <w:pPr>
              <w:contextualSpacing/>
              <w:jc w:val="both"/>
              <w:rPr>
                <w:rFonts w:eastAsia="Times New Roman"/>
                <w:iCs/>
                <w:sz w:val="26"/>
                <w:szCs w:val="26"/>
                <w:lang w:val="lv-LV" w:eastAsia="lv-LV"/>
              </w:rPr>
            </w:pPr>
            <w:r>
              <w:rPr>
                <w:rFonts w:eastAsia="Times New Roman"/>
                <w:iCs/>
                <w:sz w:val="26"/>
                <w:szCs w:val="26"/>
                <w:lang w:val="lv-LV" w:eastAsia="lv-LV"/>
              </w:rPr>
              <w:t>Ministru kabineta noteikumu projekts stājas spēkā pēc tā izsludināšanas oficiālajā izdevumā “Latvijas vēstnesis”.</w:t>
            </w:r>
          </w:p>
        </w:tc>
      </w:tr>
    </w:tbl>
    <w:p w14:paraId="6A8022D4" w14:textId="0FD7EE14" w:rsidR="00310924" w:rsidRPr="00583CBA" w:rsidRDefault="00310924" w:rsidP="00B043DE">
      <w:pPr>
        <w:tabs>
          <w:tab w:val="right" w:pos="9072"/>
        </w:tabs>
        <w:contextualSpacing/>
        <w:rPr>
          <w:sz w:val="26"/>
          <w:szCs w:val="26"/>
          <w:lang w:val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2558"/>
        <w:gridCol w:w="6160"/>
      </w:tblGrid>
      <w:tr w:rsidR="00844176" w:rsidRPr="00583CBA" w14:paraId="02364BB3" w14:textId="77777777" w:rsidTr="00434856">
        <w:trPr>
          <w:trHeight w:val="307"/>
        </w:trPr>
        <w:tc>
          <w:tcPr>
            <w:tcW w:w="912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E54FE2" w14:textId="77777777" w:rsidR="00844176" w:rsidRPr="00583CBA" w:rsidRDefault="00844176" w:rsidP="00B043DE">
            <w:pPr>
              <w:tabs>
                <w:tab w:val="left" w:pos="5888"/>
              </w:tabs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b/>
                <w:sz w:val="26"/>
                <w:lang w:val="lv-LV"/>
              </w:rPr>
              <w:t>I. Tiesību akta projekta izstrādes nepieciešamība</w:t>
            </w:r>
          </w:p>
        </w:tc>
      </w:tr>
      <w:tr w:rsidR="00844176" w:rsidRPr="00583CBA" w14:paraId="7F385C9A" w14:textId="77777777" w:rsidTr="00434856">
        <w:trPr>
          <w:trHeight w:val="40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02C726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>1.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EF4B2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>Pamatojums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DF1BBF" w14:textId="5D679A2D" w:rsidR="00B72365" w:rsidRPr="003C585E" w:rsidRDefault="00AE363F" w:rsidP="00B043DE">
            <w:pPr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583CBA">
              <w:rPr>
                <w:sz w:val="26"/>
                <w:szCs w:val="26"/>
                <w:lang w:val="lv-LV"/>
              </w:rPr>
              <w:t xml:space="preserve">Projekts sagatavots, lai samazinātu </w:t>
            </w:r>
            <w:r w:rsidRPr="0025654B">
              <w:rPr>
                <w:sz w:val="26"/>
                <w:szCs w:val="26"/>
                <w:lang w:val="lv-LV"/>
              </w:rPr>
              <w:t xml:space="preserve">koronavīrusa izraisītās slimības </w:t>
            </w:r>
            <w:r w:rsidRPr="00583CBA">
              <w:rPr>
                <w:sz w:val="26"/>
                <w:szCs w:val="26"/>
                <w:lang w:val="lv-LV"/>
              </w:rPr>
              <w:t xml:space="preserve">Covid-19 negatīvo ietekmi uz saimnieciskās darbības veicējiem, kuriem ir nepieciešams likviditātes atbalsts. </w:t>
            </w:r>
            <w:r w:rsidR="00930FB4" w:rsidRPr="00930FB4">
              <w:rPr>
                <w:rFonts w:eastAsia="Times New Roman"/>
                <w:iCs/>
                <w:sz w:val="26"/>
                <w:szCs w:val="26"/>
                <w:lang w:val="lv-LV"/>
              </w:rPr>
              <w:t>Projekts izstrādāts saskaņā ar Attīstības finanšu institūcijas likuma 12.panta ceturto daļu</w:t>
            </w:r>
          </w:p>
        </w:tc>
      </w:tr>
      <w:tr w:rsidR="00844176" w:rsidRPr="00030D4A" w14:paraId="62EDED08" w14:textId="77777777" w:rsidTr="00434856">
        <w:trPr>
          <w:trHeight w:val="46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4587A4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>2.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AD4671" w14:textId="044133EA" w:rsidR="00844176" w:rsidRPr="00583CBA" w:rsidRDefault="00844176" w:rsidP="00376F40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EFCFC8" w14:textId="516090ED" w:rsidR="000629ED" w:rsidRDefault="000629ED" w:rsidP="000629ED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Atbilstoši Ministru kabinetu 2019. gada 19 marta noteikumu Nr. 150 “Noteikumi par garantijām saimnieciskās darbības veicējiem, kuru darbību ietekmējusi Covid-19 izplatība” (turpmāk – MK noteikumi Nr. 150) 6.punktam ir paredzēts novirzīt 50 milj. </w:t>
            </w: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6"/>
                <w:szCs w:val="26"/>
              </w:rPr>
              <w:t>euro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 valsts budžeta finansējumu, lai mazinātu COVID-19 negatīvo ietekmi ekonomikā.</w:t>
            </w:r>
          </w:p>
          <w:p w14:paraId="1F838997" w14:textId="5DC3F47C" w:rsidR="00A11221" w:rsidRDefault="00F5245C" w:rsidP="00B043DE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MK noteikumi Nr. </w:t>
            </w:r>
            <w:r w:rsidR="00930FB4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150 paredz individuālās garantijas, kuras izskata un lēmumu pieņem sabiedrība Altum.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MK noteikumi Nr. </w:t>
            </w:r>
            <w:r w:rsidR="00930FB4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150 </w:t>
            </w:r>
            <w:r w:rsidR="00AE363F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tiks </w:t>
            </w:r>
            <w:r w:rsidR="00930FB4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ieviesti saskaņā ar </w:t>
            </w:r>
            <w:r w:rsidR="00AE363F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2020.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 </w:t>
            </w:r>
            <w:r w:rsidR="00AE363F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gada 23.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 </w:t>
            </w:r>
            <w:r w:rsidR="00AE363F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martā Komisijas notificēto individuālo garantiju sniegšanas mehānismu saskaņā ar lēmumu lietā Nr.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 </w:t>
            </w:r>
            <w:r w:rsidR="00AE363F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SA.56722 (2020/PN).</w:t>
            </w:r>
          </w:p>
          <w:p w14:paraId="280F8995" w14:textId="0A4F5911" w:rsidR="00A11221" w:rsidRDefault="00A11221" w:rsidP="00B043DE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Lai </w:t>
            </w:r>
            <w:r w:rsidR="0036549A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uzņēmumi pēc iespējas ātrāk saņemtu tiem nepieciešamo likviditātes atbalstu,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Ekonomikas ministrij</w:t>
            </w:r>
            <w:r w:rsidR="008A333B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a</w:t>
            </w:r>
            <w:r w:rsidR="00F5245C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(turpmāk – EM)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8A333B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piedāvā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darījumiem līdz 500 000 </w:t>
            </w:r>
            <w:r w:rsidRPr="00376F40">
              <w:rPr>
                <w:rFonts w:ascii="Times New Roman" w:eastAsia="Calibri" w:hAnsi="Times New Roman" w:cs="Times New Roman"/>
                <w:i/>
                <w:iCs/>
                <w:color w:val="auto"/>
                <w:sz w:val="26"/>
                <w:szCs w:val="26"/>
              </w:rPr>
              <w:t>euro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garantijas sniegt portfeļgarantijas instrumenta veidā</w:t>
            </w:r>
            <w:r w:rsidR="0036549A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, nodrošinot, ka pašas kredītiestādes nodrošina darījumu izvērtēšanu un iekļaušanu portfelī, ko sedz portfeļgarantija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.</w:t>
            </w:r>
          </w:p>
          <w:p w14:paraId="536864F1" w14:textId="516C38DA" w:rsidR="00A11221" w:rsidRDefault="00A11221" w:rsidP="00A11221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Kopš 2018.</w:t>
            </w:r>
            <w:r w:rsidR="00F5245C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 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gada </w:t>
            </w:r>
            <w:r w:rsidR="0036549A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vidus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sabiedrība Altum īsteno portfeļgarantiju programmu saskaņā ar </w:t>
            </w:r>
            <w:r w:rsidR="00F5245C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MK noteikumiem Nr. 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537. Sabiedrība Altum ir atlasīju</w:t>
            </w:r>
            <w:r w:rsidR="00F5245C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s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i un noslēgusi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lastRenderedPageBreak/>
              <w:t xml:space="preserve">sadarbības </w:t>
            </w:r>
            <w:r w:rsidRPr="004377C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līgumus ar pieciem sadarbības partneriem, kuri kopumā veido 96</w:t>
            </w:r>
            <w:r w:rsidR="00F5245C" w:rsidRPr="004377C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 </w:t>
            </w:r>
            <w:r w:rsidRPr="004377CE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% no sabiedrības Altum kopējā garantiju portfeļa komersantiem un lauksaimniekiem. Sadarbības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līgumi ir noslēgti ar </w:t>
            </w:r>
            <w:r w:rsidRPr="00A11221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SIA Unicredit Leasing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Pr="00A11221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AS Swedbank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, </w:t>
            </w:r>
            <w:r w:rsidRPr="00A11221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AS Luminor Banka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, AS Citadele banka un AS SEB banka. Kop</w:t>
            </w:r>
            <w:r w:rsidR="0036549A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u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mā līdz 2019.</w:t>
            </w:r>
            <w:r w:rsidR="00F5245C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 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gada 31.</w:t>
            </w:r>
            <w:r w:rsidR="00F5245C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 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decembrim </w:t>
            </w:r>
            <w:r w:rsidR="0036549A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šo </w:t>
            </w:r>
            <w:r w:rsidR="00825AF4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sadarbības</w:t>
            </w:r>
            <w:r w:rsidR="0036549A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līgumu ietvaros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veidā ir </w:t>
            </w:r>
            <w:r w:rsidR="005430F2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noslēgti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207 </w:t>
            </w:r>
            <w:r w:rsidR="005430F2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finanšu pakalpojumu līgumi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1</w:t>
            </w:r>
            <w:r w:rsidR="005430F2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2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,</w:t>
            </w:r>
            <w:r w:rsidR="005430F2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8 milj.</w:t>
            </w:r>
            <w:r w:rsidR="005430F2" w:rsidRPr="00F5245C">
              <w:rPr>
                <w:rFonts w:ascii="Times New Roman" w:eastAsia="Calibri" w:hAnsi="Times New Roman" w:cs="Times New Roman"/>
                <w:i/>
                <w:iCs/>
                <w:color w:val="auto"/>
                <w:sz w:val="26"/>
                <w:szCs w:val="26"/>
              </w:rPr>
              <w:t>euro</w:t>
            </w:r>
            <w:r w:rsidR="005430F2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apmērā (izsniegtas garantijas 10.3 milj.</w:t>
            </w:r>
            <w:r w:rsidR="005430F2" w:rsidRPr="00F5245C">
              <w:rPr>
                <w:rFonts w:ascii="Times New Roman" w:eastAsia="Calibri" w:hAnsi="Times New Roman" w:cs="Times New Roman"/>
                <w:i/>
                <w:iCs/>
                <w:color w:val="auto"/>
                <w:sz w:val="26"/>
                <w:szCs w:val="26"/>
              </w:rPr>
              <w:t>euro</w:t>
            </w:r>
            <w:r w:rsidR="005430F2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apmērā).</w:t>
            </w:r>
          </w:p>
          <w:p w14:paraId="2E41C6D1" w14:textId="77777777" w:rsidR="0037748E" w:rsidRDefault="0037748E" w:rsidP="0037748E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Lai risinātu Covid-19 negatīvo ietekmi uz tautsaimniecību un to veiktu efektīvākā veidā, EM rosina 25 miljonus </w:t>
            </w:r>
            <w:r>
              <w:rPr>
                <w:rFonts w:ascii="Times New Roman" w:eastAsia="Calibri" w:hAnsi="Times New Roman" w:cs="Times New Roman"/>
                <w:i/>
                <w:iCs/>
                <w:color w:val="auto"/>
                <w:sz w:val="26"/>
                <w:szCs w:val="26"/>
              </w:rPr>
              <w:t>euro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, kas paredzēti individuālo garantiju programmā  saskaņā ar MK noteikumiem Nr. 150 novirzīt portfeļgarantiju programmas īstenošanai Covid-19 izraisītu seku mazināšanai saimnieciskās darbības veicējiem. Portfeļgarantijas programmas pamatnosacījumi:</w:t>
            </w:r>
          </w:p>
          <w:p w14:paraId="39CE7B00" w14:textId="576EA6EB" w:rsidR="005430F2" w:rsidRDefault="005430F2" w:rsidP="005430F2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maksimālais finanšu pakal</w:t>
            </w:r>
            <w:r w:rsidR="00825AF4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p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ojums, ko sedz garantija, ir 500 000 </w:t>
            </w:r>
            <w:r w:rsidRPr="00F5245C">
              <w:rPr>
                <w:rFonts w:ascii="Times New Roman" w:eastAsia="Calibri" w:hAnsi="Times New Roman" w:cs="Times New Roman"/>
                <w:i/>
                <w:iCs/>
                <w:color w:val="auto"/>
                <w:sz w:val="26"/>
                <w:szCs w:val="26"/>
              </w:rPr>
              <w:t>euro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;</w:t>
            </w:r>
          </w:p>
          <w:p w14:paraId="761CD8E5" w14:textId="406EDF77" w:rsidR="005430F2" w:rsidRDefault="00825AF4" w:rsidP="005430F2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kredītiestādei</w:t>
            </w:r>
            <w:r w:rsidR="005430F2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ir jāsamazina aizdevumu procenta likme vismaz par 0</w:t>
            </w:r>
            <w:r w:rsidR="00F5245C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,</w:t>
            </w:r>
            <w:r w:rsidR="005430F2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3</w:t>
            </w:r>
            <w:r w:rsidR="00F5245C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 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%</w:t>
            </w:r>
            <w:r w:rsidR="005430F2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;</w:t>
            </w:r>
          </w:p>
          <w:p w14:paraId="2EB50DC2" w14:textId="66DB953A" w:rsidR="00930FB4" w:rsidRDefault="008A333B" w:rsidP="002C0AF2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portfeļgarantijas (publiskais finansējums) sedz līdz 20% zaudējumu no bankas izveidotā garantiju portfeļa.</w:t>
            </w:r>
            <w:r w:rsidR="00825AF4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5E23CD" w:rsidRPr="005E23CD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Ierobežoto garantijas summu aprēķina kā kredītiestādes aizdevumu portfeļa (maksimāli izmaksāto finanšu pakalpojumu summa), garantijas likmes</w:t>
            </w:r>
            <w:r w:rsidR="005E23CD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(50</w:t>
            </w:r>
            <w:r w:rsidR="00F5245C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 </w:t>
            </w:r>
            <w:r w:rsidR="005E23CD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%)</w:t>
            </w:r>
            <w:r w:rsidR="005E23CD" w:rsidRPr="005E23CD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un ierobežotās garantijas likmes reizinājumu</w:t>
            </w:r>
            <w:r w:rsidR="005E23CD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(20</w:t>
            </w:r>
            <w:r w:rsidR="00F5245C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 </w:t>
            </w:r>
            <w:r w:rsidR="005E23CD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%);</w:t>
            </w:r>
          </w:p>
          <w:p w14:paraId="6CD1F8FF" w14:textId="61BE2461" w:rsidR="001F5843" w:rsidRDefault="00825AF4" w:rsidP="002C0AF2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savukārt, darījuma līmenī </w:t>
            </w:r>
            <w:r w:rsidRPr="00825AF4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garantija sedz līdz 50</w:t>
            </w:r>
            <w:r w:rsidR="00F5245C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 </w:t>
            </w:r>
            <w:r w:rsidRPr="00825AF4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% no finanšu pakalpojuma pamatsummas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;</w:t>
            </w:r>
          </w:p>
          <w:p w14:paraId="2B00C5D5" w14:textId="3D24D882" w:rsidR="001F5843" w:rsidRDefault="005E23CD" w:rsidP="001F5843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garantija </w:t>
            </w:r>
            <w:r w:rsidR="00B3180F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var tikt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tiek sniegta gan par </w:t>
            </w:r>
            <w:r w:rsidR="00B3180F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jauniem finanšu pakalpojumiem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, gan par </w:t>
            </w:r>
            <w:r w:rsidR="00B3180F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esošiem finanšu pakalpojumiem;</w:t>
            </w:r>
          </w:p>
          <w:p w14:paraId="359314B0" w14:textId="7E931BBC" w:rsidR="001F5843" w:rsidRDefault="00B3180F" w:rsidP="00376F40">
            <w:pPr>
              <w:pStyle w:val="Default"/>
              <w:numPr>
                <w:ilvl w:val="0"/>
                <w:numId w:val="12"/>
              </w:numPr>
              <w:ind w:left="373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1F5843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ja </w:t>
            </w:r>
            <w:r w:rsidR="005E23CD" w:rsidRPr="001F5843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garantija</w:t>
            </w:r>
            <w:r w:rsidRPr="001F5843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tiek</w:t>
            </w:r>
            <w:r w:rsidR="005E23CD" w:rsidRPr="001F5843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sniegta par esošiem finanšu līzinga un investīciju aizdevumiem, </w:t>
            </w:r>
            <w:r w:rsidR="00D34B58" w:rsidRPr="00D34B5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kredītiestāde saimnieciskās darbības veicējam atliek pamatsummas maksājumus vismaz par trim mēnešiem un, ja nepieciešams, pagarina finanšu pakalpojumu līguma darbības termiņu</w:t>
            </w:r>
            <w:r w:rsidR="005E23CD" w:rsidRPr="001F5843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;</w:t>
            </w:r>
          </w:p>
          <w:p w14:paraId="3C50E5A1" w14:textId="0A36EAFE" w:rsidR="005E23CD" w:rsidRPr="001F5843" w:rsidRDefault="00B3180F" w:rsidP="00376F40">
            <w:pPr>
              <w:pStyle w:val="Default"/>
              <w:numPr>
                <w:ilvl w:val="0"/>
                <w:numId w:val="12"/>
              </w:numPr>
              <w:ind w:left="373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1F5843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ja garantija tiek sniegta par esošiem apgrozāmo līdzekļu aizdevumiem (t.sk. kredītlīnijas, overdrafti),</w:t>
            </w:r>
            <w:r w:rsidR="00D34B5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tad</w:t>
            </w:r>
            <w:r w:rsidR="00D34B58" w:rsidRPr="00D34B5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kredītiestāde saimnieciskās darbības veicējam atliek pamatsummas maksājumus vismaz par trim mēnešiem un, ja nepieciešams, pagarina finanšu pakalpojumu līguma darbības termiņu</w:t>
            </w:r>
            <w:r w:rsidRPr="001F5843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;</w:t>
            </w:r>
          </w:p>
          <w:p w14:paraId="35C2C11E" w14:textId="635B449D" w:rsidR="005E23CD" w:rsidRDefault="005E23CD" w:rsidP="00376F40">
            <w:pPr>
              <w:pStyle w:val="Default"/>
              <w:numPr>
                <w:ilvl w:val="0"/>
                <w:numId w:val="12"/>
              </w:numPr>
              <w:ind w:left="373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5E23CD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komersants ir ekonomiski dzīvotspējīgs, kā arī tiek pierādīts, ka konkrētā komersanta darbību ir ietekmējušas Covid-19 izplatības sekas un tās atstājušas ietekmi uz komersanta finansiālo stāvokli – </w:t>
            </w:r>
            <w:r w:rsidRPr="005E23CD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lastRenderedPageBreak/>
              <w:t>operatīvie finanšu dati uzrāda apgrozījuma kritumu, salīdzinot ar iepriekšējā gada attiecīgo periodu, vai pasliktinājušies likviditātes rādītāji, salīdzinot ar 2019.</w:t>
            </w:r>
            <w:r w:rsidR="00376F40">
              <w:t> </w:t>
            </w:r>
            <w:r w:rsidRPr="005E23CD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gada datiem;</w:t>
            </w:r>
          </w:p>
          <w:p w14:paraId="4702930C" w14:textId="27FAC6FA" w:rsidR="002A4213" w:rsidRDefault="002A4213" w:rsidP="00376F40">
            <w:pPr>
              <w:pStyle w:val="Default"/>
              <w:numPr>
                <w:ilvl w:val="0"/>
                <w:numId w:val="12"/>
              </w:numPr>
              <w:ind w:left="373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atbalsts tiek sniegts līdz 2020. gada 31. decembrim;</w:t>
            </w:r>
          </w:p>
          <w:p w14:paraId="6CAFDF8F" w14:textId="7E05E118" w:rsidR="00171B7B" w:rsidRDefault="00171B7B" w:rsidP="00376F40">
            <w:pPr>
              <w:pStyle w:val="Default"/>
              <w:numPr>
                <w:ilvl w:val="0"/>
                <w:numId w:val="12"/>
              </w:numPr>
              <w:ind w:left="373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atbalsts tiek sniegts kā </w:t>
            </w:r>
            <w:r w:rsidRPr="001F5843">
              <w:rPr>
                <w:rFonts w:ascii="Times New Roman" w:eastAsia="Calibri" w:hAnsi="Times New Roman" w:cs="Times New Roman"/>
                <w:i/>
                <w:iCs/>
                <w:color w:val="auto"/>
                <w:sz w:val="26"/>
                <w:szCs w:val="26"/>
              </w:rPr>
              <w:t>de minimis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atbalsts</w:t>
            </w:r>
            <w:r w:rsidR="00B3180F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.</w:t>
            </w:r>
          </w:p>
          <w:p w14:paraId="79B1DDCE" w14:textId="77777777" w:rsidR="001F5843" w:rsidRPr="005E23CD" w:rsidRDefault="001F5843" w:rsidP="005E23CD">
            <w:pPr>
              <w:pStyle w:val="Default"/>
              <w:ind w:left="60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  <w:p w14:paraId="29035B66" w14:textId="471E777D" w:rsidR="00E30F56" w:rsidRDefault="00171B7B" w:rsidP="00171B7B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Lai pēc iespējas ātrāk varētu uzsākt šīs programmas īstenošanu un ņemot vērā līdzšinējo pieredzi portfeļgarantiju programmā, sabiedrība Altum organizēs atsevišķu portfeļgarantiju pieteikumu atlasi, piešķirot proporcionāli pieejamo finansējumu potenciālajiem </w:t>
            </w:r>
            <w:r w:rsidR="00B3180F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sadarbības </w:t>
            </w: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partneriem. </w:t>
            </w:r>
          </w:p>
          <w:p w14:paraId="3F089BED" w14:textId="00784A60" w:rsidR="00007B22" w:rsidRDefault="00007B22" w:rsidP="00171B7B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007B22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Par plānoto finansējumu 25 000 000 euro apmērā plānots izsniegt garantijas </w:t>
            </w:r>
            <w:r w:rsidR="00030D4A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125</w:t>
            </w:r>
            <w:r w:rsidRPr="00007B22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milj.euro apmērā, tādējādi kredītiestādēm būtu iespējams atbalstīt komersantu finanšu pakalpojumus </w:t>
            </w:r>
            <w:r w:rsidR="00030D4A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aptuveni</w:t>
            </w:r>
            <w:r w:rsidRPr="00007B22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030D4A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3</w:t>
            </w:r>
            <w:r w:rsidRPr="00007B22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00 milj. euro apmērā.</w:t>
            </w:r>
          </w:p>
          <w:p w14:paraId="09F04E06" w14:textId="78AFDAB5" w:rsidR="00171B7B" w:rsidRPr="00641D59" w:rsidRDefault="002343B4" w:rsidP="00171B7B">
            <w:pPr>
              <w:pStyle w:val="Default"/>
              <w:jc w:val="both"/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Vienlaicīgi pastāv iespējamība, ka būs nepieciešams izskatīt jautājumu par papildus finansējuma piešķiršanu papildus portfeļgarantiju instrumenta nodrošināšanai plašākam un ilgstošākam nozaru atbalstam un turpmākai finansēšanas darījumu garantēšanai.</w:t>
            </w:r>
          </w:p>
        </w:tc>
      </w:tr>
      <w:tr w:rsidR="00844176" w:rsidRPr="00583CBA" w14:paraId="41041CF1" w14:textId="77777777" w:rsidTr="00434856">
        <w:trPr>
          <w:trHeight w:val="46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AB363A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lastRenderedPageBreak/>
              <w:t>3.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4C459C" w14:textId="2F738161" w:rsidR="00844176" w:rsidRPr="00583CBA" w:rsidRDefault="00557B17" w:rsidP="00AF489B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>Projekta izstrādē iesaistītās institūcijas un publiskas personas kapitālsabiedrības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1732C9" w14:textId="7419E41A" w:rsidR="00844176" w:rsidRPr="00583CBA" w:rsidRDefault="00CE0AC5" w:rsidP="00B043DE">
            <w:pPr>
              <w:ind w:left="-3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szCs w:val="26"/>
                <w:lang w:val="lv-LV"/>
              </w:rPr>
              <w:t>E</w:t>
            </w:r>
            <w:r w:rsidR="00547ACF" w:rsidRPr="00583CBA">
              <w:rPr>
                <w:sz w:val="26"/>
                <w:szCs w:val="26"/>
                <w:lang w:val="lv-LV"/>
              </w:rPr>
              <w:t>konomikas ministrija</w:t>
            </w:r>
            <w:r w:rsidRPr="00583CBA">
              <w:rPr>
                <w:sz w:val="26"/>
                <w:szCs w:val="26"/>
                <w:lang w:val="lv-LV"/>
              </w:rPr>
              <w:t xml:space="preserve">, </w:t>
            </w:r>
            <w:r w:rsidR="00547ACF" w:rsidRPr="00583CBA">
              <w:rPr>
                <w:sz w:val="26"/>
                <w:szCs w:val="26"/>
                <w:lang w:val="lv-LV"/>
              </w:rPr>
              <w:t>sabiedrība “Altum”</w:t>
            </w:r>
          </w:p>
        </w:tc>
      </w:tr>
      <w:tr w:rsidR="00844176" w:rsidRPr="00583CBA" w14:paraId="3C98D228" w14:textId="77777777" w:rsidTr="00434856"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D70DCF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>4.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39AA3F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>Cita informācija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4509E1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 xml:space="preserve">Nav </w:t>
            </w:r>
          </w:p>
        </w:tc>
      </w:tr>
    </w:tbl>
    <w:p w14:paraId="00447F19" w14:textId="3BFE4D51" w:rsidR="009A00EB" w:rsidRPr="00583CBA" w:rsidRDefault="009A00EB" w:rsidP="00B043DE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2702"/>
        <w:gridCol w:w="6157"/>
      </w:tblGrid>
      <w:tr w:rsidR="00844176" w:rsidRPr="00030D4A" w14:paraId="5271E387" w14:textId="77777777" w:rsidTr="003D3252">
        <w:trPr>
          <w:trHeight w:val="555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2511" w14:textId="2050B5AE" w:rsidR="00844176" w:rsidRPr="00583CBA" w:rsidRDefault="009A00EB" w:rsidP="00B043DE">
            <w:pPr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A76C0A" w:rsidRPr="00030D4A" w14:paraId="7F8630C6" w14:textId="77777777" w:rsidTr="00D51DD0">
        <w:trPr>
          <w:trHeight w:val="465"/>
        </w:trPr>
        <w:tc>
          <w:tcPr>
            <w:tcW w:w="270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CFEBF" w14:textId="77777777" w:rsidR="009A00EB" w:rsidRPr="00583CBA" w:rsidRDefault="009A00EB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05C526" w14:textId="77777777" w:rsidR="009A00EB" w:rsidRPr="00583CBA" w:rsidRDefault="009A00EB" w:rsidP="00AF489B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Sabiedrības mērķgrupas, kuras tiesiskais regulējums ietekmē vai varētu ietekmēt</w:t>
            </w:r>
          </w:p>
        </w:tc>
        <w:tc>
          <w:tcPr>
            <w:tcW w:w="6157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68FB87" w14:textId="27C427A1" w:rsidR="009A00EB" w:rsidRPr="00583CBA" w:rsidRDefault="009A00EB" w:rsidP="00B043DE">
            <w:pPr>
              <w:ind w:right="20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583CBA">
              <w:rPr>
                <w:sz w:val="26"/>
                <w:szCs w:val="26"/>
                <w:lang w:val="lv-LV"/>
              </w:rPr>
              <w:t>Latvijā reģistrēti saimnieciskās darbības veicēji, sabiedrība “Altum”.</w:t>
            </w:r>
          </w:p>
        </w:tc>
      </w:tr>
      <w:tr w:rsidR="00A76C0A" w:rsidRPr="00583CBA" w14:paraId="718E705D" w14:textId="77777777" w:rsidTr="00D51DD0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A07C0" w14:textId="77777777" w:rsidR="009A00EB" w:rsidRPr="00583CBA" w:rsidRDefault="009A00EB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83946" w14:textId="77777777" w:rsidR="009A00EB" w:rsidRPr="00583CBA" w:rsidRDefault="009A00EB" w:rsidP="00AF489B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18B01" w14:textId="16F63EC0" w:rsidR="009A00EB" w:rsidRPr="00583CBA" w:rsidRDefault="007061B6" w:rsidP="00B043DE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83CBA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</w:p>
        </w:tc>
      </w:tr>
      <w:tr w:rsidR="00A76C0A" w:rsidRPr="00583CBA" w14:paraId="6AF18C8D" w14:textId="77777777" w:rsidTr="00D51DD0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992C" w14:textId="77777777" w:rsidR="009A00EB" w:rsidRPr="00583CBA" w:rsidRDefault="009A00EB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F5EA5A" w14:textId="77777777" w:rsidR="009A00EB" w:rsidRPr="00583CBA" w:rsidRDefault="009A00EB" w:rsidP="00AF489B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Administratīvo izmaksu monetārs novērtējums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2C4F79" w14:textId="7FD21686" w:rsidR="009A00EB" w:rsidRPr="00583CBA" w:rsidRDefault="009A00EB" w:rsidP="00B043DE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83CBA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</w:p>
        </w:tc>
      </w:tr>
      <w:tr w:rsidR="00A76C0A" w:rsidRPr="00583CBA" w14:paraId="259E0982" w14:textId="77777777" w:rsidTr="00D51DD0">
        <w:trPr>
          <w:trHeight w:val="510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F4E2" w14:textId="77777777" w:rsidR="009A00EB" w:rsidRPr="00583CBA" w:rsidRDefault="009A00EB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45F16" w14:textId="77777777" w:rsidR="009A00EB" w:rsidRPr="00583CBA" w:rsidRDefault="009A00EB" w:rsidP="00AF489B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Atbilstības izmaksu monetārs novērtējums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0B8CA" w14:textId="39B71D86" w:rsidR="009A00EB" w:rsidRPr="00583CBA" w:rsidRDefault="009A00EB" w:rsidP="00B043DE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83CBA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</w:p>
        </w:tc>
      </w:tr>
      <w:tr w:rsidR="00A76C0A" w:rsidRPr="00583CBA" w14:paraId="14FCA979" w14:textId="77777777" w:rsidTr="00D51DD0">
        <w:trPr>
          <w:trHeight w:val="345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DF77E6" w14:textId="77777777" w:rsidR="009A00EB" w:rsidRPr="00583CBA" w:rsidRDefault="009A00EB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078AD2" w14:textId="77777777" w:rsidR="009A00EB" w:rsidRPr="00583CBA" w:rsidRDefault="009A00EB" w:rsidP="00AF489B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657313" w14:textId="77777777" w:rsidR="009A00EB" w:rsidRPr="00583CBA" w:rsidRDefault="009A00EB" w:rsidP="00B043DE">
            <w:pPr>
              <w:ind w:right="20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583CBA">
              <w:rPr>
                <w:sz w:val="26"/>
                <w:szCs w:val="26"/>
                <w:lang w:val="lv-LV"/>
              </w:rPr>
              <w:t>Nav</w:t>
            </w:r>
          </w:p>
        </w:tc>
      </w:tr>
    </w:tbl>
    <w:p w14:paraId="57D2014F" w14:textId="52BFA299" w:rsidR="00E0333C" w:rsidRDefault="00E0333C" w:rsidP="00B043DE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2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2"/>
        <w:gridCol w:w="1252"/>
        <w:gridCol w:w="1100"/>
        <w:gridCol w:w="892"/>
        <w:gridCol w:w="1100"/>
        <w:gridCol w:w="892"/>
        <w:gridCol w:w="1100"/>
        <w:gridCol w:w="1106"/>
      </w:tblGrid>
      <w:tr w:rsidR="00424F2E" w:rsidRPr="00030D4A" w14:paraId="5584467A" w14:textId="77777777" w:rsidTr="00267498">
        <w:trPr>
          <w:trHeight w:val="249"/>
        </w:trPr>
        <w:tc>
          <w:tcPr>
            <w:tcW w:w="9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CAC9" w14:textId="77777777" w:rsidR="00424F2E" w:rsidRPr="00530A2A" w:rsidRDefault="00424F2E" w:rsidP="00267498">
            <w:pPr>
              <w:contextualSpacing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530A2A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III. Tiesību akta projekta ietekme uz valsts budžetu un pašvaldību budžetiem</w:t>
            </w:r>
          </w:p>
        </w:tc>
      </w:tr>
      <w:tr w:rsidR="00424F2E" w:rsidRPr="00530A2A" w14:paraId="108C2BF2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6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09EC5" w14:textId="77777777" w:rsidR="00424F2E" w:rsidRPr="00530A2A" w:rsidRDefault="00424F2E" w:rsidP="00267498">
            <w:pPr>
              <w:jc w:val="center"/>
              <w:rPr>
                <w:bCs/>
                <w:sz w:val="26"/>
                <w:szCs w:val="26"/>
              </w:rPr>
            </w:pPr>
            <w:r w:rsidRPr="00530A2A">
              <w:rPr>
                <w:bCs/>
                <w:sz w:val="26"/>
                <w:szCs w:val="26"/>
              </w:rPr>
              <w:lastRenderedPageBreak/>
              <w:t>Rādītāji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27CD5A" w14:textId="77777777" w:rsidR="00424F2E" w:rsidRPr="00530A2A" w:rsidRDefault="00424F2E" w:rsidP="00267498">
            <w:pPr>
              <w:jc w:val="center"/>
              <w:rPr>
                <w:bCs/>
                <w:sz w:val="26"/>
                <w:szCs w:val="26"/>
              </w:rPr>
            </w:pPr>
            <w:r w:rsidRPr="00530A2A">
              <w:rPr>
                <w:bCs/>
                <w:sz w:val="26"/>
                <w:szCs w:val="26"/>
              </w:rPr>
              <w:t>n-gads</w:t>
            </w:r>
          </w:p>
        </w:tc>
        <w:tc>
          <w:tcPr>
            <w:tcW w:w="5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DAABF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Turpmākie trīs gadi (</w:t>
            </w:r>
            <w:r w:rsidRPr="00530A2A">
              <w:rPr>
                <w:i/>
                <w:iCs/>
                <w:sz w:val="26"/>
                <w:szCs w:val="26"/>
              </w:rPr>
              <w:t>euro</w:t>
            </w:r>
            <w:r w:rsidRPr="00530A2A">
              <w:rPr>
                <w:sz w:val="26"/>
                <w:szCs w:val="26"/>
              </w:rPr>
              <w:t>)</w:t>
            </w:r>
          </w:p>
        </w:tc>
      </w:tr>
      <w:tr w:rsidR="00424F2E" w:rsidRPr="00530A2A" w14:paraId="2589219B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6"/>
        </w:trPr>
        <w:tc>
          <w:tcPr>
            <w:tcW w:w="1782" w:type="dxa"/>
            <w:vMerge/>
            <w:vAlign w:val="center"/>
            <w:hideMark/>
          </w:tcPr>
          <w:p w14:paraId="6C7E8C1F" w14:textId="77777777" w:rsidR="00424F2E" w:rsidRPr="00530A2A" w:rsidRDefault="00424F2E" w:rsidP="002674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52" w:type="dxa"/>
            <w:gridSpan w:val="2"/>
            <w:vMerge/>
            <w:vAlign w:val="center"/>
            <w:hideMark/>
          </w:tcPr>
          <w:p w14:paraId="4DD27DB8" w14:textId="77777777" w:rsidR="00424F2E" w:rsidRPr="00530A2A" w:rsidRDefault="00424F2E" w:rsidP="0026749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2DCA72" w14:textId="77777777" w:rsidR="00424F2E" w:rsidRPr="00530A2A" w:rsidRDefault="00424F2E" w:rsidP="00267498">
            <w:pPr>
              <w:jc w:val="center"/>
              <w:rPr>
                <w:bCs/>
                <w:sz w:val="26"/>
                <w:szCs w:val="26"/>
              </w:rPr>
            </w:pPr>
            <w:r w:rsidRPr="00530A2A">
              <w:rPr>
                <w:bCs/>
                <w:sz w:val="26"/>
                <w:szCs w:val="26"/>
              </w:rPr>
              <w:t>n+1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BC3FA5" w14:textId="77777777" w:rsidR="00424F2E" w:rsidRPr="00530A2A" w:rsidRDefault="00424F2E" w:rsidP="00267498">
            <w:pPr>
              <w:jc w:val="center"/>
              <w:rPr>
                <w:bCs/>
                <w:sz w:val="26"/>
                <w:szCs w:val="26"/>
              </w:rPr>
            </w:pPr>
            <w:r w:rsidRPr="00530A2A">
              <w:rPr>
                <w:bCs/>
                <w:sz w:val="26"/>
                <w:szCs w:val="26"/>
              </w:rPr>
              <w:t>n+2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E27AAD" w14:textId="77777777" w:rsidR="00424F2E" w:rsidRPr="00530A2A" w:rsidRDefault="00424F2E" w:rsidP="00267498">
            <w:pPr>
              <w:jc w:val="center"/>
              <w:rPr>
                <w:bCs/>
                <w:sz w:val="26"/>
                <w:szCs w:val="26"/>
              </w:rPr>
            </w:pPr>
            <w:r w:rsidRPr="00530A2A">
              <w:rPr>
                <w:bCs/>
                <w:sz w:val="26"/>
                <w:szCs w:val="26"/>
              </w:rPr>
              <w:t>n+3</w:t>
            </w:r>
          </w:p>
        </w:tc>
      </w:tr>
      <w:tr w:rsidR="00424F2E" w:rsidRPr="00530A2A" w14:paraId="5AC03F63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66"/>
        </w:trPr>
        <w:tc>
          <w:tcPr>
            <w:tcW w:w="1782" w:type="dxa"/>
            <w:vMerge/>
            <w:vAlign w:val="center"/>
            <w:hideMark/>
          </w:tcPr>
          <w:p w14:paraId="18DAFA39" w14:textId="77777777" w:rsidR="00424F2E" w:rsidRPr="00530A2A" w:rsidRDefault="00424F2E" w:rsidP="0026749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E180D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saskaņā ar valsts budžetu kārtējam gadam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AD7F2B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izmaiņas kārtējā gadā, salīdzinot ar valsts budžetu kārtējam gadam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F4634B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saskaņā ar vidēja termiņa budžeta ietvaru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229CE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izmaiņas, salīdzinot ar vidēja termiņa budžeta ietvaru n+1 gadam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5AC3E4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saskaņā ar vidēja termiņa budžeta ietvaru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19C591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izmaiņas, salīdzinot ar vidēja termiņa budžeta ietvaru n+2 gadam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D06F1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 xml:space="preserve">izmaiņas, salīdzinot ar vidēja termiņa budžeta ietvaru </w:t>
            </w:r>
            <w:r w:rsidRPr="00530A2A">
              <w:rPr>
                <w:sz w:val="26"/>
                <w:szCs w:val="26"/>
              </w:rPr>
              <w:br/>
              <w:t>n+2 gadam</w:t>
            </w:r>
          </w:p>
        </w:tc>
      </w:tr>
      <w:tr w:rsidR="00424F2E" w:rsidRPr="00530A2A" w14:paraId="195E1F79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4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4CB220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5A4473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00CCEA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C1FE61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8B31E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0C649C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C7EEE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1E2429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8</w:t>
            </w:r>
          </w:p>
        </w:tc>
      </w:tr>
      <w:tr w:rsidR="00424F2E" w:rsidRPr="00530A2A" w14:paraId="617D4D2E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EA31FC" w14:textId="77777777" w:rsidR="00424F2E" w:rsidRPr="00530A2A" w:rsidRDefault="00424F2E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1. Budžeta ieņēmumi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8C5FE6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47BBBE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FA42E9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E5CB25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F36DC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D88FD4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2A629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</w:tr>
      <w:tr w:rsidR="00424F2E" w:rsidRPr="00530A2A" w14:paraId="3A173753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D932" w14:textId="77777777" w:rsidR="00424F2E" w:rsidRPr="00530A2A" w:rsidRDefault="00424F2E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2. Budžeta izdevumi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13D3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7C7D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25 000 000</w:t>
            </w:r>
            <w:r w:rsidRPr="370032E9">
              <w:rPr>
                <w:sz w:val="26"/>
                <w:szCs w:val="26"/>
              </w:rPr>
              <w:t xml:space="preserve"> euro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A465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A07E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C789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8A5E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0971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</w:tr>
      <w:tr w:rsidR="00424F2E" w:rsidRPr="00530A2A" w14:paraId="76A76DE7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4DFC" w14:textId="77777777" w:rsidR="00424F2E" w:rsidRPr="00530A2A" w:rsidRDefault="00424F2E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2.1. valsts pamatbudžets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866C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E12F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25 000 000</w:t>
            </w:r>
            <w:r w:rsidRPr="370032E9">
              <w:rPr>
                <w:sz w:val="26"/>
                <w:szCs w:val="26"/>
              </w:rPr>
              <w:t xml:space="preserve"> euro</w:t>
            </w:r>
          </w:p>
          <w:p w14:paraId="33AE9CF8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A837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22D1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687C9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1E63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72D0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</w:tr>
      <w:tr w:rsidR="00424F2E" w:rsidRPr="00530A2A" w14:paraId="02FD2965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74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02DAF" w14:textId="77777777" w:rsidR="00424F2E" w:rsidRPr="00530A2A" w:rsidRDefault="00424F2E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2.2. valsts speciālais budžets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424E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78DD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778D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17B7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7A9DC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49B7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E7CB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</w:tr>
      <w:tr w:rsidR="00424F2E" w:rsidRPr="00530A2A" w14:paraId="5566229A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C894" w14:textId="77777777" w:rsidR="00424F2E" w:rsidRPr="00530A2A" w:rsidRDefault="00424F2E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2.3. pašvaldību budžets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BB25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6212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081B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EDD28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3035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3193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C9D1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</w:tr>
      <w:tr w:rsidR="00424F2E" w:rsidRPr="00530A2A" w14:paraId="55B1489E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A5951" w14:textId="77777777" w:rsidR="00424F2E" w:rsidRPr="00530A2A" w:rsidRDefault="00424F2E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3. Finansiālā ietekme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5D6E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191B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25 000 000</w:t>
            </w:r>
            <w:r w:rsidRPr="370032E9">
              <w:rPr>
                <w:sz w:val="26"/>
                <w:szCs w:val="26"/>
              </w:rPr>
              <w:t xml:space="preserve"> e</w:t>
            </w:r>
            <w:r>
              <w:rPr>
                <w:sz w:val="26"/>
                <w:szCs w:val="26"/>
              </w:rPr>
              <w:t>u</w:t>
            </w:r>
            <w:r w:rsidRPr="370032E9">
              <w:rPr>
                <w:sz w:val="26"/>
                <w:szCs w:val="26"/>
              </w:rPr>
              <w:t>ro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F9F9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A523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2E45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DEF7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71A8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</w:tr>
      <w:tr w:rsidR="00424F2E" w:rsidRPr="00530A2A" w14:paraId="239278D5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BC8B7" w14:textId="77777777" w:rsidR="00424F2E" w:rsidRPr="00530A2A" w:rsidRDefault="00424F2E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3.1. valsts pamatbudžets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DCDC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CF98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25 000 000</w:t>
            </w:r>
            <w:r w:rsidRPr="370032E9">
              <w:rPr>
                <w:sz w:val="26"/>
                <w:szCs w:val="26"/>
              </w:rPr>
              <w:t xml:space="preserve"> e</w:t>
            </w:r>
            <w:r>
              <w:rPr>
                <w:sz w:val="26"/>
                <w:szCs w:val="26"/>
              </w:rPr>
              <w:t>u</w:t>
            </w:r>
            <w:r w:rsidRPr="370032E9">
              <w:rPr>
                <w:sz w:val="26"/>
                <w:szCs w:val="26"/>
              </w:rPr>
              <w:t>ro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D4BB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F3F4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D8AB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E9DF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CA01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</w:tr>
      <w:tr w:rsidR="00424F2E" w:rsidRPr="00530A2A" w14:paraId="4FCB4570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4F95" w14:textId="77777777" w:rsidR="00424F2E" w:rsidRPr="00530A2A" w:rsidRDefault="00424F2E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3.2. speciālais budžets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D68E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CDBF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C8CB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D443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D0E1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069A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2AFF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</w:tr>
      <w:tr w:rsidR="00424F2E" w:rsidRPr="00530A2A" w14:paraId="0EB70F87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BA7F" w14:textId="77777777" w:rsidR="00424F2E" w:rsidRPr="00530A2A" w:rsidRDefault="00424F2E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3.3. pašvaldību budžets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67B1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A4B4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5819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6E3A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9B4A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0ECB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6255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</w:tr>
      <w:tr w:rsidR="00424F2E" w:rsidRPr="00530A2A" w14:paraId="2F0B87EA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237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B6DCF" w14:textId="77777777" w:rsidR="00424F2E" w:rsidRPr="00530A2A" w:rsidRDefault="00424F2E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4. Finanšu līdzekļi papildu izdevumu finansēšanai (kompensējošu izdevumu samazinājumu norāda ar "+" zīmi)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67C7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255E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6C74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67CC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C5CA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B792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FFB4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0</w:t>
            </w:r>
          </w:p>
        </w:tc>
      </w:tr>
      <w:tr w:rsidR="00424F2E" w:rsidRPr="00530A2A" w14:paraId="4A8422C7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74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E895" w14:textId="77777777" w:rsidR="00424F2E" w:rsidRPr="00530A2A" w:rsidRDefault="00424F2E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5. Precizēta finansiālā ietekme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8E65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929A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25 000 000</w:t>
            </w:r>
            <w:r w:rsidRPr="370032E9">
              <w:rPr>
                <w:sz w:val="26"/>
                <w:szCs w:val="26"/>
              </w:rPr>
              <w:t xml:space="preserve"> e</w:t>
            </w:r>
            <w:r>
              <w:rPr>
                <w:sz w:val="26"/>
                <w:szCs w:val="26"/>
              </w:rPr>
              <w:t>u</w:t>
            </w:r>
            <w:r w:rsidRPr="370032E9">
              <w:rPr>
                <w:sz w:val="26"/>
                <w:szCs w:val="26"/>
              </w:rPr>
              <w:t>ro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1CF3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6B9E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8854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E923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CFD6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</w:tr>
      <w:tr w:rsidR="00424F2E" w:rsidRPr="00530A2A" w14:paraId="4EA64D6C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048F" w14:textId="77777777" w:rsidR="00424F2E" w:rsidRPr="00530A2A" w:rsidRDefault="00424F2E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5.1. valsts pamatbudžets</w:t>
            </w:r>
          </w:p>
        </w:tc>
        <w:tc>
          <w:tcPr>
            <w:tcW w:w="1252" w:type="dxa"/>
            <w:vMerge/>
            <w:vAlign w:val="center"/>
            <w:hideMark/>
          </w:tcPr>
          <w:p w14:paraId="3BB6BABD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C7DD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  <w:r w:rsidRPr="370032E9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25 000 000</w:t>
            </w:r>
            <w:r w:rsidRPr="370032E9">
              <w:rPr>
                <w:sz w:val="26"/>
                <w:szCs w:val="26"/>
              </w:rPr>
              <w:t xml:space="preserve"> e</w:t>
            </w:r>
            <w:r>
              <w:rPr>
                <w:sz w:val="26"/>
                <w:szCs w:val="26"/>
              </w:rPr>
              <w:t>u</w:t>
            </w:r>
            <w:r w:rsidRPr="370032E9">
              <w:rPr>
                <w:sz w:val="26"/>
                <w:szCs w:val="26"/>
              </w:rPr>
              <w:t>ro</w:t>
            </w:r>
          </w:p>
        </w:tc>
        <w:tc>
          <w:tcPr>
            <w:tcW w:w="892" w:type="dxa"/>
            <w:vMerge/>
            <w:vAlign w:val="center"/>
            <w:hideMark/>
          </w:tcPr>
          <w:p w14:paraId="26CE5602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53C8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5788FD51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E837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4D03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</w:tr>
      <w:tr w:rsidR="00424F2E" w:rsidRPr="00530A2A" w14:paraId="4269A96E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50033" w14:textId="77777777" w:rsidR="00424F2E" w:rsidRPr="00530A2A" w:rsidRDefault="00424F2E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lastRenderedPageBreak/>
              <w:t>5.2. speciālais budžets</w:t>
            </w:r>
          </w:p>
        </w:tc>
        <w:tc>
          <w:tcPr>
            <w:tcW w:w="1252" w:type="dxa"/>
            <w:vMerge/>
            <w:vAlign w:val="center"/>
            <w:hideMark/>
          </w:tcPr>
          <w:p w14:paraId="3E1587CF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DD86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57CA48E7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9CFD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03A24BF0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E83E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52E3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</w:tr>
      <w:tr w:rsidR="00424F2E" w:rsidRPr="00530A2A" w14:paraId="455ECE0B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5A811" w14:textId="77777777" w:rsidR="00424F2E" w:rsidRPr="00530A2A" w:rsidRDefault="00424F2E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5.3. pašvaldību budžets</w:t>
            </w:r>
          </w:p>
        </w:tc>
        <w:tc>
          <w:tcPr>
            <w:tcW w:w="1252" w:type="dxa"/>
            <w:vMerge/>
            <w:vAlign w:val="center"/>
            <w:hideMark/>
          </w:tcPr>
          <w:p w14:paraId="0A5D7C7B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282A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3F7AB6EA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F8CF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2" w:type="dxa"/>
            <w:vMerge/>
            <w:vAlign w:val="center"/>
            <w:hideMark/>
          </w:tcPr>
          <w:p w14:paraId="4FA11A2E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2FA6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E472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</w:tr>
      <w:tr w:rsidR="00424F2E" w:rsidRPr="00530A2A" w14:paraId="3E5A02E6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2977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353A9" w14:textId="77777777" w:rsidR="00424F2E" w:rsidRPr="00530A2A" w:rsidRDefault="00424F2E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44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682A" w14:textId="77777777" w:rsidR="00424F2E" w:rsidRPr="00456560" w:rsidRDefault="00424F2E" w:rsidP="00267498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456560">
              <w:rPr>
                <w:rFonts w:eastAsia="Times New Roman"/>
                <w:sz w:val="26"/>
                <w:szCs w:val="26"/>
                <w:lang w:val="lv-LV" w:eastAsia="lv-LV"/>
              </w:rPr>
              <w:t>Programmas finansējums tiks novirzīts sabiedrības “Altum” pārvaldības izmaksām un sagaidāmajiem kredītriska zaudējumiem, sabiedrības “Altum” izdevumu kompensācijai aizdevumu vērtības samazinājuma gadījumiem.</w:t>
            </w:r>
          </w:p>
          <w:p w14:paraId="0F11F112" w14:textId="77777777" w:rsidR="00424F2E" w:rsidRPr="00456560" w:rsidRDefault="00424F2E" w:rsidP="00267498">
            <w:pPr>
              <w:jc w:val="center"/>
              <w:rPr>
                <w:sz w:val="26"/>
                <w:szCs w:val="26"/>
                <w:lang w:val="lv-LV"/>
              </w:rPr>
            </w:pPr>
          </w:p>
        </w:tc>
      </w:tr>
      <w:tr w:rsidR="00424F2E" w:rsidRPr="00530A2A" w14:paraId="0B4885AB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748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16B6" w14:textId="77777777" w:rsidR="00424F2E" w:rsidRPr="00530A2A" w:rsidRDefault="00424F2E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6.1. detalizēts ieņēmumu aprēķins</w:t>
            </w:r>
          </w:p>
        </w:tc>
        <w:tc>
          <w:tcPr>
            <w:tcW w:w="7442" w:type="dxa"/>
            <w:gridSpan w:val="7"/>
            <w:vMerge/>
            <w:vAlign w:val="center"/>
            <w:hideMark/>
          </w:tcPr>
          <w:p w14:paraId="6929FFD5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</w:tr>
      <w:tr w:rsidR="00424F2E" w:rsidRPr="00530A2A" w14:paraId="36522488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74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AB30" w14:textId="77777777" w:rsidR="00424F2E" w:rsidRPr="00530A2A" w:rsidRDefault="00424F2E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6.2. detalizēts izdevumu aprēķins</w:t>
            </w:r>
          </w:p>
        </w:tc>
        <w:tc>
          <w:tcPr>
            <w:tcW w:w="7442" w:type="dxa"/>
            <w:gridSpan w:val="7"/>
            <w:vMerge/>
            <w:vAlign w:val="center"/>
            <w:hideMark/>
          </w:tcPr>
          <w:p w14:paraId="4A8047DF" w14:textId="77777777" w:rsidR="00424F2E" w:rsidRPr="00530A2A" w:rsidRDefault="00424F2E" w:rsidP="00267498">
            <w:pPr>
              <w:jc w:val="center"/>
              <w:rPr>
                <w:sz w:val="26"/>
                <w:szCs w:val="26"/>
              </w:rPr>
            </w:pPr>
          </w:p>
        </w:tc>
      </w:tr>
      <w:tr w:rsidR="00424F2E" w:rsidRPr="00530A2A" w14:paraId="7B5C2784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490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4C2D" w14:textId="77777777" w:rsidR="00424F2E" w:rsidRPr="00530A2A" w:rsidRDefault="00424F2E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7. Amata vietu skaita izmaiņas</w:t>
            </w:r>
          </w:p>
        </w:tc>
        <w:tc>
          <w:tcPr>
            <w:tcW w:w="7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71ADD" w14:textId="77777777" w:rsidR="00424F2E" w:rsidRPr="00530A2A" w:rsidRDefault="00424F2E" w:rsidP="00267498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370032E9">
              <w:rPr>
                <w:rFonts w:eastAsia="Times New Roman"/>
                <w:sz w:val="26"/>
                <w:szCs w:val="26"/>
                <w:lang w:val="lv-LV" w:eastAsia="lv-LV"/>
              </w:rPr>
              <w:t>Projekts šo jomu neskar.</w:t>
            </w:r>
          </w:p>
          <w:p w14:paraId="591E52D2" w14:textId="77777777" w:rsidR="00424F2E" w:rsidRPr="00530A2A" w:rsidRDefault="00424F2E" w:rsidP="00267498">
            <w:pPr>
              <w:rPr>
                <w:sz w:val="26"/>
                <w:szCs w:val="26"/>
              </w:rPr>
            </w:pPr>
          </w:p>
        </w:tc>
      </w:tr>
      <w:tr w:rsidR="00424F2E" w:rsidRPr="00530A2A" w14:paraId="5E854082" w14:textId="77777777" w:rsidTr="00267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cantSplit/>
          <w:trHeight w:val="748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4DC01" w14:textId="77777777" w:rsidR="00424F2E" w:rsidRPr="00530A2A" w:rsidRDefault="00424F2E" w:rsidP="00267498">
            <w:pPr>
              <w:rPr>
                <w:sz w:val="26"/>
                <w:szCs w:val="26"/>
              </w:rPr>
            </w:pPr>
            <w:r w:rsidRPr="00530A2A">
              <w:rPr>
                <w:sz w:val="26"/>
                <w:szCs w:val="26"/>
              </w:rPr>
              <w:t>8. Cita informācija</w:t>
            </w:r>
          </w:p>
        </w:tc>
        <w:tc>
          <w:tcPr>
            <w:tcW w:w="74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8DF50" w14:textId="77777777" w:rsidR="00424F2E" w:rsidRPr="00530A2A" w:rsidRDefault="00424F2E" w:rsidP="00267498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370032E9">
              <w:rPr>
                <w:rFonts w:eastAsia="Times New Roman"/>
                <w:sz w:val="26"/>
                <w:szCs w:val="26"/>
                <w:lang w:val="lv-LV" w:eastAsia="lv-LV"/>
              </w:rPr>
              <w:t>Projekts šo jomu neskar.</w:t>
            </w:r>
          </w:p>
          <w:p w14:paraId="657BEECE" w14:textId="77777777" w:rsidR="00424F2E" w:rsidRPr="00530A2A" w:rsidRDefault="00424F2E" w:rsidP="00267498">
            <w:pPr>
              <w:rPr>
                <w:sz w:val="26"/>
                <w:szCs w:val="26"/>
              </w:rPr>
            </w:pPr>
          </w:p>
        </w:tc>
      </w:tr>
    </w:tbl>
    <w:p w14:paraId="1CCD9895" w14:textId="16634D2B" w:rsidR="00424F2E" w:rsidRDefault="00424F2E" w:rsidP="00B043DE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2518"/>
        <w:gridCol w:w="6234"/>
      </w:tblGrid>
      <w:tr w:rsidR="00844176" w:rsidRPr="00030D4A" w14:paraId="6C33CD82" w14:textId="77777777" w:rsidTr="00320B22">
        <w:trPr>
          <w:trHeight w:val="45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F4B0E9" w14:textId="77777777" w:rsidR="00844176" w:rsidRPr="00583CBA" w:rsidRDefault="00844176" w:rsidP="00B043DE">
            <w:pPr>
              <w:ind w:firstLine="300"/>
              <w:contextualSpacing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IV. Tiesību akta projekta ietekme uz spēkā esošo tiesību normu sistēmu</w:t>
            </w:r>
          </w:p>
        </w:tc>
      </w:tr>
      <w:tr w:rsidR="00844176" w:rsidRPr="00583CBA" w14:paraId="57818953" w14:textId="77777777" w:rsidTr="00424F2E"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5FDF87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0EF5B6" w14:textId="43CB5D85" w:rsidR="00844176" w:rsidRPr="00583CBA" w:rsidRDefault="001C70CC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Saistītie</w:t>
            </w:r>
            <w:r w:rsidR="00844176" w:rsidRPr="00583CBA">
              <w:rPr>
                <w:rFonts w:eastAsia="Times New Roman"/>
                <w:sz w:val="26"/>
                <w:szCs w:val="26"/>
                <w:lang w:val="lv-LV" w:eastAsia="lv-LV"/>
              </w:rPr>
              <w:t xml:space="preserve"> tiesību aktu projekti</w:t>
            </w:r>
          </w:p>
        </w:tc>
        <w:tc>
          <w:tcPr>
            <w:tcW w:w="3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F545BF" w14:textId="14D1B41C" w:rsidR="00844176" w:rsidRPr="00583CBA" w:rsidRDefault="000F2EA7" w:rsidP="00B043DE">
            <w:pPr>
              <w:jc w:val="both"/>
              <w:rPr>
                <w:bCs/>
                <w:iCs/>
                <w:sz w:val="26"/>
                <w:szCs w:val="26"/>
                <w:lang w:val="lv-LV"/>
              </w:rPr>
            </w:pPr>
            <w:r w:rsidRPr="00583CBA">
              <w:rPr>
                <w:bCs/>
                <w:iCs/>
                <w:sz w:val="26"/>
                <w:szCs w:val="26"/>
                <w:lang w:val="lv-LV"/>
              </w:rPr>
              <w:t>Nav.</w:t>
            </w:r>
          </w:p>
        </w:tc>
      </w:tr>
      <w:tr w:rsidR="00844176" w:rsidRPr="00583CBA" w14:paraId="3469659F" w14:textId="77777777" w:rsidTr="00424F2E"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7E264C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FEFBA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Atbildīgā institūcija</w:t>
            </w:r>
          </w:p>
        </w:tc>
        <w:tc>
          <w:tcPr>
            <w:tcW w:w="3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EC7C4D" w14:textId="77777777" w:rsidR="00844176" w:rsidRPr="00583CBA" w:rsidRDefault="007F6449" w:rsidP="00B043DE">
            <w:pPr>
              <w:pStyle w:val="BodyText"/>
              <w:ind w:righ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583CBA">
              <w:rPr>
                <w:rFonts w:eastAsia="Calibri"/>
                <w:sz w:val="26"/>
                <w:szCs w:val="26"/>
                <w:lang w:eastAsia="en-US"/>
              </w:rPr>
              <w:t>Ekonomikas ministrija</w:t>
            </w:r>
          </w:p>
        </w:tc>
      </w:tr>
      <w:tr w:rsidR="00844176" w:rsidRPr="00583CBA" w14:paraId="32F2DD54" w14:textId="77777777" w:rsidTr="00424F2E">
        <w:tc>
          <w:tcPr>
            <w:tcW w:w="2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C61D3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1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1A60F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849A5" w14:textId="2CB851E6" w:rsidR="003E5276" w:rsidRPr="00583CBA" w:rsidRDefault="000F2EA7" w:rsidP="00B043DE">
            <w:pPr>
              <w:pStyle w:val="ListParagraph"/>
              <w:ind w:left="0"/>
              <w:contextualSpacing w:val="0"/>
              <w:jc w:val="both"/>
              <w:rPr>
                <w:bCs/>
                <w:iCs/>
                <w:sz w:val="26"/>
                <w:szCs w:val="26"/>
                <w:lang w:val="lv-LV"/>
              </w:rPr>
            </w:pPr>
            <w:r w:rsidRPr="00583CBA">
              <w:rPr>
                <w:bCs/>
                <w:iCs/>
                <w:sz w:val="26"/>
                <w:szCs w:val="26"/>
                <w:lang w:val="lv-LV"/>
              </w:rPr>
              <w:t>Nav.</w:t>
            </w:r>
          </w:p>
          <w:p w14:paraId="637C4F16" w14:textId="690F03B4" w:rsidR="00844176" w:rsidRPr="00583CBA" w:rsidRDefault="00844176" w:rsidP="00B043DE">
            <w:pPr>
              <w:ind w:left="577"/>
              <w:contextualSpacing/>
              <w:jc w:val="both"/>
              <w:rPr>
                <w:bCs/>
                <w:iCs/>
                <w:sz w:val="26"/>
                <w:szCs w:val="26"/>
                <w:lang w:val="lv-LV"/>
              </w:rPr>
            </w:pPr>
          </w:p>
        </w:tc>
      </w:tr>
    </w:tbl>
    <w:p w14:paraId="2A21AD4B" w14:textId="77777777" w:rsidR="00844176" w:rsidRPr="00583CBA" w:rsidRDefault="00844176" w:rsidP="00B043DE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0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2552"/>
        <w:gridCol w:w="6235"/>
      </w:tblGrid>
      <w:tr w:rsidR="00844176" w:rsidRPr="00583CBA" w14:paraId="07C3ABEE" w14:textId="77777777" w:rsidTr="00871E2F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01DE8D" w14:textId="77777777" w:rsidR="00844176" w:rsidRPr="00583CBA" w:rsidRDefault="00844176" w:rsidP="00B043DE">
            <w:pPr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b/>
                <w:sz w:val="26"/>
                <w:lang w:val="lv-LV"/>
              </w:rPr>
              <w:t>V. Tiesību akta projekta atbilstība Latvijas Republikas starptautiskajām saistībām</w:t>
            </w:r>
          </w:p>
        </w:tc>
      </w:tr>
      <w:tr w:rsidR="006F4B13" w:rsidRPr="00030D4A" w14:paraId="17F7F902" w14:textId="77777777" w:rsidTr="00370711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A781BB" w14:textId="77777777" w:rsidR="006F4B13" w:rsidRPr="00583CBA" w:rsidRDefault="006F4B13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28CC95" w14:textId="77777777" w:rsidR="006F4B13" w:rsidRPr="00583CBA" w:rsidRDefault="006F4B13" w:rsidP="00B043DE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Saistības pret Eiropas Savienību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C5E622" w14:textId="77777777" w:rsidR="00F36475" w:rsidRPr="00F36475" w:rsidRDefault="00007B22" w:rsidP="00F3647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36475">
              <w:rPr>
                <w:sz w:val="26"/>
                <w:szCs w:val="26"/>
                <w:lang w:val="lv-LV"/>
              </w:rPr>
              <w:t xml:space="preserve">Eiropas Komisijas 2013. gada 18. decembra Regula (ES) Nr. 1407/2013 par Līguma par Eiropas Savienības darbību 107. un 108. panta piemērošanu </w:t>
            </w:r>
            <w:r w:rsidRPr="00F36475">
              <w:rPr>
                <w:i/>
                <w:iCs/>
                <w:sz w:val="26"/>
                <w:szCs w:val="26"/>
                <w:lang w:val="lv-LV"/>
              </w:rPr>
              <w:t>de minimis</w:t>
            </w:r>
            <w:r w:rsidRPr="00F36475">
              <w:rPr>
                <w:sz w:val="26"/>
                <w:szCs w:val="26"/>
                <w:lang w:val="lv-LV"/>
              </w:rPr>
              <w:t xml:space="preserve"> atbalstam (turpmāk - Komisijas Regula Nr.1407/2013);</w:t>
            </w:r>
          </w:p>
          <w:p w14:paraId="313D4E77" w14:textId="6E6192E7" w:rsidR="009A3D60" w:rsidRPr="00F36475" w:rsidRDefault="009A3D60" w:rsidP="00F36475">
            <w:pPr>
              <w:pStyle w:val="ListParagraph"/>
              <w:numPr>
                <w:ilvl w:val="0"/>
                <w:numId w:val="13"/>
              </w:num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F36475">
              <w:rPr>
                <w:sz w:val="26"/>
                <w:szCs w:val="26"/>
                <w:lang w:val="lv-LV"/>
              </w:rPr>
              <w:t xml:space="preserve">Eiropas Komisija saskaņā ar Komisijas 2004. gada 21. aprīļa regula (EK) Nr.794/2004, ar ko īsteno Padomes Regulu (ES) 2015/1589, ar ko nosaka sīki izstrādātus noteikumus Līguma par Eiropas </w:t>
            </w:r>
            <w:r w:rsidRPr="00F36475">
              <w:rPr>
                <w:sz w:val="26"/>
                <w:szCs w:val="26"/>
                <w:lang w:val="lv-LV"/>
              </w:rPr>
              <w:lastRenderedPageBreak/>
              <w:t>Savienības darbību 108. panta piemērošanai (turpmāk – Komisijas regula Nr.794/2004)</w:t>
            </w:r>
          </w:p>
        </w:tc>
      </w:tr>
      <w:tr w:rsidR="006F4B13" w:rsidRPr="00583CBA" w14:paraId="2BF33DFD" w14:textId="77777777" w:rsidTr="00370711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188A09" w14:textId="77777777" w:rsidR="006F4B13" w:rsidRPr="00583CBA" w:rsidRDefault="006F4B13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2.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74399D" w14:textId="77777777" w:rsidR="006F4B13" w:rsidRPr="00583CBA" w:rsidRDefault="006F4B13" w:rsidP="00B043DE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Citas starptautiskās saistības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D2F44F" w14:textId="1B204823" w:rsidR="006F4B13" w:rsidRPr="00583CBA" w:rsidRDefault="006F4B13" w:rsidP="00B043DE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Projekts šo jomu neskar</w:t>
            </w:r>
            <w:r w:rsidR="0099282E" w:rsidRPr="00583CBA">
              <w:rPr>
                <w:rFonts w:eastAsia="Times New Roman"/>
                <w:sz w:val="26"/>
                <w:szCs w:val="26"/>
                <w:lang w:val="lv-LV" w:eastAsia="lv-LV"/>
              </w:rPr>
              <w:t>.</w:t>
            </w:r>
          </w:p>
        </w:tc>
      </w:tr>
      <w:tr w:rsidR="006F4B13" w:rsidRPr="00583CBA" w14:paraId="64229F4B" w14:textId="77777777" w:rsidTr="00370711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DCABC" w14:textId="77777777" w:rsidR="006F4B13" w:rsidRPr="00583CBA" w:rsidRDefault="006F4B13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774E23" w14:textId="77777777" w:rsidR="006F4B13" w:rsidRPr="00583CBA" w:rsidRDefault="006F4B13" w:rsidP="00B043DE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FD6544" w14:textId="16C3A3F5" w:rsidR="006F4B13" w:rsidRPr="00583CBA" w:rsidRDefault="006F4B13" w:rsidP="00B043DE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Nav</w:t>
            </w:r>
          </w:p>
        </w:tc>
      </w:tr>
    </w:tbl>
    <w:p w14:paraId="1F45E5ED" w14:textId="3E0D1E21" w:rsidR="00844176" w:rsidRPr="00583CBA" w:rsidRDefault="00844176" w:rsidP="00B043DE">
      <w:pPr>
        <w:contextualSpacing/>
        <w:rPr>
          <w:sz w:val="26"/>
          <w:lang w:val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264"/>
      </w:tblGrid>
      <w:tr w:rsidR="00A5551D" w:rsidRPr="00030D4A" w14:paraId="212A0171" w14:textId="77777777" w:rsidTr="00DE5E9C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533520" w14:textId="77777777" w:rsidR="00A5551D" w:rsidRPr="00583CBA" w:rsidRDefault="00A5551D" w:rsidP="00B043DE">
            <w:pPr>
              <w:jc w:val="center"/>
              <w:rPr>
                <w:rFonts w:eastAsia="Times New Roman"/>
                <w:b/>
                <w:bCs/>
                <w:color w:val="414142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b/>
                <w:bCs/>
                <w:color w:val="414142"/>
                <w:sz w:val="26"/>
                <w:szCs w:val="26"/>
                <w:lang w:val="lv-LV" w:eastAsia="lv-LV"/>
              </w:rPr>
              <w:t>1. tabula</w:t>
            </w:r>
            <w:r w:rsidRPr="00583CBA">
              <w:rPr>
                <w:rFonts w:eastAsia="Times New Roman"/>
                <w:b/>
                <w:bCs/>
                <w:color w:val="414142"/>
                <w:sz w:val="26"/>
                <w:szCs w:val="26"/>
                <w:lang w:val="lv-LV" w:eastAsia="lv-LV"/>
              </w:rPr>
              <w:br/>
              <w:t>Tiesību akta projekta atbilstība ES tiesību aktiem</w:t>
            </w:r>
          </w:p>
        </w:tc>
      </w:tr>
      <w:tr w:rsidR="00A5551D" w:rsidRPr="00583CBA" w14:paraId="63717CEB" w14:textId="77777777" w:rsidTr="00DE5E9C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860658" w14:textId="77777777" w:rsidR="00A5551D" w:rsidRPr="00583CBA" w:rsidRDefault="00A5551D" w:rsidP="00B043DE">
            <w:pPr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  <w:t>Attiecīgā ES tiesību akta datums, numurs un nosaukums</w:t>
            </w:r>
          </w:p>
        </w:tc>
        <w:tc>
          <w:tcPr>
            <w:tcW w:w="3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0065534" w14:textId="77777777" w:rsidR="0099282E" w:rsidRPr="00583CBA" w:rsidRDefault="0099282E" w:rsidP="00B043DE">
            <w:pPr>
              <w:pStyle w:val="naiskr"/>
              <w:spacing w:before="0" w:after="0"/>
              <w:jc w:val="both"/>
              <w:rPr>
                <w:color w:val="414142"/>
                <w:sz w:val="26"/>
                <w:szCs w:val="26"/>
              </w:rPr>
            </w:pPr>
            <w:r w:rsidRPr="00583CBA">
              <w:rPr>
                <w:color w:val="414142"/>
                <w:sz w:val="26"/>
                <w:szCs w:val="26"/>
              </w:rPr>
              <w:t>Ar Noteikumu projektu tiek ieviestas šādas Eiropas Savienības tiesību aktu prasības:</w:t>
            </w:r>
          </w:p>
          <w:p w14:paraId="2DF70502" w14:textId="1D472880" w:rsidR="008B0720" w:rsidRDefault="00007B22" w:rsidP="00AF489B">
            <w:pPr>
              <w:pStyle w:val="naiskr"/>
              <w:numPr>
                <w:ilvl w:val="0"/>
                <w:numId w:val="13"/>
              </w:numPr>
              <w:spacing w:before="0" w:after="0"/>
              <w:jc w:val="both"/>
              <w:rPr>
                <w:sz w:val="26"/>
                <w:szCs w:val="26"/>
              </w:rPr>
            </w:pPr>
            <w:r w:rsidRPr="00007B22">
              <w:rPr>
                <w:sz w:val="26"/>
                <w:szCs w:val="26"/>
              </w:rPr>
              <w:t>Komisijas Regula Nr.1407/2013</w:t>
            </w:r>
          </w:p>
          <w:p w14:paraId="56BE49FF" w14:textId="21171234" w:rsidR="009A3D60" w:rsidRDefault="009A3D60" w:rsidP="00AF489B">
            <w:pPr>
              <w:pStyle w:val="naiskr"/>
              <w:numPr>
                <w:ilvl w:val="0"/>
                <w:numId w:val="13"/>
              </w:numPr>
              <w:spacing w:before="0" w:after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Komisijas regula Nr.794/2004</w:t>
            </w:r>
          </w:p>
          <w:p w14:paraId="27AE43F3" w14:textId="6F01AA81" w:rsidR="009A3D60" w:rsidRPr="00583CBA" w:rsidRDefault="009A3D60" w:rsidP="00B043DE">
            <w:pPr>
              <w:pStyle w:val="naiskr"/>
              <w:spacing w:before="0" w:after="0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5551D" w:rsidRPr="00583CBA" w14:paraId="6EDB5B7C" w14:textId="77777777" w:rsidTr="001A2748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D233B1" w14:textId="77777777" w:rsidR="00A5551D" w:rsidRPr="00583CBA" w:rsidRDefault="00A5551D" w:rsidP="00B043DE">
            <w:pPr>
              <w:jc w:val="center"/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  <w:t>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15CB7F" w14:textId="77777777" w:rsidR="00A5551D" w:rsidRPr="00583CBA" w:rsidRDefault="00A5551D" w:rsidP="00B043DE">
            <w:pPr>
              <w:jc w:val="center"/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  <w:t>B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2C7179" w14:textId="77777777" w:rsidR="00A5551D" w:rsidRPr="00583CBA" w:rsidRDefault="00A5551D" w:rsidP="00B043DE">
            <w:pPr>
              <w:jc w:val="center"/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  <w:t>C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909FA7C" w14:textId="77777777" w:rsidR="00A5551D" w:rsidRPr="00583CBA" w:rsidRDefault="00A5551D" w:rsidP="00B043DE">
            <w:pPr>
              <w:jc w:val="center"/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  <w:t>D</w:t>
            </w:r>
          </w:p>
        </w:tc>
      </w:tr>
      <w:tr w:rsidR="009A3D60" w:rsidRPr="00583CBA" w14:paraId="17E0E3D7" w14:textId="77777777" w:rsidTr="00B039A0">
        <w:tc>
          <w:tcPr>
            <w:tcW w:w="12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09348D3F" w14:textId="06709213" w:rsidR="009A3D60" w:rsidRPr="00EC5935" w:rsidRDefault="009A3D60" w:rsidP="009A3D60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 xml:space="preserve">Regulas Nr.1407/2013 6.pants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5678" w14:textId="2148D10F" w:rsidR="009A3D60" w:rsidRPr="00EC5935" w:rsidRDefault="009A3D60" w:rsidP="009A3D60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>Noteikumu projekta 9. punkts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165A" w14:textId="10B6293F" w:rsidR="009A3D60" w:rsidRPr="00EC5935" w:rsidRDefault="009A3D60" w:rsidP="009A3D60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>Ieviests pilnībā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75F4" w14:textId="37590684" w:rsidR="009A3D60" w:rsidRPr="00EC5935" w:rsidRDefault="009A3D60" w:rsidP="009A3D60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>Neparedz stingrākas prasības.</w:t>
            </w:r>
          </w:p>
        </w:tc>
      </w:tr>
      <w:tr w:rsidR="00D34B58" w:rsidRPr="00583CBA" w14:paraId="5796F045" w14:textId="77777777" w:rsidTr="00B039A0">
        <w:tc>
          <w:tcPr>
            <w:tcW w:w="12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339745E2" w14:textId="63FD986C" w:rsidR="00D34B58" w:rsidRDefault="00D34B58" w:rsidP="00D34B58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>Regulas Nr.1407/2013 6.pants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BD1A" w14:textId="12CD4918" w:rsidR="00D34B58" w:rsidRDefault="00D34B58" w:rsidP="00D34B58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>Noteikumu projekta 10. punkts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6BA9" w14:textId="6879D9BC" w:rsidR="00D34B58" w:rsidRDefault="00D34B58" w:rsidP="00D34B58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>Ieviests pilnībā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E460" w14:textId="25A2EE18" w:rsidR="00D34B58" w:rsidRDefault="00D34B58" w:rsidP="00D34B58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>Neparedz stingrākas prasības.</w:t>
            </w:r>
          </w:p>
        </w:tc>
      </w:tr>
      <w:tr w:rsidR="00D34B58" w:rsidRPr="00583CBA" w14:paraId="4517F58B" w14:textId="77777777" w:rsidTr="00B039A0">
        <w:tc>
          <w:tcPr>
            <w:tcW w:w="125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</w:tcPr>
          <w:p w14:paraId="09092599" w14:textId="7C7058D8" w:rsidR="00D34B58" w:rsidRDefault="00D34B58" w:rsidP="00D34B58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 xml:space="preserve">Regulas Nr.1407/2013 </w:t>
            </w:r>
            <w:r w:rsidRPr="00D34B58">
              <w:rPr>
                <w:i/>
                <w:iCs/>
                <w:color w:val="000000"/>
                <w:sz w:val="24"/>
                <w:szCs w:val="24"/>
                <w:lang w:val="lv-LV"/>
              </w:rPr>
              <w:t>4. panta 6. punkta "b" apakšpunktu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0326" w14:textId="46A89717" w:rsidR="00D34B58" w:rsidRDefault="00D34B58" w:rsidP="00D34B58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>Noteikumu projekta 11. punkts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94DC" w14:textId="7825C425" w:rsidR="00D34B58" w:rsidRDefault="00D34B58" w:rsidP="00D34B58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>Ieviests pilnībā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7D6A" w14:textId="5BE2BA53" w:rsidR="00D34B58" w:rsidRDefault="00D34B58" w:rsidP="00D34B58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>Neparedz stingrākas prasības.</w:t>
            </w:r>
          </w:p>
        </w:tc>
      </w:tr>
      <w:tr w:rsidR="00D34B58" w:rsidRPr="00583CBA" w14:paraId="6A4D8F55" w14:textId="77777777" w:rsidTr="00B039A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FAE5" w14:textId="77777777" w:rsidR="00D34B58" w:rsidRDefault="00D34B58" w:rsidP="00D34B58">
            <w:pPr>
              <w:spacing w:line="276" w:lineRule="auto"/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/>
                <w:iCs/>
                <w:sz w:val="24"/>
                <w:szCs w:val="24"/>
              </w:rPr>
              <w:t>Komisijas regulas Nr.794/2004 10.pants, 11.pants</w:t>
            </w:r>
          </w:p>
          <w:p w14:paraId="30C6FCBB" w14:textId="3D10CD96" w:rsidR="00D34B58" w:rsidRPr="00EC5935" w:rsidRDefault="00D34B58" w:rsidP="00D34B58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5D4F" w14:textId="6C6F63ED" w:rsidR="00D34B58" w:rsidRPr="003C585E" w:rsidRDefault="00D34B58" w:rsidP="00D34B58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>Noteikumu projekta 12. punkts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9590" w14:textId="2A8FA813" w:rsidR="00D34B58" w:rsidRPr="003C585E" w:rsidRDefault="00D34B58" w:rsidP="00D34B58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>Ieviests pilnībā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8470" w14:textId="642FA696" w:rsidR="00D34B58" w:rsidRPr="003C585E" w:rsidRDefault="00D34B58" w:rsidP="00D34B58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>Neparedz stingrākas prasības.</w:t>
            </w:r>
          </w:p>
        </w:tc>
      </w:tr>
      <w:tr w:rsidR="00D34B58" w:rsidRPr="00583CBA" w14:paraId="263D17FE" w14:textId="77777777" w:rsidTr="00B039A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50FA" w14:textId="77777777" w:rsidR="00D34B58" w:rsidRDefault="00D34B58" w:rsidP="00D34B58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>Regulas Nr.1407/2013</w:t>
            </w:r>
          </w:p>
          <w:p w14:paraId="7D765C4F" w14:textId="360162B3" w:rsidR="00D34B58" w:rsidRPr="00EC5935" w:rsidRDefault="00D34B58" w:rsidP="00D34B58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>7.panta 4.punkts; 8.pants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4513" w14:textId="69C282D4" w:rsidR="00D34B58" w:rsidRDefault="00D34B58" w:rsidP="00D34B58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>Noteikumu projekta 13. punkts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C5D7" w14:textId="4888F6B3" w:rsidR="00D34B58" w:rsidRDefault="00D34B58" w:rsidP="00D34B58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>Ieviests pilnībā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9E14" w14:textId="496D10DC" w:rsidR="00D34B58" w:rsidRDefault="00D34B58" w:rsidP="00D34B58">
            <w:pPr>
              <w:rPr>
                <w:i/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lv-LV"/>
              </w:rPr>
              <w:t>Neparedz stingrākas prasības.</w:t>
            </w:r>
          </w:p>
        </w:tc>
      </w:tr>
      <w:tr w:rsidR="00D34B58" w:rsidRPr="00583CBA" w14:paraId="2FF190C6" w14:textId="77777777" w:rsidTr="00B039A0">
        <w:tc>
          <w:tcPr>
            <w:tcW w:w="125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809721" w14:textId="77777777" w:rsidR="00D34B58" w:rsidRPr="00583CBA" w:rsidRDefault="00D34B58" w:rsidP="00D34B58">
            <w:pPr>
              <w:jc w:val="both"/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B25E" w14:textId="77777777" w:rsidR="00D34B58" w:rsidRPr="00583CBA" w:rsidRDefault="00D34B58" w:rsidP="00D34B58">
            <w:pPr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/>
              </w:rPr>
              <w:t>Projekts šo jomu neskar.</w:t>
            </w:r>
          </w:p>
        </w:tc>
      </w:tr>
      <w:tr w:rsidR="00D34B58" w:rsidRPr="00583CBA" w14:paraId="380F5C9A" w14:textId="77777777" w:rsidTr="00DE5E9C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4BC07D" w14:textId="77777777" w:rsidR="00D34B58" w:rsidRPr="00583CBA" w:rsidRDefault="00D34B58" w:rsidP="00D34B58">
            <w:pPr>
              <w:jc w:val="both"/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  <w:t xml:space="preserve">Saistības sniegt paziņojumu ES institūcijām un ES dalībvalstīm atbilstoši normatīvajiem aktiem, kas regulē informācijas sniegšanu par tehnisko noteikumu, valsts atbalsta piešķiršanas un </w:t>
            </w:r>
            <w:r w:rsidRPr="00583CBA"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  <w:lastRenderedPageBreak/>
              <w:t>finanšu noteikumu (attiecībā uz monetāro politiku) projektiem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5CF8" w14:textId="77777777" w:rsidR="00D34B58" w:rsidRPr="00583CBA" w:rsidRDefault="00D34B58" w:rsidP="00D34B58">
            <w:pPr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/>
              </w:rPr>
              <w:lastRenderedPageBreak/>
              <w:t>Projekts šo jomu neskar.</w:t>
            </w:r>
          </w:p>
        </w:tc>
      </w:tr>
      <w:tr w:rsidR="00D34B58" w:rsidRPr="00583CBA" w14:paraId="21014EF5" w14:textId="77777777" w:rsidTr="00DE5E9C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6056DD" w14:textId="77777777" w:rsidR="00D34B58" w:rsidRPr="00583CBA" w:rsidRDefault="00D34B58" w:rsidP="00D34B58">
            <w:pPr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12ABC" w14:textId="77777777" w:rsidR="00D34B58" w:rsidRPr="00583CBA" w:rsidRDefault="00D34B58" w:rsidP="00D34B58">
            <w:pPr>
              <w:rPr>
                <w:rFonts w:eastAsia="Times New Roman"/>
                <w:color w:val="414142"/>
                <w:sz w:val="26"/>
                <w:szCs w:val="26"/>
                <w:lang w:val="lv-LV" w:eastAsia="lv-LV"/>
              </w:rPr>
            </w:pPr>
            <w:r w:rsidRPr="00583CBA">
              <w:rPr>
                <w:color w:val="000000"/>
                <w:sz w:val="26"/>
                <w:szCs w:val="26"/>
                <w:lang w:val="lv-LV"/>
              </w:rPr>
              <w:t>Nav.</w:t>
            </w:r>
          </w:p>
        </w:tc>
      </w:tr>
    </w:tbl>
    <w:p w14:paraId="1849AC10" w14:textId="5D5A8DA5" w:rsidR="00A5551D" w:rsidRPr="00583CBA" w:rsidRDefault="00A5551D" w:rsidP="00B043DE">
      <w:pPr>
        <w:contextualSpacing/>
        <w:rPr>
          <w:sz w:val="26"/>
          <w:lang w:val="lv-LV"/>
        </w:rPr>
      </w:pPr>
    </w:p>
    <w:p w14:paraId="75F8D6BE" w14:textId="77777777" w:rsidR="00A5551D" w:rsidRPr="00583CBA" w:rsidRDefault="00A5551D" w:rsidP="00B043DE">
      <w:pPr>
        <w:contextualSpacing/>
        <w:rPr>
          <w:sz w:val="26"/>
          <w:lang w:val="lv-LV"/>
        </w:rPr>
      </w:pPr>
    </w:p>
    <w:tbl>
      <w:tblPr>
        <w:tblW w:w="9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2665"/>
        <w:gridCol w:w="6234"/>
      </w:tblGrid>
      <w:tr w:rsidR="006F4B13" w:rsidRPr="00030D4A" w14:paraId="7EEC0F00" w14:textId="77777777" w:rsidTr="006C5DED">
        <w:trPr>
          <w:trHeight w:val="421"/>
        </w:trPr>
        <w:tc>
          <w:tcPr>
            <w:tcW w:w="9211" w:type="dxa"/>
            <w:gridSpan w:val="3"/>
            <w:tcBorders>
              <w:top w:val="single" w:sz="2" w:space="0" w:color="auto"/>
            </w:tcBorders>
            <w:vAlign w:val="center"/>
          </w:tcPr>
          <w:p w14:paraId="7BCCE7F8" w14:textId="77777777" w:rsidR="006F4B13" w:rsidRPr="00583CBA" w:rsidRDefault="006F4B13" w:rsidP="00B043DE">
            <w:pPr>
              <w:ind w:left="57" w:right="57"/>
              <w:contextualSpacing/>
              <w:jc w:val="center"/>
              <w:rPr>
                <w:rFonts w:eastAsia="Times New Roman"/>
                <w:sz w:val="25"/>
                <w:szCs w:val="25"/>
                <w:lang w:val="lv-LV"/>
              </w:rPr>
            </w:pPr>
            <w:r w:rsidRPr="00583CBA">
              <w:rPr>
                <w:rFonts w:eastAsia="Times New Roman"/>
                <w:b/>
                <w:sz w:val="25"/>
                <w:szCs w:val="25"/>
                <w:lang w:val="lv-LV"/>
              </w:rPr>
              <w:t>VI. Sabiedrības līdzdalība un komunikācijas aktivitātes</w:t>
            </w:r>
          </w:p>
        </w:tc>
      </w:tr>
      <w:tr w:rsidR="006F4B13" w:rsidRPr="00583CBA" w14:paraId="6FEF54FD" w14:textId="77777777" w:rsidTr="00E50D80">
        <w:trPr>
          <w:trHeight w:val="553"/>
        </w:trPr>
        <w:tc>
          <w:tcPr>
            <w:tcW w:w="312" w:type="dxa"/>
          </w:tcPr>
          <w:p w14:paraId="41086138" w14:textId="77777777" w:rsidR="006F4B13" w:rsidRPr="00583CBA" w:rsidRDefault="006F4B13" w:rsidP="00B043DE">
            <w:pPr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583CBA">
              <w:rPr>
                <w:sz w:val="25"/>
                <w:lang w:val="lv-LV"/>
              </w:rPr>
              <w:t>1.</w:t>
            </w:r>
          </w:p>
        </w:tc>
        <w:tc>
          <w:tcPr>
            <w:tcW w:w="2665" w:type="dxa"/>
          </w:tcPr>
          <w:p w14:paraId="798682AC" w14:textId="77777777" w:rsidR="006F4B13" w:rsidRPr="00583CBA" w:rsidRDefault="006F4B13" w:rsidP="00AF489B">
            <w:pPr>
              <w:tabs>
                <w:tab w:val="left" w:pos="170"/>
              </w:tabs>
              <w:ind w:left="57" w:right="57"/>
              <w:contextualSpacing/>
              <w:jc w:val="both"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583CBA">
              <w:rPr>
                <w:rFonts w:eastAsia="PMingLiU"/>
                <w:sz w:val="26"/>
                <w:szCs w:val="26"/>
                <w:lang w:val="lv-LV" w:eastAsia="ja-JP"/>
              </w:rPr>
              <w:t>Plānotās sabiedrības līdzdalības un komunikācijas aktivitātes saistībā ar projektu</w:t>
            </w:r>
          </w:p>
        </w:tc>
        <w:tc>
          <w:tcPr>
            <w:tcW w:w="6234" w:type="dxa"/>
          </w:tcPr>
          <w:p w14:paraId="5A60AED3" w14:textId="1E18CB95" w:rsidR="00D27E4D" w:rsidRPr="00A50812" w:rsidRDefault="009C030C" w:rsidP="00B043DE">
            <w:pPr>
              <w:shd w:val="clear" w:color="auto" w:fill="FFFFFF"/>
              <w:ind w:right="113"/>
              <w:contextualSpacing/>
              <w:jc w:val="both"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AF489B">
              <w:rPr>
                <w:rFonts w:eastAsia="PMingLiU"/>
                <w:sz w:val="26"/>
                <w:szCs w:val="26"/>
                <w:lang w:val="lv-LV" w:eastAsia="ja-JP"/>
              </w:rPr>
              <w:t>S</w:t>
            </w:r>
            <w:r w:rsidR="001C70CC" w:rsidRPr="00AF489B">
              <w:rPr>
                <w:rFonts w:eastAsia="PMingLiU"/>
                <w:sz w:val="26"/>
                <w:szCs w:val="26"/>
                <w:lang w:val="lv-LV" w:eastAsia="ja-JP"/>
              </w:rPr>
              <w:t xml:space="preserve">abiedrības līdzdalība </w:t>
            </w:r>
            <w:r w:rsidR="00D27E4D" w:rsidRPr="00AF489B">
              <w:rPr>
                <w:rFonts w:eastAsia="PMingLiU"/>
                <w:sz w:val="26"/>
                <w:szCs w:val="26"/>
                <w:lang w:val="lv-LV" w:eastAsia="ja-JP"/>
              </w:rPr>
              <w:t xml:space="preserve">ir nodrošināta </w:t>
            </w:r>
            <w:r w:rsidR="005430F2" w:rsidRPr="00AF489B">
              <w:rPr>
                <w:rFonts w:eastAsia="PMingLiU"/>
                <w:sz w:val="26"/>
                <w:szCs w:val="26"/>
                <w:lang w:val="lv-LV" w:eastAsia="ja-JP"/>
              </w:rPr>
              <w:t>20</w:t>
            </w:r>
            <w:r w:rsidR="00D27E4D" w:rsidRPr="00AF489B">
              <w:rPr>
                <w:rFonts w:eastAsia="PMingLiU"/>
                <w:sz w:val="26"/>
                <w:szCs w:val="26"/>
                <w:lang w:val="lv-LV" w:eastAsia="ja-JP"/>
              </w:rPr>
              <w:t>.03.2020. krīzes vadības grupas ietvaros apspriežot noteikumu projektu ar uzņēmējiem</w:t>
            </w:r>
            <w:r w:rsidR="009A3D60" w:rsidRPr="009A3D60">
              <w:rPr>
                <w:rFonts w:eastAsia="PMingLiU"/>
                <w:sz w:val="26"/>
                <w:szCs w:val="26"/>
                <w:lang w:val="lv-LV" w:eastAsia="ja-JP"/>
              </w:rPr>
              <w:t>, kā arī Finanšu nozares asociācijas tikšanās laikā ar Finanšu ministru 20.martā.</w:t>
            </w:r>
          </w:p>
          <w:p w14:paraId="384FFED0" w14:textId="39FBDBB6" w:rsidR="00D27E4D" w:rsidRPr="00583CBA" w:rsidRDefault="00D27E4D" w:rsidP="00B043DE">
            <w:pPr>
              <w:shd w:val="clear" w:color="auto" w:fill="FFFFFF"/>
              <w:ind w:right="113"/>
              <w:contextualSpacing/>
              <w:jc w:val="both"/>
              <w:rPr>
                <w:rFonts w:eastAsia="PMingLiU"/>
                <w:sz w:val="26"/>
                <w:szCs w:val="26"/>
                <w:highlight w:val="yellow"/>
                <w:lang w:val="lv-LV" w:eastAsia="ja-JP"/>
              </w:rPr>
            </w:pPr>
            <w:r w:rsidRPr="00A50812">
              <w:rPr>
                <w:rFonts w:eastAsia="PMingLiU"/>
                <w:sz w:val="26"/>
                <w:szCs w:val="26"/>
                <w:lang w:val="lv-LV" w:eastAsia="ja-JP"/>
              </w:rPr>
              <w:t>Noteikumos ietvertie nosacījumi ir pārrunāti ar Finanšu nozares asociāciju.</w:t>
            </w:r>
          </w:p>
        </w:tc>
      </w:tr>
      <w:tr w:rsidR="006F4B13" w:rsidRPr="00A82313" w14:paraId="3F5FD1CD" w14:textId="77777777" w:rsidTr="00E50D80">
        <w:trPr>
          <w:trHeight w:val="339"/>
        </w:trPr>
        <w:tc>
          <w:tcPr>
            <w:tcW w:w="312" w:type="dxa"/>
          </w:tcPr>
          <w:p w14:paraId="4B9C6F89" w14:textId="77777777" w:rsidR="006F4B13" w:rsidRPr="00583CBA" w:rsidRDefault="006F4B13" w:rsidP="00B043DE">
            <w:pPr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583CBA">
              <w:rPr>
                <w:sz w:val="25"/>
                <w:lang w:val="lv-LV"/>
              </w:rPr>
              <w:t>2.</w:t>
            </w:r>
          </w:p>
        </w:tc>
        <w:tc>
          <w:tcPr>
            <w:tcW w:w="2665" w:type="dxa"/>
          </w:tcPr>
          <w:p w14:paraId="4B6FBDE6" w14:textId="77777777" w:rsidR="006F4B13" w:rsidRPr="00583CBA" w:rsidRDefault="006F4B13" w:rsidP="00AF489B">
            <w:pPr>
              <w:ind w:left="57" w:right="57"/>
              <w:contextualSpacing/>
              <w:jc w:val="both"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583CBA">
              <w:rPr>
                <w:rFonts w:eastAsia="PMingLiU"/>
                <w:sz w:val="26"/>
                <w:szCs w:val="26"/>
                <w:lang w:val="lv-LV" w:eastAsia="ja-JP"/>
              </w:rPr>
              <w:t>Sabiedrības līdzdalība projekta izstrādē</w:t>
            </w:r>
          </w:p>
        </w:tc>
        <w:tc>
          <w:tcPr>
            <w:tcW w:w="6234" w:type="dxa"/>
          </w:tcPr>
          <w:p w14:paraId="04F6A2E3" w14:textId="77777777" w:rsidR="000A37C3" w:rsidRPr="00583CBA" w:rsidRDefault="00D90CAE" w:rsidP="00B043DE">
            <w:pPr>
              <w:shd w:val="clear" w:color="auto" w:fill="FFFFFF"/>
              <w:ind w:left="57" w:right="113"/>
              <w:contextualSpacing/>
              <w:jc w:val="both"/>
              <w:rPr>
                <w:rFonts w:eastAsia="Times New Roman"/>
                <w:iCs/>
                <w:sz w:val="26"/>
                <w:szCs w:val="26"/>
                <w:lang w:val="lv-LV"/>
              </w:rPr>
            </w:pPr>
            <w:r w:rsidRPr="00583CBA">
              <w:rPr>
                <w:rFonts w:eastAsia="Times New Roman"/>
                <w:iCs/>
                <w:sz w:val="26"/>
                <w:szCs w:val="26"/>
                <w:lang w:val="lv-LV"/>
              </w:rPr>
              <w:t>P</w:t>
            </w:r>
            <w:r w:rsidR="00E670D3" w:rsidRPr="00583CBA">
              <w:rPr>
                <w:rFonts w:eastAsia="Times New Roman"/>
                <w:iCs/>
                <w:sz w:val="26"/>
                <w:szCs w:val="26"/>
                <w:lang w:val="lv-LV"/>
              </w:rPr>
              <w:t>rojekts ievietots Ekonomikas ministrijas mājas lapā</w:t>
            </w:r>
          </w:p>
          <w:p w14:paraId="458F6555" w14:textId="533C81BC" w:rsidR="000A37C3" w:rsidRPr="00583CBA" w:rsidRDefault="00A834F9" w:rsidP="00B043DE">
            <w:pPr>
              <w:shd w:val="clear" w:color="auto" w:fill="FFFFFF"/>
              <w:ind w:left="57" w:right="404"/>
              <w:contextualSpacing/>
              <w:jc w:val="both"/>
              <w:rPr>
                <w:rFonts w:eastAsia="Times New Roman"/>
                <w:iCs/>
                <w:sz w:val="26"/>
                <w:szCs w:val="26"/>
                <w:lang w:val="lv-LV"/>
              </w:rPr>
            </w:pPr>
            <w:hyperlink r:id="rId8" w:history="1">
              <w:r w:rsidR="006C5DED" w:rsidRPr="00583CBA">
                <w:rPr>
                  <w:rStyle w:val="Hyperlink"/>
                  <w:rFonts w:eastAsia="Times New Roman"/>
                  <w:iCs/>
                  <w:sz w:val="26"/>
                  <w:szCs w:val="26"/>
                  <w:lang w:val="lv-LV"/>
                </w:rPr>
                <w:t>https://www.em.gov.lv/lv/Ministrija/sabiedribas_lidzdaliba/diskusiju_dokumenti/</w:t>
              </w:r>
            </w:hyperlink>
          </w:p>
          <w:p w14:paraId="132EFB10" w14:textId="77777777" w:rsidR="006C5DED" w:rsidRPr="00583CBA" w:rsidRDefault="0091182D" w:rsidP="00B043DE">
            <w:pPr>
              <w:shd w:val="clear" w:color="auto" w:fill="FFFFFF"/>
              <w:ind w:left="57" w:right="113"/>
              <w:contextualSpacing/>
              <w:jc w:val="both"/>
              <w:rPr>
                <w:rFonts w:eastAsia="Times New Roman"/>
                <w:iCs/>
                <w:sz w:val="26"/>
                <w:szCs w:val="26"/>
                <w:lang w:val="lv-LV"/>
              </w:rPr>
            </w:pPr>
            <w:r w:rsidRPr="00583CBA">
              <w:rPr>
                <w:rFonts w:eastAsia="Times New Roman"/>
                <w:iCs/>
                <w:sz w:val="26"/>
                <w:szCs w:val="26"/>
                <w:lang w:val="lv-LV"/>
              </w:rPr>
              <w:t>un Ministru kabineta mājas lapā</w:t>
            </w:r>
          </w:p>
          <w:p w14:paraId="18D5064F" w14:textId="777FB940" w:rsidR="006F4B13" w:rsidRPr="00583CBA" w:rsidRDefault="00A834F9" w:rsidP="00B043DE">
            <w:pPr>
              <w:shd w:val="clear" w:color="auto" w:fill="FFFFFF"/>
              <w:ind w:left="57" w:right="113"/>
              <w:contextualSpacing/>
              <w:jc w:val="both"/>
              <w:rPr>
                <w:rFonts w:eastAsia="PMingLiU"/>
                <w:sz w:val="26"/>
                <w:szCs w:val="26"/>
                <w:shd w:val="clear" w:color="auto" w:fill="FFFFFF"/>
                <w:lang w:val="lv-LV" w:eastAsia="ja-JP"/>
              </w:rPr>
            </w:pPr>
            <w:hyperlink r:id="rId9" w:history="1">
              <w:r w:rsidR="006C5DED" w:rsidRPr="00583CBA">
                <w:rPr>
                  <w:rStyle w:val="Hyperlink"/>
                  <w:rFonts w:eastAsia="Times New Roman"/>
                  <w:iCs/>
                  <w:sz w:val="26"/>
                  <w:szCs w:val="26"/>
                  <w:lang w:val="lv-LV"/>
                </w:rPr>
                <w:t>https://www.mk.gov.lv/content/ministru-kabineta-diskusiju-dokumenti</w:t>
              </w:r>
            </w:hyperlink>
          </w:p>
        </w:tc>
      </w:tr>
      <w:tr w:rsidR="006F4B13" w:rsidRPr="00583CBA" w14:paraId="0F937EA3" w14:textId="77777777" w:rsidTr="00E50D80">
        <w:trPr>
          <w:trHeight w:val="476"/>
        </w:trPr>
        <w:tc>
          <w:tcPr>
            <w:tcW w:w="312" w:type="dxa"/>
          </w:tcPr>
          <w:p w14:paraId="5A007BCA" w14:textId="77777777" w:rsidR="006F4B13" w:rsidRPr="00583CBA" w:rsidRDefault="006F4B13" w:rsidP="00B043DE">
            <w:pPr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583CBA">
              <w:rPr>
                <w:sz w:val="25"/>
                <w:lang w:val="lv-LV"/>
              </w:rPr>
              <w:t>3.</w:t>
            </w:r>
          </w:p>
        </w:tc>
        <w:tc>
          <w:tcPr>
            <w:tcW w:w="2665" w:type="dxa"/>
          </w:tcPr>
          <w:p w14:paraId="5F99D7D0" w14:textId="77777777" w:rsidR="006F4B13" w:rsidRPr="00583CBA" w:rsidRDefault="006F4B13" w:rsidP="00B043DE">
            <w:pPr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583CBA">
              <w:rPr>
                <w:rFonts w:eastAsia="PMingLiU"/>
                <w:sz w:val="26"/>
                <w:szCs w:val="26"/>
                <w:lang w:val="lv-LV" w:eastAsia="ja-JP"/>
              </w:rPr>
              <w:t>Sabiedrības līdzdalības rezultāti</w:t>
            </w:r>
          </w:p>
        </w:tc>
        <w:tc>
          <w:tcPr>
            <w:tcW w:w="6234" w:type="dxa"/>
          </w:tcPr>
          <w:p w14:paraId="2BF921D4" w14:textId="6D400666" w:rsidR="006F4B13" w:rsidRPr="00583CBA" w:rsidRDefault="006F4B13" w:rsidP="00B043DE">
            <w:pPr>
              <w:shd w:val="clear" w:color="auto" w:fill="FFFFFF"/>
              <w:ind w:left="57" w:right="113"/>
              <w:contextualSpacing/>
              <w:jc w:val="both"/>
              <w:rPr>
                <w:rFonts w:eastAsia="PMingLiU"/>
                <w:sz w:val="26"/>
                <w:szCs w:val="26"/>
                <w:shd w:val="clear" w:color="auto" w:fill="FFFFFF"/>
                <w:lang w:val="lv-LV" w:eastAsia="ja-JP"/>
              </w:rPr>
            </w:pPr>
            <w:r w:rsidRPr="00583CBA">
              <w:rPr>
                <w:rFonts w:eastAsia="PMingLiU"/>
                <w:sz w:val="26"/>
                <w:szCs w:val="26"/>
                <w:shd w:val="clear" w:color="auto" w:fill="FFFFFF"/>
                <w:lang w:val="lv-LV" w:eastAsia="ja-JP"/>
              </w:rPr>
              <w:t>Nav</w:t>
            </w:r>
          </w:p>
        </w:tc>
      </w:tr>
      <w:tr w:rsidR="006F4B13" w:rsidRPr="00583CBA" w14:paraId="13638F96" w14:textId="77777777" w:rsidTr="00E50D80">
        <w:trPr>
          <w:trHeight w:val="205"/>
        </w:trPr>
        <w:tc>
          <w:tcPr>
            <w:tcW w:w="312" w:type="dxa"/>
          </w:tcPr>
          <w:p w14:paraId="286DE4AB" w14:textId="77777777" w:rsidR="006F4B13" w:rsidRPr="00583CBA" w:rsidRDefault="006F4B13" w:rsidP="00B043DE">
            <w:pPr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583CBA">
              <w:rPr>
                <w:sz w:val="25"/>
                <w:lang w:val="lv-LV"/>
              </w:rPr>
              <w:t>4.</w:t>
            </w:r>
          </w:p>
        </w:tc>
        <w:tc>
          <w:tcPr>
            <w:tcW w:w="2665" w:type="dxa"/>
          </w:tcPr>
          <w:p w14:paraId="1AEA4978" w14:textId="77777777" w:rsidR="006F4B13" w:rsidRPr="00583CBA" w:rsidRDefault="006F4B13" w:rsidP="00B043DE">
            <w:pPr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583CBA">
              <w:rPr>
                <w:rFonts w:eastAsia="PMingLiU"/>
                <w:sz w:val="26"/>
                <w:szCs w:val="26"/>
                <w:lang w:val="lv-LV" w:eastAsia="ja-JP"/>
              </w:rPr>
              <w:t>Cita informācija</w:t>
            </w:r>
          </w:p>
        </w:tc>
        <w:tc>
          <w:tcPr>
            <w:tcW w:w="6234" w:type="dxa"/>
          </w:tcPr>
          <w:p w14:paraId="29112FCD" w14:textId="5927F71D" w:rsidR="006F4B13" w:rsidRPr="00583CBA" w:rsidRDefault="006F4B13" w:rsidP="00B043DE">
            <w:pPr>
              <w:ind w:left="57" w:right="113"/>
              <w:contextualSpacing/>
              <w:jc w:val="both"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583CBA">
              <w:rPr>
                <w:rFonts w:eastAsia="PMingLiU"/>
                <w:sz w:val="26"/>
                <w:szCs w:val="26"/>
                <w:lang w:val="lv-LV" w:eastAsia="ja-JP"/>
              </w:rPr>
              <w:t>Nav</w:t>
            </w:r>
          </w:p>
        </w:tc>
      </w:tr>
    </w:tbl>
    <w:p w14:paraId="07B85D36" w14:textId="1E6EF1D8" w:rsidR="00844176" w:rsidRPr="00583CBA" w:rsidRDefault="00844176" w:rsidP="00B043DE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0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2701"/>
        <w:gridCol w:w="6237"/>
      </w:tblGrid>
      <w:tr w:rsidR="00844176" w:rsidRPr="00030D4A" w14:paraId="72278BCA" w14:textId="77777777" w:rsidTr="00320B22">
        <w:trPr>
          <w:trHeight w:val="375"/>
        </w:trPr>
        <w:tc>
          <w:tcPr>
            <w:tcW w:w="9206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C12EA7" w14:textId="53912CA3" w:rsidR="00844176" w:rsidRPr="00583CBA" w:rsidRDefault="00844176" w:rsidP="00B043DE">
            <w:pPr>
              <w:ind w:firstLine="300"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b/>
                <w:sz w:val="26"/>
                <w:lang w:val="lv-LV"/>
              </w:rPr>
              <w:t>VII. Tiesību akta projekta izpildes nodrošināšana un tās ietekme uz institūcijām</w:t>
            </w:r>
          </w:p>
        </w:tc>
      </w:tr>
      <w:tr w:rsidR="00844176" w:rsidRPr="00583CBA" w14:paraId="3BE578E7" w14:textId="77777777" w:rsidTr="00320B22">
        <w:trPr>
          <w:trHeight w:val="42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2ABD64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>1.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B08CA7" w14:textId="77777777" w:rsidR="00844176" w:rsidRPr="00583CBA" w:rsidRDefault="00844176" w:rsidP="00B043DE">
            <w:pPr>
              <w:ind w:right="112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583CBA">
              <w:rPr>
                <w:sz w:val="26"/>
                <w:szCs w:val="26"/>
                <w:lang w:val="lv-LV"/>
              </w:rPr>
              <w:t>Projekta izpildē iesaistītās institūcijas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10CF17" w14:textId="1EC3A696" w:rsidR="00844176" w:rsidRPr="00583CBA" w:rsidRDefault="00844176" w:rsidP="00B043DE">
            <w:pPr>
              <w:ind w:left="82" w:right="16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583CBA">
              <w:rPr>
                <w:sz w:val="26"/>
                <w:szCs w:val="26"/>
                <w:lang w:val="lv-LV"/>
              </w:rPr>
              <w:t>E</w:t>
            </w:r>
            <w:r w:rsidR="00733C32" w:rsidRPr="00583CBA">
              <w:rPr>
                <w:sz w:val="26"/>
                <w:szCs w:val="26"/>
                <w:lang w:val="lv-LV"/>
              </w:rPr>
              <w:t>konomikas ministrija</w:t>
            </w:r>
            <w:r w:rsidR="0074545C" w:rsidRPr="00583CBA">
              <w:rPr>
                <w:sz w:val="26"/>
                <w:szCs w:val="26"/>
                <w:lang w:val="lv-LV"/>
              </w:rPr>
              <w:t>, sabiedrība</w:t>
            </w:r>
            <w:r w:rsidR="00733C32" w:rsidRPr="00583CBA">
              <w:rPr>
                <w:sz w:val="26"/>
                <w:szCs w:val="26"/>
                <w:lang w:val="lv-LV"/>
              </w:rPr>
              <w:t xml:space="preserve"> “Altum”</w:t>
            </w:r>
          </w:p>
        </w:tc>
      </w:tr>
      <w:tr w:rsidR="00844176" w:rsidRPr="00030D4A" w14:paraId="2CF2C3EA" w14:textId="77777777" w:rsidTr="00320B22">
        <w:trPr>
          <w:trHeight w:val="45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BFDB2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>2.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09650" w14:textId="77777777" w:rsidR="00844176" w:rsidRPr="00583CBA" w:rsidRDefault="00844176" w:rsidP="00B043DE">
            <w:pPr>
              <w:ind w:right="112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583CBA">
              <w:rPr>
                <w:sz w:val="26"/>
                <w:szCs w:val="26"/>
                <w:lang w:val="lv-LV"/>
              </w:rPr>
              <w:t>Projekta izpildes ietekme uz pārvaldes funkcijām un institucionālo struktūru. Jaunu institūciju izveide, esošu institūciju likvidācija vai reorganizācija, to ietekme uz institūcijas cilvēkresursiem.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A7977" w14:textId="78D7C7CB" w:rsidR="00844176" w:rsidRPr="00583CBA" w:rsidRDefault="00F669EB" w:rsidP="00B043DE">
            <w:pPr>
              <w:ind w:left="82" w:right="16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583CBA">
              <w:rPr>
                <w:sz w:val="26"/>
                <w:szCs w:val="26"/>
                <w:lang w:val="lv-LV"/>
              </w:rPr>
              <w:t>P</w:t>
            </w:r>
            <w:r w:rsidR="00844176" w:rsidRPr="00583CBA">
              <w:rPr>
                <w:sz w:val="26"/>
                <w:szCs w:val="26"/>
                <w:lang w:val="lv-LV"/>
              </w:rPr>
              <w:t>roj</w:t>
            </w:r>
            <w:r w:rsidR="00733C32" w:rsidRPr="00583CBA">
              <w:rPr>
                <w:sz w:val="26"/>
                <w:szCs w:val="26"/>
                <w:lang w:val="lv-LV"/>
              </w:rPr>
              <w:t>ekta izpilde tiks nodrošināta Ekonomikas ministrijas</w:t>
            </w:r>
            <w:r w:rsidR="00844176" w:rsidRPr="00583CBA">
              <w:rPr>
                <w:sz w:val="26"/>
                <w:szCs w:val="26"/>
                <w:lang w:val="lv-LV"/>
              </w:rPr>
              <w:t xml:space="preserve"> un </w:t>
            </w:r>
            <w:r w:rsidR="0074545C" w:rsidRPr="00583CBA">
              <w:rPr>
                <w:sz w:val="26"/>
                <w:szCs w:val="26"/>
                <w:lang w:val="lv-LV"/>
              </w:rPr>
              <w:t>akciju sabiedrības</w:t>
            </w:r>
            <w:r w:rsidR="00733C32" w:rsidRPr="00583CBA">
              <w:rPr>
                <w:sz w:val="26"/>
                <w:szCs w:val="26"/>
                <w:lang w:val="lv-LV"/>
              </w:rPr>
              <w:t xml:space="preserve"> “Altum” </w:t>
            </w:r>
            <w:r w:rsidR="00844176" w:rsidRPr="00583CBA">
              <w:rPr>
                <w:sz w:val="26"/>
                <w:szCs w:val="26"/>
                <w:lang w:val="lv-LV"/>
              </w:rPr>
              <w:t>esošo funkciju ietvaros</w:t>
            </w:r>
            <w:r w:rsidR="002B7681" w:rsidRPr="00583CBA">
              <w:rPr>
                <w:sz w:val="26"/>
                <w:szCs w:val="26"/>
                <w:lang w:val="lv-LV"/>
              </w:rPr>
              <w:t>, kā arī nav paredzēta jaunu institūciju izveide, esošu institūciju likvidācija vai reorganizācija</w:t>
            </w:r>
            <w:r w:rsidR="00844176" w:rsidRPr="00583CBA">
              <w:rPr>
                <w:sz w:val="26"/>
                <w:szCs w:val="26"/>
                <w:lang w:val="lv-LV"/>
              </w:rPr>
              <w:t>.</w:t>
            </w:r>
          </w:p>
        </w:tc>
      </w:tr>
      <w:tr w:rsidR="00844176" w:rsidRPr="00583CBA" w14:paraId="2EBACAF6" w14:textId="77777777" w:rsidTr="00320B22">
        <w:trPr>
          <w:trHeight w:val="39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52C13F" w14:textId="77777777" w:rsidR="00844176" w:rsidRPr="00583CBA" w:rsidRDefault="00844176" w:rsidP="00B043DE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sz w:val="26"/>
                <w:lang w:val="lv-LV"/>
              </w:rPr>
              <w:t>3.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C748B" w14:textId="77777777" w:rsidR="00844176" w:rsidRPr="00583CBA" w:rsidRDefault="00844176" w:rsidP="00B043DE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FA647" w14:textId="77777777" w:rsidR="00844176" w:rsidRPr="00583CBA" w:rsidRDefault="00844176" w:rsidP="00B043DE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583CBA">
              <w:rPr>
                <w:rFonts w:eastAsia="Times New Roman"/>
                <w:sz w:val="26"/>
                <w:szCs w:val="26"/>
                <w:lang w:val="lv-LV" w:eastAsia="lv-LV"/>
              </w:rPr>
              <w:t>Nav</w:t>
            </w:r>
          </w:p>
        </w:tc>
      </w:tr>
    </w:tbl>
    <w:p w14:paraId="03EE94B5" w14:textId="1CE65C68" w:rsidR="00862580" w:rsidRPr="00583CBA" w:rsidRDefault="00862580" w:rsidP="00B043DE">
      <w:pPr>
        <w:contextualSpacing/>
        <w:jc w:val="both"/>
        <w:rPr>
          <w:sz w:val="26"/>
          <w:lang w:val="lv-LV"/>
        </w:rPr>
      </w:pPr>
    </w:p>
    <w:p w14:paraId="06F0F0CE" w14:textId="77777777" w:rsidR="00DA1B53" w:rsidRPr="00AF489B" w:rsidRDefault="00DA1B53" w:rsidP="002B56F4">
      <w:pPr>
        <w:jc w:val="both"/>
        <w:rPr>
          <w:sz w:val="26"/>
          <w:szCs w:val="26"/>
        </w:rPr>
      </w:pPr>
      <w:r w:rsidRPr="00AF489B">
        <w:rPr>
          <w:sz w:val="26"/>
          <w:szCs w:val="26"/>
        </w:rPr>
        <w:t>Ekonomikas ministra p.i.,</w:t>
      </w:r>
    </w:p>
    <w:p w14:paraId="6452CC80" w14:textId="3846D990" w:rsidR="00DA1B53" w:rsidRPr="00AF489B" w:rsidRDefault="002B56F4" w:rsidP="002B56F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DA1B53" w:rsidRPr="00AF489B">
        <w:rPr>
          <w:sz w:val="26"/>
          <w:szCs w:val="26"/>
        </w:rPr>
        <w:t xml:space="preserve">ekšlietu ministrs </w:t>
      </w:r>
      <w:r w:rsidR="00DA1B53" w:rsidRPr="00AF489B">
        <w:rPr>
          <w:sz w:val="26"/>
          <w:szCs w:val="26"/>
        </w:rPr>
        <w:tab/>
      </w:r>
      <w:r w:rsidR="00DA1B53" w:rsidRPr="00AF489B">
        <w:rPr>
          <w:sz w:val="26"/>
          <w:szCs w:val="26"/>
        </w:rPr>
        <w:tab/>
      </w:r>
      <w:r w:rsidR="00DA1B53" w:rsidRPr="00AF489B">
        <w:rPr>
          <w:sz w:val="26"/>
          <w:szCs w:val="26"/>
        </w:rPr>
        <w:tab/>
      </w:r>
      <w:r w:rsidR="00DA1B53" w:rsidRPr="00AF489B">
        <w:rPr>
          <w:sz w:val="26"/>
          <w:szCs w:val="26"/>
        </w:rPr>
        <w:tab/>
        <w:t xml:space="preserve">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A1B53" w:rsidRPr="00AF489B">
        <w:rPr>
          <w:sz w:val="26"/>
          <w:szCs w:val="26"/>
        </w:rPr>
        <w:t>S.Ģirģens</w:t>
      </w:r>
    </w:p>
    <w:p w14:paraId="3248ED04" w14:textId="11153944" w:rsidR="00862580" w:rsidRPr="002B56F4" w:rsidRDefault="00102B0D" w:rsidP="002B56F4">
      <w:pPr>
        <w:rPr>
          <w:sz w:val="26"/>
          <w:szCs w:val="26"/>
          <w:lang w:val="lv-LV"/>
        </w:rPr>
      </w:pPr>
      <w:r w:rsidRPr="002B56F4">
        <w:rPr>
          <w:sz w:val="26"/>
          <w:szCs w:val="26"/>
          <w:lang w:val="lv-LV"/>
        </w:rPr>
        <w:tab/>
      </w:r>
    </w:p>
    <w:p w14:paraId="186DE79D" w14:textId="77777777" w:rsidR="00102B0D" w:rsidRPr="002B56F4" w:rsidRDefault="00862580" w:rsidP="00AF489B">
      <w:pPr>
        <w:tabs>
          <w:tab w:val="left" w:pos="6237"/>
        </w:tabs>
        <w:contextualSpacing/>
        <w:rPr>
          <w:sz w:val="26"/>
          <w:szCs w:val="26"/>
          <w:lang w:val="lv-LV"/>
        </w:rPr>
      </w:pPr>
      <w:r w:rsidRPr="002B56F4">
        <w:rPr>
          <w:sz w:val="26"/>
          <w:szCs w:val="26"/>
          <w:lang w:val="lv-LV"/>
        </w:rPr>
        <w:t>Vīza</w:t>
      </w:r>
      <w:r w:rsidR="00102B0D" w:rsidRPr="002B56F4">
        <w:rPr>
          <w:sz w:val="26"/>
          <w:szCs w:val="26"/>
          <w:lang w:val="lv-LV"/>
        </w:rPr>
        <w:t>:</w:t>
      </w:r>
    </w:p>
    <w:p w14:paraId="0C09E4E3" w14:textId="4B5B4056" w:rsidR="00102B0D" w:rsidRPr="002B56F4" w:rsidRDefault="00102B0D" w:rsidP="00AF489B">
      <w:pPr>
        <w:tabs>
          <w:tab w:val="left" w:pos="6237"/>
        </w:tabs>
        <w:contextualSpacing/>
        <w:rPr>
          <w:sz w:val="26"/>
          <w:szCs w:val="26"/>
          <w:lang w:val="lv-LV"/>
        </w:rPr>
      </w:pPr>
      <w:r w:rsidRPr="002B56F4">
        <w:rPr>
          <w:sz w:val="26"/>
          <w:szCs w:val="26"/>
          <w:lang w:val="lv-LV"/>
        </w:rPr>
        <w:t xml:space="preserve">Valsts sekretāra vietā – </w:t>
      </w:r>
    </w:p>
    <w:p w14:paraId="10766B62" w14:textId="548A4B0E" w:rsidR="00862580" w:rsidRPr="002B56F4" w:rsidRDefault="00102B0D" w:rsidP="00AF489B">
      <w:pPr>
        <w:tabs>
          <w:tab w:val="left" w:pos="6379"/>
        </w:tabs>
        <w:contextualSpacing/>
        <w:rPr>
          <w:sz w:val="26"/>
          <w:szCs w:val="26"/>
          <w:lang w:val="lv-LV"/>
        </w:rPr>
      </w:pPr>
      <w:r w:rsidRPr="002B56F4">
        <w:rPr>
          <w:sz w:val="26"/>
          <w:szCs w:val="26"/>
          <w:lang w:val="lv-LV"/>
        </w:rPr>
        <w:t>valsts sekretāra vietnieks</w:t>
      </w:r>
      <w:r w:rsidRPr="002B56F4">
        <w:rPr>
          <w:sz w:val="26"/>
          <w:szCs w:val="26"/>
          <w:lang w:val="lv-LV"/>
        </w:rPr>
        <w:tab/>
      </w:r>
      <w:r w:rsidRPr="002B56F4">
        <w:rPr>
          <w:sz w:val="26"/>
          <w:szCs w:val="26"/>
          <w:lang w:val="lv-LV"/>
        </w:rPr>
        <w:tab/>
      </w:r>
      <w:r w:rsidR="00561126" w:rsidRPr="002B56F4">
        <w:rPr>
          <w:sz w:val="26"/>
          <w:szCs w:val="26"/>
          <w:lang w:val="lv-LV"/>
        </w:rPr>
        <w:t>Edmunds Valantis</w:t>
      </w:r>
    </w:p>
    <w:p w14:paraId="686EDB4F" w14:textId="0FC0C259" w:rsidR="00862580" w:rsidRPr="00583CBA" w:rsidRDefault="00862580" w:rsidP="00B043DE">
      <w:pPr>
        <w:tabs>
          <w:tab w:val="left" w:pos="6237"/>
        </w:tabs>
        <w:contextualSpacing/>
        <w:rPr>
          <w:lang w:val="lv-LV"/>
        </w:rPr>
      </w:pPr>
    </w:p>
    <w:p w14:paraId="7FE050EB" w14:textId="77777777" w:rsidR="00862580" w:rsidRPr="00583CBA" w:rsidRDefault="00862580" w:rsidP="00B043DE">
      <w:pPr>
        <w:tabs>
          <w:tab w:val="left" w:pos="6840"/>
        </w:tabs>
        <w:contextualSpacing/>
        <w:jc w:val="both"/>
        <w:rPr>
          <w:lang w:val="lv-LV"/>
        </w:rPr>
      </w:pPr>
      <w:r w:rsidRPr="00583CBA">
        <w:rPr>
          <w:lang w:val="lv-LV"/>
        </w:rPr>
        <w:t>Tetere, 67013044</w:t>
      </w:r>
    </w:p>
    <w:p w14:paraId="5B8D44CD" w14:textId="335AC42F" w:rsidR="00862580" w:rsidRPr="00583CBA" w:rsidRDefault="00A834F9" w:rsidP="00B043DE">
      <w:pPr>
        <w:pStyle w:val="Header"/>
        <w:tabs>
          <w:tab w:val="clear" w:pos="4153"/>
          <w:tab w:val="clear" w:pos="8306"/>
        </w:tabs>
        <w:contextualSpacing/>
        <w:rPr>
          <w:lang w:val="lv-LV"/>
        </w:rPr>
      </w:pPr>
      <w:hyperlink r:id="rId10" w:history="1">
        <w:r w:rsidR="00862580" w:rsidRPr="00583CBA">
          <w:rPr>
            <w:rStyle w:val="Hyperlink"/>
            <w:color w:val="auto"/>
            <w:lang w:val="lv-LV"/>
          </w:rPr>
          <w:t>Dita.Tetere@em.gov.lv</w:t>
        </w:r>
      </w:hyperlink>
    </w:p>
    <w:sectPr w:rsidR="00862580" w:rsidRPr="00583CBA" w:rsidSect="006064F8">
      <w:headerReference w:type="default" r:id="rId11"/>
      <w:endnotePr>
        <w:numFmt w:val="decimal"/>
      </w:endnotePr>
      <w:type w:val="continuous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C552E" w14:textId="77777777" w:rsidR="00A834F9" w:rsidRDefault="00A834F9" w:rsidP="006B2FEF">
      <w:r>
        <w:separator/>
      </w:r>
    </w:p>
  </w:endnote>
  <w:endnote w:type="continuationSeparator" w:id="0">
    <w:p w14:paraId="2662CEEC" w14:textId="77777777" w:rsidR="00A834F9" w:rsidRDefault="00A834F9" w:rsidP="006B2FEF">
      <w:r>
        <w:continuationSeparator/>
      </w:r>
    </w:p>
  </w:endnote>
  <w:endnote w:type="continuationNotice" w:id="1">
    <w:p w14:paraId="6AD0F9B4" w14:textId="77777777" w:rsidR="00A834F9" w:rsidRDefault="00A834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00E79" w14:textId="77777777" w:rsidR="00A834F9" w:rsidRDefault="00A834F9" w:rsidP="006B2FEF">
      <w:r>
        <w:separator/>
      </w:r>
    </w:p>
  </w:footnote>
  <w:footnote w:type="continuationSeparator" w:id="0">
    <w:p w14:paraId="3CEA6239" w14:textId="77777777" w:rsidR="00A834F9" w:rsidRDefault="00A834F9" w:rsidP="006B2FEF">
      <w:r>
        <w:continuationSeparator/>
      </w:r>
    </w:p>
  </w:footnote>
  <w:footnote w:type="continuationNotice" w:id="1">
    <w:p w14:paraId="1CF1BD95" w14:textId="77777777" w:rsidR="00A834F9" w:rsidRDefault="00A834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6272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597F8B3" w14:textId="1D461A7B" w:rsidR="0007156D" w:rsidRPr="005A1518" w:rsidRDefault="0007156D" w:rsidP="005A1518">
        <w:pPr>
          <w:pStyle w:val="Header"/>
          <w:jc w:val="center"/>
          <w:rPr>
            <w:sz w:val="24"/>
          </w:rPr>
        </w:pPr>
        <w:r w:rsidRPr="00B014C2">
          <w:rPr>
            <w:sz w:val="24"/>
            <w:szCs w:val="24"/>
          </w:rPr>
          <w:fldChar w:fldCharType="begin"/>
        </w:r>
        <w:r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451F09">
          <w:rPr>
            <w:noProof/>
            <w:sz w:val="24"/>
            <w:szCs w:val="24"/>
          </w:rPr>
          <w:t>3</w:t>
        </w:r>
        <w:r w:rsidRPr="00B014C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307F7"/>
    <w:multiLevelType w:val="hybridMultilevel"/>
    <w:tmpl w:val="AA90F2CA"/>
    <w:lvl w:ilvl="0" w:tplc="A254E06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503E"/>
    <w:multiLevelType w:val="hybridMultilevel"/>
    <w:tmpl w:val="E99477F4"/>
    <w:lvl w:ilvl="0" w:tplc="A254E062">
      <w:start w:val="9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CD7DD8"/>
    <w:multiLevelType w:val="hybridMultilevel"/>
    <w:tmpl w:val="5D96A968"/>
    <w:lvl w:ilvl="0" w:tplc="741CB2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ABE1100"/>
    <w:multiLevelType w:val="hybridMultilevel"/>
    <w:tmpl w:val="10144120"/>
    <w:lvl w:ilvl="0" w:tplc="D0A627C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F0D75"/>
    <w:multiLevelType w:val="hybridMultilevel"/>
    <w:tmpl w:val="6DD05146"/>
    <w:lvl w:ilvl="0" w:tplc="ADEEEF1A">
      <w:start w:val="2020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162269D"/>
    <w:multiLevelType w:val="hybridMultilevel"/>
    <w:tmpl w:val="0B4A956A"/>
    <w:lvl w:ilvl="0" w:tplc="A254E06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F5888"/>
    <w:multiLevelType w:val="hybridMultilevel"/>
    <w:tmpl w:val="3510317C"/>
    <w:lvl w:ilvl="0" w:tplc="A254E06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A0D5B"/>
    <w:multiLevelType w:val="hybridMultilevel"/>
    <w:tmpl w:val="268E5ABE"/>
    <w:lvl w:ilvl="0" w:tplc="A9AEE2D8">
      <w:start w:val="2020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6351B06"/>
    <w:multiLevelType w:val="hybridMultilevel"/>
    <w:tmpl w:val="BA2C9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9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D3"/>
    <w:rsid w:val="000008A9"/>
    <w:rsid w:val="000058AA"/>
    <w:rsid w:val="0000653D"/>
    <w:rsid w:val="00007491"/>
    <w:rsid w:val="00007B22"/>
    <w:rsid w:val="0001048C"/>
    <w:rsid w:val="00013B61"/>
    <w:rsid w:val="00014B9F"/>
    <w:rsid w:val="00016159"/>
    <w:rsid w:val="0002003C"/>
    <w:rsid w:val="000231D2"/>
    <w:rsid w:val="000240CA"/>
    <w:rsid w:val="00024ACB"/>
    <w:rsid w:val="00024D9D"/>
    <w:rsid w:val="0002596F"/>
    <w:rsid w:val="00025F84"/>
    <w:rsid w:val="00026F18"/>
    <w:rsid w:val="0003012D"/>
    <w:rsid w:val="00030B7E"/>
    <w:rsid w:val="00030D4A"/>
    <w:rsid w:val="0003245D"/>
    <w:rsid w:val="00032471"/>
    <w:rsid w:val="0003265E"/>
    <w:rsid w:val="00033F5A"/>
    <w:rsid w:val="00035C7B"/>
    <w:rsid w:val="000430AC"/>
    <w:rsid w:val="0004380E"/>
    <w:rsid w:val="00044683"/>
    <w:rsid w:val="00044743"/>
    <w:rsid w:val="00047095"/>
    <w:rsid w:val="00047962"/>
    <w:rsid w:val="000527A4"/>
    <w:rsid w:val="000629ED"/>
    <w:rsid w:val="000678CD"/>
    <w:rsid w:val="00070F56"/>
    <w:rsid w:val="00071082"/>
    <w:rsid w:val="0007156D"/>
    <w:rsid w:val="00071BC9"/>
    <w:rsid w:val="00072B02"/>
    <w:rsid w:val="0007330D"/>
    <w:rsid w:val="00074090"/>
    <w:rsid w:val="000773A5"/>
    <w:rsid w:val="00077D13"/>
    <w:rsid w:val="0008002B"/>
    <w:rsid w:val="00080352"/>
    <w:rsid w:val="000818FB"/>
    <w:rsid w:val="00081EC5"/>
    <w:rsid w:val="0008515E"/>
    <w:rsid w:val="00085640"/>
    <w:rsid w:val="0008577D"/>
    <w:rsid w:val="00091668"/>
    <w:rsid w:val="00091F4F"/>
    <w:rsid w:val="0009324B"/>
    <w:rsid w:val="00094B1E"/>
    <w:rsid w:val="00095280"/>
    <w:rsid w:val="00096060"/>
    <w:rsid w:val="000964C6"/>
    <w:rsid w:val="000A0059"/>
    <w:rsid w:val="000A14E3"/>
    <w:rsid w:val="000A3654"/>
    <w:rsid w:val="000A37C3"/>
    <w:rsid w:val="000A38DA"/>
    <w:rsid w:val="000A44CE"/>
    <w:rsid w:val="000A6332"/>
    <w:rsid w:val="000B0748"/>
    <w:rsid w:val="000B1926"/>
    <w:rsid w:val="000B1B64"/>
    <w:rsid w:val="000B2C54"/>
    <w:rsid w:val="000B3449"/>
    <w:rsid w:val="000B3FAB"/>
    <w:rsid w:val="000B492B"/>
    <w:rsid w:val="000B71B4"/>
    <w:rsid w:val="000C090A"/>
    <w:rsid w:val="000C33C1"/>
    <w:rsid w:val="000C4418"/>
    <w:rsid w:val="000D2474"/>
    <w:rsid w:val="000D3D56"/>
    <w:rsid w:val="000D43D9"/>
    <w:rsid w:val="000D74B9"/>
    <w:rsid w:val="000E257B"/>
    <w:rsid w:val="000E53C3"/>
    <w:rsid w:val="000E56F8"/>
    <w:rsid w:val="000E5DD2"/>
    <w:rsid w:val="000E63F3"/>
    <w:rsid w:val="000F0A62"/>
    <w:rsid w:val="000F0E0E"/>
    <w:rsid w:val="000F25D2"/>
    <w:rsid w:val="000F2EA7"/>
    <w:rsid w:val="000F4230"/>
    <w:rsid w:val="001001F5"/>
    <w:rsid w:val="00102922"/>
    <w:rsid w:val="00102B0D"/>
    <w:rsid w:val="00102B1D"/>
    <w:rsid w:val="00105D17"/>
    <w:rsid w:val="00110128"/>
    <w:rsid w:val="001144EF"/>
    <w:rsid w:val="0011606F"/>
    <w:rsid w:val="0012624C"/>
    <w:rsid w:val="0013024B"/>
    <w:rsid w:val="00131C9F"/>
    <w:rsid w:val="00137388"/>
    <w:rsid w:val="00137F96"/>
    <w:rsid w:val="00142C3C"/>
    <w:rsid w:val="00143BB6"/>
    <w:rsid w:val="00145366"/>
    <w:rsid w:val="00146697"/>
    <w:rsid w:val="00146D17"/>
    <w:rsid w:val="00151BBD"/>
    <w:rsid w:val="00152387"/>
    <w:rsid w:val="0015295F"/>
    <w:rsid w:val="00156C28"/>
    <w:rsid w:val="0016143E"/>
    <w:rsid w:val="00161BA7"/>
    <w:rsid w:val="001633A3"/>
    <w:rsid w:val="001650AC"/>
    <w:rsid w:val="001655DD"/>
    <w:rsid w:val="00165747"/>
    <w:rsid w:val="00165F5E"/>
    <w:rsid w:val="0016668A"/>
    <w:rsid w:val="00166A8B"/>
    <w:rsid w:val="0016744E"/>
    <w:rsid w:val="00167597"/>
    <w:rsid w:val="00171B7B"/>
    <w:rsid w:val="00172082"/>
    <w:rsid w:val="00176AB2"/>
    <w:rsid w:val="00177250"/>
    <w:rsid w:val="00177882"/>
    <w:rsid w:val="00177C69"/>
    <w:rsid w:val="00180E2B"/>
    <w:rsid w:val="00183B65"/>
    <w:rsid w:val="00183C0A"/>
    <w:rsid w:val="00186A4D"/>
    <w:rsid w:val="00187140"/>
    <w:rsid w:val="00187668"/>
    <w:rsid w:val="00190B3D"/>
    <w:rsid w:val="001935C8"/>
    <w:rsid w:val="001946C8"/>
    <w:rsid w:val="00195D43"/>
    <w:rsid w:val="001A120C"/>
    <w:rsid w:val="001A1322"/>
    <w:rsid w:val="001A1368"/>
    <w:rsid w:val="001A1439"/>
    <w:rsid w:val="001A2748"/>
    <w:rsid w:val="001A38EA"/>
    <w:rsid w:val="001A3ED2"/>
    <w:rsid w:val="001A7C3A"/>
    <w:rsid w:val="001A7E1D"/>
    <w:rsid w:val="001B70CA"/>
    <w:rsid w:val="001B7454"/>
    <w:rsid w:val="001C0801"/>
    <w:rsid w:val="001C143C"/>
    <w:rsid w:val="001C1B72"/>
    <w:rsid w:val="001C2832"/>
    <w:rsid w:val="001C362D"/>
    <w:rsid w:val="001C5ED6"/>
    <w:rsid w:val="001C6208"/>
    <w:rsid w:val="001C68A2"/>
    <w:rsid w:val="001C70CC"/>
    <w:rsid w:val="001D0561"/>
    <w:rsid w:val="001D0800"/>
    <w:rsid w:val="001D2C06"/>
    <w:rsid w:val="001D3167"/>
    <w:rsid w:val="001D6EFA"/>
    <w:rsid w:val="001D7397"/>
    <w:rsid w:val="001D7DC1"/>
    <w:rsid w:val="001E023A"/>
    <w:rsid w:val="001E1B0F"/>
    <w:rsid w:val="001E3588"/>
    <w:rsid w:val="001E4C2F"/>
    <w:rsid w:val="001E5FBC"/>
    <w:rsid w:val="001E76BE"/>
    <w:rsid w:val="001F2BA2"/>
    <w:rsid w:val="001F5843"/>
    <w:rsid w:val="001F6DBE"/>
    <w:rsid w:val="001F7086"/>
    <w:rsid w:val="001F7AAD"/>
    <w:rsid w:val="00200E7D"/>
    <w:rsid w:val="00201D17"/>
    <w:rsid w:val="0020468C"/>
    <w:rsid w:val="002107BF"/>
    <w:rsid w:val="00210E64"/>
    <w:rsid w:val="00211315"/>
    <w:rsid w:val="00215A5A"/>
    <w:rsid w:val="00215C6A"/>
    <w:rsid w:val="0021738A"/>
    <w:rsid w:val="002177B0"/>
    <w:rsid w:val="00217F5B"/>
    <w:rsid w:val="00223778"/>
    <w:rsid w:val="00224E84"/>
    <w:rsid w:val="002267E7"/>
    <w:rsid w:val="00227BC3"/>
    <w:rsid w:val="00227F25"/>
    <w:rsid w:val="00232596"/>
    <w:rsid w:val="002343B4"/>
    <w:rsid w:val="0023582E"/>
    <w:rsid w:val="00237878"/>
    <w:rsid w:val="002438ED"/>
    <w:rsid w:val="00244A9E"/>
    <w:rsid w:val="00246849"/>
    <w:rsid w:val="002470A3"/>
    <w:rsid w:val="00250127"/>
    <w:rsid w:val="0025023B"/>
    <w:rsid w:val="00252EEF"/>
    <w:rsid w:val="00253B6C"/>
    <w:rsid w:val="00254651"/>
    <w:rsid w:val="00254901"/>
    <w:rsid w:val="0025543B"/>
    <w:rsid w:val="00255BAC"/>
    <w:rsid w:val="0025654B"/>
    <w:rsid w:val="00257981"/>
    <w:rsid w:val="002601C7"/>
    <w:rsid w:val="00261B97"/>
    <w:rsid w:val="002651EA"/>
    <w:rsid w:val="0027369F"/>
    <w:rsid w:val="00273700"/>
    <w:rsid w:val="00273B21"/>
    <w:rsid w:val="00277D9D"/>
    <w:rsid w:val="00281C0B"/>
    <w:rsid w:val="00282251"/>
    <w:rsid w:val="0028288E"/>
    <w:rsid w:val="00290EE2"/>
    <w:rsid w:val="00292062"/>
    <w:rsid w:val="002932D2"/>
    <w:rsid w:val="00294DDB"/>
    <w:rsid w:val="00294DF3"/>
    <w:rsid w:val="002957B7"/>
    <w:rsid w:val="002A0435"/>
    <w:rsid w:val="002A0BC1"/>
    <w:rsid w:val="002A166A"/>
    <w:rsid w:val="002A1AA4"/>
    <w:rsid w:val="002A3287"/>
    <w:rsid w:val="002A3EC2"/>
    <w:rsid w:val="002A4213"/>
    <w:rsid w:val="002A6400"/>
    <w:rsid w:val="002B071C"/>
    <w:rsid w:val="002B24D2"/>
    <w:rsid w:val="002B3EAE"/>
    <w:rsid w:val="002B4900"/>
    <w:rsid w:val="002B56F4"/>
    <w:rsid w:val="002B6364"/>
    <w:rsid w:val="002B7681"/>
    <w:rsid w:val="002B7F82"/>
    <w:rsid w:val="002C15A0"/>
    <w:rsid w:val="002C22CF"/>
    <w:rsid w:val="002C3E23"/>
    <w:rsid w:val="002C3E51"/>
    <w:rsid w:val="002C504B"/>
    <w:rsid w:val="002C743D"/>
    <w:rsid w:val="002D339C"/>
    <w:rsid w:val="002D43A2"/>
    <w:rsid w:val="002D6A10"/>
    <w:rsid w:val="002D6BDB"/>
    <w:rsid w:val="002D744A"/>
    <w:rsid w:val="002D7D0E"/>
    <w:rsid w:val="002E024D"/>
    <w:rsid w:val="002E1075"/>
    <w:rsid w:val="002E5019"/>
    <w:rsid w:val="002E5643"/>
    <w:rsid w:val="002E678E"/>
    <w:rsid w:val="002E708A"/>
    <w:rsid w:val="002E7635"/>
    <w:rsid w:val="002F06CE"/>
    <w:rsid w:val="002F5587"/>
    <w:rsid w:val="002F5FB0"/>
    <w:rsid w:val="002F741D"/>
    <w:rsid w:val="00300B84"/>
    <w:rsid w:val="00301A6D"/>
    <w:rsid w:val="0030247A"/>
    <w:rsid w:val="00303955"/>
    <w:rsid w:val="00303F18"/>
    <w:rsid w:val="00304810"/>
    <w:rsid w:val="003055C3"/>
    <w:rsid w:val="003061FB"/>
    <w:rsid w:val="00306270"/>
    <w:rsid w:val="0031008A"/>
    <w:rsid w:val="00310924"/>
    <w:rsid w:val="0031259B"/>
    <w:rsid w:val="00314298"/>
    <w:rsid w:val="0031471E"/>
    <w:rsid w:val="003176D3"/>
    <w:rsid w:val="00320B22"/>
    <w:rsid w:val="003228DE"/>
    <w:rsid w:val="00323C8A"/>
    <w:rsid w:val="00326096"/>
    <w:rsid w:val="00326AE5"/>
    <w:rsid w:val="00330421"/>
    <w:rsid w:val="0033237E"/>
    <w:rsid w:val="003334FB"/>
    <w:rsid w:val="003344E7"/>
    <w:rsid w:val="0033779C"/>
    <w:rsid w:val="00337AC6"/>
    <w:rsid w:val="00343A18"/>
    <w:rsid w:val="0034476B"/>
    <w:rsid w:val="00346913"/>
    <w:rsid w:val="003469B5"/>
    <w:rsid w:val="00346CE0"/>
    <w:rsid w:val="00354ABE"/>
    <w:rsid w:val="00356492"/>
    <w:rsid w:val="00357C6C"/>
    <w:rsid w:val="00360657"/>
    <w:rsid w:val="0036549A"/>
    <w:rsid w:val="00366AFE"/>
    <w:rsid w:val="00367B98"/>
    <w:rsid w:val="00370711"/>
    <w:rsid w:val="00371757"/>
    <w:rsid w:val="00373F39"/>
    <w:rsid w:val="00374F73"/>
    <w:rsid w:val="0037530A"/>
    <w:rsid w:val="00375D4C"/>
    <w:rsid w:val="00375F30"/>
    <w:rsid w:val="00376F09"/>
    <w:rsid w:val="00376F40"/>
    <w:rsid w:val="0037748E"/>
    <w:rsid w:val="00380AC5"/>
    <w:rsid w:val="00380D03"/>
    <w:rsid w:val="00381382"/>
    <w:rsid w:val="003814A5"/>
    <w:rsid w:val="00381B26"/>
    <w:rsid w:val="00382FEC"/>
    <w:rsid w:val="00385772"/>
    <w:rsid w:val="00387734"/>
    <w:rsid w:val="0039106A"/>
    <w:rsid w:val="003911D7"/>
    <w:rsid w:val="0039139B"/>
    <w:rsid w:val="003913FB"/>
    <w:rsid w:val="00391F87"/>
    <w:rsid w:val="00392998"/>
    <w:rsid w:val="0039319E"/>
    <w:rsid w:val="00393E8A"/>
    <w:rsid w:val="003949F0"/>
    <w:rsid w:val="00395460"/>
    <w:rsid w:val="00396152"/>
    <w:rsid w:val="003962D9"/>
    <w:rsid w:val="00397D0E"/>
    <w:rsid w:val="003A1D77"/>
    <w:rsid w:val="003A24AD"/>
    <w:rsid w:val="003A2C91"/>
    <w:rsid w:val="003A3B51"/>
    <w:rsid w:val="003A40AD"/>
    <w:rsid w:val="003A66B2"/>
    <w:rsid w:val="003A6A32"/>
    <w:rsid w:val="003A6B7C"/>
    <w:rsid w:val="003A7D7E"/>
    <w:rsid w:val="003B1693"/>
    <w:rsid w:val="003B32EC"/>
    <w:rsid w:val="003B3488"/>
    <w:rsid w:val="003B5E55"/>
    <w:rsid w:val="003B5F6A"/>
    <w:rsid w:val="003B623A"/>
    <w:rsid w:val="003B63BE"/>
    <w:rsid w:val="003B7B62"/>
    <w:rsid w:val="003C072B"/>
    <w:rsid w:val="003C3D3D"/>
    <w:rsid w:val="003C5836"/>
    <w:rsid w:val="003C585E"/>
    <w:rsid w:val="003C7796"/>
    <w:rsid w:val="003D0189"/>
    <w:rsid w:val="003D0448"/>
    <w:rsid w:val="003D0D82"/>
    <w:rsid w:val="003D0FB7"/>
    <w:rsid w:val="003D1A86"/>
    <w:rsid w:val="003D3252"/>
    <w:rsid w:val="003D3CA2"/>
    <w:rsid w:val="003D3E7E"/>
    <w:rsid w:val="003D7F0B"/>
    <w:rsid w:val="003E06DF"/>
    <w:rsid w:val="003E145E"/>
    <w:rsid w:val="003E171B"/>
    <w:rsid w:val="003E3100"/>
    <w:rsid w:val="003E4132"/>
    <w:rsid w:val="003E5276"/>
    <w:rsid w:val="003E58C7"/>
    <w:rsid w:val="003E5A6D"/>
    <w:rsid w:val="003E5B81"/>
    <w:rsid w:val="003E5D7B"/>
    <w:rsid w:val="003E637A"/>
    <w:rsid w:val="003E78C2"/>
    <w:rsid w:val="003F0341"/>
    <w:rsid w:val="003F288B"/>
    <w:rsid w:val="003F2B20"/>
    <w:rsid w:val="003F2C34"/>
    <w:rsid w:val="003F2DF0"/>
    <w:rsid w:val="003F30FC"/>
    <w:rsid w:val="003F45CD"/>
    <w:rsid w:val="003F4CC7"/>
    <w:rsid w:val="003F7C94"/>
    <w:rsid w:val="00401397"/>
    <w:rsid w:val="004038BC"/>
    <w:rsid w:val="00406AE2"/>
    <w:rsid w:val="0041036A"/>
    <w:rsid w:val="00410512"/>
    <w:rsid w:val="0041316A"/>
    <w:rsid w:val="004158F6"/>
    <w:rsid w:val="00415A66"/>
    <w:rsid w:val="00416A31"/>
    <w:rsid w:val="00417136"/>
    <w:rsid w:val="00417240"/>
    <w:rsid w:val="0041770B"/>
    <w:rsid w:val="004205F6"/>
    <w:rsid w:val="00420760"/>
    <w:rsid w:val="00420CFF"/>
    <w:rsid w:val="004224C2"/>
    <w:rsid w:val="00423B46"/>
    <w:rsid w:val="00424376"/>
    <w:rsid w:val="00424F2E"/>
    <w:rsid w:val="00425AA9"/>
    <w:rsid w:val="00426250"/>
    <w:rsid w:val="00426A69"/>
    <w:rsid w:val="00426B77"/>
    <w:rsid w:val="00430F61"/>
    <w:rsid w:val="00431019"/>
    <w:rsid w:val="00433EC2"/>
    <w:rsid w:val="00434856"/>
    <w:rsid w:val="00434CD9"/>
    <w:rsid w:val="004352F7"/>
    <w:rsid w:val="0043554A"/>
    <w:rsid w:val="0043619D"/>
    <w:rsid w:val="004362D3"/>
    <w:rsid w:val="004377CE"/>
    <w:rsid w:val="00442A8B"/>
    <w:rsid w:val="00442D1E"/>
    <w:rsid w:val="00443016"/>
    <w:rsid w:val="00444344"/>
    <w:rsid w:val="00445945"/>
    <w:rsid w:val="00450691"/>
    <w:rsid w:val="00450D9C"/>
    <w:rsid w:val="00451F09"/>
    <w:rsid w:val="00452140"/>
    <w:rsid w:val="00453BB3"/>
    <w:rsid w:val="004545A3"/>
    <w:rsid w:val="00454695"/>
    <w:rsid w:val="00457427"/>
    <w:rsid w:val="00457C1C"/>
    <w:rsid w:val="004619FE"/>
    <w:rsid w:val="00462679"/>
    <w:rsid w:val="00463574"/>
    <w:rsid w:val="00464762"/>
    <w:rsid w:val="004666F3"/>
    <w:rsid w:val="00467343"/>
    <w:rsid w:val="0047031A"/>
    <w:rsid w:val="00471A6D"/>
    <w:rsid w:val="0047322E"/>
    <w:rsid w:val="004741BD"/>
    <w:rsid w:val="004757CE"/>
    <w:rsid w:val="00475FA3"/>
    <w:rsid w:val="00476F80"/>
    <w:rsid w:val="00480F68"/>
    <w:rsid w:val="00481C20"/>
    <w:rsid w:val="00483B86"/>
    <w:rsid w:val="00485293"/>
    <w:rsid w:val="00485E47"/>
    <w:rsid w:val="00490499"/>
    <w:rsid w:val="00497AB8"/>
    <w:rsid w:val="004A2EE3"/>
    <w:rsid w:val="004A4356"/>
    <w:rsid w:val="004A5EEF"/>
    <w:rsid w:val="004A600C"/>
    <w:rsid w:val="004B0B1D"/>
    <w:rsid w:val="004B3C41"/>
    <w:rsid w:val="004B6792"/>
    <w:rsid w:val="004B6BF8"/>
    <w:rsid w:val="004C0738"/>
    <w:rsid w:val="004C0D20"/>
    <w:rsid w:val="004C0FE6"/>
    <w:rsid w:val="004C20F1"/>
    <w:rsid w:val="004C212C"/>
    <w:rsid w:val="004C253C"/>
    <w:rsid w:val="004C2FC4"/>
    <w:rsid w:val="004C30C9"/>
    <w:rsid w:val="004D0B68"/>
    <w:rsid w:val="004D0F95"/>
    <w:rsid w:val="004D232B"/>
    <w:rsid w:val="004D3010"/>
    <w:rsid w:val="004D3ABB"/>
    <w:rsid w:val="004D4A6B"/>
    <w:rsid w:val="004E1476"/>
    <w:rsid w:val="004E4946"/>
    <w:rsid w:val="004E5D38"/>
    <w:rsid w:val="004E603B"/>
    <w:rsid w:val="004E626B"/>
    <w:rsid w:val="004E6C7D"/>
    <w:rsid w:val="004F13BD"/>
    <w:rsid w:val="004F478F"/>
    <w:rsid w:val="00501246"/>
    <w:rsid w:val="0050230D"/>
    <w:rsid w:val="0050364D"/>
    <w:rsid w:val="00503D17"/>
    <w:rsid w:val="00504D6E"/>
    <w:rsid w:val="005116FB"/>
    <w:rsid w:val="0051378F"/>
    <w:rsid w:val="00514B75"/>
    <w:rsid w:val="005157B9"/>
    <w:rsid w:val="00515D44"/>
    <w:rsid w:val="00531AFF"/>
    <w:rsid w:val="00532875"/>
    <w:rsid w:val="00534305"/>
    <w:rsid w:val="0053691B"/>
    <w:rsid w:val="00537FF8"/>
    <w:rsid w:val="00542913"/>
    <w:rsid w:val="005430F2"/>
    <w:rsid w:val="0054467E"/>
    <w:rsid w:val="005464E6"/>
    <w:rsid w:val="00546938"/>
    <w:rsid w:val="00547ACF"/>
    <w:rsid w:val="005525C7"/>
    <w:rsid w:val="00552639"/>
    <w:rsid w:val="00555557"/>
    <w:rsid w:val="00557927"/>
    <w:rsid w:val="00557AA8"/>
    <w:rsid w:val="00557B17"/>
    <w:rsid w:val="00561126"/>
    <w:rsid w:val="00561296"/>
    <w:rsid w:val="00566916"/>
    <w:rsid w:val="00566F71"/>
    <w:rsid w:val="00567EBC"/>
    <w:rsid w:val="00567FC5"/>
    <w:rsid w:val="00571CCF"/>
    <w:rsid w:val="00572180"/>
    <w:rsid w:val="00572337"/>
    <w:rsid w:val="00573FFE"/>
    <w:rsid w:val="00575FC3"/>
    <w:rsid w:val="0057625C"/>
    <w:rsid w:val="00576743"/>
    <w:rsid w:val="005771D5"/>
    <w:rsid w:val="0058066B"/>
    <w:rsid w:val="0058099B"/>
    <w:rsid w:val="00580B98"/>
    <w:rsid w:val="00581784"/>
    <w:rsid w:val="005836A3"/>
    <w:rsid w:val="00583CBA"/>
    <w:rsid w:val="00584453"/>
    <w:rsid w:val="00591838"/>
    <w:rsid w:val="00592809"/>
    <w:rsid w:val="00593343"/>
    <w:rsid w:val="00594A83"/>
    <w:rsid w:val="005A0C78"/>
    <w:rsid w:val="005A1518"/>
    <w:rsid w:val="005A4807"/>
    <w:rsid w:val="005A5A80"/>
    <w:rsid w:val="005B0FC7"/>
    <w:rsid w:val="005B297A"/>
    <w:rsid w:val="005B29EF"/>
    <w:rsid w:val="005B2DA5"/>
    <w:rsid w:val="005B476F"/>
    <w:rsid w:val="005B5F05"/>
    <w:rsid w:val="005B6095"/>
    <w:rsid w:val="005B65B8"/>
    <w:rsid w:val="005B6A0D"/>
    <w:rsid w:val="005B6D1C"/>
    <w:rsid w:val="005B6FD2"/>
    <w:rsid w:val="005C04E5"/>
    <w:rsid w:val="005C1764"/>
    <w:rsid w:val="005C3B2C"/>
    <w:rsid w:val="005C3D03"/>
    <w:rsid w:val="005C51FA"/>
    <w:rsid w:val="005C5413"/>
    <w:rsid w:val="005C59B9"/>
    <w:rsid w:val="005C63C7"/>
    <w:rsid w:val="005C6628"/>
    <w:rsid w:val="005C6B2C"/>
    <w:rsid w:val="005C73E4"/>
    <w:rsid w:val="005C7B1F"/>
    <w:rsid w:val="005D06E8"/>
    <w:rsid w:val="005D1195"/>
    <w:rsid w:val="005D11E7"/>
    <w:rsid w:val="005D2167"/>
    <w:rsid w:val="005D688E"/>
    <w:rsid w:val="005D6B98"/>
    <w:rsid w:val="005D6F53"/>
    <w:rsid w:val="005D794E"/>
    <w:rsid w:val="005E23CD"/>
    <w:rsid w:val="005E2FF9"/>
    <w:rsid w:val="005E30B2"/>
    <w:rsid w:val="005E39B3"/>
    <w:rsid w:val="005E4164"/>
    <w:rsid w:val="005F24C4"/>
    <w:rsid w:val="005F3196"/>
    <w:rsid w:val="005F32D1"/>
    <w:rsid w:val="005F3FC6"/>
    <w:rsid w:val="005F75C4"/>
    <w:rsid w:val="006002BF"/>
    <w:rsid w:val="00600301"/>
    <w:rsid w:val="006008D1"/>
    <w:rsid w:val="00603CC2"/>
    <w:rsid w:val="006064F8"/>
    <w:rsid w:val="006101CF"/>
    <w:rsid w:val="00611ADA"/>
    <w:rsid w:val="00611E18"/>
    <w:rsid w:val="00611FC0"/>
    <w:rsid w:val="00613A4A"/>
    <w:rsid w:val="00614157"/>
    <w:rsid w:val="00614A2A"/>
    <w:rsid w:val="00614ECD"/>
    <w:rsid w:val="006231D7"/>
    <w:rsid w:val="00624A71"/>
    <w:rsid w:val="00626031"/>
    <w:rsid w:val="00630C6C"/>
    <w:rsid w:val="00630ED2"/>
    <w:rsid w:val="00631935"/>
    <w:rsid w:val="00636B91"/>
    <w:rsid w:val="006373FF"/>
    <w:rsid w:val="00637833"/>
    <w:rsid w:val="00641AC4"/>
    <w:rsid w:val="00641D59"/>
    <w:rsid w:val="00646A6F"/>
    <w:rsid w:val="00653397"/>
    <w:rsid w:val="006535C3"/>
    <w:rsid w:val="006553CD"/>
    <w:rsid w:val="006559F5"/>
    <w:rsid w:val="0065752A"/>
    <w:rsid w:val="00661782"/>
    <w:rsid w:val="00662C11"/>
    <w:rsid w:val="0066570F"/>
    <w:rsid w:val="00672822"/>
    <w:rsid w:val="006729D2"/>
    <w:rsid w:val="00673B07"/>
    <w:rsid w:val="00673BC6"/>
    <w:rsid w:val="006775B3"/>
    <w:rsid w:val="00684808"/>
    <w:rsid w:val="0068483E"/>
    <w:rsid w:val="00687967"/>
    <w:rsid w:val="00690F72"/>
    <w:rsid w:val="00695FE4"/>
    <w:rsid w:val="006A0F95"/>
    <w:rsid w:val="006A516C"/>
    <w:rsid w:val="006A6B80"/>
    <w:rsid w:val="006B1301"/>
    <w:rsid w:val="006B2D92"/>
    <w:rsid w:val="006B2FEF"/>
    <w:rsid w:val="006B4B31"/>
    <w:rsid w:val="006B6581"/>
    <w:rsid w:val="006B6D6C"/>
    <w:rsid w:val="006B77B3"/>
    <w:rsid w:val="006C20C5"/>
    <w:rsid w:val="006C5DED"/>
    <w:rsid w:val="006C5ECD"/>
    <w:rsid w:val="006D1520"/>
    <w:rsid w:val="006D2482"/>
    <w:rsid w:val="006D2E02"/>
    <w:rsid w:val="006D2F0C"/>
    <w:rsid w:val="006D34D6"/>
    <w:rsid w:val="006D3604"/>
    <w:rsid w:val="006D416D"/>
    <w:rsid w:val="006D536E"/>
    <w:rsid w:val="006D5EB4"/>
    <w:rsid w:val="006E2082"/>
    <w:rsid w:val="006E3BE5"/>
    <w:rsid w:val="006E5D5B"/>
    <w:rsid w:val="006E67BA"/>
    <w:rsid w:val="006F2362"/>
    <w:rsid w:val="006F4265"/>
    <w:rsid w:val="006F47EB"/>
    <w:rsid w:val="006F4B13"/>
    <w:rsid w:val="006F4DE9"/>
    <w:rsid w:val="006F61B5"/>
    <w:rsid w:val="006F71C2"/>
    <w:rsid w:val="007008B0"/>
    <w:rsid w:val="00700AC3"/>
    <w:rsid w:val="00700AD6"/>
    <w:rsid w:val="00700E68"/>
    <w:rsid w:val="00701065"/>
    <w:rsid w:val="0070175E"/>
    <w:rsid w:val="00703DC5"/>
    <w:rsid w:val="007040F2"/>
    <w:rsid w:val="007049DF"/>
    <w:rsid w:val="00705DFA"/>
    <w:rsid w:val="007061B6"/>
    <w:rsid w:val="007120EE"/>
    <w:rsid w:val="0071279F"/>
    <w:rsid w:val="007153C5"/>
    <w:rsid w:val="007161D3"/>
    <w:rsid w:val="00720C35"/>
    <w:rsid w:val="00720E7B"/>
    <w:rsid w:val="0072232C"/>
    <w:rsid w:val="007262F0"/>
    <w:rsid w:val="00727BE9"/>
    <w:rsid w:val="007314F1"/>
    <w:rsid w:val="00731BE9"/>
    <w:rsid w:val="00731E2B"/>
    <w:rsid w:val="00733C32"/>
    <w:rsid w:val="007366D2"/>
    <w:rsid w:val="007420D7"/>
    <w:rsid w:val="0074545C"/>
    <w:rsid w:val="0074742D"/>
    <w:rsid w:val="00752DBC"/>
    <w:rsid w:val="00753FF4"/>
    <w:rsid w:val="0075411D"/>
    <w:rsid w:val="00755CB1"/>
    <w:rsid w:val="00756116"/>
    <w:rsid w:val="00756F8A"/>
    <w:rsid w:val="00757367"/>
    <w:rsid w:val="007601AF"/>
    <w:rsid w:val="00760295"/>
    <w:rsid w:val="00760998"/>
    <w:rsid w:val="00760B97"/>
    <w:rsid w:val="00762675"/>
    <w:rsid w:val="00762FC8"/>
    <w:rsid w:val="00765825"/>
    <w:rsid w:val="007700D3"/>
    <w:rsid w:val="00770970"/>
    <w:rsid w:val="0077131C"/>
    <w:rsid w:val="0077138B"/>
    <w:rsid w:val="00771628"/>
    <w:rsid w:val="00774F71"/>
    <w:rsid w:val="0077534E"/>
    <w:rsid w:val="00777133"/>
    <w:rsid w:val="0077733C"/>
    <w:rsid w:val="0078045E"/>
    <w:rsid w:val="00780B70"/>
    <w:rsid w:val="00782502"/>
    <w:rsid w:val="00782847"/>
    <w:rsid w:val="00783777"/>
    <w:rsid w:val="00783D20"/>
    <w:rsid w:val="00785232"/>
    <w:rsid w:val="0078549A"/>
    <w:rsid w:val="007862D0"/>
    <w:rsid w:val="0079247D"/>
    <w:rsid w:val="00794F2D"/>
    <w:rsid w:val="007954D3"/>
    <w:rsid w:val="00796159"/>
    <w:rsid w:val="00797AAD"/>
    <w:rsid w:val="007A2F02"/>
    <w:rsid w:val="007A5127"/>
    <w:rsid w:val="007A5C51"/>
    <w:rsid w:val="007B25FF"/>
    <w:rsid w:val="007B2A03"/>
    <w:rsid w:val="007B41D7"/>
    <w:rsid w:val="007B70B5"/>
    <w:rsid w:val="007C0DB7"/>
    <w:rsid w:val="007C1A7D"/>
    <w:rsid w:val="007C1F6C"/>
    <w:rsid w:val="007C4094"/>
    <w:rsid w:val="007C45C5"/>
    <w:rsid w:val="007C608D"/>
    <w:rsid w:val="007D29EC"/>
    <w:rsid w:val="007D50AE"/>
    <w:rsid w:val="007D516C"/>
    <w:rsid w:val="007E1EA6"/>
    <w:rsid w:val="007E2FDE"/>
    <w:rsid w:val="007E4C1F"/>
    <w:rsid w:val="007E50CC"/>
    <w:rsid w:val="007E6851"/>
    <w:rsid w:val="007E6943"/>
    <w:rsid w:val="007F0204"/>
    <w:rsid w:val="007F3879"/>
    <w:rsid w:val="007F5C3C"/>
    <w:rsid w:val="007F5C58"/>
    <w:rsid w:val="007F6449"/>
    <w:rsid w:val="007F6674"/>
    <w:rsid w:val="0080630B"/>
    <w:rsid w:val="00806AB5"/>
    <w:rsid w:val="00807142"/>
    <w:rsid w:val="008074E3"/>
    <w:rsid w:val="00807802"/>
    <w:rsid w:val="0080799C"/>
    <w:rsid w:val="00810C18"/>
    <w:rsid w:val="00814421"/>
    <w:rsid w:val="00814AFC"/>
    <w:rsid w:val="00814B22"/>
    <w:rsid w:val="00822862"/>
    <w:rsid w:val="0082350A"/>
    <w:rsid w:val="00823765"/>
    <w:rsid w:val="0082597B"/>
    <w:rsid w:val="00825AF4"/>
    <w:rsid w:val="00831A5D"/>
    <w:rsid w:val="00831DB4"/>
    <w:rsid w:val="008365EC"/>
    <w:rsid w:val="00837390"/>
    <w:rsid w:val="00840A8F"/>
    <w:rsid w:val="00844176"/>
    <w:rsid w:val="00844A32"/>
    <w:rsid w:val="00846A9D"/>
    <w:rsid w:val="008503CA"/>
    <w:rsid w:val="00852BA6"/>
    <w:rsid w:val="0085308E"/>
    <w:rsid w:val="0085318D"/>
    <w:rsid w:val="008565FB"/>
    <w:rsid w:val="008577FA"/>
    <w:rsid w:val="00862580"/>
    <w:rsid w:val="00862834"/>
    <w:rsid w:val="00870E97"/>
    <w:rsid w:val="00871516"/>
    <w:rsid w:val="00871E2F"/>
    <w:rsid w:val="00876284"/>
    <w:rsid w:val="008764DD"/>
    <w:rsid w:val="00876F45"/>
    <w:rsid w:val="00877499"/>
    <w:rsid w:val="008814E9"/>
    <w:rsid w:val="00883C37"/>
    <w:rsid w:val="008841EB"/>
    <w:rsid w:val="0088688D"/>
    <w:rsid w:val="008910B2"/>
    <w:rsid w:val="00891622"/>
    <w:rsid w:val="00891C00"/>
    <w:rsid w:val="008921BE"/>
    <w:rsid w:val="00895E41"/>
    <w:rsid w:val="0089734D"/>
    <w:rsid w:val="008A0A32"/>
    <w:rsid w:val="008A1056"/>
    <w:rsid w:val="008A333B"/>
    <w:rsid w:val="008A50CB"/>
    <w:rsid w:val="008A7CC5"/>
    <w:rsid w:val="008B0720"/>
    <w:rsid w:val="008B1C5A"/>
    <w:rsid w:val="008B1CC3"/>
    <w:rsid w:val="008B206C"/>
    <w:rsid w:val="008B34AA"/>
    <w:rsid w:val="008B4335"/>
    <w:rsid w:val="008B5413"/>
    <w:rsid w:val="008B56DF"/>
    <w:rsid w:val="008B5B2C"/>
    <w:rsid w:val="008B5EFB"/>
    <w:rsid w:val="008B69DC"/>
    <w:rsid w:val="008C4728"/>
    <w:rsid w:val="008C7959"/>
    <w:rsid w:val="008D3653"/>
    <w:rsid w:val="008D4F09"/>
    <w:rsid w:val="008D539E"/>
    <w:rsid w:val="008D65D5"/>
    <w:rsid w:val="008D6902"/>
    <w:rsid w:val="008D75EB"/>
    <w:rsid w:val="008D7F23"/>
    <w:rsid w:val="008E12FB"/>
    <w:rsid w:val="008E1F57"/>
    <w:rsid w:val="008E5D85"/>
    <w:rsid w:val="008E751B"/>
    <w:rsid w:val="008F5CF9"/>
    <w:rsid w:val="00900C33"/>
    <w:rsid w:val="0090193D"/>
    <w:rsid w:val="009034C7"/>
    <w:rsid w:val="00906ABE"/>
    <w:rsid w:val="00907D1C"/>
    <w:rsid w:val="00907DD7"/>
    <w:rsid w:val="00910BBC"/>
    <w:rsid w:val="0091182D"/>
    <w:rsid w:val="00911DA2"/>
    <w:rsid w:val="00915081"/>
    <w:rsid w:val="009165D6"/>
    <w:rsid w:val="00917D6F"/>
    <w:rsid w:val="00921504"/>
    <w:rsid w:val="00921E12"/>
    <w:rsid w:val="00922352"/>
    <w:rsid w:val="0092710C"/>
    <w:rsid w:val="00930FB4"/>
    <w:rsid w:val="0093112B"/>
    <w:rsid w:val="0093298F"/>
    <w:rsid w:val="009354F2"/>
    <w:rsid w:val="009370A3"/>
    <w:rsid w:val="00937BB0"/>
    <w:rsid w:val="0094022B"/>
    <w:rsid w:val="00941E05"/>
    <w:rsid w:val="00942D63"/>
    <w:rsid w:val="0094437B"/>
    <w:rsid w:val="009455DB"/>
    <w:rsid w:val="00945DB2"/>
    <w:rsid w:val="009511D6"/>
    <w:rsid w:val="00951ED7"/>
    <w:rsid w:val="00954428"/>
    <w:rsid w:val="00954541"/>
    <w:rsid w:val="00954C0F"/>
    <w:rsid w:val="00956218"/>
    <w:rsid w:val="00956C4B"/>
    <w:rsid w:val="00957E64"/>
    <w:rsid w:val="00961605"/>
    <w:rsid w:val="009620C5"/>
    <w:rsid w:val="00963C88"/>
    <w:rsid w:val="00965995"/>
    <w:rsid w:val="00965EA1"/>
    <w:rsid w:val="00966814"/>
    <w:rsid w:val="00970D58"/>
    <w:rsid w:val="00973167"/>
    <w:rsid w:val="00980174"/>
    <w:rsid w:val="00981A42"/>
    <w:rsid w:val="00985A6C"/>
    <w:rsid w:val="009921E3"/>
    <w:rsid w:val="0099282E"/>
    <w:rsid w:val="00993596"/>
    <w:rsid w:val="009A00EB"/>
    <w:rsid w:val="009A3D60"/>
    <w:rsid w:val="009A6766"/>
    <w:rsid w:val="009A692C"/>
    <w:rsid w:val="009A7E10"/>
    <w:rsid w:val="009B1CEB"/>
    <w:rsid w:val="009B2576"/>
    <w:rsid w:val="009B3508"/>
    <w:rsid w:val="009B38B2"/>
    <w:rsid w:val="009B3AE3"/>
    <w:rsid w:val="009B430C"/>
    <w:rsid w:val="009B43EB"/>
    <w:rsid w:val="009B584C"/>
    <w:rsid w:val="009B6613"/>
    <w:rsid w:val="009B6674"/>
    <w:rsid w:val="009B7000"/>
    <w:rsid w:val="009B75D4"/>
    <w:rsid w:val="009C0178"/>
    <w:rsid w:val="009C030C"/>
    <w:rsid w:val="009C061A"/>
    <w:rsid w:val="009C108E"/>
    <w:rsid w:val="009C1FE8"/>
    <w:rsid w:val="009C228A"/>
    <w:rsid w:val="009C282F"/>
    <w:rsid w:val="009C2E2D"/>
    <w:rsid w:val="009C3257"/>
    <w:rsid w:val="009C5640"/>
    <w:rsid w:val="009C7F6E"/>
    <w:rsid w:val="009D0A96"/>
    <w:rsid w:val="009D1051"/>
    <w:rsid w:val="009D2037"/>
    <w:rsid w:val="009D3F87"/>
    <w:rsid w:val="009D43B2"/>
    <w:rsid w:val="009E03F3"/>
    <w:rsid w:val="009E5C84"/>
    <w:rsid w:val="009F0FC9"/>
    <w:rsid w:val="009F1A7E"/>
    <w:rsid w:val="00A03E32"/>
    <w:rsid w:val="00A075B0"/>
    <w:rsid w:val="00A11221"/>
    <w:rsid w:val="00A11259"/>
    <w:rsid w:val="00A12B76"/>
    <w:rsid w:val="00A13FC8"/>
    <w:rsid w:val="00A14369"/>
    <w:rsid w:val="00A154D5"/>
    <w:rsid w:val="00A2067E"/>
    <w:rsid w:val="00A20B99"/>
    <w:rsid w:val="00A21F19"/>
    <w:rsid w:val="00A229AC"/>
    <w:rsid w:val="00A23E8B"/>
    <w:rsid w:val="00A25225"/>
    <w:rsid w:val="00A26607"/>
    <w:rsid w:val="00A26676"/>
    <w:rsid w:val="00A267B2"/>
    <w:rsid w:val="00A27A02"/>
    <w:rsid w:val="00A30DAB"/>
    <w:rsid w:val="00A3172A"/>
    <w:rsid w:val="00A32A3F"/>
    <w:rsid w:val="00A337C5"/>
    <w:rsid w:val="00A33B10"/>
    <w:rsid w:val="00A340FB"/>
    <w:rsid w:val="00A34C17"/>
    <w:rsid w:val="00A34EAB"/>
    <w:rsid w:val="00A3537A"/>
    <w:rsid w:val="00A37CD5"/>
    <w:rsid w:val="00A41FB2"/>
    <w:rsid w:val="00A43105"/>
    <w:rsid w:val="00A43A02"/>
    <w:rsid w:val="00A468F1"/>
    <w:rsid w:val="00A471D7"/>
    <w:rsid w:val="00A50812"/>
    <w:rsid w:val="00A541ED"/>
    <w:rsid w:val="00A5551D"/>
    <w:rsid w:val="00A562DC"/>
    <w:rsid w:val="00A56E9B"/>
    <w:rsid w:val="00A56F27"/>
    <w:rsid w:val="00A57518"/>
    <w:rsid w:val="00A60C80"/>
    <w:rsid w:val="00A66F1F"/>
    <w:rsid w:val="00A71824"/>
    <w:rsid w:val="00A718EE"/>
    <w:rsid w:val="00A73448"/>
    <w:rsid w:val="00A76C0A"/>
    <w:rsid w:val="00A82313"/>
    <w:rsid w:val="00A834F9"/>
    <w:rsid w:val="00A86F1C"/>
    <w:rsid w:val="00A9174A"/>
    <w:rsid w:val="00A92A07"/>
    <w:rsid w:val="00A93054"/>
    <w:rsid w:val="00A94B68"/>
    <w:rsid w:val="00A969CC"/>
    <w:rsid w:val="00A96C8D"/>
    <w:rsid w:val="00A9708B"/>
    <w:rsid w:val="00AA34A6"/>
    <w:rsid w:val="00AA3A72"/>
    <w:rsid w:val="00AA45BA"/>
    <w:rsid w:val="00AA6E88"/>
    <w:rsid w:val="00AB3EB4"/>
    <w:rsid w:val="00AB4677"/>
    <w:rsid w:val="00AB6AE8"/>
    <w:rsid w:val="00AC16D2"/>
    <w:rsid w:val="00AC24BD"/>
    <w:rsid w:val="00AC5779"/>
    <w:rsid w:val="00AD3D79"/>
    <w:rsid w:val="00AD48AA"/>
    <w:rsid w:val="00AD5B91"/>
    <w:rsid w:val="00AD5C75"/>
    <w:rsid w:val="00AD6AEF"/>
    <w:rsid w:val="00AE0055"/>
    <w:rsid w:val="00AE091D"/>
    <w:rsid w:val="00AE363F"/>
    <w:rsid w:val="00AE3B88"/>
    <w:rsid w:val="00AE4C8F"/>
    <w:rsid w:val="00AE5675"/>
    <w:rsid w:val="00AE57EC"/>
    <w:rsid w:val="00AE64F9"/>
    <w:rsid w:val="00AF1C04"/>
    <w:rsid w:val="00AF2547"/>
    <w:rsid w:val="00AF254A"/>
    <w:rsid w:val="00AF36C9"/>
    <w:rsid w:val="00AF489B"/>
    <w:rsid w:val="00AF5DF5"/>
    <w:rsid w:val="00AF755E"/>
    <w:rsid w:val="00B014B4"/>
    <w:rsid w:val="00B02EDD"/>
    <w:rsid w:val="00B039A0"/>
    <w:rsid w:val="00B043DE"/>
    <w:rsid w:val="00B04603"/>
    <w:rsid w:val="00B0569D"/>
    <w:rsid w:val="00B1092B"/>
    <w:rsid w:val="00B10B94"/>
    <w:rsid w:val="00B111A5"/>
    <w:rsid w:val="00B117F2"/>
    <w:rsid w:val="00B13379"/>
    <w:rsid w:val="00B13C6F"/>
    <w:rsid w:val="00B14D75"/>
    <w:rsid w:val="00B15DBA"/>
    <w:rsid w:val="00B16A95"/>
    <w:rsid w:val="00B2297A"/>
    <w:rsid w:val="00B230F6"/>
    <w:rsid w:val="00B26202"/>
    <w:rsid w:val="00B300C7"/>
    <w:rsid w:val="00B30CFE"/>
    <w:rsid w:val="00B3180F"/>
    <w:rsid w:val="00B32793"/>
    <w:rsid w:val="00B33D89"/>
    <w:rsid w:val="00B34F7D"/>
    <w:rsid w:val="00B355D9"/>
    <w:rsid w:val="00B404B6"/>
    <w:rsid w:val="00B414FF"/>
    <w:rsid w:val="00B4164D"/>
    <w:rsid w:val="00B450C4"/>
    <w:rsid w:val="00B457C4"/>
    <w:rsid w:val="00B462F7"/>
    <w:rsid w:val="00B4697F"/>
    <w:rsid w:val="00B46A16"/>
    <w:rsid w:val="00B47747"/>
    <w:rsid w:val="00B47E34"/>
    <w:rsid w:val="00B50D88"/>
    <w:rsid w:val="00B51099"/>
    <w:rsid w:val="00B51427"/>
    <w:rsid w:val="00B5564B"/>
    <w:rsid w:val="00B55A30"/>
    <w:rsid w:val="00B56A48"/>
    <w:rsid w:val="00B56B47"/>
    <w:rsid w:val="00B618A9"/>
    <w:rsid w:val="00B621AF"/>
    <w:rsid w:val="00B652FE"/>
    <w:rsid w:val="00B65A0A"/>
    <w:rsid w:val="00B65CF6"/>
    <w:rsid w:val="00B700CC"/>
    <w:rsid w:val="00B72365"/>
    <w:rsid w:val="00B74B38"/>
    <w:rsid w:val="00B762A0"/>
    <w:rsid w:val="00B77E56"/>
    <w:rsid w:val="00B80371"/>
    <w:rsid w:val="00B8269F"/>
    <w:rsid w:val="00B837AE"/>
    <w:rsid w:val="00B83EED"/>
    <w:rsid w:val="00B85597"/>
    <w:rsid w:val="00B85A89"/>
    <w:rsid w:val="00B868AD"/>
    <w:rsid w:val="00B86DD0"/>
    <w:rsid w:val="00B91B04"/>
    <w:rsid w:val="00B9742D"/>
    <w:rsid w:val="00BA131A"/>
    <w:rsid w:val="00BA2274"/>
    <w:rsid w:val="00BA31BC"/>
    <w:rsid w:val="00BB0042"/>
    <w:rsid w:val="00BB0BAA"/>
    <w:rsid w:val="00BB1EA2"/>
    <w:rsid w:val="00BB480B"/>
    <w:rsid w:val="00BB4E62"/>
    <w:rsid w:val="00BB55EA"/>
    <w:rsid w:val="00BB6326"/>
    <w:rsid w:val="00BB7389"/>
    <w:rsid w:val="00BB7D03"/>
    <w:rsid w:val="00BC31E7"/>
    <w:rsid w:val="00BC608E"/>
    <w:rsid w:val="00BC64E8"/>
    <w:rsid w:val="00BC69DC"/>
    <w:rsid w:val="00BC7045"/>
    <w:rsid w:val="00BD07F2"/>
    <w:rsid w:val="00BD20AE"/>
    <w:rsid w:val="00BD746F"/>
    <w:rsid w:val="00BD7AE1"/>
    <w:rsid w:val="00BE0E6C"/>
    <w:rsid w:val="00BE15E4"/>
    <w:rsid w:val="00BE6127"/>
    <w:rsid w:val="00BE786E"/>
    <w:rsid w:val="00BF13E6"/>
    <w:rsid w:val="00BF15B9"/>
    <w:rsid w:val="00BF2AA4"/>
    <w:rsid w:val="00BF742F"/>
    <w:rsid w:val="00BF7BD9"/>
    <w:rsid w:val="00BF7D60"/>
    <w:rsid w:val="00C017FE"/>
    <w:rsid w:val="00C03273"/>
    <w:rsid w:val="00C0447C"/>
    <w:rsid w:val="00C04CAF"/>
    <w:rsid w:val="00C050AF"/>
    <w:rsid w:val="00C054A9"/>
    <w:rsid w:val="00C05EF2"/>
    <w:rsid w:val="00C0600E"/>
    <w:rsid w:val="00C07585"/>
    <w:rsid w:val="00C11685"/>
    <w:rsid w:val="00C1189F"/>
    <w:rsid w:val="00C12263"/>
    <w:rsid w:val="00C12CF8"/>
    <w:rsid w:val="00C13621"/>
    <w:rsid w:val="00C136CD"/>
    <w:rsid w:val="00C13D67"/>
    <w:rsid w:val="00C14903"/>
    <w:rsid w:val="00C151DF"/>
    <w:rsid w:val="00C1563D"/>
    <w:rsid w:val="00C15EB7"/>
    <w:rsid w:val="00C1626D"/>
    <w:rsid w:val="00C17948"/>
    <w:rsid w:val="00C17A3E"/>
    <w:rsid w:val="00C212B4"/>
    <w:rsid w:val="00C21746"/>
    <w:rsid w:val="00C220E6"/>
    <w:rsid w:val="00C23427"/>
    <w:rsid w:val="00C23F73"/>
    <w:rsid w:val="00C25016"/>
    <w:rsid w:val="00C2517F"/>
    <w:rsid w:val="00C26333"/>
    <w:rsid w:val="00C264E6"/>
    <w:rsid w:val="00C26E37"/>
    <w:rsid w:val="00C271E6"/>
    <w:rsid w:val="00C32C97"/>
    <w:rsid w:val="00C32DF0"/>
    <w:rsid w:val="00C33A18"/>
    <w:rsid w:val="00C353F8"/>
    <w:rsid w:val="00C35A54"/>
    <w:rsid w:val="00C416DB"/>
    <w:rsid w:val="00C423B7"/>
    <w:rsid w:val="00C42887"/>
    <w:rsid w:val="00C42ACD"/>
    <w:rsid w:val="00C42C49"/>
    <w:rsid w:val="00C446A5"/>
    <w:rsid w:val="00C45150"/>
    <w:rsid w:val="00C46737"/>
    <w:rsid w:val="00C52004"/>
    <w:rsid w:val="00C56568"/>
    <w:rsid w:val="00C62D9D"/>
    <w:rsid w:val="00C6333E"/>
    <w:rsid w:val="00C633A8"/>
    <w:rsid w:val="00C64DE5"/>
    <w:rsid w:val="00C65AAE"/>
    <w:rsid w:val="00C66A4D"/>
    <w:rsid w:val="00C7141D"/>
    <w:rsid w:val="00C72945"/>
    <w:rsid w:val="00C74D5C"/>
    <w:rsid w:val="00C75E3A"/>
    <w:rsid w:val="00C77378"/>
    <w:rsid w:val="00C77C68"/>
    <w:rsid w:val="00C82E0E"/>
    <w:rsid w:val="00C85115"/>
    <w:rsid w:val="00C86896"/>
    <w:rsid w:val="00C86AE5"/>
    <w:rsid w:val="00C933DE"/>
    <w:rsid w:val="00C95D2F"/>
    <w:rsid w:val="00CA082C"/>
    <w:rsid w:val="00CA0BCB"/>
    <w:rsid w:val="00CA373F"/>
    <w:rsid w:val="00CB237D"/>
    <w:rsid w:val="00CB2A80"/>
    <w:rsid w:val="00CB2F00"/>
    <w:rsid w:val="00CB5A26"/>
    <w:rsid w:val="00CB6AC4"/>
    <w:rsid w:val="00CC10D3"/>
    <w:rsid w:val="00CC2DAC"/>
    <w:rsid w:val="00CC4858"/>
    <w:rsid w:val="00CD1C12"/>
    <w:rsid w:val="00CD1D66"/>
    <w:rsid w:val="00CD1F7F"/>
    <w:rsid w:val="00CD2774"/>
    <w:rsid w:val="00CD57A7"/>
    <w:rsid w:val="00CD5FCA"/>
    <w:rsid w:val="00CD7CCA"/>
    <w:rsid w:val="00CE0AC5"/>
    <w:rsid w:val="00CE1DD6"/>
    <w:rsid w:val="00CE261F"/>
    <w:rsid w:val="00CE35E1"/>
    <w:rsid w:val="00CE5541"/>
    <w:rsid w:val="00CE5C53"/>
    <w:rsid w:val="00CF0573"/>
    <w:rsid w:val="00CF4607"/>
    <w:rsid w:val="00CF6767"/>
    <w:rsid w:val="00CF747C"/>
    <w:rsid w:val="00D00576"/>
    <w:rsid w:val="00D0207F"/>
    <w:rsid w:val="00D02CD4"/>
    <w:rsid w:val="00D04299"/>
    <w:rsid w:val="00D0506F"/>
    <w:rsid w:val="00D05A7A"/>
    <w:rsid w:val="00D06740"/>
    <w:rsid w:val="00D07B78"/>
    <w:rsid w:val="00D12B80"/>
    <w:rsid w:val="00D13BD0"/>
    <w:rsid w:val="00D13D6F"/>
    <w:rsid w:val="00D165F4"/>
    <w:rsid w:val="00D1668E"/>
    <w:rsid w:val="00D16C33"/>
    <w:rsid w:val="00D177EA"/>
    <w:rsid w:val="00D20CC5"/>
    <w:rsid w:val="00D217AC"/>
    <w:rsid w:val="00D27E4D"/>
    <w:rsid w:val="00D31BE1"/>
    <w:rsid w:val="00D34B58"/>
    <w:rsid w:val="00D35B96"/>
    <w:rsid w:val="00D37973"/>
    <w:rsid w:val="00D40EAC"/>
    <w:rsid w:val="00D41F46"/>
    <w:rsid w:val="00D4222D"/>
    <w:rsid w:val="00D42754"/>
    <w:rsid w:val="00D455A4"/>
    <w:rsid w:val="00D51DD0"/>
    <w:rsid w:val="00D5265D"/>
    <w:rsid w:val="00D60415"/>
    <w:rsid w:val="00D62E09"/>
    <w:rsid w:val="00D64101"/>
    <w:rsid w:val="00D64FFD"/>
    <w:rsid w:val="00D671F5"/>
    <w:rsid w:val="00D67CE9"/>
    <w:rsid w:val="00D70AAA"/>
    <w:rsid w:val="00D7105E"/>
    <w:rsid w:val="00D71684"/>
    <w:rsid w:val="00D72D32"/>
    <w:rsid w:val="00D7671C"/>
    <w:rsid w:val="00D767E6"/>
    <w:rsid w:val="00D76D7C"/>
    <w:rsid w:val="00D77A0C"/>
    <w:rsid w:val="00D8131B"/>
    <w:rsid w:val="00D81D94"/>
    <w:rsid w:val="00D8420C"/>
    <w:rsid w:val="00D84DE0"/>
    <w:rsid w:val="00D90CAE"/>
    <w:rsid w:val="00D96FBA"/>
    <w:rsid w:val="00D97622"/>
    <w:rsid w:val="00DA1B53"/>
    <w:rsid w:val="00DA1FCE"/>
    <w:rsid w:val="00DA239C"/>
    <w:rsid w:val="00DA433D"/>
    <w:rsid w:val="00DA58AF"/>
    <w:rsid w:val="00DA7141"/>
    <w:rsid w:val="00DA744D"/>
    <w:rsid w:val="00DB144C"/>
    <w:rsid w:val="00DB1E78"/>
    <w:rsid w:val="00DB3228"/>
    <w:rsid w:val="00DB3721"/>
    <w:rsid w:val="00DB3D04"/>
    <w:rsid w:val="00DB57B4"/>
    <w:rsid w:val="00DC07AE"/>
    <w:rsid w:val="00DC10A1"/>
    <w:rsid w:val="00DC15CB"/>
    <w:rsid w:val="00DC1AC5"/>
    <w:rsid w:val="00DC3534"/>
    <w:rsid w:val="00DC499A"/>
    <w:rsid w:val="00DC64F8"/>
    <w:rsid w:val="00DC72F1"/>
    <w:rsid w:val="00DD00BE"/>
    <w:rsid w:val="00DD02D4"/>
    <w:rsid w:val="00DD0953"/>
    <w:rsid w:val="00DD0F2E"/>
    <w:rsid w:val="00DD1CB9"/>
    <w:rsid w:val="00DD1F77"/>
    <w:rsid w:val="00DD23E0"/>
    <w:rsid w:val="00DD2637"/>
    <w:rsid w:val="00DD2F35"/>
    <w:rsid w:val="00DD696D"/>
    <w:rsid w:val="00DD7872"/>
    <w:rsid w:val="00DE0896"/>
    <w:rsid w:val="00DE0AD5"/>
    <w:rsid w:val="00DE7E62"/>
    <w:rsid w:val="00DF1C2B"/>
    <w:rsid w:val="00DF2F6B"/>
    <w:rsid w:val="00DF3993"/>
    <w:rsid w:val="00DF6E16"/>
    <w:rsid w:val="00E00218"/>
    <w:rsid w:val="00E018E1"/>
    <w:rsid w:val="00E0333C"/>
    <w:rsid w:val="00E0484E"/>
    <w:rsid w:val="00E07AC4"/>
    <w:rsid w:val="00E10305"/>
    <w:rsid w:val="00E1062C"/>
    <w:rsid w:val="00E1136D"/>
    <w:rsid w:val="00E116BA"/>
    <w:rsid w:val="00E11D27"/>
    <w:rsid w:val="00E11D29"/>
    <w:rsid w:val="00E140A6"/>
    <w:rsid w:val="00E15447"/>
    <w:rsid w:val="00E15B7B"/>
    <w:rsid w:val="00E20773"/>
    <w:rsid w:val="00E2107F"/>
    <w:rsid w:val="00E23059"/>
    <w:rsid w:val="00E231E0"/>
    <w:rsid w:val="00E30352"/>
    <w:rsid w:val="00E30F56"/>
    <w:rsid w:val="00E33146"/>
    <w:rsid w:val="00E374D1"/>
    <w:rsid w:val="00E37F50"/>
    <w:rsid w:val="00E40942"/>
    <w:rsid w:val="00E50D80"/>
    <w:rsid w:val="00E50E6F"/>
    <w:rsid w:val="00E51035"/>
    <w:rsid w:val="00E53438"/>
    <w:rsid w:val="00E539B3"/>
    <w:rsid w:val="00E55EC8"/>
    <w:rsid w:val="00E56469"/>
    <w:rsid w:val="00E56D02"/>
    <w:rsid w:val="00E57209"/>
    <w:rsid w:val="00E5727D"/>
    <w:rsid w:val="00E57FAB"/>
    <w:rsid w:val="00E670D3"/>
    <w:rsid w:val="00E713A7"/>
    <w:rsid w:val="00E72404"/>
    <w:rsid w:val="00E73990"/>
    <w:rsid w:val="00E74A15"/>
    <w:rsid w:val="00E751BC"/>
    <w:rsid w:val="00E7567F"/>
    <w:rsid w:val="00E81F3E"/>
    <w:rsid w:val="00E85807"/>
    <w:rsid w:val="00E86211"/>
    <w:rsid w:val="00E86ACB"/>
    <w:rsid w:val="00E900E0"/>
    <w:rsid w:val="00E90628"/>
    <w:rsid w:val="00E9122B"/>
    <w:rsid w:val="00E93CFE"/>
    <w:rsid w:val="00E953B9"/>
    <w:rsid w:val="00EA0D43"/>
    <w:rsid w:val="00EA0EBB"/>
    <w:rsid w:val="00EA1619"/>
    <w:rsid w:val="00EA49CE"/>
    <w:rsid w:val="00EA4CBA"/>
    <w:rsid w:val="00EA6CD3"/>
    <w:rsid w:val="00EA7EDF"/>
    <w:rsid w:val="00EB184B"/>
    <w:rsid w:val="00EB27FB"/>
    <w:rsid w:val="00EC03E6"/>
    <w:rsid w:val="00EC218F"/>
    <w:rsid w:val="00EC5935"/>
    <w:rsid w:val="00ED053C"/>
    <w:rsid w:val="00ED0911"/>
    <w:rsid w:val="00ED0A46"/>
    <w:rsid w:val="00ED18C9"/>
    <w:rsid w:val="00ED2979"/>
    <w:rsid w:val="00ED377A"/>
    <w:rsid w:val="00ED39FF"/>
    <w:rsid w:val="00ED4255"/>
    <w:rsid w:val="00ED5CF7"/>
    <w:rsid w:val="00ED603E"/>
    <w:rsid w:val="00EE44FE"/>
    <w:rsid w:val="00EE4A54"/>
    <w:rsid w:val="00EE4C51"/>
    <w:rsid w:val="00EE61BD"/>
    <w:rsid w:val="00EE7BA0"/>
    <w:rsid w:val="00EF2696"/>
    <w:rsid w:val="00EF55B6"/>
    <w:rsid w:val="00F00E88"/>
    <w:rsid w:val="00F01691"/>
    <w:rsid w:val="00F019FA"/>
    <w:rsid w:val="00F02EB7"/>
    <w:rsid w:val="00F03D63"/>
    <w:rsid w:val="00F03FAA"/>
    <w:rsid w:val="00F04A99"/>
    <w:rsid w:val="00F0662E"/>
    <w:rsid w:val="00F066C5"/>
    <w:rsid w:val="00F06F21"/>
    <w:rsid w:val="00F1504D"/>
    <w:rsid w:val="00F15773"/>
    <w:rsid w:val="00F1588A"/>
    <w:rsid w:val="00F205D5"/>
    <w:rsid w:val="00F23C9C"/>
    <w:rsid w:val="00F25C34"/>
    <w:rsid w:val="00F2652E"/>
    <w:rsid w:val="00F27363"/>
    <w:rsid w:val="00F30608"/>
    <w:rsid w:val="00F30A0A"/>
    <w:rsid w:val="00F32129"/>
    <w:rsid w:val="00F32822"/>
    <w:rsid w:val="00F32ADC"/>
    <w:rsid w:val="00F352DD"/>
    <w:rsid w:val="00F35567"/>
    <w:rsid w:val="00F36475"/>
    <w:rsid w:val="00F40716"/>
    <w:rsid w:val="00F40762"/>
    <w:rsid w:val="00F40F20"/>
    <w:rsid w:val="00F418C2"/>
    <w:rsid w:val="00F42208"/>
    <w:rsid w:val="00F449A8"/>
    <w:rsid w:val="00F44B3E"/>
    <w:rsid w:val="00F51164"/>
    <w:rsid w:val="00F5245C"/>
    <w:rsid w:val="00F53042"/>
    <w:rsid w:val="00F53217"/>
    <w:rsid w:val="00F53508"/>
    <w:rsid w:val="00F53B91"/>
    <w:rsid w:val="00F542FA"/>
    <w:rsid w:val="00F5586F"/>
    <w:rsid w:val="00F64D33"/>
    <w:rsid w:val="00F652EB"/>
    <w:rsid w:val="00F669EB"/>
    <w:rsid w:val="00F66C35"/>
    <w:rsid w:val="00F70443"/>
    <w:rsid w:val="00F7097D"/>
    <w:rsid w:val="00F716EF"/>
    <w:rsid w:val="00F718FD"/>
    <w:rsid w:val="00F77D50"/>
    <w:rsid w:val="00F81A0A"/>
    <w:rsid w:val="00F838F0"/>
    <w:rsid w:val="00F858D1"/>
    <w:rsid w:val="00F85A24"/>
    <w:rsid w:val="00F9016C"/>
    <w:rsid w:val="00F929ED"/>
    <w:rsid w:val="00F9305D"/>
    <w:rsid w:val="00F94D89"/>
    <w:rsid w:val="00F9522F"/>
    <w:rsid w:val="00F96902"/>
    <w:rsid w:val="00FA2346"/>
    <w:rsid w:val="00FA37DC"/>
    <w:rsid w:val="00FA3AB1"/>
    <w:rsid w:val="00FA3B62"/>
    <w:rsid w:val="00FA4EC5"/>
    <w:rsid w:val="00FA5EE1"/>
    <w:rsid w:val="00FA6B7A"/>
    <w:rsid w:val="00FB1472"/>
    <w:rsid w:val="00FC3C5A"/>
    <w:rsid w:val="00FC3C7A"/>
    <w:rsid w:val="00FC4BE9"/>
    <w:rsid w:val="00FC6839"/>
    <w:rsid w:val="00FC6FCC"/>
    <w:rsid w:val="00FD01FC"/>
    <w:rsid w:val="00FD061B"/>
    <w:rsid w:val="00FD5F34"/>
    <w:rsid w:val="00FD5FEF"/>
    <w:rsid w:val="00FE2D33"/>
    <w:rsid w:val="00FE6FC3"/>
    <w:rsid w:val="00FE76B5"/>
    <w:rsid w:val="00FE76D2"/>
    <w:rsid w:val="00FF15B4"/>
    <w:rsid w:val="00FF22AC"/>
    <w:rsid w:val="00FF2598"/>
    <w:rsid w:val="00FF3664"/>
    <w:rsid w:val="00FF42CE"/>
    <w:rsid w:val="00FF5967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5049DE3"/>
  <w15:docId w15:val="{FFC5070A-869C-45D7-974A-330AE733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EA6CD3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A6CD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EA6C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A6CD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EA6CD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EA6CD3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D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166A8B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6160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1605"/>
  </w:style>
  <w:style w:type="character" w:customStyle="1" w:styleId="CommentTextChar">
    <w:name w:val="Comment Text Char"/>
    <w:basedOn w:val="DefaultParagraphFont"/>
    <w:link w:val="CommentText"/>
    <w:rsid w:val="0096160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05"/>
    <w:rPr>
      <w:rFonts w:ascii="Times New Roman" w:eastAsia="Calibri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46A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AD6AEF"/>
    <w:pPr>
      <w:jc w:val="both"/>
    </w:pPr>
    <w:rPr>
      <w:rFonts w:eastAsia="Times New Roman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AD6AE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D6AEF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753FF4"/>
  </w:style>
  <w:style w:type="character" w:customStyle="1" w:styleId="bumpedfont15">
    <w:name w:val="bumpedfont15"/>
    <w:rsid w:val="006C20C5"/>
  </w:style>
  <w:style w:type="character" w:styleId="PlaceholderText">
    <w:name w:val="Placeholder Text"/>
    <w:basedOn w:val="DefaultParagraphFont"/>
    <w:uiPriority w:val="99"/>
    <w:semiHidden/>
    <w:rsid w:val="00200E7D"/>
    <w:rPr>
      <w:color w:val="808080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D165F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5E30B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DC64F8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Default">
    <w:name w:val="Default"/>
    <w:rsid w:val="00FE76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v213">
    <w:name w:val="tv213"/>
    <w:basedOn w:val="Normal"/>
    <w:rsid w:val="00F94D89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733C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47ACF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47ACF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B621AF"/>
    <w:rPr>
      <w:color w:val="2B579A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D97622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C78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F3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1F3E"/>
    <w:rPr>
      <w:rFonts w:ascii="Times New Roman" w:eastAsia="Calibri" w:hAnsi="Times New Roman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E81F3E"/>
    <w:rPr>
      <w:vertAlign w:val="superscript"/>
    </w:rPr>
  </w:style>
  <w:style w:type="character" w:customStyle="1" w:styleId="italics">
    <w:name w:val="italics"/>
    <w:basedOn w:val="DefaultParagraphFont"/>
    <w:rsid w:val="00580B9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A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gov.lv/lv/Ministrija/sabiedribas_lidzdaliba/diskusiju_dokument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ta.Tetere@e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k.gov.lv/content/ministru-kabineta-diskusiju-dokumen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B546-5846-445E-A963-C94BB498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7742</Words>
  <Characters>4413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Altum</Company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Anotācija</dc:subject>
  <dc:creator>Dita.Tetere@em.gov.lv</dc:creator>
  <dc:description>67013298
Signe.Tuklere@em.gov</dc:description>
  <cp:lastModifiedBy>Zane Uzuliņa</cp:lastModifiedBy>
  <cp:revision>2</cp:revision>
  <cp:lastPrinted>2017-07-21T07:32:00Z</cp:lastPrinted>
  <dcterms:created xsi:type="dcterms:W3CDTF">2020-03-24T10:12:00Z</dcterms:created>
  <dcterms:modified xsi:type="dcterms:W3CDTF">2020-03-24T10:12:00Z</dcterms:modified>
</cp:coreProperties>
</file>