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368"/>
      </w:tblGrid>
      <w:tr w:rsidR="00C84689" w:rsidRPr="005F485E" w14:paraId="0D1248A5" w14:textId="77777777" w:rsidTr="00474EC3">
        <w:tc>
          <w:tcPr>
            <w:tcW w:w="7938" w:type="dxa"/>
            <w:shd w:val="clear" w:color="auto" w:fill="FFFFFF"/>
            <w:hideMark/>
          </w:tcPr>
          <w:p w14:paraId="7CCAC2C2" w14:textId="77777777" w:rsidR="00C84689" w:rsidRPr="00F33330" w:rsidRDefault="00C84689" w:rsidP="00474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bookmarkStart w:id="0" w:name="_GoBack"/>
            <w:bookmarkEnd w:id="0"/>
            <w:r w:rsidRPr="005F485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Pielikums</w:t>
            </w:r>
            <w:r w:rsidRPr="00F333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  <w:p w14:paraId="099E7D2C" w14:textId="77777777" w:rsidR="00C84689" w:rsidRPr="005F485E" w:rsidRDefault="00C84689" w:rsidP="00474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F485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Ministru kabineta</w:t>
            </w:r>
            <w:r w:rsidRPr="005F485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20</w:t>
            </w:r>
            <w:r w:rsidRPr="00F333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</w:t>
            </w:r>
            <w:r w:rsidRPr="005F485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.gada </w:t>
            </w:r>
            <w:r w:rsidRPr="00F333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___.marta</w:t>
            </w:r>
            <w:r w:rsidRPr="005F485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noteikumiem Nr.</w:t>
            </w:r>
            <w:r w:rsidRPr="00F333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bookmarkStart w:id="1" w:name="piel-366723"/>
            <w:bookmarkEnd w:id="1"/>
          </w:p>
          <w:p w14:paraId="2034BBA8" w14:textId="77777777" w:rsidR="00C84689" w:rsidRPr="00F33330" w:rsidRDefault="00C84689" w:rsidP="0047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7"/>
                <w:szCs w:val="27"/>
                <w:lang w:eastAsia="lv-LV"/>
              </w:rPr>
            </w:pPr>
            <w:bookmarkStart w:id="2" w:name="n-592617"/>
            <w:bookmarkStart w:id="3" w:name="592617"/>
            <w:bookmarkEnd w:id="2"/>
            <w:bookmarkEnd w:id="3"/>
          </w:p>
          <w:p w14:paraId="220FD820" w14:textId="77777777" w:rsidR="00C84689" w:rsidRPr="005F485E" w:rsidRDefault="00C84689" w:rsidP="0047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7"/>
                <w:szCs w:val="27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7"/>
                <w:szCs w:val="27"/>
                <w:lang w:eastAsia="lv-LV"/>
              </w:rPr>
              <w:t>Aizdevuma riska</w:t>
            </w:r>
            <w:r w:rsidRPr="005F485E">
              <w:rPr>
                <w:rFonts w:ascii="Times New Roman" w:eastAsia="Times New Roman" w:hAnsi="Times New Roman" w:cs="Times New Roman"/>
                <w:b/>
                <w:bCs/>
                <w:color w:val="414142"/>
                <w:sz w:val="27"/>
                <w:szCs w:val="27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7"/>
                <w:szCs w:val="27"/>
                <w:lang w:eastAsia="lv-LV"/>
              </w:rPr>
              <w:t>procentu</w:t>
            </w:r>
            <w:r w:rsidRPr="005F485E">
              <w:rPr>
                <w:rFonts w:ascii="Times New Roman" w:eastAsia="Times New Roman" w:hAnsi="Times New Roman" w:cs="Times New Roman"/>
                <w:b/>
                <w:bCs/>
                <w:color w:val="414142"/>
                <w:sz w:val="27"/>
                <w:szCs w:val="27"/>
                <w:lang w:eastAsia="lv-LV"/>
              </w:rPr>
              <w:t xml:space="preserve"> likme</w:t>
            </w:r>
          </w:p>
          <w:p w14:paraId="54E31106" w14:textId="77777777" w:rsidR="00C84689" w:rsidRPr="005F485E" w:rsidRDefault="00C84689" w:rsidP="00474EC3">
            <w:pPr>
              <w:spacing w:before="45" w:after="0" w:line="248" w:lineRule="atLeast"/>
              <w:ind w:firstLine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1505"/>
              <w:gridCol w:w="1030"/>
              <w:gridCol w:w="951"/>
              <w:gridCol w:w="1030"/>
              <w:gridCol w:w="1584"/>
              <w:gridCol w:w="1268"/>
            </w:tblGrid>
            <w:tr w:rsidR="00C84689" w:rsidRPr="005F485E" w14:paraId="0B97D057" w14:textId="77777777" w:rsidTr="00474EC3">
              <w:tc>
                <w:tcPr>
                  <w:tcW w:w="35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611055F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Nr.p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. k.</w:t>
                  </w: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607E074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Kredītu kvalitāte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73AC544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Reitingu aģentūras "Standard </w:t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and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Poor's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" reitings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4AE96C0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Reitingu aģentūras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"</w:t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Fitch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" reitings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8D9FD73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Reitingu aģentūras "</w:t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Moody’s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" reitings</w:t>
                  </w:r>
                </w:p>
              </w:tc>
              <w:tc>
                <w:tcPr>
                  <w:tcW w:w="1799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DDCD302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Aizdevuma riska procentu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likme</w:t>
                  </w:r>
                  <w:r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s gadā </w:t>
                  </w:r>
                </w:p>
              </w:tc>
            </w:tr>
            <w:tr w:rsidR="00C84689" w:rsidRPr="005F485E" w14:paraId="0097C776" w14:textId="77777777" w:rsidTr="00474EC3"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A206090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7254EAE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D481EEF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2D799BB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4316BC9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99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700B11F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nodrošinājuma līmenis*</w:t>
                  </w:r>
                </w:p>
              </w:tc>
            </w:tr>
            <w:tr w:rsidR="00C84689" w:rsidRPr="00F33330" w14:paraId="62013D5D" w14:textId="77777777" w:rsidTr="00474EC3"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9CB9B22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30B5A11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58B2701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6640956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6C6F605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9D8E61F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Ir</w:t>
                  </w:r>
                </w:p>
              </w:tc>
              <w:tc>
                <w:tcPr>
                  <w:tcW w:w="8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</w:tcPr>
                <w:p w14:paraId="410117F7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Nav</w:t>
                  </w:r>
                </w:p>
              </w:tc>
            </w:tr>
            <w:tr w:rsidR="00C84689" w:rsidRPr="00F33330" w14:paraId="0BD24B83" w14:textId="77777777" w:rsidTr="00474EC3"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49C026F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1.</w:t>
                  </w:r>
                </w:p>
              </w:tc>
              <w:tc>
                <w:tcPr>
                  <w:tcW w:w="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0163A82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Visaugstākā kvalitāte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FCF736D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AAA</w:t>
                  </w:r>
                </w:p>
              </w:tc>
              <w:tc>
                <w:tcPr>
                  <w:tcW w:w="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48C1382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AAA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CD54642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Aaa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CF51843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F33330"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  <w:t>0.26%</w:t>
                  </w:r>
                </w:p>
              </w:tc>
              <w:tc>
                <w:tcPr>
                  <w:tcW w:w="8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21B0845B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F3333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0.26%</w:t>
                  </w:r>
                </w:p>
              </w:tc>
            </w:tr>
            <w:tr w:rsidR="00C84689" w:rsidRPr="00F33330" w14:paraId="0987E7F6" w14:textId="77777777" w:rsidTr="00474EC3"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DA799C3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2.</w:t>
                  </w:r>
                </w:p>
              </w:tc>
              <w:tc>
                <w:tcPr>
                  <w:tcW w:w="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1C29805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Ļoti augsta maksātspēja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14ECAE9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AA +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AA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AA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–</w:t>
                  </w:r>
                </w:p>
              </w:tc>
              <w:tc>
                <w:tcPr>
                  <w:tcW w:w="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6CB3758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AA +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AA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AA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–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D16F79E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Aa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1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Aa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2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Aa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52661A2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F33330"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  <w:t>0.26%</w:t>
                  </w:r>
                </w:p>
              </w:tc>
              <w:tc>
                <w:tcPr>
                  <w:tcW w:w="8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3C7C59A5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F33330"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  <w:t>0.26%</w:t>
                  </w:r>
                </w:p>
              </w:tc>
            </w:tr>
            <w:tr w:rsidR="00C84689" w:rsidRPr="00F33330" w14:paraId="2B12F974" w14:textId="77777777" w:rsidTr="00474EC3"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DDA73C0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3.</w:t>
                  </w:r>
                </w:p>
              </w:tc>
              <w:tc>
                <w:tcPr>
                  <w:tcW w:w="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0976D1D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Augsta maksātspēja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C419547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 +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A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–</w:t>
                  </w:r>
                </w:p>
              </w:tc>
              <w:tc>
                <w:tcPr>
                  <w:tcW w:w="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B0890ED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 +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A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–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2AC81A7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 1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A 2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A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EF6CE4B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F33330"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  <w:t>0.26%</w:t>
                  </w:r>
                </w:p>
              </w:tc>
              <w:tc>
                <w:tcPr>
                  <w:tcW w:w="8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2D54D8EE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F3333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0.42%</w:t>
                  </w:r>
                </w:p>
              </w:tc>
            </w:tr>
            <w:tr w:rsidR="00C84689" w:rsidRPr="00F33330" w14:paraId="75DA2C7A" w14:textId="77777777" w:rsidTr="00474EC3"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1F8AC90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4.</w:t>
                  </w:r>
                </w:p>
              </w:tc>
              <w:tc>
                <w:tcPr>
                  <w:tcW w:w="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C00C67D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Pietiekama maksātspēja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4CB6967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BBB +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BBB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BBB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–</w:t>
                  </w:r>
                </w:p>
              </w:tc>
              <w:tc>
                <w:tcPr>
                  <w:tcW w:w="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A974C8A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BBB +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BBB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BBB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–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96025D8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Baa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1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Baa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2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Baa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898B5E5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F33330"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  <w:t>0.42%</w:t>
                  </w:r>
                </w:p>
              </w:tc>
              <w:tc>
                <w:tcPr>
                  <w:tcW w:w="8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1586F7B9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F3333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0.72%</w:t>
                  </w:r>
                </w:p>
              </w:tc>
            </w:tr>
            <w:tr w:rsidR="00C84689" w:rsidRPr="00F33330" w14:paraId="27F354DB" w14:textId="77777777" w:rsidTr="00474EC3">
              <w:tc>
                <w:tcPr>
                  <w:tcW w:w="35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DE92DF8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5.</w:t>
                  </w: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595616F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Maksātspēja jutīgi reaģē uz nelabvēlīgiem apstākļiem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EC786BC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BB +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BB</w:t>
                  </w:r>
                </w:p>
              </w:tc>
              <w:tc>
                <w:tcPr>
                  <w:tcW w:w="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788C8F7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BB +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BB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592906F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Ba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1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Ba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2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2BBD0F5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F33330"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  <w:t>0.72%</w:t>
                  </w:r>
                </w:p>
              </w:tc>
              <w:tc>
                <w:tcPr>
                  <w:tcW w:w="8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0A4C30A8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F3333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1.19%</w:t>
                  </w:r>
                </w:p>
              </w:tc>
            </w:tr>
            <w:tr w:rsidR="00C84689" w:rsidRPr="00F33330" w14:paraId="2168AD8B" w14:textId="77777777" w:rsidTr="00474EC3">
              <w:trPr>
                <w:trHeight w:val="648"/>
              </w:trPr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D0B1566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D40BA9A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74389E6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BB –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B +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50E2262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BB –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B +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A49DDAC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Ba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3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B 1</w:t>
                  </w:r>
                </w:p>
              </w:tc>
              <w:tc>
                <w:tcPr>
                  <w:tcW w:w="10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EC9E1AE" w14:textId="77777777" w:rsidR="00C84689" w:rsidRPr="00F33330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F33330"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  <w:t>1.19%</w:t>
                  </w:r>
                </w:p>
                <w:p w14:paraId="51E3B404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right w:val="outset" w:sz="6" w:space="0" w:color="414142"/>
                  </w:tcBorders>
                </w:tcPr>
                <w:p w14:paraId="277DD532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F3333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2.69%</w:t>
                  </w:r>
                </w:p>
              </w:tc>
            </w:tr>
            <w:tr w:rsidR="00C84689" w:rsidRPr="00F33330" w14:paraId="2DD39EFD" w14:textId="77777777" w:rsidTr="00474EC3">
              <w:trPr>
                <w:trHeight w:val="648"/>
              </w:trPr>
              <w:tc>
                <w:tcPr>
                  <w:tcW w:w="35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7D660D2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6.</w:t>
                  </w: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4D4264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Maksātspēju varētu mazināt nelabvēlīgi apstākļi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CF8B198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BC2080F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DBBFA3E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00" w:type="pct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F7C11B6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00" w:type="pct"/>
                  <w:vMerge/>
                  <w:tcBorders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</w:tcPr>
                <w:p w14:paraId="35C05041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84689" w:rsidRPr="00F33330" w14:paraId="57C38539" w14:textId="77777777" w:rsidTr="00474EC3"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A870D6E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A1AED4F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60EB9F5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–</w:t>
                  </w:r>
                </w:p>
              </w:tc>
              <w:tc>
                <w:tcPr>
                  <w:tcW w:w="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E009FB4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–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8FBA2F9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B 2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B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8A7D11F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F33330"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  <w:t>1.19%</w:t>
                  </w:r>
                </w:p>
              </w:tc>
              <w:tc>
                <w:tcPr>
                  <w:tcW w:w="8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190E619D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F3333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3.52%</w:t>
                  </w:r>
                </w:p>
              </w:tc>
            </w:tr>
            <w:tr w:rsidR="00C84689" w:rsidRPr="00F33330" w14:paraId="53A7E0F7" w14:textId="77777777" w:rsidTr="00474EC3"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2DAB699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7.</w:t>
                  </w:r>
                </w:p>
              </w:tc>
              <w:tc>
                <w:tcPr>
                  <w:tcW w:w="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B9BCBB9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Maksātspēja ir atkarīga no labvēlīgu apstākļu noturīguma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2E33E44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CCC +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CCC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CCC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–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CC</w:t>
                  </w:r>
                </w:p>
              </w:tc>
              <w:tc>
                <w:tcPr>
                  <w:tcW w:w="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2D8A12E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CCC +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CCC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CCC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–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CC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C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BAC1975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Caa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1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Caa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2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Caa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4597CBD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F33330"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  <w:t>2.69%</w:t>
                  </w:r>
                </w:p>
              </w:tc>
              <w:tc>
                <w:tcPr>
                  <w:tcW w:w="8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38133368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F3333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10%</w:t>
                  </w:r>
                </w:p>
              </w:tc>
            </w:tr>
            <w:tr w:rsidR="00C84689" w:rsidRPr="00F33330" w14:paraId="402A9AD9" w14:textId="77777777" w:rsidTr="00474EC3"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A6E48CE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8.</w:t>
                  </w:r>
                </w:p>
              </w:tc>
              <w:tc>
                <w:tcPr>
                  <w:tcW w:w="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3EC0850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Netiek pildītas vai gandrīz netiek pildītas saistības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107BA1B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SD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D</w:t>
                  </w:r>
                </w:p>
              </w:tc>
              <w:tc>
                <w:tcPr>
                  <w:tcW w:w="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07B7DDF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DDD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DD</w:t>
                  </w: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D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C98823D" w14:textId="77777777" w:rsidR="00C84689" w:rsidRPr="005F485E" w:rsidRDefault="00C84689" w:rsidP="0047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Ca</w:t>
                  </w:r>
                  <w:proofErr w:type="spellEnd"/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C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1C96123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–</w:t>
                  </w:r>
                </w:p>
              </w:tc>
              <w:tc>
                <w:tcPr>
                  <w:tcW w:w="8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15A042AD" w14:textId="77777777" w:rsidR="00C84689" w:rsidRPr="005F485E" w:rsidRDefault="00C84689" w:rsidP="00474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5F485E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–</w:t>
                  </w:r>
                </w:p>
              </w:tc>
            </w:tr>
          </w:tbl>
          <w:p w14:paraId="3D8352EB" w14:textId="053724D5" w:rsidR="00C84689" w:rsidRPr="005F485E" w:rsidRDefault="00C84689" w:rsidP="00BB4D70">
            <w:pPr>
              <w:spacing w:before="100" w:beforeAutospacing="1" w:after="100" w:afterAutospacing="1" w:line="293" w:lineRule="atLeast"/>
              <w:ind w:firstLine="300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F485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Piezīme.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</w:t>
            </w:r>
            <w:r w:rsidRPr="000729C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aundibinātiem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saimnieciskās darbības veicējiem nosaka</w:t>
            </w:r>
            <w:r w:rsidRPr="000729C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</w:t>
            </w:r>
            <w:r w:rsidRPr="004252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izdevuma riska procentu likm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</w:t>
            </w:r>
            <w:r w:rsidRPr="004252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gadā</w:t>
            </w:r>
            <w:r w:rsidRPr="000729C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, kas nav augstāka par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0729C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69</w:t>
            </w:r>
            <w:r w:rsidRPr="000729C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% un nav zemāka par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aizd</w:t>
            </w:r>
            <w:r w:rsidRPr="004252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evuma riska procentu likm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</w:t>
            </w:r>
            <w:r w:rsidRPr="004252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gadā</w:t>
            </w:r>
            <w:r w:rsidRPr="000729C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, ko piemēro mātes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kompānijai. </w:t>
            </w:r>
            <w:r w:rsidRPr="000729C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r w:rsidR="00BB4D7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BB4D70" w:rsidRPr="00BB4D7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rocentu likme </w:t>
            </w:r>
            <w:r w:rsidR="00BB4D7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nevar būt zemāka par </w:t>
            </w:r>
            <w:r w:rsidR="00BB4D70" w:rsidRPr="00BB4D7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0.1% gadā.</w:t>
            </w:r>
          </w:p>
        </w:tc>
        <w:tc>
          <w:tcPr>
            <w:tcW w:w="368" w:type="dxa"/>
            <w:shd w:val="clear" w:color="auto" w:fill="FFFFFF"/>
            <w:vAlign w:val="center"/>
            <w:hideMark/>
          </w:tcPr>
          <w:p w14:paraId="7210E446" w14:textId="77777777" w:rsidR="00C84689" w:rsidRPr="005F485E" w:rsidRDefault="00C84689" w:rsidP="0047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lv-LV"/>
              </w:rPr>
            </w:pPr>
            <w:r w:rsidRPr="005F485E">
              <w:rPr>
                <w:rFonts w:ascii="Arial" w:eastAsia="Times New Roman" w:hAnsi="Arial" w:cs="Arial"/>
                <w:color w:val="000000"/>
                <w:sz w:val="27"/>
                <w:szCs w:val="27"/>
                <w:lang w:eastAsia="lv-LV"/>
              </w:rPr>
              <w:t> </w:t>
            </w:r>
          </w:p>
        </w:tc>
      </w:tr>
    </w:tbl>
    <w:p w14:paraId="1179951F" w14:textId="77777777" w:rsidR="00C84689" w:rsidRDefault="00C84689" w:rsidP="00C84689"/>
    <w:p w14:paraId="6FE6EB94" w14:textId="77777777" w:rsidR="00142434" w:rsidRPr="00C84689" w:rsidRDefault="00142434" w:rsidP="00C84689"/>
    <w:sectPr w:rsidR="00142434" w:rsidRPr="00C846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5E"/>
    <w:rsid w:val="000729CF"/>
    <w:rsid w:val="000D24B0"/>
    <w:rsid w:val="000E10F5"/>
    <w:rsid w:val="00142434"/>
    <w:rsid w:val="0028187E"/>
    <w:rsid w:val="00310B54"/>
    <w:rsid w:val="005F485E"/>
    <w:rsid w:val="00950EF3"/>
    <w:rsid w:val="00BB4D70"/>
    <w:rsid w:val="00C84689"/>
    <w:rsid w:val="00D34947"/>
    <w:rsid w:val="00E46CF8"/>
    <w:rsid w:val="00F3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69371"/>
  <w15:chartTrackingRefBased/>
  <w15:docId w15:val="{92C64799-8DB9-474F-8498-6F531C0F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F485E"/>
    <w:rPr>
      <w:color w:val="0000FF"/>
      <w:u w:val="single"/>
    </w:rPr>
  </w:style>
  <w:style w:type="paragraph" w:customStyle="1" w:styleId="tvhtml">
    <w:name w:val="tv_html"/>
    <w:basedOn w:val="Normal"/>
    <w:rsid w:val="005F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1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203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75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Dlohi</dc:creator>
  <cp:keywords/>
  <dc:description/>
  <cp:lastModifiedBy>Liene Bergholde</cp:lastModifiedBy>
  <cp:revision>2</cp:revision>
  <dcterms:created xsi:type="dcterms:W3CDTF">2020-03-18T16:26:00Z</dcterms:created>
  <dcterms:modified xsi:type="dcterms:W3CDTF">2020-03-18T16:26:00Z</dcterms:modified>
</cp:coreProperties>
</file>