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59FF" w14:textId="3F4F17E5" w:rsidR="00447924" w:rsidRPr="000B0EE0" w:rsidRDefault="00447924" w:rsidP="00846031">
      <w:pPr>
        <w:tabs>
          <w:tab w:val="left" w:pos="6663"/>
        </w:tabs>
        <w:spacing w:after="0" w:line="240" w:lineRule="auto"/>
        <w:rPr>
          <w:rFonts w:ascii="Times New Roman" w:eastAsia="Times New Roman" w:hAnsi="Times New Roman" w:cs="Times New Roman"/>
          <w:sz w:val="28"/>
          <w:szCs w:val="28"/>
          <w:lang w:eastAsia="lv-LV"/>
        </w:rPr>
      </w:pPr>
    </w:p>
    <w:p w14:paraId="585480A2" w14:textId="77777777" w:rsidR="00F6485F" w:rsidRPr="000B0EE0" w:rsidRDefault="00F6485F" w:rsidP="00846031">
      <w:pPr>
        <w:tabs>
          <w:tab w:val="left" w:pos="6663"/>
        </w:tabs>
        <w:spacing w:after="0" w:line="240" w:lineRule="auto"/>
        <w:rPr>
          <w:rFonts w:ascii="Times New Roman" w:eastAsia="Times New Roman" w:hAnsi="Times New Roman" w:cs="Times New Roman"/>
          <w:sz w:val="28"/>
          <w:szCs w:val="28"/>
          <w:lang w:eastAsia="lv-LV"/>
        </w:rPr>
      </w:pPr>
    </w:p>
    <w:p w14:paraId="4C141405" w14:textId="77777777" w:rsidR="00447924" w:rsidRPr="000B0EE0" w:rsidRDefault="00447924" w:rsidP="00846031">
      <w:pPr>
        <w:tabs>
          <w:tab w:val="left" w:pos="6663"/>
        </w:tabs>
        <w:spacing w:after="0" w:line="240" w:lineRule="auto"/>
        <w:rPr>
          <w:rFonts w:ascii="Times New Roman" w:eastAsia="Times New Roman" w:hAnsi="Times New Roman" w:cs="Times New Roman"/>
          <w:sz w:val="28"/>
          <w:szCs w:val="28"/>
          <w:lang w:eastAsia="lv-LV"/>
        </w:rPr>
      </w:pPr>
    </w:p>
    <w:p w14:paraId="5D4C93E8" w14:textId="50FAD689" w:rsidR="00F6485F" w:rsidRPr="000B0EE0" w:rsidRDefault="00F6485F" w:rsidP="00A81F12">
      <w:pPr>
        <w:tabs>
          <w:tab w:val="left" w:pos="6663"/>
        </w:tabs>
        <w:spacing w:after="0" w:line="240" w:lineRule="auto"/>
        <w:rPr>
          <w:rFonts w:ascii="Times New Roman" w:hAnsi="Times New Roman"/>
          <w:b/>
          <w:sz w:val="28"/>
          <w:szCs w:val="28"/>
        </w:rPr>
      </w:pPr>
      <w:r w:rsidRPr="000B0EE0">
        <w:rPr>
          <w:rFonts w:ascii="Times New Roman" w:hAnsi="Times New Roman"/>
          <w:sz w:val="28"/>
          <w:szCs w:val="28"/>
        </w:rPr>
        <w:t>2020. gada</w:t>
      </w:r>
      <w:r w:rsidR="00F136A9">
        <w:rPr>
          <w:rFonts w:ascii="Times New Roman" w:hAnsi="Times New Roman"/>
          <w:sz w:val="28"/>
          <w:szCs w:val="28"/>
        </w:rPr>
        <w:t> 24. martā</w:t>
      </w:r>
      <w:r w:rsidRPr="000B0EE0">
        <w:rPr>
          <w:rFonts w:ascii="Times New Roman" w:hAnsi="Times New Roman"/>
          <w:sz w:val="28"/>
          <w:szCs w:val="28"/>
        </w:rPr>
        <w:tab/>
        <w:t>Noteikumi Nr.</w:t>
      </w:r>
      <w:r w:rsidR="00F136A9">
        <w:rPr>
          <w:rFonts w:ascii="Times New Roman" w:hAnsi="Times New Roman"/>
          <w:sz w:val="28"/>
          <w:szCs w:val="28"/>
        </w:rPr>
        <w:t> 153</w:t>
      </w:r>
    </w:p>
    <w:p w14:paraId="5DD301AC" w14:textId="6DC7893B" w:rsidR="00F6485F" w:rsidRPr="000B0EE0" w:rsidRDefault="00F6485F" w:rsidP="00A81F12">
      <w:pPr>
        <w:tabs>
          <w:tab w:val="left" w:pos="6663"/>
        </w:tabs>
        <w:spacing w:after="0" w:line="240" w:lineRule="auto"/>
        <w:rPr>
          <w:rFonts w:ascii="Times New Roman" w:hAnsi="Times New Roman"/>
          <w:sz w:val="28"/>
          <w:szCs w:val="28"/>
        </w:rPr>
      </w:pPr>
      <w:r w:rsidRPr="000B0EE0">
        <w:rPr>
          <w:rFonts w:ascii="Times New Roman" w:hAnsi="Times New Roman"/>
          <w:sz w:val="28"/>
          <w:szCs w:val="28"/>
        </w:rPr>
        <w:t>Rīgā</w:t>
      </w:r>
      <w:r w:rsidRPr="000B0EE0">
        <w:rPr>
          <w:rFonts w:ascii="Times New Roman" w:hAnsi="Times New Roman"/>
          <w:sz w:val="28"/>
          <w:szCs w:val="28"/>
        </w:rPr>
        <w:tab/>
        <w:t>(prot. Nr.</w:t>
      </w:r>
      <w:r w:rsidR="00F136A9">
        <w:rPr>
          <w:rFonts w:ascii="Times New Roman" w:hAnsi="Times New Roman"/>
          <w:sz w:val="28"/>
          <w:szCs w:val="28"/>
        </w:rPr>
        <w:t> 17 33</w:t>
      </w:r>
      <w:r w:rsidRPr="000B0EE0">
        <w:rPr>
          <w:rFonts w:ascii="Times New Roman" w:hAnsi="Times New Roman"/>
          <w:sz w:val="28"/>
          <w:szCs w:val="28"/>
        </w:rPr>
        <w:t>. §)</w:t>
      </w:r>
      <w:bookmarkStart w:id="0" w:name="_GoBack"/>
      <w:bookmarkEnd w:id="0"/>
    </w:p>
    <w:p w14:paraId="17346BC2" w14:textId="29F3A2EA" w:rsidR="004F766E" w:rsidRPr="000B0EE0" w:rsidRDefault="004F766E" w:rsidP="00846031">
      <w:pPr>
        <w:spacing w:after="0" w:line="240" w:lineRule="auto"/>
        <w:ind w:right="-1"/>
        <w:jc w:val="both"/>
        <w:rPr>
          <w:rFonts w:ascii="Times New Roman" w:eastAsia="Times New Roman" w:hAnsi="Times New Roman" w:cs="Times New Roman"/>
          <w:sz w:val="28"/>
          <w:szCs w:val="28"/>
          <w:lang w:eastAsia="lv-LV"/>
        </w:rPr>
      </w:pPr>
    </w:p>
    <w:p w14:paraId="51169D9C" w14:textId="290745BD" w:rsidR="004F766E" w:rsidRPr="000B0EE0" w:rsidRDefault="004F766E" w:rsidP="00846031">
      <w:pPr>
        <w:spacing w:after="0" w:line="240" w:lineRule="auto"/>
        <w:ind w:right="-1"/>
        <w:jc w:val="center"/>
        <w:rPr>
          <w:rFonts w:ascii="Times New Roman" w:eastAsia="Times New Roman" w:hAnsi="Times New Roman"/>
          <w:b/>
          <w:sz w:val="28"/>
          <w:szCs w:val="28"/>
          <w:lang w:eastAsia="lv-LV"/>
        </w:rPr>
      </w:pPr>
      <w:bookmarkStart w:id="1" w:name="OLE_LINK2"/>
      <w:bookmarkStart w:id="2" w:name="OLE_LINK1"/>
      <w:bookmarkStart w:id="3" w:name="OLE_LINK7"/>
      <w:bookmarkStart w:id="4" w:name="OLE_LINK10"/>
      <w:bookmarkStart w:id="5" w:name="_Hlk523303797"/>
      <w:r w:rsidRPr="000B0EE0">
        <w:rPr>
          <w:rFonts w:ascii="Times New Roman" w:eastAsia="Times New Roman" w:hAnsi="Times New Roman" w:cs="Times New Roman"/>
          <w:b/>
          <w:sz w:val="28"/>
          <w:szCs w:val="28"/>
          <w:lang w:eastAsia="lv-LV"/>
        </w:rPr>
        <w:t>Grozījum</w:t>
      </w:r>
      <w:r w:rsidR="00D72ADC" w:rsidRPr="000B0EE0">
        <w:rPr>
          <w:rFonts w:ascii="Times New Roman" w:eastAsia="Times New Roman" w:hAnsi="Times New Roman" w:cs="Times New Roman"/>
          <w:b/>
          <w:sz w:val="28"/>
          <w:szCs w:val="28"/>
          <w:lang w:eastAsia="lv-LV"/>
        </w:rPr>
        <w:t>i</w:t>
      </w:r>
      <w:r w:rsidRPr="000B0EE0">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0B0EE0">
        <w:rPr>
          <w:rFonts w:ascii="Times New Roman" w:eastAsia="Times New Roman" w:hAnsi="Times New Roman"/>
          <w:b/>
          <w:sz w:val="28"/>
          <w:szCs w:val="28"/>
          <w:lang w:eastAsia="lv-LV"/>
        </w:rPr>
        <w:t>20</w:t>
      </w:r>
      <w:r w:rsidR="00D11FE5" w:rsidRPr="000B0EE0">
        <w:rPr>
          <w:rFonts w:ascii="Times New Roman" w:eastAsia="Times New Roman" w:hAnsi="Times New Roman"/>
          <w:b/>
          <w:sz w:val="28"/>
          <w:szCs w:val="28"/>
          <w:lang w:eastAsia="lv-LV"/>
        </w:rPr>
        <w:t>20</w:t>
      </w:r>
      <w:r w:rsidR="00260817" w:rsidRPr="000B0EE0">
        <w:rPr>
          <w:rFonts w:ascii="Times New Roman" w:eastAsia="Times New Roman" w:hAnsi="Times New Roman"/>
          <w:b/>
          <w:sz w:val="28"/>
          <w:szCs w:val="28"/>
          <w:lang w:eastAsia="lv-LV"/>
        </w:rPr>
        <w:t>.</w:t>
      </w:r>
      <w:r w:rsidR="00F6485F" w:rsidRPr="000B0EE0">
        <w:rPr>
          <w:rFonts w:ascii="Times New Roman" w:eastAsia="Times New Roman" w:hAnsi="Times New Roman"/>
          <w:b/>
          <w:sz w:val="28"/>
          <w:szCs w:val="28"/>
          <w:lang w:eastAsia="lv-LV"/>
        </w:rPr>
        <w:t> </w:t>
      </w:r>
      <w:r w:rsidR="00BB6848" w:rsidRPr="000B0EE0">
        <w:rPr>
          <w:rFonts w:ascii="Times New Roman" w:eastAsia="Times New Roman" w:hAnsi="Times New Roman"/>
          <w:b/>
          <w:sz w:val="28"/>
          <w:szCs w:val="28"/>
          <w:lang w:eastAsia="lv-LV"/>
        </w:rPr>
        <w:t xml:space="preserve">gada </w:t>
      </w:r>
      <w:r w:rsidR="00767273" w:rsidRPr="000B0EE0">
        <w:rPr>
          <w:rFonts w:ascii="Times New Roman" w:eastAsia="Times New Roman" w:hAnsi="Times New Roman"/>
          <w:b/>
          <w:sz w:val="28"/>
          <w:szCs w:val="28"/>
          <w:lang w:eastAsia="lv-LV"/>
        </w:rPr>
        <w:t>19</w:t>
      </w:r>
      <w:r w:rsidR="00D72ADC" w:rsidRPr="000B0EE0">
        <w:rPr>
          <w:rFonts w:ascii="Times New Roman" w:eastAsia="Times New Roman" w:hAnsi="Times New Roman"/>
          <w:b/>
          <w:sz w:val="28"/>
          <w:szCs w:val="28"/>
          <w:lang w:eastAsia="lv-LV"/>
        </w:rPr>
        <w:t>.</w:t>
      </w:r>
      <w:r w:rsidR="00F6485F" w:rsidRPr="000B0EE0">
        <w:rPr>
          <w:rFonts w:ascii="Times New Roman" w:eastAsia="Times New Roman" w:hAnsi="Times New Roman"/>
          <w:b/>
          <w:sz w:val="28"/>
          <w:szCs w:val="28"/>
          <w:lang w:eastAsia="lv-LV"/>
        </w:rPr>
        <w:t> </w:t>
      </w:r>
      <w:r w:rsidR="00D11FE5" w:rsidRPr="000B0EE0">
        <w:rPr>
          <w:rFonts w:ascii="Times New Roman" w:eastAsia="Times New Roman" w:hAnsi="Times New Roman"/>
          <w:b/>
          <w:sz w:val="28"/>
          <w:szCs w:val="28"/>
          <w:lang w:eastAsia="lv-LV"/>
        </w:rPr>
        <w:t>marta</w:t>
      </w:r>
      <w:r w:rsidR="00BB6848" w:rsidRPr="000B0EE0">
        <w:rPr>
          <w:rFonts w:ascii="Times New Roman" w:eastAsia="Times New Roman" w:hAnsi="Times New Roman"/>
          <w:b/>
          <w:sz w:val="28"/>
          <w:szCs w:val="28"/>
          <w:lang w:eastAsia="lv-LV"/>
        </w:rPr>
        <w:t xml:space="preserve"> noteikumos Nr. </w:t>
      </w:r>
      <w:r w:rsidR="006B22EE" w:rsidRPr="000B0EE0">
        <w:rPr>
          <w:rFonts w:ascii="Times New Roman" w:eastAsia="Times New Roman" w:hAnsi="Times New Roman"/>
          <w:b/>
          <w:sz w:val="28"/>
          <w:szCs w:val="28"/>
          <w:lang w:eastAsia="lv-LV"/>
        </w:rPr>
        <w:t>1</w:t>
      </w:r>
      <w:r w:rsidR="00767273" w:rsidRPr="000B0EE0">
        <w:rPr>
          <w:rFonts w:ascii="Times New Roman" w:eastAsia="Times New Roman" w:hAnsi="Times New Roman"/>
          <w:b/>
          <w:sz w:val="28"/>
          <w:szCs w:val="28"/>
          <w:lang w:eastAsia="lv-LV"/>
        </w:rPr>
        <w:t>49</w:t>
      </w:r>
      <w:r w:rsidR="006B22EE" w:rsidRPr="000B0EE0">
        <w:rPr>
          <w:rFonts w:ascii="Times New Roman" w:eastAsia="Times New Roman" w:hAnsi="Times New Roman"/>
          <w:b/>
          <w:sz w:val="28"/>
          <w:szCs w:val="28"/>
          <w:lang w:eastAsia="lv-LV"/>
        </w:rPr>
        <w:t xml:space="preserve"> </w:t>
      </w:r>
      <w:r w:rsidR="00F6485F" w:rsidRPr="000B0EE0">
        <w:rPr>
          <w:rFonts w:ascii="Times New Roman" w:eastAsia="Times New Roman" w:hAnsi="Times New Roman"/>
          <w:b/>
          <w:sz w:val="28"/>
          <w:szCs w:val="28"/>
          <w:lang w:eastAsia="lv-LV"/>
        </w:rPr>
        <w:t>"</w:t>
      </w:r>
      <w:r w:rsidR="00767273" w:rsidRPr="000B0EE0">
        <w:rPr>
          <w:rFonts w:ascii="Times New Roman" w:eastAsia="Times New Roman" w:hAnsi="Times New Roman"/>
          <w:b/>
          <w:sz w:val="28"/>
          <w:szCs w:val="28"/>
          <w:lang w:eastAsia="lv-LV"/>
        </w:rPr>
        <w:t xml:space="preserve">Noteikumi par apgrozāmo līdzekļu aizdevumiem saimnieciskās darbības veicējiem, kuru darbību ietekmējusi </w:t>
      </w:r>
      <w:proofErr w:type="spellStart"/>
      <w:r w:rsidR="00767273" w:rsidRPr="000B0EE0">
        <w:rPr>
          <w:rFonts w:ascii="Times New Roman" w:eastAsia="Times New Roman" w:hAnsi="Times New Roman"/>
          <w:b/>
          <w:sz w:val="28"/>
          <w:szCs w:val="28"/>
          <w:lang w:eastAsia="lv-LV"/>
        </w:rPr>
        <w:t>Covid-19</w:t>
      </w:r>
      <w:proofErr w:type="spellEnd"/>
      <w:r w:rsidR="00767273" w:rsidRPr="000B0EE0">
        <w:rPr>
          <w:rFonts w:ascii="Times New Roman" w:eastAsia="Times New Roman" w:hAnsi="Times New Roman"/>
          <w:b/>
          <w:sz w:val="28"/>
          <w:szCs w:val="28"/>
          <w:lang w:eastAsia="lv-LV"/>
        </w:rPr>
        <w:t xml:space="preserve"> izplatība</w:t>
      </w:r>
      <w:r w:rsidR="00F6485F" w:rsidRPr="000B0EE0">
        <w:rPr>
          <w:rFonts w:ascii="Times New Roman" w:eastAsia="Times New Roman" w:hAnsi="Times New Roman"/>
          <w:b/>
          <w:sz w:val="28"/>
          <w:szCs w:val="28"/>
          <w:lang w:eastAsia="lv-LV"/>
        </w:rPr>
        <w:t>"</w:t>
      </w:r>
    </w:p>
    <w:bookmarkEnd w:id="5"/>
    <w:p w14:paraId="6BA942FC" w14:textId="24B8F3DC" w:rsidR="004F766E" w:rsidRPr="000B0EE0" w:rsidRDefault="004F766E" w:rsidP="00846031">
      <w:pPr>
        <w:spacing w:after="0" w:line="240" w:lineRule="auto"/>
        <w:ind w:right="-1"/>
        <w:jc w:val="right"/>
        <w:rPr>
          <w:rFonts w:ascii="Times New Roman" w:eastAsia="Times New Roman" w:hAnsi="Times New Roman" w:cs="Times New Roman"/>
          <w:sz w:val="28"/>
          <w:szCs w:val="28"/>
          <w:lang w:eastAsia="lv-LV"/>
        </w:rPr>
      </w:pPr>
    </w:p>
    <w:p w14:paraId="62CABAD4" w14:textId="77777777" w:rsidR="00D11FE5" w:rsidRPr="000B0EE0" w:rsidRDefault="00D11FE5" w:rsidP="00846031">
      <w:pPr>
        <w:spacing w:after="0" w:line="240" w:lineRule="auto"/>
        <w:contextualSpacing/>
        <w:jc w:val="right"/>
        <w:rPr>
          <w:rFonts w:ascii="Times New Roman" w:hAnsi="Times New Roman"/>
          <w:sz w:val="28"/>
          <w:szCs w:val="28"/>
        </w:rPr>
      </w:pPr>
      <w:r w:rsidRPr="000B0EE0">
        <w:rPr>
          <w:rFonts w:ascii="Times New Roman" w:hAnsi="Times New Roman"/>
          <w:sz w:val="28"/>
          <w:szCs w:val="28"/>
        </w:rPr>
        <w:t xml:space="preserve">Izdoti saskaņā ar </w:t>
      </w:r>
    </w:p>
    <w:p w14:paraId="166E531A" w14:textId="77777777" w:rsidR="00D11FE5" w:rsidRPr="000B0EE0" w:rsidRDefault="00D11FE5" w:rsidP="00846031">
      <w:pPr>
        <w:spacing w:after="0" w:line="240" w:lineRule="auto"/>
        <w:contextualSpacing/>
        <w:jc w:val="right"/>
        <w:rPr>
          <w:rFonts w:ascii="Times New Roman" w:hAnsi="Times New Roman"/>
          <w:sz w:val="28"/>
          <w:szCs w:val="28"/>
        </w:rPr>
      </w:pPr>
      <w:r w:rsidRPr="000B0EE0">
        <w:rPr>
          <w:rFonts w:ascii="Times New Roman" w:hAnsi="Times New Roman"/>
          <w:sz w:val="28"/>
          <w:szCs w:val="28"/>
        </w:rPr>
        <w:t>Attīstības finanšu institūcijas likuma</w:t>
      </w:r>
    </w:p>
    <w:p w14:paraId="2176B821" w14:textId="1615993A" w:rsidR="00D11FE5" w:rsidRPr="000B0EE0" w:rsidRDefault="00D11FE5" w:rsidP="00846031">
      <w:pPr>
        <w:spacing w:after="0" w:line="240" w:lineRule="auto"/>
        <w:contextualSpacing/>
        <w:jc w:val="right"/>
        <w:rPr>
          <w:rFonts w:ascii="Times New Roman" w:hAnsi="Times New Roman"/>
          <w:sz w:val="28"/>
          <w:szCs w:val="28"/>
        </w:rPr>
      </w:pPr>
      <w:r w:rsidRPr="000B0EE0">
        <w:rPr>
          <w:rFonts w:ascii="Times New Roman" w:hAnsi="Times New Roman"/>
          <w:sz w:val="28"/>
          <w:szCs w:val="28"/>
        </w:rPr>
        <w:t>12.</w:t>
      </w:r>
      <w:r w:rsidR="00556EAB" w:rsidRPr="000B0EE0">
        <w:rPr>
          <w:rFonts w:ascii="Times New Roman" w:hAnsi="Times New Roman"/>
          <w:sz w:val="28"/>
          <w:szCs w:val="28"/>
        </w:rPr>
        <w:t> </w:t>
      </w:r>
      <w:r w:rsidRPr="000B0EE0">
        <w:rPr>
          <w:rFonts w:ascii="Times New Roman" w:hAnsi="Times New Roman"/>
          <w:sz w:val="28"/>
          <w:szCs w:val="28"/>
        </w:rPr>
        <w:t xml:space="preserve">panta ceturto daļu </w:t>
      </w:r>
    </w:p>
    <w:p w14:paraId="052E2525" w14:textId="50312F81" w:rsidR="004F766E" w:rsidRPr="000B0EE0" w:rsidRDefault="004F766E" w:rsidP="00846031">
      <w:pPr>
        <w:spacing w:after="0" w:line="240" w:lineRule="auto"/>
        <w:ind w:right="-1"/>
        <w:jc w:val="right"/>
        <w:rPr>
          <w:rFonts w:ascii="Times New Roman" w:eastAsia="Times New Roman" w:hAnsi="Times New Roman" w:cs="Times New Roman"/>
          <w:sz w:val="28"/>
          <w:szCs w:val="28"/>
          <w:lang w:eastAsia="lv-LV"/>
        </w:rPr>
      </w:pPr>
    </w:p>
    <w:p w14:paraId="5653A653" w14:textId="0EA76111" w:rsidR="004F766E" w:rsidRPr="000B0EE0" w:rsidRDefault="004F766E" w:rsidP="00846031">
      <w:pPr>
        <w:spacing w:after="0" w:line="240" w:lineRule="auto"/>
        <w:ind w:right="-1" w:firstLine="709"/>
        <w:rPr>
          <w:rFonts w:ascii="Times New Roman" w:eastAsia="Times New Roman" w:hAnsi="Times New Roman" w:cs="Times New Roman"/>
          <w:sz w:val="28"/>
          <w:szCs w:val="28"/>
        </w:rPr>
      </w:pPr>
    </w:p>
    <w:p w14:paraId="6AEB8B0C" w14:textId="2AF57554" w:rsidR="00DF4676" w:rsidRPr="000B0EE0" w:rsidRDefault="004F766E" w:rsidP="00F6485F">
      <w:pPr>
        <w:spacing w:after="0" w:line="240" w:lineRule="auto"/>
        <w:ind w:right="-1" w:firstLine="709"/>
        <w:jc w:val="both"/>
        <w:rPr>
          <w:rFonts w:ascii="Times New Roman" w:eastAsia="Times New Roman" w:hAnsi="Times New Roman" w:cs="Times New Roman"/>
          <w:sz w:val="28"/>
          <w:szCs w:val="28"/>
        </w:rPr>
      </w:pPr>
      <w:r w:rsidRPr="000B0EE0">
        <w:rPr>
          <w:rFonts w:ascii="Times New Roman" w:eastAsia="Times New Roman" w:hAnsi="Times New Roman" w:cs="Times New Roman"/>
          <w:sz w:val="28"/>
          <w:szCs w:val="28"/>
        </w:rPr>
        <w:t xml:space="preserve">Izdarīt Ministru kabineta </w:t>
      </w:r>
      <w:r w:rsidR="00D11FE5" w:rsidRPr="000B0EE0">
        <w:rPr>
          <w:rFonts w:ascii="Times New Roman" w:eastAsia="Times New Roman" w:hAnsi="Times New Roman" w:cs="Times New Roman"/>
          <w:sz w:val="28"/>
          <w:szCs w:val="28"/>
        </w:rPr>
        <w:t>2020</w:t>
      </w:r>
      <w:r w:rsidR="00767273" w:rsidRPr="000B0EE0">
        <w:rPr>
          <w:rFonts w:ascii="Times New Roman" w:eastAsia="Times New Roman" w:hAnsi="Times New Roman" w:cs="Times New Roman"/>
          <w:sz w:val="28"/>
          <w:szCs w:val="28"/>
        </w:rPr>
        <w:t>.</w:t>
      </w:r>
      <w:r w:rsidR="00556EAB" w:rsidRPr="000B0EE0">
        <w:rPr>
          <w:rFonts w:ascii="Times New Roman" w:eastAsia="Times New Roman" w:hAnsi="Times New Roman" w:cs="Times New Roman"/>
          <w:sz w:val="28"/>
          <w:szCs w:val="28"/>
        </w:rPr>
        <w:t> </w:t>
      </w:r>
      <w:r w:rsidR="00D11FE5" w:rsidRPr="000B0EE0">
        <w:rPr>
          <w:rFonts w:ascii="Times New Roman" w:eastAsia="Times New Roman" w:hAnsi="Times New Roman" w:cs="Times New Roman"/>
          <w:sz w:val="28"/>
          <w:szCs w:val="28"/>
        </w:rPr>
        <w:t xml:space="preserve">gada </w:t>
      </w:r>
      <w:r w:rsidR="00767273" w:rsidRPr="000B0EE0">
        <w:rPr>
          <w:rFonts w:ascii="Times New Roman" w:eastAsia="Times New Roman" w:hAnsi="Times New Roman" w:cs="Times New Roman"/>
          <w:sz w:val="28"/>
          <w:szCs w:val="28"/>
        </w:rPr>
        <w:t>19</w:t>
      </w:r>
      <w:r w:rsidR="00D11FE5" w:rsidRPr="000B0EE0">
        <w:rPr>
          <w:rFonts w:ascii="Times New Roman" w:eastAsia="Times New Roman" w:hAnsi="Times New Roman" w:cs="Times New Roman"/>
          <w:sz w:val="28"/>
          <w:szCs w:val="28"/>
        </w:rPr>
        <w:t>.</w:t>
      </w:r>
      <w:r w:rsidR="00F6485F" w:rsidRPr="000B0EE0">
        <w:rPr>
          <w:rFonts w:ascii="Times New Roman" w:eastAsia="Times New Roman" w:hAnsi="Times New Roman" w:cs="Times New Roman"/>
          <w:sz w:val="28"/>
          <w:szCs w:val="28"/>
        </w:rPr>
        <w:t> </w:t>
      </w:r>
      <w:r w:rsidR="00D11FE5" w:rsidRPr="000B0EE0">
        <w:rPr>
          <w:rFonts w:ascii="Times New Roman" w:eastAsia="Times New Roman" w:hAnsi="Times New Roman" w:cs="Times New Roman"/>
          <w:sz w:val="28"/>
          <w:szCs w:val="28"/>
        </w:rPr>
        <w:t>marta noteikumos Nr.</w:t>
      </w:r>
      <w:r w:rsidR="00556EAB" w:rsidRPr="000B0EE0">
        <w:rPr>
          <w:rFonts w:ascii="Times New Roman" w:eastAsia="Times New Roman" w:hAnsi="Times New Roman" w:cs="Times New Roman"/>
          <w:sz w:val="28"/>
          <w:szCs w:val="28"/>
        </w:rPr>
        <w:t> </w:t>
      </w:r>
      <w:r w:rsidR="00DB54CF" w:rsidRPr="000B0EE0">
        <w:rPr>
          <w:rFonts w:ascii="Times New Roman" w:eastAsia="Times New Roman" w:hAnsi="Times New Roman" w:cs="Times New Roman"/>
          <w:sz w:val="28"/>
          <w:szCs w:val="28"/>
        </w:rPr>
        <w:t>1</w:t>
      </w:r>
      <w:r w:rsidR="00767273" w:rsidRPr="000B0EE0">
        <w:rPr>
          <w:rFonts w:ascii="Times New Roman" w:eastAsia="Times New Roman" w:hAnsi="Times New Roman" w:cs="Times New Roman"/>
          <w:sz w:val="28"/>
          <w:szCs w:val="28"/>
        </w:rPr>
        <w:t>49</w:t>
      </w:r>
      <w:r w:rsidR="00D11FE5" w:rsidRPr="000B0EE0">
        <w:rPr>
          <w:rFonts w:ascii="Times New Roman" w:eastAsia="Times New Roman" w:hAnsi="Times New Roman" w:cs="Times New Roman"/>
          <w:sz w:val="28"/>
          <w:szCs w:val="28"/>
        </w:rPr>
        <w:t xml:space="preserve"> </w:t>
      </w:r>
      <w:r w:rsidR="00F6485F" w:rsidRPr="000B0EE0">
        <w:rPr>
          <w:rFonts w:ascii="Times New Roman" w:eastAsia="Times New Roman" w:hAnsi="Times New Roman" w:cs="Times New Roman"/>
          <w:sz w:val="28"/>
          <w:szCs w:val="28"/>
        </w:rPr>
        <w:t>"</w:t>
      </w:r>
      <w:r w:rsidR="00767273" w:rsidRPr="000B0EE0">
        <w:rPr>
          <w:rFonts w:ascii="Times New Roman" w:eastAsia="Times New Roman" w:hAnsi="Times New Roman" w:cs="Times New Roman"/>
          <w:sz w:val="28"/>
          <w:szCs w:val="28"/>
        </w:rPr>
        <w:t xml:space="preserve">Noteikumi par apgrozāmo līdzekļu aizdevumiem saimnieciskās darbības veicējiem, kuru darbību ietekmējusi </w:t>
      </w:r>
      <w:proofErr w:type="spellStart"/>
      <w:r w:rsidR="00767273" w:rsidRPr="000B0EE0">
        <w:rPr>
          <w:rFonts w:ascii="Times New Roman" w:eastAsia="Times New Roman" w:hAnsi="Times New Roman" w:cs="Times New Roman"/>
          <w:sz w:val="28"/>
          <w:szCs w:val="28"/>
        </w:rPr>
        <w:t>Covid-19</w:t>
      </w:r>
      <w:proofErr w:type="spellEnd"/>
      <w:r w:rsidR="00767273" w:rsidRPr="000B0EE0">
        <w:rPr>
          <w:rFonts w:ascii="Times New Roman" w:eastAsia="Times New Roman" w:hAnsi="Times New Roman" w:cs="Times New Roman"/>
          <w:sz w:val="28"/>
          <w:szCs w:val="28"/>
        </w:rPr>
        <w:t xml:space="preserve"> izplatība</w:t>
      </w:r>
      <w:r w:rsidR="00F6485F" w:rsidRPr="000B0EE0">
        <w:rPr>
          <w:rFonts w:ascii="Times New Roman" w:eastAsia="Times New Roman" w:hAnsi="Times New Roman" w:cs="Times New Roman"/>
          <w:sz w:val="28"/>
          <w:szCs w:val="28"/>
        </w:rPr>
        <w:t>"</w:t>
      </w:r>
      <w:r w:rsidR="00D72ADC" w:rsidRPr="000B0EE0">
        <w:rPr>
          <w:rFonts w:ascii="Times New Roman" w:eastAsia="Times New Roman" w:hAnsi="Times New Roman" w:cs="Times New Roman"/>
          <w:sz w:val="28"/>
          <w:szCs w:val="28"/>
        </w:rPr>
        <w:t xml:space="preserve"> </w:t>
      </w:r>
      <w:r w:rsidR="00DC6ADC" w:rsidRPr="000B0EE0">
        <w:rPr>
          <w:rFonts w:ascii="Times New Roman" w:eastAsia="Times New Roman" w:hAnsi="Times New Roman" w:cs="Times New Roman"/>
          <w:sz w:val="28"/>
          <w:szCs w:val="28"/>
        </w:rPr>
        <w:t xml:space="preserve">(Latvijas Vēstnesis, </w:t>
      </w:r>
      <w:r w:rsidR="00BB6848" w:rsidRPr="000B0EE0">
        <w:rPr>
          <w:rFonts w:ascii="Times New Roman" w:eastAsia="Times New Roman" w:hAnsi="Times New Roman" w:cs="Times New Roman"/>
          <w:sz w:val="28"/>
          <w:szCs w:val="28"/>
        </w:rPr>
        <w:t>20</w:t>
      </w:r>
      <w:r w:rsidR="00D11FE5" w:rsidRPr="000B0EE0">
        <w:rPr>
          <w:rFonts w:ascii="Times New Roman" w:eastAsia="Times New Roman" w:hAnsi="Times New Roman" w:cs="Times New Roman"/>
          <w:sz w:val="28"/>
          <w:szCs w:val="28"/>
        </w:rPr>
        <w:t>20</w:t>
      </w:r>
      <w:r w:rsidR="00DC6ADC" w:rsidRPr="000B0EE0">
        <w:rPr>
          <w:rFonts w:ascii="Times New Roman" w:eastAsia="Times New Roman" w:hAnsi="Times New Roman" w:cs="Times New Roman"/>
          <w:sz w:val="28"/>
          <w:szCs w:val="28"/>
        </w:rPr>
        <w:t xml:space="preserve">, </w:t>
      </w:r>
      <w:r w:rsidR="00DB54CF" w:rsidRPr="000B0EE0">
        <w:rPr>
          <w:rFonts w:ascii="Times New Roman" w:eastAsia="Times New Roman" w:hAnsi="Times New Roman" w:cs="Times New Roman"/>
          <w:sz w:val="28"/>
          <w:szCs w:val="28"/>
        </w:rPr>
        <w:t>57A</w:t>
      </w:r>
      <w:r w:rsidR="00B61435" w:rsidRPr="000B0EE0">
        <w:rPr>
          <w:rFonts w:ascii="Times New Roman" w:eastAsia="Times New Roman" w:hAnsi="Times New Roman" w:cs="Times New Roman"/>
          <w:sz w:val="28"/>
          <w:szCs w:val="28"/>
        </w:rPr>
        <w:t>.</w:t>
      </w:r>
      <w:r w:rsidR="00DC6ADC" w:rsidRPr="000B0EE0">
        <w:rPr>
          <w:rFonts w:ascii="Times New Roman" w:eastAsia="Times New Roman" w:hAnsi="Times New Roman" w:cs="Times New Roman"/>
          <w:sz w:val="28"/>
          <w:szCs w:val="28"/>
        </w:rPr>
        <w:t xml:space="preserve"> nr</w:t>
      </w:r>
      <w:r w:rsidR="00DB54CF" w:rsidRPr="000B0EE0">
        <w:rPr>
          <w:rFonts w:ascii="Times New Roman" w:eastAsia="Times New Roman" w:hAnsi="Times New Roman" w:cs="Times New Roman"/>
          <w:sz w:val="28"/>
          <w:szCs w:val="28"/>
        </w:rPr>
        <w:t>.</w:t>
      </w:r>
      <w:r w:rsidR="00DC6ADC" w:rsidRPr="000B0EE0">
        <w:rPr>
          <w:rFonts w:ascii="Times New Roman" w:eastAsia="Times New Roman" w:hAnsi="Times New Roman" w:cs="Times New Roman"/>
          <w:sz w:val="28"/>
          <w:szCs w:val="28"/>
        </w:rPr>
        <w:t xml:space="preserve">) </w:t>
      </w:r>
      <w:r w:rsidR="00D72ADC" w:rsidRPr="000B0EE0">
        <w:rPr>
          <w:rFonts w:ascii="Times New Roman" w:eastAsia="Times New Roman" w:hAnsi="Times New Roman" w:cs="Times New Roman"/>
          <w:sz w:val="28"/>
          <w:szCs w:val="28"/>
        </w:rPr>
        <w:t>šādus grozījumus</w:t>
      </w:r>
      <w:r w:rsidR="00BB6848" w:rsidRPr="000B0EE0">
        <w:rPr>
          <w:rFonts w:ascii="Times New Roman" w:eastAsia="Times New Roman" w:hAnsi="Times New Roman" w:cs="Times New Roman"/>
          <w:sz w:val="28"/>
          <w:szCs w:val="28"/>
        </w:rPr>
        <w:t xml:space="preserve">: </w:t>
      </w:r>
    </w:p>
    <w:p w14:paraId="20208C70" w14:textId="77777777" w:rsidR="008D20F5" w:rsidRPr="000B0EE0" w:rsidRDefault="008D20F5" w:rsidP="00F6485F">
      <w:pPr>
        <w:spacing w:after="0" w:line="240" w:lineRule="auto"/>
        <w:ind w:right="-1" w:firstLine="709"/>
        <w:jc w:val="both"/>
        <w:rPr>
          <w:rFonts w:ascii="Times New Roman" w:eastAsia="Times New Roman" w:hAnsi="Times New Roman" w:cs="Times New Roman"/>
          <w:sz w:val="28"/>
          <w:szCs w:val="28"/>
        </w:rPr>
      </w:pPr>
    </w:p>
    <w:p w14:paraId="2CDE64C2" w14:textId="371A26A4" w:rsidR="00D11FE5" w:rsidRPr="000B0EE0" w:rsidRDefault="00F6485F" w:rsidP="00F6485F">
      <w:pPr>
        <w:pStyle w:val="ListParagraph"/>
        <w:shd w:val="clear" w:color="auto" w:fill="FFFFFF"/>
        <w:spacing w:after="0" w:line="240" w:lineRule="auto"/>
        <w:ind w:left="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1. </w:t>
      </w:r>
      <w:r w:rsidR="00556EAB" w:rsidRPr="000B0EE0">
        <w:rPr>
          <w:rFonts w:ascii="Times New Roman" w:eastAsia="Times New Roman" w:hAnsi="Times New Roman" w:cs="Times New Roman"/>
          <w:sz w:val="28"/>
          <w:szCs w:val="28"/>
          <w:lang w:eastAsia="lv-LV"/>
        </w:rPr>
        <w:t>I</w:t>
      </w:r>
      <w:r w:rsidR="00BF52C8" w:rsidRPr="000B0EE0">
        <w:rPr>
          <w:rFonts w:ascii="Times New Roman" w:eastAsia="Times New Roman" w:hAnsi="Times New Roman" w:cs="Times New Roman"/>
          <w:sz w:val="28"/>
          <w:szCs w:val="28"/>
          <w:lang w:eastAsia="lv-LV"/>
        </w:rPr>
        <w:t xml:space="preserve">zteikt </w:t>
      </w:r>
      <w:r w:rsidR="00767273" w:rsidRPr="000B0EE0">
        <w:rPr>
          <w:rFonts w:ascii="Times New Roman" w:eastAsia="Times New Roman" w:hAnsi="Times New Roman" w:cs="Times New Roman"/>
          <w:sz w:val="28"/>
          <w:szCs w:val="28"/>
          <w:lang w:eastAsia="lv-LV"/>
        </w:rPr>
        <w:t>9.</w:t>
      </w:r>
      <w:r w:rsidR="00556EAB" w:rsidRPr="000B0EE0">
        <w:rPr>
          <w:rFonts w:ascii="Times New Roman" w:eastAsia="Times New Roman" w:hAnsi="Times New Roman" w:cs="Times New Roman"/>
          <w:sz w:val="28"/>
          <w:szCs w:val="28"/>
          <w:lang w:eastAsia="lv-LV"/>
        </w:rPr>
        <w:t> </w:t>
      </w:r>
      <w:r w:rsidR="00D11FE5" w:rsidRPr="000B0EE0">
        <w:rPr>
          <w:rFonts w:ascii="Times New Roman" w:eastAsia="Times New Roman" w:hAnsi="Times New Roman" w:cs="Times New Roman"/>
          <w:sz w:val="28"/>
          <w:szCs w:val="28"/>
          <w:lang w:eastAsia="lv-LV"/>
        </w:rPr>
        <w:t>punktu šādā redakcijā:</w:t>
      </w:r>
    </w:p>
    <w:p w14:paraId="7C5E75AC" w14:textId="77777777" w:rsidR="00F6485F"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5A099DC" w14:textId="534162DA" w:rsidR="00CD08CB"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w:t>
      </w:r>
      <w:r w:rsidR="00CD08CB" w:rsidRPr="000B0EE0">
        <w:rPr>
          <w:rFonts w:ascii="Times New Roman" w:eastAsia="Times New Roman" w:hAnsi="Times New Roman" w:cs="Times New Roman"/>
          <w:sz w:val="28"/>
          <w:szCs w:val="28"/>
          <w:lang w:eastAsia="lv-LV"/>
        </w:rPr>
        <w:t>9.</w:t>
      </w:r>
      <w:r w:rsidR="00556EAB" w:rsidRPr="000B0EE0">
        <w:rPr>
          <w:rFonts w:ascii="Times New Roman" w:eastAsia="Times New Roman" w:hAnsi="Times New Roman" w:cs="Times New Roman"/>
          <w:sz w:val="28"/>
          <w:szCs w:val="28"/>
          <w:lang w:eastAsia="lv-LV"/>
        </w:rPr>
        <w:t> </w:t>
      </w:r>
      <w:r w:rsidR="00CD08CB" w:rsidRPr="000B0EE0">
        <w:rPr>
          <w:rFonts w:ascii="Times New Roman" w:eastAsia="Times New Roman" w:hAnsi="Times New Roman" w:cs="Times New Roman"/>
          <w:sz w:val="28"/>
          <w:szCs w:val="28"/>
          <w:lang w:eastAsia="lv-LV"/>
        </w:rPr>
        <w:t xml:space="preserve">Maksimālā aizdevumu summa vienam saimnieciskās darbības veicējam un ar to saistīto personu grupai ir līdz 1 000 000 </w:t>
      </w:r>
      <w:proofErr w:type="spellStart"/>
      <w:r w:rsidR="00CD08CB" w:rsidRPr="000B0EE0">
        <w:rPr>
          <w:rFonts w:ascii="Times New Roman" w:eastAsia="Times New Roman" w:hAnsi="Times New Roman" w:cs="Times New Roman"/>
          <w:i/>
          <w:iCs/>
          <w:sz w:val="28"/>
          <w:szCs w:val="28"/>
          <w:lang w:eastAsia="lv-LV"/>
        </w:rPr>
        <w:t>euro</w:t>
      </w:r>
      <w:proofErr w:type="spellEnd"/>
      <w:r w:rsidR="00CD08CB" w:rsidRPr="000B0EE0">
        <w:rPr>
          <w:rFonts w:ascii="Times New Roman" w:eastAsia="Times New Roman" w:hAnsi="Times New Roman" w:cs="Times New Roman"/>
          <w:sz w:val="28"/>
          <w:szCs w:val="28"/>
          <w:lang w:eastAsia="lv-LV"/>
        </w:rPr>
        <w:t>. Saimnieciskās darbības veicējs var saņemt vairākus aizdevumus, ja aizdevuma piešķiršanas brīdī piešķiramā un iepriekš saņemto aizdevumu neatmaksātā kopsumma nepārsniedz šajā punktā noteikto maksimālo aizdevum</w:t>
      </w:r>
      <w:r w:rsidR="000B0EE0" w:rsidRPr="000B0EE0">
        <w:rPr>
          <w:rFonts w:ascii="Times New Roman" w:eastAsia="Times New Roman" w:hAnsi="Times New Roman" w:cs="Times New Roman"/>
          <w:sz w:val="28"/>
          <w:szCs w:val="28"/>
          <w:lang w:eastAsia="lv-LV"/>
        </w:rPr>
        <w:t>u</w:t>
      </w:r>
      <w:r w:rsidR="00CD08CB" w:rsidRPr="000B0EE0">
        <w:rPr>
          <w:rFonts w:ascii="Times New Roman" w:eastAsia="Times New Roman" w:hAnsi="Times New Roman" w:cs="Times New Roman"/>
          <w:sz w:val="28"/>
          <w:szCs w:val="28"/>
          <w:lang w:eastAsia="lv-LV"/>
        </w:rPr>
        <w:t xml:space="preserve"> summu. Ja aizdevums izsniegts saskaņā ar šo noteikumu 5.1.</w:t>
      </w:r>
      <w:r w:rsidR="00556EAB" w:rsidRPr="000B0EE0">
        <w:rPr>
          <w:rFonts w:ascii="Times New Roman" w:eastAsia="Times New Roman" w:hAnsi="Times New Roman" w:cs="Times New Roman"/>
          <w:sz w:val="28"/>
          <w:szCs w:val="28"/>
          <w:lang w:eastAsia="lv-LV"/>
        </w:rPr>
        <w:t> </w:t>
      </w:r>
      <w:r w:rsidR="00CD08CB" w:rsidRPr="000B0EE0">
        <w:rPr>
          <w:rFonts w:ascii="Times New Roman" w:eastAsia="Times New Roman" w:hAnsi="Times New Roman" w:cs="Times New Roman"/>
          <w:sz w:val="28"/>
          <w:szCs w:val="28"/>
          <w:lang w:eastAsia="lv-LV"/>
        </w:rPr>
        <w:t xml:space="preserve">apakšpunktu, </w:t>
      </w:r>
      <w:r w:rsidR="00447924" w:rsidRPr="000B0EE0">
        <w:rPr>
          <w:rFonts w:ascii="Times New Roman" w:hAnsi="Times New Roman" w:cs="Times New Roman"/>
          <w:sz w:val="28"/>
          <w:szCs w:val="28"/>
          <w:shd w:val="clear" w:color="auto" w:fill="FFFFFF"/>
        </w:rPr>
        <w:t>maksimālais aizdevuma apmērs nepārsniedz vienu no šādiem rādītājiem</w:t>
      </w:r>
      <w:r w:rsidR="00CD08CB" w:rsidRPr="000B0EE0">
        <w:rPr>
          <w:rFonts w:ascii="Times New Roman" w:eastAsia="Times New Roman" w:hAnsi="Times New Roman" w:cs="Times New Roman"/>
          <w:sz w:val="28"/>
          <w:szCs w:val="28"/>
          <w:lang w:eastAsia="lv-LV"/>
        </w:rPr>
        <w:t>:</w:t>
      </w:r>
    </w:p>
    <w:p w14:paraId="6D3B5C45" w14:textId="278FF987" w:rsidR="00CD08CB" w:rsidRPr="000B0EE0" w:rsidRDefault="00CD08CB"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9.1.</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divkāršus saimnieciskās darbības veicēja izdevumus par atalgojumu (ieskaitot sociālās izmaksas) 2019.</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 xml:space="preserve">gadā vai </w:t>
      </w:r>
      <w:proofErr w:type="gramStart"/>
      <w:r w:rsidRPr="000B0EE0">
        <w:rPr>
          <w:rFonts w:ascii="Times New Roman" w:eastAsia="Times New Roman" w:hAnsi="Times New Roman" w:cs="Times New Roman"/>
          <w:sz w:val="28"/>
          <w:szCs w:val="28"/>
          <w:lang w:eastAsia="lv-LV"/>
        </w:rPr>
        <w:t>pēdējā pieejamā gadā</w:t>
      </w:r>
      <w:proofErr w:type="gramEnd"/>
      <w:r w:rsidRPr="000B0EE0">
        <w:rPr>
          <w:rFonts w:ascii="Times New Roman" w:eastAsia="Times New Roman" w:hAnsi="Times New Roman" w:cs="Times New Roman"/>
          <w:sz w:val="28"/>
          <w:szCs w:val="28"/>
          <w:lang w:eastAsia="lv-LV"/>
        </w:rPr>
        <w:t xml:space="preserve"> par atalgojumu (ieskaitot sociālās izmaksas). Uzņēmumiem, kuri izveidoti pēc 2019.</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gada 1.</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 xml:space="preserve">janvāra, maksimālais aizdevums nedrīkst pārsniegt paredzamo gada atalgojuma apmēru pirmajos divos darbības gados; </w:t>
      </w:r>
    </w:p>
    <w:p w14:paraId="194FAA9F" w14:textId="719C72CE" w:rsidR="00CD08CB" w:rsidRPr="000B0EE0" w:rsidRDefault="00CD08CB"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9.2.</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25</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 no saimnieciskās darbības veicēja kopējā apgrozījuma 2019.</w:t>
      </w:r>
      <w:r w:rsidR="004C3EB1"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gadā</w:t>
      </w:r>
      <w:r w:rsidR="00556EAB" w:rsidRPr="000B0EE0">
        <w:rPr>
          <w:rFonts w:ascii="Times New Roman" w:eastAsia="Times New Roman" w:hAnsi="Times New Roman" w:cs="Times New Roman"/>
          <w:sz w:val="28"/>
          <w:szCs w:val="28"/>
          <w:lang w:eastAsia="lv-LV"/>
        </w:rPr>
        <w:t>;</w:t>
      </w:r>
    </w:p>
    <w:p w14:paraId="64C2813F" w14:textId="11506106" w:rsidR="006647D2" w:rsidRPr="000B0EE0" w:rsidRDefault="00CD08CB"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9.3.</w:t>
      </w:r>
      <w:r w:rsidR="00556EAB" w:rsidRPr="000B0EE0">
        <w:rPr>
          <w:rFonts w:ascii="Times New Roman" w:eastAsia="Times New Roman" w:hAnsi="Times New Roman" w:cs="Times New Roman"/>
          <w:sz w:val="28"/>
          <w:szCs w:val="28"/>
          <w:lang w:eastAsia="lv-LV"/>
        </w:rPr>
        <w:t> </w:t>
      </w:r>
      <w:r w:rsidRPr="000B0EE0">
        <w:rPr>
          <w:rFonts w:ascii="Times New Roman" w:eastAsia="Times New Roman" w:hAnsi="Times New Roman" w:cs="Times New Roman"/>
          <w:sz w:val="28"/>
          <w:szCs w:val="28"/>
          <w:lang w:eastAsia="lv-LV"/>
        </w:rPr>
        <w:t xml:space="preserve">pamatojoties uz tam aprēķināto nepieciešamo likviditātes vajadzības apjomu turpmākajiem 18 mēnešiem sīkajam (mikro), mazajam un vidējam saimnieciskās darbības veicējam un 12 mēnešiem – lielajam saimnieciskās darbības veicējam – atbilstoši šo noteikumu 15. </w:t>
      </w:r>
      <w:r w:rsidR="00556EAB" w:rsidRPr="000B0EE0">
        <w:rPr>
          <w:rFonts w:ascii="Times New Roman" w:eastAsia="Times New Roman" w:hAnsi="Times New Roman" w:cs="Times New Roman"/>
          <w:sz w:val="28"/>
          <w:szCs w:val="28"/>
          <w:lang w:eastAsia="lv-LV"/>
        </w:rPr>
        <w:t> </w:t>
      </w:r>
      <w:r w:rsidR="00B77040" w:rsidRPr="000B0EE0">
        <w:rPr>
          <w:rFonts w:ascii="Times New Roman" w:eastAsia="Times New Roman" w:hAnsi="Times New Roman" w:cs="Times New Roman"/>
          <w:sz w:val="28"/>
          <w:szCs w:val="28"/>
          <w:lang w:eastAsia="lv-LV"/>
        </w:rPr>
        <w:t>p</w:t>
      </w:r>
      <w:r w:rsidRPr="000B0EE0">
        <w:rPr>
          <w:rFonts w:ascii="Times New Roman" w:eastAsia="Times New Roman" w:hAnsi="Times New Roman" w:cs="Times New Roman"/>
          <w:sz w:val="28"/>
          <w:szCs w:val="28"/>
          <w:lang w:eastAsia="lv-LV"/>
        </w:rPr>
        <w:t xml:space="preserve">unktā minētajos dokumentos </w:t>
      </w:r>
      <w:r w:rsidRPr="000B0EE0">
        <w:rPr>
          <w:rFonts w:ascii="Times New Roman" w:eastAsia="Times New Roman" w:hAnsi="Times New Roman" w:cs="Times New Roman"/>
          <w:sz w:val="28"/>
          <w:szCs w:val="28"/>
          <w:lang w:eastAsia="lv-LV"/>
        </w:rPr>
        <w:lastRenderedPageBreak/>
        <w:t>iekļautajām ziņām</w:t>
      </w:r>
      <w:r w:rsidR="0097317E" w:rsidRPr="000B0EE0">
        <w:rPr>
          <w:rFonts w:ascii="Times New Roman" w:eastAsia="Times New Roman" w:hAnsi="Times New Roman" w:cs="Times New Roman"/>
          <w:sz w:val="28"/>
          <w:szCs w:val="28"/>
          <w:lang w:eastAsia="lv-LV"/>
        </w:rPr>
        <w:t>, kā arī</w:t>
      </w:r>
      <w:r w:rsidRPr="000B0EE0">
        <w:rPr>
          <w:rFonts w:ascii="Times New Roman" w:eastAsia="Times New Roman" w:hAnsi="Times New Roman" w:cs="Times New Roman"/>
          <w:sz w:val="28"/>
          <w:szCs w:val="28"/>
          <w:lang w:eastAsia="lv-LV"/>
        </w:rPr>
        <w:t xml:space="preserve"> saimnieciskās darbības veicēja sniegto apliecinājumu par likviditātes vajadzībām</w:t>
      </w:r>
      <w:r w:rsidR="00234F06" w:rsidRPr="000B0EE0">
        <w:rPr>
          <w:rFonts w:ascii="Times New Roman" w:eastAsia="Times New Roman" w:hAnsi="Times New Roman" w:cs="Times New Roman"/>
          <w:sz w:val="28"/>
          <w:szCs w:val="28"/>
          <w:lang w:eastAsia="lv-LV"/>
        </w:rPr>
        <w:t>.</w:t>
      </w:r>
      <w:r w:rsidR="00F6485F" w:rsidRPr="000B0EE0">
        <w:rPr>
          <w:rFonts w:ascii="Times New Roman" w:eastAsia="Times New Roman" w:hAnsi="Times New Roman" w:cs="Times New Roman"/>
          <w:sz w:val="28"/>
          <w:szCs w:val="28"/>
          <w:lang w:eastAsia="lv-LV"/>
        </w:rPr>
        <w:t>"</w:t>
      </w:r>
    </w:p>
    <w:p w14:paraId="4E987772" w14:textId="77777777" w:rsidR="00767273" w:rsidRPr="000B0EE0" w:rsidRDefault="00767273" w:rsidP="00F6485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32E347FA" w14:textId="139E8B15" w:rsidR="00767273" w:rsidRPr="000B0EE0" w:rsidRDefault="0008293E"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2</w:t>
      </w:r>
      <w:r w:rsidR="00556EAB" w:rsidRPr="000B0EE0">
        <w:rPr>
          <w:rFonts w:ascii="Times New Roman" w:eastAsia="Times New Roman" w:hAnsi="Times New Roman" w:cs="Times New Roman"/>
          <w:sz w:val="28"/>
          <w:szCs w:val="28"/>
          <w:lang w:eastAsia="lv-LV"/>
        </w:rPr>
        <w:t>.</w:t>
      </w:r>
      <w:r w:rsidR="00F6485F" w:rsidRPr="000B0EE0">
        <w:rPr>
          <w:rFonts w:ascii="Times New Roman" w:eastAsia="Times New Roman" w:hAnsi="Times New Roman" w:cs="Times New Roman"/>
          <w:sz w:val="28"/>
          <w:szCs w:val="28"/>
          <w:lang w:eastAsia="lv-LV"/>
        </w:rPr>
        <w:t> </w:t>
      </w:r>
      <w:r w:rsidR="00556EAB" w:rsidRPr="000B0EE0">
        <w:rPr>
          <w:rFonts w:ascii="Times New Roman" w:eastAsia="Times New Roman" w:hAnsi="Times New Roman" w:cs="Times New Roman"/>
          <w:sz w:val="28"/>
          <w:szCs w:val="28"/>
          <w:lang w:eastAsia="lv-LV"/>
        </w:rPr>
        <w:t>I</w:t>
      </w:r>
      <w:r w:rsidR="00532610" w:rsidRPr="000B0EE0">
        <w:rPr>
          <w:rFonts w:ascii="Times New Roman" w:eastAsia="Times New Roman" w:hAnsi="Times New Roman" w:cs="Times New Roman"/>
          <w:sz w:val="28"/>
          <w:szCs w:val="28"/>
          <w:lang w:eastAsia="lv-LV"/>
        </w:rPr>
        <w:t>zteikt 12.</w:t>
      </w:r>
      <w:r w:rsidR="00556EAB" w:rsidRPr="000B0EE0">
        <w:rPr>
          <w:rFonts w:ascii="Times New Roman" w:eastAsia="Times New Roman" w:hAnsi="Times New Roman" w:cs="Times New Roman"/>
          <w:sz w:val="28"/>
          <w:szCs w:val="28"/>
          <w:lang w:eastAsia="lv-LV"/>
        </w:rPr>
        <w:t> </w:t>
      </w:r>
      <w:r w:rsidR="00532610" w:rsidRPr="000B0EE0">
        <w:rPr>
          <w:rFonts w:ascii="Times New Roman" w:eastAsia="Times New Roman" w:hAnsi="Times New Roman" w:cs="Times New Roman"/>
          <w:sz w:val="28"/>
          <w:szCs w:val="28"/>
          <w:lang w:eastAsia="lv-LV"/>
        </w:rPr>
        <w:t>punktu šādā redakcijā:</w:t>
      </w:r>
    </w:p>
    <w:p w14:paraId="1045F8BB" w14:textId="77777777" w:rsidR="00F6485F"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941688" w14:textId="2261E6C6" w:rsidR="00532610"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w:t>
      </w:r>
      <w:r w:rsidR="00532610" w:rsidRPr="000B0EE0">
        <w:rPr>
          <w:rFonts w:ascii="Times New Roman" w:eastAsia="Times New Roman" w:hAnsi="Times New Roman" w:cs="Times New Roman"/>
          <w:sz w:val="28"/>
          <w:szCs w:val="28"/>
          <w:lang w:eastAsia="lv-LV"/>
        </w:rPr>
        <w:t>12.</w:t>
      </w:r>
      <w:r w:rsidR="0035040B" w:rsidRPr="000B0EE0">
        <w:t> </w:t>
      </w:r>
      <w:r w:rsidR="00532610" w:rsidRPr="000B0EE0">
        <w:rPr>
          <w:rFonts w:ascii="Times New Roman" w:eastAsia="Times New Roman" w:hAnsi="Times New Roman" w:cs="Times New Roman"/>
          <w:sz w:val="28"/>
          <w:szCs w:val="28"/>
          <w:lang w:eastAsia="lv-LV"/>
        </w:rPr>
        <w:t>Atbilstoši šo noteikumu 5.1.</w:t>
      </w:r>
      <w:r w:rsidR="00556EAB" w:rsidRPr="000B0EE0">
        <w:rPr>
          <w:rFonts w:ascii="Times New Roman" w:eastAsia="Times New Roman" w:hAnsi="Times New Roman" w:cs="Times New Roman"/>
          <w:sz w:val="28"/>
          <w:szCs w:val="28"/>
          <w:lang w:eastAsia="lv-LV"/>
        </w:rPr>
        <w:t> </w:t>
      </w:r>
      <w:r w:rsidR="00532610" w:rsidRPr="000B0EE0">
        <w:rPr>
          <w:rFonts w:ascii="Times New Roman" w:eastAsia="Times New Roman" w:hAnsi="Times New Roman" w:cs="Times New Roman"/>
          <w:sz w:val="28"/>
          <w:szCs w:val="28"/>
          <w:lang w:eastAsia="lv-LV"/>
        </w:rPr>
        <w:t>apakšpunktam izsniegtajiem aizdevumiem procentu likmi nosaka, ņemot vērā šo noteikumu pielikum</w:t>
      </w:r>
      <w:r w:rsidR="00E7044B" w:rsidRPr="000B0EE0">
        <w:rPr>
          <w:rFonts w:ascii="Times New Roman" w:eastAsia="Times New Roman" w:hAnsi="Times New Roman" w:cs="Times New Roman"/>
          <w:sz w:val="28"/>
          <w:szCs w:val="28"/>
          <w:lang w:eastAsia="lv-LV"/>
        </w:rPr>
        <w:t xml:space="preserve">ā </w:t>
      </w:r>
      <w:r w:rsidR="007A454F" w:rsidRPr="000B0EE0">
        <w:rPr>
          <w:rFonts w:ascii="Times New Roman" w:eastAsia="Times New Roman" w:hAnsi="Times New Roman" w:cs="Times New Roman"/>
          <w:sz w:val="28"/>
          <w:szCs w:val="28"/>
          <w:lang w:eastAsia="lv-LV"/>
        </w:rPr>
        <w:t>minētos</w:t>
      </w:r>
      <w:r w:rsidR="00532610" w:rsidRPr="000B0EE0">
        <w:rPr>
          <w:rFonts w:ascii="Times New Roman" w:eastAsia="Times New Roman" w:hAnsi="Times New Roman" w:cs="Times New Roman"/>
          <w:sz w:val="28"/>
          <w:szCs w:val="28"/>
          <w:lang w:eastAsia="lv-LV"/>
        </w:rPr>
        <w:t xml:space="preserve"> nosacījumus.</w:t>
      </w:r>
      <w:r w:rsidRPr="000B0EE0">
        <w:rPr>
          <w:rFonts w:ascii="Times New Roman" w:eastAsia="Times New Roman" w:hAnsi="Times New Roman" w:cs="Times New Roman"/>
          <w:sz w:val="28"/>
          <w:szCs w:val="28"/>
          <w:lang w:eastAsia="lv-LV"/>
        </w:rPr>
        <w:t>"</w:t>
      </w:r>
    </w:p>
    <w:p w14:paraId="0A29699A" w14:textId="77777777" w:rsidR="00532610" w:rsidRPr="000B0EE0" w:rsidRDefault="00532610"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51D8595" w14:textId="1671E51D" w:rsidR="00532610" w:rsidRPr="000B0EE0" w:rsidRDefault="0008293E"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3</w:t>
      </w:r>
      <w:r w:rsidR="00292BDD" w:rsidRPr="000B0EE0">
        <w:rPr>
          <w:rFonts w:ascii="Times New Roman" w:eastAsia="Times New Roman" w:hAnsi="Times New Roman" w:cs="Times New Roman"/>
          <w:sz w:val="28"/>
          <w:szCs w:val="28"/>
          <w:lang w:eastAsia="lv-LV"/>
        </w:rPr>
        <w:t>.</w:t>
      </w:r>
      <w:r w:rsidR="00F6485F" w:rsidRPr="000B0EE0">
        <w:rPr>
          <w:rFonts w:ascii="Times New Roman" w:eastAsia="Times New Roman" w:hAnsi="Times New Roman" w:cs="Times New Roman"/>
          <w:sz w:val="28"/>
          <w:szCs w:val="28"/>
          <w:lang w:eastAsia="lv-LV"/>
        </w:rPr>
        <w:t> </w:t>
      </w:r>
      <w:r w:rsidR="00292BDD" w:rsidRPr="000B0EE0">
        <w:rPr>
          <w:rFonts w:ascii="Times New Roman" w:eastAsia="Times New Roman" w:hAnsi="Times New Roman" w:cs="Times New Roman"/>
          <w:sz w:val="28"/>
          <w:szCs w:val="28"/>
          <w:lang w:eastAsia="lv-LV"/>
        </w:rPr>
        <w:t>S</w:t>
      </w:r>
      <w:r w:rsidR="0016320F" w:rsidRPr="000B0EE0">
        <w:rPr>
          <w:rFonts w:ascii="Times New Roman" w:eastAsia="Times New Roman" w:hAnsi="Times New Roman" w:cs="Times New Roman"/>
          <w:sz w:val="28"/>
          <w:szCs w:val="28"/>
          <w:lang w:eastAsia="lv-LV"/>
        </w:rPr>
        <w:t xml:space="preserve">vītrot </w:t>
      </w:r>
      <w:r w:rsidR="00D11FE5" w:rsidRPr="000B0EE0">
        <w:rPr>
          <w:rFonts w:ascii="Times New Roman" w:eastAsia="Times New Roman" w:hAnsi="Times New Roman" w:cs="Times New Roman"/>
          <w:sz w:val="28"/>
          <w:szCs w:val="28"/>
          <w:lang w:eastAsia="lv-LV"/>
        </w:rPr>
        <w:t>1</w:t>
      </w:r>
      <w:r w:rsidR="00532610" w:rsidRPr="000B0EE0">
        <w:rPr>
          <w:rFonts w:ascii="Times New Roman" w:eastAsia="Times New Roman" w:hAnsi="Times New Roman" w:cs="Times New Roman"/>
          <w:sz w:val="28"/>
          <w:szCs w:val="28"/>
          <w:lang w:eastAsia="lv-LV"/>
        </w:rPr>
        <w:t>3</w:t>
      </w:r>
      <w:r w:rsidR="00D11FE5" w:rsidRPr="000B0EE0">
        <w:rPr>
          <w:rFonts w:ascii="Times New Roman" w:eastAsia="Times New Roman" w:hAnsi="Times New Roman" w:cs="Times New Roman"/>
          <w:sz w:val="28"/>
          <w:szCs w:val="28"/>
          <w:lang w:eastAsia="lv-LV"/>
        </w:rPr>
        <w:t>. un 1</w:t>
      </w:r>
      <w:r w:rsidR="00532610" w:rsidRPr="000B0EE0">
        <w:rPr>
          <w:rFonts w:ascii="Times New Roman" w:eastAsia="Times New Roman" w:hAnsi="Times New Roman" w:cs="Times New Roman"/>
          <w:sz w:val="28"/>
          <w:szCs w:val="28"/>
          <w:lang w:eastAsia="lv-LV"/>
        </w:rPr>
        <w:t>4</w:t>
      </w:r>
      <w:r w:rsidR="00D11FE5" w:rsidRPr="000B0EE0">
        <w:rPr>
          <w:rFonts w:ascii="Times New Roman" w:eastAsia="Times New Roman" w:hAnsi="Times New Roman" w:cs="Times New Roman"/>
          <w:sz w:val="28"/>
          <w:szCs w:val="28"/>
          <w:lang w:eastAsia="lv-LV"/>
        </w:rPr>
        <w:t>.</w:t>
      </w:r>
      <w:r w:rsidR="00292BDD" w:rsidRPr="000B0EE0">
        <w:rPr>
          <w:rFonts w:ascii="Times New Roman" w:eastAsia="Times New Roman" w:hAnsi="Times New Roman" w:cs="Times New Roman"/>
          <w:sz w:val="28"/>
          <w:szCs w:val="28"/>
          <w:lang w:eastAsia="lv-LV"/>
        </w:rPr>
        <w:t> </w:t>
      </w:r>
      <w:r w:rsidR="00D11FE5" w:rsidRPr="000B0EE0">
        <w:rPr>
          <w:rFonts w:ascii="Times New Roman" w:eastAsia="Times New Roman" w:hAnsi="Times New Roman" w:cs="Times New Roman"/>
          <w:sz w:val="28"/>
          <w:szCs w:val="28"/>
          <w:lang w:eastAsia="lv-LV"/>
        </w:rPr>
        <w:t>pun</w:t>
      </w:r>
      <w:r w:rsidR="006647D2" w:rsidRPr="000B0EE0">
        <w:rPr>
          <w:rFonts w:ascii="Times New Roman" w:eastAsia="Times New Roman" w:hAnsi="Times New Roman" w:cs="Times New Roman"/>
          <w:sz w:val="28"/>
          <w:szCs w:val="28"/>
          <w:lang w:eastAsia="lv-LV"/>
        </w:rPr>
        <w:t>kt</w:t>
      </w:r>
      <w:r w:rsidR="00D11FE5" w:rsidRPr="000B0EE0">
        <w:rPr>
          <w:rFonts w:ascii="Times New Roman" w:eastAsia="Times New Roman" w:hAnsi="Times New Roman" w:cs="Times New Roman"/>
          <w:sz w:val="28"/>
          <w:szCs w:val="28"/>
          <w:lang w:eastAsia="lv-LV"/>
        </w:rPr>
        <w:t>u</w:t>
      </w:r>
      <w:r w:rsidR="00287D8D" w:rsidRPr="000B0EE0">
        <w:rPr>
          <w:rFonts w:ascii="Times New Roman" w:eastAsia="Times New Roman" w:hAnsi="Times New Roman" w:cs="Times New Roman"/>
          <w:sz w:val="28"/>
          <w:szCs w:val="28"/>
          <w:lang w:eastAsia="lv-LV"/>
        </w:rPr>
        <w:t>.</w:t>
      </w:r>
    </w:p>
    <w:p w14:paraId="312AF8F1" w14:textId="589CFF34" w:rsidR="00B77040" w:rsidRPr="000B0EE0" w:rsidRDefault="00B77040" w:rsidP="00F6485F">
      <w:pPr>
        <w:pStyle w:val="ListParagraph"/>
        <w:spacing w:after="0" w:line="240" w:lineRule="auto"/>
        <w:ind w:left="0" w:firstLine="709"/>
        <w:rPr>
          <w:rFonts w:ascii="Times New Roman" w:eastAsia="Times New Roman" w:hAnsi="Times New Roman" w:cs="Times New Roman"/>
          <w:sz w:val="28"/>
          <w:szCs w:val="28"/>
          <w:lang w:eastAsia="lv-LV"/>
        </w:rPr>
      </w:pPr>
    </w:p>
    <w:p w14:paraId="032BC96E" w14:textId="6763D60E" w:rsidR="00B77040" w:rsidRPr="000B0EE0" w:rsidRDefault="0008293E" w:rsidP="00F6485F">
      <w:pPr>
        <w:pStyle w:val="ListParagraph"/>
        <w:spacing w:after="0" w:line="240" w:lineRule="auto"/>
        <w:ind w:left="0" w:firstLine="709"/>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4</w:t>
      </w:r>
      <w:r w:rsidR="00B77040" w:rsidRPr="000B0EE0">
        <w:rPr>
          <w:rFonts w:ascii="Times New Roman" w:eastAsia="Times New Roman" w:hAnsi="Times New Roman" w:cs="Times New Roman"/>
          <w:sz w:val="28"/>
          <w:szCs w:val="28"/>
          <w:lang w:eastAsia="lv-LV"/>
        </w:rPr>
        <w:t>. Izteikt 22.</w:t>
      </w:r>
      <w:r w:rsidR="00F6485F" w:rsidRPr="000B0EE0">
        <w:rPr>
          <w:rFonts w:ascii="Times New Roman" w:eastAsia="Times New Roman" w:hAnsi="Times New Roman" w:cs="Times New Roman"/>
          <w:sz w:val="28"/>
          <w:szCs w:val="28"/>
          <w:lang w:eastAsia="lv-LV"/>
        </w:rPr>
        <w:t> </w:t>
      </w:r>
      <w:r w:rsidR="00B77040" w:rsidRPr="000B0EE0">
        <w:rPr>
          <w:rFonts w:ascii="Times New Roman" w:eastAsia="Times New Roman" w:hAnsi="Times New Roman" w:cs="Times New Roman"/>
          <w:sz w:val="28"/>
          <w:szCs w:val="28"/>
          <w:lang w:eastAsia="lv-LV"/>
        </w:rPr>
        <w:t>punktu šādā redakcijā:</w:t>
      </w:r>
    </w:p>
    <w:p w14:paraId="0C55C1CB" w14:textId="77777777" w:rsidR="00F6485F" w:rsidRPr="000B0EE0" w:rsidRDefault="00F6485F" w:rsidP="00F6485F">
      <w:pPr>
        <w:spacing w:after="0" w:line="240" w:lineRule="auto"/>
        <w:ind w:firstLine="709"/>
        <w:jc w:val="both"/>
        <w:rPr>
          <w:rFonts w:ascii="Times New Roman" w:eastAsia="Times New Roman" w:hAnsi="Times New Roman" w:cs="Times New Roman"/>
          <w:sz w:val="28"/>
          <w:szCs w:val="28"/>
          <w:lang w:eastAsia="lv-LV"/>
        </w:rPr>
      </w:pPr>
    </w:p>
    <w:p w14:paraId="3E9676C8" w14:textId="3433228A" w:rsidR="00B77040" w:rsidRPr="000B0EE0" w:rsidRDefault="00F6485F" w:rsidP="00F6485F">
      <w:pPr>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w:t>
      </w:r>
      <w:r w:rsidR="00B77040" w:rsidRPr="000B0EE0">
        <w:rPr>
          <w:rFonts w:ascii="Times New Roman" w:eastAsia="Times New Roman" w:hAnsi="Times New Roman" w:cs="Times New Roman"/>
          <w:sz w:val="28"/>
          <w:szCs w:val="28"/>
          <w:lang w:eastAsia="lv-LV"/>
        </w:rPr>
        <w:t xml:space="preserve">22. </w:t>
      </w:r>
      <w:proofErr w:type="gramStart"/>
      <w:r w:rsidR="00B77040" w:rsidRPr="000B0EE0">
        <w:rPr>
          <w:rFonts w:ascii="Times New Roman" w:eastAsia="Times New Roman" w:hAnsi="Times New Roman" w:cs="Times New Roman"/>
          <w:sz w:val="28"/>
          <w:szCs w:val="28"/>
          <w:lang w:eastAsia="lv-LV"/>
        </w:rPr>
        <w:t>Ja atbalstu</w:t>
      </w:r>
      <w:proofErr w:type="gramEnd"/>
      <w:r w:rsidR="00B77040" w:rsidRPr="000B0EE0">
        <w:rPr>
          <w:rFonts w:ascii="Times New Roman" w:eastAsia="Times New Roman" w:hAnsi="Times New Roman" w:cs="Times New Roman"/>
          <w:sz w:val="28"/>
          <w:szCs w:val="28"/>
          <w:lang w:eastAsia="lv-LV"/>
        </w:rPr>
        <w:t xml:space="preserve"> sniedz atbilstoši šo noteikumu 5.2.</w:t>
      </w:r>
      <w:r w:rsidRPr="000B0EE0">
        <w:rPr>
          <w:rFonts w:ascii="Times New Roman" w:eastAsia="Times New Roman" w:hAnsi="Times New Roman" w:cs="Times New Roman"/>
          <w:sz w:val="28"/>
          <w:szCs w:val="28"/>
          <w:lang w:eastAsia="lv-LV"/>
        </w:rPr>
        <w:t> </w:t>
      </w:r>
      <w:r w:rsidR="00B77040" w:rsidRPr="000B0EE0">
        <w:rPr>
          <w:rFonts w:ascii="Times New Roman" w:eastAsia="Times New Roman" w:hAnsi="Times New Roman" w:cs="Times New Roman"/>
          <w:sz w:val="28"/>
          <w:szCs w:val="28"/>
          <w:lang w:eastAsia="lv-LV"/>
        </w:rPr>
        <w:t>apakšpunktam, subsīdijas ekvivalentu saimnieciskās darbības veicējiem sniegtajam atbalstam aprēķina, faktiski piemēroto procentu summu atskaitot no procentu summas, kas jāmaksā saskaņā ar Eiropas Komisijas konkrētajam periodam noteikto bāzes likmi, kā arī riska likmi, kuras procentuālais apmērs tiek noteikts atbilstoši sabiedrības "</w:t>
      </w:r>
      <w:proofErr w:type="spellStart"/>
      <w:r w:rsidR="00B77040" w:rsidRPr="000B0EE0">
        <w:rPr>
          <w:rFonts w:ascii="Times New Roman" w:eastAsia="Times New Roman" w:hAnsi="Times New Roman" w:cs="Times New Roman"/>
          <w:sz w:val="28"/>
          <w:szCs w:val="28"/>
          <w:lang w:eastAsia="lv-LV"/>
        </w:rPr>
        <w:t>Altum</w:t>
      </w:r>
      <w:proofErr w:type="spellEnd"/>
      <w:r w:rsidR="00B77040" w:rsidRPr="000B0EE0">
        <w:rPr>
          <w:rFonts w:ascii="Times New Roman" w:eastAsia="Times New Roman" w:hAnsi="Times New Roman" w:cs="Times New Roman"/>
          <w:sz w:val="28"/>
          <w:szCs w:val="28"/>
          <w:lang w:eastAsia="lv-LV"/>
        </w:rPr>
        <w:t>" izsniegtajam aizdevuma saņēmēja reitingam un piedāvātajam nodrošinājumam (bāzes un risku likmes publicētas Eiropas Komisijas Konkurences ģenerāldirektorāta tīmekļvietnē).</w:t>
      </w:r>
      <w:r w:rsidRPr="000B0EE0">
        <w:rPr>
          <w:rFonts w:ascii="Times New Roman" w:eastAsia="Times New Roman" w:hAnsi="Times New Roman" w:cs="Times New Roman"/>
          <w:sz w:val="28"/>
          <w:szCs w:val="28"/>
          <w:lang w:eastAsia="lv-LV"/>
        </w:rPr>
        <w:t>"</w:t>
      </w:r>
    </w:p>
    <w:p w14:paraId="5A4C8BFA" w14:textId="77777777" w:rsidR="00F6485F"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47876F6" w14:textId="05E9180E" w:rsidR="00637FE1" w:rsidRPr="000B0EE0" w:rsidRDefault="0008293E"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5</w:t>
      </w:r>
      <w:r w:rsidR="00292BDD" w:rsidRPr="000B0EE0">
        <w:rPr>
          <w:rFonts w:ascii="Times New Roman" w:eastAsia="Times New Roman" w:hAnsi="Times New Roman" w:cs="Times New Roman"/>
          <w:sz w:val="28"/>
          <w:szCs w:val="28"/>
          <w:lang w:eastAsia="lv-LV"/>
        </w:rPr>
        <w:t>.</w:t>
      </w:r>
      <w:r w:rsidR="00F6485F" w:rsidRPr="000B0EE0">
        <w:rPr>
          <w:rFonts w:ascii="Times New Roman" w:eastAsia="Times New Roman" w:hAnsi="Times New Roman" w:cs="Times New Roman"/>
          <w:sz w:val="28"/>
          <w:szCs w:val="28"/>
          <w:lang w:eastAsia="lv-LV"/>
        </w:rPr>
        <w:t> </w:t>
      </w:r>
      <w:r w:rsidR="00292BDD" w:rsidRPr="000B0EE0">
        <w:rPr>
          <w:rFonts w:ascii="Times New Roman" w:eastAsia="Times New Roman" w:hAnsi="Times New Roman" w:cs="Times New Roman"/>
          <w:sz w:val="28"/>
          <w:szCs w:val="28"/>
          <w:lang w:eastAsia="lv-LV"/>
        </w:rPr>
        <w:t>I</w:t>
      </w:r>
      <w:r w:rsidR="00637FE1" w:rsidRPr="000B0EE0">
        <w:rPr>
          <w:rFonts w:ascii="Times New Roman" w:eastAsia="Times New Roman" w:hAnsi="Times New Roman" w:cs="Times New Roman"/>
          <w:sz w:val="28"/>
          <w:szCs w:val="28"/>
          <w:lang w:eastAsia="lv-LV"/>
        </w:rPr>
        <w:t>zteikt 24.</w:t>
      </w:r>
      <w:r w:rsidR="00292BDD" w:rsidRPr="000B0EE0">
        <w:rPr>
          <w:rFonts w:ascii="Times New Roman" w:eastAsia="Times New Roman" w:hAnsi="Times New Roman" w:cs="Times New Roman"/>
          <w:sz w:val="28"/>
          <w:szCs w:val="28"/>
          <w:lang w:eastAsia="lv-LV"/>
        </w:rPr>
        <w:t> </w:t>
      </w:r>
      <w:r w:rsidR="00637FE1" w:rsidRPr="000B0EE0">
        <w:rPr>
          <w:rFonts w:ascii="Times New Roman" w:eastAsia="Times New Roman" w:hAnsi="Times New Roman" w:cs="Times New Roman"/>
          <w:sz w:val="28"/>
          <w:szCs w:val="28"/>
          <w:lang w:eastAsia="lv-LV"/>
        </w:rPr>
        <w:t>punktu šādā redakcijā:</w:t>
      </w:r>
    </w:p>
    <w:p w14:paraId="2805E9DA" w14:textId="77777777" w:rsidR="00F6485F"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C78A0BE" w14:textId="7A8D8F33" w:rsidR="00637FE1"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w:t>
      </w:r>
      <w:r w:rsidR="000D619D" w:rsidRPr="000B0EE0">
        <w:rPr>
          <w:rFonts w:ascii="Times New Roman" w:eastAsia="Times New Roman" w:hAnsi="Times New Roman" w:cs="Times New Roman"/>
          <w:sz w:val="28"/>
          <w:szCs w:val="28"/>
          <w:lang w:eastAsia="lv-LV"/>
        </w:rPr>
        <w:t>24.</w:t>
      </w:r>
      <w:r w:rsidR="00292BDD" w:rsidRPr="000B0EE0">
        <w:rPr>
          <w:rFonts w:ascii="Times New Roman" w:eastAsia="Times New Roman" w:hAnsi="Times New Roman" w:cs="Times New Roman"/>
          <w:sz w:val="28"/>
          <w:szCs w:val="28"/>
          <w:lang w:eastAsia="lv-LV"/>
        </w:rPr>
        <w:t> </w:t>
      </w:r>
      <w:r w:rsidR="000D619D" w:rsidRPr="000B0EE0">
        <w:rPr>
          <w:rFonts w:ascii="Times New Roman" w:hAnsi="Times New Roman"/>
          <w:sz w:val="28"/>
          <w:szCs w:val="28"/>
          <w:shd w:val="clear" w:color="auto" w:fill="FFFFFF"/>
        </w:rPr>
        <w:t>Šo noteikumu 5.1.</w:t>
      </w:r>
      <w:r w:rsidR="00292BDD" w:rsidRPr="000B0EE0">
        <w:rPr>
          <w:rFonts w:ascii="Times New Roman" w:hAnsi="Times New Roman"/>
          <w:sz w:val="28"/>
          <w:szCs w:val="28"/>
          <w:shd w:val="clear" w:color="auto" w:fill="FFFFFF"/>
        </w:rPr>
        <w:t> </w:t>
      </w:r>
      <w:r w:rsidR="000D619D" w:rsidRPr="000B0EE0">
        <w:rPr>
          <w:rFonts w:ascii="Times New Roman" w:hAnsi="Times New Roman"/>
          <w:sz w:val="28"/>
          <w:szCs w:val="28"/>
          <w:shd w:val="clear" w:color="auto" w:fill="FFFFFF"/>
        </w:rPr>
        <w:t>apakšpunktā minētajam atbalsta veidam sabiedrības "</w:t>
      </w:r>
      <w:proofErr w:type="spellStart"/>
      <w:r w:rsidR="000D619D" w:rsidRPr="000B0EE0">
        <w:rPr>
          <w:rFonts w:ascii="Times New Roman" w:hAnsi="Times New Roman"/>
          <w:sz w:val="28"/>
          <w:szCs w:val="28"/>
          <w:shd w:val="clear" w:color="auto" w:fill="FFFFFF"/>
        </w:rPr>
        <w:t>Altum</w:t>
      </w:r>
      <w:proofErr w:type="spellEnd"/>
      <w:r w:rsidR="000D619D" w:rsidRPr="000B0EE0">
        <w:rPr>
          <w:rFonts w:ascii="Times New Roman" w:hAnsi="Times New Roman"/>
          <w:sz w:val="28"/>
          <w:szCs w:val="28"/>
          <w:shd w:val="clear" w:color="auto" w:fill="FFFFFF"/>
        </w:rPr>
        <w:t>" un aizņēmēja aizdevuma līguma noslēgšanas datums uzskatāms par atbalsta piešķiršanas datumu</w:t>
      </w:r>
      <w:r w:rsidR="00BA4B4F" w:rsidRPr="000B0EE0">
        <w:rPr>
          <w:rFonts w:ascii="Times New Roman" w:hAnsi="Times New Roman"/>
          <w:sz w:val="28"/>
          <w:szCs w:val="28"/>
          <w:shd w:val="clear" w:color="auto" w:fill="FFFFFF"/>
        </w:rPr>
        <w:t>.</w:t>
      </w:r>
      <w:r w:rsidRPr="000B0EE0">
        <w:rPr>
          <w:rFonts w:ascii="Times New Roman" w:eastAsia="Times New Roman" w:hAnsi="Times New Roman" w:cs="Times New Roman"/>
          <w:sz w:val="28"/>
          <w:szCs w:val="28"/>
          <w:lang w:eastAsia="lv-LV"/>
        </w:rPr>
        <w:t>"</w:t>
      </w:r>
    </w:p>
    <w:p w14:paraId="2271BD6C" w14:textId="77777777" w:rsidR="00532610" w:rsidRPr="000B0EE0" w:rsidRDefault="00532610" w:rsidP="00F6485F">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89B1160" w14:textId="53EF2E3E" w:rsidR="00532610" w:rsidRPr="000B0EE0" w:rsidRDefault="00D80731"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6</w:t>
      </w:r>
      <w:r w:rsidR="00BA4B4F" w:rsidRPr="000B0EE0">
        <w:rPr>
          <w:rFonts w:ascii="Times New Roman" w:eastAsia="Times New Roman" w:hAnsi="Times New Roman" w:cs="Times New Roman"/>
          <w:sz w:val="28"/>
          <w:szCs w:val="28"/>
          <w:lang w:eastAsia="lv-LV"/>
        </w:rPr>
        <w:t>.</w:t>
      </w:r>
      <w:r w:rsidR="00F6485F" w:rsidRPr="000B0EE0">
        <w:rPr>
          <w:rFonts w:ascii="Times New Roman" w:eastAsia="Times New Roman" w:hAnsi="Times New Roman" w:cs="Times New Roman"/>
          <w:sz w:val="28"/>
          <w:szCs w:val="28"/>
          <w:lang w:eastAsia="lv-LV"/>
        </w:rPr>
        <w:t> </w:t>
      </w:r>
      <w:r w:rsidR="00BA4B4F" w:rsidRPr="000B0EE0">
        <w:rPr>
          <w:rFonts w:ascii="Times New Roman" w:eastAsia="Times New Roman" w:hAnsi="Times New Roman" w:cs="Times New Roman"/>
          <w:sz w:val="28"/>
          <w:szCs w:val="28"/>
          <w:lang w:eastAsia="lv-LV"/>
        </w:rPr>
        <w:t>I</w:t>
      </w:r>
      <w:r w:rsidR="00532610" w:rsidRPr="000B0EE0">
        <w:rPr>
          <w:rFonts w:ascii="Times New Roman" w:eastAsia="Times New Roman" w:hAnsi="Times New Roman" w:cs="Times New Roman"/>
          <w:sz w:val="28"/>
          <w:szCs w:val="28"/>
          <w:lang w:eastAsia="lv-LV"/>
        </w:rPr>
        <w:t>zteikt 31.</w:t>
      </w:r>
      <w:r w:rsidR="00BA4B4F" w:rsidRPr="000B0EE0">
        <w:rPr>
          <w:rFonts w:ascii="Times New Roman" w:eastAsia="Times New Roman" w:hAnsi="Times New Roman" w:cs="Times New Roman"/>
          <w:sz w:val="28"/>
          <w:szCs w:val="28"/>
          <w:lang w:eastAsia="lv-LV"/>
        </w:rPr>
        <w:t> </w:t>
      </w:r>
      <w:r w:rsidR="00532610" w:rsidRPr="000B0EE0">
        <w:rPr>
          <w:rFonts w:ascii="Times New Roman" w:eastAsia="Times New Roman" w:hAnsi="Times New Roman" w:cs="Times New Roman"/>
          <w:sz w:val="28"/>
          <w:szCs w:val="28"/>
          <w:lang w:eastAsia="lv-LV"/>
        </w:rPr>
        <w:t>punktu šādā redakcijā:</w:t>
      </w:r>
    </w:p>
    <w:p w14:paraId="05D63590" w14:textId="77777777" w:rsidR="00F6485F"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A625D86" w14:textId="251EB32A" w:rsidR="00532610"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w:t>
      </w:r>
      <w:r w:rsidR="00532610" w:rsidRPr="000B0EE0">
        <w:rPr>
          <w:rFonts w:ascii="Times New Roman" w:eastAsia="Times New Roman" w:hAnsi="Times New Roman" w:cs="Times New Roman"/>
          <w:sz w:val="28"/>
          <w:szCs w:val="28"/>
          <w:lang w:eastAsia="lv-LV"/>
        </w:rPr>
        <w:t>31.</w:t>
      </w:r>
      <w:r w:rsidR="00BA4B4F" w:rsidRPr="000B0EE0">
        <w:rPr>
          <w:rFonts w:ascii="Times New Roman" w:eastAsia="Times New Roman" w:hAnsi="Times New Roman" w:cs="Times New Roman"/>
          <w:sz w:val="28"/>
          <w:szCs w:val="28"/>
          <w:lang w:eastAsia="lv-LV"/>
        </w:rPr>
        <w:t> </w:t>
      </w:r>
      <w:r w:rsidR="00532610" w:rsidRPr="000B0EE0">
        <w:rPr>
          <w:rFonts w:ascii="Times New Roman" w:eastAsia="Times New Roman" w:hAnsi="Times New Roman" w:cs="Times New Roman"/>
          <w:sz w:val="28"/>
          <w:szCs w:val="28"/>
          <w:lang w:eastAsia="lv-LV"/>
        </w:rPr>
        <w:t xml:space="preserve">Saskaņā ar šiem noteikumiem sniegto atbalstu </w:t>
      </w:r>
      <w:r w:rsidR="0035040B" w:rsidRPr="000B0EE0">
        <w:rPr>
          <w:rFonts w:ascii="Times New Roman" w:eastAsia="Times New Roman" w:hAnsi="Times New Roman" w:cs="Times New Roman"/>
          <w:sz w:val="28"/>
          <w:szCs w:val="28"/>
          <w:lang w:eastAsia="lv-LV"/>
        </w:rPr>
        <w:t>nedrīkst</w:t>
      </w:r>
      <w:r w:rsidR="00532610" w:rsidRPr="000B0EE0">
        <w:rPr>
          <w:rFonts w:ascii="Times New Roman" w:eastAsia="Times New Roman" w:hAnsi="Times New Roman" w:cs="Times New Roman"/>
          <w:sz w:val="28"/>
          <w:szCs w:val="28"/>
          <w:lang w:eastAsia="lv-LV"/>
        </w:rPr>
        <w:t xml:space="preserve"> apvienot ar atbalstu, kuru sabiedrība </w:t>
      </w:r>
      <w:r w:rsidR="007A454F" w:rsidRPr="000B0EE0">
        <w:rPr>
          <w:rFonts w:ascii="Times New Roman" w:eastAsia="Times New Roman" w:hAnsi="Times New Roman" w:cs="Times New Roman"/>
          <w:sz w:val="28"/>
          <w:szCs w:val="28"/>
          <w:lang w:eastAsia="lv-LV"/>
        </w:rPr>
        <w:t>"</w:t>
      </w:r>
      <w:proofErr w:type="spellStart"/>
      <w:r w:rsidR="00532610" w:rsidRPr="000B0EE0">
        <w:rPr>
          <w:rFonts w:ascii="Times New Roman" w:eastAsia="Times New Roman" w:hAnsi="Times New Roman" w:cs="Times New Roman"/>
          <w:sz w:val="28"/>
          <w:szCs w:val="28"/>
          <w:lang w:eastAsia="lv-LV"/>
        </w:rPr>
        <w:t>Altum</w:t>
      </w:r>
      <w:proofErr w:type="spellEnd"/>
      <w:r w:rsidR="007A454F" w:rsidRPr="000B0EE0">
        <w:rPr>
          <w:rFonts w:ascii="Times New Roman" w:eastAsia="Times New Roman" w:hAnsi="Times New Roman" w:cs="Times New Roman"/>
          <w:sz w:val="28"/>
          <w:szCs w:val="28"/>
          <w:lang w:eastAsia="lv-LV"/>
        </w:rPr>
        <w:t>"</w:t>
      </w:r>
      <w:r w:rsidR="00532610" w:rsidRPr="000B0EE0">
        <w:rPr>
          <w:rFonts w:ascii="Times New Roman" w:eastAsia="Times New Roman" w:hAnsi="Times New Roman" w:cs="Times New Roman"/>
          <w:sz w:val="28"/>
          <w:szCs w:val="28"/>
          <w:lang w:eastAsia="lv-LV"/>
        </w:rPr>
        <w:t xml:space="preserve"> sniedz saskaņā ar Eiropas Komisijas lēmumu kā aizdevumu garantijas.</w:t>
      </w:r>
      <w:r w:rsidR="00B77040" w:rsidRPr="000B0EE0">
        <w:rPr>
          <w:rFonts w:ascii="Times New Roman" w:eastAsia="Times New Roman" w:hAnsi="Times New Roman" w:cs="Times New Roman"/>
          <w:sz w:val="28"/>
          <w:szCs w:val="28"/>
          <w:lang w:eastAsia="lv-LV"/>
        </w:rPr>
        <w:t xml:space="preserve"> Saskaņā ar šiem noteikumiem sniegto atbalstu par tām pašām izmaksām nedrīkst apvienot ar finansējumu jebkādu citu valsts atbalsta projektu vai programmu ietvaros.</w:t>
      </w:r>
      <w:r w:rsidRPr="000B0EE0">
        <w:rPr>
          <w:rFonts w:ascii="Times New Roman" w:eastAsia="Times New Roman" w:hAnsi="Times New Roman" w:cs="Times New Roman"/>
          <w:sz w:val="28"/>
          <w:szCs w:val="28"/>
          <w:lang w:eastAsia="lv-LV"/>
        </w:rPr>
        <w:t>"</w:t>
      </w:r>
    </w:p>
    <w:p w14:paraId="507792FE" w14:textId="77777777" w:rsidR="00D72835" w:rsidRPr="000B0EE0" w:rsidRDefault="00D72835"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DD40CA4" w14:textId="7F0C67ED" w:rsidR="00846031" w:rsidRPr="000B0EE0" w:rsidRDefault="003B6AE1"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t>7</w:t>
      </w:r>
      <w:r w:rsidR="00544947" w:rsidRPr="000B0EE0">
        <w:rPr>
          <w:rFonts w:ascii="Times New Roman" w:eastAsia="Times New Roman" w:hAnsi="Times New Roman" w:cs="Times New Roman"/>
          <w:sz w:val="28"/>
          <w:szCs w:val="28"/>
          <w:lang w:eastAsia="lv-LV"/>
        </w:rPr>
        <w:t>.</w:t>
      </w:r>
      <w:r w:rsidR="00F6485F" w:rsidRPr="000B0EE0">
        <w:rPr>
          <w:rFonts w:ascii="Times New Roman" w:eastAsia="Times New Roman" w:hAnsi="Times New Roman" w:cs="Times New Roman"/>
          <w:sz w:val="28"/>
          <w:szCs w:val="28"/>
          <w:lang w:eastAsia="lv-LV"/>
        </w:rPr>
        <w:t> </w:t>
      </w:r>
      <w:r w:rsidR="00544947" w:rsidRPr="000B0EE0">
        <w:rPr>
          <w:rFonts w:ascii="Times New Roman" w:eastAsia="Times New Roman" w:hAnsi="Times New Roman" w:cs="Times New Roman"/>
          <w:sz w:val="28"/>
          <w:szCs w:val="28"/>
          <w:lang w:eastAsia="lv-LV"/>
        </w:rPr>
        <w:t>I</w:t>
      </w:r>
      <w:r w:rsidR="00846031" w:rsidRPr="000B0EE0">
        <w:rPr>
          <w:rFonts w:ascii="Times New Roman" w:eastAsia="Times New Roman" w:hAnsi="Times New Roman" w:cs="Times New Roman"/>
          <w:sz w:val="28"/>
          <w:szCs w:val="28"/>
          <w:lang w:eastAsia="lv-LV"/>
        </w:rPr>
        <w:t xml:space="preserve">zteikt pielikumu </w:t>
      </w:r>
      <w:r w:rsidR="00532610" w:rsidRPr="000B0EE0">
        <w:rPr>
          <w:rFonts w:ascii="Times New Roman" w:eastAsia="Times New Roman" w:hAnsi="Times New Roman" w:cs="Times New Roman"/>
          <w:sz w:val="28"/>
          <w:szCs w:val="28"/>
          <w:lang w:eastAsia="lv-LV"/>
        </w:rPr>
        <w:t>šādā</w:t>
      </w:r>
      <w:r w:rsidR="00846031" w:rsidRPr="000B0EE0">
        <w:rPr>
          <w:rFonts w:ascii="Times New Roman" w:eastAsia="Times New Roman" w:hAnsi="Times New Roman" w:cs="Times New Roman"/>
          <w:sz w:val="28"/>
          <w:szCs w:val="28"/>
          <w:lang w:eastAsia="lv-LV"/>
        </w:rPr>
        <w:t xml:space="preserve"> redakcijā</w:t>
      </w:r>
      <w:r w:rsidR="00532610" w:rsidRPr="000B0EE0">
        <w:rPr>
          <w:rFonts w:ascii="Times New Roman" w:eastAsia="Times New Roman" w:hAnsi="Times New Roman" w:cs="Times New Roman"/>
          <w:sz w:val="28"/>
          <w:szCs w:val="28"/>
          <w:lang w:eastAsia="lv-LV"/>
        </w:rPr>
        <w:t>:</w:t>
      </w:r>
    </w:p>
    <w:p w14:paraId="19FBDA53" w14:textId="28C0C74D" w:rsidR="00F6485F" w:rsidRPr="000B0EE0" w:rsidRDefault="00F6485F">
      <w:pPr>
        <w:rPr>
          <w:rFonts w:ascii="Times New Roman" w:eastAsia="Times New Roman" w:hAnsi="Times New Roman" w:cs="Times New Roman"/>
          <w:sz w:val="28"/>
          <w:szCs w:val="28"/>
          <w:lang w:eastAsia="lv-LV"/>
        </w:rPr>
      </w:pPr>
      <w:r w:rsidRPr="000B0EE0">
        <w:rPr>
          <w:rFonts w:ascii="Times New Roman" w:eastAsia="Times New Roman" w:hAnsi="Times New Roman" w:cs="Times New Roman"/>
          <w:sz w:val="28"/>
          <w:szCs w:val="28"/>
          <w:lang w:eastAsia="lv-LV"/>
        </w:rPr>
        <w:br w:type="page"/>
      </w:r>
    </w:p>
    <w:p w14:paraId="06AA8D2C" w14:textId="77777777" w:rsidR="00F6485F" w:rsidRPr="000B0EE0" w:rsidRDefault="00F6485F" w:rsidP="00F6485F">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9987DD0" w14:textId="09E48B59" w:rsidR="00532610" w:rsidRPr="000B0EE0" w:rsidRDefault="00F6485F" w:rsidP="00532610">
      <w:pPr>
        <w:spacing w:after="0" w:line="240" w:lineRule="auto"/>
        <w:jc w:val="right"/>
        <w:rPr>
          <w:rFonts w:ascii="Times New Roman" w:eastAsia="Times New Roman" w:hAnsi="Times New Roman" w:cs="Times New Roman"/>
          <w:b/>
          <w:bCs/>
          <w:sz w:val="28"/>
          <w:szCs w:val="28"/>
          <w:lang w:eastAsia="lv-LV"/>
        </w:rPr>
      </w:pPr>
      <w:r w:rsidRPr="000B0EE0">
        <w:rPr>
          <w:rFonts w:ascii="Times New Roman" w:eastAsia="Times New Roman" w:hAnsi="Times New Roman" w:cs="Times New Roman"/>
          <w:sz w:val="28"/>
          <w:szCs w:val="28"/>
          <w:lang w:eastAsia="lv-LV"/>
        </w:rPr>
        <w:t>"</w:t>
      </w:r>
      <w:r w:rsidR="00B932E4" w:rsidRPr="000B0EE0">
        <w:rPr>
          <w:rFonts w:ascii="Times New Roman" w:hAnsi="Times New Roman" w:cs="Times New Roman"/>
          <w:sz w:val="28"/>
          <w:szCs w:val="28"/>
          <w:shd w:val="clear" w:color="auto" w:fill="FFFFFF"/>
        </w:rPr>
        <w:t>Pielikums</w:t>
      </w:r>
      <w:r w:rsidR="00B932E4" w:rsidRPr="000B0EE0">
        <w:rPr>
          <w:rFonts w:ascii="Times New Roman" w:hAnsi="Times New Roman" w:cs="Times New Roman"/>
          <w:sz w:val="28"/>
          <w:szCs w:val="28"/>
        </w:rPr>
        <w:br/>
      </w:r>
      <w:r w:rsidR="00B932E4" w:rsidRPr="000B0EE0">
        <w:rPr>
          <w:rFonts w:ascii="Times New Roman" w:hAnsi="Times New Roman" w:cs="Times New Roman"/>
          <w:sz w:val="28"/>
          <w:szCs w:val="28"/>
          <w:shd w:val="clear" w:color="auto" w:fill="FFFFFF"/>
        </w:rPr>
        <w:t>Ministru kabineta</w:t>
      </w:r>
      <w:r w:rsidR="00B932E4" w:rsidRPr="000B0EE0">
        <w:rPr>
          <w:rFonts w:ascii="Times New Roman" w:hAnsi="Times New Roman" w:cs="Times New Roman"/>
          <w:sz w:val="28"/>
          <w:szCs w:val="28"/>
        </w:rPr>
        <w:br/>
      </w:r>
      <w:r w:rsidR="00B932E4" w:rsidRPr="000B0EE0">
        <w:rPr>
          <w:rFonts w:ascii="Times New Roman" w:hAnsi="Times New Roman" w:cs="Times New Roman"/>
          <w:sz w:val="28"/>
          <w:szCs w:val="28"/>
          <w:shd w:val="clear" w:color="auto" w:fill="FFFFFF"/>
        </w:rPr>
        <w:t>2020. gada 19. marta</w:t>
      </w:r>
      <w:r w:rsidR="00B932E4" w:rsidRPr="000B0EE0">
        <w:rPr>
          <w:rFonts w:ascii="Times New Roman" w:hAnsi="Times New Roman" w:cs="Times New Roman"/>
          <w:sz w:val="28"/>
          <w:szCs w:val="28"/>
        </w:rPr>
        <w:br/>
      </w:r>
      <w:r w:rsidR="00B932E4" w:rsidRPr="000B0EE0">
        <w:rPr>
          <w:rFonts w:ascii="Times New Roman" w:hAnsi="Times New Roman" w:cs="Times New Roman"/>
          <w:sz w:val="28"/>
          <w:szCs w:val="28"/>
          <w:shd w:val="clear" w:color="auto" w:fill="FFFFFF"/>
        </w:rPr>
        <w:t>noteikumiem Nr. 149</w:t>
      </w:r>
    </w:p>
    <w:p w14:paraId="1FBCFAD6" w14:textId="77777777" w:rsidR="00F6485F" w:rsidRPr="000B0EE0" w:rsidRDefault="00F6485F" w:rsidP="00532610">
      <w:pPr>
        <w:spacing w:after="0" w:line="240" w:lineRule="auto"/>
        <w:jc w:val="center"/>
        <w:rPr>
          <w:rFonts w:ascii="Times New Roman" w:eastAsia="Times New Roman" w:hAnsi="Times New Roman"/>
          <w:b/>
          <w:bCs/>
          <w:sz w:val="24"/>
          <w:szCs w:val="24"/>
          <w:lang w:eastAsia="lv-LV"/>
        </w:rPr>
      </w:pPr>
    </w:p>
    <w:p w14:paraId="2A1F68B5" w14:textId="7131D4C8" w:rsidR="00532610" w:rsidRPr="000B0EE0" w:rsidRDefault="00532610" w:rsidP="00532610">
      <w:pPr>
        <w:spacing w:after="0" w:line="240" w:lineRule="auto"/>
        <w:jc w:val="center"/>
        <w:rPr>
          <w:rFonts w:ascii="Times New Roman" w:eastAsia="Times New Roman" w:hAnsi="Times New Roman"/>
          <w:b/>
          <w:bCs/>
          <w:sz w:val="28"/>
          <w:szCs w:val="28"/>
          <w:lang w:eastAsia="lv-LV"/>
        </w:rPr>
      </w:pPr>
      <w:r w:rsidRPr="000B0EE0">
        <w:rPr>
          <w:rFonts w:ascii="Times New Roman" w:eastAsia="Times New Roman" w:hAnsi="Times New Roman"/>
          <w:b/>
          <w:bCs/>
          <w:sz w:val="28"/>
          <w:szCs w:val="28"/>
          <w:lang w:eastAsia="lv-LV"/>
        </w:rPr>
        <w:t>Aizdevum</w:t>
      </w:r>
      <w:r w:rsidR="00B932E4" w:rsidRPr="000B0EE0">
        <w:rPr>
          <w:rFonts w:ascii="Times New Roman" w:eastAsia="Times New Roman" w:hAnsi="Times New Roman"/>
          <w:b/>
          <w:bCs/>
          <w:sz w:val="28"/>
          <w:szCs w:val="28"/>
          <w:lang w:eastAsia="lv-LV"/>
        </w:rPr>
        <w:t>a</w:t>
      </w:r>
      <w:r w:rsidRPr="000B0EE0">
        <w:rPr>
          <w:rFonts w:ascii="Times New Roman" w:eastAsia="Times New Roman" w:hAnsi="Times New Roman"/>
          <w:b/>
          <w:bCs/>
          <w:sz w:val="28"/>
          <w:szCs w:val="28"/>
          <w:lang w:eastAsia="lv-LV"/>
        </w:rPr>
        <w:t xml:space="preserve"> procentu likme</w:t>
      </w:r>
    </w:p>
    <w:p w14:paraId="1200C0EC" w14:textId="77777777" w:rsidR="00532610" w:rsidRPr="000B0EE0" w:rsidRDefault="00532610" w:rsidP="00532610">
      <w:pPr>
        <w:spacing w:after="0" w:line="240" w:lineRule="auto"/>
        <w:jc w:val="center"/>
        <w:rPr>
          <w:rFonts w:ascii="Times New Roman" w:eastAsia="Times New Roman" w:hAnsi="Times New Roman"/>
          <w:b/>
          <w:bCs/>
          <w:sz w:val="24"/>
          <w:szCs w:val="24"/>
          <w:lang w:eastAsia="lv-LV"/>
        </w:rPr>
      </w:pPr>
    </w:p>
    <w:p w14:paraId="41F5D70E" w14:textId="29F1192A" w:rsidR="00532610" w:rsidRPr="000B0EE0" w:rsidRDefault="00532610" w:rsidP="007A454F">
      <w:pPr>
        <w:spacing w:after="0" w:line="240" w:lineRule="auto"/>
        <w:ind w:firstLine="709"/>
        <w:jc w:val="both"/>
        <w:rPr>
          <w:rFonts w:ascii="Times New Roman" w:eastAsia="Times New Roman" w:hAnsi="Times New Roman"/>
          <w:sz w:val="24"/>
          <w:szCs w:val="24"/>
          <w:lang w:eastAsia="lv-LV"/>
        </w:rPr>
      </w:pPr>
      <w:r w:rsidRPr="000B0EE0">
        <w:rPr>
          <w:rFonts w:ascii="Times New Roman" w:eastAsia="Times New Roman" w:hAnsi="Times New Roman"/>
          <w:sz w:val="24"/>
          <w:szCs w:val="24"/>
          <w:lang w:eastAsia="lv-LV"/>
        </w:rPr>
        <w:t>Procentu likmes zemāko robežu nosaka Eiropas Komisija</w:t>
      </w:r>
      <w:r w:rsidR="00B932E4" w:rsidRPr="000B0EE0">
        <w:rPr>
          <w:rFonts w:ascii="Times New Roman" w:eastAsia="Times New Roman" w:hAnsi="Times New Roman"/>
          <w:sz w:val="24"/>
          <w:szCs w:val="24"/>
          <w:lang w:eastAsia="lv-LV"/>
        </w:rPr>
        <w:t>,</w:t>
      </w:r>
      <w:r w:rsidRPr="000B0EE0">
        <w:rPr>
          <w:rFonts w:ascii="Times New Roman" w:eastAsia="Times New Roman" w:hAnsi="Times New Roman"/>
          <w:sz w:val="24"/>
          <w:szCs w:val="24"/>
          <w:lang w:eastAsia="lv-LV"/>
        </w:rPr>
        <w:t xml:space="preserve"> 2020.</w:t>
      </w:r>
      <w:r w:rsidR="00544947" w:rsidRPr="000B0EE0">
        <w:rPr>
          <w:rFonts w:ascii="Times New Roman" w:eastAsia="Times New Roman" w:hAnsi="Times New Roman"/>
          <w:sz w:val="24"/>
          <w:szCs w:val="24"/>
          <w:lang w:eastAsia="lv-LV"/>
        </w:rPr>
        <w:t> </w:t>
      </w:r>
      <w:r w:rsidRPr="000B0EE0">
        <w:rPr>
          <w:rFonts w:ascii="Times New Roman" w:eastAsia="Times New Roman" w:hAnsi="Times New Roman"/>
          <w:sz w:val="24"/>
          <w:szCs w:val="24"/>
          <w:lang w:eastAsia="lv-LV"/>
        </w:rPr>
        <w:t>gada 1.</w:t>
      </w:r>
      <w:r w:rsidR="00544947" w:rsidRPr="000B0EE0">
        <w:rPr>
          <w:rFonts w:ascii="Times New Roman" w:eastAsia="Times New Roman" w:hAnsi="Times New Roman"/>
          <w:sz w:val="24"/>
          <w:szCs w:val="24"/>
          <w:lang w:eastAsia="lv-LV"/>
        </w:rPr>
        <w:t> </w:t>
      </w:r>
      <w:r w:rsidRPr="000B0EE0">
        <w:rPr>
          <w:rFonts w:ascii="Times New Roman" w:eastAsia="Times New Roman" w:hAnsi="Times New Roman"/>
          <w:sz w:val="24"/>
          <w:szCs w:val="24"/>
          <w:lang w:eastAsia="lv-LV"/>
        </w:rPr>
        <w:t xml:space="preserve">janvārī publicētajai bāzes likmei pieskaitot </w:t>
      </w:r>
      <w:r w:rsidR="0035040B" w:rsidRPr="000B0EE0">
        <w:rPr>
          <w:rFonts w:ascii="Times New Roman" w:eastAsia="Times New Roman" w:hAnsi="Times New Roman"/>
          <w:sz w:val="24"/>
          <w:szCs w:val="24"/>
          <w:lang w:eastAsia="lv-LV"/>
        </w:rPr>
        <w:t xml:space="preserve">tabulā norādītās </w:t>
      </w:r>
      <w:r w:rsidRPr="000B0EE0">
        <w:rPr>
          <w:rFonts w:ascii="Times New Roman" w:eastAsia="Times New Roman" w:hAnsi="Times New Roman"/>
          <w:sz w:val="24"/>
          <w:szCs w:val="24"/>
          <w:lang w:eastAsia="lv-LV"/>
        </w:rPr>
        <w:t>kredītriska robežas</w:t>
      </w:r>
      <w:r w:rsidR="0035040B" w:rsidRPr="000B0EE0">
        <w:rPr>
          <w:rFonts w:ascii="Times New Roman" w:eastAsia="Times New Roman" w:hAnsi="Times New Roman"/>
          <w:sz w:val="24"/>
          <w:szCs w:val="24"/>
          <w:lang w:eastAsia="lv-LV"/>
        </w:rPr>
        <w:t xml:space="preserve"> </w:t>
      </w:r>
      <w:r w:rsidRPr="000B0EE0">
        <w:rPr>
          <w:rFonts w:ascii="Times New Roman" w:eastAsia="Times New Roman" w:hAnsi="Times New Roman"/>
          <w:sz w:val="24"/>
          <w:szCs w:val="24"/>
          <w:lang w:eastAsia="lv-LV"/>
        </w:rPr>
        <w:t>atbilstoši saimnieciskās darbības veidam un aizdevuma termiņam (bet ne mazāk kā 10 bāzes punkti).</w:t>
      </w:r>
    </w:p>
    <w:p w14:paraId="0F480C34" w14:textId="77777777" w:rsidR="00532610" w:rsidRPr="000B0EE0" w:rsidRDefault="00532610" w:rsidP="00532610">
      <w:pPr>
        <w:spacing w:after="0" w:line="240" w:lineRule="auto"/>
        <w:jc w:val="both"/>
        <w:rPr>
          <w:rFonts w:ascii="Times New Roman" w:eastAsia="Times New Roman" w:hAnsi="Times New Roman"/>
          <w:sz w:val="24"/>
          <w:szCs w:val="24"/>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701"/>
        <w:gridCol w:w="2268"/>
        <w:gridCol w:w="1985"/>
      </w:tblGrid>
      <w:tr w:rsidR="000B0EE0" w:rsidRPr="000B0EE0" w14:paraId="1030E292" w14:textId="77777777" w:rsidTr="002A7EB8">
        <w:trPr>
          <w:trHeight w:val="437"/>
        </w:trPr>
        <w:tc>
          <w:tcPr>
            <w:tcW w:w="993" w:type="dxa"/>
            <w:vAlign w:val="center"/>
          </w:tcPr>
          <w:p w14:paraId="0F5E62D5" w14:textId="77777777" w:rsidR="002A7EB8" w:rsidRPr="000B0EE0" w:rsidRDefault="002A7EB8" w:rsidP="002A7EB8">
            <w:pPr>
              <w:autoSpaceDE w:val="0"/>
              <w:autoSpaceDN w:val="0"/>
              <w:adjustRightInd w:val="0"/>
              <w:spacing w:after="0" w:line="240" w:lineRule="auto"/>
              <w:jc w:val="center"/>
              <w:rPr>
                <w:rFonts w:ascii="Times New Roman" w:hAnsi="Times New Roman"/>
                <w:bCs/>
                <w:sz w:val="23"/>
                <w:szCs w:val="23"/>
                <w:lang w:eastAsia="lv-LV"/>
              </w:rPr>
            </w:pPr>
            <w:r w:rsidRPr="000B0EE0">
              <w:rPr>
                <w:rFonts w:ascii="Times New Roman" w:hAnsi="Times New Roman"/>
                <w:bCs/>
                <w:sz w:val="23"/>
                <w:szCs w:val="23"/>
                <w:lang w:eastAsia="lv-LV"/>
              </w:rPr>
              <w:t>Nr.</w:t>
            </w:r>
          </w:p>
          <w:p w14:paraId="07DAA3C9" w14:textId="74170970" w:rsidR="002A7EB8" w:rsidRPr="000B0EE0" w:rsidRDefault="002A7EB8" w:rsidP="002A7EB8">
            <w:pPr>
              <w:autoSpaceDE w:val="0"/>
              <w:autoSpaceDN w:val="0"/>
              <w:adjustRightInd w:val="0"/>
              <w:spacing w:after="0" w:line="240" w:lineRule="auto"/>
              <w:jc w:val="center"/>
              <w:rPr>
                <w:rFonts w:ascii="Times New Roman" w:hAnsi="Times New Roman"/>
                <w:bCs/>
                <w:sz w:val="23"/>
                <w:szCs w:val="23"/>
                <w:lang w:eastAsia="lv-LV"/>
              </w:rPr>
            </w:pPr>
            <w:r w:rsidRPr="000B0EE0">
              <w:rPr>
                <w:rFonts w:ascii="Times New Roman" w:hAnsi="Times New Roman"/>
                <w:bCs/>
                <w:sz w:val="23"/>
                <w:szCs w:val="23"/>
                <w:lang w:eastAsia="lv-LV"/>
              </w:rPr>
              <w:t>p. k.</w:t>
            </w:r>
          </w:p>
        </w:tc>
        <w:tc>
          <w:tcPr>
            <w:tcW w:w="1984" w:type="dxa"/>
            <w:vAlign w:val="center"/>
          </w:tcPr>
          <w:p w14:paraId="5A08F1BE" w14:textId="4BE413DB" w:rsidR="002A7EB8" w:rsidRPr="000B0EE0" w:rsidRDefault="002A7EB8" w:rsidP="002A7EB8">
            <w:pPr>
              <w:autoSpaceDE w:val="0"/>
              <w:autoSpaceDN w:val="0"/>
              <w:adjustRightInd w:val="0"/>
              <w:spacing w:after="0" w:line="240" w:lineRule="auto"/>
              <w:jc w:val="center"/>
              <w:rPr>
                <w:rFonts w:ascii="Times New Roman" w:hAnsi="Times New Roman"/>
                <w:bCs/>
                <w:sz w:val="23"/>
                <w:szCs w:val="23"/>
                <w:lang w:eastAsia="lv-LV"/>
              </w:rPr>
            </w:pPr>
            <w:r w:rsidRPr="000B0EE0">
              <w:rPr>
                <w:rFonts w:ascii="Times New Roman" w:hAnsi="Times New Roman"/>
                <w:bCs/>
                <w:sz w:val="23"/>
                <w:szCs w:val="23"/>
                <w:lang w:eastAsia="lv-LV"/>
              </w:rPr>
              <w:t>Saimnieciskās darbības veids</w:t>
            </w:r>
          </w:p>
        </w:tc>
        <w:tc>
          <w:tcPr>
            <w:tcW w:w="1701" w:type="dxa"/>
            <w:vAlign w:val="center"/>
          </w:tcPr>
          <w:p w14:paraId="242EF179" w14:textId="1329D151" w:rsidR="002A7EB8" w:rsidRPr="000B0EE0" w:rsidRDefault="002A7EB8" w:rsidP="002A7EB8">
            <w:pPr>
              <w:autoSpaceDE w:val="0"/>
              <w:autoSpaceDN w:val="0"/>
              <w:adjustRightInd w:val="0"/>
              <w:spacing w:after="0" w:line="240" w:lineRule="auto"/>
              <w:jc w:val="center"/>
              <w:rPr>
                <w:rFonts w:ascii="Times New Roman" w:hAnsi="Times New Roman"/>
                <w:bCs/>
                <w:sz w:val="23"/>
                <w:szCs w:val="23"/>
                <w:lang w:eastAsia="lv-LV"/>
              </w:rPr>
            </w:pPr>
            <w:r w:rsidRPr="000B0EE0">
              <w:rPr>
                <w:rFonts w:ascii="Times New Roman" w:hAnsi="Times New Roman"/>
                <w:bCs/>
                <w:sz w:val="23"/>
                <w:szCs w:val="23"/>
                <w:lang w:eastAsia="lv-LV"/>
              </w:rPr>
              <w:t xml:space="preserve">Kredītriska </w:t>
            </w:r>
            <w:r w:rsidR="0035040B" w:rsidRPr="000B0EE0">
              <w:rPr>
                <w:rFonts w:ascii="Times New Roman" w:hAnsi="Times New Roman"/>
                <w:bCs/>
                <w:sz w:val="23"/>
                <w:szCs w:val="23"/>
                <w:lang w:eastAsia="lv-LV"/>
              </w:rPr>
              <w:t xml:space="preserve">robežas </w:t>
            </w:r>
            <w:r w:rsidRPr="000B0EE0">
              <w:rPr>
                <w:rFonts w:ascii="Times New Roman" w:hAnsi="Times New Roman"/>
                <w:bCs/>
                <w:sz w:val="23"/>
                <w:szCs w:val="23"/>
                <w:lang w:eastAsia="lv-LV"/>
              </w:rPr>
              <w:t>aizdevumiem</w:t>
            </w:r>
            <w:r w:rsidR="0035040B" w:rsidRPr="000B0EE0">
              <w:rPr>
                <w:rFonts w:ascii="Times New Roman" w:hAnsi="Times New Roman"/>
                <w:bCs/>
                <w:sz w:val="23"/>
                <w:szCs w:val="23"/>
                <w:lang w:eastAsia="lv-LV"/>
              </w:rPr>
              <w:t>, kuru</w:t>
            </w:r>
            <w:r w:rsidRPr="000B0EE0">
              <w:rPr>
                <w:rFonts w:ascii="Times New Roman" w:hAnsi="Times New Roman"/>
                <w:bCs/>
                <w:sz w:val="23"/>
                <w:szCs w:val="23"/>
                <w:lang w:eastAsia="lv-LV"/>
              </w:rPr>
              <w:t xml:space="preserve"> atmaksas termiņ</w:t>
            </w:r>
            <w:r w:rsidR="0035040B" w:rsidRPr="000B0EE0">
              <w:rPr>
                <w:rFonts w:ascii="Times New Roman" w:hAnsi="Times New Roman"/>
                <w:bCs/>
                <w:sz w:val="23"/>
                <w:szCs w:val="23"/>
                <w:lang w:eastAsia="lv-LV"/>
              </w:rPr>
              <w:t>š ir</w:t>
            </w:r>
            <w:r w:rsidRPr="000B0EE0">
              <w:rPr>
                <w:rFonts w:ascii="Times New Roman" w:hAnsi="Times New Roman"/>
                <w:bCs/>
                <w:sz w:val="23"/>
                <w:szCs w:val="23"/>
                <w:lang w:eastAsia="lv-LV"/>
              </w:rPr>
              <w:t xml:space="preserve"> līdz vienam gadam</w:t>
            </w:r>
          </w:p>
        </w:tc>
        <w:tc>
          <w:tcPr>
            <w:tcW w:w="2268" w:type="dxa"/>
            <w:vAlign w:val="center"/>
          </w:tcPr>
          <w:p w14:paraId="37F27491" w14:textId="7B90CD2F" w:rsidR="002A7EB8" w:rsidRPr="000B0EE0" w:rsidRDefault="002A7EB8" w:rsidP="002A7EB8">
            <w:pPr>
              <w:autoSpaceDE w:val="0"/>
              <w:autoSpaceDN w:val="0"/>
              <w:adjustRightInd w:val="0"/>
              <w:spacing w:after="0" w:line="240" w:lineRule="auto"/>
              <w:jc w:val="center"/>
              <w:rPr>
                <w:rFonts w:ascii="Times New Roman" w:hAnsi="Times New Roman"/>
                <w:bCs/>
                <w:sz w:val="23"/>
                <w:szCs w:val="23"/>
                <w:lang w:eastAsia="lv-LV"/>
              </w:rPr>
            </w:pPr>
            <w:r w:rsidRPr="000B0EE0">
              <w:rPr>
                <w:rFonts w:ascii="Times New Roman" w:hAnsi="Times New Roman"/>
                <w:bCs/>
                <w:sz w:val="23"/>
                <w:szCs w:val="23"/>
                <w:lang w:eastAsia="lv-LV"/>
              </w:rPr>
              <w:t xml:space="preserve">Kredītriska </w:t>
            </w:r>
            <w:r w:rsidR="0035040B" w:rsidRPr="000B0EE0">
              <w:rPr>
                <w:rFonts w:ascii="Times New Roman" w:hAnsi="Times New Roman"/>
                <w:bCs/>
                <w:sz w:val="23"/>
                <w:szCs w:val="23"/>
                <w:lang w:eastAsia="lv-LV"/>
              </w:rPr>
              <w:t>robežas</w:t>
            </w:r>
            <w:r w:rsidRPr="000B0EE0">
              <w:rPr>
                <w:rFonts w:ascii="Times New Roman" w:hAnsi="Times New Roman"/>
                <w:bCs/>
                <w:sz w:val="23"/>
                <w:szCs w:val="23"/>
                <w:lang w:eastAsia="lv-LV"/>
              </w:rPr>
              <w:t xml:space="preserve"> aizdevumiem</w:t>
            </w:r>
            <w:r w:rsidR="0035040B" w:rsidRPr="000B0EE0">
              <w:rPr>
                <w:rFonts w:ascii="Times New Roman" w:hAnsi="Times New Roman"/>
                <w:bCs/>
                <w:sz w:val="23"/>
                <w:szCs w:val="23"/>
                <w:lang w:eastAsia="lv-LV"/>
              </w:rPr>
              <w:t>, kuru</w:t>
            </w:r>
            <w:r w:rsidRPr="000B0EE0">
              <w:rPr>
                <w:rFonts w:ascii="Times New Roman" w:hAnsi="Times New Roman"/>
                <w:bCs/>
                <w:sz w:val="23"/>
                <w:szCs w:val="23"/>
                <w:lang w:eastAsia="lv-LV"/>
              </w:rPr>
              <w:t xml:space="preserve"> atmaksas termiņ</w:t>
            </w:r>
            <w:r w:rsidR="0035040B" w:rsidRPr="000B0EE0">
              <w:rPr>
                <w:rFonts w:ascii="Times New Roman" w:hAnsi="Times New Roman"/>
                <w:bCs/>
                <w:sz w:val="23"/>
                <w:szCs w:val="23"/>
                <w:lang w:eastAsia="lv-LV"/>
              </w:rPr>
              <w:t>š</w:t>
            </w:r>
            <w:r w:rsidRPr="000B0EE0">
              <w:rPr>
                <w:rFonts w:ascii="Times New Roman" w:hAnsi="Times New Roman"/>
                <w:bCs/>
                <w:sz w:val="23"/>
                <w:szCs w:val="23"/>
                <w:lang w:eastAsia="lv-LV"/>
              </w:rPr>
              <w:t xml:space="preserve"> </w:t>
            </w:r>
            <w:r w:rsidR="0035040B" w:rsidRPr="000B0EE0">
              <w:rPr>
                <w:rFonts w:ascii="Times New Roman" w:hAnsi="Times New Roman"/>
                <w:bCs/>
                <w:sz w:val="23"/>
                <w:szCs w:val="23"/>
                <w:lang w:eastAsia="lv-LV"/>
              </w:rPr>
              <w:t>ir līdz</w:t>
            </w:r>
            <w:r w:rsidRPr="000B0EE0">
              <w:rPr>
                <w:rFonts w:ascii="Times New Roman" w:hAnsi="Times New Roman"/>
                <w:bCs/>
                <w:sz w:val="23"/>
                <w:szCs w:val="23"/>
                <w:lang w:eastAsia="lv-LV"/>
              </w:rPr>
              <w:t xml:space="preserve"> </w:t>
            </w:r>
            <w:r w:rsidR="0035040B" w:rsidRPr="000B0EE0">
              <w:rPr>
                <w:rFonts w:ascii="Times New Roman" w:hAnsi="Times New Roman"/>
                <w:bCs/>
                <w:sz w:val="23"/>
                <w:szCs w:val="23"/>
                <w:lang w:eastAsia="lv-LV"/>
              </w:rPr>
              <w:t>trim</w:t>
            </w:r>
            <w:r w:rsidRPr="000B0EE0">
              <w:rPr>
                <w:rFonts w:ascii="Times New Roman" w:hAnsi="Times New Roman"/>
                <w:bCs/>
                <w:sz w:val="23"/>
                <w:szCs w:val="23"/>
                <w:lang w:eastAsia="lv-LV"/>
              </w:rPr>
              <w:t xml:space="preserve"> gadi</w:t>
            </w:r>
            <w:r w:rsidR="0035040B" w:rsidRPr="000B0EE0">
              <w:rPr>
                <w:rFonts w:ascii="Times New Roman" w:hAnsi="Times New Roman"/>
                <w:bCs/>
                <w:sz w:val="23"/>
                <w:szCs w:val="23"/>
                <w:lang w:eastAsia="lv-LV"/>
              </w:rPr>
              <w:t>em</w:t>
            </w:r>
          </w:p>
        </w:tc>
        <w:tc>
          <w:tcPr>
            <w:tcW w:w="1985" w:type="dxa"/>
            <w:vAlign w:val="center"/>
          </w:tcPr>
          <w:p w14:paraId="6B6EAEB2" w14:textId="1D345F60" w:rsidR="002A7EB8" w:rsidRPr="000B0EE0" w:rsidRDefault="004B1479" w:rsidP="002A7EB8">
            <w:pPr>
              <w:autoSpaceDE w:val="0"/>
              <w:autoSpaceDN w:val="0"/>
              <w:adjustRightInd w:val="0"/>
              <w:spacing w:after="0" w:line="240" w:lineRule="auto"/>
              <w:jc w:val="center"/>
              <w:rPr>
                <w:rFonts w:ascii="Times New Roman" w:hAnsi="Times New Roman"/>
                <w:bCs/>
                <w:sz w:val="23"/>
                <w:szCs w:val="23"/>
                <w:lang w:eastAsia="lv-LV"/>
              </w:rPr>
            </w:pPr>
            <w:r w:rsidRPr="000B0EE0">
              <w:rPr>
                <w:rFonts w:ascii="Times New Roman" w:hAnsi="Times New Roman"/>
                <w:bCs/>
                <w:sz w:val="23"/>
                <w:szCs w:val="23"/>
                <w:lang w:eastAsia="lv-LV"/>
              </w:rPr>
              <w:t>Kredītriska robežas aizdevumiem, kuru atmaksas termiņš ir līdz sešiem</w:t>
            </w:r>
            <w:r w:rsidR="002A7EB8" w:rsidRPr="000B0EE0">
              <w:rPr>
                <w:rFonts w:ascii="Times New Roman" w:hAnsi="Times New Roman"/>
                <w:bCs/>
                <w:sz w:val="23"/>
                <w:szCs w:val="23"/>
                <w:lang w:eastAsia="lv-LV"/>
              </w:rPr>
              <w:t xml:space="preserve"> gadi</w:t>
            </w:r>
            <w:r w:rsidRPr="000B0EE0">
              <w:rPr>
                <w:rFonts w:ascii="Times New Roman" w:hAnsi="Times New Roman"/>
                <w:bCs/>
                <w:sz w:val="23"/>
                <w:szCs w:val="23"/>
                <w:lang w:eastAsia="lv-LV"/>
              </w:rPr>
              <w:t>em</w:t>
            </w:r>
          </w:p>
        </w:tc>
      </w:tr>
      <w:tr w:rsidR="000B0EE0" w:rsidRPr="000B0EE0" w14:paraId="3724D046" w14:textId="77777777" w:rsidTr="002A7EB8">
        <w:trPr>
          <w:trHeight w:val="166"/>
        </w:trPr>
        <w:tc>
          <w:tcPr>
            <w:tcW w:w="993" w:type="dxa"/>
          </w:tcPr>
          <w:p w14:paraId="0670C399" w14:textId="09FB6178"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1.</w:t>
            </w:r>
          </w:p>
        </w:tc>
        <w:tc>
          <w:tcPr>
            <w:tcW w:w="1984" w:type="dxa"/>
          </w:tcPr>
          <w:p w14:paraId="3E70B0EA" w14:textId="69CA06B8"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Sīkie (</w:t>
            </w:r>
            <w:proofErr w:type="spellStart"/>
            <w:r w:rsidRPr="000B0EE0">
              <w:rPr>
                <w:rFonts w:ascii="Times New Roman" w:hAnsi="Times New Roman"/>
                <w:sz w:val="23"/>
                <w:szCs w:val="23"/>
                <w:lang w:eastAsia="lv-LV"/>
              </w:rPr>
              <w:t>mikro</w:t>
            </w:r>
            <w:proofErr w:type="spellEnd"/>
            <w:r w:rsidRPr="000B0EE0">
              <w:rPr>
                <w:rFonts w:ascii="Times New Roman" w:hAnsi="Times New Roman"/>
                <w:sz w:val="23"/>
                <w:szCs w:val="23"/>
                <w:lang w:eastAsia="lv-LV"/>
              </w:rPr>
              <w:t>), mazie un vidējie saimnieciskās darbības veicēji</w:t>
            </w:r>
          </w:p>
        </w:tc>
        <w:tc>
          <w:tcPr>
            <w:tcW w:w="1701" w:type="dxa"/>
          </w:tcPr>
          <w:p w14:paraId="043FCB7E" w14:textId="77777777" w:rsidR="002A7EB8" w:rsidRPr="000B0EE0" w:rsidRDefault="002A7EB8" w:rsidP="00FD5DBE">
            <w:pPr>
              <w:autoSpaceDE w:val="0"/>
              <w:autoSpaceDN w:val="0"/>
              <w:adjustRightInd w:val="0"/>
              <w:spacing w:after="0" w:line="240" w:lineRule="auto"/>
              <w:rPr>
                <w:rFonts w:ascii="Times New Roman" w:hAnsi="Times New Roman"/>
                <w:sz w:val="16"/>
                <w:szCs w:val="16"/>
                <w:lang w:eastAsia="lv-LV"/>
              </w:rPr>
            </w:pPr>
            <w:r w:rsidRPr="000B0EE0">
              <w:rPr>
                <w:rFonts w:ascii="Times New Roman" w:hAnsi="Times New Roman"/>
                <w:sz w:val="23"/>
                <w:szCs w:val="23"/>
                <w:lang w:eastAsia="lv-LV"/>
              </w:rPr>
              <w:t>25 bāzes punkti</w:t>
            </w:r>
          </w:p>
        </w:tc>
        <w:tc>
          <w:tcPr>
            <w:tcW w:w="2268" w:type="dxa"/>
          </w:tcPr>
          <w:p w14:paraId="1E6E4305" w14:textId="77777777" w:rsidR="002A7EB8" w:rsidRPr="000B0EE0" w:rsidRDefault="002A7EB8" w:rsidP="00FD5DBE">
            <w:pPr>
              <w:autoSpaceDE w:val="0"/>
              <w:autoSpaceDN w:val="0"/>
              <w:adjustRightInd w:val="0"/>
              <w:spacing w:after="0" w:line="240" w:lineRule="auto"/>
              <w:rPr>
                <w:rFonts w:ascii="Times New Roman" w:hAnsi="Times New Roman"/>
                <w:sz w:val="16"/>
                <w:szCs w:val="16"/>
                <w:lang w:eastAsia="lv-LV"/>
              </w:rPr>
            </w:pPr>
            <w:r w:rsidRPr="000B0EE0">
              <w:rPr>
                <w:rFonts w:ascii="Times New Roman" w:hAnsi="Times New Roman"/>
                <w:sz w:val="23"/>
                <w:szCs w:val="23"/>
                <w:lang w:eastAsia="lv-LV"/>
              </w:rPr>
              <w:t>50 bāzes punkti</w:t>
            </w:r>
          </w:p>
        </w:tc>
        <w:tc>
          <w:tcPr>
            <w:tcW w:w="1985" w:type="dxa"/>
          </w:tcPr>
          <w:p w14:paraId="070DCAAC" w14:textId="77777777"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 xml:space="preserve">100 bāzes punkti </w:t>
            </w:r>
          </w:p>
        </w:tc>
      </w:tr>
      <w:tr w:rsidR="000B0EE0" w:rsidRPr="000B0EE0" w14:paraId="54E77A57" w14:textId="77777777" w:rsidTr="002A7EB8">
        <w:trPr>
          <w:trHeight w:val="161"/>
        </w:trPr>
        <w:tc>
          <w:tcPr>
            <w:tcW w:w="993" w:type="dxa"/>
          </w:tcPr>
          <w:p w14:paraId="0C300B95" w14:textId="72F1FFA0"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2.</w:t>
            </w:r>
          </w:p>
        </w:tc>
        <w:tc>
          <w:tcPr>
            <w:tcW w:w="1984" w:type="dxa"/>
          </w:tcPr>
          <w:p w14:paraId="1A56D237" w14:textId="2F0C76A3"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Lielie saimnieciskās darbības veicēji</w:t>
            </w:r>
          </w:p>
        </w:tc>
        <w:tc>
          <w:tcPr>
            <w:tcW w:w="1701" w:type="dxa"/>
          </w:tcPr>
          <w:p w14:paraId="0FCB5815" w14:textId="77777777"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50 bāzes punkti</w:t>
            </w:r>
          </w:p>
        </w:tc>
        <w:tc>
          <w:tcPr>
            <w:tcW w:w="2268" w:type="dxa"/>
          </w:tcPr>
          <w:p w14:paraId="06FED7C7" w14:textId="77777777"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100 bāzes punkti</w:t>
            </w:r>
          </w:p>
        </w:tc>
        <w:tc>
          <w:tcPr>
            <w:tcW w:w="1985" w:type="dxa"/>
          </w:tcPr>
          <w:p w14:paraId="79A89EF8" w14:textId="5AF2DA7C" w:rsidR="002A7EB8" w:rsidRPr="000B0EE0" w:rsidRDefault="002A7EB8" w:rsidP="00FD5DBE">
            <w:pPr>
              <w:autoSpaceDE w:val="0"/>
              <w:autoSpaceDN w:val="0"/>
              <w:adjustRightInd w:val="0"/>
              <w:spacing w:after="0" w:line="240" w:lineRule="auto"/>
              <w:rPr>
                <w:rFonts w:ascii="Times New Roman" w:hAnsi="Times New Roman"/>
                <w:sz w:val="23"/>
                <w:szCs w:val="23"/>
                <w:lang w:eastAsia="lv-LV"/>
              </w:rPr>
            </w:pPr>
            <w:r w:rsidRPr="000B0EE0">
              <w:rPr>
                <w:rFonts w:ascii="Times New Roman" w:hAnsi="Times New Roman"/>
                <w:sz w:val="23"/>
                <w:szCs w:val="23"/>
                <w:lang w:eastAsia="lv-LV"/>
              </w:rPr>
              <w:t>200 bāzes punkti"</w:t>
            </w:r>
          </w:p>
        </w:tc>
      </w:tr>
    </w:tbl>
    <w:p w14:paraId="4F4D4B53" w14:textId="25BE106B" w:rsidR="00532610" w:rsidRPr="000B0EE0" w:rsidRDefault="00532610" w:rsidP="00F6485F">
      <w:pPr>
        <w:pStyle w:val="Body"/>
        <w:tabs>
          <w:tab w:val="left" w:pos="6804"/>
        </w:tabs>
        <w:spacing w:after="0" w:line="240" w:lineRule="auto"/>
        <w:jc w:val="both"/>
        <w:rPr>
          <w:rFonts w:ascii="Times New Roman" w:hAnsi="Times New Roman"/>
          <w:color w:val="auto"/>
          <w:sz w:val="28"/>
        </w:rPr>
      </w:pPr>
    </w:p>
    <w:p w14:paraId="7843F015" w14:textId="77777777" w:rsidR="006647D2" w:rsidRPr="000B0EE0" w:rsidRDefault="006647D2" w:rsidP="00F6485F">
      <w:pPr>
        <w:shd w:val="clear" w:color="auto" w:fill="FFFFFF"/>
        <w:spacing w:after="0" w:line="240" w:lineRule="auto"/>
        <w:jc w:val="both"/>
        <w:rPr>
          <w:rFonts w:ascii="Times New Roman" w:hAnsi="Times New Roman"/>
          <w:bCs/>
          <w:sz w:val="28"/>
          <w:szCs w:val="28"/>
        </w:rPr>
      </w:pPr>
    </w:p>
    <w:p w14:paraId="500DEB5B" w14:textId="77777777" w:rsidR="004F766E" w:rsidRPr="000B0EE0" w:rsidRDefault="004F766E" w:rsidP="00846031">
      <w:pPr>
        <w:spacing w:after="0" w:line="240" w:lineRule="auto"/>
        <w:ind w:right="-1"/>
        <w:jc w:val="both"/>
        <w:rPr>
          <w:rFonts w:ascii="Times New Roman" w:eastAsia="Times New Roman" w:hAnsi="Times New Roman" w:cs="Times New Roman"/>
          <w:sz w:val="28"/>
          <w:szCs w:val="28"/>
        </w:rPr>
      </w:pPr>
    </w:p>
    <w:p w14:paraId="0F8ED5C7" w14:textId="77777777" w:rsidR="00F6485F" w:rsidRPr="000B0EE0" w:rsidRDefault="00F6485F" w:rsidP="00F6485F">
      <w:pPr>
        <w:pStyle w:val="Body"/>
        <w:tabs>
          <w:tab w:val="left" w:pos="6521"/>
        </w:tabs>
        <w:spacing w:after="0" w:line="240" w:lineRule="auto"/>
        <w:ind w:firstLine="709"/>
        <w:jc w:val="both"/>
        <w:rPr>
          <w:rFonts w:ascii="Times New Roman" w:hAnsi="Times New Roman"/>
          <w:color w:val="auto"/>
          <w:sz w:val="28"/>
          <w:lang w:val="de-DE"/>
        </w:rPr>
      </w:pPr>
      <w:r w:rsidRPr="000B0EE0">
        <w:rPr>
          <w:rFonts w:ascii="Times New Roman" w:hAnsi="Times New Roman"/>
          <w:color w:val="auto"/>
          <w:sz w:val="28"/>
          <w:lang w:val="de-DE"/>
        </w:rPr>
        <w:t>Ministru prezidents</w:t>
      </w:r>
      <w:r w:rsidRPr="000B0EE0">
        <w:rPr>
          <w:rFonts w:ascii="Times New Roman" w:hAnsi="Times New Roman"/>
          <w:color w:val="auto"/>
          <w:sz w:val="28"/>
          <w:lang w:val="de-DE"/>
        </w:rPr>
        <w:tab/>
      </w:r>
      <w:r w:rsidRPr="000B0EE0">
        <w:rPr>
          <w:rFonts w:ascii="Times New Roman" w:eastAsia="Calibri" w:hAnsi="Times New Roman"/>
          <w:color w:val="auto"/>
          <w:sz w:val="28"/>
          <w:lang w:val="de-DE"/>
        </w:rPr>
        <w:t>A. </w:t>
      </w:r>
      <w:r w:rsidRPr="000B0EE0">
        <w:rPr>
          <w:rFonts w:ascii="Times New Roman" w:hAnsi="Times New Roman"/>
          <w:color w:val="auto"/>
          <w:sz w:val="28"/>
          <w:lang w:val="de-DE"/>
        </w:rPr>
        <w:t>K. Kariņš</w:t>
      </w:r>
    </w:p>
    <w:p w14:paraId="75ABE56B" w14:textId="77777777" w:rsidR="00F6485F" w:rsidRPr="000B0EE0" w:rsidRDefault="00F6485F" w:rsidP="006B101E">
      <w:pPr>
        <w:pStyle w:val="Body"/>
        <w:spacing w:after="0" w:line="240" w:lineRule="auto"/>
        <w:ind w:firstLine="709"/>
        <w:jc w:val="both"/>
        <w:rPr>
          <w:rFonts w:ascii="Times New Roman" w:hAnsi="Times New Roman"/>
          <w:color w:val="auto"/>
          <w:sz w:val="28"/>
          <w:lang w:val="de-DE"/>
        </w:rPr>
      </w:pPr>
    </w:p>
    <w:p w14:paraId="5E8D2791" w14:textId="77777777" w:rsidR="00F6485F" w:rsidRPr="000B0EE0" w:rsidRDefault="00F6485F" w:rsidP="006B101E">
      <w:pPr>
        <w:pStyle w:val="Body"/>
        <w:spacing w:after="0" w:line="240" w:lineRule="auto"/>
        <w:ind w:firstLine="709"/>
        <w:jc w:val="both"/>
        <w:rPr>
          <w:rFonts w:ascii="Times New Roman" w:hAnsi="Times New Roman"/>
          <w:color w:val="auto"/>
          <w:sz w:val="28"/>
          <w:lang w:val="de-DE"/>
        </w:rPr>
      </w:pPr>
    </w:p>
    <w:p w14:paraId="6833BC84" w14:textId="77777777" w:rsidR="00F6485F" w:rsidRPr="000B0EE0" w:rsidRDefault="00F6485F" w:rsidP="006B101E">
      <w:pPr>
        <w:pStyle w:val="Body"/>
        <w:spacing w:after="0" w:line="240" w:lineRule="auto"/>
        <w:ind w:firstLine="709"/>
        <w:jc w:val="both"/>
        <w:rPr>
          <w:rFonts w:ascii="Times New Roman" w:hAnsi="Times New Roman"/>
          <w:color w:val="auto"/>
          <w:sz w:val="28"/>
          <w:lang w:val="de-DE"/>
        </w:rPr>
      </w:pPr>
    </w:p>
    <w:p w14:paraId="09D59A50" w14:textId="77777777" w:rsidR="00F6485F" w:rsidRPr="000B0EE0" w:rsidRDefault="00F6485F" w:rsidP="00F7624F">
      <w:pPr>
        <w:pStyle w:val="Body"/>
        <w:tabs>
          <w:tab w:val="left" w:pos="6521"/>
        </w:tabs>
        <w:spacing w:after="0" w:line="240" w:lineRule="auto"/>
        <w:ind w:firstLine="720"/>
        <w:jc w:val="both"/>
        <w:rPr>
          <w:rFonts w:ascii="Times New Roman" w:hAnsi="Times New Roman"/>
          <w:color w:val="auto"/>
          <w:sz w:val="28"/>
          <w:lang w:val="de-DE"/>
        </w:rPr>
      </w:pPr>
      <w:r w:rsidRPr="000B0EE0">
        <w:rPr>
          <w:rFonts w:ascii="Times New Roman" w:hAnsi="Times New Roman"/>
          <w:color w:val="auto"/>
          <w:sz w:val="28"/>
          <w:lang w:val="de-DE"/>
        </w:rPr>
        <w:t>Ekonomikas ministra</w:t>
      </w:r>
    </w:p>
    <w:p w14:paraId="628DAE86" w14:textId="77777777" w:rsidR="00F6485F" w:rsidRPr="000B0EE0" w:rsidRDefault="00F6485F" w:rsidP="00F7624F">
      <w:pPr>
        <w:pStyle w:val="Body"/>
        <w:tabs>
          <w:tab w:val="left" w:pos="6521"/>
        </w:tabs>
        <w:spacing w:after="0" w:line="240" w:lineRule="auto"/>
        <w:ind w:firstLine="720"/>
        <w:jc w:val="both"/>
        <w:rPr>
          <w:rFonts w:ascii="Times New Roman" w:hAnsi="Times New Roman"/>
          <w:color w:val="auto"/>
          <w:sz w:val="28"/>
          <w:lang w:val="de-DE"/>
        </w:rPr>
      </w:pPr>
      <w:r w:rsidRPr="000B0EE0">
        <w:rPr>
          <w:rFonts w:ascii="Times New Roman" w:hAnsi="Times New Roman"/>
          <w:color w:val="auto"/>
          <w:sz w:val="28"/>
          <w:lang w:val="de-DE"/>
        </w:rPr>
        <w:t>pienākumu izpildītājs,</w:t>
      </w:r>
    </w:p>
    <w:p w14:paraId="706D451C" w14:textId="77777777" w:rsidR="00F6485F" w:rsidRPr="000B0EE0" w:rsidRDefault="00F6485F" w:rsidP="00932D86">
      <w:pPr>
        <w:pStyle w:val="Body"/>
        <w:tabs>
          <w:tab w:val="left" w:pos="6521"/>
        </w:tabs>
        <w:spacing w:after="0" w:line="240" w:lineRule="auto"/>
        <w:ind w:firstLine="709"/>
        <w:jc w:val="both"/>
        <w:rPr>
          <w:rFonts w:ascii="Times New Roman" w:hAnsi="Times New Roman"/>
          <w:color w:val="auto"/>
          <w:sz w:val="28"/>
          <w:lang w:val="de-DE"/>
        </w:rPr>
      </w:pPr>
      <w:r w:rsidRPr="000B0EE0">
        <w:rPr>
          <w:rFonts w:ascii="Times New Roman" w:hAnsi="Times New Roman"/>
          <w:color w:val="auto"/>
          <w:sz w:val="28"/>
          <w:lang w:val="de-DE"/>
        </w:rPr>
        <w:t>iekšlietu ministrs</w:t>
      </w:r>
      <w:r w:rsidRPr="000B0EE0">
        <w:rPr>
          <w:rFonts w:ascii="Times New Roman" w:hAnsi="Times New Roman"/>
          <w:color w:val="auto"/>
          <w:sz w:val="28"/>
          <w:lang w:val="de-DE"/>
        </w:rPr>
        <w:tab/>
        <w:t>S. Ģirģens</w:t>
      </w:r>
    </w:p>
    <w:p w14:paraId="16ED3AA4" w14:textId="58D1F5F5" w:rsidR="00846031" w:rsidRPr="000B0EE0" w:rsidRDefault="00846031" w:rsidP="0008293E">
      <w:pPr>
        <w:spacing w:after="0" w:line="240" w:lineRule="auto"/>
        <w:jc w:val="both"/>
        <w:rPr>
          <w:rFonts w:ascii="Times New Roman" w:hAnsi="Times New Roman"/>
          <w:bCs/>
          <w:sz w:val="28"/>
          <w:szCs w:val="28"/>
        </w:rPr>
      </w:pPr>
    </w:p>
    <w:p w14:paraId="25EF5635" w14:textId="77777777" w:rsidR="00846031" w:rsidRPr="000B0EE0" w:rsidRDefault="00846031" w:rsidP="00846031">
      <w:pPr>
        <w:spacing w:after="0" w:line="240" w:lineRule="auto"/>
        <w:jc w:val="both"/>
        <w:rPr>
          <w:rFonts w:ascii="Times New Roman" w:hAnsi="Times New Roman"/>
          <w:b/>
          <w:bCs/>
          <w:sz w:val="28"/>
          <w:szCs w:val="28"/>
        </w:rPr>
      </w:pPr>
    </w:p>
    <w:sectPr w:rsidR="00846031" w:rsidRPr="000B0EE0" w:rsidSect="002A7EB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C638" w14:textId="77777777" w:rsidR="004D37F5" w:rsidRDefault="004D37F5" w:rsidP="004F766E">
      <w:pPr>
        <w:spacing w:after="0" w:line="240" w:lineRule="auto"/>
      </w:pPr>
      <w:r>
        <w:separator/>
      </w:r>
    </w:p>
  </w:endnote>
  <w:endnote w:type="continuationSeparator" w:id="0">
    <w:p w14:paraId="5BD84AC7" w14:textId="77777777" w:rsidR="004D37F5" w:rsidRDefault="004D37F5"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1535" w14:textId="605F5312" w:rsidR="00F6485F" w:rsidRPr="00F6485F" w:rsidRDefault="00F6485F">
    <w:pPr>
      <w:pStyle w:val="Footer"/>
      <w:rPr>
        <w:rFonts w:ascii="Times New Roman" w:hAnsi="Times New Roman"/>
        <w:sz w:val="16"/>
        <w:szCs w:val="16"/>
      </w:rPr>
    </w:pPr>
    <w:r w:rsidRPr="00F6485F">
      <w:rPr>
        <w:rFonts w:ascii="Times New Roman" w:hAnsi="Times New Roman"/>
        <w:sz w:val="16"/>
        <w:szCs w:val="16"/>
      </w:rPr>
      <w:t>N0481_0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2A03" w14:textId="4107F97E" w:rsidR="00F6485F" w:rsidRPr="00F6485F" w:rsidRDefault="00F6485F">
    <w:pPr>
      <w:pStyle w:val="Footer"/>
      <w:rPr>
        <w:rFonts w:ascii="Times New Roman" w:hAnsi="Times New Roman"/>
        <w:sz w:val="16"/>
        <w:szCs w:val="16"/>
      </w:rPr>
    </w:pPr>
    <w:r w:rsidRPr="00F6485F">
      <w:rPr>
        <w:rFonts w:ascii="Times New Roman" w:hAnsi="Times New Roman"/>
        <w:sz w:val="16"/>
        <w:szCs w:val="16"/>
      </w:rPr>
      <w:t>N0481_0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5B6B" w14:textId="77777777" w:rsidR="004D37F5" w:rsidRDefault="004D37F5" w:rsidP="004F766E">
      <w:pPr>
        <w:spacing w:after="0" w:line="240" w:lineRule="auto"/>
      </w:pPr>
      <w:r>
        <w:separator/>
      </w:r>
    </w:p>
  </w:footnote>
  <w:footnote w:type="continuationSeparator" w:id="0">
    <w:p w14:paraId="03838F11" w14:textId="77777777" w:rsidR="004D37F5" w:rsidRDefault="004D37F5"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21011099"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0B0EE0">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0915" w14:textId="77777777" w:rsidR="00F6485F" w:rsidRPr="00F6485F" w:rsidRDefault="00F6485F">
    <w:pPr>
      <w:pStyle w:val="Header"/>
      <w:rPr>
        <w:rFonts w:ascii="Times New Roman" w:hAnsi="Times New Roman"/>
      </w:rPr>
    </w:pPr>
  </w:p>
  <w:p w14:paraId="28E9023D" w14:textId="1CAC85C8" w:rsidR="0032379C" w:rsidRPr="00F6485F" w:rsidRDefault="00F6485F" w:rsidP="00F6485F">
    <w:pPr>
      <w:pStyle w:val="Header"/>
    </w:pPr>
    <w:r>
      <w:rPr>
        <w:noProof/>
      </w:rPr>
      <w:drawing>
        <wp:inline distT="0" distB="0" distL="0" distR="0" wp14:anchorId="0E460907" wp14:editId="2FD515A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D4A80"/>
    <w:multiLevelType w:val="hybridMultilevel"/>
    <w:tmpl w:val="6E427164"/>
    <w:lvl w:ilvl="0" w:tplc="59684E0A">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9B4830"/>
    <w:multiLevelType w:val="hybridMultilevel"/>
    <w:tmpl w:val="5658CC16"/>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5"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76E4C"/>
    <w:rsid w:val="00082447"/>
    <w:rsid w:val="0008293E"/>
    <w:rsid w:val="00083099"/>
    <w:rsid w:val="0009213C"/>
    <w:rsid w:val="000921AF"/>
    <w:rsid w:val="00094687"/>
    <w:rsid w:val="000A5D50"/>
    <w:rsid w:val="000A7736"/>
    <w:rsid w:val="000B0EE0"/>
    <w:rsid w:val="000C5C69"/>
    <w:rsid w:val="000D28AF"/>
    <w:rsid w:val="000D2CBA"/>
    <w:rsid w:val="000D619D"/>
    <w:rsid w:val="000D7379"/>
    <w:rsid w:val="000D7907"/>
    <w:rsid w:val="000E7975"/>
    <w:rsid w:val="000F14AF"/>
    <w:rsid w:val="000F2A92"/>
    <w:rsid w:val="000F2D53"/>
    <w:rsid w:val="0010356C"/>
    <w:rsid w:val="00103A02"/>
    <w:rsid w:val="00105774"/>
    <w:rsid w:val="001061D0"/>
    <w:rsid w:val="0010782D"/>
    <w:rsid w:val="001113EB"/>
    <w:rsid w:val="0011417D"/>
    <w:rsid w:val="00115EC6"/>
    <w:rsid w:val="00117057"/>
    <w:rsid w:val="001225BD"/>
    <w:rsid w:val="00124BB6"/>
    <w:rsid w:val="001343E9"/>
    <w:rsid w:val="0013774F"/>
    <w:rsid w:val="00144439"/>
    <w:rsid w:val="0014719F"/>
    <w:rsid w:val="00157D1C"/>
    <w:rsid w:val="00160F8F"/>
    <w:rsid w:val="0016320F"/>
    <w:rsid w:val="00172997"/>
    <w:rsid w:val="0017530E"/>
    <w:rsid w:val="00186BF4"/>
    <w:rsid w:val="00187684"/>
    <w:rsid w:val="001955A6"/>
    <w:rsid w:val="00197289"/>
    <w:rsid w:val="00197515"/>
    <w:rsid w:val="00197C5F"/>
    <w:rsid w:val="001A2FEE"/>
    <w:rsid w:val="001A36DA"/>
    <w:rsid w:val="001A3F2E"/>
    <w:rsid w:val="001A7F51"/>
    <w:rsid w:val="001B3927"/>
    <w:rsid w:val="001B4090"/>
    <w:rsid w:val="001B46C7"/>
    <w:rsid w:val="001B77C8"/>
    <w:rsid w:val="001C1335"/>
    <w:rsid w:val="001C696F"/>
    <w:rsid w:val="001C76EE"/>
    <w:rsid w:val="001D1AAC"/>
    <w:rsid w:val="001E103C"/>
    <w:rsid w:val="001E5BF8"/>
    <w:rsid w:val="002009B8"/>
    <w:rsid w:val="00203B95"/>
    <w:rsid w:val="00211A40"/>
    <w:rsid w:val="0021368A"/>
    <w:rsid w:val="00221C41"/>
    <w:rsid w:val="002269E6"/>
    <w:rsid w:val="00230537"/>
    <w:rsid w:val="002305AC"/>
    <w:rsid w:val="002318AC"/>
    <w:rsid w:val="00234759"/>
    <w:rsid w:val="00234F06"/>
    <w:rsid w:val="00240976"/>
    <w:rsid w:val="002418E0"/>
    <w:rsid w:val="00243370"/>
    <w:rsid w:val="00244696"/>
    <w:rsid w:val="00245269"/>
    <w:rsid w:val="002465E9"/>
    <w:rsid w:val="00255B38"/>
    <w:rsid w:val="00256B0E"/>
    <w:rsid w:val="002578C0"/>
    <w:rsid w:val="0026003A"/>
    <w:rsid w:val="00260817"/>
    <w:rsid w:val="00265514"/>
    <w:rsid w:val="00265BFB"/>
    <w:rsid w:val="00277EE3"/>
    <w:rsid w:val="00286160"/>
    <w:rsid w:val="00287A15"/>
    <w:rsid w:val="00287D8D"/>
    <w:rsid w:val="00291F2F"/>
    <w:rsid w:val="00292661"/>
    <w:rsid w:val="00292BDD"/>
    <w:rsid w:val="00294F09"/>
    <w:rsid w:val="0029738E"/>
    <w:rsid w:val="002A7EB8"/>
    <w:rsid w:val="002C07BD"/>
    <w:rsid w:val="002C1589"/>
    <w:rsid w:val="002D36ED"/>
    <w:rsid w:val="002E076B"/>
    <w:rsid w:val="002E08C7"/>
    <w:rsid w:val="002E0AE1"/>
    <w:rsid w:val="002E1807"/>
    <w:rsid w:val="002E6DE3"/>
    <w:rsid w:val="002F7436"/>
    <w:rsid w:val="00302002"/>
    <w:rsid w:val="00303E4C"/>
    <w:rsid w:val="003055A4"/>
    <w:rsid w:val="0030774E"/>
    <w:rsid w:val="00310313"/>
    <w:rsid w:val="00327794"/>
    <w:rsid w:val="003471E4"/>
    <w:rsid w:val="0035040B"/>
    <w:rsid w:val="0035544D"/>
    <w:rsid w:val="003619F3"/>
    <w:rsid w:val="0036332F"/>
    <w:rsid w:val="0036563E"/>
    <w:rsid w:val="00376D36"/>
    <w:rsid w:val="003806D4"/>
    <w:rsid w:val="00381594"/>
    <w:rsid w:val="003840E8"/>
    <w:rsid w:val="00385317"/>
    <w:rsid w:val="0039067E"/>
    <w:rsid w:val="0039449E"/>
    <w:rsid w:val="003B3CD1"/>
    <w:rsid w:val="003B5D8A"/>
    <w:rsid w:val="003B6AE1"/>
    <w:rsid w:val="003C0530"/>
    <w:rsid w:val="003C68EB"/>
    <w:rsid w:val="003D1FF4"/>
    <w:rsid w:val="003D3222"/>
    <w:rsid w:val="003D354E"/>
    <w:rsid w:val="003D69AD"/>
    <w:rsid w:val="003F10E0"/>
    <w:rsid w:val="003F54E6"/>
    <w:rsid w:val="00400F2E"/>
    <w:rsid w:val="0040629A"/>
    <w:rsid w:val="00416B8D"/>
    <w:rsid w:val="00417CD4"/>
    <w:rsid w:val="00425AF3"/>
    <w:rsid w:val="0042601F"/>
    <w:rsid w:val="004349DA"/>
    <w:rsid w:val="0043537B"/>
    <w:rsid w:val="00435412"/>
    <w:rsid w:val="00447924"/>
    <w:rsid w:val="004506D0"/>
    <w:rsid w:val="0045637A"/>
    <w:rsid w:val="00456B4A"/>
    <w:rsid w:val="004634AE"/>
    <w:rsid w:val="004761D8"/>
    <w:rsid w:val="00477A2C"/>
    <w:rsid w:val="004812AE"/>
    <w:rsid w:val="00483F41"/>
    <w:rsid w:val="00486F21"/>
    <w:rsid w:val="00496013"/>
    <w:rsid w:val="00497F87"/>
    <w:rsid w:val="004A5754"/>
    <w:rsid w:val="004B1479"/>
    <w:rsid w:val="004C3EB1"/>
    <w:rsid w:val="004C678E"/>
    <w:rsid w:val="004C6D79"/>
    <w:rsid w:val="004D014E"/>
    <w:rsid w:val="004D37F5"/>
    <w:rsid w:val="004F15B3"/>
    <w:rsid w:val="004F41E6"/>
    <w:rsid w:val="004F766E"/>
    <w:rsid w:val="00504922"/>
    <w:rsid w:val="00511D1F"/>
    <w:rsid w:val="00512158"/>
    <w:rsid w:val="005130D7"/>
    <w:rsid w:val="00513DED"/>
    <w:rsid w:val="00516C73"/>
    <w:rsid w:val="00520274"/>
    <w:rsid w:val="005208F7"/>
    <w:rsid w:val="00522629"/>
    <w:rsid w:val="0053039B"/>
    <w:rsid w:val="005324BE"/>
    <w:rsid w:val="00532610"/>
    <w:rsid w:val="00535BC7"/>
    <w:rsid w:val="005379BC"/>
    <w:rsid w:val="00541D03"/>
    <w:rsid w:val="00544947"/>
    <w:rsid w:val="00552650"/>
    <w:rsid w:val="00556EAB"/>
    <w:rsid w:val="00557BF0"/>
    <w:rsid w:val="00567E84"/>
    <w:rsid w:val="00573B5E"/>
    <w:rsid w:val="00586429"/>
    <w:rsid w:val="005877B4"/>
    <w:rsid w:val="005A26ED"/>
    <w:rsid w:val="005A2846"/>
    <w:rsid w:val="005A49A4"/>
    <w:rsid w:val="005B714E"/>
    <w:rsid w:val="005C3072"/>
    <w:rsid w:val="005C3A37"/>
    <w:rsid w:val="005C3A67"/>
    <w:rsid w:val="005C6A52"/>
    <w:rsid w:val="005F1467"/>
    <w:rsid w:val="005F147F"/>
    <w:rsid w:val="00600508"/>
    <w:rsid w:val="0060081D"/>
    <w:rsid w:val="00602891"/>
    <w:rsid w:val="00604851"/>
    <w:rsid w:val="006055AE"/>
    <w:rsid w:val="006103AF"/>
    <w:rsid w:val="00613601"/>
    <w:rsid w:val="0062005F"/>
    <w:rsid w:val="00623597"/>
    <w:rsid w:val="00630802"/>
    <w:rsid w:val="00636A9A"/>
    <w:rsid w:val="006374A5"/>
    <w:rsid w:val="00637FE1"/>
    <w:rsid w:val="006437F8"/>
    <w:rsid w:val="00646437"/>
    <w:rsid w:val="00646EB5"/>
    <w:rsid w:val="00653A66"/>
    <w:rsid w:val="006647D2"/>
    <w:rsid w:val="006673FC"/>
    <w:rsid w:val="006759F5"/>
    <w:rsid w:val="0068486E"/>
    <w:rsid w:val="00687AE8"/>
    <w:rsid w:val="00687F04"/>
    <w:rsid w:val="00691DB3"/>
    <w:rsid w:val="00692308"/>
    <w:rsid w:val="006A66E6"/>
    <w:rsid w:val="006B22EE"/>
    <w:rsid w:val="006B245D"/>
    <w:rsid w:val="006E4F2D"/>
    <w:rsid w:val="006F1D7D"/>
    <w:rsid w:val="006F62BE"/>
    <w:rsid w:val="00700344"/>
    <w:rsid w:val="00702FFD"/>
    <w:rsid w:val="007145C8"/>
    <w:rsid w:val="00715E7B"/>
    <w:rsid w:val="00720ABA"/>
    <w:rsid w:val="007353F6"/>
    <w:rsid w:val="007365E7"/>
    <w:rsid w:val="00742A7F"/>
    <w:rsid w:val="00744D2D"/>
    <w:rsid w:val="00746D26"/>
    <w:rsid w:val="00760E8A"/>
    <w:rsid w:val="007612D3"/>
    <w:rsid w:val="00765178"/>
    <w:rsid w:val="00765DD8"/>
    <w:rsid w:val="00767273"/>
    <w:rsid w:val="007848B7"/>
    <w:rsid w:val="00790F96"/>
    <w:rsid w:val="00795B68"/>
    <w:rsid w:val="00795E63"/>
    <w:rsid w:val="007976AC"/>
    <w:rsid w:val="007A454F"/>
    <w:rsid w:val="007A6C8A"/>
    <w:rsid w:val="007B0E71"/>
    <w:rsid w:val="007B4F45"/>
    <w:rsid w:val="007C67A7"/>
    <w:rsid w:val="007E71F7"/>
    <w:rsid w:val="007F277B"/>
    <w:rsid w:val="007F3D53"/>
    <w:rsid w:val="00800D38"/>
    <w:rsid w:val="0080746D"/>
    <w:rsid w:val="00812189"/>
    <w:rsid w:val="00821ED8"/>
    <w:rsid w:val="008237AD"/>
    <w:rsid w:val="00824396"/>
    <w:rsid w:val="00824A68"/>
    <w:rsid w:val="00827683"/>
    <w:rsid w:val="00836912"/>
    <w:rsid w:val="00842A37"/>
    <w:rsid w:val="00846031"/>
    <w:rsid w:val="00846BA0"/>
    <w:rsid w:val="008525B4"/>
    <w:rsid w:val="008527CB"/>
    <w:rsid w:val="00853CE9"/>
    <w:rsid w:val="00854BE2"/>
    <w:rsid w:val="0086199A"/>
    <w:rsid w:val="00863504"/>
    <w:rsid w:val="00863652"/>
    <w:rsid w:val="00864C46"/>
    <w:rsid w:val="008674CE"/>
    <w:rsid w:val="00886DA8"/>
    <w:rsid w:val="00891483"/>
    <w:rsid w:val="008A0AEF"/>
    <w:rsid w:val="008A48BE"/>
    <w:rsid w:val="008B1070"/>
    <w:rsid w:val="008B12D5"/>
    <w:rsid w:val="008B65EB"/>
    <w:rsid w:val="008C337B"/>
    <w:rsid w:val="008C3C54"/>
    <w:rsid w:val="008C6C47"/>
    <w:rsid w:val="008D20F5"/>
    <w:rsid w:val="008D67C1"/>
    <w:rsid w:val="008E152B"/>
    <w:rsid w:val="008E38CB"/>
    <w:rsid w:val="008E4481"/>
    <w:rsid w:val="008F4D19"/>
    <w:rsid w:val="008F507F"/>
    <w:rsid w:val="008F6B99"/>
    <w:rsid w:val="00900E7F"/>
    <w:rsid w:val="009024CB"/>
    <w:rsid w:val="00917B2C"/>
    <w:rsid w:val="00923C11"/>
    <w:rsid w:val="009241E4"/>
    <w:rsid w:val="00924935"/>
    <w:rsid w:val="00930829"/>
    <w:rsid w:val="00933376"/>
    <w:rsid w:val="00937199"/>
    <w:rsid w:val="00944429"/>
    <w:rsid w:val="00944FB9"/>
    <w:rsid w:val="00953737"/>
    <w:rsid w:val="0097081E"/>
    <w:rsid w:val="0097317E"/>
    <w:rsid w:val="00974403"/>
    <w:rsid w:val="00975CBB"/>
    <w:rsid w:val="0098128F"/>
    <w:rsid w:val="009841B3"/>
    <w:rsid w:val="00990AE3"/>
    <w:rsid w:val="0099445F"/>
    <w:rsid w:val="009954D6"/>
    <w:rsid w:val="009A330F"/>
    <w:rsid w:val="009A5BEE"/>
    <w:rsid w:val="009C4BF0"/>
    <w:rsid w:val="009C531B"/>
    <w:rsid w:val="009C71CC"/>
    <w:rsid w:val="009E0756"/>
    <w:rsid w:val="009E5F3B"/>
    <w:rsid w:val="009F7598"/>
    <w:rsid w:val="00A12B33"/>
    <w:rsid w:val="00A175D9"/>
    <w:rsid w:val="00A21265"/>
    <w:rsid w:val="00A214FF"/>
    <w:rsid w:val="00A2564E"/>
    <w:rsid w:val="00A464FE"/>
    <w:rsid w:val="00A47670"/>
    <w:rsid w:val="00A543F7"/>
    <w:rsid w:val="00A5675D"/>
    <w:rsid w:val="00A7564F"/>
    <w:rsid w:val="00A8007F"/>
    <w:rsid w:val="00A860FE"/>
    <w:rsid w:val="00A9320A"/>
    <w:rsid w:val="00A95065"/>
    <w:rsid w:val="00A95CA6"/>
    <w:rsid w:val="00AA1AE6"/>
    <w:rsid w:val="00AA46DA"/>
    <w:rsid w:val="00AA4E3D"/>
    <w:rsid w:val="00AB4C23"/>
    <w:rsid w:val="00AB679F"/>
    <w:rsid w:val="00AC4B5A"/>
    <w:rsid w:val="00AD1A1C"/>
    <w:rsid w:val="00AE1078"/>
    <w:rsid w:val="00AE7938"/>
    <w:rsid w:val="00AF57DF"/>
    <w:rsid w:val="00B01351"/>
    <w:rsid w:val="00B17F2E"/>
    <w:rsid w:val="00B2488E"/>
    <w:rsid w:val="00B40940"/>
    <w:rsid w:val="00B43169"/>
    <w:rsid w:val="00B45CC1"/>
    <w:rsid w:val="00B50CFE"/>
    <w:rsid w:val="00B524DA"/>
    <w:rsid w:val="00B52DA3"/>
    <w:rsid w:val="00B53F94"/>
    <w:rsid w:val="00B61435"/>
    <w:rsid w:val="00B6239A"/>
    <w:rsid w:val="00B66628"/>
    <w:rsid w:val="00B77040"/>
    <w:rsid w:val="00B80B5A"/>
    <w:rsid w:val="00B87F05"/>
    <w:rsid w:val="00B932E4"/>
    <w:rsid w:val="00B956A8"/>
    <w:rsid w:val="00BA20FD"/>
    <w:rsid w:val="00BA34A9"/>
    <w:rsid w:val="00BA409D"/>
    <w:rsid w:val="00BA4B4F"/>
    <w:rsid w:val="00BA65BE"/>
    <w:rsid w:val="00BB258B"/>
    <w:rsid w:val="00BB6848"/>
    <w:rsid w:val="00BB7F26"/>
    <w:rsid w:val="00BC274E"/>
    <w:rsid w:val="00BC455A"/>
    <w:rsid w:val="00BC6BF8"/>
    <w:rsid w:val="00BE423E"/>
    <w:rsid w:val="00BE7B2A"/>
    <w:rsid w:val="00BF4912"/>
    <w:rsid w:val="00BF52C8"/>
    <w:rsid w:val="00BF634B"/>
    <w:rsid w:val="00C04805"/>
    <w:rsid w:val="00C063D2"/>
    <w:rsid w:val="00C138A2"/>
    <w:rsid w:val="00C14272"/>
    <w:rsid w:val="00C16FA7"/>
    <w:rsid w:val="00C2467E"/>
    <w:rsid w:val="00C30328"/>
    <w:rsid w:val="00C30C31"/>
    <w:rsid w:val="00C326E5"/>
    <w:rsid w:val="00C37A85"/>
    <w:rsid w:val="00C5012B"/>
    <w:rsid w:val="00C533CB"/>
    <w:rsid w:val="00C54655"/>
    <w:rsid w:val="00C632BA"/>
    <w:rsid w:val="00C64920"/>
    <w:rsid w:val="00C708AE"/>
    <w:rsid w:val="00C74A86"/>
    <w:rsid w:val="00C76812"/>
    <w:rsid w:val="00C7719A"/>
    <w:rsid w:val="00C86A35"/>
    <w:rsid w:val="00C86BCB"/>
    <w:rsid w:val="00C90977"/>
    <w:rsid w:val="00CA2CD2"/>
    <w:rsid w:val="00CB02B7"/>
    <w:rsid w:val="00CB0E1D"/>
    <w:rsid w:val="00CB1877"/>
    <w:rsid w:val="00CB270B"/>
    <w:rsid w:val="00CB317B"/>
    <w:rsid w:val="00CC576B"/>
    <w:rsid w:val="00CD08CB"/>
    <w:rsid w:val="00CD46E2"/>
    <w:rsid w:val="00CE24EC"/>
    <w:rsid w:val="00CF102B"/>
    <w:rsid w:val="00CF17F7"/>
    <w:rsid w:val="00CF49E6"/>
    <w:rsid w:val="00CF513A"/>
    <w:rsid w:val="00CF544B"/>
    <w:rsid w:val="00CF6DD4"/>
    <w:rsid w:val="00D11FE5"/>
    <w:rsid w:val="00D12BFE"/>
    <w:rsid w:val="00D14420"/>
    <w:rsid w:val="00D1683D"/>
    <w:rsid w:val="00D215F0"/>
    <w:rsid w:val="00D21946"/>
    <w:rsid w:val="00D32C6E"/>
    <w:rsid w:val="00D41292"/>
    <w:rsid w:val="00D46E36"/>
    <w:rsid w:val="00D51482"/>
    <w:rsid w:val="00D538AB"/>
    <w:rsid w:val="00D562DB"/>
    <w:rsid w:val="00D61451"/>
    <w:rsid w:val="00D631CE"/>
    <w:rsid w:val="00D72835"/>
    <w:rsid w:val="00D72ADC"/>
    <w:rsid w:val="00D75EAC"/>
    <w:rsid w:val="00D80731"/>
    <w:rsid w:val="00D82D70"/>
    <w:rsid w:val="00D95593"/>
    <w:rsid w:val="00D95EB9"/>
    <w:rsid w:val="00DA0201"/>
    <w:rsid w:val="00DA2A20"/>
    <w:rsid w:val="00DA3A42"/>
    <w:rsid w:val="00DA4135"/>
    <w:rsid w:val="00DA4185"/>
    <w:rsid w:val="00DB0EA0"/>
    <w:rsid w:val="00DB14EC"/>
    <w:rsid w:val="00DB14FB"/>
    <w:rsid w:val="00DB54CF"/>
    <w:rsid w:val="00DB5F95"/>
    <w:rsid w:val="00DB7508"/>
    <w:rsid w:val="00DC02D2"/>
    <w:rsid w:val="00DC11C3"/>
    <w:rsid w:val="00DC6ADC"/>
    <w:rsid w:val="00DC6CD3"/>
    <w:rsid w:val="00DD39AD"/>
    <w:rsid w:val="00DE384F"/>
    <w:rsid w:val="00DE7CB8"/>
    <w:rsid w:val="00DF4676"/>
    <w:rsid w:val="00E06C0F"/>
    <w:rsid w:val="00E12E27"/>
    <w:rsid w:val="00E13DD1"/>
    <w:rsid w:val="00E166F1"/>
    <w:rsid w:val="00E22654"/>
    <w:rsid w:val="00E2552A"/>
    <w:rsid w:val="00E276AA"/>
    <w:rsid w:val="00E356CC"/>
    <w:rsid w:val="00E37D49"/>
    <w:rsid w:val="00E37FA3"/>
    <w:rsid w:val="00E415DF"/>
    <w:rsid w:val="00E4647F"/>
    <w:rsid w:val="00E469F6"/>
    <w:rsid w:val="00E46AEF"/>
    <w:rsid w:val="00E57247"/>
    <w:rsid w:val="00E64FD8"/>
    <w:rsid w:val="00E660AC"/>
    <w:rsid w:val="00E7044B"/>
    <w:rsid w:val="00E773E6"/>
    <w:rsid w:val="00E87EB1"/>
    <w:rsid w:val="00E87F25"/>
    <w:rsid w:val="00E91BC4"/>
    <w:rsid w:val="00EA15F5"/>
    <w:rsid w:val="00EA24F4"/>
    <w:rsid w:val="00EA6FEE"/>
    <w:rsid w:val="00EB0F7A"/>
    <w:rsid w:val="00EB2AAA"/>
    <w:rsid w:val="00EB448A"/>
    <w:rsid w:val="00EC14DA"/>
    <w:rsid w:val="00EC1981"/>
    <w:rsid w:val="00EC4934"/>
    <w:rsid w:val="00EC55E0"/>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2739"/>
    <w:rsid w:val="00F131B5"/>
    <w:rsid w:val="00F136A9"/>
    <w:rsid w:val="00F14EED"/>
    <w:rsid w:val="00F15ABE"/>
    <w:rsid w:val="00F17AF9"/>
    <w:rsid w:val="00F20514"/>
    <w:rsid w:val="00F21007"/>
    <w:rsid w:val="00F21206"/>
    <w:rsid w:val="00F27D83"/>
    <w:rsid w:val="00F3280A"/>
    <w:rsid w:val="00F34C4C"/>
    <w:rsid w:val="00F42104"/>
    <w:rsid w:val="00F43F89"/>
    <w:rsid w:val="00F55DA5"/>
    <w:rsid w:val="00F57FCF"/>
    <w:rsid w:val="00F608F9"/>
    <w:rsid w:val="00F6485F"/>
    <w:rsid w:val="00F74547"/>
    <w:rsid w:val="00F77A95"/>
    <w:rsid w:val="00F81C6A"/>
    <w:rsid w:val="00F94AD8"/>
    <w:rsid w:val="00FA0993"/>
    <w:rsid w:val="00FA57CB"/>
    <w:rsid w:val="00FB0697"/>
    <w:rsid w:val="00FB3E4D"/>
    <w:rsid w:val="00FB5CD9"/>
    <w:rsid w:val="00FB68F3"/>
    <w:rsid w:val="00FC115F"/>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Body">
    <w:name w:val="Body"/>
    <w:rsid w:val="0053261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68467977">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886718035">
      <w:bodyDiv w:val="1"/>
      <w:marLeft w:val="0"/>
      <w:marRight w:val="0"/>
      <w:marTop w:val="0"/>
      <w:marBottom w:val="0"/>
      <w:divBdr>
        <w:top w:val="none" w:sz="0" w:space="0" w:color="auto"/>
        <w:left w:val="none" w:sz="0" w:space="0" w:color="auto"/>
        <w:bottom w:val="none" w:sz="0" w:space="0" w:color="auto"/>
        <w:right w:val="none" w:sz="0" w:space="0" w:color="auto"/>
      </w:divBdr>
    </w:div>
    <w:div w:id="1902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3DCE-A6DC-463D-B207-1E19A548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2756</Words>
  <Characters>1572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2017.gada 25.aprīļa noteikumos Nr. 221 “Noteikumi par kārtību, kādā tiek veiktas iemaksas energoefektivitātes fondos, un to apmēru, kā arī energoefektivitātes fonda līdzekļu izmantošanu”</vt:lpstr>
    </vt:vector>
  </TitlesOfParts>
  <Company>Ekonomikas ministrija</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25.aprīļa noteikumos Nr. 221 “Noteikumi par kārtību, kādā tiek veiktas iemaksas energoefektivitātes fondos, un to apmēru, kā arī energoefektivitātes fonda līdzekļu izmantošanu”</dc:title>
  <dc:subject>MK noteikumu projekts</dc:subject>
  <dc:creator>Evelīna Matisone</dc:creator>
  <cp:keywords/>
  <dc:description>67013241; evelina.matisone@em.gov.lv</dc:description>
  <cp:lastModifiedBy>Jekaterina Borovika</cp:lastModifiedBy>
  <cp:revision>8</cp:revision>
  <cp:lastPrinted>2020-03-24T14:23:00Z</cp:lastPrinted>
  <dcterms:created xsi:type="dcterms:W3CDTF">2020-03-24T07:14:00Z</dcterms:created>
  <dcterms:modified xsi:type="dcterms:W3CDTF">2020-03-25T06:54:00Z</dcterms:modified>
</cp:coreProperties>
</file>