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A9" w:rsidRPr="00FA0759" w:rsidRDefault="000437CF" w:rsidP="005E41BF">
      <w:pPr>
        <w:pStyle w:val="Heading3"/>
        <w:shd w:val="clear" w:color="auto" w:fill="FFFFFF"/>
        <w:jc w:val="center"/>
        <w:rPr>
          <w:color w:val="000000" w:themeColor="text1"/>
          <w:sz w:val="24"/>
          <w:szCs w:val="24"/>
          <w:lang w:val="lv-LV" w:eastAsia="lv-LV"/>
        </w:rPr>
      </w:pPr>
      <w:bookmarkStart w:id="0" w:name="_GoBack"/>
      <w:bookmarkEnd w:id="0"/>
      <w:r w:rsidRPr="00FA0759">
        <w:rPr>
          <w:color w:val="000000" w:themeColor="text1"/>
          <w:sz w:val="24"/>
          <w:szCs w:val="24"/>
          <w:lang w:val="lv-LV" w:eastAsia="lv-LV"/>
        </w:rPr>
        <w:t xml:space="preserve">Likumprojekta </w:t>
      </w:r>
      <w:r w:rsidR="00F37099" w:rsidRPr="00FA0759">
        <w:rPr>
          <w:color w:val="000000" w:themeColor="text1"/>
          <w:sz w:val="24"/>
          <w:szCs w:val="24"/>
          <w:lang w:val="lv-LV" w:eastAsia="lv-LV"/>
        </w:rPr>
        <w:t>"</w:t>
      </w:r>
      <w:r w:rsidR="005E41BF" w:rsidRPr="00FA0759">
        <w:rPr>
          <w:color w:val="000000" w:themeColor="text1"/>
          <w:sz w:val="24"/>
          <w:szCs w:val="24"/>
          <w:lang w:val="lv-LV" w:eastAsia="lv-LV"/>
        </w:rPr>
        <w:t xml:space="preserve">Grozījumi </w:t>
      </w:r>
      <w:r w:rsidR="00FA0759" w:rsidRPr="00FA0759">
        <w:rPr>
          <w:color w:val="000000" w:themeColor="text1"/>
          <w:sz w:val="24"/>
          <w:szCs w:val="24"/>
          <w:lang w:val="lv-LV" w:eastAsia="lv-LV"/>
        </w:rPr>
        <w:t>Finanšu instrumentu tirgus likumā</w:t>
      </w:r>
      <w:r w:rsidR="00F37099" w:rsidRPr="00FA0759">
        <w:rPr>
          <w:color w:val="000000" w:themeColor="text1"/>
          <w:sz w:val="24"/>
          <w:szCs w:val="24"/>
          <w:lang w:val="lv-LV" w:eastAsia="lv-LV"/>
        </w:rPr>
        <w:t>"</w:t>
      </w:r>
      <w:r w:rsidR="004D15A9" w:rsidRPr="00FA0759">
        <w:rPr>
          <w:color w:val="000000" w:themeColor="text1"/>
          <w:sz w:val="24"/>
          <w:szCs w:val="24"/>
          <w:lang w:val="lv-LV" w:eastAsia="lv-LV"/>
        </w:rPr>
        <w:t xml:space="preserve"> sākotnējās ietekmes novērtējuma ziņojums (anotācija)</w:t>
      </w:r>
    </w:p>
    <w:p w:rsidR="00DA596D" w:rsidRPr="00FA0759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FA0759" w:rsidRPr="00FA0759" w:rsidTr="00F13E2B">
        <w:trPr>
          <w:cantSplit/>
        </w:trPr>
        <w:tc>
          <w:tcPr>
            <w:tcW w:w="9061" w:type="dxa"/>
            <w:gridSpan w:val="2"/>
            <w:shd w:val="clear" w:color="auto" w:fill="FFFFFF" w:themeFill="background1"/>
            <w:vAlign w:val="center"/>
            <w:hideMark/>
          </w:tcPr>
          <w:p w:rsidR="00A1552F" w:rsidRPr="00FA0759" w:rsidRDefault="00A1552F" w:rsidP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color w:val="000000" w:themeColor="text1"/>
                <w:sz w:val="19"/>
                <w:szCs w:val="19"/>
              </w:rPr>
            </w:pPr>
            <w:r w:rsidRPr="00FA0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A0759" w:rsidRPr="00531630" w:rsidTr="00BE7606">
        <w:trPr>
          <w:cantSplit/>
          <w:trHeight w:val="3197"/>
        </w:trPr>
        <w:tc>
          <w:tcPr>
            <w:tcW w:w="3256" w:type="dxa"/>
            <w:shd w:val="clear" w:color="auto" w:fill="FFFFFF" w:themeFill="background1"/>
            <w:hideMark/>
          </w:tcPr>
          <w:p w:rsidR="00A1552F" w:rsidRPr="00531630" w:rsidRDefault="00A1552F" w:rsidP="004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5805" w:type="dxa"/>
            <w:shd w:val="clear" w:color="auto" w:fill="FFFFFF" w:themeFill="background1"/>
            <w:hideMark/>
          </w:tcPr>
          <w:p w:rsidR="006B274B" w:rsidRPr="00531630" w:rsidRDefault="00FA0759" w:rsidP="006B274B">
            <w:pPr>
              <w:pStyle w:val="doc-ti2"/>
              <w:spacing w:before="0" w:after="0" w:line="240" w:lineRule="auto"/>
              <w:jc w:val="both"/>
              <w:rPr>
                <w:rFonts w:eastAsiaTheme="minorEastAsia"/>
                <w:b w:val="0"/>
                <w:bCs w:val="0"/>
                <w:lang w:eastAsia="en-US"/>
              </w:rPr>
            </w:pPr>
            <w:bookmarkStart w:id="1" w:name="_Hlk528306371"/>
            <w:r w:rsidRPr="00531630">
              <w:rPr>
                <w:b w:val="0"/>
                <w:bCs w:val="0"/>
              </w:rPr>
              <w:t xml:space="preserve">Likumprojekta "Grozījumi Finanšu instrumentu tirgus likumā" (turpmāk – projekts) mērķis ir </w:t>
            </w:r>
            <w:r w:rsidRPr="00531630">
              <w:rPr>
                <w:rFonts w:eastAsiaTheme="minorEastAsia"/>
                <w:b w:val="0"/>
                <w:bCs w:val="0"/>
                <w:lang w:eastAsia="en-US"/>
              </w:rPr>
              <w:t xml:space="preserve">pārskatīt un padarīt tiesību normu piemērotājiem saprotamāku šobrīd Finanšu instrumentu tirgus likumā (turpmāk – FITL) esošo regulējumu par akciju atpirkšanas piedāvājumiem (turpmāk – piedāvājums) un novērst neatbilstības Eiropas Parlamenta un Padomes 21.04.2004. direktīvai 2004/25/EK par pārņemšanas piedāvājumiem (turpmāk – Pārņemšanas direktīva). Projekts </w:t>
            </w:r>
            <w:r w:rsidR="0010018A" w:rsidRPr="00531630">
              <w:rPr>
                <w:rFonts w:eastAsiaTheme="minorEastAsia"/>
                <w:b w:val="0"/>
                <w:bCs w:val="0"/>
                <w:lang w:eastAsia="en-US"/>
              </w:rPr>
              <w:t xml:space="preserve">paredz </w:t>
            </w:r>
            <w:r w:rsidRPr="00531630">
              <w:rPr>
                <w:rFonts w:eastAsiaTheme="minorEastAsia"/>
                <w:b w:val="0"/>
                <w:bCs w:val="0"/>
                <w:lang w:eastAsia="en-US"/>
              </w:rPr>
              <w:t>pi</w:t>
            </w:r>
            <w:r w:rsidR="00BC3000" w:rsidRPr="00531630">
              <w:rPr>
                <w:rFonts w:eastAsiaTheme="minorEastAsia"/>
                <w:b w:val="0"/>
                <w:bCs w:val="0"/>
                <w:lang w:eastAsia="en-US"/>
              </w:rPr>
              <w:t>edāvājumu regulējumu nodalīt atsevišķā likumā</w:t>
            </w:r>
            <w:r w:rsidR="0010018A" w:rsidRPr="00531630">
              <w:rPr>
                <w:rFonts w:eastAsiaTheme="minorEastAsia"/>
                <w:b w:val="0"/>
                <w:bCs w:val="0"/>
                <w:lang w:eastAsia="en-US"/>
              </w:rPr>
              <w:t>, paredzot FITL tehniskas izmaiņas.</w:t>
            </w:r>
            <w:r w:rsidR="00BC3000" w:rsidRPr="00531630">
              <w:rPr>
                <w:rFonts w:eastAsiaTheme="minorEastAsia"/>
                <w:b w:val="0"/>
                <w:bCs w:val="0"/>
                <w:lang w:eastAsia="en-US"/>
              </w:rPr>
              <w:t xml:space="preserve"> </w:t>
            </w:r>
          </w:p>
          <w:p w:rsidR="00F37099" w:rsidRPr="00531630" w:rsidRDefault="006B274B" w:rsidP="006B274B">
            <w:pPr>
              <w:pStyle w:val="doc-ti2"/>
              <w:spacing w:before="0" w:after="0" w:line="240" w:lineRule="auto"/>
              <w:jc w:val="both"/>
              <w:rPr>
                <w:rFonts w:eastAsiaTheme="minorEastAsia"/>
                <w:b w:val="0"/>
                <w:bCs w:val="0"/>
                <w:lang w:eastAsia="en-US"/>
              </w:rPr>
            </w:pPr>
            <w:r w:rsidRPr="00531630">
              <w:rPr>
                <w:rFonts w:eastAsiaTheme="minorEastAsia"/>
                <w:b w:val="0"/>
                <w:bCs w:val="0"/>
                <w:lang w:eastAsia="en-US"/>
              </w:rPr>
              <w:t>Likumprojekts</w:t>
            </w:r>
            <w:r w:rsidR="00FA0759" w:rsidRPr="00531630">
              <w:rPr>
                <w:rFonts w:eastAsiaTheme="minorEastAsia"/>
                <w:b w:val="0"/>
                <w:bCs w:val="0"/>
                <w:lang w:eastAsia="en-US"/>
              </w:rPr>
              <w:t xml:space="preserve"> stāsies spēkā 2021. gad</w:t>
            </w:r>
            <w:bookmarkEnd w:id="1"/>
            <w:r w:rsidR="00FA0759" w:rsidRPr="00531630">
              <w:rPr>
                <w:rFonts w:eastAsiaTheme="minorEastAsia"/>
                <w:b w:val="0"/>
                <w:bCs w:val="0"/>
                <w:lang w:eastAsia="en-US"/>
              </w:rPr>
              <w:t>a 1. janvārī.</w:t>
            </w:r>
          </w:p>
        </w:tc>
      </w:tr>
    </w:tbl>
    <w:p w:rsidR="00A1552F" w:rsidRPr="00531630" w:rsidRDefault="00A1552F" w:rsidP="006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902"/>
        <w:gridCol w:w="5798"/>
      </w:tblGrid>
      <w:tr w:rsidR="00FA0759" w:rsidRPr="00531630" w:rsidTr="00F13E2B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531630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A0759" w:rsidRPr="00531630" w:rsidTr="00F13E2B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31630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31630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31630" w:rsidRDefault="00EB6DB3" w:rsidP="00FA0759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lv-LV"/>
              </w:rPr>
            </w:pPr>
            <w:r w:rsidRPr="00531630">
              <w:rPr>
                <w:shd w:val="clear" w:color="auto" w:fill="FFFFFF"/>
                <w:lang w:val="lv-LV"/>
              </w:rPr>
              <w:t xml:space="preserve">Likumprojekts ir izstrādāts pēc Finanšu ministrijas un Finanšu un kapitāla tirgus komisijas (turpmāk – FKTK) iniciatīvas atbilstoši </w:t>
            </w:r>
            <w:r w:rsidRPr="00531630">
              <w:rPr>
                <w:lang w:val="lv-LV"/>
              </w:rPr>
              <w:t xml:space="preserve">Ministru kabineta 28.02.2017. sēdē izskatītā un ar Ministru kabineta 21.03.2017. rīkojumu Nr. 126 apstiprinātā </w:t>
            </w:r>
            <w:r w:rsidRPr="00531630">
              <w:rPr>
                <w:bdr w:val="none" w:sz="0" w:space="0" w:color="auto" w:frame="1"/>
                <w:lang w:val="lv-LV"/>
              </w:rPr>
              <w:t>Finanšu sektora attīstības plāna 2017.-2019. gadam</w:t>
            </w:r>
            <w:r w:rsidRPr="00531630">
              <w:rPr>
                <w:lang w:val="lv-LV"/>
              </w:rPr>
              <w:t xml:space="preserve"> 3.3.5. punktam, kas paredz mazākuma akcionāru tiesību aizsardzības pilnveidošanu.</w:t>
            </w:r>
          </w:p>
        </w:tc>
      </w:tr>
      <w:tr w:rsidR="00FA0759" w:rsidRPr="00FA0759" w:rsidTr="005E41BF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4F184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BB1D44" w:rsidRDefault="004D15A9" w:rsidP="00BB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A191F" w:rsidRPr="004F1843" w:rsidRDefault="00996A25" w:rsidP="002F4C6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FITL D sadaļas V nodaļā regulēts jautājums par piedāvājumiem un galīgo akciju atpirkšanu sabiedrībās, kuru akcijas iekļautas regulētajā tirgū (turpmāk – sabiedrība). Minētais regulējums balstās uz Pārņem</w:t>
            </w:r>
            <w:r w:rsidR="006D625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šanas direktīvu. </w:t>
            </w:r>
            <w:r w:rsidR="00BE7606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Praksē konstatētas vairākas </w:t>
            </w:r>
            <w:r w:rsidR="006D77B5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FITL esošā regulējuma neatbilstīb</w:t>
            </w:r>
            <w:r w:rsidR="00AB5710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6D77B5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50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Pārņemšanas direkt</w:t>
            </w:r>
            <w:r w:rsidR="00E44AA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īvai</w:t>
            </w:r>
            <w:r w:rsidR="006D625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B50747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citas nepilnības. </w:t>
            </w:r>
            <w:r w:rsidR="00DE1A7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="00972B72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piemērošanu </w:t>
            </w:r>
            <w:r w:rsidR="00E44AA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praksē </w:t>
            </w:r>
            <w:r w:rsidR="00972B72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apgrūtina arī tas, ka </w:t>
            </w:r>
            <w:r w:rsidR="0010018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regulējums par piedāvājumiem un galīgo akciju atpirkšanu ir iekļauts FITL, kas regulē </w:t>
            </w:r>
            <w:r w:rsidR="00E44AA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ļoti</w:t>
            </w:r>
            <w:r w:rsidR="0010018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plašu jautājumu loku.</w:t>
            </w:r>
          </w:p>
          <w:p w:rsidR="00FE3BB9" w:rsidRPr="004F1843" w:rsidRDefault="00B50747" w:rsidP="006D77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Pārskato</w:t>
            </w:r>
            <w:r w:rsidR="006667D7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FITL iekļauto regulējumu par piedāvājumiem un galīgo akciju atpirkšanu, konstatēta lietderība šo regulējumu nodalīt atsevišķā likumā. </w:t>
            </w:r>
            <w:r w:rsidR="005F4FE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</w:t>
            </w:r>
            <w:r w:rsidR="006667D7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attiecīgi </w:t>
            </w:r>
            <w:r w:rsidR="005F4FE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paredz izslēgt </w:t>
            </w:r>
            <w:r w:rsidR="004C150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normas, kas saistītas ar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7AF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piedāvājumiem un galīgo akciju atpirkšanu</w:t>
            </w:r>
            <w:r w:rsidR="006D77B5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(t.sk. terminus, pamatregulējumu, </w:t>
            </w:r>
            <w:r w:rsidR="006667D7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noteiktas </w:t>
            </w:r>
            <w:r w:rsidR="006D77B5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uzraudzības funkcijas, sankcijas un pārejas noteikumus, kuri vēl joprojām ir piemērojami).</w:t>
            </w:r>
          </w:p>
          <w:p w:rsidR="005737AF" w:rsidRPr="004F1843" w:rsidRDefault="005737AF" w:rsidP="006D77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plānotās izmaiņas attiecībā uz balsstiesību sliekšņa samazināšanu galīgās akciju atpirkšanas tiesību </w:t>
            </w:r>
            <w:r w:rsidR="001F37E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īstenošanai </w:t>
            </w:r>
            <w:r w:rsidR="00856902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nepieciešamajiem 95 procentiem sabiedrības balsstiesīgo akciju skaita uz 90 procentiem,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nav nepieciešams līdzdalības paziņojums, sasniedzot 95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procentu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balsstiesību</w:t>
            </w:r>
            <w:r w:rsidR="00856902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daudzumu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Projekts attiecīgi paredz, 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 </w:t>
            </w:r>
            <w:r w:rsidR="004C150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akcionāram 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sasniedzot 95 procentu </w:t>
            </w:r>
            <w:r w:rsidR="00EC3C33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balsstiesību</w:t>
            </w:r>
            <w:r w:rsidR="004C150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nav jāsniedz līdzdalības </w:t>
            </w:r>
            <w:r w:rsidR="00FE3BB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paziņojums.</w:t>
            </w:r>
          </w:p>
          <w:p w:rsidR="001B774D" w:rsidRPr="004F1843" w:rsidRDefault="001B774D" w:rsidP="006D77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Pārņemšanas direktīvas 10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pants paredz pienākumu sabiedrībām nodrošināt ar piedāvājumiem 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tieši un netieši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saistītas informācijas (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piemēram,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ierobežojumi akciju atsavin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āšanai, sabiedrībai zināmie akcionāru noslēgtie līgumi, sabiedrības kapitāla struktūra u.c. jautājumi)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publicēšanu sabiedrības gada pārskatos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. Šobrīd minētais Pārņemšanas direktīvas pants ir iekļauts FITL 56.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pantā</w:t>
            </w:r>
            <w:r w:rsidR="00E5388F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, kas regulē gada pārskatā papildus iekļaujamo informāciju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A7871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Jauna piedāvājuma regulējuma izstrādes gaitā secināts, ka šis regulējums par sabiedrības gada pārskatā iekļaujamo informāciju ir saglabājams FITL</w:t>
            </w:r>
            <w:r w:rsidR="00E14631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7344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FITL 56.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="00AE7344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panta pirmās daļas 10.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7344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punktā ir izdarīti redakcionāli grozījumi.</w:t>
            </w:r>
          </w:p>
          <w:p w:rsidR="005737AF" w:rsidRPr="004F1843" w:rsidRDefault="00B7708D" w:rsidP="00DC553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FITL ir noteikti vairāki jautājumi, ko papildus Gada pārskatu un konsolidēto gada pārskatu likumā 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noteiktajam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ir jānorāda sabiedrī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bu sagatavotajos gada pārskat</w:t>
            </w:r>
            <w:r w:rsidR="005B4F10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FITL paredz, ka </w:t>
            </w:r>
            <w:r w:rsidR="007F23B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 gada pārskatā </w:t>
            </w:r>
            <w:r w:rsidR="003D7A88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iekļauj arī paziņojumu 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par korporatīvo pārvaldību, nefinanšu paziņojum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, informācij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gada pārskata sagatavošan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izplatīšan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atbildīgo personu, atalgojuma ziņojum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 </w:t>
            </w:r>
            <w:r w:rsidR="00E66818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Lai neapgrūtinātu sabiedrības gada pārskatu sagatavošanu, Pārņemšanas direktīvas normas attiecībā uz gada pārskatā atklājamo informāciju par piedāvājumiem ir saglabājamas FITL.</w:t>
            </w:r>
          </w:p>
        </w:tc>
      </w:tr>
      <w:tr w:rsidR="00FA0759" w:rsidRPr="00531630" w:rsidTr="00F13E2B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14CD" w:rsidRPr="00531630" w:rsidRDefault="006914CD" w:rsidP="0069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14CD" w:rsidRPr="00531630" w:rsidRDefault="006914CD" w:rsidP="0069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69CA" w:rsidRPr="00531630" w:rsidRDefault="00FA2A06" w:rsidP="0069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Tieslietu</w:t>
            </w:r>
            <w:r w:rsidR="00CF69CA"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ministrija</w:t>
            </w:r>
            <w:r w:rsidR="00586AE8"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FB41B8"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Finanšu un kapitāla tirgus komisija</w:t>
            </w:r>
            <w:r w:rsidR="00CF69CA"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FB41B8" w:rsidRPr="00531630" w:rsidRDefault="00FB41B8" w:rsidP="0069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14CD" w:rsidRPr="00531630" w:rsidRDefault="006914CD" w:rsidP="0069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A0759" w:rsidRPr="00531630" w:rsidTr="00F13E2B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14CD" w:rsidRPr="00531630" w:rsidRDefault="006914CD" w:rsidP="0069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14CD" w:rsidRPr="00531630" w:rsidRDefault="006914CD" w:rsidP="0069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14CD" w:rsidRPr="00531630" w:rsidRDefault="00FA19B8" w:rsidP="00FA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FA2A06" w:rsidRPr="00531630" w:rsidRDefault="00FA2A06" w:rsidP="00FA2A06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902"/>
        <w:gridCol w:w="5798"/>
      </w:tblGrid>
      <w:tr w:rsidR="00FA0759" w:rsidRPr="00531630" w:rsidTr="004F1843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A0759" w:rsidRPr="00531630" w:rsidTr="00324C50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DC553D" w:rsidP="00DC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</w:rPr>
              <w:t>18 s</w:t>
            </w:r>
            <w:r w:rsidR="004C1509" w:rsidRPr="0053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abiedrības, kuru akcijas iekļautas regulētajā tirgū, to akcionāri, darbinieki, regulētā tirgus organizētājs, centrālais vērtspapīru depozitārijs, kurā iegrāmatotas sabiedrības akcijas. </w:t>
            </w:r>
          </w:p>
        </w:tc>
      </w:tr>
      <w:tr w:rsidR="00FA0759" w:rsidRPr="00531630" w:rsidTr="00324C5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EB6DB3" w:rsidP="00EB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Sabiedrības grupām un institūcijām projekta tiesiskais regulējums nemaina tiesības un pienākumus, kā arī veicamās darbības.</w:t>
            </w:r>
          </w:p>
        </w:tc>
      </w:tr>
      <w:tr w:rsidR="00FA0759" w:rsidRPr="00531630" w:rsidTr="00324C5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667C4" w:rsidRPr="00531630" w:rsidRDefault="0010018A" w:rsidP="0010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A0759" w:rsidRPr="00531630" w:rsidTr="00324C5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667C4" w:rsidRPr="00531630" w:rsidRDefault="0010018A" w:rsidP="0099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FA0759" w:rsidRPr="00531630" w:rsidTr="00324C50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A0759" w:rsidRPr="00531630" w:rsidTr="00324C5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A0759" w:rsidRPr="00531630" w:rsidTr="00324C5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A0759" w:rsidRPr="00531630" w:rsidTr="0032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7C4" w:rsidRPr="00531630" w:rsidRDefault="008667C4" w:rsidP="0032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667C4" w:rsidRPr="00531630" w:rsidRDefault="008667C4" w:rsidP="0086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389"/>
        <w:gridCol w:w="6214"/>
      </w:tblGrid>
      <w:tr w:rsidR="00FA0759" w:rsidRPr="00531630" w:rsidTr="00324C50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A0759" w:rsidRPr="00531630" w:rsidTr="00324C5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7A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</w:rPr>
              <w:t xml:space="preserve">Projekts un </w:t>
            </w:r>
            <w:r w:rsidR="007A191F" w:rsidRPr="00531630">
              <w:rPr>
                <w:rFonts w:ascii="Times New Roman" w:hAnsi="Times New Roman" w:cs="Times New Roman"/>
                <w:sz w:val="24"/>
                <w:szCs w:val="24"/>
              </w:rPr>
              <w:t xml:space="preserve">likumprojekts "Akciju atpirkšanas likums" </w:t>
            </w:r>
            <w:r w:rsidRPr="00531630">
              <w:rPr>
                <w:rFonts w:ascii="Times New Roman" w:hAnsi="Times New Roman" w:cs="Times New Roman"/>
                <w:sz w:val="24"/>
                <w:szCs w:val="24"/>
              </w:rPr>
              <w:t>Ministru kabinetā un Saeimā skatāmi vienlaicīgi.</w:t>
            </w:r>
          </w:p>
        </w:tc>
      </w:tr>
      <w:tr w:rsidR="00FA0759" w:rsidRPr="00531630" w:rsidTr="00324C5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A02B31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</w:t>
            </w:r>
            <w:r w:rsidR="008667C4"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</w:t>
            </w:r>
          </w:p>
        </w:tc>
      </w:tr>
      <w:tr w:rsidR="008667C4" w:rsidRPr="00531630" w:rsidTr="007A191F">
        <w:trPr>
          <w:trHeight w:val="30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667C4" w:rsidRPr="00531630" w:rsidRDefault="008667C4" w:rsidP="0086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A0759" w:rsidRPr="00531630" w:rsidTr="00324C50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02B31" w:rsidRPr="00531630" w:rsidTr="00A02B31">
        <w:trPr>
          <w:trHeight w:val="3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41B4" w:rsidRPr="00531630" w:rsidRDefault="007A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A02B31" w:rsidRPr="00531630">
              <w:rPr>
                <w:rFonts w:ascii="Times New Roman" w:hAnsi="Times New Roman" w:cs="Times New Roman"/>
                <w:bCs/>
                <w:sz w:val="24"/>
                <w:szCs w:val="24"/>
              </w:rPr>
              <w:t>rojekts šo jomu neskar.</w:t>
            </w:r>
          </w:p>
        </w:tc>
      </w:tr>
    </w:tbl>
    <w:p w:rsidR="008667C4" w:rsidRPr="00FA0759" w:rsidRDefault="008667C4" w:rsidP="008667C4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FA0759" w:rsidRPr="00FA0759" w:rsidTr="00324C50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A0759" w:rsidRPr="00FA0759" w:rsidTr="00324C50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7A191F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A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D92BC2" w:rsidP="00B1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0">
              <w:rPr>
                <w:rFonts w:ascii="Times New Roman" w:hAnsi="Times New Roman" w:cs="Times New Roman"/>
                <w:iCs/>
                <w:sz w:val="24"/>
                <w:szCs w:val="24"/>
              </w:rPr>
              <w:t>Informācija par projekta izstrādi ir publicēta Finanšu ministrijas tīmekļvietnē sadaļā “Sabiedrības līdzdalība” – “Tiesību aktu projekti” – “</w:t>
            </w:r>
            <w:r w:rsidR="00B11CB1">
              <w:rPr>
                <w:rFonts w:ascii="Times New Roman" w:hAnsi="Times New Roman" w:cs="Times New Roman"/>
                <w:iCs/>
                <w:sz w:val="24"/>
                <w:szCs w:val="24"/>
              </w:rPr>
              <w:t>Finanšu tirgus</w:t>
            </w:r>
            <w:r w:rsidRPr="00531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politika”. L</w:t>
            </w:r>
            <w:r w:rsidRPr="0053163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īdz ar to sabiedrības pārstāvji varēja līdzdarboties projekta izstrādē, rakstveidā sniedzot viedokļus par projektu.</w:t>
            </w:r>
            <w:r w:rsidRPr="00531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163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Tāpat sabiedrības pārstāvji varēs sniegt viedokļus par projektu pēc tā izsludināšanas Valsts sekretāru sanāksmē.</w:t>
            </w:r>
          </w:p>
        </w:tc>
      </w:tr>
      <w:tr w:rsidR="00FA0759" w:rsidRPr="00FA0759" w:rsidTr="00324C50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7A191F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A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7A191F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A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2BC2" w:rsidRPr="00D92BC2" w:rsidRDefault="00D92BC2" w:rsidP="00806E9A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lang w:val="lv-LV"/>
              </w:rPr>
            </w:pPr>
            <w:r w:rsidRPr="00D92BC2">
              <w:rPr>
                <w:iCs/>
                <w:spacing w:val="-2"/>
                <w:lang w:val="lv-LV"/>
              </w:rPr>
              <w:t xml:space="preserve">Sabiedrības pārstāvji varēja līdzdarboties projekta izstrādē, rakstveidā sniedzot viedokļus par projektu, par kuru informācija </w:t>
            </w:r>
            <w:r w:rsidRPr="00D92BC2">
              <w:rPr>
                <w:iCs/>
                <w:lang w:val="lv-LV"/>
              </w:rPr>
              <w:t>2020.</w:t>
            </w:r>
            <w:r w:rsidR="00132356">
              <w:rPr>
                <w:iCs/>
                <w:lang w:val="lv-LV"/>
              </w:rPr>
              <w:t> </w:t>
            </w:r>
            <w:r w:rsidRPr="00D92BC2">
              <w:rPr>
                <w:iCs/>
                <w:lang w:val="lv-LV"/>
              </w:rPr>
              <w:t>gada 24.</w:t>
            </w:r>
            <w:r w:rsidR="00132356">
              <w:rPr>
                <w:iCs/>
                <w:lang w:val="lv-LV"/>
              </w:rPr>
              <w:t> </w:t>
            </w:r>
            <w:r w:rsidRPr="00D92BC2">
              <w:rPr>
                <w:iCs/>
                <w:lang w:val="lv-LV"/>
              </w:rPr>
              <w:t>februārī publicēta Finanšu ministrijas tīmekļvietnē sadaļā “Sabiedrības līdzdalība” – “Tiesību aktu projekti” – “</w:t>
            </w:r>
            <w:r w:rsidR="00C929F6">
              <w:rPr>
                <w:iCs/>
                <w:lang w:val="lv-LV"/>
              </w:rPr>
              <w:t>Finanšu tirgus</w:t>
            </w:r>
            <w:r w:rsidR="00C929F6" w:rsidRPr="00D92BC2">
              <w:rPr>
                <w:iCs/>
                <w:lang w:val="lv-LV"/>
              </w:rPr>
              <w:t xml:space="preserve"> </w:t>
            </w:r>
            <w:r w:rsidRPr="00D92BC2">
              <w:rPr>
                <w:iCs/>
                <w:lang w:val="lv-LV"/>
              </w:rPr>
              <w:t xml:space="preserve">politika”, </w:t>
            </w:r>
            <w:hyperlink r:id="rId11" w:anchor="project639" w:history="1">
              <w:r w:rsidRPr="00D92BC2">
                <w:rPr>
                  <w:rStyle w:val="Hyperlink"/>
                  <w:lang w:val="lv-LV"/>
                </w:rPr>
                <w:t>https://www.fm.gov.lv/lv/sabiedribas_lidzdaliba/ tiesibu_aktu_projekti/finansu_tirgus_politika#project639</w:t>
              </w:r>
            </w:hyperlink>
            <w:r w:rsidRPr="00D92BC2">
              <w:rPr>
                <w:iCs/>
                <w:lang w:val="lv-LV"/>
              </w:rPr>
              <w:t>:</w:t>
            </w:r>
          </w:p>
          <w:p w:rsidR="00D12163" w:rsidRDefault="00806E9A" w:rsidP="00806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806E9A">
              <w:rPr>
                <w:rFonts w:ascii="Times New Roman" w:hAnsi="Times New Roman" w:cs="Times New Roman"/>
                <w:iCs/>
                <w:sz w:val="24"/>
                <w:szCs w:val="24"/>
              </w:rPr>
              <w:t>un Ministru kabineta tīmekļvietnē sadaļā “Valsts kanceleja” – “Sabiedrības līdzdalība</w:t>
            </w:r>
            <w:r w:rsidRPr="00806E9A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806E9A">
              <w:rPr>
                <w:rFonts w:ascii="Times New Roman" w:hAnsi="Times New Roman" w:cs="Times New Roman"/>
                <w:iCs/>
                <w:sz w:val="24"/>
                <w:szCs w:val="24"/>
              </w:rPr>
              <w:t>adrese:</w:t>
            </w:r>
            <w:r w:rsidRPr="0080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06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https://mk.gov.lv/content/ministru-kabineta-diskusiju-dokumenti</w:t>
              </w:r>
            </w:hyperlink>
            <w:r w:rsidR="00D1216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  <w:p w:rsidR="008667C4" w:rsidRPr="005444DB" w:rsidRDefault="00D92BC2" w:rsidP="00806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Projekta izstrādes gaitā </w:t>
            </w:r>
            <w:r w:rsidRPr="00D92BC2">
              <w:rPr>
                <w:rFonts w:ascii="Times New Roman" w:hAnsi="Times New Roman" w:cs="Times New Roman"/>
                <w:iCs/>
                <w:sz w:val="24"/>
                <w:szCs w:val="24"/>
              </w:rPr>
              <w:t>ir iesaistīta</w:t>
            </w:r>
            <w:r w:rsidRPr="00D92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2BC2">
              <w:rPr>
                <w:rStyle w:val="Teksts1Char"/>
                <w:rFonts w:eastAsiaTheme="minorHAnsi"/>
                <w:color w:val="000000" w:themeColor="text1"/>
                <w:szCs w:val="24"/>
              </w:rPr>
              <w:t>Nasdaq Riga, AS, Finanšu nozares asociācija, Latvijas Darba devēju konfederācija, Latvijas Zvērinātu revidentu asociācija</w:t>
            </w:r>
            <w:r w:rsidR="00D12163">
              <w:rPr>
                <w:rStyle w:val="Teksts1Char"/>
                <w:rFonts w:eastAsiaTheme="minorHAnsi"/>
                <w:color w:val="000000" w:themeColor="text1"/>
                <w:szCs w:val="24"/>
              </w:rPr>
              <w:t>.</w:t>
            </w:r>
          </w:p>
        </w:tc>
      </w:tr>
      <w:tr w:rsidR="00FA0759" w:rsidRPr="00531630" w:rsidTr="00324C5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D92BC2" w:rsidP="00D9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Style w:val="Teksts1Char"/>
                <w:rFonts w:eastAsiaTheme="minorHAnsi"/>
                <w:szCs w:val="24"/>
              </w:rPr>
              <w:t>Darba procesā iesaistītās puses paudušas atbalstu likumprojekta tālākai virzībai</w:t>
            </w:r>
          </w:p>
        </w:tc>
      </w:tr>
      <w:tr w:rsidR="008667C4" w:rsidRPr="00531630" w:rsidTr="00324C50">
        <w:trPr>
          <w:trHeight w:val="31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667C4" w:rsidRPr="00531630" w:rsidRDefault="008667C4" w:rsidP="0086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FA0759" w:rsidRPr="00531630" w:rsidTr="00324C50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A0759" w:rsidRPr="00531630" w:rsidTr="00324C50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AB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kapitāla tirgus komisija</w:t>
            </w:r>
            <w:r w:rsidR="00AB1B94"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Tieslietu ministrija.</w:t>
            </w:r>
          </w:p>
        </w:tc>
      </w:tr>
      <w:tr w:rsidR="00FA0759" w:rsidRPr="00531630" w:rsidTr="00324C50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</w:t>
            </w: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0A77BB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Projekta izpilde neietekmēs pārvaldes funkcijas un institucionālo struktūru, jaunu institūciju izveide, esošo institūciju likvidācija vai reorganizācija nav nepieciešama. Projekta izpilde tiks īstenota esošā finansējuma un cilvēkresursu ietvaros. </w:t>
            </w:r>
          </w:p>
        </w:tc>
      </w:tr>
      <w:tr w:rsidR="008667C4" w:rsidRPr="00FA0759" w:rsidTr="00324C50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67C4" w:rsidRPr="00531630" w:rsidRDefault="008667C4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667C4" w:rsidRPr="00FA0759" w:rsidRDefault="008667C4" w:rsidP="008667C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B536A8" w:rsidRPr="00B536A8" w:rsidRDefault="00B536A8" w:rsidP="00B53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A8" w:rsidRPr="00B536A8" w:rsidRDefault="00B536A8" w:rsidP="00B536A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36A8">
        <w:rPr>
          <w:rFonts w:ascii="Times New Roman" w:hAnsi="Times New Roman" w:cs="Times New Roman"/>
          <w:sz w:val="24"/>
          <w:szCs w:val="24"/>
        </w:rPr>
        <w:t>Finanšu ministrs</w:t>
      </w:r>
      <w:r w:rsidRPr="00B536A8">
        <w:rPr>
          <w:rFonts w:ascii="Times New Roman" w:hAnsi="Times New Roman" w:cs="Times New Roman"/>
          <w:sz w:val="24"/>
          <w:szCs w:val="24"/>
        </w:rPr>
        <w:tab/>
        <w:t>J.Reirs</w:t>
      </w:r>
    </w:p>
    <w:p w:rsidR="00B536A8" w:rsidRPr="00B536A8" w:rsidRDefault="00B536A8" w:rsidP="00B536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6A8" w:rsidRPr="00B536A8" w:rsidRDefault="00B536A8" w:rsidP="00B536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6A8" w:rsidRPr="00B536A8" w:rsidRDefault="00B536A8" w:rsidP="00B536A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6A8" w:rsidRPr="00B536A8" w:rsidRDefault="00B536A8" w:rsidP="00B536A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6A8" w:rsidRPr="00B536A8" w:rsidRDefault="00B536A8" w:rsidP="00B536A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6A8" w:rsidRPr="00D92BC2" w:rsidRDefault="00B536A8" w:rsidP="00B536A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BC2">
        <w:rPr>
          <w:rFonts w:ascii="Times New Roman" w:hAnsi="Times New Roman" w:cs="Times New Roman"/>
          <w:sz w:val="20"/>
          <w:szCs w:val="20"/>
        </w:rPr>
        <w:t>Davidovičs 670839</w:t>
      </w:r>
      <w:r w:rsidR="00B11CB1">
        <w:rPr>
          <w:rFonts w:ascii="Times New Roman" w:hAnsi="Times New Roman" w:cs="Times New Roman"/>
          <w:sz w:val="20"/>
          <w:szCs w:val="20"/>
        </w:rPr>
        <w:t>3</w:t>
      </w:r>
      <w:r w:rsidRPr="00D92BC2">
        <w:rPr>
          <w:rFonts w:ascii="Times New Roman" w:hAnsi="Times New Roman" w:cs="Times New Roman"/>
          <w:sz w:val="20"/>
          <w:szCs w:val="20"/>
        </w:rPr>
        <w:t>1</w:t>
      </w:r>
    </w:p>
    <w:p w:rsidR="008667C4" w:rsidRPr="00D92BC2" w:rsidRDefault="00B536A8" w:rsidP="00B536A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BC2">
        <w:rPr>
          <w:rFonts w:ascii="Times New Roman" w:hAnsi="Times New Roman" w:cs="Times New Roman"/>
          <w:sz w:val="20"/>
          <w:szCs w:val="20"/>
        </w:rPr>
        <w:t>gunvaldis.davidovics@fm.gov.lv</w:t>
      </w:r>
    </w:p>
    <w:sectPr w:rsidR="008667C4" w:rsidRPr="00D92BC2" w:rsidSect="00F13E2B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09" w:rsidRDefault="00A06509" w:rsidP="004D15A9">
      <w:pPr>
        <w:spacing w:after="0" w:line="240" w:lineRule="auto"/>
      </w:pPr>
      <w:r>
        <w:separator/>
      </w:r>
    </w:p>
  </w:endnote>
  <w:endnote w:type="continuationSeparator" w:id="0">
    <w:p w:rsidR="00A06509" w:rsidRDefault="00A06509" w:rsidP="004D15A9">
      <w:pPr>
        <w:spacing w:after="0" w:line="240" w:lineRule="auto"/>
      </w:pPr>
      <w:r>
        <w:continuationSeparator/>
      </w:r>
    </w:p>
  </w:endnote>
  <w:endnote w:type="continuationNotice" w:id="1">
    <w:p w:rsidR="00A06509" w:rsidRDefault="00A06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50" w:rsidRDefault="00324C50" w:rsidP="0042645D">
    <w:pPr>
      <w:pStyle w:val="Footer"/>
      <w:rPr>
        <w:rFonts w:ascii="Times New Roman" w:hAnsi="Times New Roman" w:cs="Times New Roman"/>
        <w:sz w:val="20"/>
        <w:szCs w:val="20"/>
      </w:rPr>
    </w:pPr>
  </w:p>
  <w:p w:rsidR="00324C50" w:rsidRPr="00DF35F9" w:rsidRDefault="007920F9" w:rsidP="0042645D">
    <w:pPr>
      <w:pStyle w:val="Footer"/>
      <w:rPr>
        <w:rFonts w:ascii="Times New Roman" w:hAnsi="Times New Roman" w:cs="Times New Roman"/>
        <w:sz w:val="20"/>
        <w:szCs w:val="20"/>
      </w:rPr>
    </w:pPr>
    <w:r w:rsidRPr="00DF35F9">
      <w:rPr>
        <w:rFonts w:ascii="Times New Roman" w:hAnsi="Times New Roman" w:cs="Times New Roman"/>
        <w:sz w:val="20"/>
        <w:szCs w:val="20"/>
      </w:rPr>
      <w:fldChar w:fldCharType="begin"/>
    </w:r>
    <w:r w:rsidRPr="00DF35F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F35F9">
      <w:rPr>
        <w:rFonts w:ascii="Times New Roman" w:hAnsi="Times New Roman" w:cs="Times New Roman"/>
        <w:sz w:val="20"/>
        <w:szCs w:val="20"/>
      </w:rPr>
      <w:fldChar w:fldCharType="separate"/>
    </w:r>
    <w:r w:rsidR="00806E9A">
      <w:rPr>
        <w:rFonts w:ascii="Times New Roman" w:hAnsi="Times New Roman" w:cs="Times New Roman"/>
        <w:noProof/>
        <w:sz w:val="20"/>
        <w:szCs w:val="20"/>
      </w:rPr>
      <w:t>FMAnot_100320_FITL.docx</w:t>
    </w:r>
    <w:r w:rsidRPr="00DF35F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50" w:rsidRPr="00497879" w:rsidRDefault="00E34086" w:rsidP="0042645D">
    <w:pPr>
      <w:pStyle w:val="Footer"/>
      <w:rPr>
        <w:rFonts w:ascii="Times New Roman" w:hAnsi="Times New Roman" w:cs="Times New Roman"/>
        <w:sz w:val="20"/>
        <w:szCs w:val="20"/>
      </w:rPr>
    </w:pPr>
    <w:r w:rsidRPr="00497879">
      <w:rPr>
        <w:rFonts w:ascii="Times New Roman" w:hAnsi="Times New Roman" w:cs="Times New Roman"/>
        <w:sz w:val="20"/>
        <w:szCs w:val="20"/>
      </w:rPr>
      <w:fldChar w:fldCharType="begin"/>
    </w:r>
    <w:r w:rsidRPr="0049787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97879">
      <w:rPr>
        <w:rFonts w:ascii="Times New Roman" w:hAnsi="Times New Roman" w:cs="Times New Roman"/>
        <w:sz w:val="20"/>
        <w:szCs w:val="20"/>
      </w:rPr>
      <w:fldChar w:fldCharType="separate"/>
    </w:r>
    <w:r w:rsidR="00806E9A">
      <w:rPr>
        <w:rFonts w:ascii="Times New Roman" w:hAnsi="Times New Roman" w:cs="Times New Roman"/>
        <w:noProof/>
        <w:sz w:val="20"/>
        <w:szCs w:val="20"/>
      </w:rPr>
      <w:t>FMAnot_100320_FITL.docx</w:t>
    </w:r>
    <w:r w:rsidRPr="0049787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09" w:rsidRDefault="00A06509" w:rsidP="004D15A9">
      <w:pPr>
        <w:spacing w:after="0" w:line="240" w:lineRule="auto"/>
      </w:pPr>
      <w:r>
        <w:separator/>
      </w:r>
    </w:p>
  </w:footnote>
  <w:footnote w:type="continuationSeparator" w:id="0">
    <w:p w:rsidR="00A06509" w:rsidRDefault="00A06509" w:rsidP="004D15A9">
      <w:pPr>
        <w:spacing w:after="0" w:line="240" w:lineRule="auto"/>
      </w:pPr>
      <w:r>
        <w:continuationSeparator/>
      </w:r>
    </w:p>
  </w:footnote>
  <w:footnote w:type="continuationNotice" w:id="1">
    <w:p w:rsidR="00A06509" w:rsidRDefault="00A06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4C50" w:rsidRPr="004D15A9" w:rsidRDefault="00102A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C50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AF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C50" w:rsidRDefault="0032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1D00"/>
    <w:multiLevelType w:val="hybridMultilevel"/>
    <w:tmpl w:val="34FAD2FE"/>
    <w:lvl w:ilvl="0" w:tplc="711221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210"/>
    <w:rsid w:val="00003E85"/>
    <w:rsid w:val="00026897"/>
    <w:rsid w:val="000271FA"/>
    <w:rsid w:val="000301E1"/>
    <w:rsid w:val="00031256"/>
    <w:rsid w:val="00031DA0"/>
    <w:rsid w:val="00035BD1"/>
    <w:rsid w:val="000437CF"/>
    <w:rsid w:val="00052720"/>
    <w:rsid w:val="00052DF6"/>
    <w:rsid w:val="0005362A"/>
    <w:rsid w:val="0006071D"/>
    <w:rsid w:val="00063AB4"/>
    <w:rsid w:val="00064086"/>
    <w:rsid w:val="0006465E"/>
    <w:rsid w:val="0007048A"/>
    <w:rsid w:val="00071E16"/>
    <w:rsid w:val="00072CA6"/>
    <w:rsid w:val="00073B47"/>
    <w:rsid w:val="00081DE6"/>
    <w:rsid w:val="00084207"/>
    <w:rsid w:val="00090E38"/>
    <w:rsid w:val="00092AF4"/>
    <w:rsid w:val="00097527"/>
    <w:rsid w:val="000A77BB"/>
    <w:rsid w:val="000B1D33"/>
    <w:rsid w:val="000B5968"/>
    <w:rsid w:val="000C680D"/>
    <w:rsid w:val="000C76C5"/>
    <w:rsid w:val="000E0B73"/>
    <w:rsid w:val="000E3461"/>
    <w:rsid w:val="000E42FD"/>
    <w:rsid w:val="000F59FE"/>
    <w:rsid w:val="0010018A"/>
    <w:rsid w:val="00101CD5"/>
    <w:rsid w:val="00102ACD"/>
    <w:rsid w:val="00104F14"/>
    <w:rsid w:val="00111E3D"/>
    <w:rsid w:val="001173D3"/>
    <w:rsid w:val="00125051"/>
    <w:rsid w:val="00126D17"/>
    <w:rsid w:val="0013226A"/>
    <w:rsid w:val="00132356"/>
    <w:rsid w:val="001373E6"/>
    <w:rsid w:val="00142F87"/>
    <w:rsid w:val="0015263A"/>
    <w:rsid w:val="00156AA9"/>
    <w:rsid w:val="00161BF7"/>
    <w:rsid w:val="001626BE"/>
    <w:rsid w:val="0017177C"/>
    <w:rsid w:val="00196BBF"/>
    <w:rsid w:val="001A1DE0"/>
    <w:rsid w:val="001A1FB6"/>
    <w:rsid w:val="001A3A02"/>
    <w:rsid w:val="001A3A5D"/>
    <w:rsid w:val="001A4B83"/>
    <w:rsid w:val="001B4371"/>
    <w:rsid w:val="001B774D"/>
    <w:rsid w:val="001C10AE"/>
    <w:rsid w:val="001C5969"/>
    <w:rsid w:val="001C7342"/>
    <w:rsid w:val="001D1133"/>
    <w:rsid w:val="001E3E3B"/>
    <w:rsid w:val="001E407F"/>
    <w:rsid w:val="001E64A9"/>
    <w:rsid w:val="001E7651"/>
    <w:rsid w:val="001F12EA"/>
    <w:rsid w:val="001F1D26"/>
    <w:rsid w:val="001F37EA"/>
    <w:rsid w:val="001F4D3C"/>
    <w:rsid w:val="001F68D7"/>
    <w:rsid w:val="00207496"/>
    <w:rsid w:val="00220682"/>
    <w:rsid w:val="002279F0"/>
    <w:rsid w:val="00264B18"/>
    <w:rsid w:val="00265ECB"/>
    <w:rsid w:val="00270B2B"/>
    <w:rsid w:val="0027620B"/>
    <w:rsid w:val="00282F7D"/>
    <w:rsid w:val="00283E1C"/>
    <w:rsid w:val="00290466"/>
    <w:rsid w:val="00290549"/>
    <w:rsid w:val="00293ACB"/>
    <w:rsid w:val="002A3E11"/>
    <w:rsid w:val="002B5D8D"/>
    <w:rsid w:val="002D53C8"/>
    <w:rsid w:val="002D6AFB"/>
    <w:rsid w:val="002E3174"/>
    <w:rsid w:val="002F4C6B"/>
    <w:rsid w:val="002F7339"/>
    <w:rsid w:val="003065DE"/>
    <w:rsid w:val="00312898"/>
    <w:rsid w:val="00312FF5"/>
    <w:rsid w:val="00313E2C"/>
    <w:rsid w:val="00315E7A"/>
    <w:rsid w:val="003201DF"/>
    <w:rsid w:val="00322A62"/>
    <w:rsid w:val="00324C50"/>
    <w:rsid w:val="0032594E"/>
    <w:rsid w:val="003323DB"/>
    <w:rsid w:val="00333F7B"/>
    <w:rsid w:val="00334ABB"/>
    <w:rsid w:val="00337D85"/>
    <w:rsid w:val="003444D3"/>
    <w:rsid w:val="00353AFA"/>
    <w:rsid w:val="003578D4"/>
    <w:rsid w:val="003661B4"/>
    <w:rsid w:val="003803BC"/>
    <w:rsid w:val="00391718"/>
    <w:rsid w:val="003922B0"/>
    <w:rsid w:val="00396071"/>
    <w:rsid w:val="003A2A0B"/>
    <w:rsid w:val="003A41E8"/>
    <w:rsid w:val="003A5206"/>
    <w:rsid w:val="003A5CA3"/>
    <w:rsid w:val="003B2359"/>
    <w:rsid w:val="003B347C"/>
    <w:rsid w:val="003B6B3E"/>
    <w:rsid w:val="003C1419"/>
    <w:rsid w:val="003C170D"/>
    <w:rsid w:val="003D200F"/>
    <w:rsid w:val="003D59E6"/>
    <w:rsid w:val="003D7A88"/>
    <w:rsid w:val="003E18D3"/>
    <w:rsid w:val="003E752C"/>
    <w:rsid w:val="003E7D54"/>
    <w:rsid w:val="003F696D"/>
    <w:rsid w:val="003F69C2"/>
    <w:rsid w:val="003F6DA2"/>
    <w:rsid w:val="00400463"/>
    <w:rsid w:val="00401BD5"/>
    <w:rsid w:val="00404D01"/>
    <w:rsid w:val="00407378"/>
    <w:rsid w:val="00410612"/>
    <w:rsid w:val="00415104"/>
    <w:rsid w:val="00415F61"/>
    <w:rsid w:val="004263E7"/>
    <w:rsid w:val="0042645D"/>
    <w:rsid w:val="004328CE"/>
    <w:rsid w:val="0043541A"/>
    <w:rsid w:val="004355D0"/>
    <w:rsid w:val="004375DC"/>
    <w:rsid w:val="0044216E"/>
    <w:rsid w:val="00442580"/>
    <w:rsid w:val="00443949"/>
    <w:rsid w:val="00452C89"/>
    <w:rsid w:val="00455067"/>
    <w:rsid w:val="004550A2"/>
    <w:rsid w:val="00461275"/>
    <w:rsid w:val="0046589E"/>
    <w:rsid w:val="00471A92"/>
    <w:rsid w:val="0047725C"/>
    <w:rsid w:val="00484FCC"/>
    <w:rsid w:val="0048705A"/>
    <w:rsid w:val="00487593"/>
    <w:rsid w:val="00487D95"/>
    <w:rsid w:val="00497390"/>
    <w:rsid w:val="00497879"/>
    <w:rsid w:val="004A4822"/>
    <w:rsid w:val="004A75FF"/>
    <w:rsid w:val="004B4A97"/>
    <w:rsid w:val="004C100C"/>
    <w:rsid w:val="004C1509"/>
    <w:rsid w:val="004C37BA"/>
    <w:rsid w:val="004C3B12"/>
    <w:rsid w:val="004C5794"/>
    <w:rsid w:val="004D15A9"/>
    <w:rsid w:val="004D20F0"/>
    <w:rsid w:val="004D7959"/>
    <w:rsid w:val="004E4B0B"/>
    <w:rsid w:val="004F1843"/>
    <w:rsid w:val="004F1B4D"/>
    <w:rsid w:val="004F2115"/>
    <w:rsid w:val="004F3296"/>
    <w:rsid w:val="00515CEE"/>
    <w:rsid w:val="00522039"/>
    <w:rsid w:val="005300ED"/>
    <w:rsid w:val="00531630"/>
    <w:rsid w:val="005343A8"/>
    <w:rsid w:val="005444DB"/>
    <w:rsid w:val="0055294A"/>
    <w:rsid w:val="005560A8"/>
    <w:rsid w:val="0056459F"/>
    <w:rsid w:val="005737AF"/>
    <w:rsid w:val="0057423B"/>
    <w:rsid w:val="005817FD"/>
    <w:rsid w:val="005839C8"/>
    <w:rsid w:val="00586AE8"/>
    <w:rsid w:val="0059057E"/>
    <w:rsid w:val="005B4F10"/>
    <w:rsid w:val="005B6810"/>
    <w:rsid w:val="005B7142"/>
    <w:rsid w:val="005C0266"/>
    <w:rsid w:val="005C0CCF"/>
    <w:rsid w:val="005D4E8A"/>
    <w:rsid w:val="005E41BF"/>
    <w:rsid w:val="005E4D47"/>
    <w:rsid w:val="005E6583"/>
    <w:rsid w:val="005F0729"/>
    <w:rsid w:val="005F0A2A"/>
    <w:rsid w:val="005F4FEA"/>
    <w:rsid w:val="006042EE"/>
    <w:rsid w:val="00612A92"/>
    <w:rsid w:val="00616762"/>
    <w:rsid w:val="00627FEA"/>
    <w:rsid w:val="00637BF2"/>
    <w:rsid w:val="006439DF"/>
    <w:rsid w:val="00645041"/>
    <w:rsid w:val="006471A9"/>
    <w:rsid w:val="00653358"/>
    <w:rsid w:val="00657500"/>
    <w:rsid w:val="006641E1"/>
    <w:rsid w:val="006667D7"/>
    <w:rsid w:val="00670154"/>
    <w:rsid w:val="006746E7"/>
    <w:rsid w:val="00684A8B"/>
    <w:rsid w:val="006879C0"/>
    <w:rsid w:val="00687E59"/>
    <w:rsid w:val="00690CE0"/>
    <w:rsid w:val="006914CD"/>
    <w:rsid w:val="0069391B"/>
    <w:rsid w:val="006946CB"/>
    <w:rsid w:val="006B0681"/>
    <w:rsid w:val="006B117A"/>
    <w:rsid w:val="006B274B"/>
    <w:rsid w:val="006C440E"/>
    <w:rsid w:val="006C7052"/>
    <w:rsid w:val="006D1824"/>
    <w:rsid w:val="006D6259"/>
    <w:rsid w:val="006D77B5"/>
    <w:rsid w:val="006E04EF"/>
    <w:rsid w:val="006E1118"/>
    <w:rsid w:val="006E53EE"/>
    <w:rsid w:val="006E5A07"/>
    <w:rsid w:val="006E6ADA"/>
    <w:rsid w:val="006F69BA"/>
    <w:rsid w:val="00700530"/>
    <w:rsid w:val="00700A81"/>
    <w:rsid w:val="00702DC8"/>
    <w:rsid w:val="007047F3"/>
    <w:rsid w:val="00707C61"/>
    <w:rsid w:val="00715506"/>
    <w:rsid w:val="00715917"/>
    <w:rsid w:val="00721846"/>
    <w:rsid w:val="0072206E"/>
    <w:rsid w:val="00725ACB"/>
    <w:rsid w:val="00731578"/>
    <w:rsid w:val="0073425A"/>
    <w:rsid w:val="00734A5A"/>
    <w:rsid w:val="0073730D"/>
    <w:rsid w:val="0074013C"/>
    <w:rsid w:val="007442F0"/>
    <w:rsid w:val="00746269"/>
    <w:rsid w:val="00752779"/>
    <w:rsid w:val="0075497C"/>
    <w:rsid w:val="00757522"/>
    <w:rsid w:val="00765DC7"/>
    <w:rsid w:val="007721C4"/>
    <w:rsid w:val="00774408"/>
    <w:rsid w:val="007770C4"/>
    <w:rsid w:val="00782AB0"/>
    <w:rsid w:val="007920F9"/>
    <w:rsid w:val="007932D3"/>
    <w:rsid w:val="00796D6E"/>
    <w:rsid w:val="007A191F"/>
    <w:rsid w:val="007C18C6"/>
    <w:rsid w:val="007C1C5B"/>
    <w:rsid w:val="007C52F0"/>
    <w:rsid w:val="007C66CC"/>
    <w:rsid w:val="007C76FD"/>
    <w:rsid w:val="007D2656"/>
    <w:rsid w:val="007D2DD1"/>
    <w:rsid w:val="007E2BE5"/>
    <w:rsid w:val="007E2E8E"/>
    <w:rsid w:val="007E3F61"/>
    <w:rsid w:val="007F23BE"/>
    <w:rsid w:val="007F25E7"/>
    <w:rsid w:val="00806E9A"/>
    <w:rsid w:val="0081203F"/>
    <w:rsid w:val="008202CB"/>
    <w:rsid w:val="00824DBE"/>
    <w:rsid w:val="008252E5"/>
    <w:rsid w:val="0083383A"/>
    <w:rsid w:val="00836093"/>
    <w:rsid w:val="00840A5F"/>
    <w:rsid w:val="00841836"/>
    <w:rsid w:val="008441B4"/>
    <w:rsid w:val="00846D9C"/>
    <w:rsid w:val="008517FA"/>
    <w:rsid w:val="0085549F"/>
    <w:rsid w:val="00856902"/>
    <w:rsid w:val="008647AB"/>
    <w:rsid w:val="008667C4"/>
    <w:rsid w:val="008714D4"/>
    <w:rsid w:val="008721B7"/>
    <w:rsid w:val="0087437F"/>
    <w:rsid w:val="00876484"/>
    <w:rsid w:val="008826E9"/>
    <w:rsid w:val="008837F0"/>
    <w:rsid w:val="00887898"/>
    <w:rsid w:val="008879DC"/>
    <w:rsid w:val="0089395C"/>
    <w:rsid w:val="00895E9D"/>
    <w:rsid w:val="00897917"/>
    <w:rsid w:val="008A3EF8"/>
    <w:rsid w:val="008A55F6"/>
    <w:rsid w:val="008A7871"/>
    <w:rsid w:val="008B04CC"/>
    <w:rsid w:val="008B10D4"/>
    <w:rsid w:val="008C5BB8"/>
    <w:rsid w:val="008C660F"/>
    <w:rsid w:val="008C6E2A"/>
    <w:rsid w:val="008D0E01"/>
    <w:rsid w:val="008D2647"/>
    <w:rsid w:val="008D783E"/>
    <w:rsid w:val="008E4E93"/>
    <w:rsid w:val="008E78B2"/>
    <w:rsid w:val="008E7C0C"/>
    <w:rsid w:val="00907B90"/>
    <w:rsid w:val="009170DE"/>
    <w:rsid w:val="00942CE5"/>
    <w:rsid w:val="00953F28"/>
    <w:rsid w:val="009548CB"/>
    <w:rsid w:val="00956F6E"/>
    <w:rsid w:val="00964EA7"/>
    <w:rsid w:val="00971151"/>
    <w:rsid w:val="00972B72"/>
    <w:rsid w:val="00974FAB"/>
    <w:rsid w:val="0097690A"/>
    <w:rsid w:val="00983B4A"/>
    <w:rsid w:val="00996786"/>
    <w:rsid w:val="00996A25"/>
    <w:rsid w:val="00997954"/>
    <w:rsid w:val="009A6EF5"/>
    <w:rsid w:val="009A70CB"/>
    <w:rsid w:val="009B09F8"/>
    <w:rsid w:val="009B6A57"/>
    <w:rsid w:val="009C1406"/>
    <w:rsid w:val="009C65D1"/>
    <w:rsid w:val="009D0273"/>
    <w:rsid w:val="009D0F74"/>
    <w:rsid w:val="009D60E2"/>
    <w:rsid w:val="009E165A"/>
    <w:rsid w:val="009E2029"/>
    <w:rsid w:val="009F0644"/>
    <w:rsid w:val="009F14B6"/>
    <w:rsid w:val="00A02539"/>
    <w:rsid w:val="00A02B31"/>
    <w:rsid w:val="00A02ED7"/>
    <w:rsid w:val="00A05102"/>
    <w:rsid w:val="00A06071"/>
    <w:rsid w:val="00A06509"/>
    <w:rsid w:val="00A11A78"/>
    <w:rsid w:val="00A1552F"/>
    <w:rsid w:val="00A25254"/>
    <w:rsid w:val="00A26059"/>
    <w:rsid w:val="00A274AD"/>
    <w:rsid w:val="00A3512F"/>
    <w:rsid w:val="00A42F06"/>
    <w:rsid w:val="00A45855"/>
    <w:rsid w:val="00A47CB9"/>
    <w:rsid w:val="00A510BC"/>
    <w:rsid w:val="00A60D72"/>
    <w:rsid w:val="00A61AF5"/>
    <w:rsid w:val="00A62860"/>
    <w:rsid w:val="00A6361A"/>
    <w:rsid w:val="00A67728"/>
    <w:rsid w:val="00A80FBE"/>
    <w:rsid w:val="00A855AA"/>
    <w:rsid w:val="00A9022E"/>
    <w:rsid w:val="00A941C0"/>
    <w:rsid w:val="00AA3915"/>
    <w:rsid w:val="00AA43C4"/>
    <w:rsid w:val="00AB1B94"/>
    <w:rsid w:val="00AB51F6"/>
    <w:rsid w:val="00AB5710"/>
    <w:rsid w:val="00AB6562"/>
    <w:rsid w:val="00AE0DF5"/>
    <w:rsid w:val="00AE3A91"/>
    <w:rsid w:val="00AE715C"/>
    <w:rsid w:val="00AE7344"/>
    <w:rsid w:val="00AF56D7"/>
    <w:rsid w:val="00B01C98"/>
    <w:rsid w:val="00B103C5"/>
    <w:rsid w:val="00B110AD"/>
    <w:rsid w:val="00B11CB1"/>
    <w:rsid w:val="00B13108"/>
    <w:rsid w:val="00B15D8F"/>
    <w:rsid w:val="00B239B2"/>
    <w:rsid w:val="00B24B2E"/>
    <w:rsid w:val="00B31618"/>
    <w:rsid w:val="00B44DFD"/>
    <w:rsid w:val="00B47BB6"/>
    <w:rsid w:val="00B50747"/>
    <w:rsid w:val="00B536A8"/>
    <w:rsid w:val="00B57625"/>
    <w:rsid w:val="00B57BEE"/>
    <w:rsid w:val="00B6562F"/>
    <w:rsid w:val="00B67DC2"/>
    <w:rsid w:val="00B72C9E"/>
    <w:rsid w:val="00B7708D"/>
    <w:rsid w:val="00B816D1"/>
    <w:rsid w:val="00B81C6E"/>
    <w:rsid w:val="00B83C87"/>
    <w:rsid w:val="00B90DCB"/>
    <w:rsid w:val="00BB0C7E"/>
    <w:rsid w:val="00BB0E46"/>
    <w:rsid w:val="00BB1D44"/>
    <w:rsid w:val="00BB1F46"/>
    <w:rsid w:val="00BB3438"/>
    <w:rsid w:val="00BC2633"/>
    <w:rsid w:val="00BC3000"/>
    <w:rsid w:val="00BD217C"/>
    <w:rsid w:val="00BE1188"/>
    <w:rsid w:val="00BE3125"/>
    <w:rsid w:val="00BE3EA3"/>
    <w:rsid w:val="00BE4F25"/>
    <w:rsid w:val="00BE7606"/>
    <w:rsid w:val="00BF327D"/>
    <w:rsid w:val="00BF3A34"/>
    <w:rsid w:val="00C02045"/>
    <w:rsid w:val="00C02FA7"/>
    <w:rsid w:val="00C05F91"/>
    <w:rsid w:val="00C06440"/>
    <w:rsid w:val="00C22140"/>
    <w:rsid w:val="00C2218D"/>
    <w:rsid w:val="00C26239"/>
    <w:rsid w:val="00C30310"/>
    <w:rsid w:val="00C31C20"/>
    <w:rsid w:val="00C321E1"/>
    <w:rsid w:val="00C3229B"/>
    <w:rsid w:val="00C329B3"/>
    <w:rsid w:val="00C34B83"/>
    <w:rsid w:val="00C52A90"/>
    <w:rsid w:val="00C532AC"/>
    <w:rsid w:val="00C53A44"/>
    <w:rsid w:val="00C64C2C"/>
    <w:rsid w:val="00C70318"/>
    <w:rsid w:val="00C85166"/>
    <w:rsid w:val="00C86F7E"/>
    <w:rsid w:val="00C91515"/>
    <w:rsid w:val="00C929F6"/>
    <w:rsid w:val="00CA1BE9"/>
    <w:rsid w:val="00CA3A1E"/>
    <w:rsid w:val="00CA7041"/>
    <w:rsid w:val="00CB0743"/>
    <w:rsid w:val="00CB4D0B"/>
    <w:rsid w:val="00CB676F"/>
    <w:rsid w:val="00CB731C"/>
    <w:rsid w:val="00CC428F"/>
    <w:rsid w:val="00CC4D69"/>
    <w:rsid w:val="00CD24FE"/>
    <w:rsid w:val="00CE33C6"/>
    <w:rsid w:val="00CF0C5C"/>
    <w:rsid w:val="00CF69CA"/>
    <w:rsid w:val="00CF7FD4"/>
    <w:rsid w:val="00D0170B"/>
    <w:rsid w:val="00D025D1"/>
    <w:rsid w:val="00D05204"/>
    <w:rsid w:val="00D05F14"/>
    <w:rsid w:val="00D1107A"/>
    <w:rsid w:val="00D12163"/>
    <w:rsid w:val="00D123FF"/>
    <w:rsid w:val="00D12B67"/>
    <w:rsid w:val="00D145F8"/>
    <w:rsid w:val="00D156AB"/>
    <w:rsid w:val="00D16B0E"/>
    <w:rsid w:val="00D25C91"/>
    <w:rsid w:val="00D260A3"/>
    <w:rsid w:val="00D2698B"/>
    <w:rsid w:val="00D313D5"/>
    <w:rsid w:val="00D359CA"/>
    <w:rsid w:val="00D373BB"/>
    <w:rsid w:val="00D43D86"/>
    <w:rsid w:val="00D51361"/>
    <w:rsid w:val="00D56151"/>
    <w:rsid w:val="00D61E0D"/>
    <w:rsid w:val="00D62701"/>
    <w:rsid w:val="00D77E11"/>
    <w:rsid w:val="00D80FCA"/>
    <w:rsid w:val="00D850F6"/>
    <w:rsid w:val="00D908B5"/>
    <w:rsid w:val="00D9229A"/>
    <w:rsid w:val="00D92BC2"/>
    <w:rsid w:val="00D9745F"/>
    <w:rsid w:val="00DA096A"/>
    <w:rsid w:val="00DA326E"/>
    <w:rsid w:val="00DA52AC"/>
    <w:rsid w:val="00DA596D"/>
    <w:rsid w:val="00DA61E1"/>
    <w:rsid w:val="00DB496A"/>
    <w:rsid w:val="00DB5FB8"/>
    <w:rsid w:val="00DB63F1"/>
    <w:rsid w:val="00DC4237"/>
    <w:rsid w:val="00DC4298"/>
    <w:rsid w:val="00DC46D1"/>
    <w:rsid w:val="00DC53BC"/>
    <w:rsid w:val="00DC553D"/>
    <w:rsid w:val="00DE1A7C"/>
    <w:rsid w:val="00DE4330"/>
    <w:rsid w:val="00DE5932"/>
    <w:rsid w:val="00DE78C6"/>
    <w:rsid w:val="00DF1888"/>
    <w:rsid w:val="00DF35F9"/>
    <w:rsid w:val="00DF54AB"/>
    <w:rsid w:val="00E1379B"/>
    <w:rsid w:val="00E14631"/>
    <w:rsid w:val="00E23292"/>
    <w:rsid w:val="00E32319"/>
    <w:rsid w:val="00E34086"/>
    <w:rsid w:val="00E43386"/>
    <w:rsid w:val="00E44AAC"/>
    <w:rsid w:val="00E44C94"/>
    <w:rsid w:val="00E5388F"/>
    <w:rsid w:val="00E557CC"/>
    <w:rsid w:val="00E5586E"/>
    <w:rsid w:val="00E61BE5"/>
    <w:rsid w:val="00E6480F"/>
    <w:rsid w:val="00E66818"/>
    <w:rsid w:val="00E67149"/>
    <w:rsid w:val="00E67329"/>
    <w:rsid w:val="00E67818"/>
    <w:rsid w:val="00E75240"/>
    <w:rsid w:val="00E806AE"/>
    <w:rsid w:val="00E8272E"/>
    <w:rsid w:val="00E83201"/>
    <w:rsid w:val="00E8622A"/>
    <w:rsid w:val="00E9126A"/>
    <w:rsid w:val="00E9181C"/>
    <w:rsid w:val="00EA01D2"/>
    <w:rsid w:val="00EB4318"/>
    <w:rsid w:val="00EB6DB3"/>
    <w:rsid w:val="00EBE697"/>
    <w:rsid w:val="00EC0226"/>
    <w:rsid w:val="00EC1203"/>
    <w:rsid w:val="00EC2332"/>
    <w:rsid w:val="00EC3C33"/>
    <w:rsid w:val="00ED0C4B"/>
    <w:rsid w:val="00ED0FE5"/>
    <w:rsid w:val="00ED37B0"/>
    <w:rsid w:val="00ED573E"/>
    <w:rsid w:val="00EF7667"/>
    <w:rsid w:val="00F00244"/>
    <w:rsid w:val="00F04C12"/>
    <w:rsid w:val="00F13E2B"/>
    <w:rsid w:val="00F14999"/>
    <w:rsid w:val="00F358D3"/>
    <w:rsid w:val="00F37099"/>
    <w:rsid w:val="00F42766"/>
    <w:rsid w:val="00F44902"/>
    <w:rsid w:val="00F44EB1"/>
    <w:rsid w:val="00F50CE9"/>
    <w:rsid w:val="00F52AAE"/>
    <w:rsid w:val="00F574EA"/>
    <w:rsid w:val="00F64E5A"/>
    <w:rsid w:val="00F7310E"/>
    <w:rsid w:val="00F81FF6"/>
    <w:rsid w:val="00F82B26"/>
    <w:rsid w:val="00F82FEE"/>
    <w:rsid w:val="00F85AA6"/>
    <w:rsid w:val="00F91583"/>
    <w:rsid w:val="00F94CE3"/>
    <w:rsid w:val="00FA0759"/>
    <w:rsid w:val="00FA19B8"/>
    <w:rsid w:val="00FA259D"/>
    <w:rsid w:val="00FA2A06"/>
    <w:rsid w:val="00FA5740"/>
    <w:rsid w:val="00FA7947"/>
    <w:rsid w:val="00FB2959"/>
    <w:rsid w:val="00FB2E62"/>
    <w:rsid w:val="00FB41B8"/>
    <w:rsid w:val="00FB55B5"/>
    <w:rsid w:val="00FB6403"/>
    <w:rsid w:val="00FB6858"/>
    <w:rsid w:val="00FB7065"/>
    <w:rsid w:val="00FE0FF4"/>
    <w:rsid w:val="00FE3BB9"/>
    <w:rsid w:val="01528445"/>
    <w:rsid w:val="025BD873"/>
    <w:rsid w:val="04F8EBCF"/>
    <w:rsid w:val="05234AE6"/>
    <w:rsid w:val="07D6CAD9"/>
    <w:rsid w:val="0A82DA76"/>
    <w:rsid w:val="0B6C8817"/>
    <w:rsid w:val="0D37C6C2"/>
    <w:rsid w:val="0F31D732"/>
    <w:rsid w:val="0F69A06C"/>
    <w:rsid w:val="105F8C99"/>
    <w:rsid w:val="113A8DAB"/>
    <w:rsid w:val="12167E6F"/>
    <w:rsid w:val="12956E20"/>
    <w:rsid w:val="12D23861"/>
    <w:rsid w:val="12D7DEBB"/>
    <w:rsid w:val="12FB319A"/>
    <w:rsid w:val="138C0969"/>
    <w:rsid w:val="148E3919"/>
    <w:rsid w:val="149A89B6"/>
    <w:rsid w:val="153FED0D"/>
    <w:rsid w:val="19174A0B"/>
    <w:rsid w:val="19280395"/>
    <w:rsid w:val="19592FF7"/>
    <w:rsid w:val="1BA5E260"/>
    <w:rsid w:val="1CB73AEC"/>
    <w:rsid w:val="1D2FEED0"/>
    <w:rsid w:val="1DE19A6E"/>
    <w:rsid w:val="1EA6C154"/>
    <w:rsid w:val="1F8A6398"/>
    <w:rsid w:val="21239330"/>
    <w:rsid w:val="22068EA8"/>
    <w:rsid w:val="22D18D91"/>
    <w:rsid w:val="2334293E"/>
    <w:rsid w:val="24C45906"/>
    <w:rsid w:val="257706D1"/>
    <w:rsid w:val="25FDFF57"/>
    <w:rsid w:val="27962BB6"/>
    <w:rsid w:val="27C11B6E"/>
    <w:rsid w:val="285ABB24"/>
    <w:rsid w:val="28ECCC7B"/>
    <w:rsid w:val="294D020E"/>
    <w:rsid w:val="29AE8489"/>
    <w:rsid w:val="2B5FE02D"/>
    <w:rsid w:val="2F546E31"/>
    <w:rsid w:val="2F97DE69"/>
    <w:rsid w:val="31AFF83E"/>
    <w:rsid w:val="32A66D7F"/>
    <w:rsid w:val="34663612"/>
    <w:rsid w:val="37A1F42F"/>
    <w:rsid w:val="3824561D"/>
    <w:rsid w:val="39B2234E"/>
    <w:rsid w:val="3A7A91E2"/>
    <w:rsid w:val="3F2947A4"/>
    <w:rsid w:val="40E6F736"/>
    <w:rsid w:val="4170EEE3"/>
    <w:rsid w:val="451C62BF"/>
    <w:rsid w:val="45654573"/>
    <w:rsid w:val="4579AE60"/>
    <w:rsid w:val="47F8BA9F"/>
    <w:rsid w:val="486D531C"/>
    <w:rsid w:val="48D7C7F9"/>
    <w:rsid w:val="4B3F64AE"/>
    <w:rsid w:val="4C8C92A3"/>
    <w:rsid w:val="5200C6B9"/>
    <w:rsid w:val="529A8841"/>
    <w:rsid w:val="53766B89"/>
    <w:rsid w:val="53AB3D23"/>
    <w:rsid w:val="54FE35C9"/>
    <w:rsid w:val="561ADD89"/>
    <w:rsid w:val="56B34A32"/>
    <w:rsid w:val="56D3BB35"/>
    <w:rsid w:val="57DDD3C5"/>
    <w:rsid w:val="5B7455AB"/>
    <w:rsid w:val="5C054864"/>
    <w:rsid w:val="5DC1A4E7"/>
    <w:rsid w:val="61145BAC"/>
    <w:rsid w:val="61F46D5F"/>
    <w:rsid w:val="62DBFEBC"/>
    <w:rsid w:val="64DB5A0C"/>
    <w:rsid w:val="65DC7FCA"/>
    <w:rsid w:val="66994169"/>
    <w:rsid w:val="6919938C"/>
    <w:rsid w:val="692B0BCC"/>
    <w:rsid w:val="69DAB32C"/>
    <w:rsid w:val="6AA0CB40"/>
    <w:rsid w:val="6AC822AB"/>
    <w:rsid w:val="6BD4B217"/>
    <w:rsid w:val="6ED99098"/>
    <w:rsid w:val="7074FE11"/>
    <w:rsid w:val="72A7F619"/>
    <w:rsid w:val="7AC721E9"/>
    <w:rsid w:val="7B40ADEE"/>
    <w:rsid w:val="7EE11621"/>
    <w:rsid w:val="7F3E9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4E5AA-9624-4FBB-A103-032DEC7D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CD"/>
  </w:style>
  <w:style w:type="paragraph" w:styleId="Heading3">
    <w:name w:val="heading 3"/>
    <w:basedOn w:val="Normal"/>
    <w:link w:val="Heading3Char"/>
    <w:uiPriority w:val="9"/>
    <w:qFormat/>
    <w:rsid w:val="005E4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8E78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2"/>
    <w:rPr>
      <w:b/>
      <w:bCs/>
      <w:sz w:val="20"/>
      <w:szCs w:val="20"/>
    </w:rPr>
  </w:style>
  <w:style w:type="paragraph" w:styleId="NoSpacing">
    <w:name w:val="No Spacing"/>
    <w:uiPriority w:val="1"/>
    <w:qFormat/>
    <w:rsid w:val="00F37099"/>
    <w:pPr>
      <w:spacing w:after="0" w:line="240" w:lineRule="auto"/>
    </w:pPr>
  </w:style>
  <w:style w:type="paragraph" w:customStyle="1" w:styleId="doc-ti2">
    <w:name w:val="doc-ti2"/>
    <w:basedOn w:val="Normal"/>
    <w:rsid w:val="00757522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9A6EF5"/>
    <w:rPr>
      <w:shd w:val="clear" w:color="auto" w:fill="FFFF00"/>
    </w:rPr>
  </w:style>
  <w:style w:type="paragraph" w:customStyle="1" w:styleId="title-doc-first2">
    <w:name w:val="title-doc-first2"/>
    <w:basedOn w:val="Normal"/>
    <w:rsid w:val="009A6EF5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itle-doc-last2">
    <w:name w:val="title-doc-last2"/>
    <w:basedOn w:val="Normal"/>
    <w:rsid w:val="009A6EF5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43949"/>
    <w:rPr>
      <w:b/>
      <w:bCs/>
    </w:rPr>
  </w:style>
  <w:style w:type="character" w:customStyle="1" w:styleId="gmaildefault">
    <w:name w:val="gmail_default"/>
    <w:basedOn w:val="DefaultParagraphFont"/>
    <w:rsid w:val="00B103C5"/>
  </w:style>
  <w:style w:type="character" w:customStyle="1" w:styleId="Heading3Char">
    <w:name w:val="Heading 3 Char"/>
    <w:basedOn w:val="DefaultParagraphFont"/>
    <w:link w:val="Heading3"/>
    <w:uiPriority w:val="9"/>
    <w:rsid w:val="005E41B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5E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-ti">
    <w:name w:val="doc-ti"/>
    <w:basedOn w:val="Normal"/>
    <w:rsid w:val="00DC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basedOn w:val="Normal"/>
    <w:rsid w:val="00DA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B90"/>
    <w:rPr>
      <w:color w:val="605E5C"/>
      <w:shd w:val="clear" w:color="auto" w:fill="E1DFDD"/>
    </w:rPr>
  </w:style>
  <w:style w:type="paragraph" w:customStyle="1" w:styleId="Teksts1">
    <w:name w:val="Teksts1"/>
    <w:basedOn w:val="Normal"/>
    <w:link w:val="Teksts1Char"/>
    <w:rsid w:val="00D92BC2"/>
    <w:pPr>
      <w:spacing w:after="3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s1Char">
    <w:name w:val="Teksts1 Char"/>
    <w:basedOn w:val="DefaultParagraphFont"/>
    <w:link w:val="Teksts1"/>
    <w:locked/>
    <w:rsid w:val="00D92B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3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61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9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8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72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gov.lv/lv/sabiedribas_lidzdaliba/%20tiesibu_aktu_projekti/finansu_tirgus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D.Buse (FTPD)</Vad_x012b_t_x0101_js>
    <TAP xmlns="8a8406e0-fd3e-4c97-9c6b-df4e1c510b77">18</TAP>
    <Kategorija xmlns="2e5bb04e-596e-45bd-9003-43ca78b1ba16">Anotācija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653C-963B-460A-9E52-A689E6831D6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0069DC0E-99D0-4FD2-9EF6-4BCA3E2B8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FFA14-708A-448A-8173-28D7CF10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45A2F-F5CA-434D-99F6-C785ED4C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4908</Words>
  <Characters>2798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Finanšu instrumentu tirgus likumā" sākotnējās ietekmes novērtējuma ziņojums (anotācija)</vt:lpstr>
      <vt:lpstr>Likumprojekta "Grozījumi likumā "Par privātajiem pensiju fondiem"" sākotnējās ietekmes novērtējuma ziņojums (anotācija)</vt:lpstr>
    </vt:vector>
  </TitlesOfParts>
  <Company>Finanšu ministrija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Finanšu instrumentu tirgus likumā" sākotnējās ietekmes novērtējuma ziņojums (anotācija)</dc:title>
  <dc:subject>Likumprojekta "Grozījumi Finanšu instrumentu tirgus likumā" sākotnējās ietekmes novērtējuma ziņojums (anotācija)</dc:subject>
  <dc:creator>G.Davidovičs (FTPD)</dc:creator>
  <dc:description>gunvaldis.davidovics@fm.gov.lv, 67083931</dc:description>
  <cp:lastModifiedBy>Inguna Dancīte</cp:lastModifiedBy>
  <cp:revision>2</cp:revision>
  <cp:lastPrinted>2020-03-11T12:14:00Z</cp:lastPrinted>
  <dcterms:created xsi:type="dcterms:W3CDTF">2020-03-13T08:28:00Z</dcterms:created>
  <dcterms:modified xsi:type="dcterms:W3CDTF">2020-03-13T08:28:00Z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