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927" w:rsidRPr="00EE656C" w:rsidRDefault="00854927" w:rsidP="00854927">
      <w:pPr>
        <w:jc w:val="center"/>
        <w:rPr>
          <w:rFonts w:ascii="Times New Roman" w:eastAsiaTheme="minorHAnsi" w:hAnsi="Times New Roman"/>
          <w:b/>
          <w:noProof w:val="0"/>
          <w:sz w:val="28"/>
          <w:szCs w:val="28"/>
          <w:lang w:val="lv-LV"/>
        </w:rPr>
      </w:pPr>
      <w:bookmarkStart w:id="0" w:name="_GoBack"/>
      <w:bookmarkEnd w:id="0"/>
      <w:r w:rsidRPr="00EE656C">
        <w:rPr>
          <w:rFonts w:ascii="Times New Roman" w:hAnsi="Times New Roman"/>
          <w:b/>
          <w:bCs/>
          <w:noProof w:val="0"/>
          <w:sz w:val="28"/>
          <w:szCs w:val="28"/>
          <w:shd w:val="clear" w:color="auto" w:fill="FFFFFF"/>
          <w:lang w:val="lv-LV"/>
        </w:rPr>
        <w:t xml:space="preserve">Informatīvais ziņojums </w:t>
      </w:r>
      <w:r w:rsidR="0052513B">
        <w:rPr>
          <w:rFonts w:ascii="Times New Roman" w:hAnsi="Times New Roman"/>
          <w:b/>
          <w:bCs/>
          <w:noProof w:val="0"/>
          <w:sz w:val="28"/>
          <w:szCs w:val="28"/>
          <w:shd w:val="clear" w:color="auto" w:fill="FFFFFF"/>
          <w:lang w:val="lv-LV"/>
        </w:rPr>
        <w:t>“P</w:t>
      </w:r>
      <w:r w:rsidRPr="00EE656C">
        <w:rPr>
          <w:rFonts w:ascii="Times New Roman" w:hAnsi="Times New Roman"/>
          <w:b/>
          <w:bCs/>
          <w:noProof w:val="0"/>
          <w:sz w:val="28"/>
          <w:szCs w:val="28"/>
          <w:shd w:val="clear" w:color="auto" w:fill="FFFFFF"/>
          <w:lang w:val="lv-LV"/>
        </w:rPr>
        <w:t xml:space="preserve">ar risinājumiem </w:t>
      </w:r>
      <w:r w:rsidRPr="00EE656C">
        <w:rPr>
          <w:rFonts w:ascii="Times New Roman" w:eastAsiaTheme="minorHAnsi" w:hAnsi="Times New Roman"/>
          <w:b/>
          <w:noProof w:val="0"/>
          <w:sz w:val="28"/>
          <w:szCs w:val="28"/>
          <w:lang w:val="lv-LV"/>
        </w:rPr>
        <w:t>COVID-19 seku pārvarēšanai</w:t>
      </w:r>
      <w:r w:rsidR="00EE656C" w:rsidRPr="00EE656C">
        <w:rPr>
          <w:rFonts w:ascii="Times New Roman" w:eastAsiaTheme="minorHAnsi" w:hAnsi="Times New Roman"/>
          <w:b/>
          <w:noProof w:val="0"/>
          <w:sz w:val="28"/>
          <w:szCs w:val="28"/>
          <w:lang w:val="lv-LV"/>
        </w:rPr>
        <w:t xml:space="preserve"> </w:t>
      </w:r>
      <w:r w:rsidR="00EE656C" w:rsidRPr="00EE656C">
        <w:rPr>
          <w:rFonts w:ascii="Times New Roman" w:hAnsi="Times New Roman"/>
          <w:b/>
          <w:bCs/>
          <w:noProof w:val="0"/>
          <w:sz w:val="28"/>
          <w:szCs w:val="28"/>
          <w:shd w:val="clear" w:color="auto" w:fill="FFFFFF"/>
          <w:lang w:val="lv-LV"/>
        </w:rPr>
        <w:t>sociālajā un uzņēmējdarbības jomā</w:t>
      </w:r>
      <w:r w:rsidR="0052513B">
        <w:rPr>
          <w:rFonts w:ascii="Times New Roman" w:hAnsi="Times New Roman"/>
          <w:b/>
          <w:bCs/>
          <w:noProof w:val="0"/>
          <w:sz w:val="28"/>
          <w:szCs w:val="28"/>
          <w:shd w:val="clear" w:color="auto" w:fill="FFFFFF"/>
          <w:lang w:val="lv-LV"/>
        </w:rPr>
        <w:t>”</w:t>
      </w:r>
    </w:p>
    <w:p w:rsidR="00854927" w:rsidRPr="00854927" w:rsidRDefault="00854927" w:rsidP="00854927">
      <w:pPr>
        <w:jc w:val="center"/>
        <w:rPr>
          <w:rFonts w:ascii="Times New Roman" w:hAnsi="Times New Roman"/>
          <w:b/>
          <w:bCs/>
          <w:noProof w:val="0"/>
          <w:sz w:val="24"/>
          <w:szCs w:val="24"/>
          <w:shd w:val="clear" w:color="auto" w:fill="FFFFFF"/>
          <w:lang w:val="lv-LV"/>
        </w:rPr>
      </w:pPr>
    </w:p>
    <w:p w:rsidR="00914856" w:rsidRDefault="006E0DDD" w:rsidP="006E0DDD">
      <w:pPr>
        <w:jc w:val="both"/>
        <w:rPr>
          <w:rFonts w:ascii="Times New Roman" w:hAnsi="Times New Roman"/>
          <w:b/>
          <w:bCs/>
          <w:noProof w:val="0"/>
          <w:sz w:val="24"/>
          <w:szCs w:val="24"/>
          <w:shd w:val="clear" w:color="auto" w:fill="FFFFFF"/>
          <w:lang w:val="lv-LV"/>
        </w:rPr>
      </w:pPr>
      <w:r w:rsidRPr="00A113C3">
        <w:rPr>
          <w:rFonts w:ascii="Times New Roman" w:hAnsi="Times New Roman"/>
          <w:b/>
          <w:bCs/>
          <w:noProof w:val="0"/>
          <w:sz w:val="24"/>
          <w:szCs w:val="24"/>
          <w:shd w:val="clear" w:color="auto" w:fill="FFFFFF"/>
          <w:lang w:val="lv-LV"/>
        </w:rPr>
        <w:t xml:space="preserve">Lai </w:t>
      </w:r>
      <w:r w:rsidR="00695685">
        <w:rPr>
          <w:rFonts w:ascii="Times New Roman" w:hAnsi="Times New Roman"/>
          <w:b/>
          <w:bCs/>
          <w:noProof w:val="0"/>
          <w:sz w:val="24"/>
          <w:szCs w:val="24"/>
          <w:shd w:val="clear" w:color="auto" w:fill="FFFFFF"/>
          <w:lang w:val="lv-LV"/>
        </w:rPr>
        <w:t xml:space="preserve">atbildīgi, mērķtiecīgi un izlēmīgi rīkotos </w:t>
      </w:r>
      <w:r w:rsidRPr="00A113C3">
        <w:rPr>
          <w:rFonts w:ascii="Times New Roman" w:hAnsi="Times New Roman"/>
          <w:b/>
          <w:bCs/>
          <w:noProof w:val="0"/>
          <w:sz w:val="24"/>
          <w:szCs w:val="24"/>
          <w:shd w:val="clear" w:color="auto" w:fill="FFFFFF"/>
          <w:lang w:val="lv-LV"/>
        </w:rPr>
        <w:t xml:space="preserve">COVID-19 </w:t>
      </w:r>
      <w:r w:rsidR="00695685">
        <w:rPr>
          <w:rFonts w:ascii="Times New Roman" w:hAnsi="Times New Roman"/>
          <w:b/>
          <w:bCs/>
          <w:noProof w:val="0"/>
          <w:sz w:val="24"/>
          <w:szCs w:val="24"/>
          <w:shd w:val="clear" w:color="auto" w:fill="FFFFFF"/>
          <w:lang w:val="lv-LV"/>
        </w:rPr>
        <w:t>radīto seku novēršanai sociālā un</w:t>
      </w:r>
      <w:r w:rsidRPr="00A113C3">
        <w:rPr>
          <w:rFonts w:ascii="Times New Roman" w:hAnsi="Times New Roman"/>
          <w:b/>
          <w:bCs/>
          <w:noProof w:val="0"/>
          <w:sz w:val="24"/>
          <w:szCs w:val="24"/>
          <w:shd w:val="clear" w:color="auto" w:fill="FFFFFF"/>
          <w:lang w:val="lv-LV"/>
        </w:rPr>
        <w:t xml:space="preserve"> uzņēmējdarbīb</w:t>
      </w:r>
      <w:r w:rsidR="00695685">
        <w:rPr>
          <w:rFonts w:ascii="Times New Roman" w:hAnsi="Times New Roman"/>
          <w:b/>
          <w:bCs/>
          <w:noProof w:val="0"/>
          <w:sz w:val="24"/>
          <w:szCs w:val="24"/>
          <w:shd w:val="clear" w:color="auto" w:fill="FFFFFF"/>
          <w:lang w:val="lv-LV"/>
        </w:rPr>
        <w:t>as jomā</w:t>
      </w:r>
      <w:r w:rsidRPr="00A113C3">
        <w:rPr>
          <w:rFonts w:ascii="Times New Roman" w:hAnsi="Times New Roman"/>
          <w:b/>
          <w:bCs/>
          <w:noProof w:val="0"/>
          <w:sz w:val="24"/>
          <w:szCs w:val="24"/>
          <w:shd w:val="clear" w:color="auto" w:fill="FFFFFF"/>
          <w:lang w:val="lv-LV"/>
        </w:rPr>
        <w:t>, nepieciešam</w:t>
      </w:r>
      <w:r w:rsidR="00662254">
        <w:rPr>
          <w:rFonts w:ascii="Times New Roman" w:hAnsi="Times New Roman"/>
          <w:b/>
          <w:bCs/>
          <w:noProof w:val="0"/>
          <w:sz w:val="24"/>
          <w:szCs w:val="24"/>
          <w:shd w:val="clear" w:color="auto" w:fill="FFFFFF"/>
          <w:lang w:val="lv-LV"/>
        </w:rPr>
        <w:t>a rīcība</w:t>
      </w:r>
      <w:r w:rsidR="00914856">
        <w:rPr>
          <w:rFonts w:ascii="Times New Roman" w:hAnsi="Times New Roman"/>
          <w:b/>
          <w:bCs/>
          <w:noProof w:val="0"/>
          <w:sz w:val="24"/>
          <w:szCs w:val="24"/>
          <w:shd w:val="clear" w:color="auto" w:fill="FFFFFF"/>
          <w:lang w:val="lv-LV"/>
        </w:rPr>
        <w:t xml:space="preserve"> trīs virzienos:</w:t>
      </w:r>
    </w:p>
    <w:p w:rsidR="00914856" w:rsidRPr="00BA3F3D" w:rsidRDefault="006E0DDD" w:rsidP="00BA3F3D">
      <w:pPr>
        <w:pStyle w:val="ListParagraph"/>
        <w:numPr>
          <w:ilvl w:val="0"/>
          <w:numId w:val="21"/>
        </w:numPr>
        <w:jc w:val="both"/>
        <w:rPr>
          <w:rFonts w:ascii="Times New Roman" w:hAnsi="Times New Roman"/>
          <w:b/>
          <w:bCs/>
          <w:noProof w:val="0"/>
          <w:sz w:val="24"/>
          <w:szCs w:val="24"/>
          <w:shd w:val="clear" w:color="auto" w:fill="FFFFFF"/>
          <w:lang w:val="lv-LV"/>
        </w:rPr>
      </w:pPr>
      <w:r w:rsidRPr="00BA3F3D">
        <w:rPr>
          <w:rFonts w:ascii="Times New Roman" w:hAnsi="Times New Roman"/>
          <w:b/>
          <w:bCs/>
          <w:noProof w:val="0"/>
          <w:sz w:val="24"/>
          <w:szCs w:val="24"/>
          <w:shd w:val="clear" w:color="auto" w:fill="FFFFFF"/>
          <w:lang w:val="lv-LV"/>
        </w:rPr>
        <w:t>sociālais atbalsts (slimības lapu apmaksa) darbiniekiem, sedzot uzņēmējiem darba devēja maksājamā darbinieka slimības pabalsta apmēru</w:t>
      </w:r>
      <w:r w:rsidR="00914856" w:rsidRPr="00BA3F3D">
        <w:rPr>
          <w:rFonts w:ascii="Times New Roman" w:hAnsi="Times New Roman"/>
          <w:b/>
          <w:bCs/>
          <w:noProof w:val="0"/>
          <w:sz w:val="24"/>
          <w:szCs w:val="24"/>
          <w:shd w:val="clear" w:color="auto" w:fill="FFFFFF"/>
          <w:lang w:val="lv-LV"/>
        </w:rPr>
        <w:t>,</w:t>
      </w:r>
    </w:p>
    <w:p w:rsidR="00914856" w:rsidRPr="00BA3F3D" w:rsidRDefault="006E0DDD" w:rsidP="00BA3F3D">
      <w:pPr>
        <w:pStyle w:val="ListParagraph"/>
        <w:numPr>
          <w:ilvl w:val="0"/>
          <w:numId w:val="21"/>
        </w:numPr>
        <w:jc w:val="both"/>
        <w:rPr>
          <w:rFonts w:ascii="Times New Roman" w:hAnsi="Times New Roman"/>
          <w:b/>
          <w:bCs/>
          <w:noProof w:val="0"/>
          <w:sz w:val="24"/>
          <w:szCs w:val="24"/>
          <w:shd w:val="clear" w:color="auto" w:fill="FFFFFF"/>
          <w:lang w:val="lv-LV"/>
        </w:rPr>
      </w:pPr>
      <w:r w:rsidRPr="00BA3F3D">
        <w:rPr>
          <w:rFonts w:ascii="Times New Roman" w:hAnsi="Times New Roman"/>
          <w:b/>
          <w:bCs/>
          <w:noProof w:val="0"/>
          <w:sz w:val="24"/>
          <w:szCs w:val="24"/>
          <w:shd w:val="clear" w:color="auto" w:fill="FFFFFF"/>
          <w:lang w:val="lv-LV"/>
        </w:rPr>
        <w:t xml:space="preserve">nodokļu </w:t>
      </w:r>
      <w:r w:rsidR="00695685" w:rsidRPr="00BA3F3D">
        <w:rPr>
          <w:rFonts w:ascii="Times New Roman" w:hAnsi="Times New Roman"/>
          <w:b/>
          <w:bCs/>
          <w:noProof w:val="0"/>
          <w:sz w:val="24"/>
          <w:szCs w:val="24"/>
          <w:shd w:val="clear" w:color="auto" w:fill="FFFFFF"/>
          <w:lang w:val="lv-LV"/>
        </w:rPr>
        <w:t>risinājumi</w:t>
      </w:r>
      <w:r w:rsidRPr="00BA3F3D">
        <w:rPr>
          <w:rFonts w:ascii="Times New Roman" w:hAnsi="Times New Roman"/>
          <w:b/>
          <w:bCs/>
          <w:noProof w:val="0"/>
          <w:sz w:val="24"/>
          <w:szCs w:val="24"/>
          <w:shd w:val="clear" w:color="auto" w:fill="FFFFFF"/>
          <w:lang w:val="lv-LV"/>
        </w:rPr>
        <w:t xml:space="preserve">, </w:t>
      </w:r>
    </w:p>
    <w:p w:rsidR="006E0DDD" w:rsidRPr="00BA3F3D" w:rsidRDefault="006E0DDD" w:rsidP="00BA3F3D">
      <w:pPr>
        <w:pStyle w:val="ListParagraph"/>
        <w:numPr>
          <w:ilvl w:val="0"/>
          <w:numId w:val="21"/>
        </w:numPr>
        <w:jc w:val="both"/>
        <w:rPr>
          <w:rFonts w:ascii="Times New Roman" w:hAnsi="Times New Roman"/>
          <w:b/>
          <w:bCs/>
          <w:noProof w:val="0"/>
          <w:sz w:val="24"/>
          <w:szCs w:val="24"/>
          <w:shd w:val="clear" w:color="auto" w:fill="FFFFFF"/>
          <w:lang w:val="lv-LV"/>
        </w:rPr>
      </w:pPr>
      <w:r w:rsidRPr="00BA3F3D">
        <w:rPr>
          <w:rFonts w:ascii="Times New Roman" w:hAnsi="Times New Roman"/>
          <w:b/>
          <w:bCs/>
          <w:noProof w:val="0"/>
          <w:sz w:val="24"/>
          <w:szCs w:val="24"/>
          <w:shd w:val="clear" w:color="auto" w:fill="FFFFFF"/>
          <w:lang w:val="lv-LV"/>
        </w:rPr>
        <w:t>uzņēmējdarbības atbalsts finanšu instrumentu veidā</w:t>
      </w:r>
      <w:r w:rsidR="00914856" w:rsidRPr="00BA3F3D">
        <w:rPr>
          <w:rFonts w:ascii="Times New Roman" w:hAnsi="Times New Roman"/>
          <w:b/>
          <w:bCs/>
          <w:noProof w:val="0"/>
          <w:sz w:val="24"/>
          <w:szCs w:val="24"/>
          <w:shd w:val="clear" w:color="auto" w:fill="FFFFFF"/>
          <w:lang w:val="lv-LV"/>
        </w:rPr>
        <w:t>.</w:t>
      </w:r>
    </w:p>
    <w:p w:rsidR="00914856" w:rsidRPr="00914856" w:rsidRDefault="00914856" w:rsidP="00914856">
      <w:pPr>
        <w:jc w:val="both"/>
        <w:rPr>
          <w:rFonts w:ascii="Times New Roman" w:hAnsi="Times New Roman"/>
          <w:b/>
          <w:bCs/>
          <w:noProof w:val="0"/>
          <w:sz w:val="24"/>
          <w:szCs w:val="24"/>
          <w:shd w:val="clear" w:color="auto" w:fill="FFFFFF"/>
          <w:lang w:val="lv-LV"/>
        </w:rPr>
      </w:pPr>
    </w:p>
    <w:p w:rsidR="006E0DDD" w:rsidRPr="00662254" w:rsidRDefault="00A113C3" w:rsidP="00BA3F3D">
      <w:pPr>
        <w:pStyle w:val="ListParagraph"/>
        <w:numPr>
          <w:ilvl w:val="0"/>
          <w:numId w:val="19"/>
        </w:numPr>
        <w:jc w:val="both"/>
        <w:rPr>
          <w:rFonts w:ascii="Times New Roman" w:eastAsiaTheme="minorHAnsi" w:hAnsi="Times New Roman"/>
          <w:noProof w:val="0"/>
          <w:sz w:val="24"/>
          <w:szCs w:val="24"/>
          <w:lang w:val="lv-LV"/>
        </w:rPr>
      </w:pPr>
      <w:r w:rsidRPr="00662254">
        <w:rPr>
          <w:rFonts w:ascii="Times New Roman" w:hAnsi="Times New Roman"/>
          <w:b/>
          <w:bCs/>
          <w:noProof w:val="0"/>
          <w:sz w:val="24"/>
          <w:szCs w:val="24"/>
          <w:shd w:val="clear" w:color="auto" w:fill="FFFFFF"/>
          <w:lang w:val="lv-LV"/>
        </w:rPr>
        <w:t>Sociālais atbalsts (slimības lapu apmaksa) darbiniekiem, sedzot uzņēmējiem darba devēja maksājamā darbinieka slimības pabalsta apmēr</w:t>
      </w:r>
      <w:r w:rsidR="00662254" w:rsidRPr="00662254">
        <w:rPr>
          <w:rFonts w:ascii="Times New Roman" w:hAnsi="Times New Roman"/>
          <w:b/>
          <w:bCs/>
          <w:noProof w:val="0"/>
          <w:sz w:val="24"/>
          <w:szCs w:val="24"/>
          <w:shd w:val="clear" w:color="auto" w:fill="FFFFFF"/>
          <w:lang w:val="lv-LV"/>
        </w:rPr>
        <w:t xml:space="preserve">u - </w:t>
      </w:r>
      <w:r w:rsidR="006E0DDD" w:rsidRPr="00662254">
        <w:rPr>
          <w:rFonts w:ascii="Times New Roman" w:eastAsiaTheme="minorHAnsi" w:hAnsi="Times New Roman"/>
          <w:noProof w:val="0"/>
          <w:sz w:val="24"/>
          <w:szCs w:val="24"/>
          <w:lang w:val="lv-LV"/>
        </w:rPr>
        <w:t xml:space="preserve">Labklājības ministrija sagatavo priekšlikumus kā COVID-19 pandēmijas laikā solidārā veidā sniegt terminētu valsts atbalstu darba devējiem darba nespējas lapu apmaksai, to veicot no speciālā budžeta līdzekļiem. </w:t>
      </w:r>
    </w:p>
    <w:p w:rsidR="008E3A2D" w:rsidRDefault="008E3A2D" w:rsidP="008E3A2D">
      <w:pPr>
        <w:pStyle w:val="ListParagraph"/>
        <w:jc w:val="both"/>
        <w:rPr>
          <w:rFonts w:ascii="Times New Roman" w:hAnsi="Times New Roman"/>
          <w:b/>
          <w:bCs/>
          <w:noProof w:val="0"/>
          <w:sz w:val="24"/>
          <w:szCs w:val="24"/>
          <w:shd w:val="clear" w:color="auto" w:fill="FFFFFF"/>
          <w:lang w:val="lv-LV"/>
        </w:rPr>
      </w:pPr>
    </w:p>
    <w:p w:rsidR="006E0DDD" w:rsidRDefault="00A113C3" w:rsidP="00BA3F3D">
      <w:pPr>
        <w:pStyle w:val="ListParagraph"/>
        <w:numPr>
          <w:ilvl w:val="0"/>
          <w:numId w:val="19"/>
        </w:numPr>
        <w:jc w:val="both"/>
        <w:rPr>
          <w:rFonts w:ascii="Times New Roman" w:hAnsi="Times New Roman"/>
          <w:b/>
          <w:bCs/>
          <w:noProof w:val="0"/>
          <w:sz w:val="24"/>
          <w:szCs w:val="24"/>
          <w:shd w:val="clear" w:color="auto" w:fill="FFFFFF"/>
          <w:lang w:val="lv-LV"/>
        </w:rPr>
      </w:pPr>
      <w:r w:rsidRPr="00662254">
        <w:rPr>
          <w:rFonts w:ascii="Times New Roman" w:hAnsi="Times New Roman"/>
          <w:b/>
          <w:bCs/>
          <w:noProof w:val="0"/>
          <w:sz w:val="24"/>
          <w:szCs w:val="24"/>
          <w:shd w:val="clear" w:color="auto" w:fill="FFFFFF"/>
          <w:lang w:val="lv-LV"/>
        </w:rPr>
        <w:t xml:space="preserve">Nodokļu </w:t>
      </w:r>
      <w:r w:rsidR="00695685">
        <w:rPr>
          <w:rFonts w:ascii="Times New Roman" w:hAnsi="Times New Roman"/>
          <w:b/>
          <w:bCs/>
          <w:noProof w:val="0"/>
          <w:sz w:val="24"/>
          <w:szCs w:val="24"/>
          <w:shd w:val="clear" w:color="auto" w:fill="FFFFFF"/>
          <w:lang w:val="lv-LV"/>
        </w:rPr>
        <w:t>risinājumi</w:t>
      </w:r>
      <w:r w:rsidRPr="00662254">
        <w:rPr>
          <w:rFonts w:ascii="Times New Roman" w:hAnsi="Times New Roman"/>
          <w:b/>
          <w:bCs/>
          <w:noProof w:val="0"/>
          <w:sz w:val="24"/>
          <w:szCs w:val="24"/>
          <w:shd w:val="clear" w:color="auto" w:fill="FFFFFF"/>
          <w:lang w:val="lv-LV"/>
        </w:rPr>
        <w:t>:</w:t>
      </w:r>
    </w:p>
    <w:p w:rsidR="00662254" w:rsidRDefault="00662254" w:rsidP="00662254">
      <w:pPr>
        <w:pStyle w:val="ListParagraph"/>
        <w:jc w:val="both"/>
        <w:rPr>
          <w:rFonts w:ascii="Times New Roman" w:eastAsiaTheme="minorHAnsi" w:hAnsi="Times New Roman"/>
          <w:noProof w:val="0"/>
          <w:sz w:val="24"/>
          <w:szCs w:val="24"/>
          <w:lang w:val="lv-LV"/>
        </w:rPr>
      </w:pPr>
    </w:p>
    <w:p w:rsidR="00A113C3" w:rsidRPr="00662254" w:rsidRDefault="00914856" w:rsidP="00BA3F3D">
      <w:pPr>
        <w:pStyle w:val="ListParagraph"/>
        <w:ind w:left="709"/>
        <w:jc w:val="both"/>
        <w:rPr>
          <w:rFonts w:ascii="Times New Roman" w:eastAsiaTheme="minorHAnsi" w:hAnsi="Times New Roman"/>
          <w:noProof w:val="0"/>
          <w:sz w:val="24"/>
          <w:szCs w:val="24"/>
          <w:lang w:val="lv-LV"/>
        </w:rPr>
      </w:pPr>
      <w:r w:rsidRPr="00695685">
        <w:rPr>
          <w:rFonts w:ascii="Times New Roman" w:eastAsiaTheme="minorHAnsi" w:hAnsi="Times New Roman"/>
          <w:noProof w:val="0"/>
          <w:sz w:val="24"/>
          <w:szCs w:val="24"/>
          <w:lang w:val="lv-LV"/>
        </w:rPr>
        <w:t>Atbilstoši spēkā esošajā nor</w:t>
      </w:r>
      <w:r w:rsidRPr="00914856">
        <w:rPr>
          <w:rFonts w:ascii="Times New Roman" w:eastAsiaTheme="minorHAnsi" w:hAnsi="Times New Roman"/>
          <w:noProof w:val="0"/>
          <w:sz w:val="24"/>
          <w:szCs w:val="24"/>
          <w:lang w:val="lv-LV"/>
        </w:rPr>
        <w:t>mām</w:t>
      </w:r>
      <w:r w:rsidR="00A113C3" w:rsidRPr="00662254">
        <w:rPr>
          <w:rFonts w:ascii="Times New Roman" w:eastAsiaTheme="minorHAnsi" w:hAnsi="Times New Roman"/>
          <w:noProof w:val="0"/>
          <w:sz w:val="24"/>
          <w:szCs w:val="24"/>
          <w:lang w:val="lv-LV"/>
        </w:rPr>
        <w:t xml:space="preserve"> likumā "Par nodokļiem un nodevām" ir paredzēti šādi tiesiskie risinājumi nodokļu saistību izpildei:</w:t>
      </w:r>
    </w:p>
    <w:p w:rsidR="00A113C3" w:rsidRPr="00A113C3" w:rsidRDefault="00A113C3" w:rsidP="00662254">
      <w:pPr>
        <w:spacing w:before="100" w:beforeAutospacing="1"/>
        <w:ind w:left="720"/>
        <w:jc w:val="both"/>
        <w:rPr>
          <w:rFonts w:ascii="Times New Roman" w:eastAsiaTheme="minorHAnsi" w:hAnsi="Times New Roman"/>
          <w:noProof w:val="0"/>
          <w:sz w:val="24"/>
          <w:szCs w:val="24"/>
          <w:lang w:val="lv-LV"/>
        </w:rPr>
      </w:pPr>
      <w:r>
        <w:t xml:space="preserve">1) </w:t>
      </w:r>
      <w:proofErr w:type="gramStart"/>
      <w:r w:rsidRPr="00A113C3">
        <w:rPr>
          <w:rFonts w:ascii="Times New Roman" w:eastAsiaTheme="minorHAnsi" w:hAnsi="Times New Roman"/>
          <w:noProof w:val="0"/>
          <w:sz w:val="24"/>
          <w:szCs w:val="24"/>
          <w:lang w:val="lv-LV"/>
        </w:rPr>
        <w:t>sadalīt</w:t>
      </w:r>
      <w:proofErr w:type="gramEnd"/>
      <w:r w:rsidRPr="00A113C3">
        <w:rPr>
          <w:rFonts w:ascii="Times New Roman" w:eastAsiaTheme="minorHAnsi" w:hAnsi="Times New Roman"/>
          <w:noProof w:val="0"/>
          <w:sz w:val="24"/>
          <w:szCs w:val="24"/>
          <w:lang w:val="lv-LV"/>
        </w:rPr>
        <w:t xml:space="preserve"> termiņos uz laiku līdz vienam gadam, skaitot no iesnieguma iesniegšanas dienas (ar nodokļu deklarācijām aprēķināto) nodokļu maksājumu samaksu. Piešķirot minēto nodokļu samaksas termiņa pagarinājumu, nokavētajiem nodokļu maksājumiem tiek aprēķināta nokavējuma nauda 0.0125% par katru dienu visā kavējuma periodā;</w:t>
      </w:r>
    </w:p>
    <w:p w:rsidR="00A113C3" w:rsidRPr="00A113C3" w:rsidRDefault="00A113C3" w:rsidP="00662254">
      <w:pPr>
        <w:spacing w:before="100" w:beforeAutospacing="1"/>
        <w:ind w:left="720"/>
        <w:jc w:val="both"/>
        <w:rPr>
          <w:rFonts w:ascii="Times New Roman" w:eastAsiaTheme="minorHAnsi" w:hAnsi="Times New Roman"/>
          <w:noProof w:val="0"/>
          <w:sz w:val="24"/>
          <w:szCs w:val="24"/>
          <w:lang w:val="lv-LV"/>
        </w:rPr>
      </w:pPr>
      <w:r>
        <w:rPr>
          <w:shd w:val="clear" w:color="auto" w:fill="FFFFFF"/>
        </w:rPr>
        <w:t xml:space="preserve">2) </w:t>
      </w:r>
      <w:r w:rsidRPr="00A113C3">
        <w:rPr>
          <w:rFonts w:ascii="Times New Roman" w:eastAsiaTheme="minorHAnsi" w:hAnsi="Times New Roman"/>
          <w:noProof w:val="0"/>
          <w:sz w:val="24"/>
          <w:szCs w:val="24"/>
          <w:lang w:val="lv-LV"/>
        </w:rPr>
        <w:t xml:space="preserve"> </w:t>
      </w:r>
      <w:proofErr w:type="gramStart"/>
      <w:r>
        <w:rPr>
          <w:rFonts w:ascii="Times New Roman" w:eastAsiaTheme="minorHAnsi" w:hAnsi="Times New Roman"/>
          <w:noProof w:val="0"/>
          <w:sz w:val="24"/>
          <w:szCs w:val="24"/>
          <w:lang w:val="lv-LV"/>
        </w:rPr>
        <w:t>s</w:t>
      </w:r>
      <w:r w:rsidRPr="00A113C3">
        <w:rPr>
          <w:rFonts w:ascii="Times New Roman" w:eastAsiaTheme="minorHAnsi" w:hAnsi="Times New Roman"/>
          <w:noProof w:val="0"/>
          <w:sz w:val="24"/>
          <w:szCs w:val="24"/>
          <w:lang w:val="lv-LV"/>
        </w:rPr>
        <w:t>adalīt</w:t>
      </w:r>
      <w:proofErr w:type="gramEnd"/>
      <w:r w:rsidRPr="00A113C3">
        <w:rPr>
          <w:rFonts w:ascii="Times New Roman" w:eastAsiaTheme="minorHAnsi" w:hAnsi="Times New Roman"/>
          <w:noProof w:val="0"/>
          <w:sz w:val="24"/>
          <w:szCs w:val="24"/>
          <w:lang w:val="lv-LV"/>
        </w:rPr>
        <w:t xml:space="preserve"> termiņos vai atlikt uz laiku līdz vienam gadam nokavēto nodokļu maksājumu samaksu, ja termiņa nokavējums radies nepārvaramas varas rezultātā (ņemot vērā, ka viens no nepārvaramas varas apstākļiem ir arī masu saslimšana jeb epidēmija). Piešķirot minēto nodokļu samaksas termiņa pagarinājumu, nokavējuma nauda par visu nokavējum</w:t>
      </w:r>
      <w:r>
        <w:t xml:space="preserve">a </w:t>
      </w:r>
      <w:r w:rsidRPr="00A113C3">
        <w:rPr>
          <w:rFonts w:ascii="Times New Roman" w:eastAsiaTheme="minorHAnsi" w:hAnsi="Times New Roman"/>
          <w:noProof w:val="0"/>
          <w:sz w:val="24"/>
          <w:szCs w:val="24"/>
          <w:lang w:val="lv-LV"/>
        </w:rPr>
        <w:t>periodu nodokļu maksātāja nokavētajiem nodokļu maksājumiem netiek aprēķināta.</w:t>
      </w:r>
    </w:p>
    <w:p w:rsidR="00662254" w:rsidRPr="00F93804" w:rsidRDefault="00A113C3" w:rsidP="00BA3F3D">
      <w:pPr>
        <w:pStyle w:val="ListParagraph"/>
        <w:spacing w:before="100" w:beforeAutospacing="1"/>
        <w:ind w:left="0"/>
        <w:jc w:val="both"/>
        <w:rPr>
          <w:rFonts w:ascii="Times New Roman" w:eastAsiaTheme="minorHAnsi" w:hAnsi="Times New Roman"/>
          <w:noProof w:val="0"/>
          <w:sz w:val="24"/>
          <w:szCs w:val="24"/>
          <w:lang w:val="lv-LV"/>
        </w:rPr>
      </w:pPr>
      <w:r w:rsidRPr="00F93804">
        <w:rPr>
          <w:rFonts w:ascii="Times New Roman" w:eastAsiaTheme="minorHAnsi" w:hAnsi="Times New Roman"/>
          <w:noProof w:val="0"/>
          <w:sz w:val="24"/>
          <w:szCs w:val="24"/>
          <w:u w:val="single"/>
          <w:lang w:val="lv-LV"/>
        </w:rPr>
        <w:t>Papildus piedāvātais tiesiskais risinājums</w:t>
      </w:r>
      <w:r w:rsidRPr="00F93804">
        <w:rPr>
          <w:rFonts w:ascii="Times New Roman" w:eastAsiaTheme="minorHAnsi" w:hAnsi="Times New Roman"/>
          <w:noProof w:val="0"/>
          <w:sz w:val="24"/>
          <w:szCs w:val="24"/>
          <w:lang w:val="lv-LV"/>
        </w:rPr>
        <w:t>, kas iestrādājams normatīvajā regulējumā:</w:t>
      </w:r>
    </w:p>
    <w:p w:rsidR="00A113C3" w:rsidRPr="00662254" w:rsidRDefault="00695685" w:rsidP="00662254">
      <w:pPr>
        <w:spacing w:before="100" w:beforeAutospacing="1"/>
        <w:jc w:val="both"/>
        <w:rPr>
          <w:rFonts w:ascii="Times New Roman" w:eastAsiaTheme="minorHAnsi" w:hAnsi="Times New Roman"/>
          <w:noProof w:val="0"/>
          <w:sz w:val="24"/>
          <w:szCs w:val="24"/>
          <w:lang w:val="lv-LV"/>
        </w:rPr>
      </w:pPr>
      <w:r>
        <w:rPr>
          <w:rFonts w:ascii="Times New Roman" w:eastAsiaTheme="minorHAnsi" w:hAnsi="Times New Roman"/>
          <w:b/>
          <w:noProof w:val="0"/>
          <w:sz w:val="24"/>
          <w:szCs w:val="24"/>
          <w:lang w:val="lv-LV"/>
        </w:rPr>
        <w:t>S</w:t>
      </w:r>
      <w:r w:rsidR="00A113C3" w:rsidRPr="00914856">
        <w:rPr>
          <w:rFonts w:ascii="Times New Roman" w:eastAsiaTheme="minorHAnsi" w:hAnsi="Times New Roman"/>
          <w:b/>
          <w:noProof w:val="0"/>
          <w:sz w:val="24"/>
          <w:szCs w:val="24"/>
          <w:lang w:val="lv-LV"/>
        </w:rPr>
        <w:t>adalīt termiņos vai atlikt uz laiku līdz trīs gadie</w:t>
      </w:r>
      <w:r w:rsidR="00A113C3" w:rsidRPr="00662254">
        <w:rPr>
          <w:rFonts w:ascii="Times New Roman" w:eastAsiaTheme="minorHAnsi" w:hAnsi="Times New Roman"/>
          <w:noProof w:val="0"/>
          <w:sz w:val="24"/>
          <w:szCs w:val="24"/>
          <w:lang w:val="lv-LV"/>
        </w:rPr>
        <w:t xml:space="preserve">m nokavēto nodokļu maksājumu samaksu nodokļu maksātājiem </w:t>
      </w:r>
      <w:r w:rsidR="00A113C3" w:rsidRPr="00695685">
        <w:rPr>
          <w:rFonts w:ascii="Times New Roman" w:eastAsiaTheme="minorHAnsi" w:hAnsi="Times New Roman"/>
          <w:b/>
          <w:noProof w:val="0"/>
          <w:sz w:val="24"/>
          <w:szCs w:val="24"/>
          <w:lang w:val="lv-LV"/>
        </w:rPr>
        <w:t xml:space="preserve">Ministru kabineta noteiktajās nozarēs </w:t>
      </w:r>
      <w:r w:rsidR="00A113C3" w:rsidRPr="00662254">
        <w:rPr>
          <w:rFonts w:ascii="Times New Roman" w:eastAsiaTheme="minorHAnsi" w:hAnsi="Times New Roman"/>
          <w:noProof w:val="0"/>
          <w:sz w:val="24"/>
          <w:szCs w:val="24"/>
          <w:lang w:val="lv-LV"/>
        </w:rPr>
        <w:t xml:space="preserve">finansiālo grūtību pārvarēšanai, ja termiņa nokavējums radies Covid-19 ietekmes rezultātā. </w:t>
      </w:r>
      <w:r w:rsidRPr="00695685">
        <w:rPr>
          <w:rFonts w:ascii="Times New Roman" w:eastAsiaTheme="minorHAnsi" w:hAnsi="Times New Roman"/>
          <w:b/>
          <w:noProof w:val="0"/>
          <w:sz w:val="24"/>
          <w:szCs w:val="24"/>
          <w:lang w:val="lv-LV"/>
        </w:rPr>
        <w:t>Nepieciešams saskaņojums ar Eiropas Komisiju.</w:t>
      </w:r>
    </w:p>
    <w:p w:rsidR="00A113C3" w:rsidRPr="00A113C3" w:rsidRDefault="00A113C3" w:rsidP="00A113C3">
      <w:pPr>
        <w:spacing w:before="100" w:beforeAutospacing="1"/>
        <w:jc w:val="both"/>
        <w:rPr>
          <w:rFonts w:ascii="Times New Roman" w:eastAsiaTheme="minorHAnsi" w:hAnsi="Times New Roman"/>
          <w:noProof w:val="0"/>
          <w:sz w:val="24"/>
          <w:szCs w:val="24"/>
          <w:lang w:val="lv-LV"/>
        </w:rPr>
      </w:pPr>
      <w:r w:rsidRPr="00A113C3">
        <w:rPr>
          <w:rFonts w:ascii="Times New Roman" w:eastAsiaTheme="minorHAnsi" w:hAnsi="Times New Roman"/>
          <w:noProof w:val="0"/>
          <w:sz w:val="24"/>
          <w:szCs w:val="24"/>
          <w:lang w:val="lv-LV"/>
        </w:rPr>
        <w:t xml:space="preserve">Šāds regulējums tiks attiecināts ne tikai uz nodokļu maksātājiem, kuriem radušās (radīsies) grūtības ar aktuālo nodokļu maksājumu samaksu, bet arī uz nodokļu maksātājiem, kuriem jau šobrīd ir piešķirts kāds no nodokļu samaksas termiņa pagarinājumiem saskaņā ar likumu “Par nodokļiem un nodevām” 24.pantu un tiem radušās grūtības ar attiecīgo maksājumu segšanu. Lai pārkvalificētos jaunajam nodokļu samaksas termiņa pagarinājumam, nodokļu maksātājam ir jāatbilst nosacījumam – nodokļu maksātājs veic aktīvu sadarbību ar nodokļu administrāciju, </w:t>
      </w:r>
      <w:r w:rsidRPr="00A113C3">
        <w:rPr>
          <w:rFonts w:ascii="Times New Roman" w:eastAsiaTheme="minorHAnsi" w:hAnsi="Times New Roman"/>
          <w:noProof w:val="0"/>
          <w:sz w:val="24"/>
          <w:szCs w:val="24"/>
          <w:lang w:val="lv-LV"/>
        </w:rPr>
        <w:lastRenderedPageBreak/>
        <w:t>kā arī jābūt iesniegtam motivētam iesniegumam ar lūgumu piešķirt atlikušajam (nesamaksātajam) nokavētajam</w:t>
      </w:r>
      <w:r>
        <w:t xml:space="preserve"> </w:t>
      </w:r>
      <w:r w:rsidRPr="00A113C3">
        <w:rPr>
          <w:rFonts w:ascii="Times New Roman" w:eastAsiaTheme="minorHAnsi" w:hAnsi="Times New Roman"/>
          <w:noProof w:val="0"/>
          <w:sz w:val="24"/>
          <w:szCs w:val="24"/>
          <w:lang w:val="lv-LV"/>
        </w:rPr>
        <w:t xml:space="preserve">nodokļu maksājumam jauno nodokļu samaksas termiņa pagarinājumu. </w:t>
      </w:r>
    </w:p>
    <w:p w:rsidR="00A113C3" w:rsidRDefault="00A113C3" w:rsidP="002E7749">
      <w:pPr>
        <w:spacing w:before="120" w:after="240"/>
        <w:jc w:val="both"/>
        <w:rPr>
          <w:rFonts w:ascii="Times New Roman" w:eastAsiaTheme="minorHAnsi" w:hAnsi="Times New Roman"/>
          <w:noProof w:val="0"/>
          <w:sz w:val="24"/>
          <w:szCs w:val="24"/>
          <w:lang w:val="lv-LV"/>
        </w:rPr>
      </w:pPr>
      <w:r w:rsidRPr="00A113C3">
        <w:rPr>
          <w:rFonts w:ascii="Times New Roman" w:eastAsiaTheme="minorHAnsi" w:hAnsi="Times New Roman"/>
          <w:noProof w:val="0"/>
          <w:sz w:val="24"/>
          <w:szCs w:val="24"/>
          <w:lang w:val="lv-LV"/>
        </w:rPr>
        <w:t xml:space="preserve">Jānorāda, ka, piešķirot minēto nodokļu samaksas termiņa pagarinājumu, nokavējuma nauda par visu nokavējuma periodu nodokļu maksātāja nokavētajiem nodokļu maksājumiem netiks aprēķināta. </w:t>
      </w:r>
    </w:p>
    <w:p w:rsidR="002E7749" w:rsidRPr="00EC3F2F" w:rsidRDefault="002E7749" w:rsidP="002E7749">
      <w:pPr>
        <w:spacing w:before="120" w:after="240"/>
        <w:jc w:val="both"/>
        <w:rPr>
          <w:rFonts w:ascii="Times New Roman" w:hAnsi="Times New Roman"/>
          <w:sz w:val="24"/>
        </w:rPr>
      </w:pPr>
      <w:r w:rsidRPr="00695685">
        <w:rPr>
          <w:rFonts w:ascii="Times New Roman" w:hAnsi="Times New Roman"/>
          <w:b/>
          <w:sz w:val="24"/>
        </w:rPr>
        <w:t>Veicināt naudas līdzekļu atgriešanu uzņēmējiem</w:t>
      </w:r>
      <w:r w:rsidRPr="00EC3F2F">
        <w:rPr>
          <w:rFonts w:ascii="Times New Roman" w:hAnsi="Times New Roman"/>
          <w:sz w:val="24"/>
        </w:rPr>
        <w:t xml:space="preserve">, nosakot, ka Valsts ieņēmumu dienests, veicot nodokļu administrēšanas pasākumus, </w:t>
      </w:r>
      <w:r w:rsidRPr="006A6234">
        <w:rPr>
          <w:rFonts w:ascii="Times New Roman" w:hAnsi="Times New Roman"/>
          <w:b/>
          <w:sz w:val="24"/>
        </w:rPr>
        <w:t xml:space="preserve">atmaksā apstiprināto pievienotās vērtības nodokļa (PVN) summu </w:t>
      </w:r>
      <w:r w:rsidRPr="006A6234">
        <w:rPr>
          <w:rFonts w:ascii="Times New Roman" w:hAnsi="Times New Roman"/>
          <w:b/>
          <w:sz w:val="24"/>
          <w:u w:val="single"/>
        </w:rPr>
        <w:t>visiem</w:t>
      </w:r>
      <w:r w:rsidRPr="006A6234">
        <w:rPr>
          <w:rFonts w:ascii="Times New Roman" w:hAnsi="Times New Roman"/>
          <w:b/>
          <w:sz w:val="24"/>
        </w:rPr>
        <w:t xml:space="preserve"> nodokļu maksātajiem 30 dienu</w:t>
      </w:r>
      <w:r w:rsidRPr="00EC3F2F">
        <w:rPr>
          <w:rFonts w:ascii="Times New Roman" w:hAnsi="Times New Roman"/>
          <w:sz w:val="24"/>
        </w:rPr>
        <w:t xml:space="preserve"> laikā pēc PVN deklarācijas iesniegšanas termiņa, tās neuzkrājot līdz taksācijas gada beigām, nosakot, ka tas stājas spēkā 2020.gada 1.aprīlī. Norma var tikt pārskatīta ar 2021.gadu, ja tiek konstatēti pamatoti iemesli. </w:t>
      </w:r>
      <w:r>
        <w:rPr>
          <w:rFonts w:ascii="Times New Roman" w:hAnsi="Times New Roman"/>
          <w:sz w:val="24"/>
        </w:rPr>
        <w:t>Ietekme uz budžeta ieņēmumiem ieviešanas gadā indikatīvi ir  - 60 milj. eiro.</w:t>
      </w:r>
    </w:p>
    <w:p w:rsidR="002E7749" w:rsidRPr="00EC3F2F" w:rsidRDefault="002E7749" w:rsidP="002E7749">
      <w:pPr>
        <w:spacing w:before="120" w:after="240"/>
        <w:jc w:val="both"/>
        <w:rPr>
          <w:rFonts w:ascii="Times New Roman" w:hAnsi="Times New Roman"/>
          <w:sz w:val="24"/>
        </w:rPr>
      </w:pPr>
      <w:r w:rsidRPr="00EC3F2F">
        <w:rPr>
          <w:rFonts w:ascii="Times New Roman" w:hAnsi="Times New Roman"/>
          <w:sz w:val="24"/>
        </w:rPr>
        <w:t xml:space="preserve">Ņemot vērā ārkārtas situāciju Latvijā un citur pasaulē un tās rezultātā radīto ekonomiskās aktivitātes kritumu, </w:t>
      </w:r>
      <w:r>
        <w:rPr>
          <w:rFonts w:ascii="Times New Roman" w:hAnsi="Times New Roman"/>
          <w:sz w:val="24"/>
        </w:rPr>
        <w:t>veicot grozījumus normatīvajā regulējumā</w:t>
      </w:r>
      <w:r w:rsidRPr="00EC3F2F">
        <w:rPr>
          <w:rFonts w:ascii="Times New Roman" w:hAnsi="Times New Roman"/>
          <w:sz w:val="24"/>
        </w:rPr>
        <w:t xml:space="preserve"> paredzē</w:t>
      </w:r>
      <w:r>
        <w:rPr>
          <w:rFonts w:ascii="Times New Roman" w:hAnsi="Times New Roman"/>
          <w:sz w:val="24"/>
        </w:rPr>
        <w:t>t,</w:t>
      </w:r>
      <w:r w:rsidRPr="00EC3F2F">
        <w:rPr>
          <w:rFonts w:ascii="Times New Roman" w:hAnsi="Times New Roman"/>
          <w:sz w:val="24"/>
        </w:rPr>
        <w:t xml:space="preserve"> ka IIN maksātāji, kas veic saimniecisko darbību, 2020. gadā var </w:t>
      </w:r>
      <w:r w:rsidRPr="006A6234">
        <w:rPr>
          <w:rFonts w:ascii="Times New Roman" w:hAnsi="Times New Roman"/>
          <w:b/>
          <w:sz w:val="24"/>
        </w:rPr>
        <w:t>neveikt IIN avansa maksājumus</w:t>
      </w:r>
      <w:r w:rsidRPr="00EC3F2F">
        <w:rPr>
          <w:rFonts w:ascii="Times New Roman" w:hAnsi="Times New Roman"/>
          <w:sz w:val="24"/>
        </w:rPr>
        <w:t xml:space="preserve"> (par to neveikšanu netiks rēķināta nokavējuma nauda).  </w:t>
      </w:r>
      <w:r>
        <w:rPr>
          <w:rFonts w:ascii="Times New Roman" w:hAnsi="Times New Roman"/>
          <w:sz w:val="24"/>
        </w:rPr>
        <w:t>Ietekme uz budžeta ieņēmumiem pasākuma ieviešanas gadā indikatīvi ir negatīva 30-35 milj. eiro, t.sk. 24-28.milj. pašvaldību un 6-7 milj. valsts budžetā.</w:t>
      </w:r>
    </w:p>
    <w:p w:rsidR="002E7749" w:rsidRPr="005F30C3" w:rsidRDefault="002E7749" w:rsidP="002E7749">
      <w:pPr>
        <w:spacing w:before="120" w:after="240"/>
        <w:jc w:val="both"/>
        <w:rPr>
          <w:rFonts w:ascii="Times New Roman" w:hAnsi="Times New Roman"/>
          <w:sz w:val="24"/>
        </w:rPr>
      </w:pPr>
      <w:r>
        <w:rPr>
          <w:rFonts w:ascii="Times New Roman" w:hAnsi="Times New Roman"/>
          <w:sz w:val="24"/>
        </w:rPr>
        <w:t>K</w:t>
      </w:r>
      <w:r w:rsidRPr="005F30C3">
        <w:rPr>
          <w:rFonts w:ascii="Times New Roman" w:hAnsi="Times New Roman"/>
          <w:sz w:val="24"/>
        </w:rPr>
        <w:t>ā papildu piesardzības pasākumu</w:t>
      </w:r>
      <w:r>
        <w:rPr>
          <w:rFonts w:ascii="Times New Roman" w:hAnsi="Times New Roman"/>
          <w:sz w:val="24"/>
        </w:rPr>
        <w:t>, nodrošināt iespēju</w:t>
      </w:r>
      <w:r w:rsidRPr="005F30C3">
        <w:rPr>
          <w:rFonts w:ascii="Times New Roman" w:hAnsi="Times New Roman"/>
          <w:sz w:val="24"/>
        </w:rPr>
        <w:t xml:space="preserve"> </w:t>
      </w:r>
      <w:r w:rsidRPr="006A6234">
        <w:rPr>
          <w:rFonts w:ascii="Times New Roman" w:hAnsi="Times New Roman"/>
          <w:b/>
          <w:sz w:val="24"/>
        </w:rPr>
        <w:t>visiem uzņēmumiem</w:t>
      </w:r>
      <w:r w:rsidRPr="005F30C3">
        <w:rPr>
          <w:rFonts w:ascii="Times New Roman" w:hAnsi="Times New Roman"/>
          <w:sz w:val="24"/>
        </w:rPr>
        <w:t> </w:t>
      </w:r>
      <w:r w:rsidRPr="005F30C3">
        <w:rPr>
          <w:rFonts w:ascii="Times New Roman" w:hAnsi="Times New Roman"/>
          <w:b/>
          <w:sz w:val="24"/>
        </w:rPr>
        <w:t>pagarināt gada pārskatu sagatavošanas un iesniegšanas termiņu vismaz līdz 31.jūlijam</w:t>
      </w:r>
      <w:r>
        <w:rPr>
          <w:rStyle w:val="FootnoteReference"/>
          <w:rFonts w:ascii="Times New Roman" w:hAnsi="Times New Roman"/>
          <w:b/>
          <w:sz w:val="24"/>
        </w:rPr>
        <w:footnoteReference w:id="1"/>
      </w:r>
      <w:r>
        <w:rPr>
          <w:rFonts w:ascii="Times New Roman" w:hAnsi="Times New Roman"/>
          <w:b/>
          <w:sz w:val="24"/>
        </w:rPr>
        <w:t>.</w:t>
      </w:r>
      <w:r w:rsidRPr="005F30C3">
        <w:rPr>
          <w:rFonts w:ascii="Times New Roman" w:hAnsi="Times New Roman"/>
          <w:sz w:val="24"/>
        </w:rPr>
        <w:t xml:space="preserve"> </w:t>
      </w:r>
      <w:r>
        <w:rPr>
          <w:rFonts w:ascii="Times New Roman" w:hAnsi="Times New Roman"/>
          <w:sz w:val="24"/>
        </w:rPr>
        <w:t xml:space="preserve"> </w:t>
      </w:r>
    </w:p>
    <w:p w:rsidR="00A113C3" w:rsidRPr="00BA3F3D" w:rsidRDefault="00662254" w:rsidP="00BA3F3D">
      <w:pPr>
        <w:pStyle w:val="ListParagraph"/>
        <w:numPr>
          <w:ilvl w:val="0"/>
          <w:numId w:val="19"/>
        </w:numPr>
        <w:jc w:val="both"/>
        <w:rPr>
          <w:rFonts w:ascii="Century Gothic" w:hAnsi="Century Gothic" w:cs="Arial"/>
          <w:b/>
          <w:bCs/>
          <w:noProof w:val="0"/>
          <w:sz w:val="24"/>
          <w:szCs w:val="24"/>
          <w:shd w:val="clear" w:color="auto" w:fill="FFFFFF"/>
          <w:lang w:val="lv-LV"/>
        </w:rPr>
      </w:pPr>
      <w:r w:rsidRPr="00BA3F3D">
        <w:rPr>
          <w:rFonts w:ascii="Times New Roman" w:hAnsi="Times New Roman"/>
          <w:b/>
          <w:bCs/>
          <w:noProof w:val="0"/>
          <w:sz w:val="24"/>
          <w:szCs w:val="24"/>
          <w:shd w:val="clear" w:color="auto" w:fill="FFFFFF"/>
          <w:lang w:val="lv-LV"/>
        </w:rPr>
        <w:t>U</w:t>
      </w:r>
      <w:r w:rsidR="00A113C3" w:rsidRPr="00BA3F3D">
        <w:rPr>
          <w:rFonts w:ascii="Times New Roman" w:hAnsi="Times New Roman"/>
          <w:b/>
          <w:bCs/>
          <w:noProof w:val="0"/>
          <w:sz w:val="24"/>
          <w:szCs w:val="24"/>
          <w:shd w:val="clear" w:color="auto" w:fill="FFFFFF"/>
          <w:lang w:val="lv-LV"/>
        </w:rPr>
        <w:t>zņēmējdarbības atbalsts finanšu instrumentu veidā:</w:t>
      </w:r>
    </w:p>
    <w:p w:rsidR="006E0DDD" w:rsidRPr="00914856" w:rsidRDefault="001C2F02" w:rsidP="00914856">
      <w:pPr>
        <w:spacing w:before="100" w:beforeAutospacing="1"/>
        <w:jc w:val="both"/>
        <w:rPr>
          <w:rFonts w:ascii="Times New Roman" w:eastAsiaTheme="minorHAnsi" w:hAnsi="Times New Roman"/>
          <w:noProof w:val="0"/>
          <w:sz w:val="24"/>
          <w:szCs w:val="24"/>
          <w:lang w:val="lv-LV"/>
        </w:rPr>
      </w:pPr>
      <w:r w:rsidRPr="00914856">
        <w:rPr>
          <w:rFonts w:ascii="Times New Roman" w:eastAsiaTheme="minorHAnsi" w:hAnsi="Times New Roman"/>
          <w:noProof w:val="0"/>
          <w:sz w:val="24"/>
          <w:szCs w:val="24"/>
          <w:lang w:val="lv-LV"/>
        </w:rPr>
        <w:t>P</w:t>
      </w:r>
      <w:r w:rsidR="00D561BE" w:rsidRPr="00914856">
        <w:rPr>
          <w:rFonts w:ascii="Times New Roman" w:eastAsiaTheme="minorHAnsi" w:hAnsi="Times New Roman"/>
          <w:noProof w:val="0"/>
          <w:sz w:val="24"/>
          <w:szCs w:val="24"/>
          <w:lang w:val="lv-LV"/>
        </w:rPr>
        <w:t>aredzēt COVID-19 krīzes skartajiem uzņēmumiem atbalsta instrumentus- k</w:t>
      </w:r>
      <w:r w:rsidR="006E0DDD" w:rsidRPr="00914856">
        <w:rPr>
          <w:rFonts w:ascii="Times New Roman" w:eastAsiaTheme="minorHAnsi" w:hAnsi="Times New Roman"/>
          <w:noProof w:val="0"/>
          <w:sz w:val="24"/>
          <w:szCs w:val="24"/>
          <w:lang w:val="lv-LV"/>
        </w:rPr>
        <w:t>redītu garantijas krīzes risinājumam</w:t>
      </w:r>
      <w:r w:rsidR="00D561BE" w:rsidRPr="00914856">
        <w:rPr>
          <w:rFonts w:ascii="Times New Roman" w:eastAsiaTheme="minorHAnsi" w:hAnsi="Times New Roman"/>
          <w:noProof w:val="0"/>
          <w:sz w:val="24"/>
          <w:szCs w:val="24"/>
          <w:lang w:val="lv-LV"/>
        </w:rPr>
        <w:t xml:space="preserve">, kā arī aizdevumus krīzes risinājumam. </w:t>
      </w:r>
      <w:r w:rsidRPr="00914856">
        <w:rPr>
          <w:rFonts w:ascii="Times New Roman" w:eastAsiaTheme="minorHAnsi" w:hAnsi="Times New Roman"/>
          <w:noProof w:val="0"/>
          <w:sz w:val="24"/>
          <w:szCs w:val="24"/>
          <w:lang w:val="lv-LV"/>
        </w:rPr>
        <w:t xml:space="preserve">Programmas nepieciešams saskaņot ar Eiropas Komisiju. </w:t>
      </w:r>
    </w:p>
    <w:p w:rsidR="00D561BE" w:rsidRPr="00BA3F3D" w:rsidRDefault="00D561BE" w:rsidP="00BA3F3D">
      <w:pPr>
        <w:pStyle w:val="ListParagraph"/>
        <w:numPr>
          <w:ilvl w:val="0"/>
          <w:numId w:val="22"/>
        </w:numPr>
        <w:spacing w:before="100" w:beforeAutospacing="1"/>
        <w:jc w:val="both"/>
        <w:rPr>
          <w:rFonts w:ascii="Times New Roman" w:eastAsiaTheme="minorHAnsi" w:hAnsi="Times New Roman"/>
          <w:noProof w:val="0"/>
          <w:sz w:val="24"/>
          <w:szCs w:val="24"/>
          <w:u w:val="single"/>
          <w:lang w:val="lv-LV"/>
        </w:rPr>
      </w:pPr>
      <w:r w:rsidRPr="00BA3F3D">
        <w:rPr>
          <w:rFonts w:ascii="Times New Roman" w:eastAsiaTheme="minorHAnsi" w:hAnsi="Times New Roman"/>
          <w:noProof w:val="0"/>
          <w:sz w:val="24"/>
          <w:szCs w:val="24"/>
          <w:u w:val="single"/>
          <w:lang w:val="lv-LV"/>
        </w:rPr>
        <w:t>Garantiju nosacījumi (programm</w:t>
      </w:r>
      <w:r w:rsidR="001C2F02" w:rsidRPr="00BA3F3D">
        <w:rPr>
          <w:rFonts w:ascii="Times New Roman" w:eastAsiaTheme="minorHAnsi" w:hAnsi="Times New Roman"/>
          <w:noProof w:val="0"/>
          <w:sz w:val="24"/>
          <w:szCs w:val="24"/>
          <w:u w:val="single"/>
          <w:lang w:val="lv-LV"/>
        </w:rPr>
        <w:t xml:space="preserve">ā uz katriem 10-15 miljoniem EUR riska seguma ir </w:t>
      </w:r>
      <w:r w:rsidR="00914856" w:rsidRPr="00BA3F3D">
        <w:rPr>
          <w:rFonts w:ascii="Times New Roman" w:eastAsiaTheme="minorHAnsi" w:hAnsi="Times New Roman"/>
          <w:noProof w:val="0"/>
          <w:sz w:val="24"/>
          <w:szCs w:val="24"/>
          <w:u w:val="single"/>
          <w:lang w:val="lv-LV"/>
        </w:rPr>
        <w:t xml:space="preserve">iespēja sniegt atbalstu  ap </w:t>
      </w:r>
      <w:r w:rsidRPr="00BA3F3D">
        <w:rPr>
          <w:rFonts w:ascii="Times New Roman" w:eastAsiaTheme="minorHAnsi" w:hAnsi="Times New Roman"/>
          <w:noProof w:val="0"/>
          <w:sz w:val="24"/>
          <w:szCs w:val="24"/>
          <w:u w:val="single"/>
          <w:lang w:val="lv-LV"/>
        </w:rPr>
        <w:t>100 miljonu EUR</w:t>
      </w:r>
      <w:r w:rsidR="00914856" w:rsidRPr="00BA3F3D">
        <w:rPr>
          <w:rFonts w:ascii="Times New Roman" w:eastAsiaTheme="minorHAnsi" w:hAnsi="Times New Roman"/>
          <w:noProof w:val="0"/>
          <w:sz w:val="24"/>
          <w:szCs w:val="24"/>
          <w:u w:val="single"/>
          <w:lang w:val="lv-LV"/>
        </w:rPr>
        <w:t xml:space="preserve"> apmērā</w:t>
      </w:r>
      <w:r w:rsidRPr="00BA3F3D">
        <w:rPr>
          <w:rFonts w:ascii="Times New Roman" w:eastAsiaTheme="minorHAnsi" w:hAnsi="Times New Roman"/>
          <w:noProof w:val="0"/>
          <w:sz w:val="24"/>
          <w:szCs w:val="24"/>
          <w:u w:val="single"/>
          <w:lang w:val="lv-LV"/>
        </w:rPr>
        <w:t>):</w:t>
      </w:r>
    </w:p>
    <w:p w:rsidR="006E0DDD" w:rsidRPr="00662254" w:rsidRDefault="00D561BE" w:rsidP="00662254">
      <w:pPr>
        <w:pStyle w:val="ListParagraph"/>
        <w:numPr>
          <w:ilvl w:val="0"/>
          <w:numId w:val="12"/>
        </w:numPr>
        <w:spacing w:after="0"/>
        <w:jc w:val="both"/>
        <w:rPr>
          <w:rFonts w:ascii="Times New Roman" w:eastAsiaTheme="minorHAnsi" w:hAnsi="Times New Roman"/>
          <w:noProof w:val="0"/>
          <w:sz w:val="24"/>
          <w:szCs w:val="24"/>
          <w:lang w:val="lv-LV"/>
        </w:rPr>
      </w:pPr>
      <w:r w:rsidRPr="00662254">
        <w:rPr>
          <w:rFonts w:ascii="Times New Roman" w:eastAsiaTheme="minorHAnsi" w:hAnsi="Times New Roman"/>
          <w:noProof w:val="0"/>
          <w:sz w:val="24"/>
          <w:szCs w:val="24"/>
          <w:lang w:val="lv-LV"/>
        </w:rPr>
        <w:t>A</w:t>
      </w:r>
      <w:r w:rsidR="006E0DDD" w:rsidRPr="00662254">
        <w:rPr>
          <w:rFonts w:ascii="Times New Roman" w:eastAsiaTheme="minorHAnsi" w:hAnsi="Times New Roman"/>
          <w:noProof w:val="0"/>
          <w:sz w:val="24"/>
          <w:szCs w:val="24"/>
          <w:lang w:val="lv-LV"/>
        </w:rPr>
        <w:t>tbalstām</w:t>
      </w:r>
      <w:r w:rsidRPr="00662254">
        <w:rPr>
          <w:rFonts w:ascii="Times New Roman" w:eastAsiaTheme="minorHAnsi" w:hAnsi="Times New Roman"/>
          <w:noProof w:val="0"/>
          <w:sz w:val="24"/>
          <w:szCs w:val="24"/>
          <w:lang w:val="lv-LV"/>
        </w:rPr>
        <w:t>ais</w:t>
      </w:r>
      <w:r w:rsidR="006E0DDD" w:rsidRPr="00662254">
        <w:rPr>
          <w:rFonts w:ascii="Times New Roman" w:eastAsiaTheme="minorHAnsi" w:hAnsi="Times New Roman"/>
          <w:noProof w:val="0"/>
          <w:sz w:val="24"/>
          <w:szCs w:val="24"/>
          <w:lang w:val="lv-LV"/>
        </w:rPr>
        <w:t xml:space="preserve"> uzņēmum</w:t>
      </w:r>
      <w:r w:rsidRPr="00662254">
        <w:rPr>
          <w:rFonts w:ascii="Times New Roman" w:eastAsiaTheme="minorHAnsi" w:hAnsi="Times New Roman"/>
          <w:noProof w:val="0"/>
          <w:sz w:val="24"/>
          <w:szCs w:val="24"/>
          <w:lang w:val="lv-LV"/>
        </w:rPr>
        <w:t>s- mazie un vidējie komersanti</w:t>
      </w:r>
      <w:r w:rsidR="006E0DDD" w:rsidRPr="00662254">
        <w:rPr>
          <w:rFonts w:ascii="Times New Roman" w:eastAsiaTheme="minorHAnsi" w:hAnsi="Times New Roman"/>
          <w:noProof w:val="0"/>
          <w:sz w:val="24"/>
          <w:szCs w:val="24"/>
          <w:lang w:val="lv-LV"/>
        </w:rPr>
        <w:t>, lielie uzņēmumi;</w:t>
      </w:r>
    </w:p>
    <w:p w:rsidR="008E3A2D" w:rsidRPr="00662254" w:rsidRDefault="00D561BE" w:rsidP="00662254">
      <w:pPr>
        <w:pStyle w:val="ListParagraph"/>
        <w:numPr>
          <w:ilvl w:val="0"/>
          <w:numId w:val="12"/>
        </w:numPr>
        <w:spacing w:after="0" w:line="240" w:lineRule="auto"/>
        <w:jc w:val="both"/>
        <w:rPr>
          <w:rFonts w:ascii="Times New Roman" w:eastAsiaTheme="minorHAnsi" w:hAnsi="Times New Roman"/>
          <w:noProof w:val="0"/>
          <w:sz w:val="24"/>
          <w:szCs w:val="24"/>
          <w:lang w:val="lv-LV"/>
        </w:rPr>
      </w:pPr>
      <w:r w:rsidRPr="00662254">
        <w:rPr>
          <w:rFonts w:ascii="Times New Roman" w:eastAsiaTheme="minorHAnsi" w:hAnsi="Times New Roman"/>
          <w:noProof w:val="0"/>
          <w:sz w:val="24"/>
          <w:szCs w:val="24"/>
          <w:lang w:val="lv-LV"/>
        </w:rPr>
        <w:t>N</w:t>
      </w:r>
      <w:r w:rsidR="006E0DDD" w:rsidRPr="00662254">
        <w:rPr>
          <w:rFonts w:ascii="Times New Roman" w:eastAsiaTheme="minorHAnsi" w:hAnsi="Times New Roman"/>
          <w:noProof w:val="0"/>
          <w:sz w:val="24"/>
          <w:szCs w:val="24"/>
          <w:lang w:val="lv-LV"/>
        </w:rPr>
        <w:t xml:space="preserve">av nonācis finanšu grūtībās līdz </w:t>
      </w:r>
      <w:r w:rsidRPr="00662254">
        <w:rPr>
          <w:rFonts w:ascii="Times New Roman" w:eastAsiaTheme="minorHAnsi" w:hAnsi="Times New Roman"/>
          <w:noProof w:val="0"/>
          <w:sz w:val="24"/>
          <w:szCs w:val="24"/>
          <w:lang w:val="lv-LV"/>
        </w:rPr>
        <w:t xml:space="preserve">COVID-19 </w:t>
      </w:r>
      <w:r w:rsidR="006E0DDD" w:rsidRPr="00662254">
        <w:rPr>
          <w:rFonts w:ascii="Times New Roman" w:eastAsiaTheme="minorHAnsi" w:hAnsi="Times New Roman"/>
          <w:noProof w:val="0"/>
          <w:sz w:val="24"/>
          <w:szCs w:val="24"/>
          <w:lang w:val="lv-LV"/>
        </w:rPr>
        <w:t>krīzei;</w:t>
      </w:r>
    </w:p>
    <w:p w:rsidR="006E0DDD" w:rsidRPr="00662254" w:rsidRDefault="00D561BE" w:rsidP="00662254">
      <w:pPr>
        <w:pStyle w:val="ListParagraph"/>
        <w:numPr>
          <w:ilvl w:val="0"/>
          <w:numId w:val="12"/>
        </w:numPr>
        <w:spacing w:after="0" w:line="240" w:lineRule="auto"/>
        <w:jc w:val="both"/>
        <w:rPr>
          <w:rFonts w:ascii="Times New Roman" w:eastAsiaTheme="minorHAnsi" w:hAnsi="Times New Roman"/>
          <w:noProof w:val="0"/>
          <w:sz w:val="24"/>
          <w:szCs w:val="24"/>
          <w:lang w:val="lv-LV"/>
        </w:rPr>
      </w:pPr>
      <w:r w:rsidRPr="00662254">
        <w:rPr>
          <w:rFonts w:ascii="Times New Roman" w:eastAsiaTheme="minorHAnsi" w:hAnsi="Times New Roman"/>
          <w:noProof w:val="0"/>
          <w:sz w:val="24"/>
          <w:szCs w:val="24"/>
          <w:lang w:val="lv-LV"/>
        </w:rPr>
        <w:t>G</w:t>
      </w:r>
      <w:r w:rsidR="006E0DDD" w:rsidRPr="00662254">
        <w:rPr>
          <w:rFonts w:ascii="Times New Roman" w:eastAsiaTheme="minorHAnsi" w:hAnsi="Times New Roman"/>
          <w:noProof w:val="0"/>
          <w:sz w:val="24"/>
          <w:szCs w:val="24"/>
          <w:lang w:val="lv-LV"/>
        </w:rPr>
        <w:t>arantijas apmērs līdz 50%;</w:t>
      </w:r>
    </w:p>
    <w:p w:rsidR="006E0DDD" w:rsidRPr="00662254" w:rsidRDefault="00D561BE" w:rsidP="00662254">
      <w:pPr>
        <w:pStyle w:val="ListParagraph"/>
        <w:numPr>
          <w:ilvl w:val="0"/>
          <w:numId w:val="12"/>
        </w:numPr>
        <w:spacing w:after="0" w:line="240" w:lineRule="auto"/>
        <w:jc w:val="both"/>
        <w:rPr>
          <w:rFonts w:ascii="Times New Roman" w:eastAsiaTheme="minorHAnsi" w:hAnsi="Times New Roman"/>
          <w:noProof w:val="0"/>
          <w:sz w:val="24"/>
          <w:szCs w:val="24"/>
          <w:lang w:val="lv-LV"/>
        </w:rPr>
      </w:pPr>
      <w:r w:rsidRPr="00662254">
        <w:rPr>
          <w:rFonts w:ascii="Times New Roman" w:eastAsiaTheme="minorHAnsi" w:hAnsi="Times New Roman"/>
          <w:noProof w:val="0"/>
          <w:sz w:val="24"/>
          <w:szCs w:val="24"/>
          <w:lang w:val="lv-LV"/>
        </w:rPr>
        <w:t>G</w:t>
      </w:r>
      <w:r w:rsidR="006E0DDD" w:rsidRPr="00662254">
        <w:rPr>
          <w:rFonts w:ascii="Times New Roman" w:eastAsiaTheme="minorHAnsi" w:hAnsi="Times New Roman"/>
          <w:noProof w:val="0"/>
          <w:sz w:val="24"/>
          <w:szCs w:val="24"/>
          <w:lang w:val="lv-LV"/>
        </w:rPr>
        <w:t xml:space="preserve">arantijas maksimālā summa līdz 5 </w:t>
      </w:r>
      <w:r w:rsidRPr="00662254">
        <w:rPr>
          <w:rFonts w:ascii="Times New Roman" w:eastAsiaTheme="minorHAnsi" w:hAnsi="Times New Roman"/>
          <w:noProof w:val="0"/>
          <w:sz w:val="24"/>
          <w:szCs w:val="24"/>
          <w:lang w:val="lv-LV"/>
        </w:rPr>
        <w:t>miljoniem</w:t>
      </w:r>
      <w:r w:rsidR="006E0DDD" w:rsidRPr="00662254">
        <w:rPr>
          <w:rFonts w:ascii="Times New Roman" w:eastAsiaTheme="minorHAnsi" w:hAnsi="Times New Roman"/>
          <w:noProof w:val="0"/>
          <w:sz w:val="24"/>
          <w:szCs w:val="24"/>
          <w:lang w:val="lv-LV"/>
        </w:rPr>
        <w:t xml:space="preserve"> EUR vienam uzņēmumam;</w:t>
      </w:r>
    </w:p>
    <w:p w:rsidR="006E0DDD" w:rsidRPr="00662254" w:rsidRDefault="00D561BE" w:rsidP="00662254">
      <w:pPr>
        <w:pStyle w:val="ListParagraph"/>
        <w:numPr>
          <w:ilvl w:val="0"/>
          <w:numId w:val="12"/>
        </w:numPr>
        <w:spacing w:after="0" w:line="240" w:lineRule="auto"/>
        <w:jc w:val="both"/>
        <w:rPr>
          <w:rFonts w:ascii="Times New Roman" w:eastAsiaTheme="minorHAnsi" w:hAnsi="Times New Roman"/>
          <w:noProof w:val="0"/>
          <w:sz w:val="24"/>
          <w:szCs w:val="24"/>
          <w:lang w:val="lv-LV"/>
        </w:rPr>
      </w:pPr>
      <w:r w:rsidRPr="00662254">
        <w:rPr>
          <w:rFonts w:ascii="Times New Roman" w:eastAsiaTheme="minorHAnsi" w:hAnsi="Times New Roman"/>
          <w:noProof w:val="0"/>
          <w:sz w:val="24"/>
          <w:szCs w:val="24"/>
          <w:lang w:val="lv-LV"/>
        </w:rPr>
        <w:t>G</w:t>
      </w:r>
      <w:r w:rsidR="006E0DDD" w:rsidRPr="00662254">
        <w:rPr>
          <w:rFonts w:ascii="Times New Roman" w:eastAsiaTheme="minorHAnsi" w:hAnsi="Times New Roman"/>
          <w:noProof w:val="0"/>
          <w:sz w:val="24"/>
          <w:szCs w:val="24"/>
          <w:lang w:val="lv-LV"/>
        </w:rPr>
        <w:t>arantijas maksimālais termiņš ir līdz 10 gadi</w:t>
      </w:r>
      <w:r w:rsidRPr="00662254">
        <w:rPr>
          <w:rFonts w:ascii="Times New Roman" w:eastAsiaTheme="minorHAnsi" w:hAnsi="Times New Roman"/>
          <w:noProof w:val="0"/>
          <w:sz w:val="24"/>
          <w:szCs w:val="24"/>
          <w:lang w:val="lv-LV"/>
        </w:rPr>
        <w:t>em</w:t>
      </w:r>
      <w:r w:rsidR="006E0DDD" w:rsidRPr="00662254">
        <w:rPr>
          <w:rFonts w:ascii="Times New Roman" w:eastAsiaTheme="minorHAnsi" w:hAnsi="Times New Roman"/>
          <w:noProof w:val="0"/>
          <w:sz w:val="24"/>
          <w:szCs w:val="24"/>
          <w:lang w:val="lv-LV"/>
        </w:rPr>
        <w:t>;</w:t>
      </w:r>
    </w:p>
    <w:p w:rsidR="006E0DDD" w:rsidRPr="00662254" w:rsidRDefault="00D561BE" w:rsidP="00662254">
      <w:pPr>
        <w:pStyle w:val="ListParagraph"/>
        <w:numPr>
          <w:ilvl w:val="0"/>
          <w:numId w:val="12"/>
        </w:numPr>
        <w:spacing w:after="0" w:line="240" w:lineRule="auto"/>
        <w:jc w:val="both"/>
        <w:rPr>
          <w:rFonts w:ascii="Times New Roman" w:eastAsiaTheme="minorHAnsi" w:hAnsi="Times New Roman"/>
          <w:noProof w:val="0"/>
          <w:sz w:val="24"/>
          <w:szCs w:val="24"/>
          <w:lang w:val="lv-LV"/>
        </w:rPr>
      </w:pPr>
      <w:r w:rsidRPr="00662254">
        <w:rPr>
          <w:rFonts w:ascii="Times New Roman" w:eastAsiaTheme="minorHAnsi" w:hAnsi="Times New Roman"/>
          <w:noProof w:val="0"/>
          <w:sz w:val="24"/>
          <w:szCs w:val="24"/>
          <w:lang w:val="lv-LV"/>
        </w:rPr>
        <w:t>G</w:t>
      </w:r>
      <w:r w:rsidR="006E0DDD" w:rsidRPr="00662254">
        <w:rPr>
          <w:rFonts w:ascii="Times New Roman" w:eastAsiaTheme="minorHAnsi" w:hAnsi="Times New Roman"/>
          <w:noProof w:val="0"/>
          <w:sz w:val="24"/>
          <w:szCs w:val="24"/>
          <w:lang w:val="lv-LV"/>
        </w:rPr>
        <w:t>arantija tiek izsniegta par esošām saistībām (investīciju aizdevumi, finanšu līzingi), kredītiestādei atliekot pamatsummas maksājumus līdz diviem gadiem;</w:t>
      </w:r>
    </w:p>
    <w:p w:rsidR="006E0DDD" w:rsidRDefault="00D561BE" w:rsidP="00662254">
      <w:pPr>
        <w:pStyle w:val="ListParagraph"/>
        <w:numPr>
          <w:ilvl w:val="0"/>
          <w:numId w:val="12"/>
        </w:numPr>
        <w:spacing w:after="0" w:line="240" w:lineRule="auto"/>
        <w:jc w:val="both"/>
        <w:rPr>
          <w:rFonts w:ascii="Times New Roman" w:eastAsiaTheme="minorHAnsi" w:hAnsi="Times New Roman"/>
          <w:noProof w:val="0"/>
          <w:sz w:val="24"/>
          <w:szCs w:val="24"/>
          <w:lang w:val="lv-LV"/>
        </w:rPr>
      </w:pPr>
      <w:r w:rsidRPr="00662254">
        <w:rPr>
          <w:rFonts w:ascii="Times New Roman" w:eastAsiaTheme="minorHAnsi" w:hAnsi="Times New Roman"/>
          <w:noProof w:val="0"/>
          <w:sz w:val="24"/>
          <w:szCs w:val="24"/>
          <w:lang w:val="lv-LV"/>
        </w:rPr>
        <w:t>G</w:t>
      </w:r>
      <w:r w:rsidR="006E0DDD" w:rsidRPr="00662254">
        <w:rPr>
          <w:rFonts w:ascii="Times New Roman" w:eastAsiaTheme="minorHAnsi" w:hAnsi="Times New Roman"/>
          <w:noProof w:val="0"/>
          <w:sz w:val="24"/>
          <w:szCs w:val="24"/>
          <w:lang w:val="lv-LV"/>
        </w:rPr>
        <w:t>arantija var tikt izsniegta arī par apgrozāmo līdzekļu aizdevumu līdz trīs gadiem (gan uzņēmumam uzņemoties jaunas saistības, gan restrukturizējot esošo kredītiestādes piešķirto apgrozāmo līdzekļu aizdevumu)</w:t>
      </w:r>
      <w:r w:rsidRPr="00662254">
        <w:rPr>
          <w:rFonts w:ascii="Times New Roman" w:eastAsiaTheme="minorHAnsi" w:hAnsi="Times New Roman"/>
          <w:noProof w:val="0"/>
          <w:sz w:val="24"/>
          <w:szCs w:val="24"/>
          <w:lang w:val="lv-LV"/>
        </w:rPr>
        <w:t>.</w:t>
      </w:r>
    </w:p>
    <w:p w:rsidR="00914856" w:rsidRPr="00662254" w:rsidRDefault="00914856" w:rsidP="00662254">
      <w:pPr>
        <w:pStyle w:val="ListParagraph"/>
        <w:numPr>
          <w:ilvl w:val="0"/>
          <w:numId w:val="12"/>
        </w:numPr>
        <w:spacing w:after="0" w:line="240" w:lineRule="auto"/>
        <w:jc w:val="both"/>
        <w:rPr>
          <w:rFonts w:ascii="Times New Roman" w:eastAsiaTheme="minorHAnsi" w:hAnsi="Times New Roman"/>
          <w:noProof w:val="0"/>
          <w:sz w:val="24"/>
          <w:szCs w:val="24"/>
          <w:lang w:val="lv-LV"/>
        </w:rPr>
      </w:pPr>
    </w:p>
    <w:p w:rsidR="00D561BE" w:rsidRPr="00BA3F3D" w:rsidRDefault="00D561BE" w:rsidP="00BA3F3D">
      <w:pPr>
        <w:pStyle w:val="ListParagraph"/>
        <w:numPr>
          <w:ilvl w:val="0"/>
          <w:numId w:val="22"/>
        </w:numPr>
        <w:spacing w:before="100" w:beforeAutospacing="1" w:after="100" w:afterAutospacing="1" w:line="240" w:lineRule="auto"/>
        <w:jc w:val="both"/>
        <w:rPr>
          <w:rFonts w:ascii="Times New Roman" w:eastAsiaTheme="minorHAnsi" w:hAnsi="Times New Roman"/>
          <w:noProof w:val="0"/>
          <w:sz w:val="24"/>
          <w:szCs w:val="24"/>
          <w:u w:val="single"/>
          <w:lang w:val="lv-LV"/>
        </w:rPr>
      </w:pPr>
      <w:r w:rsidRPr="00BA3F3D">
        <w:rPr>
          <w:rFonts w:ascii="Times New Roman" w:eastAsiaTheme="minorHAnsi" w:hAnsi="Times New Roman"/>
          <w:noProof w:val="0"/>
          <w:sz w:val="24"/>
          <w:szCs w:val="24"/>
          <w:u w:val="single"/>
          <w:lang w:val="lv-LV"/>
        </w:rPr>
        <w:t>Aizdevumu nosacījumi krīzes risinājumam (programm</w:t>
      </w:r>
      <w:r w:rsidR="001C2F02" w:rsidRPr="00BA3F3D">
        <w:rPr>
          <w:rFonts w:ascii="Times New Roman" w:eastAsiaTheme="minorHAnsi" w:hAnsi="Times New Roman"/>
          <w:noProof w:val="0"/>
          <w:sz w:val="24"/>
          <w:szCs w:val="24"/>
          <w:u w:val="single"/>
          <w:lang w:val="lv-LV"/>
        </w:rPr>
        <w:t>ā uz katriem 25 miljoniem riska seguma</w:t>
      </w:r>
      <w:r w:rsidRPr="00BA3F3D">
        <w:rPr>
          <w:rFonts w:ascii="Times New Roman" w:eastAsiaTheme="minorHAnsi" w:hAnsi="Times New Roman"/>
          <w:noProof w:val="0"/>
          <w:sz w:val="24"/>
          <w:szCs w:val="24"/>
          <w:u w:val="single"/>
          <w:lang w:val="lv-LV"/>
        </w:rPr>
        <w:t xml:space="preserve"> iespēja sniegt atbalstu </w:t>
      </w:r>
      <w:r w:rsidR="00914856" w:rsidRPr="00BA3F3D">
        <w:rPr>
          <w:rFonts w:ascii="Times New Roman" w:eastAsiaTheme="minorHAnsi" w:hAnsi="Times New Roman"/>
          <w:noProof w:val="0"/>
          <w:sz w:val="24"/>
          <w:szCs w:val="24"/>
          <w:u w:val="single"/>
          <w:lang w:val="lv-LV"/>
        </w:rPr>
        <w:t>ap</w:t>
      </w:r>
      <w:r w:rsidRPr="00BA3F3D">
        <w:rPr>
          <w:rFonts w:ascii="Times New Roman" w:eastAsiaTheme="minorHAnsi" w:hAnsi="Times New Roman"/>
          <w:noProof w:val="0"/>
          <w:sz w:val="24"/>
          <w:szCs w:val="24"/>
          <w:u w:val="single"/>
          <w:lang w:val="lv-LV"/>
        </w:rPr>
        <w:t xml:space="preserve"> </w:t>
      </w:r>
      <w:r w:rsidR="00940041" w:rsidRPr="00BA3F3D">
        <w:rPr>
          <w:rFonts w:ascii="Times New Roman" w:eastAsiaTheme="minorHAnsi" w:hAnsi="Times New Roman"/>
          <w:noProof w:val="0"/>
          <w:sz w:val="24"/>
          <w:szCs w:val="24"/>
          <w:u w:val="single"/>
          <w:lang w:val="lv-LV"/>
        </w:rPr>
        <w:t>100</w:t>
      </w:r>
      <w:r w:rsidRPr="00BA3F3D">
        <w:rPr>
          <w:rFonts w:ascii="Times New Roman" w:eastAsiaTheme="minorHAnsi" w:hAnsi="Times New Roman"/>
          <w:noProof w:val="0"/>
          <w:sz w:val="24"/>
          <w:szCs w:val="24"/>
          <w:u w:val="single"/>
          <w:lang w:val="lv-LV"/>
        </w:rPr>
        <w:t xml:space="preserve"> miljonu EUR</w:t>
      </w:r>
      <w:r w:rsidR="00914856" w:rsidRPr="00BA3F3D">
        <w:rPr>
          <w:rFonts w:ascii="Times New Roman" w:eastAsiaTheme="minorHAnsi" w:hAnsi="Times New Roman"/>
          <w:noProof w:val="0"/>
          <w:sz w:val="24"/>
          <w:szCs w:val="24"/>
          <w:u w:val="single"/>
          <w:lang w:val="lv-LV"/>
        </w:rPr>
        <w:t xml:space="preserve"> apmērā</w:t>
      </w:r>
      <w:r w:rsidRPr="00BA3F3D">
        <w:rPr>
          <w:rFonts w:ascii="Times New Roman" w:eastAsiaTheme="minorHAnsi" w:hAnsi="Times New Roman"/>
          <w:noProof w:val="0"/>
          <w:sz w:val="24"/>
          <w:szCs w:val="24"/>
          <w:u w:val="single"/>
          <w:lang w:val="lv-LV"/>
        </w:rPr>
        <w:t xml:space="preserve">): </w:t>
      </w:r>
    </w:p>
    <w:p w:rsidR="00940041" w:rsidRPr="00662254" w:rsidRDefault="00940041" w:rsidP="00914856">
      <w:pPr>
        <w:pStyle w:val="ListParagraph"/>
        <w:numPr>
          <w:ilvl w:val="0"/>
          <w:numId w:val="18"/>
        </w:numPr>
        <w:spacing w:before="100" w:beforeAutospacing="1"/>
        <w:ind w:left="993" w:hanging="284"/>
        <w:jc w:val="both"/>
        <w:rPr>
          <w:rFonts w:ascii="Times New Roman" w:eastAsiaTheme="minorHAnsi" w:hAnsi="Times New Roman"/>
          <w:noProof w:val="0"/>
          <w:sz w:val="24"/>
          <w:szCs w:val="24"/>
          <w:lang w:val="lv-LV"/>
        </w:rPr>
      </w:pPr>
      <w:r w:rsidRPr="00662254">
        <w:rPr>
          <w:rFonts w:ascii="Times New Roman" w:eastAsiaTheme="minorHAnsi" w:hAnsi="Times New Roman"/>
          <w:noProof w:val="0"/>
          <w:sz w:val="24"/>
          <w:szCs w:val="24"/>
          <w:lang w:val="lv-LV"/>
        </w:rPr>
        <w:lastRenderedPageBreak/>
        <w:t>Atbalstāmais uzņēmums- mazie un vidējie komersanti, lielie uzņēmumi</w:t>
      </w:r>
      <w:r w:rsidR="00662254">
        <w:rPr>
          <w:rFonts w:ascii="Times New Roman" w:eastAsiaTheme="minorHAnsi" w:hAnsi="Times New Roman"/>
          <w:noProof w:val="0"/>
          <w:sz w:val="24"/>
          <w:szCs w:val="24"/>
          <w:lang w:val="lv-LV"/>
        </w:rPr>
        <w:t>:</w:t>
      </w:r>
    </w:p>
    <w:p w:rsidR="008E3A2D" w:rsidRPr="00662254" w:rsidRDefault="00940041" w:rsidP="00662254">
      <w:pPr>
        <w:pStyle w:val="ListParagraph"/>
        <w:numPr>
          <w:ilvl w:val="0"/>
          <w:numId w:val="13"/>
        </w:numPr>
        <w:spacing w:after="0" w:line="240" w:lineRule="auto"/>
        <w:jc w:val="both"/>
        <w:rPr>
          <w:rFonts w:ascii="Times New Roman" w:eastAsiaTheme="minorHAnsi" w:hAnsi="Times New Roman"/>
          <w:noProof w:val="0"/>
          <w:sz w:val="24"/>
          <w:szCs w:val="24"/>
          <w:lang w:val="lv-LV"/>
        </w:rPr>
      </w:pPr>
      <w:r w:rsidRPr="00662254">
        <w:rPr>
          <w:rFonts w:ascii="Times New Roman" w:eastAsiaTheme="minorHAnsi" w:hAnsi="Times New Roman"/>
          <w:noProof w:val="0"/>
          <w:sz w:val="24"/>
          <w:szCs w:val="24"/>
          <w:lang w:val="lv-LV"/>
        </w:rPr>
        <w:t>Nav nonācis finanšu grūtībās līdz COVID-19 krīzei;</w:t>
      </w:r>
    </w:p>
    <w:p w:rsidR="00940041" w:rsidRPr="00662254" w:rsidRDefault="008E3A2D" w:rsidP="00662254">
      <w:pPr>
        <w:pStyle w:val="ListParagraph"/>
        <w:numPr>
          <w:ilvl w:val="0"/>
          <w:numId w:val="13"/>
        </w:numPr>
        <w:spacing w:after="0" w:line="240" w:lineRule="auto"/>
        <w:jc w:val="both"/>
        <w:rPr>
          <w:rFonts w:ascii="Times New Roman" w:hAnsi="Times New Roman"/>
          <w:noProof w:val="0"/>
          <w:sz w:val="24"/>
          <w:szCs w:val="24"/>
          <w:shd w:val="clear" w:color="auto" w:fill="FFFFFF"/>
          <w:lang w:val="lv-LV"/>
        </w:rPr>
      </w:pPr>
      <w:r w:rsidRPr="00662254">
        <w:rPr>
          <w:rFonts w:ascii="Times New Roman" w:hAnsi="Times New Roman"/>
          <w:noProof w:val="0"/>
          <w:sz w:val="24"/>
          <w:szCs w:val="24"/>
          <w:shd w:val="clear" w:color="auto" w:fill="FFFFFF"/>
          <w:lang w:val="lv-LV"/>
        </w:rPr>
        <w:t>A</w:t>
      </w:r>
      <w:r w:rsidR="00940041" w:rsidRPr="00662254">
        <w:rPr>
          <w:rFonts w:ascii="Times New Roman" w:hAnsi="Times New Roman"/>
          <w:noProof w:val="0"/>
          <w:sz w:val="24"/>
          <w:szCs w:val="24"/>
          <w:shd w:val="clear" w:color="auto" w:fill="FFFFFF"/>
          <w:lang w:val="lv-LV"/>
        </w:rPr>
        <w:t>izdevum</w:t>
      </w:r>
      <w:r w:rsidRPr="00662254">
        <w:rPr>
          <w:rFonts w:ascii="Times New Roman" w:hAnsi="Times New Roman"/>
          <w:noProof w:val="0"/>
          <w:sz w:val="24"/>
          <w:szCs w:val="24"/>
          <w:shd w:val="clear" w:color="auto" w:fill="FFFFFF"/>
          <w:lang w:val="lv-LV"/>
        </w:rPr>
        <w:t>s</w:t>
      </w:r>
      <w:r w:rsidR="00940041" w:rsidRPr="00662254">
        <w:rPr>
          <w:rFonts w:ascii="Times New Roman" w:hAnsi="Times New Roman"/>
          <w:noProof w:val="0"/>
          <w:sz w:val="24"/>
          <w:szCs w:val="24"/>
          <w:shd w:val="clear" w:color="auto" w:fill="FFFFFF"/>
          <w:lang w:val="lv-LV"/>
        </w:rPr>
        <w:t xml:space="preserve"> </w:t>
      </w:r>
      <w:r w:rsidRPr="00662254">
        <w:rPr>
          <w:rFonts w:ascii="Times New Roman" w:hAnsi="Times New Roman"/>
          <w:noProof w:val="0"/>
          <w:sz w:val="24"/>
          <w:szCs w:val="24"/>
          <w:shd w:val="clear" w:color="auto" w:fill="FFFFFF"/>
          <w:lang w:val="lv-LV"/>
        </w:rPr>
        <w:t xml:space="preserve"> </w:t>
      </w:r>
      <w:r w:rsidR="00940041" w:rsidRPr="00662254">
        <w:rPr>
          <w:rFonts w:ascii="Times New Roman" w:hAnsi="Times New Roman"/>
          <w:noProof w:val="0"/>
          <w:sz w:val="24"/>
          <w:szCs w:val="24"/>
          <w:shd w:val="clear" w:color="auto" w:fill="FFFFFF"/>
          <w:lang w:val="lv-LV"/>
        </w:rPr>
        <w:t>jaunu apgrozāmo līdzekļu finansēšanai;</w:t>
      </w:r>
    </w:p>
    <w:p w:rsidR="00940041" w:rsidRPr="00662254" w:rsidRDefault="008E3A2D" w:rsidP="00662254">
      <w:pPr>
        <w:pStyle w:val="ListParagraph"/>
        <w:numPr>
          <w:ilvl w:val="0"/>
          <w:numId w:val="13"/>
        </w:numPr>
        <w:spacing w:after="0"/>
        <w:jc w:val="both"/>
        <w:rPr>
          <w:rFonts w:ascii="Times New Roman" w:hAnsi="Times New Roman"/>
          <w:noProof w:val="0"/>
          <w:sz w:val="24"/>
          <w:szCs w:val="24"/>
          <w:shd w:val="clear" w:color="auto" w:fill="FFFFFF"/>
          <w:lang w:val="lv-LV"/>
        </w:rPr>
      </w:pPr>
      <w:r w:rsidRPr="00662254">
        <w:rPr>
          <w:rFonts w:ascii="Times New Roman" w:hAnsi="Times New Roman"/>
          <w:noProof w:val="0"/>
          <w:sz w:val="24"/>
          <w:szCs w:val="24"/>
          <w:shd w:val="clear" w:color="auto" w:fill="FFFFFF"/>
          <w:lang w:val="lv-LV"/>
        </w:rPr>
        <w:t>M</w:t>
      </w:r>
      <w:r w:rsidR="00940041" w:rsidRPr="00662254">
        <w:rPr>
          <w:rFonts w:ascii="Times New Roman" w:hAnsi="Times New Roman"/>
          <w:noProof w:val="0"/>
          <w:sz w:val="24"/>
          <w:szCs w:val="24"/>
          <w:shd w:val="clear" w:color="auto" w:fill="FFFFFF"/>
          <w:lang w:val="lv-LV"/>
        </w:rPr>
        <w:t xml:space="preserve">aksimālā summa līdz 1 </w:t>
      </w:r>
      <w:r w:rsidRPr="00662254">
        <w:rPr>
          <w:rFonts w:ascii="Times New Roman" w:hAnsi="Times New Roman"/>
          <w:noProof w:val="0"/>
          <w:sz w:val="24"/>
          <w:szCs w:val="24"/>
          <w:shd w:val="clear" w:color="auto" w:fill="FFFFFF"/>
          <w:lang w:val="lv-LV"/>
        </w:rPr>
        <w:t>miljonam</w:t>
      </w:r>
      <w:r w:rsidR="00940041" w:rsidRPr="00662254">
        <w:rPr>
          <w:rFonts w:ascii="Times New Roman" w:hAnsi="Times New Roman"/>
          <w:noProof w:val="0"/>
          <w:sz w:val="24"/>
          <w:szCs w:val="24"/>
          <w:shd w:val="clear" w:color="auto" w:fill="FFFFFF"/>
          <w:lang w:val="lv-LV"/>
        </w:rPr>
        <w:t xml:space="preserve"> EUR vienam uzņēmumam, </w:t>
      </w:r>
    </w:p>
    <w:p w:rsidR="00940041" w:rsidRPr="00662254" w:rsidRDefault="008E3A2D" w:rsidP="00662254">
      <w:pPr>
        <w:pStyle w:val="ListParagraph"/>
        <w:numPr>
          <w:ilvl w:val="0"/>
          <w:numId w:val="13"/>
        </w:numPr>
        <w:spacing w:after="0"/>
        <w:jc w:val="both"/>
        <w:rPr>
          <w:rFonts w:ascii="Times New Roman" w:hAnsi="Times New Roman"/>
          <w:noProof w:val="0"/>
          <w:sz w:val="24"/>
          <w:szCs w:val="24"/>
          <w:shd w:val="clear" w:color="auto" w:fill="FFFFFF"/>
          <w:lang w:val="lv-LV"/>
        </w:rPr>
      </w:pPr>
      <w:r w:rsidRPr="00662254">
        <w:rPr>
          <w:rFonts w:ascii="Times New Roman" w:hAnsi="Times New Roman"/>
          <w:noProof w:val="0"/>
          <w:sz w:val="24"/>
          <w:szCs w:val="24"/>
          <w:shd w:val="clear" w:color="auto" w:fill="FFFFFF"/>
          <w:lang w:val="lv-LV"/>
        </w:rPr>
        <w:t>M</w:t>
      </w:r>
      <w:r w:rsidR="00940041" w:rsidRPr="00662254">
        <w:rPr>
          <w:rFonts w:ascii="Times New Roman" w:hAnsi="Times New Roman"/>
          <w:noProof w:val="0"/>
          <w:sz w:val="24"/>
          <w:szCs w:val="24"/>
          <w:shd w:val="clear" w:color="auto" w:fill="FFFFFF"/>
          <w:lang w:val="lv-LV"/>
        </w:rPr>
        <w:t>aksimālais termiņš līdz 3 gadiem;</w:t>
      </w:r>
    </w:p>
    <w:p w:rsidR="00940041" w:rsidRPr="00662254" w:rsidRDefault="008E3A2D" w:rsidP="00662254">
      <w:pPr>
        <w:pStyle w:val="ListParagraph"/>
        <w:numPr>
          <w:ilvl w:val="0"/>
          <w:numId w:val="13"/>
        </w:numPr>
        <w:spacing w:after="0"/>
        <w:jc w:val="both"/>
        <w:rPr>
          <w:rFonts w:ascii="Times New Roman" w:hAnsi="Times New Roman"/>
          <w:noProof w:val="0"/>
          <w:sz w:val="24"/>
          <w:szCs w:val="24"/>
          <w:shd w:val="clear" w:color="auto" w:fill="FFFFFF"/>
          <w:lang w:val="lv-LV"/>
        </w:rPr>
      </w:pPr>
      <w:r w:rsidRPr="00662254">
        <w:rPr>
          <w:rFonts w:ascii="Times New Roman" w:hAnsi="Times New Roman"/>
          <w:noProof w:val="0"/>
          <w:sz w:val="24"/>
          <w:szCs w:val="24"/>
          <w:shd w:val="clear" w:color="auto" w:fill="FFFFFF"/>
          <w:lang w:val="lv-LV"/>
        </w:rPr>
        <w:t>P</w:t>
      </w:r>
      <w:r w:rsidR="00940041" w:rsidRPr="00662254">
        <w:rPr>
          <w:rFonts w:ascii="Times New Roman" w:hAnsi="Times New Roman"/>
          <w:noProof w:val="0"/>
          <w:sz w:val="24"/>
          <w:szCs w:val="24"/>
          <w:shd w:val="clear" w:color="auto" w:fill="FFFFFF"/>
          <w:lang w:val="lv-LV"/>
        </w:rPr>
        <w:t xml:space="preserve">amatsummas labvēlības periods </w:t>
      </w:r>
      <w:r w:rsidR="00940041" w:rsidRPr="00662254">
        <w:rPr>
          <w:rFonts w:ascii="Times New Roman" w:hAnsi="Times New Roman"/>
          <w:i/>
          <w:iCs/>
          <w:noProof w:val="0"/>
          <w:sz w:val="24"/>
          <w:szCs w:val="24"/>
          <w:shd w:val="clear" w:color="auto" w:fill="FFFFFF"/>
          <w:lang w:val="lv-LV"/>
        </w:rPr>
        <w:t>(</w:t>
      </w:r>
      <w:proofErr w:type="spellStart"/>
      <w:r w:rsidR="00940041" w:rsidRPr="00662254">
        <w:rPr>
          <w:rFonts w:ascii="Times New Roman" w:hAnsi="Times New Roman"/>
          <w:i/>
          <w:iCs/>
          <w:noProof w:val="0"/>
          <w:sz w:val="24"/>
          <w:szCs w:val="24"/>
          <w:shd w:val="clear" w:color="auto" w:fill="FFFFFF"/>
          <w:lang w:val="lv-LV"/>
        </w:rPr>
        <w:t>grace</w:t>
      </w:r>
      <w:proofErr w:type="spellEnd"/>
      <w:r w:rsidR="00940041" w:rsidRPr="00662254">
        <w:rPr>
          <w:rFonts w:ascii="Times New Roman" w:hAnsi="Times New Roman"/>
          <w:i/>
          <w:iCs/>
          <w:noProof w:val="0"/>
          <w:sz w:val="24"/>
          <w:szCs w:val="24"/>
          <w:shd w:val="clear" w:color="auto" w:fill="FFFFFF"/>
          <w:lang w:val="lv-LV"/>
        </w:rPr>
        <w:t>)</w:t>
      </w:r>
      <w:r w:rsidR="00940041" w:rsidRPr="00662254">
        <w:rPr>
          <w:rFonts w:ascii="Times New Roman" w:hAnsi="Times New Roman"/>
          <w:noProof w:val="0"/>
          <w:sz w:val="24"/>
          <w:szCs w:val="24"/>
          <w:shd w:val="clear" w:color="auto" w:fill="FFFFFF"/>
          <w:lang w:val="lv-LV"/>
        </w:rPr>
        <w:t xml:space="preserve"> līdz 12 mēnešiem;</w:t>
      </w:r>
    </w:p>
    <w:p w:rsidR="00940041" w:rsidRPr="00662254" w:rsidRDefault="008E3A2D" w:rsidP="00662254">
      <w:pPr>
        <w:pStyle w:val="ListParagraph"/>
        <w:numPr>
          <w:ilvl w:val="0"/>
          <w:numId w:val="13"/>
        </w:numPr>
        <w:spacing w:after="0"/>
        <w:jc w:val="both"/>
        <w:rPr>
          <w:rFonts w:ascii="Times New Roman" w:hAnsi="Times New Roman"/>
          <w:noProof w:val="0"/>
          <w:sz w:val="24"/>
          <w:szCs w:val="24"/>
          <w:shd w:val="clear" w:color="auto" w:fill="FFFFFF"/>
          <w:lang w:val="lv-LV"/>
        </w:rPr>
      </w:pPr>
      <w:r w:rsidRPr="00662254">
        <w:rPr>
          <w:rFonts w:ascii="Times New Roman" w:hAnsi="Times New Roman"/>
          <w:noProof w:val="0"/>
          <w:sz w:val="24"/>
          <w:szCs w:val="24"/>
          <w:shd w:val="clear" w:color="auto" w:fill="FFFFFF"/>
          <w:lang w:val="lv-LV"/>
        </w:rPr>
        <w:t>B</w:t>
      </w:r>
      <w:r w:rsidR="00940041" w:rsidRPr="00662254">
        <w:rPr>
          <w:rFonts w:ascii="Times New Roman" w:hAnsi="Times New Roman"/>
          <w:noProof w:val="0"/>
          <w:sz w:val="24"/>
          <w:szCs w:val="24"/>
          <w:shd w:val="clear" w:color="auto" w:fill="FFFFFF"/>
          <w:lang w:val="lv-LV"/>
        </w:rPr>
        <w:t>ūtiski samazinātas nodrošinājuma prasības;</w:t>
      </w:r>
    </w:p>
    <w:p w:rsidR="00940041" w:rsidRPr="00662254" w:rsidRDefault="008E3A2D" w:rsidP="00662254">
      <w:pPr>
        <w:pStyle w:val="ListParagraph"/>
        <w:numPr>
          <w:ilvl w:val="0"/>
          <w:numId w:val="13"/>
        </w:numPr>
        <w:spacing w:after="0"/>
        <w:jc w:val="both"/>
        <w:rPr>
          <w:rFonts w:ascii="Times New Roman" w:hAnsi="Times New Roman"/>
          <w:noProof w:val="0"/>
          <w:sz w:val="24"/>
          <w:szCs w:val="24"/>
          <w:shd w:val="clear" w:color="auto" w:fill="FFFFFF"/>
          <w:lang w:val="lv-LV"/>
        </w:rPr>
      </w:pPr>
      <w:r w:rsidRPr="00662254">
        <w:rPr>
          <w:rFonts w:ascii="Times New Roman" w:hAnsi="Times New Roman"/>
          <w:noProof w:val="0"/>
          <w:sz w:val="24"/>
          <w:szCs w:val="24"/>
          <w:shd w:val="clear" w:color="auto" w:fill="FFFFFF"/>
          <w:lang w:val="lv-LV"/>
        </w:rPr>
        <w:t>S</w:t>
      </w:r>
      <w:r w:rsidR="00940041" w:rsidRPr="00662254">
        <w:rPr>
          <w:rFonts w:ascii="Times New Roman" w:hAnsi="Times New Roman"/>
          <w:noProof w:val="0"/>
          <w:sz w:val="24"/>
          <w:szCs w:val="24"/>
          <w:shd w:val="clear" w:color="auto" w:fill="FFFFFF"/>
          <w:lang w:val="lv-LV"/>
        </w:rPr>
        <w:t>amazināta/subsidēta % likme;</w:t>
      </w:r>
    </w:p>
    <w:p w:rsidR="00662254" w:rsidRDefault="00662254" w:rsidP="008E3A2D">
      <w:pPr>
        <w:spacing w:after="0"/>
        <w:contextualSpacing/>
        <w:jc w:val="both"/>
        <w:rPr>
          <w:rFonts w:ascii="Times New Roman" w:hAnsi="Times New Roman"/>
          <w:noProof w:val="0"/>
          <w:sz w:val="24"/>
          <w:szCs w:val="24"/>
          <w:shd w:val="clear" w:color="auto" w:fill="FFFFFF"/>
          <w:lang w:val="lv-LV"/>
        </w:rPr>
      </w:pPr>
    </w:p>
    <w:p w:rsidR="00662254" w:rsidRDefault="002E7749" w:rsidP="008E3A2D">
      <w:pPr>
        <w:spacing w:after="0"/>
        <w:contextualSpacing/>
        <w:jc w:val="both"/>
        <w:rPr>
          <w:rFonts w:ascii="Times New Roman" w:hAnsi="Times New Roman"/>
          <w:noProof w:val="0"/>
          <w:sz w:val="24"/>
          <w:szCs w:val="24"/>
          <w:shd w:val="clear" w:color="auto" w:fill="FFFFFF"/>
          <w:lang w:val="lv-LV"/>
        </w:rPr>
      </w:pPr>
      <w:r w:rsidRPr="00914856">
        <w:rPr>
          <w:rFonts w:ascii="Times New Roman" w:hAnsi="Times New Roman"/>
          <w:b/>
          <w:noProof w:val="0"/>
          <w:sz w:val="24"/>
          <w:szCs w:val="24"/>
          <w:shd w:val="clear" w:color="auto" w:fill="FFFFFF"/>
          <w:lang w:val="lv-LV"/>
        </w:rPr>
        <w:t>Lai finansētu COVID-19 ierobežošanas pasākumus</w:t>
      </w:r>
      <w:r>
        <w:rPr>
          <w:rFonts w:ascii="Times New Roman" w:hAnsi="Times New Roman"/>
          <w:noProof w:val="0"/>
          <w:sz w:val="24"/>
          <w:szCs w:val="24"/>
          <w:shd w:val="clear" w:color="auto" w:fill="FFFFFF"/>
          <w:lang w:val="lv-LV"/>
        </w:rPr>
        <w:t>:</w:t>
      </w:r>
    </w:p>
    <w:p w:rsidR="002E7749" w:rsidRDefault="002E7749" w:rsidP="008E3A2D">
      <w:pPr>
        <w:spacing w:after="0"/>
        <w:contextualSpacing/>
        <w:jc w:val="both"/>
        <w:rPr>
          <w:rFonts w:ascii="Times New Roman" w:hAnsi="Times New Roman"/>
          <w:noProof w:val="0"/>
          <w:sz w:val="24"/>
          <w:szCs w:val="24"/>
          <w:shd w:val="clear" w:color="auto" w:fill="FFFFFF"/>
          <w:lang w:val="lv-LV"/>
        </w:rPr>
      </w:pPr>
    </w:p>
    <w:p w:rsidR="00662254" w:rsidRPr="00F93804" w:rsidRDefault="00662254" w:rsidP="00F93804">
      <w:pPr>
        <w:pStyle w:val="ListParagraph"/>
        <w:numPr>
          <w:ilvl w:val="0"/>
          <w:numId w:val="20"/>
        </w:numPr>
        <w:jc w:val="both"/>
        <w:rPr>
          <w:rFonts w:ascii="Times New Roman" w:eastAsiaTheme="minorHAnsi" w:hAnsi="Times New Roman"/>
          <w:noProof w:val="0"/>
          <w:sz w:val="24"/>
          <w:szCs w:val="24"/>
          <w:lang w:val="lv-LV"/>
        </w:rPr>
      </w:pPr>
      <w:r w:rsidRPr="00F93804">
        <w:rPr>
          <w:rFonts w:ascii="Times New Roman" w:eastAsiaTheme="minorHAnsi" w:hAnsi="Times New Roman"/>
          <w:noProof w:val="0"/>
          <w:sz w:val="24"/>
          <w:szCs w:val="24"/>
          <w:lang w:val="lv-LV"/>
        </w:rPr>
        <w:t>Finanšu ministrija sagatavo MK rīkojuma projektu  par apropriāciju pārdalēm, samazinot visu valsts budžeta finansētu iestāžu izdevumus komandējumiem par 10%</w:t>
      </w:r>
      <w:r w:rsidR="00914856" w:rsidRPr="00F93804">
        <w:rPr>
          <w:rFonts w:ascii="Times New Roman" w:eastAsiaTheme="minorHAnsi" w:hAnsi="Times New Roman"/>
          <w:noProof w:val="0"/>
          <w:sz w:val="24"/>
          <w:szCs w:val="24"/>
          <w:lang w:val="lv-LV"/>
        </w:rPr>
        <w:t xml:space="preserve">  (1,5 milj</w:t>
      </w:r>
      <w:r w:rsidR="00443885" w:rsidRPr="00F93804">
        <w:rPr>
          <w:rFonts w:ascii="Times New Roman" w:eastAsiaTheme="minorHAnsi" w:hAnsi="Times New Roman"/>
          <w:noProof w:val="0"/>
          <w:sz w:val="24"/>
          <w:szCs w:val="24"/>
          <w:lang w:val="lv-LV"/>
        </w:rPr>
        <w:t>. EUR</w:t>
      </w:r>
      <w:r w:rsidR="00914856" w:rsidRPr="00F93804">
        <w:rPr>
          <w:rFonts w:ascii="Times New Roman" w:eastAsiaTheme="minorHAnsi" w:hAnsi="Times New Roman"/>
          <w:noProof w:val="0"/>
          <w:sz w:val="24"/>
          <w:szCs w:val="24"/>
          <w:lang w:val="lv-LV"/>
        </w:rPr>
        <w:t>)</w:t>
      </w:r>
      <w:r w:rsidRPr="00F93804">
        <w:rPr>
          <w:rFonts w:ascii="Times New Roman" w:eastAsiaTheme="minorHAnsi" w:hAnsi="Times New Roman"/>
          <w:noProof w:val="0"/>
          <w:sz w:val="24"/>
          <w:szCs w:val="24"/>
          <w:lang w:val="lv-LV"/>
        </w:rPr>
        <w:t>, lai nodrošinātu papildu finansējumu valsts budžeta programmā “Līdzekļi neparedzētiem gadījumiem”.</w:t>
      </w:r>
    </w:p>
    <w:p w:rsidR="00662254" w:rsidRDefault="00662254" w:rsidP="00662254">
      <w:pPr>
        <w:pStyle w:val="ListParagraph"/>
        <w:jc w:val="both"/>
        <w:rPr>
          <w:rFonts w:ascii="Times New Roman" w:eastAsiaTheme="minorHAnsi" w:hAnsi="Times New Roman"/>
          <w:noProof w:val="0"/>
          <w:sz w:val="24"/>
          <w:szCs w:val="24"/>
          <w:lang w:val="lv-LV"/>
        </w:rPr>
      </w:pPr>
    </w:p>
    <w:p w:rsidR="00662254" w:rsidRDefault="00662254" w:rsidP="00F93804">
      <w:pPr>
        <w:pStyle w:val="ListParagraph"/>
        <w:numPr>
          <w:ilvl w:val="0"/>
          <w:numId w:val="20"/>
        </w:numPr>
        <w:jc w:val="both"/>
        <w:rPr>
          <w:rFonts w:ascii="Times New Roman" w:eastAsiaTheme="minorHAnsi" w:hAnsi="Times New Roman"/>
          <w:noProof w:val="0"/>
          <w:sz w:val="24"/>
          <w:szCs w:val="24"/>
          <w:lang w:val="lv-LV"/>
        </w:rPr>
      </w:pPr>
      <w:r w:rsidRPr="006E0DDD">
        <w:rPr>
          <w:rFonts w:ascii="Times New Roman" w:eastAsiaTheme="minorHAnsi" w:hAnsi="Times New Roman"/>
          <w:noProof w:val="0"/>
          <w:sz w:val="24"/>
          <w:szCs w:val="24"/>
          <w:lang w:val="lv-LV"/>
        </w:rPr>
        <w:t xml:space="preserve">Pieņemot lēmumus par  pandēmijas pasākumiem, virzītājs vienlaikus novērtē finansiālās ietekmes  </w:t>
      </w:r>
      <w:r>
        <w:rPr>
          <w:rFonts w:ascii="Times New Roman" w:eastAsiaTheme="minorHAnsi" w:hAnsi="Times New Roman"/>
          <w:noProof w:val="0"/>
          <w:sz w:val="24"/>
          <w:szCs w:val="24"/>
          <w:lang w:val="lv-LV"/>
        </w:rPr>
        <w:t>(</w:t>
      </w:r>
      <w:r w:rsidRPr="006E0DDD">
        <w:rPr>
          <w:rFonts w:ascii="Times New Roman" w:eastAsiaTheme="minorHAnsi" w:hAnsi="Times New Roman"/>
          <w:noProof w:val="0"/>
          <w:sz w:val="24"/>
          <w:szCs w:val="24"/>
          <w:lang w:val="lv-LV"/>
        </w:rPr>
        <w:t xml:space="preserve">ieņēmumi, izdevumi) un sadalījumu pa budžeta līmeņiem, kāda ietekme uz valsts budžetu un kāda uz pašvaldību budžetiem. </w:t>
      </w:r>
    </w:p>
    <w:p w:rsidR="002E7749" w:rsidRPr="002E7749" w:rsidRDefault="002E7749" w:rsidP="002E7749">
      <w:pPr>
        <w:pStyle w:val="ListParagraph"/>
        <w:rPr>
          <w:rFonts w:ascii="Times New Roman" w:eastAsiaTheme="minorHAnsi" w:hAnsi="Times New Roman"/>
          <w:noProof w:val="0"/>
          <w:sz w:val="24"/>
          <w:szCs w:val="24"/>
          <w:lang w:val="lv-LV"/>
        </w:rPr>
      </w:pPr>
    </w:p>
    <w:p w:rsidR="002E7749" w:rsidRPr="005E07BC" w:rsidRDefault="00914856" w:rsidP="00F93804">
      <w:pPr>
        <w:ind w:firstLine="360"/>
        <w:jc w:val="both"/>
        <w:rPr>
          <w:rFonts w:ascii="Times New Roman" w:eastAsiaTheme="minorHAnsi" w:hAnsi="Times New Roman"/>
          <w:b/>
          <w:noProof w:val="0"/>
          <w:sz w:val="24"/>
          <w:szCs w:val="24"/>
          <w:lang w:val="lv-LV"/>
        </w:rPr>
      </w:pPr>
      <w:r w:rsidRPr="005E07BC">
        <w:rPr>
          <w:rFonts w:ascii="Times New Roman" w:eastAsiaTheme="minorHAnsi" w:hAnsi="Times New Roman"/>
          <w:b/>
          <w:noProof w:val="0"/>
          <w:sz w:val="24"/>
          <w:szCs w:val="24"/>
          <w:lang w:val="lv-LV"/>
        </w:rPr>
        <w:t>Nepieciešama diskusija par iespēju</w:t>
      </w:r>
      <w:r w:rsidR="002E7749" w:rsidRPr="005E07BC">
        <w:rPr>
          <w:rFonts w:ascii="Times New Roman" w:eastAsiaTheme="minorHAnsi" w:hAnsi="Times New Roman"/>
          <w:b/>
          <w:noProof w:val="0"/>
          <w:sz w:val="24"/>
          <w:szCs w:val="24"/>
          <w:lang w:val="lv-LV"/>
        </w:rPr>
        <w:t xml:space="preserve"> steidzami sagatavot vienu sp</w:t>
      </w:r>
      <w:r w:rsidRPr="005E07BC">
        <w:rPr>
          <w:rFonts w:ascii="Times New Roman" w:eastAsiaTheme="minorHAnsi" w:hAnsi="Times New Roman"/>
          <w:b/>
          <w:noProof w:val="0"/>
          <w:sz w:val="24"/>
          <w:szCs w:val="24"/>
          <w:lang w:val="lv-LV"/>
        </w:rPr>
        <w:t xml:space="preserve">eciālu terminētu likumprojektu </w:t>
      </w:r>
      <w:r w:rsidR="002E7749" w:rsidRPr="005E07BC">
        <w:rPr>
          <w:rFonts w:ascii="Times New Roman" w:eastAsiaTheme="minorHAnsi" w:hAnsi="Times New Roman"/>
          <w:b/>
          <w:noProof w:val="0"/>
          <w:sz w:val="24"/>
          <w:szCs w:val="24"/>
          <w:lang w:val="lv-LV"/>
        </w:rPr>
        <w:t>COVID-19 seku pārvarēšanai, tajā ietverot nodokļu, sociālās aizsardzības, atbalsta uzņēmējdarbībai, LNG palielināšanas, apropriāciju pārdaļu un citus</w:t>
      </w:r>
      <w:r w:rsidRPr="005E07BC">
        <w:rPr>
          <w:rFonts w:ascii="Times New Roman" w:eastAsiaTheme="minorHAnsi" w:hAnsi="Times New Roman"/>
          <w:b/>
          <w:noProof w:val="0"/>
          <w:sz w:val="24"/>
          <w:szCs w:val="24"/>
          <w:lang w:val="lv-LV"/>
        </w:rPr>
        <w:t xml:space="preserve"> nozarēm nepieciešamos</w:t>
      </w:r>
      <w:r w:rsidR="002E7749" w:rsidRPr="005E07BC">
        <w:rPr>
          <w:rFonts w:ascii="Times New Roman" w:eastAsiaTheme="minorHAnsi" w:hAnsi="Times New Roman"/>
          <w:b/>
          <w:noProof w:val="0"/>
          <w:sz w:val="24"/>
          <w:szCs w:val="24"/>
          <w:lang w:val="lv-LV"/>
        </w:rPr>
        <w:t xml:space="preserve"> jautājumus</w:t>
      </w:r>
      <w:r w:rsidRPr="005E07BC">
        <w:rPr>
          <w:rFonts w:ascii="Times New Roman" w:eastAsiaTheme="minorHAnsi" w:hAnsi="Times New Roman"/>
          <w:b/>
          <w:noProof w:val="0"/>
          <w:sz w:val="24"/>
          <w:szCs w:val="24"/>
          <w:lang w:val="lv-LV"/>
        </w:rPr>
        <w:t>, kas tieši saistīti ar krīzes ātrai un efektīvai pārvarēšanai</w:t>
      </w:r>
      <w:r w:rsidR="002E7749" w:rsidRPr="005E07BC">
        <w:rPr>
          <w:rFonts w:ascii="Times New Roman" w:eastAsiaTheme="minorHAnsi" w:hAnsi="Times New Roman"/>
          <w:b/>
          <w:noProof w:val="0"/>
          <w:sz w:val="24"/>
          <w:szCs w:val="24"/>
          <w:lang w:val="lv-LV"/>
        </w:rPr>
        <w:t>.</w:t>
      </w:r>
      <w:r w:rsidRPr="005E07BC">
        <w:rPr>
          <w:rFonts w:ascii="Times New Roman" w:eastAsiaTheme="minorHAnsi" w:hAnsi="Times New Roman"/>
          <w:b/>
          <w:noProof w:val="0"/>
          <w:sz w:val="24"/>
          <w:szCs w:val="24"/>
          <w:lang w:val="lv-LV"/>
        </w:rPr>
        <w:t xml:space="preserve">  Galvenā atbildīgā Finanšu ministrija.</w:t>
      </w:r>
    </w:p>
    <w:p w:rsidR="00D561BE" w:rsidRPr="00D561BE" w:rsidRDefault="00D561BE" w:rsidP="00D561BE">
      <w:pPr>
        <w:spacing w:before="100" w:beforeAutospacing="1"/>
        <w:jc w:val="both"/>
        <w:rPr>
          <w:rFonts w:ascii="Times New Roman" w:eastAsiaTheme="minorHAnsi" w:hAnsi="Times New Roman"/>
          <w:noProof w:val="0"/>
          <w:sz w:val="24"/>
          <w:szCs w:val="24"/>
          <w:lang w:val="lv-LV"/>
        </w:rPr>
      </w:pPr>
    </w:p>
    <w:p w:rsidR="00B56390" w:rsidRPr="00F93804" w:rsidRDefault="00F93804">
      <w:pPr>
        <w:rPr>
          <w:rFonts w:ascii="Times New Roman" w:hAnsi="Times New Roman"/>
          <w:sz w:val="24"/>
          <w:szCs w:val="24"/>
        </w:rPr>
      </w:pPr>
      <w:r w:rsidRPr="00F93804">
        <w:rPr>
          <w:rFonts w:ascii="Times New Roman" w:hAnsi="Times New Roman"/>
          <w:sz w:val="24"/>
          <w:szCs w:val="24"/>
        </w:rPr>
        <w:t>Finanšu ministrs</w:t>
      </w:r>
      <w:r w:rsidRPr="00F93804">
        <w:rPr>
          <w:rFonts w:ascii="Times New Roman" w:hAnsi="Times New Roman"/>
          <w:sz w:val="24"/>
          <w:szCs w:val="24"/>
        </w:rPr>
        <w:tab/>
      </w:r>
      <w:r w:rsidRPr="00F93804">
        <w:rPr>
          <w:rFonts w:ascii="Times New Roman" w:hAnsi="Times New Roman"/>
          <w:sz w:val="24"/>
          <w:szCs w:val="24"/>
        </w:rPr>
        <w:tab/>
      </w:r>
      <w:r w:rsidRPr="00F93804">
        <w:rPr>
          <w:rFonts w:ascii="Times New Roman" w:hAnsi="Times New Roman"/>
          <w:sz w:val="24"/>
          <w:szCs w:val="24"/>
        </w:rPr>
        <w:tab/>
      </w:r>
      <w:r w:rsidRPr="00F93804">
        <w:rPr>
          <w:rFonts w:ascii="Times New Roman" w:hAnsi="Times New Roman"/>
          <w:sz w:val="24"/>
          <w:szCs w:val="24"/>
        </w:rPr>
        <w:tab/>
      </w:r>
      <w:r w:rsidRPr="00F93804">
        <w:rPr>
          <w:rFonts w:ascii="Times New Roman" w:hAnsi="Times New Roman"/>
          <w:sz w:val="24"/>
          <w:szCs w:val="24"/>
        </w:rPr>
        <w:tab/>
      </w:r>
      <w:r w:rsidRPr="00F93804">
        <w:rPr>
          <w:rFonts w:ascii="Times New Roman" w:hAnsi="Times New Roman"/>
          <w:sz w:val="24"/>
          <w:szCs w:val="24"/>
        </w:rPr>
        <w:tab/>
      </w:r>
      <w:r w:rsidRPr="00F93804">
        <w:rPr>
          <w:rFonts w:ascii="Times New Roman" w:hAnsi="Times New Roman"/>
          <w:sz w:val="24"/>
          <w:szCs w:val="24"/>
        </w:rPr>
        <w:tab/>
      </w:r>
      <w:r w:rsidRPr="00F93804">
        <w:rPr>
          <w:rFonts w:ascii="Times New Roman" w:hAnsi="Times New Roman"/>
          <w:sz w:val="24"/>
          <w:szCs w:val="24"/>
        </w:rPr>
        <w:tab/>
        <w:t>J.Reirs</w:t>
      </w:r>
    </w:p>
    <w:sectPr w:rsidR="00B56390" w:rsidRPr="00F93804" w:rsidSect="00207A2F">
      <w:footerReference w:type="default" r:id="rId8"/>
      <w:pgSz w:w="11906" w:h="16838"/>
      <w:pgMar w:top="1135" w:right="1133"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09" w:rsidRDefault="00C11009" w:rsidP="002E7749">
      <w:pPr>
        <w:spacing w:after="0" w:line="240" w:lineRule="auto"/>
      </w:pPr>
      <w:r>
        <w:separator/>
      </w:r>
    </w:p>
  </w:endnote>
  <w:endnote w:type="continuationSeparator" w:id="0">
    <w:p w:rsidR="00C11009" w:rsidRDefault="00C11009" w:rsidP="002E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804" w:rsidRPr="00F93804" w:rsidRDefault="00F93804">
    <w:pPr>
      <w:pStyle w:val="Footer"/>
      <w:rPr>
        <w:lang w:val="lv-LV"/>
      </w:rPr>
    </w:pPr>
    <w:r>
      <w:rPr>
        <w:lang w:val="lv-LV"/>
      </w:rPr>
      <w:t>FMZino_16032020</w:t>
    </w:r>
    <w:r w:rsidR="002E115D">
      <w:rPr>
        <w:lang w:val="lv-LV"/>
      </w:rPr>
      <w:t>_Covid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09" w:rsidRDefault="00C11009" w:rsidP="002E7749">
      <w:pPr>
        <w:spacing w:after="0" w:line="240" w:lineRule="auto"/>
      </w:pPr>
      <w:r>
        <w:separator/>
      </w:r>
    </w:p>
  </w:footnote>
  <w:footnote w:type="continuationSeparator" w:id="0">
    <w:p w:rsidR="00C11009" w:rsidRDefault="00C11009" w:rsidP="002E7749">
      <w:pPr>
        <w:spacing w:after="0" w:line="240" w:lineRule="auto"/>
      </w:pPr>
      <w:r>
        <w:continuationSeparator/>
      </w:r>
    </w:p>
  </w:footnote>
  <w:footnote w:id="1">
    <w:p w:rsidR="002E7749" w:rsidRDefault="002E7749" w:rsidP="002E7749">
      <w:pPr>
        <w:pStyle w:val="FootnoteText"/>
      </w:pPr>
      <w:r>
        <w:rPr>
          <w:rStyle w:val="FootnoteReference"/>
        </w:rPr>
        <w:footnoteRef/>
      </w:r>
      <w:r>
        <w:t xml:space="preserve"> </w:t>
      </w:r>
      <w:r w:rsidRPr="006A6234">
        <w:rPr>
          <w:rStyle w:val="FootnoteReference"/>
          <w:vertAlign w:val="baseline"/>
        </w:rPr>
        <w:t>Gada pārskatu un konsolidēto gada pārskatu likuma subjektiem šobrīd noteikts, ka gada pārskats VID jāiesniedz ne vēlāk kā mēnesi pēc gada pārskata apstiprināšanas un ne vēlāk kā četrus mēnešus pēc pārskata gada beigām, tas ir līdz 1.maijam, savukārt tādas sabiedrības, kuras ir lielas, sabiedrības gada pārskatus var iesniegt ne vēlāk kā septiņus mēnešus pēc pārskata gada beigām, tas ir līdz 31.jūlijam.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8F4"/>
    <w:multiLevelType w:val="hybridMultilevel"/>
    <w:tmpl w:val="3B0ED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60805"/>
    <w:multiLevelType w:val="hybridMultilevel"/>
    <w:tmpl w:val="48BA7DA8"/>
    <w:lvl w:ilvl="0" w:tplc="C68ED2C4">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718DC"/>
    <w:multiLevelType w:val="hybridMultilevel"/>
    <w:tmpl w:val="6E02E0E6"/>
    <w:lvl w:ilvl="0" w:tplc="22E2B3DC">
      <w:start w:val="1"/>
      <w:numFmt w:val="decimal"/>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3" w15:restartNumberingAfterBreak="0">
    <w:nsid w:val="109E21FC"/>
    <w:multiLevelType w:val="hybridMultilevel"/>
    <w:tmpl w:val="5CAA70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4B65C3"/>
    <w:multiLevelType w:val="hybridMultilevel"/>
    <w:tmpl w:val="8E469B0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81200A1"/>
    <w:multiLevelType w:val="hybridMultilevel"/>
    <w:tmpl w:val="B5643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FC0089"/>
    <w:multiLevelType w:val="hybridMultilevel"/>
    <w:tmpl w:val="AC363F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92321B"/>
    <w:multiLevelType w:val="hybridMultilevel"/>
    <w:tmpl w:val="0A4EBD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E8025FB"/>
    <w:multiLevelType w:val="hybridMultilevel"/>
    <w:tmpl w:val="70D048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5FD7134"/>
    <w:multiLevelType w:val="hybridMultilevel"/>
    <w:tmpl w:val="19541C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016BA1"/>
    <w:multiLevelType w:val="hybridMultilevel"/>
    <w:tmpl w:val="A20ACD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3A51EF"/>
    <w:multiLevelType w:val="hybridMultilevel"/>
    <w:tmpl w:val="1BF27FAE"/>
    <w:lvl w:ilvl="0" w:tplc="148A730A">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8333EB"/>
    <w:multiLevelType w:val="hybridMultilevel"/>
    <w:tmpl w:val="FE90A428"/>
    <w:lvl w:ilvl="0" w:tplc="D0387AA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7640479"/>
    <w:multiLevelType w:val="hybridMultilevel"/>
    <w:tmpl w:val="04546BBA"/>
    <w:lvl w:ilvl="0" w:tplc="1DD4C5D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4BD32794"/>
    <w:multiLevelType w:val="hybridMultilevel"/>
    <w:tmpl w:val="72583ED6"/>
    <w:lvl w:ilvl="0" w:tplc="38183EE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2A96F75"/>
    <w:multiLevelType w:val="hybridMultilevel"/>
    <w:tmpl w:val="F12E00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9B3E97"/>
    <w:multiLevelType w:val="hybridMultilevel"/>
    <w:tmpl w:val="FEB06F1C"/>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9682211"/>
    <w:multiLevelType w:val="hybridMultilevel"/>
    <w:tmpl w:val="835CF63E"/>
    <w:lvl w:ilvl="0" w:tplc="637E58C2">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A040499"/>
    <w:multiLevelType w:val="multilevel"/>
    <w:tmpl w:val="2C529A4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E2B3B68"/>
    <w:multiLevelType w:val="hybridMultilevel"/>
    <w:tmpl w:val="A58C7F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6F445C38"/>
    <w:multiLevelType w:val="hybridMultilevel"/>
    <w:tmpl w:val="1766005E"/>
    <w:lvl w:ilvl="0" w:tplc="04260001">
      <w:start w:val="1"/>
      <w:numFmt w:val="bullet"/>
      <w:lvlText w:val=""/>
      <w:lvlJc w:val="left"/>
      <w:pPr>
        <w:ind w:left="1560" w:hanging="360"/>
      </w:pPr>
      <w:rPr>
        <w:rFonts w:ascii="Symbol" w:hAnsi="Symbo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21" w15:restartNumberingAfterBreak="0">
    <w:nsid w:val="77F25988"/>
    <w:multiLevelType w:val="hybridMultilevel"/>
    <w:tmpl w:val="04A0CD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9"/>
  </w:num>
  <w:num w:numId="4">
    <w:abstractNumId w:val="6"/>
  </w:num>
  <w:num w:numId="5">
    <w:abstractNumId w:val="15"/>
  </w:num>
  <w:num w:numId="6">
    <w:abstractNumId w:val="16"/>
  </w:num>
  <w:num w:numId="7">
    <w:abstractNumId w:val="0"/>
  </w:num>
  <w:num w:numId="8">
    <w:abstractNumId w:val="1"/>
  </w:num>
  <w:num w:numId="9">
    <w:abstractNumId w:val="8"/>
  </w:num>
  <w:num w:numId="10">
    <w:abstractNumId w:val="5"/>
  </w:num>
  <w:num w:numId="11">
    <w:abstractNumId w:val="18"/>
  </w:num>
  <w:num w:numId="12">
    <w:abstractNumId w:val="4"/>
  </w:num>
  <w:num w:numId="13">
    <w:abstractNumId w:val="7"/>
  </w:num>
  <w:num w:numId="14">
    <w:abstractNumId w:val="3"/>
  </w:num>
  <w:num w:numId="15">
    <w:abstractNumId w:val="21"/>
  </w:num>
  <w:num w:numId="16">
    <w:abstractNumId w:val="10"/>
  </w:num>
  <w:num w:numId="17">
    <w:abstractNumId w:val="12"/>
  </w:num>
  <w:num w:numId="18">
    <w:abstractNumId w:val="20"/>
  </w:num>
  <w:num w:numId="19">
    <w:abstractNumId w:val="17"/>
  </w:num>
  <w:num w:numId="20">
    <w:abstractNumId w:val="13"/>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DD"/>
    <w:rsid w:val="00082726"/>
    <w:rsid w:val="000836EF"/>
    <w:rsid w:val="001216A8"/>
    <w:rsid w:val="001C2F02"/>
    <w:rsid w:val="001E7B1A"/>
    <w:rsid w:val="00207A2F"/>
    <w:rsid w:val="00242253"/>
    <w:rsid w:val="002E115D"/>
    <w:rsid w:val="002E7749"/>
    <w:rsid w:val="00364BF5"/>
    <w:rsid w:val="00443885"/>
    <w:rsid w:val="0052513B"/>
    <w:rsid w:val="005E07BC"/>
    <w:rsid w:val="00662254"/>
    <w:rsid w:val="00695685"/>
    <w:rsid w:val="006E0DDD"/>
    <w:rsid w:val="00854927"/>
    <w:rsid w:val="008E3A2D"/>
    <w:rsid w:val="00914856"/>
    <w:rsid w:val="00940041"/>
    <w:rsid w:val="009C45A7"/>
    <w:rsid w:val="00A113C3"/>
    <w:rsid w:val="00B56390"/>
    <w:rsid w:val="00BA3F3D"/>
    <w:rsid w:val="00C11009"/>
    <w:rsid w:val="00D20C23"/>
    <w:rsid w:val="00D561BE"/>
    <w:rsid w:val="00D97785"/>
    <w:rsid w:val="00DB7EAF"/>
    <w:rsid w:val="00EE656C"/>
    <w:rsid w:val="00F86A7E"/>
    <w:rsid w:val="00F90829"/>
    <w:rsid w:val="00F938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673A7-23EE-4A78-BB43-5693E56F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DD"/>
    <w:rPr>
      <w:rFonts w:ascii="Calibri" w:eastAsia="Calibri" w:hAnsi="Calibri" w:cs="Times New Roman"/>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DDD"/>
    <w:pPr>
      <w:ind w:left="720"/>
      <w:contextualSpacing/>
    </w:pPr>
  </w:style>
  <w:style w:type="paragraph" w:styleId="BalloonText">
    <w:name w:val="Balloon Text"/>
    <w:basedOn w:val="Normal"/>
    <w:link w:val="BalloonTextChar"/>
    <w:uiPriority w:val="99"/>
    <w:semiHidden/>
    <w:unhideWhenUsed/>
    <w:rsid w:val="00D20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23"/>
    <w:rPr>
      <w:rFonts w:ascii="Segoe UI" w:eastAsia="Calibri" w:hAnsi="Segoe UI" w:cs="Segoe UI"/>
      <w:noProof/>
      <w:sz w:val="18"/>
      <w:szCs w:val="18"/>
      <w:lang w:val="en-US"/>
    </w:rPr>
  </w:style>
  <w:style w:type="paragraph" w:styleId="FootnoteText">
    <w:name w:val="footnote text"/>
    <w:basedOn w:val="Normal"/>
    <w:link w:val="FootnoteTextChar"/>
    <w:uiPriority w:val="99"/>
    <w:semiHidden/>
    <w:unhideWhenUsed/>
    <w:rsid w:val="002E7749"/>
    <w:pPr>
      <w:spacing w:after="0" w:line="240" w:lineRule="auto"/>
    </w:pPr>
    <w:rPr>
      <w:rFonts w:eastAsiaTheme="minorHAnsi" w:cs="Calibri"/>
      <w:noProof w:val="0"/>
      <w:sz w:val="20"/>
      <w:szCs w:val="20"/>
      <w:lang w:val="lv-LV"/>
    </w:rPr>
  </w:style>
  <w:style w:type="character" w:customStyle="1" w:styleId="FootnoteTextChar">
    <w:name w:val="Footnote Text Char"/>
    <w:basedOn w:val="DefaultParagraphFont"/>
    <w:link w:val="FootnoteText"/>
    <w:uiPriority w:val="99"/>
    <w:semiHidden/>
    <w:rsid w:val="002E7749"/>
    <w:rPr>
      <w:rFonts w:ascii="Calibri" w:hAnsi="Calibri" w:cs="Calibri"/>
      <w:sz w:val="20"/>
      <w:szCs w:val="20"/>
    </w:rPr>
  </w:style>
  <w:style w:type="character" w:styleId="FootnoteReference">
    <w:name w:val="footnote reference"/>
    <w:basedOn w:val="DefaultParagraphFont"/>
    <w:uiPriority w:val="99"/>
    <w:semiHidden/>
    <w:unhideWhenUsed/>
    <w:rsid w:val="002E7749"/>
    <w:rPr>
      <w:vertAlign w:val="superscript"/>
    </w:rPr>
  </w:style>
  <w:style w:type="paragraph" w:styleId="Header">
    <w:name w:val="header"/>
    <w:basedOn w:val="Normal"/>
    <w:link w:val="HeaderChar"/>
    <w:uiPriority w:val="99"/>
    <w:unhideWhenUsed/>
    <w:rsid w:val="00F938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3804"/>
    <w:rPr>
      <w:rFonts w:ascii="Calibri" w:eastAsia="Calibri" w:hAnsi="Calibri" w:cs="Times New Roman"/>
      <w:noProof/>
      <w:lang w:val="en-US"/>
    </w:rPr>
  </w:style>
  <w:style w:type="paragraph" w:styleId="Footer">
    <w:name w:val="footer"/>
    <w:basedOn w:val="Normal"/>
    <w:link w:val="FooterChar"/>
    <w:uiPriority w:val="99"/>
    <w:unhideWhenUsed/>
    <w:rsid w:val="00F938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3804"/>
    <w:rPr>
      <w:rFonts w:ascii="Calibri" w:eastAsia="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9C8B-F89C-421C-9603-6B64CC62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4218</Words>
  <Characters>2405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Informatīvais ziņojums par risinājumiem COVID-19 seku pārvarēšanai sociālajā un uzņēmējdarbības jomā</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risinājumiem COVID-19 seku pārvarēšanai sociālajā un uzņēmējdarbības jomā</dc:title>
  <dc:subject/>
  <dc:creator/>
  <cp:keywords/>
  <dc:description>Dana.Aleksandrova@fm.gov.lv
67095628</dc:description>
  <cp:lastModifiedBy>Dana Aleksandrova</cp:lastModifiedBy>
  <cp:revision>14</cp:revision>
  <cp:lastPrinted>2020-03-16T12:10:00Z</cp:lastPrinted>
  <dcterms:created xsi:type="dcterms:W3CDTF">2020-03-16T15:05:00Z</dcterms:created>
  <dcterms:modified xsi:type="dcterms:W3CDTF">2020-03-16T16:05:00Z</dcterms:modified>
</cp:coreProperties>
</file>