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3D538" w14:textId="69C8E7E5" w:rsidR="00946431" w:rsidRPr="000D0380" w:rsidRDefault="00DD33B9" w:rsidP="00D9627C">
      <w:pPr>
        <w:pStyle w:val="naisnod"/>
        <w:spacing w:before="0" w:after="0"/>
        <w:ind w:right="-720" w:firstLine="720"/>
        <w:rPr>
          <w:color w:val="000000"/>
        </w:rPr>
      </w:pPr>
      <w:r w:rsidRPr="000D0380">
        <w:rPr>
          <w:color w:val="000000"/>
        </w:rPr>
        <w:t xml:space="preserve"> </w:t>
      </w:r>
      <w:r w:rsidR="00946431" w:rsidRPr="000D0380">
        <w:rPr>
          <w:color w:val="000000"/>
        </w:rPr>
        <w:t>Izziņa par atzinumos sniegtajiem iebildumiem</w:t>
      </w:r>
    </w:p>
    <w:p w14:paraId="36079FEF" w14:textId="77777777" w:rsidR="00946431" w:rsidRPr="000D0380" w:rsidRDefault="00946431" w:rsidP="00D9627C">
      <w:pPr>
        <w:pStyle w:val="naisf"/>
        <w:spacing w:before="0" w:after="0"/>
        <w:ind w:firstLine="0"/>
        <w:jc w:val="center"/>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4327"/>
      </w:tblGrid>
      <w:tr w:rsidR="00946431" w:rsidRPr="000D0380" w14:paraId="754196C2" w14:textId="77777777" w:rsidTr="007F4A63">
        <w:trPr>
          <w:trHeight w:val="1406"/>
          <w:tblCellSpacing w:w="0" w:type="dxa"/>
          <w:jc w:val="center"/>
        </w:trPr>
        <w:tc>
          <w:tcPr>
            <w:tcW w:w="14327" w:type="dxa"/>
            <w:tcBorders>
              <w:top w:val="nil"/>
              <w:left w:val="nil"/>
              <w:bottom w:val="single" w:sz="8" w:space="0" w:color="auto"/>
              <w:right w:val="nil"/>
            </w:tcBorders>
          </w:tcPr>
          <w:p w14:paraId="5D8F5E74" w14:textId="42C5D3A3" w:rsidR="00946431" w:rsidRPr="000D0380" w:rsidRDefault="00946431" w:rsidP="00D16963">
            <w:pPr>
              <w:pStyle w:val="BodyText"/>
              <w:jc w:val="both"/>
            </w:pPr>
            <w:r w:rsidRPr="000D0380">
              <w:rPr>
                <w:color w:val="000000"/>
              </w:rPr>
              <w:t xml:space="preserve">Protokollēmuma projektā </w:t>
            </w:r>
            <w:r w:rsidR="0054438E" w:rsidRPr="000D0380">
              <w:t xml:space="preserve">“Par informatīvo ziņojumu par </w:t>
            </w:r>
            <w:r w:rsidR="0015079F" w:rsidRPr="000D0380">
              <w:t xml:space="preserve">Kohēzijas politikas Eiropas Savienības fondu investīciju aktualitātēm </w:t>
            </w:r>
            <w:r w:rsidR="003939D3" w:rsidRPr="000D0380">
              <w:t>(</w:t>
            </w:r>
            <w:r w:rsidR="0015079F" w:rsidRPr="000D0380">
              <w:t>pusgada ziņojums)</w:t>
            </w:r>
            <w:r w:rsidR="00D16963" w:rsidRPr="000D0380">
              <w:t>”</w:t>
            </w:r>
            <w:r w:rsidR="00753C73" w:rsidRPr="000D0380">
              <w:t>”</w:t>
            </w:r>
            <w:r w:rsidR="00D16963" w:rsidRPr="000D0380">
              <w:t xml:space="preserve"> </w:t>
            </w:r>
            <w:r w:rsidRPr="000D0380">
              <w:rPr>
                <w:color w:val="000000"/>
              </w:rPr>
              <w:t>(turpmāk – protokollēmuma projekts)</w:t>
            </w:r>
          </w:p>
          <w:p w14:paraId="60275EAE" w14:textId="77777777" w:rsidR="00946431" w:rsidRPr="000D0380" w:rsidRDefault="00946431" w:rsidP="00D9627C">
            <w:pPr>
              <w:pStyle w:val="BodyText"/>
              <w:spacing w:after="0"/>
              <w:rPr>
                <w:color w:val="000000"/>
              </w:rPr>
            </w:pPr>
            <w:r w:rsidRPr="000D0380">
              <w:rPr>
                <w:color w:val="000000"/>
              </w:rPr>
              <w:t>un</w:t>
            </w:r>
          </w:p>
          <w:p w14:paraId="6168318B" w14:textId="3710EFD7" w:rsidR="00946431" w:rsidRPr="000D0380" w:rsidRDefault="002D3953" w:rsidP="003939D3">
            <w:pPr>
              <w:pStyle w:val="naisc"/>
              <w:jc w:val="both"/>
              <w:rPr>
                <w:color w:val="000000"/>
              </w:rPr>
            </w:pPr>
            <w:r w:rsidRPr="000D0380">
              <w:rPr>
                <w:color w:val="000000"/>
              </w:rPr>
              <w:t>Informatīvā ziņojuma projektā</w:t>
            </w:r>
            <w:r w:rsidR="00946431" w:rsidRPr="000D0380">
              <w:rPr>
                <w:color w:val="000000"/>
              </w:rPr>
              <w:t xml:space="preserve"> </w:t>
            </w:r>
            <w:r w:rsidR="00B932E9" w:rsidRPr="000D0380">
              <w:rPr>
                <w:color w:val="000000"/>
              </w:rPr>
              <w:t>„</w:t>
            </w:r>
            <w:r w:rsidR="000816D9" w:rsidRPr="000D0380">
              <w:rPr>
                <w:color w:val="000000"/>
              </w:rPr>
              <w:t>Informatīvais ziņojums p</w:t>
            </w:r>
            <w:r w:rsidR="0054438E" w:rsidRPr="000D0380">
              <w:rPr>
                <w:color w:val="000000"/>
              </w:rPr>
              <w:t xml:space="preserve">ar </w:t>
            </w:r>
            <w:r w:rsidR="0015079F" w:rsidRPr="000D0380">
              <w:rPr>
                <w:color w:val="000000" w:themeColor="text1"/>
              </w:rPr>
              <w:t>Kohēzijas politikas Eiropas Savienības fondu investīciju aktualitātēm (pusgada ziņojums)</w:t>
            </w:r>
            <w:r w:rsidR="00B932E9" w:rsidRPr="000D0380">
              <w:rPr>
                <w:color w:val="000000"/>
              </w:rPr>
              <w:t>”</w:t>
            </w:r>
            <w:r w:rsidR="00946431" w:rsidRPr="000D0380">
              <w:rPr>
                <w:color w:val="000000"/>
              </w:rPr>
              <w:t xml:space="preserve"> (turpmāk – informatīvais ziņojums)</w:t>
            </w:r>
            <w:r w:rsidR="00BE53A8" w:rsidRPr="000D0380">
              <w:rPr>
                <w:color w:val="000000"/>
              </w:rPr>
              <w:t>.</w:t>
            </w:r>
          </w:p>
        </w:tc>
      </w:tr>
    </w:tbl>
    <w:p w14:paraId="70417494" w14:textId="77777777" w:rsidR="00946431" w:rsidRPr="000D0380" w:rsidRDefault="00946431" w:rsidP="00D9627C">
      <w:pPr>
        <w:pStyle w:val="naisf"/>
        <w:spacing w:before="0" w:after="0"/>
        <w:ind w:firstLine="0"/>
        <w:rPr>
          <w:b/>
          <w:color w:val="000000"/>
        </w:rPr>
      </w:pPr>
    </w:p>
    <w:p w14:paraId="1A224562" w14:textId="77777777" w:rsidR="00946431" w:rsidRPr="000D0380" w:rsidRDefault="00946431" w:rsidP="00D9627C">
      <w:pPr>
        <w:pStyle w:val="naisf"/>
        <w:spacing w:before="0" w:after="0"/>
        <w:ind w:firstLine="0"/>
        <w:jc w:val="center"/>
        <w:rPr>
          <w:b/>
          <w:color w:val="000000"/>
        </w:rPr>
      </w:pPr>
      <w:r w:rsidRPr="000D0380">
        <w:rPr>
          <w:b/>
          <w:color w:val="000000"/>
        </w:rPr>
        <w:t>I Jautājumi, par kuriem saskaņošanā vienošanās nav panākta</w:t>
      </w:r>
    </w:p>
    <w:p w14:paraId="2FCC7E92" w14:textId="77777777" w:rsidR="00946431" w:rsidRPr="000D0380" w:rsidRDefault="00946431" w:rsidP="00D9627C">
      <w:pPr>
        <w:pStyle w:val="naisf"/>
        <w:spacing w:before="0" w:after="0"/>
        <w:ind w:firstLine="720"/>
        <w:rPr>
          <w:color w:val="000000"/>
        </w:rPr>
      </w:pPr>
    </w:p>
    <w:tbl>
      <w:tblPr>
        <w:tblW w:w="155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410"/>
        <w:gridCol w:w="4677"/>
        <w:gridCol w:w="3119"/>
        <w:gridCol w:w="2410"/>
        <w:gridCol w:w="2126"/>
      </w:tblGrid>
      <w:tr w:rsidR="00946431" w:rsidRPr="000D0380" w14:paraId="28203006" w14:textId="77777777" w:rsidTr="009C2386">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2062D5" w14:textId="0382D86B" w:rsidR="00946431" w:rsidRPr="000D0380" w:rsidRDefault="008D4863" w:rsidP="00C9376B">
            <w:pPr>
              <w:pStyle w:val="naisc"/>
              <w:spacing w:before="0" w:after="0"/>
              <w:rPr>
                <w:color w:val="000000"/>
              </w:rPr>
            </w:pPr>
            <w:r w:rsidRPr="000D0380">
              <w:rPr>
                <w:color w:val="000000"/>
              </w:rPr>
              <w:t>N.p.k.</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7C5D46" w14:textId="77777777" w:rsidR="00946431" w:rsidRPr="000D0380" w:rsidRDefault="00946431" w:rsidP="00D9627C">
            <w:pPr>
              <w:pStyle w:val="naisc"/>
              <w:spacing w:before="0" w:after="0"/>
              <w:ind w:firstLine="12"/>
              <w:rPr>
                <w:color w:val="000000"/>
              </w:rPr>
            </w:pPr>
            <w:r w:rsidRPr="000D0380">
              <w:rPr>
                <w:color w:val="000000"/>
              </w:rPr>
              <w:t>Saskaņošanai nosūtītā projekta redakcija (konkrēta punkta (panta) redakcija)</w:t>
            </w:r>
          </w:p>
        </w:tc>
        <w:tc>
          <w:tcPr>
            <w:tcW w:w="46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12FC60" w14:textId="77777777" w:rsidR="00946431" w:rsidRPr="000D0380" w:rsidRDefault="00946431" w:rsidP="00D9627C">
            <w:pPr>
              <w:pStyle w:val="naisc"/>
              <w:spacing w:before="0" w:after="0"/>
              <w:ind w:right="3"/>
              <w:rPr>
                <w:color w:val="000000"/>
              </w:rPr>
            </w:pPr>
            <w:r w:rsidRPr="000D0380">
              <w:rPr>
                <w:color w:val="000000"/>
              </w:rPr>
              <w:t>Atzinumā norādītais ministrijas (citas institūcijas) iebildums, kā arī saskaņošanā papildus izteiktais iebildums par projekta konkrēto punktu (pantu)</w:t>
            </w:r>
          </w:p>
        </w:tc>
        <w:tc>
          <w:tcPr>
            <w:tcW w:w="3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68E6AF" w14:textId="77777777" w:rsidR="00946431" w:rsidRPr="000D0380" w:rsidRDefault="00946431" w:rsidP="00D9627C">
            <w:pPr>
              <w:pStyle w:val="naisc"/>
              <w:spacing w:before="0" w:after="0"/>
              <w:ind w:firstLine="21"/>
              <w:jc w:val="both"/>
              <w:rPr>
                <w:color w:val="000000"/>
              </w:rPr>
            </w:pPr>
            <w:r w:rsidRPr="000D0380">
              <w:rPr>
                <w:color w:val="000000"/>
              </w:rPr>
              <w:t>Atbildīgās ministrijas pamatojums iebilduma noraidījumam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66B26C" w14:textId="77777777" w:rsidR="00946431" w:rsidRPr="000D0380" w:rsidRDefault="00946431" w:rsidP="00D9627C">
            <w:pPr>
              <w:jc w:val="center"/>
              <w:rPr>
                <w:color w:val="000000"/>
              </w:rPr>
            </w:pPr>
            <w:r w:rsidRPr="000D0380">
              <w:rPr>
                <w:color w:val="000000"/>
              </w:rPr>
              <w:t>Atzinuma sniedzēja uzturētais iebildums, ja tas atšķiras no atzinumā norādītā iebilduma pamatojuma</w:t>
            </w:r>
          </w:p>
        </w:tc>
        <w:tc>
          <w:tcPr>
            <w:tcW w:w="2126" w:type="dxa"/>
            <w:tcBorders>
              <w:top w:val="single" w:sz="4" w:space="0" w:color="auto"/>
              <w:left w:val="single" w:sz="4" w:space="0" w:color="auto"/>
              <w:bottom w:val="single" w:sz="4" w:space="0" w:color="auto"/>
            </w:tcBorders>
            <w:shd w:val="clear" w:color="auto" w:fill="auto"/>
            <w:vAlign w:val="center"/>
          </w:tcPr>
          <w:p w14:paraId="02D7B3FA" w14:textId="77777777" w:rsidR="00946431" w:rsidRPr="000D0380" w:rsidRDefault="00946431" w:rsidP="00D9627C">
            <w:pPr>
              <w:jc w:val="center"/>
              <w:rPr>
                <w:color w:val="000000"/>
              </w:rPr>
            </w:pPr>
            <w:r w:rsidRPr="000D0380">
              <w:rPr>
                <w:color w:val="000000"/>
              </w:rPr>
              <w:t>Projekta attiecīgā punkta (panta) galīgā redakcija</w:t>
            </w:r>
          </w:p>
        </w:tc>
      </w:tr>
      <w:tr w:rsidR="00946431" w:rsidRPr="000D0380" w14:paraId="43034498" w14:textId="77777777" w:rsidTr="009C2386">
        <w:tc>
          <w:tcPr>
            <w:tcW w:w="843" w:type="dxa"/>
            <w:tcBorders>
              <w:top w:val="single" w:sz="6" w:space="0" w:color="000000"/>
              <w:left w:val="single" w:sz="6" w:space="0" w:color="000000"/>
              <w:bottom w:val="single" w:sz="6" w:space="0" w:color="000000"/>
              <w:right w:val="single" w:sz="6" w:space="0" w:color="000000"/>
            </w:tcBorders>
          </w:tcPr>
          <w:p w14:paraId="75DF247B" w14:textId="265EBEC6" w:rsidR="00946431" w:rsidRPr="000D0380" w:rsidRDefault="008D4863" w:rsidP="00C9376B">
            <w:pPr>
              <w:pStyle w:val="naisc"/>
              <w:spacing w:before="0" w:after="0"/>
              <w:rPr>
                <w:color w:val="000000"/>
              </w:rPr>
            </w:pPr>
            <w:r w:rsidRPr="000D0380">
              <w:rPr>
                <w:color w:val="000000"/>
              </w:rPr>
              <w:t>1.</w:t>
            </w:r>
          </w:p>
        </w:tc>
        <w:tc>
          <w:tcPr>
            <w:tcW w:w="2410" w:type="dxa"/>
            <w:tcBorders>
              <w:top w:val="single" w:sz="6" w:space="0" w:color="000000"/>
              <w:left w:val="single" w:sz="6" w:space="0" w:color="000000"/>
              <w:bottom w:val="single" w:sz="6" w:space="0" w:color="000000"/>
              <w:right w:val="single" w:sz="6" w:space="0" w:color="000000"/>
            </w:tcBorders>
          </w:tcPr>
          <w:p w14:paraId="0C876C69" w14:textId="77777777" w:rsidR="00946431" w:rsidRPr="000D0380" w:rsidRDefault="00946431" w:rsidP="00D9627C">
            <w:pPr>
              <w:pStyle w:val="naisc"/>
              <w:spacing w:before="0" w:after="0"/>
              <w:ind w:firstLine="720"/>
              <w:rPr>
                <w:color w:val="000000"/>
              </w:rPr>
            </w:pPr>
            <w:r w:rsidRPr="000D0380">
              <w:rPr>
                <w:color w:val="000000"/>
              </w:rPr>
              <w:t>2</w:t>
            </w:r>
          </w:p>
        </w:tc>
        <w:tc>
          <w:tcPr>
            <w:tcW w:w="4677" w:type="dxa"/>
            <w:tcBorders>
              <w:top w:val="single" w:sz="6" w:space="0" w:color="000000"/>
              <w:left w:val="single" w:sz="6" w:space="0" w:color="000000"/>
              <w:bottom w:val="single" w:sz="6" w:space="0" w:color="000000"/>
              <w:right w:val="single" w:sz="6" w:space="0" w:color="000000"/>
            </w:tcBorders>
          </w:tcPr>
          <w:p w14:paraId="4256B702" w14:textId="77777777" w:rsidR="00946431" w:rsidRPr="000D0380" w:rsidRDefault="00946431" w:rsidP="00D9627C">
            <w:pPr>
              <w:pStyle w:val="naisc"/>
              <w:spacing w:before="0" w:after="0"/>
              <w:rPr>
                <w:color w:val="000000"/>
              </w:rPr>
            </w:pPr>
            <w:r w:rsidRPr="000D0380">
              <w:rPr>
                <w:color w:val="000000"/>
              </w:rPr>
              <w:t>3</w:t>
            </w:r>
          </w:p>
        </w:tc>
        <w:tc>
          <w:tcPr>
            <w:tcW w:w="3119" w:type="dxa"/>
            <w:tcBorders>
              <w:top w:val="single" w:sz="6" w:space="0" w:color="000000"/>
              <w:left w:val="single" w:sz="6" w:space="0" w:color="000000"/>
              <w:bottom w:val="single" w:sz="6" w:space="0" w:color="000000"/>
              <w:right w:val="single" w:sz="6" w:space="0" w:color="000000"/>
            </w:tcBorders>
          </w:tcPr>
          <w:p w14:paraId="13B7B0C7" w14:textId="77777777" w:rsidR="00946431" w:rsidRPr="000D0380" w:rsidRDefault="00946431" w:rsidP="00D9627C">
            <w:pPr>
              <w:pStyle w:val="naisc"/>
              <w:spacing w:before="0" w:after="0"/>
              <w:ind w:firstLine="34"/>
              <w:rPr>
                <w:color w:val="000000"/>
              </w:rPr>
            </w:pPr>
            <w:r w:rsidRPr="000D0380">
              <w:rPr>
                <w:color w:val="000000"/>
              </w:rPr>
              <w:t>4</w:t>
            </w:r>
          </w:p>
        </w:tc>
        <w:tc>
          <w:tcPr>
            <w:tcW w:w="2410" w:type="dxa"/>
            <w:tcBorders>
              <w:top w:val="single" w:sz="4" w:space="0" w:color="auto"/>
              <w:left w:val="single" w:sz="4" w:space="0" w:color="auto"/>
              <w:bottom w:val="single" w:sz="4" w:space="0" w:color="auto"/>
              <w:right w:val="single" w:sz="4" w:space="0" w:color="auto"/>
            </w:tcBorders>
          </w:tcPr>
          <w:p w14:paraId="09058F19" w14:textId="77777777" w:rsidR="00946431" w:rsidRPr="000D0380" w:rsidRDefault="00946431" w:rsidP="00D9627C">
            <w:pPr>
              <w:jc w:val="center"/>
              <w:rPr>
                <w:color w:val="000000"/>
              </w:rPr>
            </w:pPr>
            <w:r w:rsidRPr="000D0380">
              <w:rPr>
                <w:color w:val="000000"/>
              </w:rPr>
              <w:t>5</w:t>
            </w:r>
          </w:p>
        </w:tc>
        <w:tc>
          <w:tcPr>
            <w:tcW w:w="2126" w:type="dxa"/>
            <w:tcBorders>
              <w:top w:val="single" w:sz="4" w:space="0" w:color="auto"/>
              <w:left w:val="single" w:sz="4" w:space="0" w:color="auto"/>
              <w:bottom w:val="single" w:sz="4" w:space="0" w:color="auto"/>
            </w:tcBorders>
          </w:tcPr>
          <w:p w14:paraId="354F6C87" w14:textId="77777777" w:rsidR="00946431" w:rsidRPr="000D0380" w:rsidRDefault="00946431" w:rsidP="00D9627C">
            <w:pPr>
              <w:jc w:val="center"/>
              <w:rPr>
                <w:color w:val="000000"/>
              </w:rPr>
            </w:pPr>
            <w:r w:rsidRPr="000D0380">
              <w:rPr>
                <w:color w:val="000000"/>
              </w:rPr>
              <w:t>6</w:t>
            </w:r>
          </w:p>
        </w:tc>
      </w:tr>
    </w:tbl>
    <w:p w14:paraId="7A7C05B8" w14:textId="1628E0F3" w:rsidR="00A8248D" w:rsidRPr="000D0380" w:rsidRDefault="00A8248D" w:rsidP="007F4A63">
      <w:pPr>
        <w:pStyle w:val="naisf"/>
        <w:spacing w:before="0" w:after="0"/>
        <w:ind w:firstLine="0"/>
        <w:rPr>
          <w:b/>
          <w:color w:val="000000"/>
        </w:rPr>
      </w:pPr>
    </w:p>
    <w:p w14:paraId="68BF3C94" w14:textId="77777777" w:rsidR="00946431" w:rsidRPr="000D0380" w:rsidRDefault="00946431" w:rsidP="00D9627C">
      <w:pPr>
        <w:pStyle w:val="naisf"/>
        <w:spacing w:before="0" w:after="0"/>
        <w:ind w:firstLine="0"/>
        <w:jc w:val="center"/>
        <w:rPr>
          <w:b/>
          <w:color w:val="000000"/>
        </w:rPr>
      </w:pPr>
      <w:r w:rsidRPr="000D0380">
        <w:rPr>
          <w:b/>
          <w:color w:val="000000"/>
        </w:rPr>
        <w:t>Informācija par starpministriju (starpinstitūciju) sanāksmi vai elektronisko saskaņošanu</w:t>
      </w:r>
    </w:p>
    <w:p w14:paraId="0B83D6FB" w14:textId="77777777" w:rsidR="00946431" w:rsidRPr="000D0380" w:rsidRDefault="00946431" w:rsidP="00D9627C">
      <w:pPr>
        <w:pStyle w:val="naisf"/>
        <w:spacing w:before="0" w:after="0"/>
        <w:ind w:firstLine="0"/>
        <w:rPr>
          <w:b/>
          <w:color w:val="000000"/>
        </w:rPr>
      </w:pPr>
    </w:p>
    <w:tbl>
      <w:tblPr>
        <w:tblW w:w="13872" w:type="dxa"/>
        <w:tblLook w:val="00A0" w:firstRow="1" w:lastRow="0" w:firstColumn="1" w:lastColumn="0" w:noHBand="0" w:noVBand="0"/>
      </w:tblPr>
      <w:tblGrid>
        <w:gridCol w:w="7629"/>
        <w:gridCol w:w="6243"/>
      </w:tblGrid>
      <w:tr w:rsidR="00946431" w:rsidRPr="000D0380" w14:paraId="4E3C8EC0" w14:textId="77777777" w:rsidTr="00AC503C">
        <w:trPr>
          <w:trHeight w:val="253"/>
        </w:trPr>
        <w:tc>
          <w:tcPr>
            <w:tcW w:w="7629" w:type="dxa"/>
          </w:tcPr>
          <w:p w14:paraId="5BDB0D29" w14:textId="77777777" w:rsidR="00946431" w:rsidRPr="000D0380" w:rsidRDefault="00946431" w:rsidP="00D9627C">
            <w:pPr>
              <w:pStyle w:val="naisf"/>
              <w:spacing w:before="0" w:after="0"/>
              <w:ind w:firstLine="0"/>
              <w:rPr>
                <w:color w:val="000000"/>
              </w:rPr>
            </w:pPr>
            <w:r w:rsidRPr="000D0380">
              <w:rPr>
                <w:color w:val="000000"/>
              </w:rPr>
              <w:t>Datums</w:t>
            </w:r>
          </w:p>
        </w:tc>
        <w:tc>
          <w:tcPr>
            <w:tcW w:w="6243" w:type="dxa"/>
            <w:tcBorders>
              <w:bottom w:val="single" w:sz="4" w:space="0" w:color="auto"/>
            </w:tcBorders>
            <w:shd w:val="clear" w:color="auto" w:fill="auto"/>
          </w:tcPr>
          <w:p w14:paraId="7D94BDA6" w14:textId="108C566D" w:rsidR="00946431" w:rsidRPr="000D0380" w:rsidRDefault="003939D3" w:rsidP="007A0B03">
            <w:pPr>
              <w:pStyle w:val="NormalWeb"/>
              <w:spacing w:before="0" w:beforeAutospacing="0" w:after="0" w:afterAutospacing="0"/>
              <w:jc w:val="both"/>
              <w:rPr>
                <w:color w:val="000000"/>
              </w:rPr>
            </w:pPr>
            <w:r w:rsidRPr="000D0380">
              <w:rPr>
                <w:color w:val="000000"/>
              </w:rPr>
              <w:t>1</w:t>
            </w:r>
            <w:r w:rsidR="007A0B03">
              <w:rPr>
                <w:color w:val="000000"/>
              </w:rPr>
              <w:t>8</w:t>
            </w:r>
            <w:r w:rsidRPr="000D0380">
              <w:rPr>
                <w:color w:val="000000"/>
              </w:rPr>
              <w:t>.02.2020.</w:t>
            </w:r>
          </w:p>
        </w:tc>
      </w:tr>
      <w:tr w:rsidR="00946431" w:rsidRPr="000D0380" w14:paraId="6C13D339" w14:textId="77777777" w:rsidTr="00CA04B5">
        <w:trPr>
          <w:trHeight w:val="253"/>
        </w:trPr>
        <w:tc>
          <w:tcPr>
            <w:tcW w:w="7629" w:type="dxa"/>
          </w:tcPr>
          <w:p w14:paraId="043D48ED" w14:textId="77777777" w:rsidR="00946431" w:rsidRPr="000D0380" w:rsidRDefault="00946431" w:rsidP="00D9627C">
            <w:pPr>
              <w:pStyle w:val="naisf"/>
              <w:spacing w:before="0" w:after="0"/>
              <w:ind w:firstLine="0"/>
              <w:rPr>
                <w:color w:val="000000"/>
              </w:rPr>
            </w:pPr>
          </w:p>
        </w:tc>
        <w:tc>
          <w:tcPr>
            <w:tcW w:w="6243" w:type="dxa"/>
            <w:tcBorders>
              <w:top w:val="single" w:sz="4" w:space="0" w:color="auto"/>
            </w:tcBorders>
          </w:tcPr>
          <w:p w14:paraId="3E235229" w14:textId="77777777" w:rsidR="00946431" w:rsidRPr="000D0380" w:rsidRDefault="00946431" w:rsidP="00423FDC">
            <w:pPr>
              <w:pStyle w:val="NormalWeb"/>
              <w:spacing w:before="0" w:beforeAutospacing="0" w:after="0" w:afterAutospacing="0"/>
              <w:jc w:val="both"/>
              <w:rPr>
                <w:color w:val="000000"/>
              </w:rPr>
            </w:pPr>
          </w:p>
        </w:tc>
      </w:tr>
      <w:tr w:rsidR="00946431" w:rsidRPr="000D0380" w14:paraId="64416F9F" w14:textId="77777777" w:rsidTr="00423FDC">
        <w:trPr>
          <w:trHeight w:val="728"/>
        </w:trPr>
        <w:tc>
          <w:tcPr>
            <w:tcW w:w="7629" w:type="dxa"/>
          </w:tcPr>
          <w:p w14:paraId="4F9B13DD" w14:textId="77777777" w:rsidR="00946431" w:rsidRPr="000D0380" w:rsidRDefault="00946431" w:rsidP="00D9627C">
            <w:pPr>
              <w:pStyle w:val="naiskr"/>
              <w:spacing w:before="0" w:after="0"/>
              <w:jc w:val="both"/>
              <w:rPr>
                <w:color w:val="000000"/>
              </w:rPr>
            </w:pPr>
            <w:r w:rsidRPr="000D0380">
              <w:rPr>
                <w:color w:val="000000"/>
              </w:rPr>
              <w:t>Saskaņošanas dalībnieki</w:t>
            </w:r>
          </w:p>
        </w:tc>
        <w:tc>
          <w:tcPr>
            <w:tcW w:w="6243" w:type="dxa"/>
            <w:tcBorders>
              <w:bottom w:val="single" w:sz="4" w:space="0" w:color="auto"/>
            </w:tcBorders>
          </w:tcPr>
          <w:p w14:paraId="7818A366" w14:textId="538609A9" w:rsidR="00946431" w:rsidRPr="000D0380" w:rsidRDefault="00157EC8" w:rsidP="0030467B">
            <w:pPr>
              <w:spacing w:after="120"/>
              <w:jc w:val="both"/>
              <w:rPr>
                <w:color w:val="000000"/>
              </w:rPr>
            </w:pPr>
            <w:r w:rsidRPr="000D0380">
              <w:rPr>
                <w:color w:val="000000"/>
              </w:rPr>
              <w:t xml:space="preserve">Ārlietu ministrija; </w:t>
            </w:r>
            <w:r w:rsidR="00D16963" w:rsidRPr="000D0380">
              <w:rPr>
                <w:color w:val="000000"/>
              </w:rPr>
              <w:t xml:space="preserve">Ekonomikas ministrija, </w:t>
            </w:r>
            <w:r w:rsidRPr="000D0380">
              <w:rPr>
                <w:color w:val="000000"/>
              </w:rPr>
              <w:t xml:space="preserve">Iekšlietu ministrija; </w:t>
            </w:r>
            <w:r w:rsidR="00D16963" w:rsidRPr="000D0380">
              <w:rPr>
                <w:color w:val="000000"/>
              </w:rPr>
              <w:t>Kultūras ministrija, Labklājības ministrija, Satiksmes ministrija, Tieslietu ministrija, Valsts kanceleja, Veselības ministrija, Vides aizsardzības un reģionālās attīstības ministrija, Zemkopības ministrija</w:t>
            </w:r>
            <w:r w:rsidR="005A3A8F" w:rsidRPr="000D0380">
              <w:rPr>
                <w:color w:val="000000"/>
              </w:rPr>
              <w:t xml:space="preserve">, </w:t>
            </w:r>
            <w:r w:rsidR="00622403">
              <w:rPr>
                <w:color w:val="000000"/>
              </w:rPr>
              <w:t xml:space="preserve">Latvijas darba devēju konfederācija, </w:t>
            </w:r>
            <w:r w:rsidR="005A3A8F" w:rsidRPr="000D0380">
              <w:rPr>
                <w:color w:val="000000"/>
              </w:rPr>
              <w:t>L</w:t>
            </w:r>
            <w:r w:rsidRPr="000D0380">
              <w:rPr>
                <w:color w:val="000000"/>
              </w:rPr>
              <w:t xml:space="preserve">atvijas lielo </w:t>
            </w:r>
            <w:r w:rsidR="00C9376B" w:rsidRPr="000D0380">
              <w:rPr>
                <w:color w:val="000000"/>
              </w:rPr>
              <w:t>pilsētu</w:t>
            </w:r>
            <w:r w:rsidRPr="000D0380">
              <w:rPr>
                <w:color w:val="000000"/>
              </w:rPr>
              <w:t xml:space="preserve"> asociācija</w:t>
            </w:r>
            <w:r w:rsidR="00D5222A" w:rsidRPr="000D0380">
              <w:rPr>
                <w:color w:val="000000"/>
              </w:rPr>
              <w:t>,</w:t>
            </w:r>
            <w:r w:rsidR="00D5222A" w:rsidRPr="000D0380">
              <w:t xml:space="preserve"> </w:t>
            </w:r>
            <w:r w:rsidR="00D5222A" w:rsidRPr="000D0380">
              <w:rPr>
                <w:color w:val="000000"/>
              </w:rPr>
              <w:t>Latvijas pašvaldību savienība</w:t>
            </w:r>
            <w:r w:rsidRPr="000D0380">
              <w:rPr>
                <w:color w:val="000000"/>
              </w:rPr>
              <w:t>.</w:t>
            </w:r>
          </w:p>
        </w:tc>
      </w:tr>
    </w:tbl>
    <w:p w14:paraId="74FEFC3E" w14:textId="77777777" w:rsidR="00946431" w:rsidRPr="000D0380" w:rsidRDefault="00946431" w:rsidP="00D9627C">
      <w:pPr>
        <w:pStyle w:val="naiskr"/>
        <w:spacing w:before="0" w:after="0"/>
        <w:jc w:val="both"/>
        <w:rPr>
          <w:color w:val="000000"/>
        </w:rPr>
      </w:pPr>
    </w:p>
    <w:tbl>
      <w:tblPr>
        <w:tblW w:w="13716" w:type="dxa"/>
        <w:tblLook w:val="00A0" w:firstRow="1" w:lastRow="0" w:firstColumn="1" w:lastColumn="0" w:noHBand="0" w:noVBand="0"/>
      </w:tblPr>
      <w:tblGrid>
        <w:gridCol w:w="7479"/>
        <w:gridCol w:w="284"/>
        <w:gridCol w:w="5953"/>
      </w:tblGrid>
      <w:tr w:rsidR="00946431" w:rsidRPr="000D0380" w14:paraId="5DEE531F" w14:textId="77777777" w:rsidTr="00704D6C">
        <w:trPr>
          <w:trHeight w:val="285"/>
        </w:trPr>
        <w:tc>
          <w:tcPr>
            <w:tcW w:w="7479" w:type="dxa"/>
          </w:tcPr>
          <w:p w14:paraId="751FCF61" w14:textId="77777777" w:rsidR="00946431" w:rsidRPr="000D0380" w:rsidRDefault="00946431" w:rsidP="00D9627C">
            <w:pPr>
              <w:pStyle w:val="naiskr"/>
              <w:spacing w:before="0" w:after="0"/>
              <w:jc w:val="both"/>
              <w:rPr>
                <w:color w:val="000000"/>
              </w:rPr>
            </w:pPr>
            <w:r w:rsidRPr="000D0380">
              <w:rPr>
                <w:color w:val="000000"/>
              </w:rPr>
              <w:t>Saskaņošanas dalībnieki izskatīja šādu ministriju (citu institūciju) iebildumus</w:t>
            </w:r>
          </w:p>
        </w:tc>
        <w:tc>
          <w:tcPr>
            <w:tcW w:w="284" w:type="dxa"/>
            <w:tcBorders>
              <w:bottom w:val="single" w:sz="4" w:space="0" w:color="auto"/>
            </w:tcBorders>
          </w:tcPr>
          <w:p w14:paraId="6063BBFD" w14:textId="77777777" w:rsidR="00946431" w:rsidRPr="000D0380" w:rsidRDefault="00946431" w:rsidP="00D9627C">
            <w:pPr>
              <w:pStyle w:val="naiskr"/>
              <w:spacing w:before="0" w:after="0"/>
              <w:jc w:val="both"/>
              <w:rPr>
                <w:color w:val="000000"/>
              </w:rPr>
            </w:pPr>
          </w:p>
        </w:tc>
        <w:tc>
          <w:tcPr>
            <w:tcW w:w="5953" w:type="dxa"/>
            <w:tcBorders>
              <w:bottom w:val="single" w:sz="4" w:space="0" w:color="auto"/>
            </w:tcBorders>
          </w:tcPr>
          <w:p w14:paraId="6D2FCD92" w14:textId="73033F6E" w:rsidR="00946431" w:rsidRPr="000D0380" w:rsidRDefault="00781308" w:rsidP="007A0B03">
            <w:pPr>
              <w:pStyle w:val="naiskr"/>
              <w:spacing w:before="0" w:after="0"/>
              <w:ind w:left="-108"/>
              <w:jc w:val="both"/>
              <w:rPr>
                <w:color w:val="000000"/>
              </w:rPr>
            </w:pPr>
            <w:r w:rsidRPr="00622403">
              <w:rPr>
                <w:color w:val="000000"/>
              </w:rPr>
              <w:t>Izglītības un zinātnes ministrija,</w:t>
            </w:r>
            <w:r>
              <w:rPr>
                <w:color w:val="000000"/>
              </w:rPr>
              <w:t xml:space="preserve"> </w:t>
            </w:r>
            <w:r w:rsidR="00C9376B" w:rsidRPr="004C1185">
              <w:rPr>
                <w:color w:val="000000"/>
              </w:rPr>
              <w:t>Labklājības ministrija</w:t>
            </w:r>
            <w:r w:rsidR="00D5222A" w:rsidRPr="004C1185">
              <w:rPr>
                <w:color w:val="000000"/>
              </w:rPr>
              <w:t>,</w:t>
            </w:r>
            <w:r w:rsidR="00C65EC8" w:rsidRPr="004C1185">
              <w:t xml:space="preserve"> </w:t>
            </w:r>
            <w:r w:rsidR="004C1185" w:rsidRPr="004C1185">
              <w:rPr>
                <w:color w:val="000000"/>
              </w:rPr>
              <w:t xml:space="preserve">Satiksmes ministrija, </w:t>
            </w:r>
            <w:r w:rsidR="007A0B03" w:rsidRPr="004C1185">
              <w:rPr>
                <w:color w:val="000000"/>
              </w:rPr>
              <w:t xml:space="preserve">Tieslietu ministrija, </w:t>
            </w:r>
            <w:r w:rsidR="00C65EC8" w:rsidRPr="004C1185">
              <w:rPr>
                <w:color w:val="000000"/>
              </w:rPr>
              <w:t>Valsts kanceleja</w:t>
            </w:r>
            <w:r w:rsidR="00D5222A" w:rsidRPr="004C1185">
              <w:rPr>
                <w:color w:val="000000"/>
              </w:rPr>
              <w:t>,</w:t>
            </w:r>
            <w:r w:rsidR="00C9376B" w:rsidRPr="004C1185">
              <w:rPr>
                <w:color w:val="000000"/>
              </w:rPr>
              <w:t xml:space="preserve"> Veselības ministrija,</w:t>
            </w:r>
            <w:r w:rsidR="00C65EC8" w:rsidRPr="004C1185">
              <w:rPr>
                <w:color w:val="000000"/>
              </w:rPr>
              <w:t xml:space="preserve"> </w:t>
            </w:r>
            <w:r w:rsidR="00C9376B" w:rsidRPr="004C1185">
              <w:rPr>
                <w:color w:val="000000"/>
              </w:rPr>
              <w:t>Latvijas lielo pilsētu asociācija.</w:t>
            </w:r>
          </w:p>
        </w:tc>
      </w:tr>
      <w:tr w:rsidR="00946431" w:rsidRPr="000D0380" w14:paraId="6270F883" w14:textId="77777777" w:rsidTr="00B93C84">
        <w:tc>
          <w:tcPr>
            <w:tcW w:w="7479" w:type="dxa"/>
          </w:tcPr>
          <w:p w14:paraId="774B0142" w14:textId="77777777" w:rsidR="00946431" w:rsidRPr="000D0380" w:rsidRDefault="00946431" w:rsidP="00D9627C">
            <w:pPr>
              <w:pStyle w:val="naiskr"/>
              <w:spacing w:before="0" w:after="0"/>
              <w:jc w:val="both"/>
              <w:rPr>
                <w:color w:val="000000"/>
              </w:rPr>
            </w:pPr>
          </w:p>
          <w:p w14:paraId="137C344B" w14:textId="77777777" w:rsidR="00946431" w:rsidRPr="000D0380" w:rsidRDefault="00946431" w:rsidP="00D9627C">
            <w:pPr>
              <w:pStyle w:val="naiskr"/>
              <w:spacing w:before="0" w:after="0"/>
              <w:jc w:val="both"/>
              <w:rPr>
                <w:color w:val="000000"/>
              </w:rPr>
            </w:pPr>
            <w:r w:rsidRPr="000D0380">
              <w:rPr>
                <w:color w:val="000000"/>
              </w:rPr>
              <w:t>Ministrijas (citas institūcijas), kuras nav ieradušās uz sanāksmi vai kuras nav atbildējušas uz uzaicinājumu piedalīties elektroniskajā saskaņošanā</w:t>
            </w:r>
          </w:p>
        </w:tc>
        <w:tc>
          <w:tcPr>
            <w:tcW w:w="6237" w:type="dxa"/>
            <w:gridSpan w:val="2"/>
          </w:tcPr>
          <w:p w14:paraId="1EEEE9B4" w14:textId="77777777" w:rsidR="00946431" w:rsidRPr="000D0380" w:rsidRDefault="00946431" w:rsidP="00D9627C">
            <w:pPr>
              <w:pStyle w:val="naiskr"/>
              <w:spacing w:before="0" w:after="0"/>
              <w:ind w:left="-108"/>
              <w:jc w:val="both"/>
              <w:rPr>
                <w:color w:val="000000"/>
              </w:rPr>
            </w:pPr>
          </w:p>
          <w:p w14:paraId="4E886AAB" w14:textId="77777777" w:rsidR="00946431" w:rsidRPr="000D0380" w:rsidRDefault="00946431" w:rsidP="00D9627C">
            <w:pPr>
              <w:pStyle w:val="naiskr"/>
              <w:spacing w:before="0" w:after="0"/>
              <w:ind w:left="176"/>
              <w:jc w:val="both"/>
              <w:rPr>
                <w:color w:val="000000"/>
              </w:rPr>
            </w:pPr>
            <w:r w:rsidRPr="000D0380">
              <w:rPr>
                <w:color w:val="000000"/>
              </w:rPr>
              <w:t>-</w:t>
            </w:r>
          </w:p>
        </w:tc>
      </w:tr>
    </w:tbl>
    <w:p w14:paraId="4D76618C" w14:textId="77777777" w:rsidR="00704D6C" w:rsidRPr="000D0380" w:rsidRDefault="00704D6C" w:rsidP="00B82841">
      <w:pPr>
        <w:pStyle w:val="naisf"/>
        <w:spacing w:before="0" w:after="0"/>
        <w:ind w:right="939" w:firstLine="0"/>
        <w:rPr>
          <w:b/>
          <w:color w:val="000000"/>
        </w:rPr>
      </w:pPr>
    </w:p>
    <w:p w14:paraId="5A099D54" w14:textId="77777777" w:rsidR="00704D6C" w:rsidRPr="000D0380" w:rsidRDefault="00704D6C" w:rsidP="00D9627C">
      <w:pPr>
        <w:pStyle w:val="naisf"/>
        <w:spacing w:before="0" w:after="0"/>
        <w:ind w:firstLine="0"/>
        <w:rPr>
          <w:b/>
          <w:color w:val="000000"/>
        </w:rPr>
      </w:pPr>
    </w:p>
    <w:p w14:paraId="79E9C3AF" w14:textId="2640176D" w:rsidR="00966B81" w:rsidRPr="000D0380" w:rsidRDefault="00946431" w:rsidP="00920A6C">
      <w:pPr>
        <w:pStyle w:val="naisf"/>
        <w:spacing w:before="0" w:after="0"/>
        <w:ind w:firstLine="0"/>
        <w:jc w:val="center"/>
        <w:rPr>
          <w:b/>
          <w:color w:val="000000"/>
        </w:rPr>
      </w:pPr>
      <w:r w:rsidRPr="000D0380">
        <w:rPr>
          <w:b/>
          <w:color w:val="000000"/>
        </w:rPr>
        <w:t>II Jautājumi, par kuriem saskaņošanā vienošanās ir panākta</w:t>
      </w:r>
    </w:p>
    <w:p w14:paraId="4D0B745F" w14:textId="77777777" w:rsidR="00966B81" w:rsidRPr="000D0380" w:rsidRDefault="00966B81" w:rsidP="00966B81"/>
    <w:p w14:paraId="56C285DE" w14:textId="54ADFC38" w:rsidR="00946431" w:rsidRPr="00AD1C85" w:rsidRDefault="00946431" w:rsidP="00073213">
      <w:pPr>
        <w:ind w:firstLine="720"/>
        <w:jc w:val="both"/>
        <w:rPr>
          <w:sz w:val="22"/>
          <w:szCs w:val="22"/>
        </w:rPr>
      </w:pP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2697"/>
        <w:gridCol w:w="6660"/>
        <w:gridCol w:w="2700"/>
        <w:gridCol w:w="2259"/>
      </w:tblGrid>
      <w:tr w:rsidR="00620EBF" w:rsidRPr="000D0380" w14:paraId="7F31BF3C" w14:textId="77777777" w:rsidTr="006C2AE0">
        <w:trPr>
          <w:tblHeader/>
        </w:trPr>
        <w:tc>
          <w:tcPr>
            <w:tcW w:w="988" w:type="dxa"/>
            <w:vAlign w:val="center"/>
          </w:tcPr>
          <w:p w14:paraId="2F24B020" w14:textId="0C91EA02" w:rsidR="00946431" w:rsidRPr="000D0380" w:rsidRDefault="00C9376B" w:rsidP="00073213">
            <w:pPr>
              <w:pStyle w:val="naisc"/>
              <w:tabs>
                <w:tab w:val="left" w:pos="360"/>
              </w:tabs>
              <w:spacing w:before="0" w:after="0"/>
              <w:ind w:left="360" w:hanging="375"/>
            </w:pPr>
            <w:r w:rsidRPr="000D0380">
              <w:t>Nr.p.k.</w:t>
            </w:r>
          </w:p>
        </w:tc>
        <w:tc>
          <w:tcPr>
            <w:tcW w:w="2697" w:type="dxa"/>
            <w:vAlign w:val="center"/>
          </w:tcPr>
          <w:p w14:paraId="2D857F70" w14:textId="77777777" w:rsidR="00946431" w:rsidRPr="000D0380" w:rsidRDefault="00946431" w:rsidP="00073213">
            <w:pPr>
              <w:pStyle w:val="naisc"/>
              <w:spacing w:before="0" w:after="0"/>
              <w:ind w:firstLine="12"/>
            </w:pPr>
            <w:r w:rsidRPr="000D0380">
              <w:t>Saskaņošanai nosūtītā projekta redakcija (konkrēta punkta (panta) redakcija)</w:t>
            </w:r>
          </w:p>
        </w:tc>
        <w:tc>
          <w:tcPr>
            <w:tcW w:w="6660" w:type="dxa"/>
            <w:vAlign w:val="center"/>
          </w:tcPr>
          <w:p w14:paraId="7576ADEC" w14:textId="77777777" w:rsidR="00946431" w:rsidRPr="000D0380" w:rsidRDefault="00946431" w:rsidP="00073213">
            <w:pPr>
              <w:pStyle w:val="naisc"/>
              <w:spacing w:before="0" w:after="0"/>
              <w:ind w:right="3"/>
            </w:pPr>
            <w:r w:rsidRPr="000D0380">
              <w:t>Atzinumā norādītais ministrijas (citas institūcijas) iebildums, kā arī saskaņošanā papildus izteiktais iebildums par projekta konkrēto punktu (pantu)</w:t>
            </w:r>
          </w:p>
        </w:tc>
        <w:tc>
          <w:tcPr>
            <w:tcW w:w="2700" w:type="dxa"/>
            <w:vAlign w:val="center"/>
          </w:tcPr>
          <w:p w14:paraId="64FB2673" w14:textId="77777777" w:rsidR="00946431" w:rsidRPr="000D0380" w:rsidRDefault="00946431" w:rsidP="00073213">
            <w:pPr>
              <w:pStyle w:val="naisc"/>
              <w:spacing w:before="0" w:after="0"/>
              <w:ind w:firstLine="21"/>
            </w:pPr>
            <w:r w:rsidRPr="000D0380">
              <w:t>Atbildīgās ministrijas norāde par to, ka iebildums ir ņemts vērā, vai informācija par saskaņošanā panākto alternatīvo risinājumu</w:t>
            </w:r>
          </w:p>
        </w:tc>
        <w:tc>
          <w:tcPr>
            <w:tcW w:w="2259" w:type="dxa"/>
            <w:vAlign w:val="center"/>
          </w:tcPr>
          <w:p w14:paraId="11FF0364" w14:textId="77777777" w:rsidR="00946431" w:rsidRPr="000D0380" w:rsidRDefault="00946431" w:rsidP="00073213">
            <w:pPr>
              <w:jc w:val="center"/>
            </w:pPr>
            <w:r w:rsidRPr="000D0380">
              <w:t>Projekta attiecīgā punkta (panta) galīgā redakcija</w:t>
            </w:r>
          </w:p>
        </w:tc>
      </w:tr>
      <w:tr w:rsidR="00620EBF" w:rsidRPr="000D0380" w14:paraId="71B0BA00" w14:textId="77777777" w:rsidTr="006C2AE0">
        <w:trPr>
          <w:trHeight w:val="245"/>
        </w:trPr>
        <w:tc>
          <w:tcPr>
            <w:tcW w:w="988" w:type="dxa"/>
          </w:tcPr>
          <w:p w14:paraId="32824B92" w14:textId="20F197B8" w:rsidR="00946431" w:rsidRPr="000D0380" w:rsidRDefault="00C9376B" w:rsidP="00073213">
            <w:pPr>
              <w:pStyle w:val="naisc"/>
              <w:tabs>
                <w:tab w:val="left" w:pos="360"/>
              </w:tabs>
              <w:spacing w:before="0" w:after="0"/>
              <w:ind w:left="360"/>
            </w:pPr>
            <w:r w:rsidRPr="000D0380">
              <w:t>1</w:t>
            </w:r>
          </w:p>
        </w:tc>
        <w:tc>
          <w:tcPr>
            <w:tcW w:w="2697" w:type="dxa"/>
          </w:tcPr>
          <w:p w14:paraId="4B99F3BC" w14:textId="77777777" w:rsidR="00946431" w:rsidRPr="000D0380" w:rsidRDefault="00946431" w:rsidP="00073213">
            <w:pPr>
              <w:pStyle w:val="naisc"/>
              <w:spacing w:before="0" w:after="0"/>
              <w:ind w:firstLine="720"/>
            </w:pPr>
            <w:r w:rsidRPr="000D0380">
              <w:t>2</w:t>
            </w:r>
          </w:p>
        </w:tc>
        <w:tc>
          <w:tcPr>
            <w:tcW w:w="6660" w:type="dxa"/>
          </w:tcPr>
          <w:p w14:paraId="6C284903" w14:textId="77777777" w:rsidR="00946431" w:rsidRPr="000D0380" w:rsidRDefault="00946431" w:rsidP="00073213">
            <w:pPr>
              <w:pStyle w:val="naisc"/>
              <w:spacing w:before="0" w:after="0"/>
            </w:pPr>
            <w:r w:rsidRPr="000D0380">
              <w:t>3</w:t>
            </w:r>
          </w:p>
        </w:tc>
        <w:tc>
          <w:tcPr>
            <w:tcW w:w="2700" w:type="dxa"/>
          </w:tcPr>
          <w:p w14:paraId="6085F07F" w14:textId="77777777" w:rsidR="00946431" w:rsidRPr="000D0380" w:rsidRDefault="00946431" w:rsidP="00073213">
            <w:pPr>
              <w:pStyle w:val="naisc"/>
              <w:spacing w:before="0" w:after="0"/>
              <w:ind w:firstLine="34"/>
            </w:pPr>
            <w:r w:rsidRPr="000D0380">
              <w:t>4</w:t>
            </w:r>
          </w:p>
        </w:tc>
        <w:tc>
          <w:tcPr>
            <w:tcW w:w="2259" w:type="dxa"/>
          </w:tcPr>
          <w:p w14:paraId="0D683472" w14:textId="77777777" w:rsidR="00946431" w:rsidRPr="000D0380" w:rsidRDefault="00946431" w:rsidP="00073213">
            <w:pPr>
              <w:jc w:val="center"/>
            </w:pPr>
            <w:r w:rsidRPr="000D0380">
              <w:t>5</w:t>
            </w:r>
          </w:p>
        </w:tc>
      </w:tr>
      <w:tr w:rsidR="001D71EB" w:rsidRPr="000D0380" w14:paraId="67A6EC66" w14:textId="77777777" w:rsidTr="006C2AE0">
        <w:trPr>
          <w:trHeight w:val="699"/>
        </w:trPr>
        <w:tc>
          <w:tcPr>
            <w:tcW w:w="988" w:type="dxa"/>
            <w:tcBorders>
              <w:top w:val="single" w:sz="4" w:space="0" w:color="auto"/>
              <w:left w:val="single" w:sz="4" w:space="0" w:color="auto"/>
              <w:bottom w:val="single" w:sz="4" w:space="0" w:color="auto"/>
              <w:right w:val="single" w:sz="4" w:space="0" w:color="auto"/>
            </w:tcBorders>
          </w:tcPr>
          <w:p w14:paraId="57106EE5" w14:textId="77777777" w:rsidR="001D71EB" w:rsidRPr="000D0380" w:rsidRDefault="001D71EB" w:rsidP="00073213">
            <w:pPr>
              <w:pStyle w:val="naisc"/>
              <w:numPr>
                <w:ilvl w:val="0"/>
                <w:numId w:val="4"/>
              </w:numPr>
              <w:tabs>
                <w:tab w:val="left" w:pos="360"/>
              </w:tabs>
              <w:spacing w:before="0" w:after="0"/>
              <w:jc w:val="both"/>
              <w:rPr>
                <w:lang w:eastAsia="en-US"/>
              </w:rPr>
            </w:pPr>
          </w:p>
        </w:tc>
        <w:tc>
          <w:tcPr>
            <w:tcW w:w="2697" w:type="dxa"/>
            <w:tcBorders>
              <w:top w:val="single" w:sz="4" w:space="0" w:color="auto"/>
              <w:left w:val="single" w:sz="4" w:space="0" w:color="auto"/>
              <w:right w:val="single" w:sz="4" w:space="0" w:color="auto"/>
            </w:tcBorders>
          </w:tcPr>
          <w:p w14:paraId="2C7B29CC" w14:textId="5D2BF096" w:rsidR="001D71EB" w:rsidRPr="000D0380" w:rsidRDefault="009522CF" w:rsidP="00073213">
            <w:pPr>
              <w:jc w:val="both"/>
              <w:rPr>
                <w:rFonts w:eastAsiaTheme="minorHAnsi"/>
                <w:highlight w:val="yellow"/>
                <w:lang w:eastAsia="en-US"/>
              </w:rPr>
            </w:pPr>
            <w:r w:rsidRPr="009522CF">
              <w:rPr>
                <w:rFonts w:eastAsiaTheme="minorHAnsi"/>
                <w:lang w:eastAsia="en-US"/>
              </w:rPr>
              <w:t>I</w:t>
            </w:r>
            <w:r w:rsidR="001D71EB" w:rsidRPr="000D0380">
              <w:rPr>
                <w:rFonts w:eastAsiaTheme="minorHAnsi"/>
                <w:lang w:eastAsia="en-US"/>
              </w:rPr>
              <w:t>nformatīvā ziņojuma 3.</w:t>
            </w:r>
            <w:r w:rsidR="00A8203A">
              <w:rPr>
                <w:rFonts w:eastAsiaTheme="minorHAnsi"/>
                <w:lang w:eastAsia="en-US"/>
              </w:rPr>
              <w:t> </w:t>
            </w:r>
            <w:r w:rsidR="001D71EB" w:rsidRPr="000D0380">
              <w:rPr>
                <w:rFonts w:eastAsiaTheme="minorHAnsi"/>
                <w:lang w:eastAsia="en-US"/>
              </w:rPr>
              <w:t>sadaļa “2007. - 2013. gada plānošanas perioda ES fondu slēgšana”</w:t>
            </w:r>
          </w:p>
        </w:tc>
        <w:tc>
          <w:tcPr>
            <w:tcW w:w="6660" w:type="dxa"/>
            <w:tcBorders>
              <w:top w:val="single" w:sz="4" w:space="0" w:color="auto"/>
              <w:left w:val="single" w:sz="4" w:space="0" w:color="auto"/>
              <w:right w:val="single" w:sz="4" w:space="0" w:color="auto"/>
            </w:tcBorders>
          </w:tcPr>
          <w:p w14:paraId="6CDB9437" w14:textId="6E01BC40" w:rsidR="001D71EB" w:rsidRPr="000D0380" w:rsidRDefault="001D71EB" w:rsidP="00073213">
            <w:pPr>
              <w:jc w:val="both"/>
              <w:rPr>
                <w:b/>
                <w:iCs/>
              </w:rPr>
            </w:pPr>
            <w:r w:rsidRPr="000D0380">
              <w:rPr>
                <w:b/>
                <w:iCs/>
              </w:rPr>
              <w:t>Priekšlikums</w:t>
            </w:r>
          </w:p>
          <w:p w14:paraId="4A3F72A4" w14:textId="4D4616F4" w:rsidR="001D71EB" w:rsidRPr="000D0380" w:rsidRDefault="001D71EB" w:rsidP="00073213">
            <w:pPr>
              <w:jc w:val="both"/>
              <w:rPr>
                <w:b/>
                <w:iCs/>
              </w:rPr>
            </w:pPr>
            <w:r w:rsidRPr="000D0380">
              <w:rPr>
                <w:b/>
                <w:iCs/>
              </w:rPr>
              <w:t>Vides aizsardzības un reģionālās attīstības ministrija</w:t>
            </w:r>
            <w:r w:rsidR="000F4A4B">
              <w:rPr>
                <w:b/>
                <w:iCs/>
              </w:rPr>
              <w:t xml:space="preserve"> </w:t>
            </w:r>
          </w:p>
          <w:p w14:paraId="0BFF5273" w14:textId="26835AC7" w:rsidR="001D71EB" w:rsidRPr="000D0380" w:rsidRDefault="001D71EB" w:rsidP="00073213">
            <w:pPr>
              <w:spacing w:after="120"/>
              <w:jc w:val="both"/>
              <w:rPr>
                <w:b/>
                <w:lang w:eastAsia="en-US"/>
              </w:rPr>
            </w:pPr>
            <w:r w:rsidRPr="000D0380">
              <w:rPr>
                <w:iCs/>
              </w:rPr>
              <w:t>Lūdzam papildināt informatīvā ziņojuma 3.</w:t>
            </w:r>
            <w:r w:rsidR="00A8203A">
              <w:rPr>
                <w:iCs/>
              </w:rPr>
              <w:t> </w:t>
            </w:r>
            <w:r w:rsidRPr="000D0380">
              <w:rPr>
                <w:iCs/>
              </w:rPr>
              <w:t>sadaļu “2007. - 2013. gada plānošanas perioda ES fondu slēgšana” (13.lpp) ar informāciju par rādī</w:t>
            </w:r>
            <w:r w:rsidR="00506992" w:rsidRPr="000D0380">
              <w:rPr>
                <w:iCs/>
              </w:rPr>
              <w:t>tāju sasniegšanu SAMP 3.2.2.1. </w:t>
            </w:r>
            <w:r w:rsidRPr="000D0380">
              <w:rPr>
                <w:iCs/>
              </w:rPr>
              <w:t xml:space="preserve">šādā redakcijā: “Saskaņā ar 2010.gada 10.augusta noteikumu Nr.766 “Noteikumi par darbības programmas “Infrastruktūra un pakalpojumi” papildinājuma 3.2.2.1.1.apakšaktivitātes “Informācijas sistēmu un elektronisko pakalpojumu attīstība” projektu iesniegumu atlases otro, trešo, ceturto un piekto kārtu” (turpmāk – MK noteikumi Nr.766) 56.1punktu finansējuma saņēmējs ir tieši atbildīgs par projekta īstenošanu un rezultātu uzturēšanu vismaz piecus gadus pēc projekta īstenošanas. Atbilstoši MK noteikumu Nr.766 prasībām projektu iesniegumos bija jānorāda elektronisko pakalpojumu pieprasījumu skaits sākot ar otro gadā pēc projekta īstenošanas, kas tika vērtēts projektu atlasē. Līdz ar to šiem projektiem saskaņā ar vienošanos par projektu īstenošanu noteikumiem ir jāuzrauga, vai projekta iesniegumos paredzētie lietošanas rādītāji otrajā gadā pēc projekta īstenošanas ir sasniegti. Ja norādītais rādītājs vai rādītāji otrajā gadā pēc projekta īstenošanas nav sasniegti, projektu pēcuzraudzības ietvaros ir jāvērtē projektu ietvaros radīto vērtību </w:t>
            </w:r>
            <w:r w:rsidRPr="000D0380">
              <w:rPr>
                <w:iCs/>
              </w:rPr>
              <w:lastRenderedPageBreak/>
              <w:t>ilgtspējas nodrošināšana, t.i. projekta mērķa un tā rādītāju sasniegšanu.</w:t>
            </w:r>
          </w:p>
        </w:tc>
        <w:tc>
          <w:tcPr>
            <w:tcW w:w="2700" w:type="dxa"/>
            <w:tcBorders>
              <w:top w:val="single" w:sz="4" w:space="0" w:color="auto"/>
              <w:left w:val="single" w:sz="4" w:space="0" w:color="auto"/>
              <w:right w:val="single" w:sz="4" w:space="0" w:color="auto"/>
            </w:tcBorders>
          </w:tcPr>
          <w:p w14:paraId="3905DCB7" w14:textId="2E0BA857" w:rsidR="001D71EB" w:rsidRPr="00BC5EE1" w:rsidRDefault="001D71EB" w:rsidP="007167AB">
            <w:pPr>
              <w:pStyle w:val="naisc"/>
              <w:spacing w:before="0" w:after="0"/>
              <w:jc w:val="left"/>
              <w:rPr>
                <w:lang w:eastAsia="en-US"/>
              </w:rPr>
            </w:pPr>
            <w:r w:rsidRPr="000D0380">
              <w:rPr>
                <w:b/>
                <w:lang w:eastAsia="en-US"/>
              </w:rPr>
              <w:lastRenderedPageBreak/>
              <w:t>Ņemts vērā</w:t>
            </w:r>
            <w:r w:rsidR="00354792">
              <w:rPr>
                <w:b/>
                <w:lang w:eastAsia="en-US"/>
              </w:rPr>
              <w:t xml:space="preserve"> </w:t>
            </w:r>
            <w:r w:rsidR="00354792" w:rsidRPr="00BC5EE1">
              <w:rPr>
                <w:lang w:eastAsia="en-US"/>
              </w:rPr>
              <w:t>pēc būtības ar redakcionāliem precizējumiem</w:t>
            </w:r>
            <w:r w:rsidRPr="00BC5EE1">
              <w:rPr>
                <w:lang w:eastAsia="en-US"/>
              </w:rPr>
              <w:t xml:space="preserve">. </w:t>
            </w:r>
          </w:p>
          <w:p w14:paraId="5D0AC95C" w14:textId="07DB85D7" w:rsidR="001D71EB" w:rsidRPr="000D0380" w:rsidRDefault="001D71EB" w:rsidP="00073213">
            <w:pPr>
              <w:pStyle w:val="naisc"/>
              <w:spacing w:before="0" w:after="0"/>
              <w:jc w:val="both"/>
              <w:rPr>
                <w:b/>
                <w:lang w:eastAsia="en-US"/>
              </w:rPr>
            </w:pPr>
          </w:p>
        </w:tc>
        <w:tc>
          <w:tcPr>
            <w:tcW w:w="2259" w:type="dxa"/>
            <w:tcBorders>
              <w:top w:val="single" w:sz="4" w:space="0" w:color="auto"/>
              <w:left w:val="single" w:sz="4" w:space="0" w:color="auto"/>
              <w:right w:val="single" w:sz="4" w:space="0" w:color="auto"/>
            </w:tcBorders>
          </w:tcPr>
          <w:p w14:paraId="01DBC87C" w14:textId="6EC88B8A" w:rsidR="001D71EB" w:rsidRPr="000D0380" w:rsidRDefault="001D71EB" w:rsidP="00BB27C8">
            <w:pPr>
              <w:pStyle w:val="Default"/>
              <w:jc w:val="both"/>
              <w:rPr>
                <w:highlight w:val="yellow"/>
              </w:rPr>
            </w:pPr>
            <w:r w:rsidRPr="000D0380">
              <w:t>Skatīt precizē</w:t>
            </w:r>
            <w:r w:rsidR="00BB27C8">
              <w:t>tu</w:t>
            </w:r>
            <w:r w:rsidRPr="000D0380">
              <w:t xml:space="preserve"> informatīvā ziņojuma</w:t>
            </w:r>
            <w:r w:rsidR="00785413">
              <w:t xml:space="preserve"> </w:t>
            </w:r>
            <w:r w:rsidR="00785413" w:rsidRPr="000D0380">
              <w:rPr>
                <w:rFonts w:eastAsiaTheme="minorHAnsi"/>
              </w:rPr>
              <w:t>3.</w:t>
            </w:r>
            <w:r w:rsidR="00A8203A">
              <w:rPr>
                <w:rFonts w:eastAsiaTheme="minorHAnsi"/>
              </w:rPr>
              <w:t> </w:t>
            </w:r>
            <w:r w:rsidR="00785413" w:rsidRPr="000D0380">
              <w:rPr>
                <w:rFonts w:eastAsiaTheme="minorHAnsi"/>
              </w:rPr>
              <w:t>sadaļ</w:t>
            </w:r>
            <w:r w:rsidR="00BB27C8">
              <w:rPr>
                <w:rFonts w:eastAsiaTheme="minorHAnsi"/>
              </w:rPr>
              <w:t>u</w:t>
            </w:r>
            <w:r w:rsidR="007F71AD">
              <w:rPr>
                <w:rFonts w:eastAsiaTheme="minorHAnsi"/>
              </w:rPr>
              <w:t>.</w:t>
            </w:r>
          </w:p>
        </w:tc>
      </w:tr>
      <w:tr w:rsidR="007712C5" w:rsidRPr="000D0380" w14:paraId="6F8D05C8" w14:textId="77777777" w:rsidTr="006C2AE0">
        <w:trPr>
          <w:trHeight w:val="699"/>
        </w:trPr>
        <w:tc>
          <w:tcPr>
            <w:tcW w:w="988" w:type="dxa"/>
            <w:tcBorders>
              <w:top w:val="single" w:sz="4" w:space="0" w:color="auto"/>
              <w:left w:val="single" w:sz="4" w:space="0" w:color="auto"/>
              <w:bottom w:val="single" w:sz="4" w:space="0" w:color="auto"/>
              <w:right w:val="single" w:sz="4" w:space="0" w:color="auto"/>
            </w:tcBorders>
          </w:tcPr>
          <w:p w14:paraId="5A4AA213" w14:textId="77777777" w:rsidR="007712C5" w:rsidRPr="000D0380" w:rsidRDefault="007712C5" w:rsidP="00073213">
            <w:pPr>
              <w:pStyle w:val="naisc"/>
              <w:numPr>
                <w:ilvl w:val="0"/>
                <w:numId w:val="4"/>
              </w:numPr>
              <w:tabs>
                <w:tab w:val="left" w:pos="360"/>
              </w:tabs>
              <w:spacing w:before="0" w:after="0"/>
              <w:jc w:val="both"/>
              <w:rPr>
                <w:lang w:eastAsia="en-US"/>
              </w:rPr>
            </w:pPr>
          </w:p>
        </w:tc>
        <w:tc>
          <w:tcPr>
            <w:tcW w:w="2697" w:type="dxa"/>
            <w:tcBorders>
              <w:top w:val="single" w:sz="4" w:space="0" w:color="auto"/>
              <w:left w:val="single" w:sz="4" w:space="0" w:color="auto"/>
              <w:bottom w:val="single" w:sz="4" w:space="0" w:color="auto"/>
              <w:right w:val="single" w:sz="4" w:space="0" w:color="auto"/>
            </w:tcBorders>
          </w:tcPr>
          <w:p w14:paraId="7C38967B" w14:textId="5FAFE29C" w:rsidR="007712C5" w:rsidRPr="000D0380" w:rsidRDefault="007712C5" w:rsidP="00073213">
            <w:pPr>
              <w:jc w:val="both"/>
              <w:rPr>
                <w:rFonts w:eastAsiaTheme="minorHAnsi"/>
                <w:highlight w:val="yellow"/>
                <w:lang w:eastAsia="en-US"/>
              </w:rPr>
            </w:pPr>
            <w:r w:rsidRPr="000D0380">
              <w:rPr>
                <w:rFonts w:eastAsiaTheme="minorHAnsi"/>
                <w:lang w:eastAsia="en-US"/>
              </w:rPr>
              <w:t>Informatīvā ziņojuma 4.</w:t>
            </w:r>
            <w:r w:rsidR="00A8203A">
              <w:rPr>
                <w:rFonts w:eastAsiaTheme="minorHAnsi"/>
                <w:lang w:eastAsia="en-US"/>
              </w:rPr>
              <w:t> </w:t>
            </w:r>
            <w:r w:rsidRPr="000D0380">
              <w:rPr>
                <w:rFonts w:eastAsiaTheme="minorHAnsi"/>
                <w:lang w:eastAsia="en-US"/>
              </w:rPr>
              <w:t>sadaļa “2014. - 2020. gada plānošanas perioda ES fondu investīciju aktualitātes”</w:t>
            </w:r>
          </w:p>
        </w:tc>
        <w:tc>
          <w:tcPr>
            <w:tcW w:w="6660" w:type="dxa"/>
            <w:tcBorders>
              <w:top w:val="single" w:sz="4" w:space="0" w:color="auto"/>
              <w:left w:val="single" w:sz="4" w:space="0" w:color="auto"/>
              <w:bottom w:val="single" w:sz="4" w:space="0" w:color="auto"/>
              <w:right w:val="single" w:sz="4" w:space="0" w:color="auto"/>
            </w:tcBorders>
          </w:tcPr>
          <w:p w14:paraId="5E39C6BE" w14:textId="6F436F5D" w:rsidR="007712C5" w:rsidRPr="000D0380" w:rsidRDefault="007712C5" w:rsidP="00073213">
            <w:pPr>
              <w:widowControl w:val="0"/>
              <w:jc w:val="both"/>
              <w:rPr>
                <w:b/>
                <w:lang w:eastAsia="en-US"/>
              </w:rPr>
            </w:pPr>
            <w:r w:rsidRPr="000D0380">
              <w:rPr>
                <w:b/>
                <w:lang w:eastAsia="en-US"/>
              </w:rPr>
              <w:t>Priekšlikums</w:t>
            </w:r>
          </w:p>
          <w:p w14:paraId="4D7937AA" w14:textId="5B015C2B" w:rsidR="007712C5" w:rsidRPr="000D0380" w:rsidRDefault="007712C5" w:rsidP="00073213">
            <w:pPr>
              <w:widowControl w:val="0"/>
              <w:jc w:val="both"/>
              <w:rPr>
                <w:b/>
                <w:lang w:eastAsia="en-US"/>
              </w:rPr>
            </w:pPr>
            <w:r w:rsidRPr="000D0380">
              <w:rPr>
                <w:b/>
                <w:lang w:eastAsia="en-US"/>
              </w:rPr>
              <w:t>Tieslietu ministrija</w:t>
            </w:r>
          </w:p>
          <w:p w14:paraId="21F1D5E3" w14:textId="3E594BFA" w:rsidR="007712C5" w:rsidRPr="000D0380" w:rsidRDefault="007712C5" w:rsidP="00073213">
            <w:pPr>
              <w:spacing w:after="120"/>
              <w:jc w:val="both"/>
              <w:rPr>
                <w:b/>
                <w:lang w:eastAsia="en-US"/>
              </w:rPr>
            </w:pPr>
            <w:r w:rsidRPr="000D0380">
              <w:rPr>
                <w:lang w:eastAsia="en-US"/>
              </w:rPr>
              <w:t>Lūdzam pārskatīt ziņojumu (8. un 25. lpp.) un izvērtēt, vai terminu "uzņēmējs" nav nepieciešams aizstāt ar terminu "saimnieciskās darbības veicējs" vai "komersants", bet terminu "uzņēmējdarbība" – ar terminu "saimnieciskā darbība" vai "komercdarbība". Norādām, ka saskaņā ar Komerclikuma 18. pantu termins "uzņēmums" apzīmē organizatoriski saimniecisku vienību (objektu) un nevis komercdarbības vai saimnieciskās darbības subjektu.</w:t>
            </w:r>
          </w:p>
        </w:tc>
        <w:tc>
          <w:tcPr>
            <w:tcW w:w="2700" w:type="dxa"/>
            <w:tcBorders>
              <w:top w:val="single" w:sz="4" w:space="0" w:color="auto"/>
              <w:left w:val="single" w:sz="4" w:space="0" w:color="auto"/>
              <w:bottom w:val="single" w:sz="4" w:space="0" w:color="auto"/>
              <w:right w:val="single" w:sz="4" w:space="0" w:color="auto"/>
            </w:tcBorders>
          </w:tcPr>
          <w:p w14:paraId="06058685" w14:textId="0F687027" w:rsidR="00785413" w:rsidRPr="00785413" w:rsidRDefault="0060267B" w:rsidP="00073213">
            <w:pPr>
              <w:pStyle w:val="naisc"/>
              <w:spacing w:before="0" w:after="0"/>
              <w:jc w:val="both"/>
              <w:rPr>
                <w:b/>
                <w:szCs w:val="22"/>
                <w:lang w:eastAsia="en-US"/>
              </w:rPr>
            </w:pPr>
            <w:r>
              <w:rPr>
                <w:b/>
                <w:szCs w:val="22"/>
                <w:lang w:eastAsia="en-US"/>
              </w:rPr>
              <w:t>Ņ</w:t>
            </w:r>
            <w:r w:rsidR="007712C5" w:rsidRPr="00785413">
              <w:rPr>
                <w:b/>
                <w:szCs w:val="22"/>
                <w:lang w:eastAsia="en-US"/>
              </w:rPr>
              <w:t>emts vērā</w:t>
            </w:r>
            <w:r>
              <w:rPr>
                <w:b/>
                <w:szCs w:val="22"/>
                <w:lang w:eastAsia="en-US"/>
              </w:rPr>
              <w:t>, kur attiecināms</w:t>
            </w:r>
            <w:r w:rsidR="007167AB">
              <w:rPr>
                <w:b/>
                <w:szCs w:val="22"/>
                <w:lang w:eastAsia="en-US"/>
              </w:rPr>
              <w:t>.</w:t>
            </w:r>
          </w:p>
          <w:p w14:paraId="55A719D7" w14:textId="6177ACF7" w:rsidR="007712C5" w:rsidRPr="000D0380" w:rsidRDefault="00B90D46" w:rsidP="00294E10">
            <w:pPr>
              <w:jc w:val="both"/>
              <w:rPr>
                <w:szCs w:val="22"/>
                <w:lang w:eastAsia="en-US"/>
              </w:rPr>
            </w:pPr>
            <w:r>
              <w:rPr>
                <w:szCs w:val="22"/>
                <w:lang w:eastAsia="en-US"/>
              </w:rPr>
              <w:t xml:space="preserve">Ziņojumā atsevišķās vietās termins” uzņēmums” ir mainīts. </w:t>
            </w:r>
            <w:r w:rsidR="006C2AE0">
              <w:rPr>
                <w:szCs w:val="22"/>
                <w:lang w:eastAsia="en-US"/>
              </w:rPr>
              <w:t>Tā kā</w:t>
            </w:r>
            <w:r w:rsidR="00785413" w:rsidRPr="00785413">
              <w:rPr>
                <w:szCs w:val="22"/>
                <w:lang w:eastAsia="en-US"/>
              </w:rPr>
              <w:t xml:space="preserve"> </w:t>
            </w:r>
            <w:r w:rsidR="008503D7" w:rsidRPr="00B37898">
              <w:rPr>
                <w:lang w:eastAsia="en-US"/>
              </w:rPr>
              <w:t xml:space="preserve">ziņojumā lietota </w:t>
            </w:r>
            <w:r w:rsidR="0060267B" w:rsidRPr="00B37898">
              <w:rPr>
                <w:lang w:eastAsia="en-US"/>
              </w:rPr>
              <w:t xml:space="preserve">arī </w:t>
            </w:r>
            <w:r w:rsidR="008503D7" w:rsidRPr="00B90D46">
              <w:rPr>
                <w:lang w:eastAsia="en-US"/>
              </w:rPr>
              <w:t xml:space="preserve">terminoloģija, kas tiek izmantota gan darbības programmā, gan </w:t>
            </w:r>
            <w:r w:rsidR="008503D7" w:rsidRPr="009522CF">
              <w:rPr>
                <w:lang w:eastAsia="en-US"/>
              </w:rPr>
              <w:t>specifisko atbalsta mērķu nosaukumos</w:t>
            </w:r>
            <w:r w:rsidRPr="009522CF">
              <w:rPr>
                <w:lang w:eastAsia="en-US"/>
              </w:rPr>
              <w:t>, kā arī t</w:t>
            </w:r>
            <w:r w:rsidR="00B37898" w:rsidRPr="009522CF">
              <w:rPr>
                <w:bCs/>
              </w:rPr>
              <w:t>ermins “uzņēmums”</w:t>
            </w:r>
            <w:r w:rsidRPr="009522CF">
              <w:rPr>
                <w:bCs/>
              </w:rPr>
              <w:t xml:space="preserve"> ziņojumā</w:t>
            </w:r>
            <w:r w:rsidR="00B37898" w:rsidRPr="009522CF">
              <w:rPr>
                <w:bCs/>
              </w:rPr>
              <w:t xml:space="preserve"> lietots atbil</w:t>
            </w:r>
            <w:r w:rsidR="009522CF">
              <w:rPr>
                <w:bCs/>
              </w:rPr>
              <w:t>stoši K</w:t>
            </w:r>
            <w:r w:rsidR="00B37898" w:rsidRPr="009522CF">
              <w:rPr>
                <w:bCs/>
              </w:rPr>
              <w:t>omercdarbības atbalsta kontroles likumā un citos ar komercdarbības atbalstu saistītos ES un Latvijas dokumentos lietotiem terminiem</w:t>
            </w:r>
            <w:r w:rsidRPr="009522CF">
              <w:rPr>
                <w:bCs/>
              </w:rPr>
              <w:t xml:space="preserve"> </w:t>
            </w:r>
            <w:r w:rsidRPr="00B90D46">
              <w:rPr>
                <w:bCs/>
                <w:color w:val="414142"/>
              </w:rPr>
              <w:t>(</w:t>
            </w:r>
            <w:hyperlink r:id="rId8" w:history="1">
              <w:r w:rsidR="00B37898" w:rsidRPr="00BC5EE1">
                <w:rPr>
                  <w:rStyle w:val="Hyperlink"/>
                  <w:bCs/>
                </w:rPr>
                <w:t>https://www.fm.gov.lv/lv/sadalas/komercdarbibas_atbalsta_kontrole/</w:t>
              </w:r>
            </w:hyperlink>
            <w:r w:rsidR="00B37898" w:rsidRPr="00BC5EE1">
              <w:rPr>
                <w:bCs/>
                <w:color w:val="414142"/>
              </w:rPr>
              <w:t xml:space="preserve"> </w:t>
            </w:r>
            <w:r>
              <w:rPr>
                <w:bCs/>
                <w:color w:val="414142"/>
              </w:rPr>
              <w:t xml:space="preserve">). </w:t>
            </w:r>
            <w:r>
              <w:rPr>
                <w:lang w:eastAsia="en-US"/>
              </w:rPr>
              <w:t>T</w:t>
            </w:r>
            <w:r w:rsidRPr="0010102B">
              <w:rPr>
                <w:lang w:eastAsia="en-US"/>
              </w:rPr>
              <w:t xml:space="preserve">ādēļ attiecīgās vietās </w:t>
            </w:r>
            <w:r>
              <w:rPr>
                <w:lang w:eastAsia="en-US"/>
              </w:rPr>
              <w:t xml:space="preserve">termins “uzņēmums” ziņojumā ir </w:t>
            </w:r>
            <w:r w:rsidRPr="0010102B">
              <w:rPr>
                <w:lang w:eastAsia="en-US"/>
              </w:rPr>
              <w:t>saglabā</w:t>
            </w:r>
            <w:r>
              <w:rPr>
                <w:lang w:eastAsia="en-US"/>
              </w:rPr>
              <w:t>ts.</w:t>
            </w:r>
          </w:p>
        </w:tc>
        <w:tc>
          <w:tcPr>
            <w:tcW w:w="2259" w:type="dxa"/>
            <w:tcBorders>
              <w:top w:val="single" w:sz="4" w:space="0" w:color="auto"/>
              <w:left w:val="single" w:sz="4" w:space="0" w:color="auto"/>
              <w:bottom w:val="single" w:sz="4" w:space="0" w:color="auto"/>
              <w:right w:val="single" w:sz="4" w:space="0" w:color="auto"/>
            </w:tcBorders>
          </w:tcPr>
          <w:p w14:paraId="069725AD" w14:textId="13BE2469" w:rsidR="007712C5" w:rsidRPr="000D0380" w:rsidRDefault="009522CF" w:rsidP="00BB27C8">
            <w:pPr>
              <w:pStyle w:val="Default"/>
              <w:jc w:val="both"/>
              <w:rPr>
                <w:highlight w:val="yellow"/>
              </w:rPr>
            </w:pPr>
            <w:r w:rsidRPr="000D0380">
              <w:t>Skatīt precizē</w:t>
            </w:r>
            <w:r w:rsidR="00BB27C8">
              <w:t>tu</w:t>
            </w:r>
            <w:r w:rsidRPr="000D0380">
              <w:t xml:space="preserve"> informatīvā ziņojuma</w:t>
            </w:r>
            <w:r>
              <w:t xml:space="preserve"> ievad</w:t>
            </w:r>
            <w:r w:rsidR="00BB27C8">
              <w:t>u un</w:t>
            </w:r>
            <w:r>
              <w:t xml:space="preserve"> 4</w:t>
            </w:r>
            <w:r w:rsidRPr="000D0380">
              <w:rPr>
                <w:rFonts w:eastAsiaTheme="minorHAnsi"/>
              </w:rPr>
              <w:t>.</w:t>
            </w:r>
            <w:r w:rsidR="00A8203A">
              <w:rPr>
                <w:rFonts w:eastAsiaTheme="minorHAnsi"/>
              </w:rPr>
              <w:t> </w:t>
            </w:r>
            <w:r w:rsidRPr="000D0380">
              <w:rPr>
                <w:rFonts w:eastAsiaTheme="minorHAnsi"/>
              </w:rPr>
              <w:t>sadaļ</w:t>
            </w:r>
            <w:r w:rsidR="00BB27C8">
              <w:rPr>
                <w:rFonts w:eastAsiaTheme="minorHAnsi"/>
              </w:rPr>
              <w:t>u</w:t>
            </w:r>
            <w:r>
              <w:rPr>
                <w:rFonts w:eastAsiaTheme="minorHAnsi"/>
              </w:rPr>
              <w:t>.</w:t>
            </w:r>
          </w:p>
        </w:tc>
      </w:tr>
      <w:tr w:rsidR="00977DA1" w:rsidRPr="000D0380" w14:paraId="45EDFE98" w14:textId="77777777" w:rsidTr="006C2AE0">
        <w:trPr>
          <w:trHeight w:val="699"/>
        </w:trPr>
        <w:tc>
          <w:tcPr>
            <w:tcW w:w="988" w:type="dxa"/>
            <w:tcBorders>
              <w:top w:val="single" w:sz="4" w:space="0" w:color="auto"/>
              <w:left w:val="single" w:sz="4" w:space="0" w:color="auto"/>
              <w:bottom w:val="single" w:sz="4" w:space="0" w:color="auto"/>
              <w:right w:val="single" w:sz="4" w:space="0" w:color="auto"/>
            </w:tcBorders>
          </w:tcPr>
          <w:p w14:paraId="267F2246" w14:textId="77777777" w:rsidR="00977DA1" w:rsidRPr="000D0380" w:rsidRDefault="00977DA1" w:rsidP="00073213">
            <w:pPr>
              <w:pStyle w:val="naisc"/>
              <w:numPr>
                <w:ilvl w:val="0"/>
                <w:numId w:val="4"/>
              </w:numPr>
              <w:tabs>
                <w:tab w:val="left" w:pos="360"/>
              </w:tabs>
              <w:spacing w:before="0" w:after="0"/>
              <w:jc w:val="both"/>
              <w:rPr>
                <w:lang w:eastAsia="en-US"/>
              </w:rPr>
            </w:pPr>
          </w:p>
        </w:tc>
        <w:tc>
          <w:tcPr>
            <w:tcW w:w="2697" w:type="dxa"/>
            <w:tcBorders>
              <w:top w:val="single" w:sz="4" w:space="0" w:color="auto"/>
              <w:left w:val="single" w:sz="4" w:space="0" w:color="auto"/>
              <w:bottom w:val="single" w:sz="4" w:space="0" w:color="auto"/>
              <w:right w:val="single" w:sz="4" w:space="0" w:color="auto"/>
            </w:tcBorders>
          </w:tcPr>
          <w:p w14:paraId="76529491" w14:textId="65F6BA77" w:rsidR="00977DA1" w:rsidRPr="000D0380" w:rsidRDefault="00977DA1" w:rsidP="00073213">
            <w:pPr>
              <w:jc w:val="both"/>
              <w:rPr>
                <w:rFonts w:eastAsiaTheme="minorHAnsi"/>
                <w:lang w:eastAsia="en-US"/>
              </w:rPr>
            </w:pPr>
            <w:r w:rsidRPr="000D0380">
              <w:rPr>
                <w:rFonts w:eastAsiaTheme="minorHAnsi"/>
                <w:lang w:eastAsia="en-US"/>
              </w:rPr>
              <w:t>Informatīvā ziņojuma 4.</w:t>
            </w:r>
            <w:r w:rsidR="00A8203A">
              <w:rPr>
                <w:rFonts w:eastAsiaTheme="minorHAnsi"/>
                <w:lang w:eastAsia="en-US"/>
              </w:rPr>
              <w:t> </w:t>
            </w:r>
            <w:r w:rsidRPr="000D0380">
              <w:rPr>
                <w:rFonts w:eastAsiaTheme="minorHAnsi"/>
                <w:lang w:eastAsia="en-US"/>
              </w:rPr>
              <w:t>sadaļa “2014. - 2020. gada plānošanas perioda ES fondu investīciju aktualitātes”</w:t>
            </w:r>
          </w:p>
        </w:tc>
        <w:tc>
          <w:tcPr>
            <w:tcW w:w="6660" w:type="dxa"/>
            <w:tcBorders>
              <w:top w:val="single" w:sz="4" w:space="0" w:color="auto"/>
              <w:left w:val="single" w:sz="4" w:space="0" w:color="auto"/>
              <w:bottom w:val="single" w:sz="4" w:space="0" w:color="auto"/>
              <w:right w:val="single" w:sz="4" w:space="0" w:color="auto"/>
            </w:tcBorders>
          </w:tcPr>
          <w:p w14:paraId="4683FFCD" w14:textId="11FD326C" w:rsidR="00977DA1" w:rsidRPr="000D0380" w:rsidRDefault="00977DA1" w:rsidP="00073213">
            <w:pPr>
              <w:widowControl w:val="0"/>
              <w:jc w:val="both"/>
              <w:rPr>
                <w:b/>
                <w:lang w:eastAsia="en-US"/>
              </w:rPr>
            </w:pPr>
            <w:r w:rsidRPr="000D0380">
              <w:rPr>
                <w:b/>
                <w:lang w:eastAsia="en-US"/>
              </w:rPr>
              <w:t>Priekšlikums</w:t>
            </w:r>
          </w:p>
          <w:p w14:paraId="06280DB5" w14:textId="32D59363" w:rsidR="00977DA1" w:rsidRPr="000D0380" w:rsidRDefault="00977DA1" w:rsidP="00073213">
            <w:pPr>
              <w:widowControl w:val="0"/>
              <w:jc w:val="both"/>
              <w:rPr>
                <w:b/>
                <w:lang w:eastAsia="en-US"/>
              </w:rPr>
            </w:pPr>
            <w:r w:rsidRPr="000D0380">
              <w:rPr>
                <w:b/>
                <w:lang w:eastAsia="en-US"/>
              </w:rPr>
              <w:t>Tieslietu ministrija</w:t>
            </w:r>
          </w:p>
          <w:p w14:paraId="591A8745" w14:textId="49A27DD8" w:rsidR="00977DA1" w:rsidRPr="000D0380" w:rsidRDefault="00977DA1" w:rsidP="00073213">
            <w:pPr>
              <w:widowControl w:val="0"/>
              <w:jc w:val="both"/>
              <w:rPr>
                <w:b/>
                <w:lang w:eastAsia="en-US"/>
              </w:rPr>
            </w:pPr>
            <w:r w:rsidRPr="000D0380">
              <w:rPr>
                <w:iCs/>
              </w:rPr>
              <w:t xml:space="preserve">Vēršam uzmanību, ka Ministru kabineta sēdes protokols ir dokuments, kas fiksē Ministru kabineta sēdē notiekošo un tajā pieņemtos lēmumus, Ministru kabineta sēdes protokollēmums nav normatīvs akts un tāpēc nav atceļams, tāpat kā normatīvs akts. </w:t>
            </w:r>
            <w:r w:rsidRPr="000D0380">
              <w:rPr>
                <w:iCs/>
              </w:rPr>
              <w:lastRenderedPageBreak/>
              <w:t xml:space="preserve">Attiecīgi lūdzam precizēt ziņojuma 4. sadaļu, aizstājot tajā ietverto norādi (13. lpp.), ka šobrīd nav nepieciešams </w:t>
            </w:r>
            <w:r w:rsidRPr="000D0380">
              <w:rPr>
                <w:iCs/>
                <w:u w:val="single"/>
              </w:rPr>
              <w:t>atcelt</w:t>
            </w:r>
            <w:r w:rsidRPr="000D0380">
              <w:rPr>
                <w:iCs/>
              </w:rPr>
              <w:t xml:space="preserve"> Ministru kabineta 2019. gada 11. oktobra protokollēmuma 2. punktu, ar norādi, ka šobrīd nav nepieciešams atzīt konkrētajā protokollēmuma punktā ietverto uzdevumu par aktualitāti zaudējušu.</w:t>
            </w:r>
          </w:p>
        </w:tc>
        <w:tc>
          <w:tcPr>
            <w:tcW w:w="2700" w:type="dxa"/>
            <w:tcBorders>
              <w:top w:val="single" w:sz="4" w:space="0" w:color="auto"/>
              <w:left w:val="single" w:sz="4" w:space="0" w:color="auto"/>
              <w:bottom w:val="single" w:sz="4" w:space="0" w:color="auto"/>
              <w:right w:val="single" w:sz="4" w:space="0" w:color="auto"/>
            </w:tcBorders>
          </w:tcPr>
          <w:p w14:paraId="1E3230F2" w14:textId="693D658B" w:rsidR="00051E04" w:rsidRPr="00A63B07" w:rsidRDefault="00977DA1" w:rsidP="00073213">
            <w:pPr>
              <w:widowControl w:val="0"/>
              <w:jc w:val="both"/>
              <w:rPr>
                <w:szCs w:val="22"/>
                <w:lang w:eastAsia="en-US"/>
              </w:rPr>
            </w:pPr>
            <w:r w:rsidRPr="00051E04">
              <w:rPr>
                <w:b/>
                <w:szCs w:val="22"/>
                <w:lang w:eastAsia="en-US"/>
              </w:rPr>
              <w:lastRenderedPageBreak/>
              <w:t>Ņemts vērā</w:t>
            </w:r>
            <w:r w:rsidR="00A63B07">
              <w:rPr>
                <w:b/>
                <w:szCs w:val="22"/>
                <w:lang w:eastAsia="en-US"/>
              </w:rPr>
              <w:t xml:space="preserve"> </w:t>
            </w:r>
            <w:r w:rsidR="00A63B07" w:rsidRPr="00A63B07">
              <w:rPr>
                <w:szCs w:val="22"/>
                <w:lang w:eastAsia="en-US"/>
              </w:rPr>
              <w:t>pēc būtības</w:t>
            </w:r>
            <w:r w:rsidRPr="00A63B07">
              <w:rPr>
                <w:szCs w:val="22"/>
                <w:lang w:eastAsia="en-US"/>
              </w:rPr>
              <w:t>.</w:t>
            </w:r>
            <w:r w:rsidR="00A63B07" w:rsidRPr="00A63B07">
              <w:rPr>
                <w:szCs w:val="22"/>
                <w:lang w:eastAsia="en-US"/>
              </w:rPr>
              <w:t xml:space="preserve"> Precizēta redakcija, svītrojot  vārdu “atcelt”</w:t>
            </w:r>
            <w:r w:rsidR="00A63B07">
              <w:rPr>
                <w:szCs w:val="22"/>
                <w:lang w:eastAsia="en-US"/>
              </w:rPr>
              <w:t>.</w:t>
            </w:r>
          </w:p>
          <w:p w14:paraId="69C44100" w14:textId="3EF902FB" w:rsidR="00977DA1" w:rsidRPr="00051E04" w:rsidRDefault="00977DA1" w:rsidP="00051E04">
            <w:pPr>
              <w:widowControl w:val="0"/>
              <w:jc w:val="both"/>
              <w:rPr>
                <w:szCs w:val="22"/>
                <w:lang w:eastAsia="en-US"/>
              </w:rPr>
            </w:pPr>
          </w:p>
        </w:tc>
        <w:tc>
          <w:tcPr>
            <w:tcW w:w="2259" w:type="dxa"/>
            <w:tcBorders>
              <w:top w:val="single" w:sz="4" w:space="0" w:color="auto"/>
              <w:left w:val="single" w:sz="4" w:space="0" w:color="auto"/>
              <w:bottom w:val="single" w:sz="4" w:space="0" w:color="auto"/>
              <w:right w:val="single" w:sz="4" w:space="0" w:color="auto"/>
            </w:tcBorders>
          </w:tcPr>
          <w:p w14:paraId="28FE7C29" w14:textId="5F2151D6" w:rsidR="00977DA1" w:rsidRPr="000D0380" w:rsidRDefault="00BB27C8" w:rsidP="00073213">
            <w:pPr>
              <w:pStyle w:val="Default"/>
              <w:jc w:val="both"/>
              <w:rPr>
                <w:highlight w:val="yellow"/>
              </w:rPr>
            </w:pPr>
            <w:r w:rsidRPr="000D0380">
              <w:t>Skatīt precizē</w:t>
            </w:r>
            <w:r>
              <w:t>tu i</w:t>
            </w:r>
            <w:r w:rsidRPr="000D0380">
              <w:t>nformatīvā ziņojuma</w:t>
            </w:r>
            <w:r>
              <w:t xml:space="preserve"> </w:t>
            </w:r>
            <w:r w:rsidRPr="000D0380">
              <w:rPr>
                <w:rFonts w:eastAsiaTheme="minorHAnsi"/>
              </w:rPr>
              <w:t>4.</w:t>
            </w:r>
            <w:r w:rsidR="00A8203A">
              <w:rPr>
                <w:rFonts w:eastAsiaTheme="minorHAnsi"/>
              </w:rPr>
              <w:t> </w:t>
            </w:r>
            <w:r w:rsidRPr="000D0380">
              <w:rPr>
                <w:rFonts w:eastAsiaTheme="minorHAnsi"/>
              </w:rPr>
              <w:t>sadaļ</w:t>
            </w:r>
            <w:r>
              <w:rPr>
                <w:rFonts w:eastAsiaTheme="minorHAnsi"/>
              </w:rPr>
              <w:t>u.</w:t>
            </w:r>
          </w:p>
        </w:tc>
      </w:tr>
      <w:tr w:rsidR="006E12B0" w:rsidRPr="000D0380" w14:paraId="5D7C9867" w14:textId="77777777" w:rsidTr="006C2AE0">
        <w:trPr>
          <w:trHeight w:val="699"/>
        </w:trPr>
        <w:tc>
          <w:tcPr>
            <w:tcW w:w="988" w:type="dxa"/>
            <w:tcBorders>
              <w:top w:val="single" w:sz="4" w:space="0" w:color="auto"/>
              <w:left w:val="single" w:sz="4" w:space="0" w:color="auto"/>
              <w:bottom w:val="single" w:sz="4" w:space="0" w:color="auto"/>
              <w:right w:val="single" w:sz="4" w:space="0" w:color="auto"/>
            </w:tcBorders>
          </w:tcPr>
          <w:p w14:paraId="085841FE" w14:textId="77777777" w:rsidR="006E12B0" w:rsidRPr="000D0380" w:rsidRDefault="006E12B0" w:rsidP="00073213">
            <w:pPr>
              <w:pStyle w:val="naisc"/>
              <w:numPr>
                <w:ilvl w:val="0"/>
                <w:numId w:val="4"/>
              </w:numPr>
              <w:tabs>
                <w:tab w:val="left" w:pos="360"/>
              </w:tabs>
              <w:spacing w:before="0" w:after="0"/>
              <w:jc w:val="both"/>
              <w:rPr>
                <w:lang w:eastAsia="en-US"/>
              </w:rPr>
            </w:pPr>
          </w:p>
        </w:tc>
        <w:tc>
          <w:tcPr>
            <w:tcW w:w="2697" w:type="dxa"/>
            <w:tcBorders>
              <w:top w:val="single" w:sz="4" w:space="0" w:color="auto"/>
              <w:left w:val="single" w:sz="4" w:space="0" w:color="auto"/>
              <w:bottom w:val="single" w:sz="4" w:space="0" w:color="auto"/>
              <w:right w:val="single" w:sz="4" w:space="0" w:color="auto"/>
            </w:tcBorders>
          </w:tcPr>
          <w:p w14:paraId="3CE86F5C" w14:textId="0B09BDF5" w:rsidR="006E12B0" w:rsidRPr="000D0380" w:rsidRDefault="006E12B0" w:rsidP="00073213">
            <w:pPr>
              <w:jc w:val="both"/>
              <w:rPr>
                <w:rFonts w:eastAsiaTheme="minorHAnsi"/>
                <w:lang w:eastAsia="en-US"/>
              </w:rPr>
            </w:pPr>
            <w:r w:rsidRPr="000D0380">
              <w:rPr>
                <w:rFonts w:eastAsiaTheme="minorHAnsi"/>
                <w:lang w:eastAsia="en-US"/>
              </w:rPr>
              <w:t>Informatīvā ziņojuma 4.</w:t>
            </w:r>
            <w:r w:rsidR="00A8203A">
              <w:rPr>
                <w:rFonts w:eastAsiaTheme="minorHAnsi"/>
                <w:lang w:eastAsia="en-US"/>
              </w:rPr>
              <w:t> </w:t>
            </w:r>
            <w:r w:rsidRPr="000D0380">
              <w:rPr>
                <w:rFonts w:eastAsiaTheme="minorHAnsi"/>
                <w:lang w:eastAsia="en-US"/>
              </w:rPr>
              <w:t>sadaļa “2014. - 2020. gada plānošanas perioda ES fondu investīciju aktualitātes”</w:t>
            </w:r>
          </w:p>
        </w:tc>
        <w:tc>
          <w:tcPr>
            <w:tcW w:w="6660" w:type="dxa"/>
            <w:tcBorders>
              <w:top w:val="single" w:sz="4" w:space="0" w:color="auto"/>
              <w:left w:val="single" w:sz="4" w:space="0" w:color="auto"/>
              <w:bottom w:val="single" w:sz="4" w:space="0" w:color="auto"/>
              <w:right w:val="single" w:sz="4" w:space="0" w:color="auto"/>
            </w:tcBorders>
          </w:tcPr>
          <w:p w14:paraId="5DD6359E" w14:textId="7770120A" w:rsidR="006E12B0" w:rsidRPr="000D0380" w:rsidRDefault="006E12B0" w:rsidP="00051E04">
            <w:pPr>
              <w:widowControl w:val="0"/>
              <w:jc w:val="both"/>
              <w:rPr>
                <w:b/>
              </w:rPr>
            </w:pPr>
            <w:r w:rsidRPr="000D0380">
              <w:rPr>
                <w:b/>
              </w:rPr>
              <w:t>Iebildums</w:t>
            </w:r>
          </w:p>
          <w:p w14:paraId="06D9FE3D" w14:textId="2BAB1876" w:rsidR="006E12B0" w:rsidRPr="000D0380" w:rsidRDefault="006E12B0" w:rsidP="00051E04">
            <w:pPr>
              <w:widowControl w:val="0"/>
              <w:jc w:val="both"/>
              <w:rPr>
                <w:b/>
              </w:rPr>
            </w:pPr>
            <w:r w:rsidRPr="000D0380">
              <w:rPr>
                <w:b/>
              </w:rPr>
              <w:t>Labklājības ministrija</w:t>
            </w:r>
          </w:p>
          <w:p w14:paraId="73FB28F2" w14:textId="00842263" w:rsidR="006E12B0" w:rsidRPr="000D0380" w:rsidRDefault="006E12B0" w:rsidP="00051E04">
            <w:pPr>
              <w:widowControl w:val="0"/>
              <w:spacing w:after="200"/>
              <w:jc w:val="both"/>
              <w:rPr>
                <w:rFonts w:eastAsia="Calibri"/>
                <w:lang w:eastAsia="en-US"/>
              </w:rPr>
            </w:pPr>
            <w:r w:rsidRPr="000D0380">
              <w:rPr>
                <w:rFonts w:eastAsia="Calibri"/>
                <w:lang w:eastAsia="en-US"/>
              </w:rPr>
              <w:t>Lūdzam detālāk skaidrot FM pieņēmumus, uz kuriem balstoties informatīvā ziņojuma 4.</w:t>
            </w:r>
            <w:r w:rsidR="00A8203A">
              <w:rPr>
                <w:rFonts w:eastAsia="Calibri"/>
                <w:lang w:eastAsia="en-US"/>
              </w:rPr>
              <w:t> </w:t>
            </w:r>
            <w:r w:rsidRPr="000D0380">
              <w:rPr>
                <w:rFonts w:eastAsia="Calibri"/>
                <w:lang w:eastAsia="en-US"/>
              </w:rPr>
              <w:t>sadaļā “2014.-2020.gada plānošanas perioda ES fondu investīciju aktualitātes” FM secina, ka aktuālajā Eiropas Komisijas pieprasāmo maksājumu rezervju aprēķinā ir nebūtiskas atšķirības salīdzinājumā ar datiem uz 2019.</w:t>
            </w:r>
            <w:r w:rsidR="00A8203A">
              <w:rPr>
                <w:rFonts w:eastAsia="Calibri"/>
                <w:lang w:eastAsia="en-US"/>
              </w:rPr>
              <w:t> </w:t>
            </w:r>
            <w:r w:rsidRPr="000D0380">
              <w:rPr>
                <w:rFonts w:eastAsia="Calibri"/>
                <w:lang w:eastAsia="en-US"/>
              </w:rPr>
              <w:t>gada 11.</w:t>
            </w:r>
            <w:r w:rsidR="00A8203A">
              <w:rPr>
                <w:rFonts w:eastAsia="Calibri"/>
                <w:lang w:eastAsia="en-US"/>
              </w:rPr>
              <w:t> </w:t>
            </w:r>
            <w:r w:rsidRPr="000D0380">
              <w:rPr>
                <w:rFonts w:eastAsia="Calibri"/>
                <w:lang w:eastAsia="en-US"/>
              </w:rPr>
              <w:t>oktobri un arī turpmāk ir prognozēta ievērojama deklarējamo izdevumu rezerve 9.</w:t>
            </w:r>
            <w:r w:rsidR="00A8203A">
              <w:rPr>
                <w:rFonts w:eastAsia="Calibri"/>
                <w:lang w:eastAsia="en-US"/>
              </w:rPr>
              <w:t> </w:t>
            </w:r>
            <w:r w:rsidRPr="000D0380">
              <w:rPr>
                <w:rFonts w:eastAsia="Calibri"/>
                <w:lang w:eastAsia="en-US"/>
              </w:rPr>
              <w:t>prioritārā virziena (Eiropas Sociālais fonds (turpmāk – ESF)) ietvaros, kādēļ arī FM secina, ka nav nepieciešams atcelt Ministru kabineta (turpmāk – MK) 2019.gada 11.oktobra protokollēmuma</w:t>
            </w:r>
            <w:r w:rsidRPr="000D0380">
              <w:rPr>
                <w:rFonts w:eastAsia="Calibri"/>
                <w:vertAlign w:val="superscript"/>
                <w:lang w:eastAsia="en-US"/>
              </w:rPr>
              <w:footnoteReference w:id="1"/>
            </w:r>
            <w:r w:rsidRPr="000D0380">
              <w:rPr>
                <w:rFonts w:eastAsia="Calibri"/>
                <w:lang w:eastAsia="en-US"/>
              </w:rPr>
              <w:t xml:space="preserve"> 2.</w:t>
            </w:r>
            <w:r w:rsidR="00A8203A">
              <w:rPr>
                <w:rFonts w:eastAsia="Calibri"/>
                <w:lang w:eastAsia="en-US"/>
              </w:rPr>
              <w:t> </w:t>
            </w:r>
            <w:r w:rsidRPr="000D0380">
              <w:rPr>
                <w:rFonts w:eastAsia="Calibri"/>
                <w:lang w:eastAsia="en-US"/>
              </w:rPr>
              <w:t>punktu kādām no iekļautajiem prioritārajiem virzieniem. Vēlamies vērst uzmanību, ka:</w:t>
            </w:r>
          </w:p>
          <w:p w14:paraId="055ED45D" w14:textId="165E8A99" w:rsidR="006E12B0" w:rsidRPr="000D0380" w:rsidRDefault="006E12B0" w:rsidP="00051E04">
            <w:pPr>
              <w:widowControl w:val="0"/>
              <w:numPr>
                <w:ilvl w:val="1"/>
                <w:numId w:val="2"/>
              </w:numPr>
              <w:spacing w:after="200"/>
              <w:ind w:left="33" w:firstLine="0"/>
              <w:jc w:val="both"/>
              <w:rPr>
                <w:rFonts w:eastAsia="Calibri"/>
                <w:lang w:eastAsia="en-US"/>
              </w:rPr>
            </w:pPr>
            <w:r w:rsidRPr="000D0380">
              <w:rPr>
                <w:rFonts w:eastAsia="Calibri"/>
                <w:lang w:eastAsia="en-US"/>
              </w:rPr>
              <w:t>informatīvā ziņojuma 8.</w:t>
            </w:r>
            <w:r w:rsidR="00A8203A">
              <w:rPr>
                <w:rFonts w:eastAsia="Calibri"/>
                <w:lang w:eastAsia="en-US"/>
              </w:rPr>
              <w:t> </w:t>
            </w:r>
            <w:r w:rsidRPr="000D0380">
              <w:rPr>
                <w:rFonts w:eastAsia="Calibri"/>
                <w:lang w:eastAsia="en-US"/>
              </w:rPr>
              <w:t xml:space="preserve">zemsvītras atsaucē ietverto saiti, kurā atbilstoši norādēm ir pieejama detāla informācija par Eiropas Komisijas maksājumu rezervi, nav iespējams atvērt, līdz ar to LM nav pieejama informācija par FM aprēķinu; </w:t>
            </w:r>
          </w:p>
          <w:p w14:paraId="22059E6C" w14:textId="06658BB9" w:rsidR="006E12B0" w:rsidRPr="000D0380" w:rsidRDefault="006E12B0" w:rsidP="00051E04">
            <w:pPr>
              <w:widowControl w:val="0"/>
              <w:numPr>
                <w:ilvl w:val="1"/>
                <w:numId w:val="2"/>
              </w:numPr>
              <w:spacing w:after="200"/>
              <w:ind w:left="33" w:firstLine="0"/>
              <w:jc w:val="both"/>
              <w:rPr>
                <w:rFonts w:eastAsia="Calibri"/>
                <w:lang w:eastAsia="en-US"/>
              </w:rPr>
            </w:pPr>
            <w:r w:rsidRPr="000D0380">
              <w:rPr>
                <w:rFonts w:eastAsia="Calibri"/>
                <w:lang w:eastAsia="en-US"/>
              </w:rPr>
              <w:t>atbilstoši LM pieejamai informācijai deklarējamo izdevumu rezerve 9.</w:t>
            </w:r>
            <w:r w:rsidR="00A8203A">
              <w:rPr>
                <w:rFonts w:eastAsia="Calibri"/>
                <w:lang w:eastAsia="en-US"/>
              </w:rPr>
              <w:t> </w:t>
            </w:r>
            <w:r w:rsidRPr="000D0380">
              <w:rPr>
                <w:rFonts w:eastAsia="Calibri"/>
                <w:lang w:eastAsia="en-US"/>
              </w:rPr>
              <w:t xml:space="preserve">prioritārā virziena (ESF) ietvaros novērsta – līdzšinēji to veidoja 9.1.1.1. pasākumā “Subsidētās darbavietas nelabvēlīgākā situācijā esošiem bezdarbniekiem” noteiktā minimālā privātā līdzfinansējuma apmēra pārsniegums, kas ir novērsts atbilstoši FM </w:t>
            </w:r>
            <w:r w:rsidRPr="000D0380">
              <w:rPr>
                <w:rFonts w:eastAsia="Calibri"/>
                <w:lang w:eastAsia="en-US"/>
              </w:rPr>
              <w:lastRenderedPageBreak/>
              <w:t>ierosinātajām pārdalēm</w:t>
            </w:r>
            <w:r w:rsidRPr="000D0380">
              <w:rPr>
                <w:rFonts w:eastAsia="Calibri"/>
                <w:vertAlign w:val="superscript"/>
                <w:lang w:eastAsia="en-US"/>
              </w:rPr>
              <w:footnoteReference w:id="2"/>
            </w:r>
            <w:r w:rsidRPr="000D0380">
              <w:rPr>
                <w:rFonts w:eastAsia="Calibri"/>
                <w:lang w:eastAsia="en-US"/>
              </w:rPr>
              <w:t>, virzot atbilstošus darbības programmas “Izaugsme un nodarbinātība” (turpmāk – darbības programma) grozījumus Nr.</w:t>
            </w:r>
            <w:r w:rsidR="00A8203A">
              <w:rPr>
                <w:rFonts w:eastAsia="Calibri"/>
                <w:lang w:eastAsia="en-US"/>
              </w:rPr>
              <w:t> </w:t>
            </w:r>
            <w:r w:rsidRPr="000D0380">
              <w:rPr>
                <w:rFonts w:eastAsia="Calibri"/>
                <w:lang w:eastAsia="en-US"/>
              </w:rPr>
              <w:t>5. Arī citu LM pārziņas specifisko atbalsta mērķu/pasākumu vidū nav tādu, kuros faktiskais publiskais līdzfinansējums pārsniegtu darbības programmā minimāli noteikto publiskā līdzfinansējuma likmi.</w:t>
            </w:r>
          </w:p>
          <w:p w14:paraId="727FC462" w14:textId="47069CAF" w:rsidR="006E12B0" w:rsidRDefault="006E12B0" w:rsidP="00051E04">
            <w:pPr>
              <w:widowControl w:val="0"/>
              <w:jc w:val="both"/>
              <w:rPr>
                <w:rFonts w:eastAsia="Calibri"/>
                <w:lang w:eastAsia="en-US"/>
              </w:rPr>
            </w:pPr>
            <w:r w:rsidRPr="000D0380">
              <w:rPr>
                <w:rFonts w:eastAsia="Calibri"/>
                <w:lang w:eastAsia="en-US"/>
              </w:rPr>
              <w:t>Ievērojot minēto, vienlaikus lūdzam atkārtoti pārskatīt FM veiktos aprēķinus attiecībā uz iespējamo maksājumu rezervi un atcelt 2019.</w:t>
            </w:r>
            <w:r w:rsidR="00A8203A">
              <w:rPr>
                <w:rFonts w:eastAsia="Calibri"/>
                <w:lang w:eastAsia="en-US"/>
              </w:rPr>
              <w:t> </w:t>
            </w:r>
            <w:r w:rsidRPr="000D0380">
              <w:rPr>
                <w:rFonts w:eastAsia="Calibri"/>
                <w:lang w:eastAsia="en-US"/>
              </w:rPr>
              <w:t>gada 11.</w:t>
            </w:r>
            <w:r w:rsidR="00A8203A">
              <w:rPr>
                <w:rFonts w:eastAsia="Calibri"/>
                <w:lang w:eastAsia="en-US"/>
              </w:rPr>
              <w:t> </w:t>
            </w:r>
            <w:r w:rsidRPr="000D0380">
              <w:rPr>
                <w:rFonts w:eastAsia="Calibri"/>
                <w:lang w:eastAsia="en-US"/>
              </w:rPr>
              <w:t>oktobra protokollēmuma 2.</w:t>
            </w:r>
            <w:r w:rsidR="00A8203A">
              <w:rPr>
                <w:rFonts w:eastAsia="Calibri"/>
                <w:lang w:eastAsia="en-US"/>
              </w:rPr>
              <w:t> </w:t>
            </w:r>
            <w:r w:rsidRPr="000D0380">
              <w:rPr>
                <w:rFonts w:eastAsia="Calibri"/>
                <w:lang w:eastAsia="en-US"/>
              </w:rPr>
              <w:t>punkta piemērošanu attiecībā uz 9.</w:t>
            </w:r>
            <w:r w:rsidR="00A8203A">
              <w:rPr>
                <w:rFonts w:eastAsia="Calibri"/>
                <w:lang w:eastAsia="en-US"/>
              </w:rPr>
              <w:t> </w:t>
            </w:r>
            <w:r w:rsidRPr="000D0380">
              <w:rPr>
                <w:rFonts w:eastAsia="Calibri"/>
                <w:lang w:eastAsia="en-US"/>
              </w:rPr>
              <w:t>prioritāro virzienu (ESF)</w:t>
            </w:r>
            <w:r w:rsidR="00051E04">
              <w:rPr>
                <w:rFonts w:eastAsia="Calibri"/>
                <w:lang w:eastAsia="en-US"/>
              </w:rPr>
              <w:t>.</w:t>
            </w:r>
          </w:p>
          <w:p w14:paraId="342BE0F2" w14:textId="77777777" w:rsidR="00905288" w:rsidRDefault="00905288" w:rsidP="00051E04">
            <w:pPr>
              <w:widowControl w:val="0"/>
              <w:jc w:val="both"/>
              <w:rPr>
                <w:rFonts w:eastAsia="Calibri"/>
                <w:b/>
                <w:lang w:eastAsia="en-US"/>
              </w:rPr>
            </w:pPr>
            <w:r>
              <w:rPr>
                <w:rFonts w:eastAsia="Calibri"/>
                <w:b/>
                <w:lang w:eastAsia="en-US"/>
              </w:rPr>
              <w:t>Papildu informācija 14.02.2020.</w:t>
            </w:r>
          </w:p>
          <w:p w14:paraId="7B086D77" w14:textId="2020DB58" w:rsidR="00905288" w:rsidRPr="00905288" w:rsidRDefault="00905288" w:rsidP="00905288">
            <w:pPr>
              <w:widowControl w:val="0"/>
              <w:jc w:val="both"/>
              <w:rPr>
                <w:lang w:eastAsia="en-US"/>
              </w:rPr>
            </w:pPr>
            <w:r w:rsidRPr="00905288">
              <w:rPr>
                <w:lang w:eastAsia="en-US"/>
              </w:rPr>
              <w:t>- 9.1.1.1.SAM pasākuma ietvaros privāto līdzfinansējumu atbilstoši MK</w:t>
            </w:r>
            <w:r>
              <w:rPr>
                <w:lang w:eastAsia="en-US"/>
              </w:rPr>
              <w:t xml:space="preserve"> 23.12.2014. noteikumiem Nr.835</w:t>
            </w:r>
            <w:r w:rsidRPr="00905288">
              <w:rPr>
                <w:lang w:eastAsia="en-US"/>
              </w:rPr>
              <w:t xml:space="preserve"> veido darba devēju līdzfinansējums, nodrošinot subsidētajās darba vietās iesaistītajiem bezdarbniekiem darba algu tādā apmērā, lai darba alga kopā ar projekta ietvaros paredzēto dotāciju bezdarbniekiem sasniegtu vismaz valstī noteiktās minimālās mēneša darba algas apmēru par pilnu darba laiku, un valsts sociālās apdrošināšanas obligātās iemaksas par darba devēja līdzmaksājuma daļu; </w:t>
            </w:r>
          </w:p>
          <w:p w14:paraId="2B5668E8" w14:textId="3623970C" w:rsidR="00905288" w:rsidRPr="00905288" w:rsidRDefault="00905288" w:rsidP="00905288">
            <w:pPr>
              <w:widowControl w:val="0"/>
              <w:jc w:val="both"/>
              <w:rPr>
                <w:lang w:eastAsia="en-US"/>
              </w:rPr>
            </w:pPr>
            <w:r w:rsidRPr="00905288">
              <w:rPr>
                <w:lang w:eastAsia="en-US"/>
              </w:rPr>
              <w:t>- MK noteikumu grozījumi, kas stājās spēkā 20.12.2019. un paredzēja finansējuma palielinājumu iepriekš minētajam SAM pasākumam, kas saistīts ar atbalsta modeli nelabvēlīgākā situācijā esošiem  bezdarbniekiem optimizēšanu, t.sk.  papildinot to ar ilgstošo  bezdarbnieku atbalsta darbībām (iepriekš īstenotas 9.1.1.2.SAM pasākuma ietvarā, lielākoties bez privātā līdzfinansējuma piesaistes), nerada apstākļus, kas veicinātu privātā līdzfinansējuma pieaugumu projektā (līdz ar to atbalstāma 3.</w:t>
            </w:r>
            <w:r w:rsidR="00A8203A">
              <w:rPr>
                <w:lang w:eastAsia="en-US"/>
              </w:rPr>
              <w:t> </w:t>
            </w:r>
            <w:r w:rsidRPr="00905288">
              <w:rPr>
                <w:lang w:eastAsia="en-US"/>
              </w:rPr>
              <w:t xml:space="preserve">punktā minētā FM pieeja nepiemērot finanšu avotu proporciju pēc papildu finansējuma pārdales);   </w:t>
            </w:r>
          </w:p>
          <w:p w14:paraId="74803B4E" w14:textId="492EAE1E" w:rsidR="00905288" w:rsidRPr="00905288" w:rsidRDefault="00905288" w:rsidP="00905288">
            <w:pPr>
              <w:widowControl w:val="0"/>
              <w:jc w:val="both"/>
              <w:rPr>
                <w:lang w:eastAsia="en-US"/>
              </w:rPr>
            </w:pPr>
            <w:r w:rsidRPr="00905288">
              <w:rPr>
                <w:lang w:eastAsia="en-US"/>
              </w:rPr>
              <w:lastRenderedPageBreak/>
              <w:t>- FM aprēķins ir balstīts uz 9.1.1.1.SAM pasākuma projekta finansējuma saņēmēja aplēsēm par iespējamo privātā līdzfinansējuma apmēru projektā līdz projekta beigām (t.i., šobrīd plānots, ka minētais finansējums varētu tikt piesaistīts 16 474 110 EUR apmērā). Jāmin, ka šobrīd atbilstoši MK 23.12.2014. noteikumiem Nr.835 privātais līdzfinansējums pasākuma ietvaros ir noteikts ne mazāk kā 1 755 396 EUR, kas  atbilstoši FM ierosinātajām</w:t>
            </w:r>
            <w:r>
              <w:rPr>
                <w:lang w:eastAsia="en-US"/>
              </w:rPr>
              <w:t xml:space="preserve"> pārdalēm</w:t>
            </w:r>
            <w:r w:rsidRPr="00905288">
              <w:rPr>
                <w:lang w:eastAsia="en-US"/>
              </w:rPr>
              <w:t xml:space="preserve">, virzot atbilstošus DP grozījumus Nr.5, ir palielināts par 9 447 718 EUR un veidos - ne mazāk kā 11 233 114 EUR. Savukārt projektā privātais līdzfinansējums ir piesaistīts 11 855 929 EUR apmērā (proti, būtiski nepārsniedz plānoto minimālo privātā līdzfinansējuma apmēru); </w:t>
            </w:r>
          </w:p>
          <w:p w14:paraId="44013F21" w14:textId="7A247DF2" w:rsidR="00905288" w:rsidRPr="00905288" w:rsidRDefault="00905288" w:rsidP="00905288">
            <w:pPr>
              <w:widowControl w:val="0"/>
              <w:jc w:val="both"/>
              <w:rPr>
                <w:lang w:eastAsia="en-US"/>
              </w:rPr>
            </w:pPr>
            <w:r w:rsidRPr="00905288">
              <w:rPr>
                <w:lang w:eastAsia="en-US"/>
              </w:rPr>
              <w:t>- ņemot vērā šobrīd saskaņošanā esošās un 2020.</w:t>
            </w:r>
            <w:r w:rsidR="00A8203A">
              <w:rPr>
                <w:lang w:eastAsia="en-US"/>
              </w:rPr>
              <w:t> </w:t>
            </w:r>
            <w:r w:rsidRPr="00905288">
              <w:rPr>
                <w:lang w:eastAsia="en-US"/>
              </w:rPr>
              <w:t xml:space="preserve">gadā papildus plānotās izmaiņas normatīvajā regulējumā attiecībā uz subsidēto darba vietu īstenošanas nosacījumiem (t.sk. kas skar gan projekta ietvaros izmaksājamās dotācijas apmēru darba devējam, gan darba devēju dalību ierobežojušus nosacījumus un veicamos pienākumus, nodrošinot subsidētās darba vietas), privātā līdzfinansējuma apmērs, kas tiks faktiski piesaistīts projektā, visticamāk būtiski nepieaugs - līdz ar to var rasties situācija, ka minētais finansējums būs pat mazāks kā tas ir šobrīd prognozēts projektā (attiecīgi arī 1.punktā minētais FM pieņēmums var neatbilst faktiskajai situācijai). </w:t>
            </w:r>
          </w:p>
          <w:p w14:paraId="7EDF9C3E" w14:textId="129608A4" w:rsidR="00905288" w:rsidRPr="00905288" w:rsidRDefault="00905288" w:rsidP="00905288">
            <w:pPr>
              <w:widowControl w:val="0"/>
              <w:jc w:val="both"/>
              <w:rPr>
                <w:lang w:eastAsia="en-US"/>
              </w:rPr>
            </w:pPr>
            <w:r w:rsidRPr="00905288">
              <w:rPr>
                <w:lang w:eastAsia="en-US"/>
              </w:rPr>
              <w:t>Piemēram, atbilstoši M</w:t>
            </w:r>
            <w:r>
              <w:rPr>
                <w:lang w:eastAsia="en-US"/>
              </w:rPr>
              <w:t>K 25.01.2011. noteikumu Nr.75</w:t>
            </w:r>
            <w:r w:rsidRPr="00905288">
              <w:rPr>
                <w:lang w:eastAsia="en-US"/>
              </w:rPr>
              <w:t xml:space="preserve"> grozījumu projektam, kas 17.10.2019. izsludināts VSS (prot. Nr. 39  20. §) un atrodas saskaņošanas stadijā, t.sk. ir plānots mērķētāks atbalsts pirmspensijas vecuma personām, paredzot, ka, nodarbinot bezdarbniekus, kuriem līdz vecumam, kas dod tiesības saņemt vecuma pensiju, atlikuši ne vairāk kā 2 gadi, darba devējiem tiks nodrošināts lielāks atbalsts ikmēneša darba algai - 80% apmērā no algu izmaksām viena gada laikā (proti, attiecīgi būs mazāks darba devēja līdzfinansējums darba algas nodrošināšanā). Savukārt ar plānotajām izmaiņām (plānots veikt atbilstošus grozījumus 2020.gada 2.pusgadā) - plānots pārskatīt iesaistāmo darba devēju </w:t>
            </w:r>
            <w:r w:rsidRPr="00905288">
              <w:rPr>
                <w:lang w:eastAsia="en-US"/>
              </w:rPr>
              <w:lastRenderedPageBreak/>
              <w:t xml:space="preserve">loku un nosacījumus dalībai atbalstāmās darbības ietvaros. </w:t>
            </w:r>
          </w:p>
          <w:p w14:paraId="577CC097" w14:textId="77777777" w:rsidR="00905288" w:rsidRPr="00905288" w:rsidRDefault="00905288" w:rsidP="00905288">
            <w:pPr>
              <w:widowControl w:val="0"/>
              <w:jc w:val="both"/>
              <w:rPr>
                <w:lang w:eastAsia="en-US"/>
              </w:rPr>
            </w:pPr>
            <w:r w:rsidRPr="00905288">
              <w:rPr>
                <w:lang w:eastAsia="en-US"/>
              </w:rPr>
              <w:t xml:space="preserve">Ievērojot iepriekš minēto, secināms, ka: </w:t>
            </w:r>
          </w:p>
          <w:p w14:paraId="67F55332" w14:textId="77777777" w:rsidR="00905288" w:rsidRPr="00905288" w:rsidRDefault="00905288" w:rsidP="00905288">
            <w:pPr>
              <w:widowControl w:val="0"/>
              <w:jc w:val="both"/>
              <w:rPr>
                <w:lang w:eastAsia="en-US"/>
              </w:rPr>
            </w:pPr>
            <w:r w:rsidRPr="00905288">
              <w:rPr>
                <w:lang w:eastAsia="en-US"/>
              </w:rPr>
              <w:t xml:space="preserve">a) privātā līdzfinansējuma apmērs, kas šobrīd papildu piesaistīts 9.prioritārā virziena ietvaros (ESF) un rada maksājumu rezervi, veido 622 815 EUR; </w:t>
            </w:r>
          </w:p>
          <w:p w14:paraId="4985860C" w14:textId="77777777" w:rsidR="00905288" w:rsidRPr="00905288" w:rsidRDefault="00905288" w:rsidP="00905288">
            <w:pPr>
              <w:widowControl w:val="0"/>
              <w:jc w:val="both"/>
              <w:rPr>
                <w:lang w:eastAsia="en-US"/>
              </w:rPr>
            </w:pPr>
            <w:r w:rsidRPr="00905288">
              <w:rPr>
                <w:lang w:eastAsia="en-US"/>
              </w:rPr>
              <w:t xml:space="preserve">b) arī turpmāk nav prognozēts privātā līdzfinansējuma būtisks piesaistes pārsniegums (pat gadījumā, ja privātais līdzfinansējums tiks piesaistīts projektā prognozētajā apmērā - tas (ievērojot 4.punktā minētos FM pieņēmumus attiecībā uz lauztajiem līgumiem/neatbilstībām) veidos nebūtisku maksājumu rezervi - vien ~1,5% no  kopējā 9.prioritārā virziena (ESF) piešķīruma). </w:t>
            </w:r>
          </w:p>
          <w:p w14:paraId="3C04FE34" w14:textId="6302E361" w:rsidR="00905288" w:rsidRPr="00905288" w:rsidRDefault="00905288" w:rsidP="00905288">
            <w:pPr>
              <w:widowControl w:val="0"/>
              <w:jc w:val="both"/>
              <w:rPr>
                <w:b/>
                <w:lang w:eastAsia="en-US"/>
              </w:rPr>
            </w:pPr>
            <w:r w:rsidRPr="00905288">
              <w:rPr>
                <w:lang w:eastAsia="en-US"/>
              </w:rPr>
              <w:t>Lūdzam iepriekš minēto informāciju ņemt vērā un atcelt 11.10.2019. protokollēmuma 2.punkta turpmāku piemērošanu attiecībā uz 9.prioritāro virzienu (ESF).</w:t>
            </w:r>
          </w:p>
        </w:tc>
        <w:tc>
          <w:tcPr>
            <w:tcW w:w="2700" w:type="dxa"/>
            <w:tcBorders>
              <w:top w:val="single" w:sz="4" w:space="0" w:color="auto"/>
              <w:left w:val="single" w:sz="4" w:space="0" w:color="auto"/>
              <w:bottom w:val="single" w:sz="4" w:space="0" w:color="auto"/>
              <w:right w:val="single" w:sz="4" w:space="0" w:color="auto"/>
            </w:tcBorders>
          </w:tcPr>
          <w:p w14:paraId="61A709DD" w14:textId="77777777" w:rsidR="007167AB" w:rsidRDefault="006561FE" w:rsidP="00073213">
            <w:pPr>
              <w:jc w:val="both"/>
              <w:rPr>
                <w:b/>
                <w:lang w:eastAsia="en-US"/>
              </w:rPr>
            </w:pPr>
            <w:r>
              <w:rPr>
                <w:b/>
                <w:lang w:eastAsia="en-US"/>
              </w:rPr>
              <w:lastRenderedPageBreak/>
              <w:t>Ņ</w:t>
            </w:r>
            <w:r w:rsidR="006E12B0" w:rsidRPr="00051E04">
              <w:rPr>
                <w:b/>
                <w:lang w:eastAsia="en-US"/>
              </w:rPr>
              <w:t>emts vērā</w:t>
            </w:r>
            <w:r w:rsidR="00905288">
              <w:rPr>
                <w:b/>
                <w:lang w:eastAsia="en-US"/>
              </w:rPr>
              <w:t xml:space="preserve">. </w:t>
            </w:r>
          </w:p>
          <w:p w14:paraId="70FA8C01" w14:textId="06A7C52F" w:rsidR="006E12B0" w:rsidRPr="00051E04" w:rsidRDefault="00905288" w:rsidP="00073213">
            <w:pPr>
              <w:jc w:val="both"/>
              <w:rPr>
                <w:b/>
                <w:lang w:eastAsia="en-US"/>
              </w:rPr>
            </w:pPr>
            <w:r w:rsidRPr="007167AB">
              <w:rPr>
                <w:lang w:eastAsia="en-US"/>
              </w:rPr>
              <w:t>Panākta vienošanās</w:t>
            </w:r>
            <w:r w:rsidR="009522CF" w:rsidRPr="007167AB">
              <w:rPr>
                <w:lang w:eastAsia="en-US"/>
              </w:rPr>
              <w:t>,</w:t>
            </w:r>
            <w:r w:rsidR="009522CF">
              <w:rPr>
                <w:b/>
                <w:lang w:eastAsia="en-US"/>
              </w:rPr>
              <w:t xml:space="preserve"> </w:t>
            </w:r>
            <w:r w:rsidR="006C2AE0">
              <w:rPr>
                <w:lang w:eastAsia="en-US"/>
              </w:rPr>
              <w:t>elektroniski saskaņojot</w:t>
            </w:r>
            <w:r w:rsidR="009522CF" w:rsidRPr="009522CF">
              <w:rPr>
                <w:lang w:eastAsia="en-US"/>
              </w:rPr>
              <w:t xml:space="preserve"> </w:t>
            </w:r>
            <w:r w:rsidR="005C5E76" w:rsidRPr="009522CF">
              <w:rPr>
                <w:lang w:eastAsia="en-US"/>
              </w:rPr>
              <w:t>2020.</w:t>
            </w:r>
            <w:r w:rsidR="009522CF" w:rsidRPr="009522CF">
              <w:rPr>
                <w:lang w:eastAsia="en-US"/>
              </w:rPr>
              <w:t xml:space="preserve"> gada 17. februārī:</w:t>
            </w:r>
            <w:r>
              <w:rPr>
                <w:b/>
                <w:lang w:eastAsia="en-US"/>
              </w:rPr>
              <w:t xml:space="preserve"> </w:t>
            </w:r>
            <w:r>
              <w:rPr>
                <w:lang w:eastAsia="en-US"/>
              </w:rPr>
              <w:t>pie jautājuma atgriezties</w:t>
            </w:r>
            <w:r w:rsidRPr="00905288">
              <w:rPr>
                <w:lang w:eastAsia="en-US"/>
              </w:rPr>
              <w:t xml:space="preserve"> kompleksi pie nākamā F</w:t>
            </w:r>
            <w:r w:rsidR="009522CF">
              <w:rPr>
                <w:lang w:eastAsia="en-US"/>
              </w:rPr>
              <w:t xml:space="preserve">inanšu ministrijas (FM) </w:t>
            </w:r>
            <w:r w:rsidRPr="00905288">
              <w:rPr>
                <w:lang w:eastAsia="en-US"/>
              </w:rPr>
              <w:t xml:space="preserve">ES fondu </w:t>
            </w:r>
            <w:r>
              <w:rPr>
                <w:lang w:eastAsia="en-US"/>
              </w:rPr>
              <w:t>informatīvā ziņojuma</w:t>
            </w:r>
            <w:r w:rsidR="00A8203A">
              <w:rPr>
                <w:lang w:eastAsia="en-US"/>
              </w:rPr>
              <w:t>, </w:t>
            </w:r>
            <w:r w:rsidRPr="00905288">
              <w:rPr>
                <w:lang w:eastAsia="en-US"/>
              </w:rPr>
              <w:t>kas iesniedzams MK līdz 1.</w:t>
            </w:r>
            <w:r w:rsidR="00A8203A">
              <w:rPr>
                <w:lang w:eastAsia="en-US"/>
              </w:rPr>
              <w:t> </w:t>
            </w:r>
            <w:r w:rsidRPr="00905288">
              <w:rPr>
                <w:lang w:eastAsia="en-US"/>
              </w:rPr>
              <w:t xml:space="preserve">septembrim. Uz to brīdi </w:t>
            </w:r>
            <w:r w:rsidR="005C5E76">
              <w:rPr>
                <w:lang w:eastAsia="en-US"/>
              </w:rPr>
              <w:t xml:space="preserve">FM </w:t>
            </w:r>
            <w:r w:rsidRPr="00905288">
              <w:rPr>
                <w:lang w:eastAsia="en-US"/>
              </w:rPr>
              <w:t>ņems vērā jaunāko informāciju gan par DP</w:t>
            </w:r>
            <w:r w:rsidR="005C5E76">
              <w:rPr>
                <w:lang w:eastAsia="en-US"/>
              </w:rPr>
              <w:t xml:space="preserve"> </w:t>
            </w:r>
            <w:r w:rsidRPr="00905288">
              <w:rPr>
                <w:lang w:eastAsia="en-US"/>
              </w:rPr>
              <w:t>grozījum</w:t>
            </w:r>
            <w:r w:rsidR="005C5E76">
              <w:rPr>
                <w:lang w:eastAsia="en-US"/>
              </w:rPr>
              <w:t xml:space="preserve">u </w:t>
            </w:r>
            <w:r w:rsidR="009522CF">
              <w:rPr>
                <w:lang w:eastAsia="en-US"/>
              </w:rPr>
              <w:t>Nr.</w:t>
            </w:r>
            <w:r w:rsidR="00A8203A">
              <w:rPr>
                <w:lang w:eastAsia="en-US"/>
              </w:rPr>
              <w:t> </w:t>
            </w:r>
            <w:r w:rsidR="009522CF">
              <w:rPr>
                <w:lang w:eastAsia="en-US"/>
              </w:rPr>
              <w:t>5</w:t>
            </w:r>
            <w:r w:rsidR="009522CF" w:rsidRPr="00905288">
              <w:rPr>
                <w:lang w:eastAsia="en-US"/>
              </w:rPr>
              <w:t xml:space="preserve"> </w:t>
            </w:r>
            <w:r w:rsidR="005C5E76">
              <w:rPr>
                <w:lang w:eastAsia="en-US"/>
              </w:rPr>
              <w:t xml:space="preserve">apstiprināšanas </w:t>
            </w:r>
            <w:r w:rsidR="00830810">
              <w:rPr>
                <w:lang w:eastAsia="en-US"/>
              </w:rPr>
              <w:t>EK</w:t>
            </w:r>
            <w:r w:rsidR="005C5E76">
              <w:rPr>
                <w:lang w:eastAsia="en-US"/>
              </w:rPr>
              <w:t xml:space="preserve"> statusu</w:t>
            </w:r>
            <w:r w:rsidRPr="00905288">
              <w:rPr>
                <w:lang w:eastAsia="en-US"/>
              </w:rPr>
              <w:t xml:space="preserve">, gan ieviešanas statusu utml., t.sk. par </w:t>
            </w:r>
            <w:r w:rsidR="005C5E76" w:rsidRPr="000D0380">
              <w:rPr>
                <w:lang w:eastAsia="en-US"/>
              </w:rPr>
              <w:t xml:space="preserve"> Labklājības ministrija</w:t>
            </w:r>
            <w:r w:rsidR="005C5E76">
              <w:rPr>
                <w:lang w:eastAsia="en-US"/>
              </w:rPr>
              <w:t>s</w:t>
            </w:r>
            <w:r w:rsidRPr="00905288">
              <w:rPr>
                <w:lang w:eastAsia="en-US"/>
              </w:rPr>
              <w:t xml:space="preserve"> pieteikto šī ziņojuma saskaņošanas laikā.</w:t>
            </w:r>
          </w:p>
          <w:p w14:paraId="56D9EAD0" w14:textId="448596E3" w:rsidR="006E12B0" w:rsidRDefault="00451A4D" w:rsidP="00073213">
            <w:pPr>
              <w:jc w:val="both"/>
              <w:rPr>
                <w:rFonts w:eastAsia="Calibri"/>
                <w:lang w:eastAsia="en-US"/>
              </w:rPr>
            </w:pPr>
            <w:r>
              <w:rPr>
                <w:lang w:eastAsia="en-US"/>
              </w:rPr>
              <w:t xml:space="preserve">Papildus </w:t>
            </w:r>
            <w:r w:rsidR="006C2AE0">
              <w:rPr>
                <w:lang w:eastAsia="en-US"/>
              </w:rPr>
              <w:t xml:space="preserve">FM </w:t>
            </w:r>
            <w:r w:rsidR="008646AD">
              <w:rPr>
                <w:lang w:eastAsia="en-US"/>
              </w:rPr>
              <w:t>2020.</w:t>
            </w:r>
            <w:r w:rsidR="00A8203A">
              <w:rPr>
                <w:lang w:eastAsia="en-US"/>
              </w:rPr>
              <w:t> gada 11. </w:t>
            </w:r>
            <w:r w:rsidR="008646AD">
              <w:rPr>
                <w:lang w:eastAsia="en-US"/>
              </w:rPr>
              <w:t xml:space="preserve">februārī </w:t>
            </w:r>
            <w:r w:rsidR="006E12B0" w:rsidRPr="000D0380">
              <w:rPr>
                <w:lang w:eastAsia="en-US"/>
              </w:rPr>
              <w:t xml:space="preserve">Labklājības ministrijai </w:t>
            </w:r>
            <w:r w:rsidR="006561FE">
              <w:rPr>
                <w:lang w:eastAsia="en-US"/>
              </w:rPr>
              <w:t xml:space="preserve">e-pastā </w:t>
            </w:r>
            <w:r w:rsidR="006E12B0" w:rsidRPr="000D0380">
              <w:rPr>
                <w:lang w:eastAsia="en-US"/>
              </w:rPr>
              <w:t>nosūtī</w:t>
            </w:r>
            <w:r w:rsidR="006C2AE0">
              <w:rPr>
                <w:lang w:eastAsia="en-US"/>
              </w:rPr>
              <w:t>ja</w:t>
            </w:r>
            <w:r w:rsidR="006E12B0" w:rsidRPr="000D0380">
              <w:rPr>
                <w:lang w:eastAsia="en-US"/>
              </w:rPr>
              <w:t xml:space="preserve"> un skaidro</w:t>
            </w:r>
            <w:r w:rsidR="006C2AE0">
              <w:rPr>
                <w:lang w:eastAsia="en-US"/>
              </w:rPr>
              <w:t>ja</w:t>
            </w:r>
            <w:r w:rsidR="006E12B0" w:rsidRPr="000D0380">
              <w:rPr>
                <w:lang w:eastAsia="en-US"/>
              </w:rPr>
              <w:t xml:space="preserve"> pieņēmum</w:t>
            </w:r>
            <w:r w:rsidR="006C2AE0">
              <w:rPr>
                <w:lang w:eastAsia="en-US"/>
              </w:rPr>
              <w:t>us</w:t>
            </w:r>
            <w:r w:rsidR="006E12B0" w:rsidRPr="000D0380">
              <w:rPr>
                <w:lang w:eastAsia="en-US"/>
              </w:rPr>
              <w:t xml:space="preserve">, uz kuriem </w:t>
            </w:r>
            <w:r w:rsidR="006E12B0" w:rsidRPr="000D0380">
              <w:rPr>
                <w:lang w:eastAsia="en-US"/>
              </w:rPr>
              <w:lastRenderedPageBreak/>
              <w:t xml:space="preserve">balstās prognozes. ES fondu tīmekļa vietnē veikti labojumi un iespējams atvērt informatīvā ziņojuma </w:t>
            </w:r>
            <w:r w:rsidR="00F225CF" w:rsidRPr="00F225CF">
              <w:rPr>
                <w:rFonts w:eastAsia="Calibri"/>
                <w:lang w:eastAsia="en-US"/>
              </w:rPr>
              <w:t>9</w:t>
            </w:r>
            <w:r w:rsidR="006E12B0" w:rsidRPr="00F225CF">
              <w:rPr>
                <w:rFonts w:eastAsia="Calibri"/>
                <w:lang w:eastAsia="en-US"/>
              </w:rPr>
              <w:t>.</w:t>
            </w:r>
            <w:r w:rsidR="00A8203A">
              <w:rPr>
                <w:rFonts w:eastAsia="Calibri"/>
                <w:lang w:eastAsia="en-US"/>
              </w:rPr>
              <w:t> </w:t>
            </w:r>
            <w:r w:rsidR="006E12B0" w:rsidRPr="00F225CF">
              <w:rPr>
                <w:rFonts w:eastAsia="Calibri"/>
                <w:lang w:eastAsia="en-US"/>
              </w:rPr>
              <w:t>zemsvītras</w:t>
            </w:r>
            <w:r w:rsidR="006E12B0" w:rsidRPr="000D0380">
              <w:rPr>
                <w:rFonts w:eastAsia="Calibri"/>
                <w:lang w:eastAsia="en-US"/>
              </w:rPr>
              <w:t xml:space="preserve"> atsaucē ietverto saiti.</w:t>
            </w:r>
          </w:p>
          <w:p w14:paraId="07B1CE29" w14:textId="4AE6B32F" w:rsidR="00883D7D" w:rsidRPr="000D0380" w:rsidRDefault="00883D7D" w:rsidP="00073213">
            <w:pPr>
              <w:jc w:val="both"/>
              <w:rPr>
                <w:rFonts w:eastAsia="Calibri"/>
                <w:lang w:eastAsia="en-US"/>
              </w:rPr>
            </w:pPr>
            <w:r>
              <w:rPr>
                <w:rFonts w:eastAsia="Calibri"/>
                <w:lang w:eastAsia="en-US"/>
              </w:rPr>
              <w:t xml:space="preserve">Ņemot vērā, </w:t>
            </w:r>
            <w:r w:rsidR="001C36C3">
              <w:rPr>
                <w:rFonts w:eastAsia="Calibri"/>
                <w:lang w:eastAsia="en-US"/>
              </w:rPr>
              <w:t xml:space="preserve">ka šobrīd </w:t>
            </w:r>
            <w:r w:rsidR="001C36C3" w:rsidRPr="001C36C3">
              <w:rPr>
                <w:rFonts w:eastAsia="Calibri"/>
                <w:lang w:eastAsia="en-US"/>
              </w:rPr>
              <w:t xml:space="preserve">faktiski nav veiktas iekšējās pārdales atbilstoši </w:t>
            </w:r>
            <w:r w:rsidR="008646AD">
              <w:rPr>
                <w:rFonts w:eastAsia="Calibri"/>
                <w:lang w:eastAsia="en-US"/>
              </w:rPr>
              <w:t>MK</w:t>
            </w:r>
            <w:r w:rsidR="001C36C3">
              <w:rPr>
                <w:rFonts w:eastAsia="Calibri"/>
                <w:lang w:eastAsia="en-US"/>
              </w:rPr>
              <w:t xml:space="preserve"> 2020.</w:t>
            </w:r>
            <w:r w:rsidR="00A8203A">
              <w:rPr>
                <w:rFonts w:eastAsia="Calibri"/>
                <w:lang w:eastAsia="en-US"/>
              </w:rPr>
              <w:t> </w:t>
            </w:r>
            <w:r w:rsidR="001C36C3">
              <w:rPr>
                <w:rFonts w:eastAsia="Calibri"/>
                <w:lang w:eastAsia="en-US"/>
              </w:rPr>
              <w:t>gada 21.</w:t>
            </w:r>
            <w:r w:rsidR="00A8203A">
              <w:rPr>
                <w:rFonts w:eastAsia="Calibri"/>
                <w:lang w:eastAsia="en-US"/>
              </w:rPr>
              <w:t> </w:t>
            </w:r>
            <w:r w:rsidR="001C36C3">
              <w:rPr>
                <w:rFonts w:eastAsia="Calibri"/>
                <w:lang w:eastAsia="en-US"/>
              </w:rPr>
              <w:t>janvāra</w:t>
            </w:r>
            <w:r w:rsidR="001C36C3" w:rsidRPr="001C36C3">
              <w:rPr>
                <w:rFonts w:eastAsia="Calibri"/>
                <w:lang w:eastAsia="en-US"/>
              </w:rPr>
              <w:t xml:space="preserve"> protokollēmuma </w:t>
            </w:r>
            <w:r w:rsidR="001C36C3">
              <w:rPr>
                <w:rFonts w:eastAsia="Calibri"/>
                <w:lang w:eastAsia="en-US"/>
              </w:rPr>
              <w:t>(</w:t>
            </w:r>
            <w:r w:rsidR="001C36C3" w:rsidRPr="001C36C3">
              <w:rPr>
                <w:rFonts w:eastAsia="Calibri"/>
                <w:lang w:eastAsia="en-US"/>
              </w:rPr>
              <w:t>Nr.3 32.§</w:t>
            </w:r>
            <w:r w:rsidR="001C36C3">
              <w:rPr>
                <w:rFonts w:eastAsia="Calibri"/>
                <w:lang w:eastAsia="en-US"/>
              </w:rPr>
              <w:t>)</w:t>
            </w:r>
            <w:r w:rsidR="001C36C3" w:rsidRPr="001C36C3">
              <w:rPr>
                <w:rFonts w:eastAsia="Calibri"/>
                <w:lang w:eastAsia="en-US"/>
              </w:rPr>
              <w:t xml:space="preserve"> 5.4. un 5.5.apakšpunktam, </w:t>
            </w:r>
            <w:r w:rsidR="001C36C3">
              <w:rPr>
                <w:rFonts w:eastAsia="Calibri"/>
                <w:lang w:eastAsia="en-US"/>
              </w:rPr>
              <w:t xml:space="preserve">indikatīvā deklarējamo </w:t>
            </w:r>
            <w:r w:rsidR="001C36C3" w:rsidRPr="000D0380">
              <w:rPr>
                <w:rFonts w:eastAsia="Calibri"/>
                <w:lang w:eastAsia="en-US"/>
              </w:rPr>
              <w:t>izdevumu rezerve 9.</w:t>
            </w:r>
            <w:r w:rsidR="00A8203A">
              <w:rPr>
                <w:rFonts w:eastAsia="Calibri"/>
                <w:lang w:eastAsia="en-US"/>
              </w:rPr>
              <w:t> </w:t>
            </w:r>
            <w:r w:rsidR="001C36C3" w:rsidRPr="000D0380">
              <w:rPr>
                <w:rFonts w:eastAsia="Calibri"/>
                <w:lang w:eastAsia="en-US"/>
              </w:rPr>
              <w:t>prioritārā virziena (ESF) ietvaros</w:t>
            </w:r>
            <w:r w:rsidR="00D46BFF">
              <w:rPr>
                <w:rFonts w:eastAsia="Calibri"/>
                <w:lang w:eastAsia="en-US"/>
              </w:rPr>
              <w:t xml:space="preserve"> faktiski vēl</w:t>
            </w:r>
            <w:r w:rsidR="001C36C3" w:rsidRPr="000D0380">
              <w:rPr>
                <w:rFonts w:eastAsia="Calibri"/>
                <w:lang w:eastAsia="en-US"/>
              </w:rPr>
              <w:t xml:space="preserve"> </w:t>
            </w:r>
            <w:r w:rsidR="001C36C3">
              <w:rPr>
                <w:rFonts w:eastAsia="Calibri"/>
                <w:lang w:eastAsia="en-US"/>
              </w:rPr>
              <w:t>nav samazinājusies</w:t>
            </w:r>
            <w:r w:rsidR="001C36C3" w:rsidRPr="001C36C3">
              <w:rPr>
                <w:rFonts w:eastAsia="Calibri"/>
                <w:lang w:eastAsia="en-US"/>
              </w:rPr>
              <w:t xml:space="preserve">, </w:t>
            </w:r>
            <w:r w:rsidR="00D46BFF">
              <w:rPr>
                <w:rFonts w:eastAsia="Calibri"/>
                <w:lang w:eastAsia="en-US"/>
              </w:rPr>
              <w:t xml:space="preserve">līdz ar to nav objektīva </w:t>
            </w:r>
            <w:r w:rsidR="001C36C3">
              <w:rPr>
                <w:rFonts w:eastAsia="Calibri"/>
                <w:lang w:eastAsia="en-US"/>
              </w:rPr>
              <w:t xml:space="preserve">pamata </w:t>
            </w:r>
            <w:r w:rsidR="00830810">
              <w:t>pārskatīt</w:t>
            </w:r>
            <w:r w:rsidR="001C36C3">
              <w:t xml:space="preserve"> </w:t>
            </w:r>
            <w:r w:rsidR="008646AD">
              <w:rPr>
                <w:rFonts w:eastAsia="Calibri"/>
                <w:lang w:eastAsia="en-US"/>
              </w:rPr>
              <w:t>MK</w:t>
            </w:r>
            <w:r w:rsidR="001C36C3" w:rsidRPr="001C36C3">
              <w:rPr>
                <w:rFonts w:eastAsia="Calibri"/>
                <w:lang w:eastAsia="en-US"/>
              </w:rPr>
              <w:t xml:space="preserve"> 2019.</w:t>
            </w:r>
            <w:r w:rsidR="00A8203A">
              <w:rPr>
                <w:rFonts w:eastAsia="Calibri"/>
                <w:lang w:eastAsia="en-US"/>
              </w:rPr>
              <w:t> </w:t>
            </w:r>
            <w:r w:rsidR="00596E72">
              <w:rPr>
                <w:rFonts w:eastAsia="Calibri"/>
                <w:lang w:eastAsia="en-US"/>
              </w:rPr>
              <w:t>gada 11.</w:t>
            </w:r>
            <w:r w:rsidR="00A8203A">
              <w:rPr>
                <w:rFonts w:eastAsia="Calibri"/>
                <w:lang w:eastAsia="en-US"/>
              </w:rPr>
              <w:t> </w:t>
            </w:r>
            <w:r w:rsidR="00596E72">
              <w:rPr>
                <w:rFonts w:eastAsia="Calibri"/>
                <w:lang w:eastAsia="en-US"/>
              </w:rPr>
              <w:t>oktobra protokollēmuma 2</w:t>
            </w:r>
            <w:r w:rsidR="001C36C3" w:rsidRPr="001C36C3">
              <w:rPr>
                <w:rFonts w:eastAsia="Calibri"/>
                <w:lang w:eastAsia="en-US"/>
              </w:rPr>
              <w:t>.</w:t>
            </w:r>
            <w:r w:rsidR="00A8203A">
              <w:rPr>
                <w:rFonts w:eastAsia="Calibri"/>
                <w:lang w:eastAsia="en-US"/>
              </w:rPr>
              <w:t> </w:t>
            </w:r>
            <w:r w:rsidR="001C36C3" w:rsidRPr="001C36C3">
              <w:rPr>
                <w:rFonts w:eastAsia="Calibri"/>
                <w:lang w:eastAsia="en-US"/>
              </w:rPr>
              <w:t>punktu.</w:t>
            </w:r>
          </w:p>
          <w:p w14:paraId="2698EC4E" w14:textId="77777777" w:rsidR="006E12B0" w:rsidRPr="000D0380" w:rsidRDefault="006E12B0" w:rsidP="00E4506B">
            <w:pPr>
              <w:jc w:val="both"/>
              <w:rPr>
                <w:b/>
                <w:szCs w:val="22"/>
                <w:lang w:eastAsia="en-US"/>
              </w:rPr>
            </w:pPr>
          </w:p>
        </w:tc>
        <w:tc>
          <w:tcPr>
            <w:tcW w:w="2259" w:type="dxa"/>
            <w:tcBorders>
              <w:top w:val="single" w:sz="4" w:space="0" w:color="auto"/>
              <w:left w:val="single" w:sz="4" w:space="0" w:color="auto"/>
              <w:bottom w:val="single" w:sz="4" w:space="0" w:color="auto"/>
              <w:right w:val="single" w:sz="4" w:space="0" w:color="auto"/>
            </w:tcBorders>
          </w:tcPr>
          <w:p w14:paraId="53AE36E4" w14:textId="38155E2A" w:rsidR="006E12B0" w:rsidRPr="000D0380" w:rsidRDefault="00BB27C8" w:rsidP="006E3E0D">
            <w:pPr>
              <w:pStyle w:val="Default"/>
              <w:jc w:val="both"/>
            </w:pPr>
            <w:r w:rsidRPr="000D0380">
              <w:lastRenderedPageBreak/>
              <w:t>Skatīt precizē</w:t>
            </w:r>
            <w:r>
              <w:t>tu i</w:t>
            </w:r>
            <w:r w:rsidRPr="000D0380">
              <w:t>nformatīvā ziņojuma</w:t>
            </w:r>
            <w:r>
              <w:t xml:space="preserve"> </w:t>
            </w:r>
            <w:r w:rsidRPr="000D0380">
              <w:rPr>
                <w:rFonts w:eastAsiaTheme="minorHAnsi"/>
              </w:rPr>
              <w:t>4.</w:t>
            </w:r>
            <w:r w:rsidR="00A8203A">
              <w:rPr>
                <w:rFonts w:eastAsiaTheme="minorHAnsi"/>
              </w:rPr>
              <w:t> </w:t>
            </w:r>
            <w:r w:rsidRPr="000D0380">
              <w:rPr>
                <w:rFonts w:eastAsiaTheme="minorHAnsi"/>
              </w:rPr>
              <w:t>sadaļ</w:t>
            </w:r>
            <w:r>
              <w:rPr>
                <w:rFonts w:eastAsiaTheme="minorHAnsi"/>
              </w:rPr>
              <w:t>u.</w:t>
            </w:r>
          </w:p>
        </w:tc>
      </w:tr>
      <w:tr w:rsidR="009A5DBD" w:rsidRPr="000D0380" w14:paraId="1CDD510F" w14:textId="77777777" w:rsidTr="006C2AE0">
        <w:trPr>
          <w:trHeight w:val="699"/>
        </w:trPr>
        <w:tc>
          <w:tcPr>
            <w:tcW w:w="988" w:type="dxa"/>
            <w:tcBorders>
              <w:top w:val="single" w:sz="4" w:space="0" w:color="auto"/>
              <w:left w:val="single" w:sz="4" w:space="0" w:color="auto"/>
              <w:bottom w:val="single" w:sz="4" w:space="0" w:color="auto"/>
              <w:right w:val="single" w:sz="4" w:space="0" w:color="auto"/>
            </w:tcBorders>
          </w:tcPr>
          <w:p w14:paraId="5C5D5E8E" w14:textId="77777777" w:rsidR="009A5DBD" w:rsidRPr="000D0380" w:rsidRDefault="009A5DBD" w:rsidP="00073213">
            <w:pPr>
              <w:pStyle w:val="naisc"/>
              <w:numPr>
                <w:ilvl w:val="0"/>
                <w:numId w:val="4"/>
              </w:numPr>
              <w:tabs>
                <w:tab w:val="left" w:pos="360"/>
              </w:tabs>
              <w:spacing w:before="0" w:after="0"/>
              <w:jc w:val="both"/>
              <w:rPr>
                <w:lang w:eastAsia="en-US"/>
              </w:rPr>
            </w:pPr>
          </w:p>
        </w:tc>
        <w:tc>
          <w:tcPr>
            <w:tcW w:w="2697" w:type="dxa"/>
            <w:tcBorders>
              <w:top w:val="single" w:sz="4" w:space="0" w:color="auto"/>
              <w:left w:val="single" w:sz="4" w:space="0" w:color="auto"/>
              <w:bottom w:val="single" w:sz="4" w:space="0" w:color="auto"/>
              <w:right w:val="single" w:sz="4" w:space="0" w:color="auto"/>
            </w:tcBorders>
          </w:tcPr>
          <w:p w14:paraId="7EB4C24C" w14:textId="69924850" w:rsidR="009A5DBD" w:rsidRPr="000D0380" w:rsidRDefault="00A8203A" w:rsidP="00073213">
            <w:pPr>
              <w:jc w:val="both"/>
              <w:rPr>
                <w:lang w:eastAsia="en-US"/>
              </w:rPr>
            </w:pPr>
            <w:r>
              <w:rPr>
                <w:lang w:eastAsia="en-US"/>
              </w:rPr>
              <w:t>Informatīvā ziņojuma 4. </w:t>
            </w:r>
            <w:r w:rsidR="009A5DBD" w:rsidRPr="000D0380">
              <w:rPr>
                <w:lang w:eastAsia="en-US"/>
              </w:rPr>
              <w:t xml:space="preserve">sadaļa “2014. - 2020. gada plānošanas perioda ES fondu investīciju aktualitātes” Ilustrācija </w:t>
            </w:r>
            <w:r w:rsidR="001F6820" w:rsidRPr="000D0380">
              <w:rPr>
                <w:lang w:eastAsia="en-US"/>
              </w:rPr>
              <w:t>Nr. </w:t>
            </w:r>
            <w:r w:rsidR="009A5DBD" w:rsidRPr="000D0380">
              <w:rPr>
                <w:lang w:eastAsia="en-US"/>
              </w:rPr>
              <w:t>3.</w:t>
            </w:r>
          </w:p>
        </w:tc>
        <w:tc>
          <w:tcPr>
            <w:tcW w:w="6660" w:type="dxa"/>
            <w:tcBorders>
              <w:top w:val="single" w:sz="4" w:space="0" w:color="auto"/>
              <w:left w:val="single" w:sz="4" w:space="0" w:color="auto"/>
              <w:bottom w:val="single" w:sz="4" w:space="0" w:color="auto"/>
              <w:right w:val="single" w:sz="4" w:space="0" w:color="auto"/>
            </w:tcBorders>
          </w:tcPr>
          <w:p w14:paraId="3B4D6C09" w14:textId="1D95D4FA" w:rsidR="001F6820" w:rsidRPr="000D0380" w:rsidRDefault="001F6820" w:rsidP="00073213">
            <w:pPr>
              <w:pStyle w:val="NoSpacing"/>
              <w:jc w:val="both"/>
              <w:rPr>
                <w:rFonts w:ascii="Times New Roman" w:hAnsi="Times New Roman" w:cs="Times New Roman"/>
                <w:b/>
                <w:sz w:val="24"/>
                <w:szCs w:val="24"/>
              </w:rPr>
            </w:pPr>
            <w:r w:rsidRPr="000D0380">
              <w:rPr>
                <w:rFonts w:ascii="Times New Roman" w:hAnsi="Times New Roman" w:cs="Times New Roman"/>
                <w:b/>
                <w:sz w:val="24"/>
                <w:szCs w:val="24"/>
              </w:rPr>
              <w:t>Priekšlikums</w:t>
            </w:r>
          </w:p>
          <w:p w14:paraId="1BCD9843" w14:textId="5F50D6CD" w:rsidR="009A5DBD" w:rsidRPr="000D0380" w:rsidRDefault="009A5DBD" w:rsidP="00073213">
            <w:pPr>
              <w:pStyle w:val="NoSpacing"/>
              <w:jc w:val="both"/>
              <w:rPr>
                <w:rFonts w:ascii="Times New Roman" w:hAnsi="Times New Roman" w:cs="Times New Roman"/>
                <w:b/>
                <w:sz w:val="24"/>
                <w:szCs w:val="24"/>
              </w:rPr>
            </w:pPr>
            <w:r w:rsidRPr="000D0380">
              <w:rPr>
                <w:rFonts w:ascii="Times New Roman" w:hAnsi="Times New Roman" w:cs="Times New Roman"/>
                <w:b/>
                <w:sz w:val="24"/>
                <w:szCs w:val="24"/>
              </w:rPr>
              <w:t>Latvijas Pašvaldību savienība</w:t>
            </w:r>
          </w:p>
          <w:p w14:paraId="1D20D225" w14:textId="395706AD" w:rsidR="009A5DBD" w:rsidRPr="000D0380" w:rsidRDefault="009A5DBD" w:rsidP="00073213">
            <w:pPr>
              <w:widowControl w:val="0"/>
              <w:jc w:val="both"/>
              <w:rPr>
                <w:b/>
              </w:rPr>
            </w:pPr>
            <w:r w:rsidRPr="000D0380">
              <w:rPr>
                <w:szCs w:val="22"/>
                <w:lang w:eastAsia="en-US"/>
              </w:rPr>
              <w:t xml:space="preserve">Informējam, ka radusies tehniska kļūda un ziņojumā ietvertā Ilustrācija Nr. 3 </w:t>
            </w:r>
            <w:r w:rsidRPr="000D0380">
              <w:rPr>
                <w:lang w:eastAsia="en-US"/>
              </w:rPr>
              <w:t>“Nozīmīgākie investīciju rādītāju vērtību sasniegumi piemēri ES fondu projektos līdz 2020. gada 1. janvārim” nepareizi norādīta Rīgas pilsētas teritorija m</w:t>
            </w:r>
            <w:r w:rsidRPr="000D0380">
              <w:rPr>
                <w:vertAlign w:val="superscript"/>
                <w:lang w:eastAsia="en-US"/>
              </w:rPr>
              <w:t>2</w:t>
            </w:r>
            <w:r w:rsidRPr="000D0380">
              <w:rPr>
                <w:lang w:eastAsia="en-US"/>
              </w:rPr>
              <w:t>. Lūdzam precizēt inforgrafiku.</w:t>
            </w:r>
          </w:p>
        </w:tc>
        <w:tc>
          <w:tcPr>
            <w:tcW w:w="2700" w:type="dxa"/>
            <w:tcBorders>
              <w:top w:val="single" w:sz="4" w:space="0" w:color="auto"/>
              <w:left w:val="single" w:sz="4" w:space="0" w:color="auto"/>
              <w:bottom w:val="single" w:sz="4" w:space="0" w:color="auto"/>
              <w:right w:val="single" w:sz="4" w:space="0" w:color="auto"/>
            </w:tcBorders>
          </w:tcPr>
          <w:p w14:paraId="5AA7E77F" w14:textId="77777777" w:rsidR="009A5DBD" w:rsidRPr="000D0380" w:rsidRDefault="009A5DBD" w:rsidP="00073213">
            <w:pPr>
              <w:pStyle w:val="naisc"/>
              <w:jc w:val="both"/>
              <w:rPr>
                <w:b/>
                <w:lang w:eastAsia="en-US"/>
              </w:rPr>
            </w:pPr>
            <w:r w:rsidRPr="000D0380">
              <w:rPr>
                <w:b/>
                <w:lang w:eastAsia="en-US"/>
              </w:rPr>
              <w:t xml:space="preserve">Ņemts vērā. </w:t>
            </w:r>
          </w:p>
          <w:p w14:paraId="0F2A845A" w14:textId="60E1FED7" w:rsidR="009A5DBD" w:rsidRPr="000D0380" w:rsidRDefault="009A5DBD" w:rsidP="00073213">
            <w:pPr>
              <w:jc w:val="both"/>
              <w:rPr>
                <w:b/>
                <w:u w:val="single"/>
                <w:lang w:eastAsia="en-US"/>
              </w:rPr>
            </w:pPr>
          </w:p>
        </w:tc>
        <w:tc>
          <w:tcPr>
            <w:tcW w:w="2259" w:type="dxa"/>
            <w:tcBorders>
              <w:top w:val="single" w:sz="4" w:space="0" w:color="auto"/>
              <w:left w:val="single" w:sz="4" w:space="0" w:color="auto"/>
              <w:bottom w:val="single" w:sz="4" w:space="0" w:color="auto"/>
              <w:right w:val="single" w:sz="4" w:space="0" w:color="auto"/>
            </w:tcBorders>
          </w:tcPr>
          <w:p w14:paraId="6D2418EE" w14:textId="711A6546" w:rsidR="009A5DBD" w:rsidRPr="000D0380" w:rsidRDefault="009A5DBD" w:rsidP="00596E72">
            <w:pPr>
              <w:pStyle w:val="Default"/>
              <w:jc w:val="both"/>
            </w:pPr>
            <w:r w:rsidRPr="000D0380">
              <w:t>Sk</w:t>
            </w:r>
            <w:r w:rsidR="00206207" w:rsidRPr="000D0380">
              <w:t xml:space="preserve">atīt </w:t>
            </w:r>
            <w:r w:rsidR="00BB27C8">
              <w:t xml:space="preserve">precizētu </w:t>
            </w:r>
            <w:r w:rsidR="00206207" w:rsidRPr="000D0380">
              <w:t>informatīvā ziņojuma i</w:t>
            </w:r>
            <w:r w:rsidRPr="000D0380">
              <w:t>lustrāciju Nr. 3.</w:t>
            </w:r>
            <w:r w:rsidR="001F6820" w:rsidRPr="000D0380">
              <w:t xml:space="preserve"> </w:t>
            </w:r>
          </w:p>
        </w:tc>
      </w:tr>
      <w:tr w:rsidR="001F6820" w:rsidRPr="000D0380" w14:paraId="172A88BF" w14:textId="77777777" w:rsidTr="004F5BED">
        <w:trPr>
          <w:trHeight w:val="1692"/>
        </w:trPr>
        <w:tc>
          <w:tcPr>
            <w:tcW w:w="988" w:type="dxa"/>
            <w:tcBorders>
              <w:top w:val="single" w:sz="4" w:space="0" w:color="auto"/>
              <w:left w:val="single" w:sz="4" w:space="0" w:color="auto"/>
              <w:bottom w:val="single" w:sz="4" w:space="0" w:color="auto"/>
              <w:right w:val="single" w:sz="4" w:space="0" w:color="auto"/>
            </w:tcBorders>
          </w:tcPr>
          <w:p w14:paraId="7B14E044" w14:textId="77777777" w:rsidR="001F6820" w:rsidRPr="000D0380" w:rsidRDefault="001F6820" w:rsidP="00073213">
            <w:pPr>
              <w:pStyle w:val="naisc"/>
              <w:numPr>
                <w:ilvl w:val="0"/>
                <w:numId w:val="4"/>
              </w:numPr>
              <w:tabs>
                <w:tab w:val="left" w:pos="360"/>
              </w:tabs>
              <w:spacing w:before="0" w:after="0"/>
              <w:jc w:val="both"/>
              <w:rPr>
                <w:lang w:eastAsia="en-US"/>
              </w:rPr>
            </w:pPr>
          </w:p>
        </w:tc>
        <w:tc>
          <w:tcPr>
            <w:tcW w:w="2697" w:type="dxa"/>
            <w:tcBorders>
              <w:top w:val="single" w:sz="4" w:space="0" w:color="auto"/>
              <w:left w:val="single" w:sz="4" w:space="0" w:color="auto"/>
              <w:bottom w:val="single" w:sz="4" w:space="0" w:color="auto"/>
              <w:right w:val="single" w:sz="4" w:space="0" w:color="auto"/>
            </w:tcBorders>
          </w:tcPr>
          <w:p w14:paraId="6AEC946D" w14:textId="43385D5C" w:rsidR="001F6820" w:rsidRPr="000D0380" w:rsidRDefault="001F6820" w:rsidP="00073213">
            <w:pPr>
              <w:jc w:val="both"/>
              <w:rPr>
                <w:lang w:eastAsia="en-US"/>
              </w:rPr>
            </w:pPr>
            <w:r w:rsidRPr="000D0380">
              <w:rPr>
                <w:rFonts w:eastAsiaTheme="minorHAnsi"/>
                <w:lang w:eastAsia="en-US"/>
              </w:rPr>
              <w:t>Informatīvā ziņojuma 4. sadaļa “2014. - 2020. gada plānošanas perioda ES fondu investīciju aktualitātes”. Ilustrācija Nr. 3.</w:t>
            </w:r>
          </w:p>
        </w:tc>
        <w:tc>
          <w:tcPr>
            <w:tcW w:w="6660" w:type="dxa"/>
            <w:tcBorders>
              <w:top w:val="single" w:sz="4" w:space="0" w:color="auto"/>
              <w:left w:val="single" w:sz="4" w:space="0" w:color="auto"/>
              <w:bottom w:val="single" w:sz="4" w:space="0" w:color="auto"/>
              <w:right w:val="single" w:sz="4" w:space="0" w:color="auto"/>
            </w:tcBorders>
          </w:tcPr>
          <w:p w14:paraId="19832DDA" w14:textId="7F01A36E" w:rsidR="001F6820" w:rsidRPr="000D0380" w:rsidRDefault="001F6820" w:rsidP="00073213">
            <w:pPr>
              <w:widowControl w:val="0"/>
              <w:jc w:val="both"/>
              <w:rPr>
                <w:b/>
                <w:lang w:eastAsia="en-US"/>
              </w:rPr>
            </w:pPr>
            <w:r w:rsidRPr="000D0380">
              <w:rPr>
                <w:b/>
                <w:lang w:eastAsia="en-US"/>
              </w:rPr>
              <w:t>Priekšlikums</w:t>
            </w:r>
          </w:p>
          <w:p w14:paraId="64626E6F" w14:textId="4DC4FF4E" w:rsidR="001F6820" w:rsidRPr="000D0380" w:rsidRDefault="001F6820" w:rsidP="00073213">
            <w:pPr>
              <w:widowControl w:val="0"/>
              <w:jc w:val="both"/>
              <w:rPr>
                <w:b/>
                <w:lang w:eastAsia="en-US"/>
              </w:rPr>
            </w:pPr>
            <w:r w:rsidRPr="000D0380">
              <w:rPr>
                <w:b/>
                <w:lang w:eastAsia="en-US"/>
              </w:rPr>
              <w:t>Latvijas Pašvaldību savienība</w:t>
            </w:r>
          </w:p>
          <w:p w14:paraId="11070007" w14:textId="41FED036" w:rsidR="001F6820" w:rsidRPr="000D0380" w:rsidRDefault="001F6820" w:rsidP="00620992">
            <w:pPr>
              <w:widowControl w:val="0"/>
              <w:jc w:val="both"/>
              <w:rPr>
                <w:b/>
              </w:rPr>
            </w:pPr>
            <w:r w:rsidRPr="000D0380">
              <w:rPr>
                <w:lang w:eastAsia="en-US"/>
              </w:rPr>
              <w:t>Lūdzam precizēt vai “2 171 daudzdzīvokļu mājsaimniecībās ir uzlabots enerģijas patēriņš”</w:t>
            </w:r>
            <w:r w:rsidR="00506992" w:rsidRPr="000D0380">
              <w:rPr>
                <w:lang w:eastAsia="en-US"/>
              </w:rPr>
              <w:t xml:space="preserve"> </w:t>
            </w:r>
            <w:r w:rsidRPr="000D0380">
              <w:rPr>
                <w:lang w:eastAsia="en-US"/>
              </w:rPr>
              <w:t>nozīmē 2171 atsevišķus dzīvokļus, vai 2171 daudzdzīvokļu mājas? Vēršam uzmanību, ka termins ‘mājsaimniecība’ runājot par mājokli parasti ietver atsevišķas ģimenes nedalīti apdzīvotu telpu kopumu- dzīvokli vai individuālo dzīvojamo māju. Ja tomēr Finanšu ministrija uzstāj uz terminu “daudzdzīvokļu mājsaimniecība”, lūdzam to skaidrot, kā arī norādīt uz faktiem, kas apliecina, ka viena mājsaimniecība apdzīvo daudzus dzīvokļus.</w:t>
            </w:r>
          </w:p>
        </w:tc>
        <w:tc>
          <w:tcPr>
            <w:tcW w:w="2700" w:type="dxa"/>
            <w:tcBorders>
              <w:top w:val="single" w:sz="4" w:space="0" w:color="auto"/>
              <w:left w:val="single" w:sz="4" w:space="0" w:color="auto"/>
              <w:bottom w:val="single" w:sz="4" w:space="0" w:color="auto"/>
              <w:right w:val="single" w:sz="4" w:space="0" w:color="auto"/>
            </w:tcBorders>
          </w:tcPr>
          <w:p w14:paraId="6400034F" w14:textId="2B3B064F" w:rsidR="001F6820" w:rsidRPr="000D0380" w:rsidRDefault="001F6820" w:rsidP="002334C2">
            <w:pPr>
              <w:jc w:val="both"/>
              <w:rPr>
                <w:b/>
                <w:lang w:eastAsia="en-US"/>
              </w:rPr>
            </w:pPr>
            <w:r w:rsidRPr="000D0380">
              <w:rPr>
                <w:b/>
                <w:lang w:eastAsia="en-US"/>
              </w:rPr>
              <w:t>Ņemts vērā</w:t>
            </w:r>
            <w:r w:rsidR="00294E10">
              <w:rPr>
                <w:b/>
                <w:lang w:eastAsia="en-US"/>
              </w:rPr>
              <w:t>.</w:t>
            </w:r>
          </w:p>
          <w:p w14:paraId="75284CCE" w14:textId="0183239C" w:rsidR="001F6820" w:rsidRDefault="001F6820" w:rsidP="002334C2">
            <w:pPr>
              <w:pStyle w:val="naisc"/>
              <w:jc w:val="both"/>
              <w:rPr>
                <w:szCs w:val="22"/>
                <w:lang w:eastAsia="en-US"/>
              </w:rPr>
            </w:pPr>
            <w:r w:rsidRPr="000D0380">
              <w:rPr>
                <w:szCs w:val="22"/>
                <w:lang w:eastAsia="en-US"/>
              </w:rPr>
              <w:t>Ilustrācijā ir veiks pre</w:t>
            </w:r>
            <w:r w:rsidR="00830810">
              <w:rPr>
                <w:szCs w:val="22"/>
                <w:lang w:eastAsia="en-US"/>
              </w:rPr>
              <w:t>cizējums – “2 171 mājsaimniecīb</w:t>
            </w:r>
            <w:r w:rsidR="00167FB1">
              <w:rPr>
                <w:szCs w:val="22"/>
                <w:lang w:eastAsia="en-US"/>
              </w:rPr>
              <w:t>ā</w:t>
            </w:r>
            <w:r w:rsidRPr="000D0380">
              <w:rPr>
                <w:szCs w:val="22"/>
                <w:lang w:eastAsia="en-US"/>
              </w:rPr>
              <w:t xml:space="preserve"> daudzīvokļu namos ir uzlabots enerģijas patēriņš”.</w:t>
            </w:r>
          </w:p>
          <w:p w14:paraId="27AA4F82" w14:textId="16000903" w:rsidR="002334C2" w:rsidRDefault="002334C2" w:rsidP="002334C2">
            <w:pPr>
              <w:jc w:val="both"/>
              <w:rPr>
                <w:lang w:eastAsia="en-US"/>
              </w:rPr>
            </w:pPr>
            <w:r>
              <w:rPr>
                <w:lang w:eastAsia="en-US"/>
              </w:rPr>
              <w:t xml:space="preserve">2 171 šajā gadījumā apzīmē 2 171 </w:t>
            </w:r>
            <w:r>
              <w:rPr>
                <w:u w:val="single"/>
                <w:lang w:eastAsia="en-US"/>
              </w:rPr>
              <w:t>atsevišķus mājokļus</w:t>
            </w:r>
            <w:r>
              <w:rPr>
                <w:lang w:eastAsia="en-US"/>
              </w:rPr>
              <w:t xml:space="preserve">. Ar terminu “mājsaimniecība” šeit tiek apzīmēts atsevišķas </w:t>
            </w:r>
            <w:r>
              <w:rPr>
                <w:lang w:eastAsia="en-US"/>
              </w:rPr>
              <w:lastRenderedPageBreak/>
              <w:t xml:space="preserve">ģimenes nedalīti </w:t>
            </w:r>
            <w:r w:rsidRPr="00167FB1">
              <w:rPr>
                <w:szCs w:val="22"/>
                <w:lang w:eastAsia="en-US"/>
              </w:rPr>
              <w:t>apdzīvots telpu kopums (</w:t>
            </w:r>
            <w:r w:rsidR="00167FB1">
              <w:rPr>
                <w:szCs w:val="22"/>
                <w:lang w:eastAsia="en-US"/>
              </w:rPr>
              <w:t>p</w:t>
            </w:r>
            <w:r w:rsidR="00167FB1" w:rsidRPr="00167FB1">
              <w:rPr>
                <w:szCs w:val="22"/>
                <w:lang w:eastAsia="en-US"/>
              </w:rPr>
              <w:t>rivātā mājsaimniecība (</w:t>
            </w:r>
            <w:r w:rsidR="00167FB1" w:rsidRPr="00167FB1">
              <w:rPr>
                <w:szCs w:val="22"/>
                <w:u w:val="single"/>
                <w:lang w:eastAsia="en-US"/>
              </w:rPr>
              <w:t>mājsaimniecība</w:t>
            </w:r>
            <w:r w:rsidR="00167FB1" w:rsidRPr="00167FB1">
              <w:rPr>
                <w:szCs w:val="22"/>
                <w:lang w:eastAsia="en-US"/>
              </w:rPr>
              <w:t xml:space="preserve">) ir vairākas personas, kuras dzīvo vienā </w:t>
            </w:r>
            <w:r w:rsidR="00167FB1" w:rsidRPr="00167FB1">
              <w:rPr>
                <w:szCs w:val="22"/>
                <w:u w:val="single"/>
                <w:lang w:eastAsia="en-US"/>
              </w:rPr>
              <w:t>mājoklī</w:t>
            </w:r>
            <w:r w:rsidR="00167FB1" w:rsidRPr="00167FB1">
              <w:rPr>
                <w:szCs w:val="22"/>
                <w:lang w:eastAsia="en-US"/>
              </w:rPr>
              <w:t xml:space="preserve"> un kopīgi sedz izdevumus, vai viena persona, kura saimnieko atsevišķi, skatīt</w:t>
            </w:r>
            <w:r w:rsidR="00167FB1">
              <w:t xml:space="preserve"> </w:t>
            </w:r>
            <w:hyperlink r:id="rId9" w:history="1">
              <w:r>
                <w:rPr>
                  <w:rStyle w:val="Hyperlink"/>
                  <w:lang w:eastAsia="en-US"/>
                </w:rPr>
                <w:t>https://www.csb.gov.lv/lv/statistika/statistikas-temas/socialie-procesi/mba/tabulas/metadati-majsaimniecibu-budzets-un-paterina-izdevumi</w:t>
              </w:r>
            </w:hyperlink>
            <w:r w:rsidRPr="004F5BED">
              <w:rPr>
                <w:lang w:eastAsia="en-US"/>
              </w:rPr>
              <w:t>).</w:t>
            </w:r>
          </w:p>
          <w:p w14:paraId="5498CBB5" w14:textId="124ED404" w:rsidR="002334C2" w:rsidRPr="000D0380" w:rsidRDefault="002334C2" w:rsidP="002334C2">
            <w:pPr>
              <w:pStyle w:val="naisc"/>
              <w:jc w:val="both"/>
              <w:rPr>
                <w:b/>
                <w:lang w:eastAsia="en-US"/>
              </w:rPr>
            </w:pPr>
          </w:p>
        </w:tc>
        <w:tc>
          <w:tcPr>
            <w:tcW w:w="2259" w:type="dxa"/>
            <w:tcBorders>
              <w:top w:val="single" w:sz="4" w:space="0" w:color="auto"/>
              <w:left w:val="single" w:sz="4" w:space="0" w:color="auto"/>
              <w:bottom w:val="single" w:sz="4" w:space="0" w:color="auto"/>
              <w:right w:val="single" w:sz="4" w:space="0" w:color="auto"/>
            </w:tcBorders>
          </w:tcPr>
          <w:p w14:paraId="60560C19" w14:textId="1FE891AD" w:rsidR="001F6820" w:rsidRPr="000D0380" w:rsidRDefault="001F6820" w:rsidP="00073213">
            <w:pPr>
              <w:pStyle w:val="Default"/>
              <w:jc w:val="both"/>
              <w:rPr>
                <w:color w:val="auto"/>
              </w:rPr>
            </w:pPr>
            <w:r w:rsidRPr="000D0380">
              <w:lastRenderedPageBreak/>
              <w:t xml:space="preserve">Skatīt </w:t>
            </w:r>
            <w:r w:rsidR="00BB27C8">
              <w:t xml:space="preserve">precizētu </w:t>
            </w:r>
            <w:r w:rsidR="00206207" w:rsidRPr="000D0380">
              <w:t xml:space="preserve">informatīvā ziņojuma </w:t>
            </w:r>
            <w:r w:rsidRPr="000D0380">
              <w:t>ilustrāciju</w:t>
            </w:r>
            <w:r w:rsidR="00206207" w:rsidRPr="000D0380">
              <w:t xml:space="preserve"> Nr.3</w:t>
            </w:r>
            <w:r w:rsidR="00596E72">
              <w:t>.</w:t>
            </w:r>
          </w:p>
          <w:p w14:paraId="04CBBD51" w14:textId="77777777" w:rsidR="001F6820" w:rsidRPr="000D0380" w:rsidRDefault="001F6820" w:rsidP="00073213">
            <w:pPr>
              <w:pStyle w:val="Default"/>
              <w:jc w:val="both"/>
            </w:pPr>
          </w:p>
        </w:tc>
      </w:tr>
      <w:tr w:rsidR="00FC335F" w:rsidRPr="000D0380" w14:paraId="3A2C2CFB" w14:textId="77777777" w:rsidTr="006C2AE0">
        <w:trPr>
          <w:trHeight w:val="699"/>
        </w:trPr>
        <w:tc>
          <w:tcPr>
            <w:tcW w:w="988" w:type="dxa"/>
            <w:tcBorders>
              <w:top w:val="single" w:sz="4" w:space="0" w:color="auto"/>
              <w:left w:val="single" w:sz="4" w:space="0" w:color="auto"/>
              <w:bottom w:val="single" w:sz="4" w:space="0" w:color="auto"/>
              <w:right w:val="single" w:sz="4" w:space="0" w:color="auto"/>
            </w:tcBorders>
          </w:tcPr>
          <w:p w14:paraId="5C0360B5" w14:textId="77777777" w:rsidR="00FC335F" w:rsidRPr="000D0380" w:rsidRDefault="00FC335F" w:rsidP="00073213">
            <w:pPr>
              <w:pStyle w:val="naisc"/>
              <w:numPr>
                <w:ilvl w:val="0"/>
                <w:numId w:val="4"/>
              </w:numPr>
              <w:tabs>
                <w:tab w:val="left" w:pos="360"/>
              </w:tabs>
              <w:spacing w:before="0" w:after="0"/>
              <w:jc w:val="both"/>
              <w:rPr>
                <w:lang w:eastAsia="en-US"/>
              </w:rPr>
            </w:pPr>
          </w:p>
        </w:tc>
        <w:tc>
          <w:tcPr>
            <w:tcW w:w="2697" w:type="dxa"/>
            <w:tcBorders>
              <w:top w:val="single" w:sz="4" w:space="0" w:color="auto"/>
              <w:left w:val="single" w:sz="4" w:space="0" w:color="auto"/>
              <w:right w:val="single" w:sz="4" w:space="0" w:color="auto"/>
            </w:tcBorders>
          </w:tcPr>
          <w:p w14:paraId="08A1EB81" w14:textId="46F60CA5" w:rsidR="00FC335F" w:rsidRPr="000D0380" w:rsidRDefault="00FC335F" w:rsidP="00073213">
            <w:pPr>
              <w:jc w:val="both"/>
              <w:rPr>
                <w:rFonts w:eastAsiaTheme="minorHAnsi"/>
                <w:lang w:eastAsia="en-US"/>
              </w:rPr>
            </w:pPr>
            <w:r w:rsidRPr="000D0380">
              <w:rPr>
                <w:iCs/>
              </w:rPr>
              <w:t>Informatīvā ziņojuma 4.</w:t>
            </w:r>
            <w:r w:rsidR="00A8203A">
              <w:rPr>
                <w:iCs/>
              </w:rPr>
              <w:t> </w:t>
            </w:r>
            <w:r w:rsidRPr="000D0380">
              <w:rPr>
                <w:iCs/>
              </w:rPr>
              <w:t>sadaļa “2014. - 2020. gada plānošanas perioda ES fondu investīciju aktualitātes”</w:t>
            </w:r>
            <w:r w:rsidR="00A8203A">
              <w:rPr>
                <w:iCs/>
              </w:rPr>
              <w:t>.</w:t>
            </w:r>
          </w:p>
        </w:tc>
        <w:tc>
          <w:tcPr>
            <w:tcW w:w="6660" w:type="dxa"/>
            <w:tcBorders>
              <w:top w:val="single" w:sz="4" w:space="0" w:color="auto"/>
              <w:left w:val="single" w:sz="4" w:space="0" w:color="auto"/>
              <w:right w:val="single" w:sz="4" w:space="0" w:color="auto"/>
            </w:tcBorders>
          </w:tcPr>
          <w:p w14:paraId="4A037229" w14:textId="10A72377" w:rsidR="00FC335F" w:rsidRPr="000D0380" w:rsidRDefault="00FC335F" w:rsidP="00073213">
            <w:pPr>
              <w:jc w:val="both"/>
              <w:rPr>
                <w:b/>
                <w:iCs/>
              </w:rPr>
            </w:pPr>
            <w:r w:rsidRPr="000D0380">
              <w:rPr>
                <w:b/>
                <w:iCs/>
              </w:rPr>
              <w:t>Priekšlikums</w:t>
            </w:r>
          </w:p>
          <w:p w14:paraId="6A308AB3" w14:textId="77777777" w:rsidR="00F70604" w:rsidRDefault="00F70604" w:rsidP="00073213">
            <w:pPr>
              <w:widowControl w:val="0"/>
              <w:jc w:val="both"/>
              <w:rPr>
                <w:b/>
                <w:iCs/>
              </w:rPr>
            </w:pPr>
            <w:r w:rsidRPr="000D0380">
              <w:rPr>
                <w:b/>
                <w:iCs/>
              </w:rPr>
              <w:t>Vides aizsardzības un reģionālās attīstības ministrija</w:t>
            </w:r>
            <w:r>
              <w:rPr>
                <w:b/>
                <w:iCs/>
              </w:rPr>
              <w:t xml:space="preserve"> </w:t>
            </w:r>
          </w:p>
          <w:p w14:paraId="46D46EFB" w14:textId="3F6393F9" w:rsidR="00FC335F" w:rsidRPr="000D0380" w:rsidRDefault="00FC335F" w:rsidP="00073213">
            <w:pPr>
              <w:widowControl w:val="0"/>
              <w:jc w:val="both"/>
              <w:rPr>
                <w:b/>
                <w:lang w:eastAsia="en-US"/>
              </w:rPr>
            </w:pPr>
            <w:r w:rsidRPr="000D0380">
              <w:rPr>
                <w:iCs/>
              </w:rPr>
              <w:t xml:space="preserve">Lūdzam papildināt informatīvā ziņojuma 4.sadaļā “2014. - 2020. gada plānošanas perioda ES fondu investīciju aktualitātes” (18.lpp.) norādīto informāciju, kas sniegta par par ūdenssaimniecības pabeigtajiem projektiem Olainē un Rojā, norādot tajos uzlaboto notekūdeņu attīrīšanas sistēmu apkalpoto iedzīvotāju skaita pieaugumu par 188 iedzīvotājiem. Tā kā ūdenssaimniecības projektos Iznākuma rādītāja vērtību skaita ne tikai pabeigtiem projektiem, bet arī pabeigtiem būvdarbu posmiem, lūdzam papildus norādīt, ka </w:t>
            </w:r>
            <w:r w:rsidRPr="000D0380">
              <w:rPr>
                <w:i/>
                <w:iCs/>
              </w:rPr>
              <w:t>“Kopumā līdz 2019.gada beigām projektu ietvaros nodrošināta mājsaimniecību pieslēgumu izbūve centralizētajiem kanalizācijas tīkliem 4256 iedzīvotājiem”;</w:t>
            </w:r>
          </w:p>
        </w:tc>
        <w:tc>
          <w:tcPr>
            <w:tcW w:w="2700" w:type="dxa"/>
            <w:tcBorders>
              <w:top w:val="single" w:sz="4" w:space="0" w:color="auto"/>
              <w:left w:val="single" w:sz="4" w:space="0" w:color="auto"/>
              <w:right w:val="single" w:sz="4" w:space="0" w:color="auto"/>
            </w:tcBorders>
          </w:tcPr>
          <w:p w14:paraId="5EB27916" w14:textId="07405543" w:rsidR="00FC335F" w:rsidRPr="007B041C" w:rsidRDefault="00FC335F" w:rsidP="007B041C">
            <w:pPr>
              <w:pStyle w:val="naisc"/>
              <w:spacing w:before="0" w:after="0"/>
              <w:jc w:val="both"/>
              <w:rPr>
                <w:lang w:eastAsia="en-US"/>
              </w:rPr>
            </w:pPr>
            <w:r w:rsidRPr="000D0380">
              <w:rPr>
                <w:b/>
                <w:lang w:eastAsia="en-US"/>
              </w:rPr>
              <w:t>Ņemts vērā</w:t>
            </w:r>
            <w:r w:rsidR="007B041C">
              <w:rPr>
                <w:b/>
                <w:lang w:eastAsia="en-US"/>
              </w:rPr>
              <w:t xml:space="preserve"> </w:t>
            </w:r>
            <w:r w:rsidR="00A8203A">
              <w:rPr>
                <w:lang w:eastAsia="en-US"/>
              </w:rPr>
              <w:t xml:space="preserve"> pēc būtības ar </w:t>
            </w:r>
            <w:r w:rsidR="007B041C" w:rsidRPr="00BC5EE1">
              <w:rPr>
                <w:lang w:eastAsia="en-US"/>
              </w:rPr>
              <w:t xml:space="preserve">redakcionāliem precizējumiem. </w:t>
            </w:r>
            <w:r w:rsidRPr="000D0380">
              <w:rPr>
                <w:b/>
                <w:lang w:eastAsia="en-US"/>
              </w:rPr>
              <w:t xml:space="preserve"> </w:t>
            </w:r>
          </w:p>
        </w:tc>
        <w:tc>
          <w:tcPr>
            <w:tcW w:w="2259" w:type="dxa"/>
            <w:tcBorders>
              <w:top w:val="single" w:sz="4" w:space="0" w:color="auto"/>
              <w:left w:val="single" w:sz="4" w:space="0" w:color="auto"/>
              <w:right w:val="single" w:sz="4" w:space="0" w:color="auto"/>
            </w:tcBorders>
          </w:tcPr>
          <w:p w14:paraId="7FDC1C07" w14:textId="515CE494" w:rsidR="00FC335F" w:rsidRPr="000D0380" w:rsidRDefault="00BB27C8" w:rsidP="00F705AD">
            <w:pPr>
              <w:pStyle w:val="Default"/>
              <w:jc w:val="both"/>
            </w:pPr>
            <w:r w:rsidRPr="000D0380">
              <w:t>Skatīt precizē</w:t>
            </w:r>
            <w:r>
              <w:t>tu i</w:t>
            </w:r>
            <w:r w:rsidRPr="000D0380">
              <w:t>nformatīvā ziņojuma</w:t>
            </w:r>
            <w:r>
              <w:t xml:space="preserve"> </w:t>
            </w:r>
            <w:r w:rsidRPr="000D0380">
              <w:rPr>
                <w:rFonts w:eastAsiaTheme="minorHAnsi"/>
              </w:rPr>
              <w:t>4.</w:t>
            </w:r>
            <w:r w:rsidR="00A8203A">
              <w:rPr>
                <w:rFonts w:eastAsiaTheme="minorHAnsi"/>
              </w:rPr>
              <w:t> </w:t>
            </w:r>
            <w:r w:rsidRPr="000D0380">
              <w:rPr>
                <w:rFonts w:eastAsiaTheme="minorHAnsi"/>
              </w:rPr>
              <w:t>sadaļ</w:t>
            </w:r>
            <w:r>
              <w:rPr>
                <w:rFonts w:eastAsiaTheme="minorHAnsi"/>
              </w:rPr>
              <w:t>u.</w:t>
            </w:r>
          </w:p>
        </w:tc>
      </w:tr>
      <w:tr w:rsidR="00FC335F" w:rsidRPr="000D0380" w14:paraId="653AE230" w14:textId="77777777" w:rsidTr="006C2AE0">
        <w:trPr>
          <w:trHeight w:val="699"/>
        </w:trPr>
        <w:tc>
          <w:tcPr>
            <w:tcW w:w="988" w:type="dxa"/>
            <w:tcBorders>
              <w:top w:val="single" w:sz="4" w:space="0" w:color="auto"/>
              <w:left w:val="single" w:sz="4" w:space="0" w:color="auto"/>
              <w:bottom w:val="single" w:sz="4" w:space="0" w:color="auto"/>
              <w:right w:val="single" w:sz="4" w:space="0" w:color="auto"/>
            </w:tcBorders>
          </w:tcPr>
          <w:p w14:paraId="62ACDDC7" w14:textId="77777777" w:rsidR="00FC335F" w:rsidRPr="000D0380" w:rsidRDefault="00FC335F" w:rsidP="00073213">
            <w:pPr>
              <w:pStyle w:val="naisc"/>
              <w:numPr>
                <w:ilvl w:val="0"/>
                <w:numId w:val="4"/>
              </w:numPr>
              <w:tabs>
                <w:tab w:val="left" w:pos="360"/>
              </w:tabs>
              <w:spacing w:before="0" w:after="0"/>
              <w:jc w:val="both"/>
              <w:rPr>
                <w:lang w:eastAsia="en-US"/>
              </w:rPr>
            </w:pPr>
          </w:p>
        </w:tc>
        <w:tc>
          <w:tcPr>
            <w:tcW w:w="2697" w:type="dxa"/>
            <w:tcBorders>
              <w:top w:val="single" w:sz="4" w:space="0" w:color="auto"/>
              <w:left w:val="single" w:sz="4" w:space="0" w:color="auto"/>
              <w:bottom w:val="single" w:sz="4" w:space="0" w:color="auto"/>
              <w:right w:val="single" w:sz="4" w:space="0" w:color="auto"/>
            </w:tcBorders>
          </w:tcPr>
          <w:p w14:paraId="1CC513EE" w14:textId="4625AB75" w:rsidR="00FC335F" w:rsidRPr="000D0380" w:rsidRDefault="00FC335F" w:rsidP="00073213">
            <w:pPr>
              <w:jc w:val="both"/>
              <w:rPr>
                <w:iCs/>
              </w:rPr>
            </w:pPr>
            <w:r w:rsidRPr="000D0380">
              <w:rPr>
                <w:rFonts w:eastAsiaTheme="minorHAnsi"/>
                <w:lang w:eastAsia="en-US"/>
              </w:rPr>
              <w:t>Informatīvā ziņojuma 4.</w:t>
            </w:r>
            <w:r w:rsidR="00A8203A">
              <w:rPr>
                <w:rFonts w:eastAsiaTheme="minorHAnsi"/>
                <w:lang w:eastAsia="en-US"/>
              </w:rPr>
              <w:t> </w:t>
            </w:r>
            <w:r w:rsidRPr="000D0380">
              <w:rPr>
                <w:rFonts w:eastAsiaTheme="minorHAnsi"/>
                <w:lang w:eastAsia="en-US"/>
              </w:rPr>
              <w:t>sadaļa “2014. - 2020. gada plānošanas perioda ES fondu investīciju aktualitātes”</w:t>
            </w:r>
            <w:r w:rsidR="00A8203A">
              <w:rPr>
                <w:rFonts w:eastAsiaTheme="minorHAnsi"/>
                <w:lang w:eastAsia="en-US"/>
              </w:rPr>
              <w:t>.</w:t>
            </w:r>
          </w:p>
        </w:tc>
        <w:tc>
          <w:tcPr>
            <w:tcW w:w="6660" w:type="dxa"/>
            <w:tcBorders>
              <w:top w:val="single" w:sz="4" w:space="0" w:color="auto"/>
              <w:left w:val="single" w:sz="4" w:space="0" w:color="auto"/>
              <w:bottom w:val="single" w:sz="4" w:space="0" w:color="auto"/>
              <w:right w:val="single" w:sz="4" w:space="0" w:color="auto"/>
            </w:tcBorders>
          </w:tcPr>
          <w:p w14:paraId="06451E58" w14:textId="77777777" w:rsidR="00FC335F" w:rsidRPr="000D0380" w:rsidRDefault="00FC335F" w:rsidP="00073213">
            <w:pPr>
              <w:widowControl w:val="0"/>
              <w:jc w:val="both"/>
              <w:rPr>
                <w:b/>
                <w:lang w:eastAsia="en-US"/>
              </w:rPr>
            </w:pPr>
            <w:r w:rsidRPr="000D0380">
              <w:rPr>
                <w:b/>
                <w:lang w:eastAsia="en-US"/>
              </w:rPr>
              <w:t>Priekšlikums</w:t>
            </w:r>
          </w:p>
          <w:p w14:paraId="24A9D7E8" w14:textId="77777777" w:rsidR="00FC335F" w:rsidRPr="000D0380" w:rsidRDefault="00FC335F" w:rsidP="00073213">
            <w:pPr>
              <w:widowControl w:val="0"/>
              <w:jc w:val="both"/>
              <w:rPr>
                <w:b/>
                <w:lang w:eastAsia="en-US"/>
              </w:rPr>
            </w:pPr>
            <w:r w:rsidRPr="000D0380">
              <w:rPr>
                <w:b/>
                <w:lang w:eastAsia="en-US"/>
              </w:rPr>
              <w:t>Satiksmes ministrija</w:t>
            </w:r>
          </w:p>
          <w:p w14:paraId="4F9A55DF" w14:textId="219312AB" w:rsidR="00FC335F" w:rsidRPr="000D0380" w:rsidRDefault="00FC335F" w:rsidP="00073213">
            <w:pPr>
              <w:jc w:val="both"/>
              <w:rPr>
                <w:b/>
                <w:iCs/>
              </w:rPr>
            </w:pPr>
            <w:r w:rsidRPr="000D0380">
              <w:rPr>
                <w:lang w:eastAsia="en-US"/>
              </w:rPr>
              <w:t>Lūdzam izvērtēt informatīvā ziņojuma projekta</w:t>
            </w:r>
            <w:r w:rsidR="00506992" w:rsidRPr="000D0380">
              <w:rPr>
                <w:lang w:eastAsia="en-US"/>
              </w:rPr>
              <w:t xml:space="preserve"> </w:t>
            </w:r>
            <w:r w:rsidRPr="000D0380">
              <w:rPr>
                <w:lang w:eastAsia="en-US"/>
              </w:rPr>
              <w:t>(17.lpp) ietvertās informācijas par Rēzeknē pārbūvētā kravu transporta maršruta ceļa posma garumu 1,7 km garumā, atbilstību Kohēzijas politikas fondu vadības informācijas sistēmā ietvertajai informācijai, kurā pārbūvētā ceļa posma garums norādīts 1.17 km apmērā.</w:t>
            </w:r>
          </w:p>
        </w:tc>
        <w:tc>
          <w:tcPr>
            <w:tcW w:w="2700" w:type="dxa"/>
            <w:tcBorders>
              <w:top w:val="single" w:sz="4" w:space="0" w:color="auto"/>
              <w:left w:val="single" w:sz="4" w:space="0" w:color="auto"/>
              <w:bottom w:val="single" w:sz="4" w:space="0" w:color="auto"/>
              <w:right w:val="single" w:sz="4" w:space="0" w:color="auto"/>
            </w:tcBorders>
          </w:tcPr>
          <w:p w14:paraId="2200B648" w14:textId="0D7C01FA" w:rsidR="00FC335F" w:rsidRPr="000D0380" w:rsidRDefault="00FC335F" w:rsidP="00073213">
            <w:pPr>
              <w:jc w:val="both"/>
              <w:rPr>
                <w:b/>
                <w:lang w:eastAsia="en-US"/>
              </w:rPr>
            </w:pPr>
            <w:r w:rsidRPr="000D0380">
              <w:rPr>
                <w:b/>
                <w:lang w:eastAsia="en-US"/>
              </w:rPr>
              <w:t>Ņemts vēra</w:t>
            </w:r>
            <w:r w:rsidR="00F705AD" w:rsidRPr="00BC5EE1">
              <w:rPr>
                <w:lang w:eastAsia="en-US"/>
              </w:rPr>
              <w:t xml:space="preserve"> pēc būtības ar redakcionāliem precizējumiem. </w:t>
            </w:r>
            <w:r w:rsidRPr="000D0380">
              <w:rPr>
                <w:b/>
                <w:lang w:eastAsia="en-US"/>
              </w:rPr>
              <w:t xml:space="preserve"> </w:t>
            </w:r>
          </w:p>
          <w:p w14:paraId="6EDD1FA1" w14:textId="51CFACE1" w:rsidR="00FC335F" w:rsidRPr="000D0380" w:rsidRDefault="00FC335F" w:rsidP="00073213">
            <w:pPr>
              <w:pStyle w:val="naisc"/>
              <w:spacing w:before="0" w:after="0"/>
              <w:jc w:val="both"/>
              <w:rPr>
                <w:b/>
                <w:lang w:eastAsia="en-US"/>
              </w:rPr>
            </w:pPr>
          </w:p>
        </w:tc>
        <w:tc>
          <w:tcPr>
            <w:tcW w:w="2259" w:type="dxa"/>
            <w:tcBorders>
              <w:top w:val="single" w:sz="4" w:space="0" w:color="auto"/>
              <w:left w:val="single" w:sz="4" w:space="0" w:color="auto"/>
              <w:bottom w:val="single" w:sz="4" w:space="0" w:color="auto"/>
              <w:right w:val="single" w:sz="4" w:space="0" w:color="auto"/>
            </w:tcBorders>
          </w:tcPr>
          <w:p w14:paraId="3413589A" w14:textId="72D12438" w:rsidR="00FC335F" w:rsidRPr="000D0380" w:rsidRDefault="00BB27C8" w:rsidP="00BB27C8">
            <w:pPr>
              <w:pStyle w:val="Default"/>
              <w:jc w:val="both"/>
            </w:pPr>
            <w:r w:rsidRPr="000D0380">
              <w:t>Skatīt precizē</w:t>
            </w:r>
            <w:r>
              <w:t>tu i</w:t>
            </w:r>
            <w:r w:rsidRPr="000D0380">
              <w:t>nformatīvā ziņojuma</w:t>
            </w:r>
            <w:r>
              <w:t xml:space="preserve"> </w:t>
            </w:r>
            <w:r w:rsidRPr="000D0380">
              <w:rPr>
                <w:rFonts w:eastAsiaTheme="minorHAnsi"/>
              </w:rPr>
              <w:t>4.</w:t>
            </w:r>
            <w:r w:rsidR="00A8203A">
              <w:rPr>
                <w:rFonts w:eastAsiaTheme="minorHAnsi"/>
              </w:rPr>
              <w:t> </w:t>
            </w:r>
            <w:r w:rsidRPr="000D0380">
              <w:rPr>
                <w:rFonts w:eastAsiaTheme="minorHAnsi"/>
              </w:rPr>
              <w:t>sadaļ</w:t>
            </w:r>
            <w:r>
              <w:rPr>
                <w:rFonts w:eastAsiaTheme="minorHAnsi"/>
              </w:rPr>
              <w:t>u.</w:t>
            </w:r>
          </w:p>
        </w:tc>
      </w:tr>
      <w:tr w:rsidR="00E237AC" w:rsidRPr="000D0380" w14:paraId="6518E68D" w14:textId="77777777" w:rsidTr="006C2AE0">
        <w:trPr>
          <w:trHeight w:val="699"/>
        </w:trPr>
        <w:tc>
          <w:tcPr>
            <w:tcW w:w="988" w:type="dxa"/>
            <w:tcBorders>
              <w:top w:val="single" w:sz="4" w:space="0" w:color="auto"/>
              <w:left w:val="single" w:sz="4" w:space="0" w:color="auto"/>
              <w:bottom w:val="single" w:sz="4" w:space="0" w:color="auto"/>
              <w:right w:val="single" w:sz="4" w:space="0" w:color="auto"/>
            </w:tcBorders>
          </w:tcPr>
          <w:p w14:paraId="7C8C49FF" w14:textId="77777777" w:rsidR="00E237AC" w:rsidRPr="000D0380" w:rsidRDefault="00E237AC" w:rsidP="00073213">
            <w:pPr>
              <w:pStyle w:val="naisc"/>
              <w:numPr>
                <w:ilvl w:val="0"/>
                <w:numId w:val="4"/>
              </w:numPr>
              <w:tabs>
                <w:tab w:val="left" w:pos="360"/>
              </w:tabs>
              <w:spacing w:before="0" w:after="0"/>
              <w:jc w:val="both"/>
              <w:rPr>
                <w:lang w:eastAsia="en-US"/>
              </w:rPr>
            </w:pPr>
          </w:p>
        </w:tc>
        <w:tc>
          <w:tcPr>
            <w:tcW w:w="2697" w:type="dxa"/>
            <w:tcBorders>
              <w:top w:val="single" w:sz="4" w:space="0" w:color="auto"/>
              <w:left w:val="single" w:sz="4" w:space="0" w:color="auto"/>
              <w:bottom w:val="single" w:sz="4" w:space="0" w:color="auto"/>
              <w:right w:val="single" w:sz="4" w:space="0" w:color="auto"/>
            </w:tcBorders>
          </w:tcPr>
          <w:p w14:paraId="2CFFB1E0" w14:textId="55C82B9A" w:rsidR="00E237AC" w:rsidRPr="000D0380" w:rsidRDefault="00E237AC" w:rsidP="00073213">
            <w:pPr>
              <w:jc w:val="both"/>
              <w:rPr>
                <w:rFonts w:eastAsiaTheme="minorHAnsi"/>
                <w:lang w:eastAsia="en-US"/>
              </w:rPr>
            </w:pPr>
            <w:r w:rsidRPr="000D0380">
              <w:rPr>
                <w:rFonts w:eastAsiaTheme="minorHAnsi"/>
                <w:lang w:eastAsia="en-US"/>
              </w:rPr>
              <w:t>Informatīvā ziņojuma 4.</w:t>
            </w:r>
            <w:r w:rsidR="00A8203A">
              <w:rPr>
                <w:rFonts w:eastAsiaTheme="minorHAnsi"/>
                <w:lang w:eastAsia="en-US"/>
              </w:rPr>
              <w:t> </w:t>
            </w:r>
            <w:r w:rsidRPr="000D0380">
              <w:rPr>
                <w:rFonts w:eastAsiaTheme="minorHAnsi"/>
                <w:lang w:eastAsia="en-US"/>
              </w:rPr>
              <w:t>sadaļa “2014. - 2020. gada plānošanas perioda ES fondu investīciju aktualitātes”</w:t>
            </w:r>
            <w:r w:rsidR="00A8203A">
              <w:rPr>
                <w:rFonts w:eastAsiaTheme="minorHAnsi"/>
                <w:lang w:eastAsia="en-US"/>
              </w:rPr>
              <w:t>.</w:t>
            </w:r>
          </w:p>
        </w:tc>
        <w:tc>
          <w:tcPr>
            <w:tcW w:w="6660" w:type="dxa"/>
            <w:tcBorders>
              <w:top w:val="single" w:sz="4" w:space="0" w:color="auto"/>
              <w:left w:val="single" w:sz="4" w:space="0" w:color="auto"/>
              <w:bottom w:val="single" w:sz="4" w:space="0" w:color="auto"/>
              <w:right w:val="single" w:sz="4" w:space="0" w:color="auto"/>
            </w:tcBorders>
          </w:tcPr>
          <w:p w14:paraId="7D9D9239" w14:textId="4F82AF91" w:rsidR="00E237AC" w:rsidRPr="000D0380" w:rsidRDefault="00E237AC" w:rsidP="00073213">
            <w:pPr>
              <w:widowControl w:val="0"/>
              <w:jc w:val="both"/>
              <w:rPr>
                <w:b/>
                <w:lang w:eastAsia="en-US"/>
              </w:rPr>
            </w:pPr>
            <w:r w:rsidRPr="000D0380">
              <w:rPr>
                <w:b/>
                <w:lang w:eastAsia="en-US"/>
              </w:rPr>
              <w:t>Iebildums</w:t>
            </w:r>
          </w:p>
          <w:p w14:paraId="20DCFAFC" w14:textId="55461B99" w:rsidR="00E237AC" w:rsidRPr="000D0380" w:rsidRDefault="00E237AC" w:rsidP="00073213">
            <w:pPr>
              <w:widowControl w:val="0"/>
              <w:jc w:val="both"/>
              <w:rPr>
                <w:b/>
                <w:lang w:eastAsia="en-US"/>
              </w:rPr>
            </w:pPr>
            <w:r w:rsidRPr="000D0380">
              <w:rPr>
                <w:b/>
                <w:lang w:eastAsia="en-US"/>
              </w:rPr>
              <w:t>Satiksmes ministrija</w:t>
            </w:r>
          </w:p>
          <w:p w14:paraId="6857AA20" w14:textId="58954C3E" w:rsidR="00E237AC" w:rsidRPr="000D0380" w:rsidRDefault="00E237AC" w:rsidP="00073213">
            <w:pPr>
              <w:widowControl w:val="0"/>
              <w:jc w:val="both"/>
              <w:rPr>
                <w:b/>
                <w:lang w:eastAsia="en-US"/>
              </w:rPr>
            </w:pPr>
            <w:r w:rsidRPr="000D0380">
              <w:rPr>
                <w:lang w:eastAsia="en-US"/>
              </w:rPr>
              <w:t>Ņemot vērā SM 2019.gada 15.novembra Finanšu ministrijai adresētā vēstulē Nr.10-01/3456 sniegto viedokli par izvērtējuma gala nodevumu, kurā norādīts, ka izvērtējuma gala nodevumu pēc būtības nevar uzskatīt par atbilstošu pamatmērķim un tas nevar kalpot par pamatu SM kā nozares ministrijai sakaru jomā lēmumu pieņemšanai un pasākumu īstenošanai turpmākajā platjoslas tīkla attīstībā, lūdzam svītrot informatīvā ziņojuma projekta (18.lpp) 5.punktā ietverto informāciju.</w:t>
            </w:r>
          </w:p>
        </w:tc>
        <w:tc>
          <w:tcPr>
            <w:tcW w:w="2700" w:type="dxa"/>
            <w:tcBorders>
              <w:top w:val="single" w:sz="4" w:space="0" w:color="auto"/>
              <w:left w:val="single" w:sz="4" w:space="0" w:color="auto"/>
              <w:bottom w:val="single" w:sz="4" w:space="0" w:color="auto"/>
              <w:right w:val="single" w:sz="4" w:space="0" w:color="auto"/>
            </w:tcBorders>
          </w:tcPr>
          <w:p w14:paraId="04D90D14" w14:textId="580C56D6" w:rsidR="006B7C96" w:rsidRPr="00A957C2" w:rsidRDefault="006B7C96" w:rsidP="00073213">
            <w:pPr>
              <w:pStyle w:val="naisc"/>
              <w:spacing w:before="0" w:after="0"/>
              <w:jc w:val="both"/>
              <w:rPr>
                <w:b/>
                <w:lang w:eastAsia="en-US"/>
              </w:rPr>
            </w:pPr>
            <w:r w:rsidRPr="006B7C96">
              <w:rPr>
                <w:b/>
                <w:lang w:eastAsia="en-US"/>
              </w:rPr>
              <w:t>Ņ</w:t>
            </w:r>
            <w:r w:rsidR="00E237AC" w:rsidRPr="006B7C96">
              <w:rPr>
                <w:b/>
                <w:lang w:eastAsia="en-US"/>
              </w:rPr>
              <w:t>emts vērā</w:t>
            </w:r>
            <w:r w:rsidR="00A957C2">
              <w:rPr>
                <w:b/>
                <w:lang w:eastAsia="en-US"/>
              </w:rPr>
              <w:t xml:space="preserve"> </w:t>
            </w:r>
            <w:r w:rsidRPr="006B7C96">
              <w:rPr>
                <w:lang w:eastAsia="en-US"/>
              </w:rPr>
              <w:t>pēc būtības</w:t>
            </w:r>
            <w:r w:rsidR="00294E10">
              <w:rPr>
                <w:lang w:eastAsia="en-US"/>
              </w:rPr>
              <w:t>.</w:t>
            </w:r>
            <w:r w:rsidRPr="006B7C96">
              <w:rPr>
                <w:lang w:eastAsia="en-US"/>
              </w:rPr>
              <w:t xml:space="preserve"> </w:t>
            </w:r>
            <w:r w:rsidR="00294E10">
              <w:rPr>
                <w:lang w:eastAsia="en-US"/>
              </w:rPr>
              <w:t>Z</w:t>
            </w:r>
            <w:r w:rsidR="00E237AC" w:rsidRPr="000D0380">
              <w:rPr>
                <w:lang w:eastAsia="en-US"/>
              </w:rPr>
              <w:t>iņojuma 4.</w:t>
            </w:r>
            <w:r w:rsidR="00A8203A">
              <w:rPr>
                <w:lang w:eastAsia="en-US"/>
              </w:rPr>
              <w:t> </w:t>
            </w:r>
            <w:r w:rsidR="00E237AC" w:rsidRPr="000D0380">
              <w:rPr>
                <w:lang w:eastAsia="en-US"/>
              </w:rPr>
              <w:t>sadaļ</w:t>
            </w:r>
            <w:r>
              <w:rPr>
                <w:lang w:eastAsia="en-US"/>
              </w:rPr>
              <w:t>ā</w:t>
            </w:r>
            <w:r w:rsidR="00E237AC" w:rsidRPr="000D0380">
              <w:rPr>
                <w:lang w:eastAsia="en-US"/>
              </w:rPr>
              <w:t xml:space="preserve"> </w:t>
            </w:r>
            <w:r w:rsidR="00506992" w:rsidRPr="000D0380">
              <w:rPr>
                <w:lang w:eastAsia="en-US"/>
              </w:rPr>
              <w:t>svītro</w:t>
            </w:r>
            <w:r>
              <w:rPr>
                <w:lang w:eastAsia="en-US"/>
              </w:rPr>
              <w:t>jot</w:t>
            </w:r>
            <w:r w:rsidR="00506992" w:rsidRPr="000D0380">
              <w:rPr>
                <w:lang w:eastAsia="en-US"/>
              </w:rPr>
              <w:t xml:space="preserve"> teikum</w:t>
            </w:r>
            <w:r>
              <w:rPr>
                <w:lang w:eastAsia="en-US"/>
              </w:rPr>
              <w:t>u</w:t>
            </w:r>
            <w:r w:rsidR="00506992" w:rsidRPr="000D0380">
              <w:rPr>
                <w:lang w:eastAsia="en-US"/>
              </w:rPr>
              <w:t xml:space="preserve">: </w:t>
            </w:r>
            <w:r w:rsidR="00E237AC" w:rsidRPr="000D0380">
              <w:rPr>
                <w:lang w:eastAsia="en-US"/>
              </w:rPr>
              <w:t>“To rezultātus AI izmantos ES fondu ieguldījumu efektivitātes analīzē un nākamā plānošanas</w:t>
            </w:r>
            <w:r w:rsidR="00A957C2">
              <w:rPr>
                <w:lang w:eastAsia="en-US"/>
              </w:rPr>
              <w:t xml:space="preserve"> perioda ieguldījumu plānošanā”</w:t>
            </w:r>
            <w:r w:rsidR="00E237AC" w:rsidRPr="000D0380">
              <w:rPr>
                <w:lang w:eastAsia="en-US"/>
              </w:rPr>
              <w:t>.</w:t>
            </w:r>
          </w:p>
          <w:p w14:paraId="394219E2" w14:textId="0BE3182D" w:rsidR="00E237AC" w:rsidRPr="000D0380" w:rsidRDefault="00E237AC" w:rsidP="00073213">
            <w:pPr>
              <w:pStyle w:val="naisc"/>
              <w:spacing w:before="0" w:after="0"/>
              <w:jc w:val="both"/>
              <w:rPr>
                <w:lang w:eastAsia="en-US"/>
              </w:rPr>
            </w:pPr>
            <w:r w:rsidRPr="000D0380">
              <w:rPr>
                <w:lang w:eastAsia="en-US"/>
              </w:rPr>
              <w:t>Vienlaikus skaidrojam, ka atbilstoši Satiksmes ministrijas 2019.</w:t>
            </w:r>
            <w:r w:rsidR="00A8203A">
              <w:rPr>
                <w:lang w:eastAsia="en-US"/>
              </w:rPr>
              <w:t> </w:t>
            </w:r>
            <w:r w:rsidRPr="000D0380">
              <w:rPr>
                <w:lang w:eastAsia="en-US"/>
              </w:rPr>
              <w:t>gada 15.</w:t>
            </w:r>
            <w:r w:rsidR="00A8203A">
              <w:rPr>
                <w:lang w:eastAsia="en-US"/>
              </w:rPr>
              <w:t> </w:t>
            </w:r>
            <w:r w:rsidRPr="000D0380">
              <w:rPr>
                <w:lang w:eastAsia="en-US"/>
              </w:rPr>
              <w:t>novembra vēstulei</w:t>
            </w:r>
            <w:r w:rsidR="00506992" w:rsidRPr="000D0380">
              <w:rPr>
                <w:lang w:eastAsia="en-US"/>
              </w:rPr>
              <w:t xml:space="preserve"> Nr.1001/3456, </w:t>
            </w:r>
            <w:r w:rsidR="000C5C6B">
              <w:rPr>
                <w:lang w:eastAsia="en-US"/>
              </w:rPr>
              <w:t>FM</w:t>
            </w:r>
            <w:r w:rsidRPr="000D0380">
              <w:rPr>
                <w:lang w:eastAsia="en-US"/>
              </w:rPr>
              <w:t xml:space="preserve"> ir iekļāvusi izvērtējuma gala nodevumā atsauci uz </w:t>
            </w:r>
            <w:r w:rsidR="006B7C96" w:rsidRPr="000D0380">
              <w:rPr>
                <w:lang w:eastAsia="en-US"/>
              </w:rPr>
              <w:t xml:space="preserve">Satiksmes ministrijas </w:t>
            </w:r>
            <w:r w:rsidRPr="000D0380">
              <w:rPr>
                <w:lang w:eastAsia="en-US"/>
              </w:rPr>
              <w:t xml:space="preserve">viedokli (11.lpp), kas ir publicēts tīmekļa vietnē </w:t>
            </w:r>
            <w:hyperlink r:id="rId10" w:history="1">
              <w:r w:rsidR="00A957C2" w:rsidRPr="00091E3D">
                <w:rPr>
                  <w:rStyle w:val="Hyperlink"/>
                  <w:lang w:eastAsia="en-US"/>
                </w:rPr>
                <w:t>https://komitejas.esfondi.lv/KIDG/</w:t>
              </w:r>
            </w:hyperlink>
            <w:r w:rsidRPr="000D0380">
              <w:rPr>
                <w:rStyle w:val="FootnoteReference"/>
                <w:lang w:eastAsia="en-US"/>
              </w:rPr>
              <w:footnoteReference w:id="3"/>
            </w:r>
            <w:r w:rsidRPr="000D0380">
              <w:rPr>
                <w:lang w:eastAsia="en-US"/>
              </w:rPr>
              <w:t xml:space="preserve">. </w:t>
            </w:r>
          </w:p>
          <w:p w14:paraId="06267FF8" w14:textId="4482DD48" w:rsidR="00E237AC" w:rsidRPr="00BF6AF0" w:rsidRDefault="00E237AC" w:rsidP="00BF6AF0">
            <w:pPr>
              <w:pStyle w:val="naisc"/>
              <w:spacing w:before="0" w:after="0"/>
              <w:jc w:val="both"/>
              <w:rPr>
                <w:lang w:eastAsia="en-US"/>
              </w:rPr>
            </w:pPr>
            <w:r w:rsidRPr="000D0380">
              <w:rPr>
                <w:lang w:eastAsia="en-US"/>
              </w:rPr>
              <w:t xml:space="preserve">Atbilstoši MK noteikumiem “Kārtība, kādā publiska persona </w:t>
            </w:r>
            <w:r w:rsidRPr="000D0380">
              <w:rPr>
                <w:lang w:eastAsia="en-US"/>
              </w:rPr>
              <w:lastRenderedPageBreak/>
              <w:t>pasūta pētījumus”</w:t>
            </w:r>
            <w:r w:rsidR="00506992" w:rsidRPr="000D0380">
              <w:rPr>
                <w:lang w:eastAsia="en-US"/>
              </w:rPr>
              <w:t xml:space="preserve"> </w:t>
            </w:r>
            <w:r w:rsidRPr="000D0380">
              <w:rPr>
                <w:lang w:eastAsia="en-US"/>
              </w:rPr>
              <w:t>izvērtējuma gala nodevums ir publicēts pasūtītāja mājaslapā un iesniegts PKC pētījumu datu bāzē</w:t>
            </w:r>
            <w:r w:rsidR="005E07DD">
              <w:rPr>
                <w:lang w:eastAsia="en-US"/>
              </w:rPr>
              <w:t xml:space="preserve"> (</w:t>
            </w:r>
            <w:r w:rsidR="005E07DD" w:rsidRPr="005E07DD">
              <w:rPr>
                <w:lang w:eastAsia="en-US"/>
              </w:rPr>
              <w:t>http://petijumi.mk.gov.lv/node/2964</w:t>
            </w:r>
            <w:r w:rsidR="005E07DD">
              <w:rPr>
                <w:lang w:eastAsia="en-US"/>
              </w:rPr>
              <w:t xml:space="preserve"> </w:t>
            </w:r>
            <w:r w:rsidR="005E07DD" w:rsidRPr="005E07DD">
              <w:rPr>
                <w:lang w:eastAsia="en-US"/>
              </w:rPr>
              <w:t>)</w:t>
            </w:r>
            <w:r w:rsidR="00BF6AF0">
              <w:rPr>
                <w:lang w:eastAsia="en-US"/>
              </w:rPr>
              <w:t>.</w:t>
            </w:r>
          </w:p>
        </w:tc>
        <w:tc>
          <w:tcPr>
            <w:tcW w:w="2259" w:type="dxa"/>
            <w:tcBorders>
              <w:top w:val="single" w:sz="4" w:space="0" w:color="auto"/>
              <w:left w:val="single" w:sz="4" w:space="0" w:color="auto"/>
              <w:bottom w:val="single" w:sz="4" w:space="0" w:color="auto"/>
              <w:right w:val="single" w:sz="4" w:space="0" w:color="auto"/>
            </w:tcBorders>
          </w:tcPr>
          <w:p w14:paraId="0E08079E" w14:textId="21A13851" w:rsidR="00E237AC" w:rsidRPr="000D0380" w:rsidRDefault="00BB27C8" w:rsidP="00F705AD">
            <w:pPr>
              <w:pStyle w:val="Default"/>
              <w:jc w:val="both"/>
            </w:pPr>
            <w:r w:rsidRPr="000D0380">
              <w:lastRenderedPageBreak/>
              <w:t>Skatīt precizē</w:t>
            </w:r>
            <w:r>
              <w:t>tu i</w:t>
            </w:r>
            <w:r w:rsidRPr="000D0380">
              <w:t>nformatīvā ziņojuma</w:t>
            </w:r>
            <w:r>
              <w:t xml:space="preserve"> </w:t>
            </w:r>
            <w:r w:rsidRPr="000D0380">
              <w:rPr>
                <w:rFonts w:eastAsiaTheme="minorHAnsi"/>
              </w:rPr>
              <w:t>4.</w:t>
            </w:r>
            <w:r w:rsidR="00A8203A">
              <w:rPr>
                <w:rFonts w:eastAsiaTheme="minorHAnsi"/>
              </w:rPr>
              <w:t> </w:t>
            </w:r>
            <w:r w:rsidRPr="000D0380">
              <w:rPr>
                <w:rFonts w:eastAsiaTheme="minorHAnsi"/>
              </w:rPr>
              <w:t>sadaļ</w:t>
            </w:r>
            <w:r>
              <w:rPr>
                <w:rFonts w:eastAsiaTheme="minorHAnsi"/>
              </w:rPr>
              <w:t>u.</w:t>
            </w:r>
          </w:p>
        </w:tc>
      </w:tr>
      <w:tr w:rsidR="00DF4B39" w:rsidRPr="000D0380" w14:paraId="7CE26B07" w14:textId="77777777" w:rsidTr="006C2AE0">
        <w:trPr>
          <w:trHeight w:val="699"/>
        </w:trPr>
        <w:tc>
          <w:tcPr>
            <w:tcW w:w="988" w:type="dxa"/>
            <w:tcBorders>
              <w:top w:val="single" w:sz="4" w:space="0" w:color="auto"/>
              <w:left w:val="single" w:sz="4" w:space="0" w:color="auto"/>
              <w:bottom w:val="single" w:sz="4" w:space="0" w:color="auto"/>
              <w:right w:val="single" w:sz="4" w:space="0" w:color="auto"/>
            </w:tcBorders>
          </w:tcPr>
          <w:p w14:paraId="58F83E09" w14:textId="77777777" w:rsidR="00DF4B39" w:rsidRPr="000D0380" w:rsidRDefault="00DF4B39" w:rsidP="00073213">
            <w:pPr>
              <w:pStyle w:val="naisc"/>
              <w:numPr>
                <w:ilvl w:val="0"/>
                <w:numId w:val="4"/>
              </w:numPr>
              <w:tabs>
                <w:tab w:val="left" w:pos="360"/>
              </w:tabs>
              <w:spacing w:before="0" w:after="0"/>
              <w:jc w:val="both"/>
              <w:rPr>
                <w:lang w:eastAsia="en-US"/>
              </w:rPr>
            </w:pPr>
          </w:p>
        </w:tc>
        <w:tc>
          <w:tcPr>
            <w:tcW w:w="2697" w:type="dxa"/>
            <w:tcBorders>
              <w:top w:val="single" w:sz="4" w:space="0" w:color="auto"/>
              <w:left w:val="single" w:sz="4" w:space="0" w:color="auto"/>
              <w:bottom w:val="single" w:sz="4" w:space="0" w:color="auto"/>
              <w:right w:val="single" w:sz="4" w:space="0" w:color="auto"/>
            </w:tcBorders>
          </w:tcPr>
          <w:p w14:paraId="4670D0C9" w14:textId="288407B3" w:rsidR="00DF4B39" w:rsidRPr="000D0380" w:rsidRDefault="00DF4B39" w:rsidP="00073213">
            <w:pPr>
              <w:jc w:val="both"/>
              <w:rPr>
                <w:rFonts w:eastAsiaTheme="minorHAnsi"/>
                <w:lang w:eastAsia="en-US"/>
              </w:rPr>
            </w:pPr>
            <w:r w:rsidRPr="000D0380">
              <w:rPr>
                <w:rFonts w:eastAsiaTheme="minorHAnsi"/>
                <w:lang w:eastAsia="en-US"/>
              </w:rPr>
              <w:t>Informatīvā ziņojuma 4. sadaļas “2014-2020. gada plānošanas perioda ES fondu investīciju aktualitātes” apakšsadaļa “Projektu īstenošanas risku pārvaldība”.</w:t>
            </w:r>
          </w:p>
        </w:tc>
        <w:tc>
          <w:tcPr>
            <w:tcW w:w="6660" w:type="dxa"/>
            <w:tcBorders>
              <w:top w:val="single" w:sz="4" w:space="0" w:color="auto"/>
              <w:left w:val="single" w:sz="4" w:space="0" w:color="auto"/>
              <w:bottom w:val="single" w:sz="4" w:space="0" w:color="auto"/>
              <w:right w:val="single" w:sz="4" w:space="0" w:color="auto"/>
            </w:tcBorders>
          </w:tcPr>
          <w:p w14:paraId="0D9E68F4" w14:textId="222C91C8" w:rsidR="00DF4B39" w:rsidRPr="000D0380" w:rsidRDefault="00DF4B39" w:rsidP="00073213">
            <w:pPr>
              <w:widowControl w:val="0"/>
              <w:jc w:val="both"/>
              <w:rPr>
                <w:b/>
                <w:lang w:eastAsia="en-US"/>
              </w:rPr>
            </w:pPr>
            <w:r w:rsidRPr="000D0380">
              <w:rPr>
                <w:b/>
                <w:lang w:eastAsia="en-US"/>
              </w:rPr>
              <w:t>Priekšlikums</w:t>
            </w:r>
          </w:p>
          <w:p w14:paraId="6C28249C" w14:textId="54A9B555" w:rsidR="00DF4B39" w:rsidRPr="000D0380" w:rsidRDefault="00DF4B39" w:rsidP="00073213">
            <w:pPr>
              <w:widowControl w:val="0"/>
              <w:jc w:val="both"/>
              <w:rPr>
                <w:b/>
                <w:lang w:eastAsia="en-US"/>
              </w:rPr>
            </w:pPr>
            <w:r w:rsidRPr="000D0380">
              <w:rPr>
                <w:b/>
                <w:lang w:eastAsia="en-US"/>
              </w:rPr>
              <w:t>Latvijas Pašvaldību savienība</w:t>
            </w:r>
          </w:p>
          <w:p w14:paraId="5B11528E" w14:textId="77777777" w:rsidR="00DF4B39" w:rsidRPr="000D0380" w:rsidRDefault="00DF4B39" w:rsidP="00073213">
            <w:pPr>
              <w:jc w:val="both"/>
            </w:pPr>
            <w:r w:rsidRPr="000D0380">
              <w:t>Informatīvā ziņojuma sadaļā “Projektu īstenošanas risku pārvaldība” (19.lpp) ir sniegta informācija, ka projektu iesniedzējiem ir neskaidrības par valsts atbalsta kumulācijas (apvienošanas) normu pareizu piemērošanu un dubultā finansējuma nepieļaušanu. Piemēram, pretendējot uz atbalstu, netiek sniegta pilnīga informācija par citiem, saistītajiem projektiem un sniegto atbalstu, kā rezultātā varētu iestāties “pārkompensācijas risks” par vienām un tām pašām izmaksām vai ierobežojumu pārsniegums. Tāpat tiek minēts, ka projektu iesniedzējiem joprojām nav pietiekama izpratne par pamatnosacījumiem, uz kādiem tiek izsniegts valsts atbalsts, t.i., statuss, grūtībās nonākuša uzņēmuma pazīmes, viena vienots uzņēmums. Ņemot vērā šos riskus, lūdzam Ministru kabineta rīkojuma projektu papildināt ar jaunu uzdevumu šādā redakcijā:</w:t>
            </w:r>
          </w:p>
          <w:p w14:paraId="71068FF9" w14:textId="4299025A" w:rsidR="00DF4B39" w:rsidRPr="000D0380" w:rsidRDefault="00DF4B39" w:rsidP="00073213">
            <w:pPr>
              <w:widowControl w:val="0"/>
              <w:jc w:val="both"/>
              <w:rPr>
                <w:b/>
                <w:lang w:eastAsia="en-US"/>
              </w:rPr>
            </w:pPr>
            <w:r w:rsidRPr="000D0380">
              <w:t>“Lai sniegtu atbalstu projektu ieviesējiem atbilstoši konsultē vispirms” principam, Centrālajai finanšu un līgumu aģentūrai sadarbībā ar kompetentām iestādēm nodrošināt projektu ieviesēju apmācību par valsts atbalsta kumulācijas (apvienošanas) normu pareizu piemērošanu un dubultā finansējuma nepieļaušanu, kā arī valsts atbalsta regulējumu.”</w:t>
            </w:r>
          </w:p>
        </w:tc>
        <w:tc>
          <w:tcPr>
            <w:tcW w:w="2700" w:type="dxa"/>
            <w:tcBorders>
              <w:top w:val="single" w:sz="4" w:space="0" w:color="auto"/>
              <w:left w:val="single" w:sz="4" w:space="0" w:color="auto"/>
              <w:bottom w:val="single" w:sz="4" w:space="0" w:color="auto"/>
              <w:right w:val="single" w:sz="4" w:space="0" w:color="auto"/>
            </w:tcBorders>
          </w:tcPr>
          <w:p w14:paraId="63B079A3" w14:textId="2EE0DDD5" w:rsidR="00DF4B39" w:rsidRPr="000D0380" w:rsidRDefault="004D4E50" w:rsidP="00073213">
            <w:pPr>
              <w:jc w:val="both"/>
              <w:rPr>
                <w:b/>
              </w:rPr>
            </w:pPr>
            <w:r>
              <w:rPr>
                <w:b/>
              </w:rPr>
              <w:t>Ņ</w:t>
            </w:r>
            <w:r w:rsidR="00BF4AA7">
              <w:rPr>
                <w:b/>
              </w:rPr>
              <w:t>em</w:t>
            </w:r>
            <w:r w:rsidR="00DF4B39" w:rsidRPr="000D0380">
              <w:rPr>
                <w:b/>
              </w:rPr>
              <w:t>ts vērā</w:t>
            </w:r>
            <w:r>
              <w:rPr>
                <w:b/>
              </w:rPr>
              <w:t xml:space="preserve"> </w:t>
            </w:r>
            <w:r w:rsidRPr="00BC5EE1">
              <w:rPr>
                <w:lang w:eastAsia="en-US"/>
              </w:rPr>
              <w:t xml:space="preserve"> </w:t>
            </w:r>
            <w:r w:rsidRPr="00294E10">
              <w:rPr>
                <w:lang w:eastAsia="en-US"/>
              </w:rPr>
              <w:t>pēc būtības.</w:t>
            </w:r>
            <w:r w:rsidRPr="00BC5EE1">
              <w:rPr>
                <w:lang w:eastAsia="en-US"/>
              </w:rPr>
              <w:t xml:space="preserve"> </w:t>
            </w:r>
          </w:p>
          <w:p w14:paraId="02FC1EB3" w14:textId="476CC3A3" w:rsidR="00DF4B39" w:rsidRPr="001835A8" w:rsidRDefault="00E02E17" w:rsidP="00073213">
            <w:pPr>
              <w:jc w:val="both"/>
              <w:rPr>
                <w:rFonts w:eastAsiaTheme="minorHAnsi"/>
                <w:lang w:eastAsia="en-US"/>
              </w:rPr>
            </w:pPr>
            <w:r>
              <w:rPr>
                <w:rFonts w:eastAsiaTheme="minorHAnsi"/>
                <w:lang w:eastAsia="en-US"/>
              </w:rPr>
              <w:t>A</w:t>
            </w:r>
            <w:r w:rsidRPr="000D0380">
              <w:rPr>
                <w:rFonts w:eastAsiaTheme="minorHAnsi"/>
                <w:lang w:eastAsia="en-US"/>
              </w:rPr>
              <w:t>pakšsadaļ</w:t>
            </w:r>
            <w:r>
              <w:rPr>
                <w:rFonts w:eastAsiaTheme="minorHAnsi"/>
                <w:lang w:eastAsia="en-US"/>
              </w:rPr>
              <w:t>ā</w:t>
            </w:r>
            <w:r w:rsidRPr="000D0380">
              <w:rPr>
                <w:rFonts w:eastAsiaTheme="minorHAnsi"/>
                <w:lang w:eastAsia="en-US"/>
              </w:rPr>
              <w:t xml:space="preserve"> “Projektu īstenošanas risku pārvaldība”</w:t>
            </w:r>
            <w:r>
              <w:rPr>
                <w:rFonts w:eastAsiaTheme="minorHAnsi"/>
                <w:lang w:eastAsia="en-US"/>
              </w:rPr>
              <w:t xml:space="preserve"> iekļauta papildu informācija par </w:t>
            </w:r>
            <w:r w:rsidR="00BF4AA7">
              <w:rPr>
                <w:rFonts w:eastAsiaTheme="minorHAnsi"/>
                <w:lang w:eastAsia="en-US"/>
              </w:rPr>
              <w:t>C</w:t>
            </w:r>
            <w:r w:rsidR="001835A8">
              <w:rPr>
                <w:rFonts w:eastAsiaTheme="minorHAnsi"/>
                <w:lang w:eastAsia="en-US"/>
              </w:rPr>
              <w:t>entrālās finanšu un līgumu aģentūras (</w:t>
            </w:r>
            <w:r>
              <w:rPr>
                <w:rFonts w:eastAsiaTheme="minorHAnsi"/>
                <w:lang w:eastAsia="en-US"/>
              </w:rPr>
              <w:t>CFLA</w:t>
            </w:r>
            <w:r w:rsidR="001835A8">
              <w:rPr>
                <w:rFonts w:eastAsiaTheme="minorHAnsi"/>
                <w:lang w:eastAsia="en-US"/>
              </w:rPr>
              <w:t>)</w:t>
            </w:r>
            <w:r w:rsidR="004D4E50">
              <w:rPr>
                <w:rFonts w:eastAsiaTheme="minorHAnsi"/>
                <w:lang w:eastAsia="en-US"/>
              </w:rPr>
              <w:t xml:space="preserve"> </w:t>
            </w:r>
            <w:r>
              <w:rPr>
                <w:rFonts w:eastAsiaTheme="minorHAnsi"/>
                <w:lang w:eastAsia="en-US"/>
              </w:rPr>
              <w:t>rīcību</w:t>
            </w:r>
            <w:r w:rsidRPr="000D0380">
              <w:rPr>
                <w:rFonts w:eastAsiaTheme="minorHAnsi"/>
                <w:lang w:eastAsia="en-US"/>
              </w:rPr>
              <w:t>.</w:t>
            </w:r>
            <w:r>
              <w:rPr>
                <w:rFonts w:eastAsiaTheme="minorHAnsi"/>
                <w:lang w:eastAsia="en-US"/>
              </w:rPr>
              <w:t xml:space="preserve"> </w:t>
            </w:r>
            <w:r w:rsidR="00DF4B39" w:rsidRPr="000D0380">
              <w:t xml:space="preserve">Skaidrojam, ka CFLA jau iepriekš Latvijas Pašvaldību savienībai ir </w:t>
            </w:r>
            <w:r w:rsidR="004D4E50">
              <w:t xml:space="preserve">organizējusi specifiskus </w:t>
            </w:r>
            <w:r w:rsidR="00DF4B39" w:rsidRPr="000D0380">
              <w:t>val</w:t>
            </w:r>
            <w:r w:rsidR="004D4E50">
              <w:t xml:space="preserve">sts atbalsta jautājumu seminārus, piemēram, </w:t>
            </w:r>
            <w:r w:rsidR="00DF4B39" w:rsidRPr="000D0380">
              <w:t>VARAM speciāl</w:t>
            </w:r>
            <w:r w:rsidR="00BF4AA7">
              <w:t>o</w:t>
            </w:r>
            <w:r w:rsidR="00DF4B39" w:rsidRPr="000D0380">
              <w:t xml:space="preserve"> </w:t>
            </w:r>
            <w:r w:rsidR="00A8203A">
              <w:t>atbalsta mērķu kontekstā (2018. </w:t>
            </w:r>
            <w:r w:rsidR="00DF4B39" w:rsidRPr="000D0380">
              <w:t>gadā), tāpat arī 2019.</w:t>
            </w:r>
            <w:r w:rsidR="00A8203A">
              <w:t> </w:t>
            </w:r>
            <w:r w:rsidR="00DF4B39" w:rsidRPr="000D0380">
              <w:t xml:space="preserve">gada rudenī CFLA labās prakses semināru cikla ietvaros, kas notika visos Latvijas reģionos (t.i., Vidzemē, Kurzemē, Latgalē, Zemgalē un Rīgā), tika iekļauta prezentācija arī par valsts </w:t>
            </w:r>
            <w:r w:rsidR="00DF4B39" w:rsidRPr="000D0380">
              <w:lastRenderedPageBreak/>
              <w:t xml:space="preserve">atbalsta jautājumiem ES fondos. </w:t>
            </w:r>
          </w:p>
          <w:p w14:paraId="23CE454F" w14:textId="6907A077" w:rsidR="00DF4B39" w:rsidRPr="000D0380" w:rsidRDefault="00DF4B39" w:rsidP="000F4A4B">
            <w:pPr>
              <w:pStyle w:val="naisc"/>
              <w:spacing w:before="0" w:after="0"/>
              <w:jc w:val="both"/>
              <w:rPr>
                <w:b/>
                <w:highlight w:val="yellow"/>
                <w:lang w:eastAsia="en-US"/>
              </w:rPr>
            </w:pPr>
            <w:r w:rsidRPr="000D0380">
              <w:t xml:space="preserve">CFLA arī turpmāk sadarbosies ar kompetentām iestādēm, t.sk. </w:t>
            </w:r>
            <w:r w:rsidR="000F4A4B">
              <w:t>FM</w:t>
            </w:r>
            <w:r w:rsidRPr="000D0380">
              <w:t xml:space="preserve"> Komercdarbības atbalsta kontroles departamentu, lai nodrošinātu projektu ieviesēju apmācību (kursus, seminārus, konsultācijas, rokasgrāmatas, publikācijas) par valsts atbalsta jautājumiem ES fondu līdzfinansētos projektos. </w:t>
            </w:r>
            <w:r w:rsidR="004D4E50">
              <w:t xml:space="preserve">CFLA minētajiem aktuālajiem riska jautājumiem īpaši pievērsīs uzmanību un fokusēs gan individuālu, gan plašāku interesentu grupu apmācību un konsultāciju pasākumus. </w:t>
            </w:r>
            <w:r w:rsidRPr="000D0380">
              <w:t>Ņemot vērā, ka atbalsta sniegšana projektu ieviesējiem tiek nodrošināta CFLA noteikto funkciju ietvaros,</w:t>
            </w:r>
            <w:r w:rsidR="00506992" w:rsidRPr="000D0380">
              <w:t xml:space="preserve"> </w:t>
            </w:r>
            <w:r w:rsidRPr="000D0380">
              <w:t>protokollēmuma</w:t>
            </w:r>
            <w:r w:rsidR="00E02E17">
              <w:t xml:space="preserve"> projekta</w:t>
            </w:r>
            <w:r w:rsidRPr="000D0380">
              <w:t xml:space="preserve"> papildināšana nav nepieciešama.</w:t>
            </w:r>
            <w:r w:rsidR="004D4E50">
              <w:t xml:space="preserve"> Aicinām </w:t>
            </w:r>
            <w:r w:rsidR="00771332">
              <w:t xml:space="preserve">arī </w:t>
            </w:r>
            <w:r w:rsidR="004D4E50">
              <w:t xml:space="preserve">vērsties CFLA tieši, tiklīdz </w:t>
            </w:r>
            <w:r w:rsidR="004D4E50">
              <w:lastRenderedPageBreak/>
              <w:t>nepieciešamas konsultācijas.</w:t>
            </w:r>
          </w:p>
        </w:tc>
        <w:tc>
          <w:tcPr>
            <w:tcW w:w="2259" w:type="dxa"/>
            <w:tcBorders>
              <w:top w:val="single" w:sz="4" w:space="0" w:color="auto"/>
              <w:left w:val="single" w:sz="4" w:space="0" w:color="auto"/>
              <w:bottom w:val="single" w:sz="4" w:space="0" w:color="auto"/>
              <w:right w:val="single" w:sz="4" w:space="0" w:color="auto"/>
            </w:tcBorders>
          </w:tcPr>
          <w:p w14:paraId="3B45B94C" w14:textId="39BCF3A1" w:rsidR="00DF4B39" w:rsidRPr="000D0380" w:rsidRDefault="004D4E50" w:rsidP="00BF4AA7">
            <w:pPr>
              <w:pStyle w:val="Default"/>
              <w:jc w:val="both"/>
            </w:pPr>
            <w:r w:rsidRPr="000D0380">
              <w:lastRenderedPageBreak/>
              <w:t>Skatīt precizē</w:t>
            </w:r>
            <w:r>
              <w:t>tu i</w:t>
            </w:r>
            <w:r w:rsidRPr="000D0380">
              <w:t>nformatīvā ziņojuma</w:t>
            </w:r>
            <w:r>
              <w:t xml:space="preserve"> </w:t>
            </w:r>
            <w:r w:rsidRPr="000D0380">
              <w:rPr>
                <w:rFonts w:eastAsiaTheme="minorHAnsi"/>
              </w:rPr>
              <w:t>4.</w:t>
            </w:r>
            <w:r w:rsidR="00A8203A">
              <w:rPr>
                <w:rFonts w:eastAsiaTheme="minorHAnsi"/>
              </w:rPr>
              <w:t> </w:t>
            </w:r>
            <w:r w:rsidRPr="000D0380">
              <w:rPr>
                <w:rFonts w:eastAsiaTheme="minorHAnsi"/>
              </w:rPr>
              <w:t>sadaļ</w:t>
            </w:r>
            <w:r>
              <w:rPr>
                <w:rFonts w:eastAsiaTheme="minorHAnsi"/>
              </w:rPr>
              <w:t>u.</w:t>
            </w:r>
          </w:p>
        </w:tc>
      </w:tr>
      <w:tr w:rsidR="0013210F" w:rsidRPr="000D0380" w14:paraId="44156BEB" w14:textId="77777777" w:rsidTr="006C2AE0">
        <w:trPr>
          <w:trHeight w:val="699"/>
        </w:trPr>
        <w:tc>
          <w:tcPr>
            <w:tcW w:w="988" w:type="dxa"/>
            <w:tcBorders>
              <w:top w:val="single" w:sz="4" w:space="0" w:color="auto"/>
              <w:left w:val="single" w:sz="4" w:space="0" w:color="auto"/>
              <w:bottom w:val="single" w:sz="4" w:space="0" w:color="auto"/>
              <w:right w:val="single" w:sz="4" w:space="0" w:color="auto"/>
            </w:tcBorders>
          </w:tcPr>
          <w:p w14:paraId="34EF5178" w14:textId="77777777" w:rsidR="0013210F" w:rsidRPr="000D0380" w:rsidRDefault="0013210F" w:rsidP="00073213">
            <w:pPr>
              <w:pStyle w:val="naisc"/>
              <w:numPr>
                <w:ilvl w:val="0"/>
                <w:numId w:val="4"/>
              </w:numPr>
              <w:tabs>
                <w:tab w:val="left" w:pos="360"/>
              </w:tabs>
              <w:spacing w:before="0" w:after="0"/>
              <w:jc w:val="both"/>
              <w:rPr>
                <w:lang w:eastAsia="en-US"/>
              </w:rPr>
            </w:pPr>
          </w:p>
        </w:tc>
        <w:tc>
          <w:tcPr>
            <w:tcW w:w="2697" w:type="dxa"/>
            <w:tcBorders>
              <w:top w:val="single" w:sz="4" w:space="0" w:color="auto"/>
              <w:left w:val="single" w:sz="4" w:space="0" w:color="auto"/>
              <w:bottom w:val="single" w:sz="4" w:space="0" w:color="auto"/>
              <w:right w:val="single" w:sz="4" w:space="0" w:color="auto"/>
            </w:tcBorders>
          </w:tcPr>
          <w:p w14:paraId="5C1529C8" w14:textId="4D082749" w:rsidR="0013210F" w:rsidRPr="000D0380" w:rsidRDefault="0013210F" w:rsidP="00596E72">
            <w:pPr>
              <w:jc w:val="both"/>
              <w:rPr>
                <w:rFonts w:eastAsiaTheme="minorHAnsi"/>
                <w:lang w:eastAsia="en-US"/>
              </w:rPr>
            </w:pPr>
            <w:r w:rsidRPr="000D0380">
              <w:rPr>
                <w:rFonts w:eastAsiaTheme="minorHAnsi"/>
                <w:lang w:eastAsia="en-US"/>
              </w:rPr>
              <w:t>Informatīvā ziņojuma 4.</w:t>
            </w:r>
            <w:r w:rsidR="00A8203A">
              <w:rPr>
                <w:rFonts w:eastAsiaTheme="minorHAnsi"/>
                <w:lang w:eastAsia="en-US"/>
              </w:rPr>
              <w:t> </w:t>
            </w:r>
            <w:r w:rsidRPr="000D0380">
              <w:rPr>
                <w:rFonts w:eastAsiaTheme="minorHAnsi"/>
                <w:lang w:eastAsia="en-US"/>
              </w:rPr>
              <w:t>sadaļa</w:t>
            </w:r>
            <w:r w:rsidR="0033054C">
              <w:rPr>
                <w:rFonts w:eastAsiaTheme="minorHAnsi"/>
                <w:lang w:eastAsia="en-US"/>
              </w:rPr>
              <w:t>s</w:t>
            </w:r>
            <w:r w:rsidR="00A8203A">
              <w:rPr>
                <w:rFonts w:eastAsiaTheme="minorHAnsi"/>
                <w:lang w:eastAsia="en-US"/>
              </w:rPr>
              <w:t xml:space="preserve"> “2014. - 2020. </w:t>
            </w:r>
            <w:r w:rsidRPr="000D0380">
              <w:rPr>
                <w:rFonts w:eastAsiaTheme="minorHAnsi"/>
                <w:lang w:eastAsia="en-US"/>
              </w:rPr>
              <w:t>gada plānošanas perioda ES fondu investīciju aktualitātes”</w:t>
            </w:r>
            <w:r w:rsidR="0033054C">
              <w:rPr>
                <w:rFonts w:eastAsiaTheme="minorHAnsi"/>
                <w:lang w:eastAsia="en-US"/>
              </w:rPr>
              <w:t xml:space="preserve"> </w:t>
            </w:r>
            <w:r w:rsidR="0033054C" w:rsidRPr="000D0380">
              <w:rPr>
                <w:rFonts w:eastAsiaTheme="minorHAnsi"/>
                <w:lang w:eastAsia="en-US"/>
              </w:rPr>
              <w:t>apakšsadaļa “Projektu īstenošanas risku pārvaldība”</w:t>
            </w:r>
            <w:r w:rsidR="00A8203A">
              <w:rPr>
                <w:rFonts w:eastAsiaTheme="minorHAnsi"/>
                <w:lang w:eastAsia="en-US"/>
              </w:rPr>
              <w:t>.</w:t>
            </w:r>
          </w:p>
        </w:tc>
        <w:tc>
          <w:tcPr>
            <w:tcW w:w="6660" w:type="dxa"/>
            <w:tcBorders>
              <w:top w:val="single" w:sz="4" w:space="0" w:color="auto"/>
              <w:left w:val="single" w:sz="4" w:space="0" w:color="auto"/>
              <w:bottom w:val="single" w:sz="4" w:space="0" w:color="auto"/>
              <w:right w:val="single" w:sz="4" w:space="0" w:color="auto"/>
            </w:tcBorders>
          </w:tcPr>
          <w:p w14:paraId="24762F7C" w14:textId="59F24E57" w:rsidR="00954E40" w:rsidRPr="000D0380" w:rsidRDefault="00954E40" w:rsidP="00073213">
            <w:pPr>
              <w:widowControl w:val="0"/>
              <w:jc w:val="both"/>
              <w:rPr>
                <w:b/>
                <w:lang w:eastAsia="en-US"/>
              </w:rPr>
            </w:pPr>
            <w:r w:rsidRPr="000D0380">
              <w:rPr>
                <w:b/>
                <w:lang w:eastAsia="en-US"/>
              </w:rPr>
              <w:t>Iebildums</w:t>
            </w:r>
          </w:p>
          <w:p w14:paraId="19B60422" w14:textId="76AB4B57" w:rsidR="0013210F" w:rsidRPr="000D0380" w:rsidRDefault="0013210F" w:rsidP="00073213">
            <w:pPr>
              <w:widowControl w:val="0"/>
              <w:jc w:val="both"/>
              <w:rPr>
                <w:b/>
                <w:lang w:eastAsia="en-US"/>
              </w:rPr>
            </w:pPr>
            <w:r w:rsidRPr="000D0380">
              <w:rPr>
                <w:b/>
                <w:lang w:eastAsia="en-US"/>
              </w:rPr>
              <w:t>Satiksmes ministrija</w:t>
            </w:r>
          </w:p>
          <w:p w14:paraId="32F0B88C" w14:textId="4C3DF8A2" w:rsidR="0013210F" w:rsidRPr="000D0380" w:rsidRDefault="0013210F" w:rsidP="0033054C">
            <w:pPr>
              <w:widowControl w:val="0"/>
              <w:jc w:val="both"/>
              <w:rPr>
                <w:b/>
                <w:lang w:eastAsia="en-US"/>
              </w:rPr>
            </w:pPr>
            <w:r w:rsidRPr="000D0380">
              <w:rPr>
                <w:lang w:eastAsia="en-US"/>
              </w:rPr>
              <w:t>Lai nodrošinātu aktuālas informācijas izsekojamību un pienākumus starp projekta īstenošanā iesaistītājiem, lūdzam Informatīvā ziņojuma projekta (20.lpp) pirmo rindkopu izteikt šādā redakcijā: “Operatīvā risku pārvaldībā aktuāls ir LDZ “lielais”</w:t>
            </w:r>
            <w:r w:rsidR="00506992" w:rsidRPr="000D0380">
              <w:rPr>
                <w:lang w:eastAsia="en-US"/>
              </w:rPr>
              <w:t xml:space="preserve"> </w:t>
            </w:r>
            <w:r w:rsidRPr="000D0380">
              <w:rPr>
                <w:lang w:eastAsia="en-US"/>
              </w:rPr>
              <w:t>projekts “Latvijas dzelzceļa tīkla elektrifikācija”</w:t>
            </w:r>
            <w:r w:rsidR="00506992" w:rsidRPr="000D0380">
              <w:rPr>
                <w:lang w:eastAsia="en-US"/>
              </w:rPr>
              <w:t xml:space="preserve"> </w:t>
            </w:r>
            <w:r w:rsidRPr="000D0380">
              <w:rPr>
                <w:lang w:eastAsia="en-US"/>
              </w:rPr>
              <w:t>- palielinājies risks projektu nepabeigt līdz plānošanas perioda attiecināmo izdevumu beigām (2023. gada 31. decembris)</w:t>
            </w:r>
            <w:r w:rsidR="00506992" w:rsidRPr="000D0380">
              <w:rPr>
                <w:lang w:eastAsia="en-US"/>
              </w:rPr>
              <w:t xml:space="preserve"> </w:t>
            </w:r>
            <w:r w:rsidRPr="000D0380">
              <w:rPr>
                <w:lang w:eastAsia="en-US"/>
              </w:rPr>
              <w:t>gan iepirkumu kavējumu, gan samazinoties pa dzelzceļu pārvadāto kravu apjomam, kas var ietekmēt LDZ finanšu situāciju. LDZ iepirkumu process ir ilgāks nekā LDZ plānoja. Tāpat arī LDZ ir identificējusi risku saistībā ar Rail Baltica projekta īstenošanu Rīgas Centrālajā stacijā, kas ietekmēs projekta pabeigšanas termiņu. Papildus, ņemot vērā pašreizējās un prognozējamās starptautisko kravu pārvadājumu tendences un to ietekmi uz LDZ saimnieciskās darbības efektivitāti, SM ir uzdevusi LDZ sagatavot analīzi un informāciju par līdzšinējo projekta progresu un turpmāko īstenošanu. Attiecīgi SM plāno informēt valdību par situāciju un LDZ kā projekta īstenotāja rīcību identificēto risku mazināšanai.”.</w:t>
            </w:r>
          </w:p>
        </w:tc>
        <w:tc>
          <w:tcPr>
            <w:tcW w:w="2700" w:type="dxa"/>
            <w:tcBorders>
              <w:top w:val="single" w:sz="4" w:space="0" w:color="auto"/>
              <w:left w:val="single" w:sz="4" w:space="0" w:color="auto"/>
              <w:bottom w:val="single" w:sz="4" w:space="0" w:color="auto"/>
              <w:right w:val="single" w:sz="4" w:space="0" w:color="auto"/>
            </w:tcBorders>
          </w:tcPr>
          <w:p w14:paraId="77496790" w14:textId="2C325A7C" w:rsidR="0033054C" w:rsidRPr="00FE1FB7" w:rsidRDefault="0013210F" w:rsidP="00FF4663">
            <w:pPr>
              <w:jc w:val="both"/>
              <w:rPr>
                <w:b/>
                <w:lang w:eastAsia="en-US"/>
              </w:rPr>
            </w:pPr>
            <w:r w:rsidRPr="000D0380">
              <w:rPr>
                <w:b/>
                <w:lang w:eastAsia="en-US"/>
              </w:rPr>
              <w:t>Ņemts vērā</w:t>
            </w:r>
            <w:r w:rsidR="00545ACC">
              <w:rPr>
                <w:b/>
                <w:lang w:eastAsia="en-US"/>
              </w:rPr>
              <w:t xml:space="preserve"> </w:t>
            </w:r>
            <w:r w:rsidR="00545ACC" w:rsidRPr="00BC5EE1">
              <w:rPr>
                <w:lang w:eastAsia="en-US"/>
              </w:rPr>
              <w:t xml:space="preserve"> pēc būtības a</w:t>
            </w:r>
            <w:r w:rsidR="00FF4663">
              <w:rPr>
                <w:lang w:eastAsia="en-US"/>
              </w:rPr>
              <w:t>r redakcionāliem precizējumiem un</w:t>
            </w:r>
            <w:r w:rsidR="0033054C">
              <w:rPr>
                <w:lang w:eastAsia="en-US"/>
              </w:rPr>
              <w:t>, papildinot to ar aktuālāko informāciju no VAS “Latvijas dz</w:t>
            </w:r>
            <w:r w:rsidR="00FF4663">
              <w:rPr>
                <w:lang w:eastAsia="en-US"/>
              </w:rPr>
              <w:t>elzceļš” projekta rīcības plāna.</w:t>
            </w:r>
          </w:p>
          <w:p w14:paraId="57E492FF" w14:textId="5AE4F57B" w:rsidR="0013210F" w:rsidRPr="000D0380" w:rsidRDefault="0013210F" w:rsidP="00073213">
            <w:pPr>
              <w:jc w:val="both"/>
              <w:rPr>
                <w:b/>
              </w:rPr>
            </w:pPr>
          </w:p>
        </w:tc>
        <w:tc>
          <w:tcPr>
            <w:tcW w:w="2259" w:type="dxa"/>
            <w:tcBorders>
              <w:top w:val="single" w:sz="4" w:space="0" w:color="auto"/>
              <w:left w:val="single" w:sz="4" w:space="0" w:color="auto"/>
              <w:bottom w:val="single" w:sz="4" w:space="0" w:color="auto"/>
              <w:right w:val="single" w:sz="4" w:space="0" w:color="auto"/>
            </w:tcBorders>
          </w:tcPr>
          <w:p w14:paraId="76E82D0E" w14:textId="12D8C4B6" w:rsidR="0013210F" w:rsidRPr="000D0380" w:rsidRDefault="00545ACC" w:rsidP="00596E72">
            <w:pPr>
              <w:pStyle w:val="Default"/>
              <w:jc w:val="both"/>
            </w:pPr>
            <w:r w:rsidRPr="000D0380">
              <w:t>Skatīt precizē</w:t>
            </w:r>
            <w:r>
              <w:t>tu i</w:t>
            </w:r>
            <w:r w:rsidRPr="000D0380">
              <w:t>nformatīvā ziņojuma</w:t>
            </w:r>
            <w:r>
              <w:t xml:space="preserve"> </w:t>
            </w:r>
            <w:r w:rsidRPr="000D0380">
              <w:rPr>
                <w:rFonts w:eastAsiaTheme="minorHAnsi"/>
              </w:rPr>
              <w:t>4.</w:t>
            </w:r>
            <w:r w:rsidR="00A8203A">
              <w:rPr>
                <w:rFonts w:eastAsiaTheme="minorHAnsi"/>
              </w:rPr>
              <w:t> </w:t>
            </w:r>
            <w:r w:rsidRPr="000D0380">
              <w:rPr>
                <w:rFonts w:eastAsiaTheme="minorHAnsi"/>
              </w:rPr>
              <w:t>sadaļ</w:t>
            </w:r>
            <w:r>
              <w:rPr>
                <w:rFonts w:eastAsiaTheme="minorHAnsi"/>
              </w:rPr>
              <w:t>u.</w:t>
            </w:r>
          </w:p>
        </w:tc>
      </w:tr>
      <w:tr w:rsidR="00CC0A1A" w:rsidRPr="000D0380" w14:paraId="3E517D95" w14:textId="77777777" w:rsidTr="006C2AE0">
        <w:trPr>
          <w:trHeight w:val="699"/>
        </w:trPr>
        <w:tc>
          <w:tcPr>
            <w:tcW w:w="988" w:type="dxa"/>
            <w:tcBorders>
              <w:top w:val="single" w:sz="4" w:space="0" w:color="auto"/>
              <w:left w:val="single" w:sz="4" w:space="0" w:color="auto"/>
              <w:bottom w:val="single" w:sz="4" w:space="0" w:color="auto"/>
              <w:right w:val="single" w:sz="4" w:space="0" w:color="auto"/>
            </w:tcBorders>
          </w:tcPr>
          <w:p w14:paraId="4C6CBCEF" w14:textId="77777777" w:rsidR="00CC0A1A" w:rsidRPr="000D0380" w:rsidRDefault="00CC0A1A" w:rsidP="00073213">
            <w:pPr>
              <w:pStyle w:val="naisc"/>
              <w:numPr>
                <w:ilvl w:val="0"/>
                <w:numId w:val="4"/>
              </w:numPr>
              <w:tabs>
                <w:tab w:val="left" w:pos="360"/>
              </w:tabs>
              <w:spacing w:before="0" w:after="0"/>
              <w:jc w:val="both"/>
              <w:rPr>
                <w:lang w:eastAsia="en-US"/>
              </w:rPr>
            </w:pPr>
          </w:p>
        </w:tc>
        <w:tc>
          <w:tcPr>
            <w:tcW w:w="2697" w:type="dxa"/>
            <w:tcBorders>
              <w:top w:val="single" w:sz="4" w:space="0" w:color="auto"/>
              <w:left w:val="single" w:sz="4" w:space="0" w:color="auto"/>
              <w:right w:val="single" w:sz="4" w:space="0" w:color="auto"/>
            </w:tcBorders>
          </w:tcPr>
          <w:p w14:paraId="0298F7A4" w14:textId="02EEDCA7" w:rsidR="00CC0A1A" w:rsidRPr="000D0380" w:rsidRDefault="00CC0A1A" w:rsidP="00596E72">
            <w:pPr>
              <w:jc w:val="both"/>
              <w:rPr>
                <w:rFonts w:eastAsiaTheme="minorHAnsi"/>
                <w:lang w:eastAsia="en-US"/>
              </w:rPr>
            </w:pPr>
            <w:r w:rsidRPr="000D0380">
              <w:rPr>
                <w:rFonts w:eastAsiaTheme="minorHAnsi"/>
                <w:lang w:eastAsia="en-US"/>
              </w:rPr>
              <w:t>Informatīvā ziņojuma 4.</w:t>
            </w:r>
            <w:r w:rsidR="00A8203A">
              <w:rPr>
                <w:rFonts w:eastAsiaTheme="minorHAnsi"/>
                <w:lang w:eastAsia="en-US"/>
              </w:rPr>
              <w:t> sadaļa “2014. - 2020. </w:t>
            </w:r>
            <w:r w:rsidRPr="000D0380">
              <w:rPr>
                <w:rFonts w:eastAsiaTheme="minorHAnsi"/>
                <w:lang w:eastAsia="en-US"/>
              </w:rPr>
              <w:t>gada plānošanas perioda ES fondu investīciju aktualitātes”</w:t>
            </w:r>
            <w:r w:rsidR="00055A08" w:rsidRPr="000D0380">
              <w:rPr>
                <w:rFonts w:eastAsiaTheme="minorHAnsi"/>
                <w:lang w:eastAsia="en-US"/>
              </w:rPr>
              <w:t xml:space="preserve"> apakšsadaļa “Projektu īstenošanas risku pārvaldība”.</w:t>
            </w:r>
          </w:p>
        </w:tc>
        <w:tc>
          <w:tcPr>
            <w:tcW w:w="6660" w:type="dxa"/>
            <w:tcBorders>
              <w:top w:val="single" w:sz="4" w:space="0" w:color="auto"/>
              <w:left w:val="single" w:sz="4" w:space="0" w:color="auto"/>
              <w:right w:val="single" w:sz="4" w:space="0" w:color="auto"/>
            </w:tcBorders>
          </w:tcPr>
          <w:p w14:paraId="005F4AE5" w14:textId="08DD0054" w:rsidR="00CC0A1A" w:rsidRPr="000D0380" w:rsidRDefault="00CC0A1A" w:rsidP="00073213">
            <w:pPr>
              <w:jc w:val="both"/>
              <w:rPr>
                <w:b/>
                <w:iCs/>
              </w:rPr>
            </w:pPr>
            <w:r w:rsidRPr="000D0380">
              <w:rPr>
                <w:b/>
                <w:iCs/>
              </w:rPr>
              <w:t>Priekšlikums</w:t>
            </w:r>
          </w:p>
          <w:p w14:paraId="6D979309" w14:textId="77777777" w:rsidR="00F70604" w:rsidRDefault="00F70604" w:rsidP="00073213">
            <w:pPr>
              <w:widowControl w:val="0"/>
              <w:jc w:val="both"/>
              <w:rPr>
                <w:b/>
                <w:iCs/>
              </w:rPr>
            </w:pPr>
            <w:r w:rsidRPr="000D0380">
              <w:rPr>
                <w:b/>
                <w:iCs/>
              </w:rPr>
              <w:t>Vides aizsardzības un reģionālās attīstības ministrija</w:t>
            </w:r>
            <w:r>
              <w:rPr>
                <w:b/>
                <w:iCs/>
              </w:rPr>
              <w:t xml:space="preserve"> </w:t>
            </w:r>
          </w:p>
          <w:p w14:paraId="416107C0" w14:textId="169BAF0F" w:rsidR="00CC0A1A" w:rsidRPr="000D0380" w:rsidRDefault="00CC0A1A" w:rsidP="00073213">
            <w:pPr>
              <w:widowControl w:val="0"/>
              <w:jc w:val="both"/>
              <w:rPr>
                <w:b/>
                <w:lang w:eastAsia="en-US"/>
              </w:rPr>
            </w:pPr>
            <w:r w:rsidRPr="000D0380">
              <w:rPr>
                <w:iCs/>
              </w:rPr>
              <w:t>Lūdzam precizēt informatīvā ziņojuma 4. sadaļas “2014. - 2020. gada plānošanas perioda ES fondu investīciju aktualitātes” apakšsadaļu “Projektu īstenošanas risku pārvaldība” (23.lpp), pārnesot</w:t>
            </w:r>
            <w:r w:rsidR="00506992" w:rsidRPr="000D0380">
              <w:rPr>
                <w:iCs/>
              </w:rPr>
              <w:t xml:space="preserve"> </w:t>
            </w:r>
            <w:r w:rsidRPr="000D0380">
              <w:rPr>
                <w:iCs/>
              </w:rPr>
              <w:t xml:space="preserve">vārdus “VARAM identificē šādus risku veicinošus faktorus:” jaunā rindkopā un izsakot šādā redakcijā </w:t>
            </w:r>
            <w:r w:rsidRPr="000D0380">
              <w:rPr>
                <w:i/>
                <w:iCs/>
              </w:rPr>
              <w:t>“Kopumā VARAM identificē šādus risku veicinošus faktorus:”;</w:t>
            </w:r>
          </w:p>
        </w:tc>
        <w:tc>
          <w:tcPr>
            <w:tcW w:w="2700" w:type="dxa"/>
            <w:tcBorders>
              <w:top w:val="single" w:sz="4" w:space="0" w:color="auto"/>
              <w:left w:val="single" w:sz="4" w:space="0" w:color="auto"/>
              <w:right w:val="single" w:sz="4" w:space="0" w:color="auto"/>
            </w:tcBorders>
          </w:tcPr>
          <w:p w14:paraId="51C9B955" w14:textId="4DBDE403" w:rsidR="00CC0A1A" w:rsidRPr="000D0380" w:rsidRDefault="00CC0A1A" w:rsidP="00073213">
            <w:pPr>
              <w:pStyle w:val="naisc"/>
              <w:spacing w:before="0" w:after="0"/>
              <w:jc w:val="both"/>
              <w:rPr>
                <w:color w:val="FF0000"/>
                <w:u w:val="single"/>
                <w:lang w:eastAsia="en-US"/>
              </w:rPr>
            </w:pPr>
            <w:r w:rsidRPr="000D0380">
              <w:rPr>
                <w:b/>
                <w:lang w:eastAsia="en-US"/>
              </w:rPr>
              <w:t>Ņemts vērā</w:t>
            </w:r>
            <w:r w:rsidR="00FF4663">
              <w:rPr>
                <w:b/>
                <w:lang w:eastAsia="en-US"/>
              </w:rPr>
              <w:t xml:space="preserve"> </w:t>
            </w:r>
            <w:r w:rsidR="00FF4663" w:rsidRPr="00BC5EE1">
              <w:rPr>
                <w:lang w:eastAsia="en-US"/>
              </w:rPr>
              <w:t xml:space="preserve"> pēc būtības a</w:t>
            </w:r>
            <w:r w:rsidR="00FF4663">
              <w:rPr>
                <w:lang w:eastAsia="en-US"/>
              </w:rPr>
              <w:t>r redakcionāliem precizējumiem</w:t>
            </w:r>
            <w:r w:rsidRPr="000D0380">
              <w:rPr>
                <w:b/>
                <w:lang w:eastAsia="en-US"/>
              </w:rPr>
              <w:t xml:space="preserve">. </w:t>
            </w:r>
          </w:p>
          <w:p w14:paraId="42731AEE" w14:textId="2E322403" w:rsidR="00CC0A1A" w:rsidRPr="000D0380" w:rsidRDefault="00CC0A1A" w:rsidP="00073213">
            <w:pPr>
              <w:pStyle w:val="naisc"/>
              <w:spacing w:before="0" w:after="0"/>
              <w:jc w:val="both"/>
              <w:rPr>
                <w:b/>
                <w:lang w:eastAsia="en-US"/>
              </w:rPr>
            </w:pPr>
          </w:p>
        </w:tc>
        <w:tc>
          <w:tcPr>
            <w:tcW w:w="2259" w:type="dxa"/>
            <w:tcBorders>
              <w:top w:val="single" w:sz="4" w:space="0" w:color="auto"/>
              <w:left w:val="single" w:sz="4" w:space="0" w:color="auto"/>
              <w:right w:val="single" w:sz="4" w:space="0" w:color="auto"/>
            </w:tcBorders>
          </w:tcPr>
          <w:p w14:paraId="54DD068F" w14:textId="3B7D8609" w:rsidR="00CC0A1A" w:rsidRPr="000D0380" w:rsidRDefault="00FF4663" w:rsidP="00596E72">
            <w:pPr>
              <w:pStyle w:val="Default"/>
              <w:jc w:val="both"/>
            </w:pPr>
            <w:r w:rsidRPr="000D0380">
              <w:t>Skatīt precizē</w:t>
            </w:r>
            <w:r>
              <w:t>tu i</w:t>
            </w:r>
            <w:r w:rsidRPr="000D0380">
              <w:t>nformatīvā ziņojuma</w:t>
            </w:r>
            <w:r>
              <w:t xml:space="preserve"> </w:t>
            </w:r>
            <w:r w:rsidRPr="000D0380">
              <w:rPr>
                <w:rFonts w:eastAsiaTheme="minorHAnsi"/>
              </w:rPr>
              <w:t>4.</w:t>
            </w:r>
            <w:r w:rsidR="00A8203A">
              <w:rPr>
                <w:rFonts w:eastAsiaTheme="minorHAnsi"/>
              </w:rPr>
              <w:t> </w:t>
            </w:r>
            <w:r w:rsidRPr="000D0380">
              <w:rPr>
                <w:rFonts w:eastAsiaTheme="minorHAnsi"/>
              </w:rPr>
              <w:t>sadaļ</w:t>
            </w:r>
            <w:r>
              <w:rPr>
                <w:rFonts w:eastAsiaTheme="minorHAnsi"/>
              </w:rPr>
              <w:t>u.</w:t>
            </w:r>
          </w:p>
        </w:tc>
      </w:tr>
      <w:tr w:rsidR="00CC0A1A" w:rsidRPr="000D0380" w14:paraId="28C96339" w14:textId="77777777" w:rsidTr="006C2AE0">
        <w:trPr>
          <w:trHeight w:val="699"/>
        </w:trPr>
        <w:tc>
          <w:tcPr>
            <w:tcW w:w="988" w:type="dxa"/>
            <w:tcBorders>
              <w:top w:val="single" w:sz="4" w:space="0" w:color="auto"/>
              <w:left w:val="single" w:sz="4" w:space="0" w:color="auto"/>
              <w:bottom w:val="single" w:sz="4" w:space="0" w:color="auto"/>
              <w:right w:val="single" w:sz="4" w:space="0" w:color="auto"/>
            </w:tcBorders>
          </w:tcPr>
          <w:p w14:paraId="1777759B" w14:textId="77777777" w:rsidR="00CC0A1A" w:rsidRPr="000D0380" w:rsidRDefault="00CC0A1A" w:rsidP="00073213">
            <w:pPr>
              <w:pStyle w:val="naisc"/>
              <w:numPr>
                <w:ilvl w:val="0"/>
                <w:numId w:val="4"/>
              </w:numPr>
              <w:tabs>
                <w:tab w:val="left" w:pos="360"/>
              </w:tabs>
              <w:spacing w:before="0" w:after="0"/>
              <w:jc w:val="both"/>
              <w:rPr>
                <w:lang w:eastAsia="en-US"/>
              </w:rPr>
            </w:pPr>
          </w:p>
        </w:tc>
        <w:tc>
          <w:tcPr>
            <w:tcW w:w="2697" w:type="dxa"/>
            <w:tcBorders>
              <w:top w:val="single" w:sz="4" w:space="0" w:color="auto"/>
              <w:left w:val="single" w:sz="4" w:space="0" w:color="auto"/>
              <w:bottom w:val="single" w:sz="4" w:space="0" w:color="auto"/>
              <w:right w:val="single" w:sz="4" w:space="0" w:color="auto"/>
            </w:tcBorders>
          </w:tcPr>
          <w:p w14:paraId="5CE775FA" w14:textId="223CA208" w:rsidR="00CC0A1A" w:rsidRPr="000D0380" w:rsidRDefault="00CC0A1A" w:rsidP="00073213">
            <w:pPr>
              <w:jc w:val="both"/>
              <w:rPr>
                <w:rFonts w:eastAsiaTheme="minorHAnsi"/>
                <w:lang w:eastAsia="en-US"/>
              </w:rPr>
            </w:pPr>
            <w:r w:rsidRPr="000D0380">
              <w:rPr>
                <w:rFonts w:eastAsiaTheme="minorHAnsi"/>
                <w:lang w:eastAsia="en-US"/>
              </w:rPr>
              <w:t xml:space="preserve">Informatīvā ziņojuma 4. sadaļas “2014-2020. gada plānošanas perioda </w:t>
            </w:r>
            <w:r w:rsidRPr="000D0380">
              <w:rPr>
                <w:rFonts w:eastAsiaTheme="minorHAnsi"/>
                <w:lang w:eastAsia="en-US"/>
              </w:rPr>
              <w:lastRenderedPageBreak/>
              <w:t>ES fondu investīciju aktualitātes” apakšsadaļa “Projektu īstenošanas risku pārvaldība”.</w:t>
            </w:r>
          </w:p>
        </w:tc>
        <w:tc>
          <w:tcPr>
            <w:tcW w:w="6660" w:type="dxa"/>
            <w:tcBorders>
              <w:top w:val="single" w:sz="4" w:space="0" w:color="auto"/>
              <w:left w:val="single" w:sz="4" w:space="0" w:color="auto"/>
              <w:bottom w:val="single" w:sz="4" w:space="0" w:color="auto"/>
              <w:right w:val="single" w:sz="4" w:space="0" w:color="auto"/>
            </w:tcBorders>
          </w:tcPr>
          <w:p w14:paraId="6F96211B" w14:textId="4589E866" w:rsidR="00CC0A1A" w:rsidRPr="000D0380" w:rsidRDefault="00CC0A1A" w:rsidP="00073213">
            <w:pPr>
              <w:widowControl w:val="0"/>
              <w:jc w:val="both"/>
              <w:rPr>
                <w:b/>
                <w:lang w:eastAsia="en-US"/>
              </w:rPr>
            </w:pPr>
            <w:r w:rsidRPr="000D0380">
              <w:rPr>
                <w:b/>
                <w:lang w:eastAsia="en-US"/>
              </w:rPr>
              <w:lastRenderedPageBreak/>
              <w:t>Iebildums</w:t>
            </w:r>
          </w:p>
          <w:p w14:paraId="26D5E271" w14:textId="429BD70F" w:rsidR="00CC0A1A" w:rsidRPr="000D0380" w:rsidRDefault="00CC0A1A" w:rsidP="00073213">
            <w:pPr>
              <w:widowControl w:val="0"/>
              <w:jc w:val="both"/>
              <w:rPr>
                <w:b/>
                <w:lang w:eastAsia="en-US"/>
              </w:rPr>
            </w:pPr>
            <w:r w:rsidRPr="000D0380">
              <w:rPr>
                <w:b/>
                <w:lang w:eastAsia="en-US"/>
              </w:rPr>
              <w:t>Valsts kanceleja</w:t>
            </w:r>
          </w:p>
          <w:p w14:paraId="36A5DA47" w14:textId="12AEA871" w:rsidR="00CC0A1A" w:rsidRPr="000D0380" w:rsidRDefault="00CC0A1A" w:rsidP="00073213">
            <w:pPr>
              <w:widowControl w:val="0"/>
              <w:jc w:val="both"/>
              <w:rPr>
                <w:b/>
                <w:lang w:eastAsia="en-US"/>
              </w:rPr>
            </w:pPr>
            <w:r w:rsidRPr="000D0380">
              <w:t xml:space="preserve">Informatīvā ziņojuma projekta sadaļā “Projektu īstenošanas risku </w:t>
            </w:r>
            <w:r w:rsidRPr="000D0380">
              <w:lastRenderedPageBreak/>
              <w:t>pārvaldība” 21.l</w:t>
            </w:r>
            <w:r w:rsidR="00A03964" w:rsidRPr="000D0380">
              <w:t>p</w:t>
            </w:r>
            <w:r w:rsidRPr="000D0380">
              <w:t xml:space="preserve">p. ir minēta Valsts kanceleja un tai ir dota zemsvītras atsauce Nr.29 teikumā, kurš identificē institūcijas ar augsta riska projektiem. Lūdzam precizēt zemsvītras atsaucē Nr.29 minētos Valsts kancelejas projektus, jo uzskatām, ka augsts risks saistībā ar savlaicīgu projektu pabeigšanu nav attiecināms uz projektu Nr. 2.2.1.1/17/I/014 “Vienotais tiesību aktu projektu izstrādes un saskaņošanas portāls” – 1 450 000 </w:t>
            </w:r>
            <w:r w:rsidRPr="0086260A">
              <w:rPr>
                <w:i/>
              </w:rPr>
              <w:t>euro</w:t>
            </w:r>
            <w:r w:rsidRPr="000D0380">
              <w:t xml:space="preserve"> (turpmāk - projekts Nr. 2.2.1.1/17/I/014) un projektu Nr. 2.2.1.1/17/I/016 “Valsts un pašvaldību iestāžu tīmekļvietņu vienotā platforma” – 2 000 000 </w:t>
            </w:r>
            <w:r w:rsidRPr="0086260A">
              <w:rPr>
                <w:i/>
              </w:rPr>
              <w:t>euro</w:t>
            </w:r>
            <w:r w:rsidRPr="000D0380">
              <w:t xml:space="preserve"> (turpmāk - projekts Nr. 2.2.1.1/17/I/016), jo projektu ietvaros esošie informācijas un komunikācijas tehnoloģiju risinājumi ir aktīvā izstrādes fāzē, visi lielākie iepirkumi ir sekmīgi noslēgušies, izpildītāju nodevumi un maksājumi par paveiktajiem izstrādes darbiem notiek ar nebūtisku novirzi. Nesaredzam, ka minētajiem projektiem ir nepieciešams atsevišķs uzraudzības plāns, kā ir minēts informatīvā ziņojuma projektā. Kopumā projektu riski jau šobrīd tiek sekmīgi vadīti un uzraudzīti projektu uzraudzības padomēs un darbu izpildes gaitā. Izņēmums ir projekts Nr. 2.2.1.1/17/I/018 “Personāla vadības platformas projekts”, kura saglabāšana zemsvītras atsaucē būtu pamatota, jo projekta īstenošana būtiski kavējas, kas saistīts ar projekta ietvaros izstrādājamā informācijas un komunikācijas tehnoloģiju risinājuma tvēruma pārskatīšanu un veikto izstrādātāja iepirkuma procedūru, kura noslēgusies bez rezultāta. Lūdzam sniegt skaidrojumu, kāpēc</w:t>
            </w:r>
            <w:r w:rsidR="00506992" w:rsidRPr="000D0380">
              <w:t xml:space="preserve"> </w:t>
            </w:r>
            <w:r w:rsidRPr="000D0380">
              <w:t>projekti Nr. 2.2.1.1/17/I/014 un Nr. 2.2.1.1/17/I/016 tiek uzskatīti par augsta riska projektiem un kas kalpo par pamatu pieņēmumiem, ka šie projekti ir augsta riska projekti vai arī izslēgt iepriekšminētos divus projektus no zemsvītras atsauces Nr.29 uzskaitījuma.</w:t>
            </w:r>
          </w:p>
        </w:tc>
        <w:tc>
          <w:tcPr>
            <w:tcW w:w="2700" w:type="dxa"/>
            <w:tcBorders>
              <w:top w:val="single" w:sz="4" w:space="0" w:color="auto"/>
              <w:left w:val="single" w:sz="4" w:space="0" w:color="auto"/>
              <w:bottom w:val="single" w:sz="4" w:space="0" w:color="auto"/>
              <w:right w:val="single" w:sz="4" w:space="0" w:color="auto"/>
            </w:tcBorders>
          </w:tcPr>
          <w:p w14:paraId="2B79D647" w14:textId="77777777" w:rsidR="00CC0A1A" w:rsidRDefault="00CC0A1A" w:rsidP="00073213">
            <w:pPr>
              <w:jc w:val="both"/>
              <w:rPr>
                <w:b/>
                <w:szCs w:val="22"/>
                <w:lang w:eastAsia="en-US"/>
              </w:rPr>
            </w:pPr>
            <w:r w:rsidRPr="000D0380">
              <w:rPr>
                <w:b/>
                <w:szCs w:val="22"/>
                <w:lang w:eastAsia="en-US"/>
              </w:rPr>
              <w:lastRenderedPageBreak/>
              <w:t>Ņemts vērā.</w:t>
            </w:r>
          </w:p>
          <w:p w14:paraId="13B3A332" w14:textId="5DA119B0" w:rsidR="00A33A21" w:rsidRPr="00A33A21" w:rsidRDefault="00A33A21" w:rsidP="00596E72">
            <w:pPr>
              <w:jc w:val="both"/>
            </w:pPr>
            <w:r w:rsidRPr="00A33A21">
              <w:rPr>
                <w:szCs w:val="22"/>
                <w:lang w:eastAsia="en-US"/>
              </w:rPr>
              <w:t xml:space="preserve">Zemsvītras atsaucē dzēsti projekti </w:t>
            </w:r>
            <w:r w:rsidR="00A8203A">
              <w:lastRenderedPageBreak/>
              <w:t>Nr. </w:t>
            </w:r>
            <w:r w:rsidRPr="000D0380">
              <w:t>2.2.1.1/17/I/014</w:t>
            </w:r>
            <w:r>
              <w:t xml:space="preserve"> un </w:t>
            </w:r>
            <w:r w:rsidRPr="000D0380">
              <w:t>Nr. 2.2.1.1/17/I/016</w:t>
            </w:r>
          </w:p>
        </w:tc>
        <w:tc>
          <w:tcPr>
            <w:tcW w:w="2259" w:type="dxa"/>
            <w:tcBorders>
              <w:top w:val="single" w:sz="4" w:space="0" w:color="auto"/>
              <w:left w:val="single" w:sz="4" w:space="0" w:color="auto"/>
              <w:bottom w:val="single" w:sz="4" w:space="0" w:color="auto"/>
              <w:right w:val="single" w:sz="4" w:space="0" w:color="auto"/>
            </w:tcBorders>
          </w:tcPr>
          <w:p w14:paraId="6D8880FD" w14:textId="1507F942" w:rsidR="00CC0A1A" w:rsidRPr="000D0380" w:rsidRDefault="00FF4663" w:rsidP="00073213">
            <w:pPr>
              <w:pStyle w:val="Default"/>
              <w:jc w:val="both"/>
            </w:pPr>
            <w:r w:rsidRPr="000D0380">
              <w:lastRenderedPageBreak/>
              <w:t>Skatīt precizē</w:t>
            </w:r>
            <w:r>
              <w:t>tu i</w:t>
            </w:r>
            <w:r w:rsidRPr="000D0380">
              <w:t>nformatīvā ziņojuma</w:t>
            </w:r>
            <w:r>
              <w:t xml:space="preserve"> </w:t>
            </w:r>
            <w:r w:rsidRPr="000D0380">
              <w:rPr>
                <w:rFonts w:eastAsiaTheme="minorHAnsi"/>
              </w:rPr>
              <w:t>4.</w:t>
            </w:r>
            <w:r w:rsidR="00A8203A">
              <w:rPr>
                <w:rFonts w:eastAsiaTheme="minorHAnsi"/>
              </w:rPr>
              <w:t> </w:t>
            </w:r>
            <w:r w:rsidRPr="000D0380">
              <w:rPr>
                <w:rFonts w:eastAsiaTheme="minorHAnsi"/>
              </w:rPr>
              <w:t>sadaļ</w:t>
            </w:r>
            <w:r>
              <w:rPr>
                <w:rFonts w:eastAsiaTheme="minorHAnsi"/>
              </w:rPr>
              <w:t>u.</w:t>
            </w:r>
          </w:p>
        </w:tc>
      </w:tr>
      <w:tr w:rsidR="0025004D" w:rsidRPr="000D0380" w14:paraId="13F7BFDE" w14:textId="77777777" w:rsidTr="006F5B38">
        <w:trPr>
          <w:trHeight w:val="2967"/>
        </w:trPr>
        <w:tc>
          <w:tcPr>
            <w:tcW w:w="988" w:type="dxa"/>
            <w:vMerge w:val="restart"/>
            <w:tcBorders>
              <w:top w:val="single" w:sz="4" w:space="0" w:color="auto"/>
              <w:left w:val="single" w:sz="4" w:space="0" w:color="auto"/>
              <w:right w:val="single" w:sz="4" w:space="0" w:color="auto"/>
            </w:tcBorders>
          </w:tcPr>
          <w:p w14:paraId="76FFB63D" w14:textId="77777777" w:rsidR="0025004D" w:rsidRPr="000D0380" w:rsidRDefault="0025004D" w:rsidP="0025004D">
            <w:pPr>
              <w:pStyle w:val="naisc"/>
              <w:numPr>
                <w:ilvl w:val="0"/>
                <w:numId w:val="4"/>
              </w:numPr>
              <w:tabs>
                <w:tab w:val="left" w:pos="360"/>
              </w:tabs>
              <w:spacing w:before="0" w:after="0"/>
              <w:jc w:val="both"/>
              <w:rPr>
                <w:lang w:eastAsia="en-US"/>
              </w:rPr>
            </w:pPr>
          </w:p>
        </w:tc>
        <w:tc>
          <w:tcPr>
            <w:tcW w:w="2697" w:type="dxa"/>
            <w:vMerge w:val="restart"/>
            <w:tcBorders>
              <w:top w:val="single" w:sz="4" w:space="0" w:color="auto"/>
              <w:left w:val="single" w:sz="4" w:space="0" w:color="auto"/>
              <w:right w:val="single" w:sz="4" w:space="0" w:color="auto"/>
            </w:tcBorders>
          </w:tcPr>
          <w:p w14:paraId="59D4A2A1" w14:textId="08ACDE46" w:rsidR="0025004D" w:rsidRDefault="0025004D" w:rsidP="0025004D">
            <w:pPr>
              <w:jc w:val="both"/>
              <w:rPr>
                <w:rFonts w:eastAsiaTheme="minorHAnsi"/>
                <w:lang w:eastAsia="en-US"/>
              </w:rPr>
            </w:pPr>
            <w:r>
              <w:rPr>
                <w:rFonts w:eastAsiaTheme="minorHAnsi"/>
                <w:lang w:eastAsia="en-US"/>
              </w:rPr>
              <w:t>Informatīvā ziņojuma 4. </w:t>
            </w:r>
            <w:r w:rsidRPr="000D0380">
              <w:rPr>
                <w:rFonts w:eastAsiaTheme="minorHAnsi"/>
                <w:lang w:eastAsia="en-US"/>
              </w:rPr>
              <w:t>sadaļa</w:t>
            </w:r>
            <w:r>
              <w:rPr>
                <w:rFonts w:eastAsiaTheme="minorHAnsi"/>
                <w:lang w:eastAsia="en-US"/>
              </w:rPr>
              <w:t>s</w:t>
            </w:r>
            <w:r w:rsidRPr="000D0380">
              <w:rPr>
                <w:rFonts w:eastAsiaTheme="minorHAnsi"/>
                <w:lang w:eastAsia="en-US"/>
              </w:rPr>
              <w:t xml:space="preserve"> “2014. - 2020. gada plānošanas perioda ES fondu investīciju aktualitātes”</w:t>
            </w:r>
            <w:r>
              <w:rPr>
                <w:rFonts w:eastAsiaTheme="minorHAnsi"/>
                <w:lang w:eastAsia="en-US"/>
              </w:rPr>
              <w:t xml:space="preserve"> </w:t>
            </w:r>
            <w:r w:rsidRPr="000D0380">
              <w:rPr>
                <w:rFonts w:eastAsiaTheme="minorHAnsi"/>
                <w:lang w:eastAsia="en-US"/>
              </w:rPr>
              <w:t>apakšsadaļ</w:t>
            </w:r>
            <w:r>
              <w:rPr>
                <w:rFonts w:eastAsiaTheme="minorHAnsi"/>
              </w:rPr>
              <w:t xml:space="preserve">a </w:t>
            </w:r>
            <w:r w:rsidRPr="000D0380">
              <w:rPr>
                <w:rFonts w:eastAsiaTheme="minorHAnsi"/>
                <w:lang w:eastAsia="en-US"/>
              </w:rPr>
              <w:t>“Projektu īstenošanas risku pārvaldība”</w:t>
            </w:r>
            <w:r>
              <w:rPr>
                <w:rFonts w:eastAsiaTheme="minorHAnsi"/>
                <w:lang w:eastAsia="en-US"/>
              </w:rPr>
              <w:t xml:space="preserve"> </w:t>
            </w:r>
          </w:p>
          <w:p w14:paraId="735AE6D5" w14:textId="16AB228E" w:rsidR="0025004D" w:rsidRDefault="0025004D" w:rsidP="0025004D">
            <w:pPr>
              <w:jc w:val="both"/>
              <w:rPr>
                <w:rFonts w:eastAsiaTheme="minorHAnsi"/>
                <w:lang w:eastAsia="en-US"/>
              </w:rPr>
            </w:pPr>
            <w:r>
              <w:rPr>
                <w:rFonts w:eastAsiaTheme="minorHAnsi"/>
                <w:lang w:eastAsia="en-US"/>
              </w:rPr>
              <w:t xml:space="preserve">un </w:t>
            </w:r>
          </w:p>
          <w:p w14:paraId="4AFF2E6E" w14:textId="6E8E0FAE" w:rsidR="0025004D" w:rsidRPr="000D0380" w:rsidRDefault="0025004D" w:rsidP="0025004D">
            <w:pPr>
              <w:jc w:val="both"/>
              <w:rPr>
                <w:rFonts w:eastAsiaTheme="minorHAnsi"/>
                <w:lang w:eastAsia="en-US"/>
              </w:rPr>
            </w:pPr>
            <w:r>
              <w:rPr>
                <w:rFonts w:eastAsiaTheme="minorHAnsi"/>
                <w:lang w:eastAsia="en-US"/>
              </w:rPr>
              <w:t>protokollēmuma projekts</w:t>
            </w:r>
            <w:r w:rsidRPr="000D0380">
              <w:rPr>
                <w:rFonts w:eastAsiaTheme="minorHAnsi"/>
                <w:lang w:eastAsia="en-US"/>
              </w:rPr>
              <w:t>.</w:t>
            </w:r>
          </w:p>
        </w:tc>
        <w:tc>
          <w:tcPr>
            <w:tcW w:w="6660" w:type="dxa"/>
            <w:tcBorders>
              <w:top w:val="single" w:sz="4" w:space="0" w:color="auto"/>
              <w:left w:val="single" w:sz="4" w:space="0" w:color="auto"/>
              <w:bottom w:val="single" w:sz="4" w:space="0" w:color="auto"/>
              <w:right w:val="single" w:sz="4" w:space="0" w:color="auto"/>
            </w:tcBorders>
          </w:tcPr>
          <w:p w14:paraId="0BC5E9D0" w14:textId="4AA96406" w:rsidR="0025004D" w:rsidRPr="00ED378F" w:rsidRDefault="0025004D" w:rsidP="0025004D">
            <w:pPr>
              <w:pStyle w:val="NoSpacing"/>
              <w:jc w:val="both"/>
              <w:rPr>
                <w:rFonts w:ascii="Times New Roman" w:hAnsi="Times New Roman" w:cs="Times New Roman"/>
                <w:b/>
                <w:sz w:val="24"/>
                <w:szCs w:val="24"/>
              </w:rPr>
            </w:pPr>
            <w:r>
              <w:rPr>
                <w:rFonts w:ascii="Times New Roman" w:hAnsi="Times New Roman" w:cs="Times New Roman"/>
                <w:b/>
                <w:sz w:val="24"/>
                <w:szCs w:val="24"/>
              </w:rPr>
              <w:t>Iebildums</w:t>
            </w:r>
          </w:p>
          <w:p w14:paraId="5E87842E" w14:textId="1FDCEBAE" w:rsidR="0025004D" w:rsidRPr="00ED378F" w:rsidRDefault="0025004D" w:rsidP="0025004D">
            <w:pPr>
              <w:pStyle w:val="NoSpacing"/>
              <w:jc w:val="both"/>
              <w:rPr>
                <w:rFonts w:ascii="Times New Roman" w:hAnsi="Times New Roman" w:cs="Times New Roman"/>
                <w:b/>
                <w:sz w:val="24"/>
                <w:szCs w:val="24"/>
              </w:rPr>
            </w:pPr>
            <w:r w:rsidRPr="00ED378F">
              <w:rPr>
                <w:rFonts w:ascii="Times New Roman" w:hAnsi="Times New Roman" w:cs="Times New Roman"/>
                <w:b/>
                <w:sz w:val="24"/>
                <w:szCs w:val="24"/>
              </w:rPr>
              <w:t xml:space="preserve">FM </w:t>
            </w:r>
          </w:p>
          <w:p w14:paraId="5D5A4A53" w14:textId="308FF7FC" w:rsidR="0025004D" w:rsidRDefault="0025004D" w:rsidP="0025004D">
            <w:pPr>
              <w:pStyle w:val="NoSpacing"/>
              <w:jc w:val="both"/>
              <w:rPr>
                <w:rFonts w:ascii="Times New Roman" w:hAnsi="Times New Roman" w:cs="Times New Roman"/>
                <w:sz w:val="24"/>
                <w:szCs w:val="24"/>
              </w:rPr>
            </w:pPr>
            <w:r w:rsidRPr="000D0380">
              <w:rPr>
                <w:rFonts w:ascii="Times New Roman" w:hAnsi="Times New Roman" w:cs="Times New Roman"/>
                <w:sz w:val="24"/>
                <w:szCs w:val="24"/>
              </w:rPr>
              <w:t xml:space="preserve">Sakarā ar 2020.gada sākumā </w:t>
            </w:r>
            <w:r>
              <w:rPr>
                <w:rFonts w:ascii="Times New Roman" w:hAnsi="Times New Roman" w:cs="Times New Roman"/>
                <w:sz w:val="24"/>
                <w:szCs w:val="24"/>
              </w:rPr>
              <w:t>aktualizējušos jautājumu izvērtēt iespējas</w:t>
            </w:r>
            <w:r w:rsidRPr="000D0380">
              <w:rPr>
                <w:rFonts w:ascii="Times New Roman" w:hAnsi="Times New Roman" w:cs="Times New Roman"/>
                <w:sz w:val="24"/>
                <w:szCs w:val="24"/>
              </w:rPr>
              <w:t xml:space="preserve"> palielināt ES fondu projektos attiecināmo izdevumu apjomu, vienlaikus samazinot neattiecināmo izmaksu, papildin</w:t>
            </w:r>
            <w:r>
              <w:rPr>
                <w:rFonts w:ascii="Times New Roman" w:hAnsi="Times New Roman" w:cs="Times New Roman"/>
                <w:sz w:val="24"/>
                <w:szCs w:val="24"/>
              </w:rPr>
              <w:t>āt</w:t>
            </w:r>
            <w:r w:rsidRPr="000D0380">
              <w:rPr>
                <w:rFonts w:ascii="Times New Roman" w:hAnsi="Times New Roman" w:cs="Times New Roman"/>
                <w:sz w:val="24"/>
                <w:szCs w:val="24"/>
              </w:rPr>
              <w:t xml:space="preserve"> informatīvā ziņojuma </w:t>
            </w:r>
            <w:r w:rsidRPr="000C1B9B">
              <w:rPr>
                <w:rFonts w:ascii="Times New Roman" w:hAnsi="Times New Roman" w:cs="Times New Roman"/>
                <w:sz w:val="24"/>
                <w:szCs w:val="24"/>
              </w:rPr>
              <w:t>apakšsadaļu “Projektu īstenošanas risku pārvaldība”</w:t>
            </w:r>
            <w:r>
              <w:rPr>
                <w:rFonts w:ascii="Times New Roman" w:hAnsi="Times New Roman" w:cs="Times New Roman"/>
                <w:sz w:val="24"/>
                <w:szCs w:val="24"/>
              </w:rPr>
              <w:t xml:space="preserve"> </w:t>
            </w:r>
            <w:r w:rsidRPr="000D0380">
              <w:rPr>
                <w:rFonts w:ascii="Times New Roman" w:hAnsi="Times New Roman" w:cs="Times New Roman"/>
                <w:sz w:val="24"/>
                <w:szCs w:val="24"/>
              </w:rPr>
              <w:t>ar informāciju par minētā jautājuma risināšanās iespējām.</w:t>
            </w:r>
          </w:p>
          <w:p w14:paraId="75B296E9" w14:textId="209E3F2C" w:rsidR="0025004D" w:rsidRPr="00ED378F" w:rsidRDefault="0025004D" w:rsidP="0025004D">
            <w:pPr>
              <w:jc w:val="both"/>
              <w:rPr>
                <w:rFonts w:eastAsiaTheme="minorHAnsi"/>
                <w:lang w:eastAsia="en-US"/>
              </w:rPr>
            </w:pPr>
            <w:r w:rsidRPr="00ED378F">
              <w:rPr>
                <w:rFonts w:eastAsiaTheme="minorHAnsi"/>
                <w:lang w:eastAsia="en-US"/>
              </w:rPr>
              <w:t xml:space="preserve">Atsevišķas AI ir iesniegušas CFLA priekšlikumus palielināt attiecināmo izdevumu apjomu, vienlaikus samazinot neattiecināmās izmaksas. Pamatā attiecināmo izmaksu apmērā pašvaldības iesniedz pieteikumus aizņēmuma saņemšanai atbilstoši valsts budžeta likumā 2020.gadam noteiktajiem kritērijiem. Savukārt tas ietekmē budžeta deficītu. Jau 2019. gadā MK jau ir uzdevis ministrijām un CFLA, izvērtējot pašvaldību ES projektu iesniegumus, ņemt vērā noteikto ierobežojumu projekta neattiecināmajam izmaksām un iespēju pašvaldībām tās finansēt no sava budžeta līdzekļiem. </w:t>
            </w:r>
            <w:r w:rsidRPr="008E7311">
              <w:rPr>
                <w:rFonts w:eastAsiaTheme="minorHAnsi"/>
                <w:lang w:eastAsia="en-US"/>
              </w:rPr>
              <w:t>FM ieskatā risinājums visiem pašvaldību īstenotiem ES fondu projektiem jau minēto nosacījumu ietvaros ir noteikt iespēju DP ietvaros palielināt pašvaldības īstenota projekta attiecināmo izmaksu apmēru tikai gadījumā, kad AI iesniedz FM un CFLA rakstisku atzinumu par nepieciešamību palielināt projekta attiecināmās izmaksas publisko līdzekļu efektīvai un lietderīgai investēšanai, pamatojot projekta īpašu tautsaimniecības attīstības nozīmi, un vienlaikus iesniedz konkrētu priekšlikumu negatīvās fiskālās ietekmes neitralizēšanai, kas samazina attiecināmās izmaksas līdzīgā apmērā citā tās pārraudzībā esošā pašvaldības īstenotā ES fondu projektā.</w:t>
            </w:r>
            <w:r w:rsidRPr="00ED378F">
              <w:rPr>
                <w:rFonts w:eastAsiaTheme="minorHAnsi"/>
                <w:lang w:eastAsia="en-US"/>
              </w:rPr>
              <w:t xml:space="preserve"> </w:t>
            </w:r>
          </w:p>
          <w:p w14:paraId="355B92D2" w14:textId="04FC47C7" w:rsidR="0025004D" w:rsidRPr="000D0380" w:rsidRDefault="0025004D" w:rsidP="0025004D">
            <w:pPr>
              <w:pStyle w:val="NoSpacing"/>
              <w:jc w:val="both"/>
              <w:rPr>
                <w:rFonts w:ascii="Times New Roman" w:hAnsi="Times New Roman" w:cs="Times New Roman"/>
                <w:sz w:val="24"/>
                <w:szCs w:val="24"/>
              </w:rPr>
            </w:pPr>
          </w:p>
        </w:tc>
        <w:tc>
          <w:tcPr>
            <w:tcW w:w="2700" w:type="dxa"/>
            <w:tcBorders>
              <w:top w:val="single" w:sz="4" w:space="0" w:color="auto"/>
              <w:left w:val="single" w:sz="4" w:space="0" w:color="auto"/>
              <w:right w:val="single" w:sz="4" w:space="0" w:color="auto"/>
            </w:tcBorders>
          </w:tcPr>
          <w:p w14:paraId="5970FE4B" w14:textId="77777777" w:rsidR="0025004D" w:rsidRDefault="0025004D" w:rsidP="0025004D">
            <w:pPr>
              <w:pStyle w:val="naisc"/>
              <w:spacing w:before="0" w:after="0"/>
              <w:jc w:val="both"/>
              <w:rPr>
                <w:lang w:eastAsia="en-US"/>
              </w:rPr>
            </w:pPr>
          </w:p>
          <w:p w14:paraId="151C4368" w14:textId="5ED876A2" w:rsidR="0025004D" w:rsidRPr="000D0380" w:rsidRDefault="0025004D" w:rsidP="0025004D">
            <w:pPr>
              <w:pStyle w:val="naisc"/>
              <w:spacing w:before="0" w:after="0"/>
              <w:jc w:val="both"/>
              <w:rPr>
                <w:lang w:eastAsia="en-US"/>
              </w:rPr>
            </w:pPr>
            <w:r>
              <w:rPr>
                <w:lang w:eastAsia="en-US"/>
              </w:rPr>
              <w:t>N/A – pēc Izglītības un zinātnes ministrijas izteikta iebilduma protokollēmuma projekta punkts dzē</w:t>
            </w:r>
            <w:bookmarkStart w:id="0" w:name="_GoBack"/>
            <w:bookmarkEnd w:id="0"/>
            <w:r>
              <w:rPr>
                <w:lang w:eastAsia="en-US"/>
              </w:rPr>
              <w:t>sts.</w:t>
            </w:r>
          </w:p>
        </w:tc>
        <w:tc>
          <w:tcPr>
            <w:tcW w:w="2259" w:type="dxa"/>
            <w:vMerge w:val="restart"/>
            <w:tcBorders>
              <w:top w:val="single" w:sz="4" w:space="0" w:color="auto"/>
              <w:left w:val="single" w:sz="4" w:space="0" w:color="auto"/>
              <w:right w:val="single" w:sz="4" w:space="0" w:color="auto"/>
            </w:tcBorders>
          </w:tcPr>
          <w:p w14:paraId="78529A56" w14:textId="58738869" w:rsidR="0025004D" w:rsidRPr="000D0380" w:rsidRDefault="0025004D" w:rsidP="0025004D">
            <w:pPr>
              <w:pStyle w:val="Default"/>
              <w:jc w:val="both"/>
              <w:rPr>
                <w:color w:val="auto"/>
              </w:rPr>
            </w:pPr>
            <w:r w:rsidRPr="005C07A0">
              <w:t xml:space="preserve">Skatīt precizētu informatīvā ziņojuma </w:t>
            </w:r>
            <w:r w:rsidRPr="005C07A0">
              <w:rPr>
                <w:rFonts w:eastAsiaTheme="minorHAnsi"/>
              </w:rPr>
              <w:t>4. sadaļu</w:t>
            </w:r>
          </w:p>
        </w:tc>
      </w:tr>
      <w:tr w:rsidR="002365A9" w:rsidRPr="000D0380" w14:paraId="23B699EA" w14:textId="77777777" w:rsidTr="008418DF">
        <w:trPr>
          <w:trHeight w:val="1834"/>
        </w:trPr>
        <w:tc>
          <w:tcPr>
            <w:tcW w:w="988" w:type="dxa"/>
            <w:vMerge/>
            <w:tcBorders>
              <w:left w:val="single" w:sz="4" w:space="0" w:color="auto"/>
              <w:right w:val="single" w:sz="4" w:space="0" w:color="auto"/>
            </w:tcBorders>
          </w:tcPr>
          <w:p w14:paraId="6AEE0336" w14:textId="77777777" w:rsidR="002365A9" w:rsidRPr="000D0380" w:rsidRDefault="002365A9" w:rsidP="00073213">
            <w:pPr>
              <w:pStyle w:val="naisc"/>
              <w:numPr>
                <w:ilvl w:val="0"/>
                <w:numId w:val="4"/>
              </w:numPr>
              <w:tabs>
                <w:tab w:val="left" w:pos="360"/>
              </w:tabs>
              <w:spacing w:before="0" w:after="0"/>
              <w:jc w:val="both"/>
              <w:rPr>
                <w:lang w:eastAsia="en-US"/>
              </w:rPr>
            </w:pPr>
          </w:p>
        </w:tc>
        <w:tc>
          <w:tcPr>
            <w:tcW w:w="2697" w:type="dxa"/>
            <w:vMerge/>
            <w:tcBorders>
              <w:left w:val="single" w:sz="4" w:space="0" w:color="auto"/>
              <w:right w:val="single" w:sz="4" w:space="0" w:color="auto"/>
            </w:tcBorders>
          </w:tcPr>
          <w:p w14:paraId="47FE11E6" w14:textId="77777777" w:rsidR="002365A9" w:rsidRPr="000D0380" w:rsidRDefault="002365A9" w:rsidP="00596E72">
            <w:pPr>
              <w:jc w:val="both"/>
              <w:rPr>
                <w:rFonts w:eastAsiaTheme="minorHAnsi"/>
                <w:lang w:eastAsia="en-US"/>
              </w:rPr>
            </w:pPr>
          </w:p>
        </w:tc>
        <w:tc>
          <w:tcPr>
            <w:tcW w:w="6660" w:type="dxa"/>
            <w:tcBorders>
              <w:top w:val="single" w:sz="4" w:space="0" w:color="auto"/>
              <w:left w:val="single" w:sz="4" w:space="0" w:color="auto"/>
              <w:right w:val="single" w:sz="4" w:space="0" w:color="auto"/>
            </w:tcBorders>
          </w:tcPr>
          <w:p w14:paraId="0DB2942A" w14:textId="77777777" w:rsidR="002365A9" w:rsidRDefault="002365A9" w:rsidP="00975021">
            <w:pPr>
              <w:pStyle w:val="NoSpacing"/>
              <w:jc w:val="both"/>
              <w:rPr>
                <w:rFonts w:ascii="Times New Roman" w:hAnsi="Times New Roman" w:cs="Times New Roman"/>
                <w:b/>
                <w:sz w:val="24"/>
                <w:szCs w:val="24"/>
              </w:rPr>
            </w:pPr>
            <w:r w:rsidRPr="006F5B38">
              <w:rPr>
                <w:rFonts w:ascii="Times New Roman" w:hAnsi="Times New Roman" w:cs="Times New Roman"/>
                <w:b/>
                <w:sz w:val="24"/>
                <w:szCs w:val="24"/>
              </w:rPr>
              <w:t>Labkl</w:t>
            </w:r>
            <w:r>
              <w:rPr>
                <w:rFonts w:ascii="Times New Roman" w:hAnsi="Times New Roman" w:cs="Times New Roman"/>
                <w:b/>
                <w:sz w:val="24"/>
                <w:szCs w:val="24"/>
              </w:rPr>
              <w:t>ājības ministrijas 2020. gada 20. februārī izteikts priekšlikums atkārtotas saskaņošanas laikā.</w:t>
            </w:r>
          </w:p>
          <w:p w14:paraId="1879AA56" w14:textId="4D83E9BD" w:rsidR="002365A9" w:rsidRPr="007167AB" w:rsidRDefault="002365A9" w:rsidP="007167AB">
            <w:pPr>
              <w:pStyle w:val="NoSpacing"/>
              <w:jc w:val="both"/>
              <w:rPr>
                <w:rFonts w:ascii="Times New Roman" w:hAnsi="Times New Roman" w:cs="Times New Roman"/>
                <w:sz w:val="24"/>
                <w:szCs w:val="24"/>
              </w:rPr>
            </w:pPr>
            <w:r w:rsidRPr="006F5B38">
              <w:rPr>
                <w:rFonts w:ascii="Times New Roman" w:hAnsi="Times New Roman" w:cs="Times New Roman"/>
                <w:sz w:val="24"/>
                <w:szCs w:val="24"/>
              </w:rPr>
              <w:t>Lūdzam precizēt protokollēmuma 6.</w:t>
            </w:r>
            <w:r>
              <w:rPr>
                <w:rFonts w:ascii="Times New Roman" w:hAnsi="Times New Roman" w:cs="Times New Roman"/>
                <w:sz w:val="24"/>
                <w:szCs w:val="24"/>
              </w:rPr>
              <w:t> </w:t>
            </w:r>
            <w:r w:rsidRPr="006F5B38">
              <w:rPr>
                <w:rFonts w:ascii="Times New Roman" w:hAnsi="Times New Roman" w:cs="Times New Roman"/>
                <w:sz w:val="24"/>
                <w:szCs w:val="24"/>
              </w:rPr>
              <w:t>punktu, pirms vārdiem "palielināt pašvaldības īstenota projekta attiecināmo izmaksu apmēru" papildinot ar vārdiem "pārskatīt projekta attiecināmo un neattiecināmo izmaksu plānojumu un".</w:t>
            </w:r>
          </w:p>
        </w:tc>
        <w:tc>
          <w:tcPr>
            <w:tcW w:w="2700" w:type="dxa"/>
            <w:tcBorders>
              <w:left w:val="single" w:sz="4" w:space="0" w:color="auto"/>
              <w:right w:val="single" w:sz="4" w:space="0" w:color="auto"/>
            </w:tcBorders>
          </w:tcPr>
          <w:p w14:paraId="09A6E893" w14:textId="38151229" w:rsidR="002365A9" w:rsidRDefault="002365A9" w:rsidP="00975021">
            <w:pPr>
              <w:pStyle w:val="naisc"/>
              <w:spacing w:before="0" w:after="0"/>
              <w:jc w:val="both"/>
              <w:rPr>
                <w:lang w:eastAsia="en-US"/>
              </w:rPr>
            </w:pPr>
          </w:p>
          <w:p w14:paraId="477D8FD5" w14:textId="66F77F95" w:rsidR="002365A9" w:rsidRPr="006F5B38" w:rsidRDefault="002365A9" w:rsidP="0025004D">
            <w:pPr>
              <w:pStyle w:val="naisc"/>
              <w:spacing w:before="0" w:after="0"/>
              <w:jc w:val="both"/>
              <w:rPr>
                <w:lang w:eastAsia="en-US"/>
              </w:rPr>
            </w:pPr>
            <w:r>
              <w:rPr>
                <w:lang w:eastAsia="en-US"/>
              </w:rPr>
              <w:t>N/A – pēc Izglītības un zinātnes ministrijas izteikta iebilduma protok</w:t>
            </w:r>
            <w:r w:rsidR="00574B16">
              <w:rPr>
                <w:lang w:eastAsia="en-US"/>
              </w:rPr>
              <w:t>o</w:t>
            </w:r>
            <w:r>
              <w:rPr>
                <w:lang w:eastAsia="en-US"/>
              </w:rPr>
              <w:t xml:space="preserve">llēmuma </w:t>
            </w:r>
            <w:r w:rsidR="00574B16">
              <w:rPr>
                <w:lang w:eastAsia="en-US"/>
              </w:rPr>
              <w:t xml:space="preserve">projekta </w:t>
            </w:r>
            <w:r>
              <w:rPr>
                <w:lang w:eastAsia="en-US"/>
              </w:rPr>
              <w:t>punkts dzēsts.</w:t>
            </w:r>
          </w:p>
        </w:tc>
        <w:tc>
          <w:tcPr>
            <w:tcW w:w="2259" w:type="dxa"/>
            <w:vMerge/>
            <w:tcBorders>
              <w:left w:val="single" w:sz="4" w:space="0" w:color="auto"/>
              <w:right w:val="single" w:sz="4" w:space="0" w:color="auto"/>
            </w:tcBorders>
          </w:tcPr>
          <w:p w14:paraId="3703B153" w14:textId="77777777" w:rsidR="002365A9" w:rsidRPr="000D0380" w:rsidRDefault="002365A9" w:rsidP="00B23B41">
            <w:pPr>
              <w:pStyle w:val="Default"/>
              <w:jc w:val="both"/>
            </w:pPr>
          </w:p>
        </w:tc>
      </w:tr>
      <w:tr w:rsidR="002365A9" w:rsidRPr="000D0380" w14:paraId="5534DAE8" w14:textId="77777777" w:rsidTr="008418DF">
        <w:trPr>
          <w:trHeight w:val="1834"/>
        </w:trPr>
        <w:tc>
          <w:tcPr>
            <w:tcW w:w="988" w:type="dxa"/>
            <w:vMerge/>
            <w:tcBorders>
              <w:left w:val="single" w:sz="4" w:space="0" w:color="auto"/>
              <w:right w:val="single" w:sz="4" w:space="0" w:color="auto"/>
            </w:tcBorders>
          </w:tcPr>
          <w:p w14:paraId="2438A49F" w14:textId="77777777" w:rsidR="002365A9" w:rsidRPr="002365A9" w:rsidRDefault="002365A9" w:rsidP="002365A9">
            <w:pPr>
              <w:jc w:val="both"/>
              <w:rPr>
                <w:rFonts w:eastAsiaTheme="minorHAnsi"/>
                <w:lang w:eastAsia="en-US"/>
              </w:rPr>
            </w:pPr>
          </w:p>
        </w:tc>
        <w:tc>
          <w:tcPr>
            <w:tcW w:w="2697" w:type="dxa"/>
            <w:vMerge/>
            <w:tcBorders>
              <w:left w:val="single" w:sz="4" w:space="0" w:color="auto"/>
              <w:right w:val="single" w:sz="4" w:space="0" w:color="auto"/>
            </w:tcBorders>
          </w:tcPr>
          <w:p w14:paraId="2C103550" w14:textId="77777777" w:rsidR="002365A9" w:rsidRPr="000D0380" w:rsidRDefault="002365A9" w:rsidP="00596E72">
            <w:pPr>
              <w:jc w:val="both"/>
              <w:rPr>
                <w:rFonts w:eastAsiaTheme="minorHAnsi"/>
                <w:lang w:eastAsia="en-US"/>
              </w:rPr>
            </w:pPr>
          </w:p>
        </w:tc>
        <w:tc>
          <w:tcPr>
            <w:tcW w:w="6660" w:type="dxa"/>
            <w:tcBorders>
              <w:top w:val="single" w:sz="4" w:space="0" w:color="auto"/>
              <w:left w:val="single" w:sz="4" w:space="0" w:color="auto"/>
              <w:right w:val="single" w:sz="4" w:space="0" w:color="auto"/>
            </w:tcBorders>
          </w:tcPr>
          <w:p w14:paraId="7DEB0375" w14:textId="77777777" w:rsidR="002365A9" w:rsidRDefault="002365A9" w:rsidP="002365A9">
            <w:pPr>
              <w:pStyle w:val="NoSpacing"/>
              <w:jc w:val="both"/>
              <w:rPr>
                <w:rFonts w:ascii="Times New Roman" w:hAnsi="Times New Roman" w:cs="Times New Roman"/>
                <w:b/>
                <w:sz w:val="24"/>
                <w:szCs w:val="24"/>
              </w:rPr>
            </w:pPr>
            <w:r>
              <w:rPr>
                <w:rFonts w:ascii="Times New Roman" w:hAnsi="Times New Roman" w:cs="Times New Roman"/>
                <w:b/>
                <w:sz w:val="24"/>
                <w:szCs w:val="24"/>
              </w:rPr>
              <w:t>Izglītības un zinātnes ministrijas 2020. gada 21. februārī izteikts iebildums atkārtotas saskaņošanas laikā.</w:t>
            </w:r>
          </w:p>
          <w:p w14:paraId="3BF0A22E" w14:textId="77777777" w:rsidR="002365A9" w:rsidRPr="000548D9" w:rsidRDefault="002365A9" w:rsidP="002365A9">
            <w:pPr>
              <w:spacing w:after="60"/>
              <w:jc w:val="both"/>
            </w:pPr>
            <w:r w:rsidRPr="000548D9">
              <w:t>Aicinām svītrot informatīvā ziņojuma 4.sadaļā „2014. - 2020. gada plānošanas perioda ES fondu investīciju aktualitātes papildināto” un tā protokollēmuma projekta 6.punktā minēto prasību atbildīgajām iestādēm sniegt priekšlikumu iesniegšanu negatīvās fiskālās ietekmes neitralizēšanai, kas samazina attiecināmās izmaksas līdzīgā apmērā citā tās pārraudzībā esošā pašvaldības īstenotā ES fondu projektā, ja nepieciešama projekta attiecināmo izmaksu palielināšana. Minētais pamatots ar ministrijas ierobežotajām iespējām samazināt attiecināmās izmaksas citos tās pārraudzībā esošu specifisko atbalsta mērķu projektos, kur finansējuma saņēmēji ir pašvaldības. Tā piemēram, ievērojot Ministru kabineta 2019.gada 11.oktobra sēdē nolemto (protokols Nr.15; 30.§ 2.punkts), 8.prioritārā virziena „Izglītība, prasmes un mūžizglītība” ietvaros ar neatbilstoši veikto izdevumu un lauzto vienošanos rezultātā atbrīvoto finansējumu tiek kompensētas valsts budžeta virssaistības.</w:t>
            </w:r>
          </w:p>
          <w:p w14:paraId="198A9029" w14:textId="77777777" w:rsidR="002365A9" w:rsidRPr="000548D9" w:rsidRDefault="002365A9" w:rsidP="002365A9">
            <w:pPr>
              <w:spacing w:after="60"/>
              <w:jc w:val="both"/>
            </w:pPr>
            <w:r w:rsidRPr="000548D9">
              <w:t xml:space="preserve">Ministrija aicina nodrošināt iepriekš pieņemto lēmumu pēctecību, neapdraudot pašvaldību projektu īstenošanas pabeigšanu atbilstoši tajos plānotajiem mērķiem un rezultātiem – pilnībā modernizētas vispārējās izglītības iestādēs, kas ir būtiski izglītības funkcijas īstenošanai un īpaši uzsākot pilnveidotā izglītības satura ieviešanu. Vēršam uzmanību uz pašvaldībām doto paļāvību palielināt projekta attiecināmās izmaksas (Ministru kabineta 2018.gada gada 13.marta sēdē apstiprinātais informatīvais ziņojums „Informatīvais ziņojums „Par Kohēzijas politikas Eiropas Savienības fondu investīciju </w:t>
            </w:r>
            <w:r w:rsidRPr="000548D9">
              <w:lastRenderedPageBreak/>
              <w:t xml:space="preserve">progresu līdz 2017.gada 31.decembrim un 2018.gada februāra ikmēneša operatīvā informācija”” (protokols Nr.15; 30.§)), kas pašvaldībām īpaši saistošs kļuva pēc 2019.gada maija, kad tika ierobežoti Valsts kases izsniegti aizdevumi projekta neattiecināmo izmaksu segšanai. </w:t>
            </w:r>
          </w:p>
          <w:p w14:paraId="73C93960" w14:textId="77777777" w:rsidR="002365A9" w:rsidRPr="00925F57" w:rsidRDefault="002365A9" w:rsidP="002365A9">
            <w:pPr>
              <w:spacing w:after="60"/>
              <w:jc w:val="both"/>
            </w:pPr>
            <w:r w:rsidRPr="002365A9">
              <w:t xml:space="preserve">Ministrijas ieskatā būtu saglabājama vadošās iestādes 2018.gada 10.decembrī pieņemtā kārtība  attiecināmo izmaksu palielināšanas ierobežošanai, ja atbildīgā iestāde ir sniegusi saskaņojumu par </w:t>
            </w:r>
            <w:r w:rsidRPr="001B223C">
              <w:t>projekta īpašo tautsaimniecības nozīmi, un attiecināmo izmaksu palielināšana tiek veikta samazinot projekta neattiecināmas izmaksas, kas pēc būtības ir attiecināmas atbilstoši Ministru kabineta noteikumiem par attiecīgo specifisko atbalsta mērķa īstenošanu. Turklāt šāds risinājums, ministrijas ieskatā, mazina Valsts kases ierobežoto aizdevumu izsniegšanas radītās sekas, kas informatīvā ziņojuma projekta 4.sadaļā „2014. - 2020. gada plānošanas perioda ES fondu investīciju aktualitātes”</w:t>
            </w:r>
            <w:r w:rsidRPr="00925F57">
              <w:t xml:space="preserve"> ir raksturota kā finansējuma saņēmējam iepriekš neparedzama ietekme. </w:t>
            </w:r>
          </w:p>
          <w:p w14:paraId="04DA17D5" w14:textId="09AB18D5" w:rsidR="002365A9" w:rsidRPr="006F5B38" w:rsidRDefault="002365A9" w:rsidP="002365A9">
            <w:pPr>
              <w:pStyle w:val="NoSpacing"/>
              <w:jc w:val="both"/>
              <w:rPr>
                <w:rFonts w:ascii="Times New Roman" w:hAnsi="Times New Roman" w:cs="Times New Roman"/>
                <w:b/>
                <w:sz w:val="24"/>
                <w:szCs w:val="24"/>
              </w:rPr>
            </w:pPr>
            <w:r w:rsidRPr="002365A9">
              <w:rPr>
                <w:rFonts w:ascii="Times New Roman" w:hAnsi="Times New Roman" w:cs="Times New Roman"/>
                <w:sz w:val="24"/>
                <w:szCs w:val="24"/>
              </w:rPr>
              <w:t>Papildus vēršam uzmanību, ka Nacionālā attīstības plāna 2021.-2027.gadam saskaņošanas laikā netika atbalstītas Eiropas Reģionālā attīstības fonda investīcijas turpmākai vispārējās izglītības iestāžu infrastruktūras pilnveidei, attiecīgi ministrijas ieskatā ir būtiski nesamazināt pašvaldību jau šobrīd īstenošanā esošo projektu apjomu.</w:t>
            </w:r>
          </w:p>
        </w:tc>
        <w:tc>
          <w:tcPr>
            <w:tcW w:w="2700" w:type="dxa"/>
            <w:tcBorders>
              <w:left w:val="single" w:sz="4" w:space="0" w:color="auto"/>
              <w:right w:val="single" w:sz="4" w:space="0" w:color="auto"/>
            </w:tcBorders>
          </w:tcPr>
          <w:p w14:paraId="12D74E45" w14:textId="77777777" w:rsidR="002365A9" w:rsidRDefault="002365A9" w:rsidP="00975021">
            <w:pPr>
              <w:pStyle w:val="naisc"/>
              <w:jc w:val="both"/>
              <w:rPr>
                <w:b/>
                <w:lang w:eastAsia="en-US"/>
              </w:rPr>
            </w:pPr>
            <w:r>
              <w:rPr>
                <w:b/>
                <w:lang w:eastAsia="en-US"/>
              </w:rPr>
              <w:lastRenderedPageBreak/>
              <w:t>Ņemts vērā.</w:t>
            </w:r>
          </w:p>
          <w:p w14:paraId="3DD0EAB8" w14:textId="299D5CCA" w:rsidR="002365A9" w:rsidRPr="002365A9" w:rsidRDefault="002365A9" w:rsidP="00975021">
            <w:pPr>
              <w:pStyle w:val="naisc"/>
              <w:jc w:val="both"/>
              <w:rPr>
                <w:lang w:eastAsia="en-US"/>
              </w:rPr>
            </w:pPr>
            <w:r w:rsidRPr="002365A9">
              <w:rPr>
                <w:lang w:eastAsia="en-US"/>
              </w:rPr>
              <w:t>Dzēst</w:t>
            </w:r>
            <w:r w:rsidR="00574B16">
              <w:rPr>
                <w:lang w:eastAsia="en-US"/>
              </w:rPr>
              <w:t xml:space="preserve">s teksts ziņojuma 4.sadaļā un </w:t>
            </w:r>
            <w:r w:rsidRPr="002365A9">
              <w:rPr>
                <w:lang w:eastAsia="en-US"/>
              </w:rPr>
              <w:t xml:space="preserve"> protokollēmuma projekta 6. punkts.</w:t>
            </w:r>
          </w:p>
        </w:tc>
        <w:tc>
          <w:tcPr>
            <w:tcW w:w="2259" w:type="dxa"/>
            <w:tcBorders>
              <w:left w:val="single" w:sz="4" w:space="0" w:color="auto"/>
              <w:right w:val="single" w:sz="4" w:space="0" w:color="auto"/>
            </w:tcBorders>
          </w:tcPr>
          <w:p w14:paraId="6E03A86B" w14:textId="77777777" w:rsidR="002365A9" w:rsidRPr="000D0380" w:rsidRDefault="002365A9" w:rsidP="002365A9">
            <w:pPr>
              <w:pStyle w:val="Default"/>
              <w:jc w:val="both"/>
            </w:pPr>
            <w:r w:rsidRPr="002365A9">
              <w:t xml:space="preserve">Skatīt precizētu informatīvā ziņojuma </w:t>
            </w:r>
            <w:r w:rsidRPr="002365A9">
              <w:rPr>
                <w:rFonts w:eastAsiaTheme="minorHAnsi"/>
              </w:rPr>
              <w:t>4. sadaļu.</w:t>
            </w:r>
          </w:p>
          <w:p w14:paraId="12C9725B" w14:textId="3B8974A9" w:rsidR="002365A9" w:rsidRPr="000D0380" w:rsidRDefault="002365A9" w:rsidP="002365A9">
            <w:pPr>
              <w:pStyle w:val="Default"/>
              <w:jc w:val="both"/>
            </w:pPr>
          </w:p>
        </w:tc>
      </w:tr>
      <w:tr w:rsidR="00975021" w:rsidRPr="000D0380" w14:paraId="2DEEC709" w14:textId="77777777" w:rsidTr="006C2AE0">
        <w:trPr>
          <w:trHeight w:val="699"/>
        </w:trPr>
        <w:tc>
          <w:tcPr>
            <w:tcW w:w="988" w:type="dxa"/>
            <w:tcBorders>
              <w:top w:val="single" w:sz="4" w:space="0" w:color="auto"/>
              <w:left w:val="single" w:sz="4" w:space="0" w:color="auto"/>
              <w:bottom w:val="single" w:sz="4" w:space="0" w:color="auto"/>
              <w:right w:val="single" w:sz="4" w:space="0" w:color="auto"/>
            </w:tcBorders>
          </w:tcPr>
          <w:p w14:paraId="3DF8274F" w14:textId="77777777" w:rsidR="00975021" w:rsidRPr="000D0380" w:rsidRDefault="00975021" w:rsidP="00975021">
            <w:pPr>
              <w:pStyle w:val="naisc"/>
              <w:numPr>
                <w:ilvl w:val="0"/>
                <w:numId w:val="4"/>
              </w:numPr>
              <w:tabs>
                <w:tab w:val="left" w:pos="360"/>
              </w:tabs>
              <w:spacing w:before="0" w:after="0"/>
              <w:jc w:val="both"/>
              <w:rPr>
                <w:lang w:eastAsia="en-US"/>
              </w:rPr>
            </w:pPr>
          </w:p>
        </w:tc>
        <w:tc>
          <w:tcPr>
            <w:tcW w:w="2697" w:type="dxa"/>
            <w:tcBorders>
              <w:top w:val="single" w:sz="4" w:space="0" w:color="auto"/>
              <w:left w:val="single" w:sz="4" w:space="0" w:color="auto"/>
              <w:bottom w:val="single" w:sz="4" w:space="0" w:color="auto"/>
              <w:right w:val="single" w:sz="4" w:space="0" w:color="auto"/>
            </w:tcBorders>
          </w:tcPr>
          <w:p w14:paraId="4651B30F" w14:textId="07018216" w:rsidR="00975021" w:rsidRPr="000D0380" w:rsidRDefault="00975021" w:rsidP="00975021">
            <w:pPr>
              <w:jc w:val="both"/>
              <w:rPr>
                <w:rFonts w:eastAsiaTheme="minorHAnsi"/>
                <w:lang w:eastAsia="en-US"/>
              </w:rPr>
            </w:pPr>
            <w:r w:rsidRPr="000D0380">
              <w:rPr>
                <w:rFonts w:eastAsiaTheme="minorHAnsi"/>
                <w:lang w:eastAsia="en-US"/>
              </w:rPr>
              <w:t>Informatīvā ziņojuma 4.</w:t>
            </w:r>
            <w:r w:rsidR="00A8203A">
              <w:rPr>
                <w:rFonts w:eastAsiaTheme="minorHAnsi"/>
                <w:lang w:eastAsia="en-US"/>
              </w:rPr>
              <w:t> </w:t>
            </w:r>
            <w:r w:rsidRPr="000D0380">
              <w:rPr>
                <w:rFonts w:eastAsiaTheme="minorHAnsi"/>
                <w:lang w:eastAsia="en-US"/>
              </w:rPr>
              <w:t xml:space="preserve">sadaļas “2014. - 2020. gada plānošanas perioda ES fondu investīciju aktualitātes” </w:t>
            </w:r>
          </w:p>
          <w:p w14:paraId="7408D35E" w14:textId="45C8D918" w:rsidR="00975021" w:rsidRPr="000D0380" w:rsidRDefault="00A8203A" w:rsidP="00975021">
            <w:pPr>
              <w:jc w:val="both"/>
              <w:rPr>
                <w:rFonts w:eastAsiaTheme="minorHAnsi"/>
                <w:lang w:eastAsia="en-US"/>
              </w:rPr>
            </w:pPr>
            <w:r>
              <w:rPr>
                <w:rFonts w:eastAsiaTheme="minorHAnsi"/>
                <w:lang w:eastAsia="en-US"/>
              </w:rPr>
              <w:t>u</w:t>
            </w:r>
            <w:r w:rsidR="00975021" w:rsidRPr="000D0380">
              <w:rPr>
                <w:rFonts w:eastAsiaTheme="minorHAnsi"/>
                <w:lang w:eastAsia="en-US"/>
              </w:rPr>
              <w:t>n</w:t>
            </w:r>
            <w:r>
              <w:rPr>
                <w:rFonts w:eastAsiaTheme="minorHAnsi"/>
                <w:lang w:eastAsia="en-US"/>
              </w:rPr>
              <w:t xml:space="preserve"> </w:t>
            </w:r>
            <w:r w:rsidR="00975021" w:rsidRPr="0079730D">
              <w:rPr>
                <w:rFonts w:eastAsiaTheme="minorHAnsi"/>
                <w:lang w:eastAsia="en-US"/>
              </w:rPr>
              <w:t>informatīvā ziņojuma protokollēmuma projekts</w:t>
            </w:r>
            <w:r w:rsidR="00944DD4">
              <w:rPr>
                <w:rFonts w:eastAsiaTheme="minorHAnsi"/>
                <w:lang w:eastAsia="en-US"/>
              </w:rPr>
              <w:t>.</w:t>
            </w:r>
          </w:p>
        </w:tc>
        <w:tc>
          <w:tcPr>
            <w:tcW w:w="6660" w:type="dxa"/>
            <w:tcBorders>
              <w:top w:val="single" w:sz="4" w:space="0" w:color="auto"/>
              <w:left w:val="single" w:sz="4" w:space="0" w:color="auto"/>
              <w:bottom w:val="single" w:sz="4" w:space="0" w:color="auto"/>
              <w:right w:val="single" w:sz="4" w:space="0" w:color="auto"/>
            </w:tcBorders>
          </w:tcPr>
          <w:p w14:paraId="0B957D9A" w14:textId="11C37869" w:rsidR="00975021" w:rsidRPr="000D0380" w:rsidRDefault="00975021" w:rsidP="00975021">
            <w:pPr>
              <w:widowControl w:val="0"/>
              <w:jc w:val="both"/>
              <w:rPr>
                <w:b/>
                <w:lang w:eastAsia="en-US"/>
              </w:rPr>
            </w:pPr>
            <w:r w:rsidRPr="000D0380">
              <w:rPr>
                <w:b/>
                <w:lang w:eastAsia="en-US"/>
              </w:rPr>
              <w:t>Iebildums</w:t>
            </w:r>
          </w:p>
          <w:p w14:paraId="39922F6C" w14:textId="513F7C6F" w:rsidR="00975021" w:rsidRPr="000D0380" w:rsidRDefault="00975021" w:rsidP="00975021">
            <w:pPr>
              <w:widowControl w:val="0"/>
              <w:jc w:val="both"/>
              <w:rPr>
                <w:b/>
                <w:lang w:eastAsia="en-US"/>
              </w:rPr>
            </w:pPr>
            <w:r w:rsidRPr="000D0380">
              <w:rPr>
                <w:b/>
                <w:lang w:eastAsia="en-US"/>
              </w:rPr>
              <w:t>Labklājības ministrija</w:t>
            </w:r>
          </w:p>
          <w:p w14:paraId="38321721" w14:textId="36B730DA" w:rsidR="00975021" w:rsidRPr="000D0380" w:rsidRDefault="00975021" w:rsidP="00975021">
            <w:pPr>
              <w:widowControl w:val="0"/>
              <w:jc w:val="both"/>
              <w:rPr>
                <w:lang w:eastAsia="en-US"/>
              </w:rPr>
            </w:pPr>
            <w:r w:rsidRPr="000D0380">
              <w:rPr>
                <w:lang w:eastAsia="en-US"/>
              </w:rPr>
              <w:t>Lūdzam FM papildināt informatīvā ziņojuma 4.</w:t>
            </w:r>
            <w:r w:rsidR="00A8203A">
              <w:rPr>
                <w:lang w:eastAsia="en-US"/>
              </w:rPr>
              <w:t> </w:t>
            </w:r>
            <w:r w:rsidRPr="000D0380">
              <w:rPr>
                <w:lang w:eastAsia="en-US"/>
              </w:rPr>
              <w:t>sadaļas “2014.-2020.</w:t>
            </w:r>
            <w:r w:rsidR="00A8203A">
              <w:rPr>
                <w:lang w:eastAsia="en-US"/>
              </w:rPr>
              <w:t> </w:t>
            </w:r>
            <w:r w:rsidRPr="000D0380">
              <w:rPr>
                <w:lang w:eastAsia="en-US"/>
              </w:rPr>
              <w:t>gada plānošanas perioda ES fondu investīciju aktualitātes” apakšsadaļu “2019.</w:t>
            </w:r>
            <w:r w:rsidR="00A8203A">
              <w:rPr>
                <w:lang w:eastAsia="en-US"/>
              </w:rPr>
              <w:t> </w:t>
            </w:r>
            <w:r w:rsidRPr="000D0380">
              <w:rPr>
                <w:lang w:eastAsia="en-US"/>
              </w:rPr>
              <w:t>gada projektu ieviešanas plānu izpilde” un protokollēmuma projektu ar informāciju par šādiem LM pārziņas projektiem:</w:t>
            </w:r>
          </w:p>
          <w:p w14:paraId="74AE1F1B" w14:textId="62796E29" w:rsidR="00975021" w:rsidRPr="000D0380" w:rsidRDefault="00975021" w:rsidP="00975021">
            <w:pPr>
              <w:widowControl w:val="0"/>
              <w:ind w:firstLine="467"/>
              <w:jc w:val="both"/>
              <w:rPr>
                <w:lang w:eastAsia="en-US"/>
              </w:rPr>
            </w:pPr>
            <w:r w:rsidRPr="000D0380">
              <w:rPr>
                <w:lang w:eastAsia="en-US"/>
              </w:rPr>
              <w:t>a.</w:t>
            </w:r>
            <w:r w:rsidRPr="000D0380">
              <w:rPr>
                <w:lang w:eastAsia="en-US"/>
              </w:rPr>
              <w:tab/>
              <w:t xml:space="preserve">Jēkabpils pilsētas pašvaldības projekts Nr.9.3.1.1/18/I/001 “Infrastruktūras izveide sabiedrībā balstītu sociālo pakalpojumu nodrošināšanai dzīvesvietā” – minētā projekta ietvaros 2019.gadā </w:t>
            </w:r>
            <w:r w:rsidRPr="000D0380">
              <w:rPr>
                <w:lang w:eastAsia="en-US"/>
              </w:rPr>
              <w:lastRenderedPageBreak/>
              <w:t xml:space="preserve">iesniegti maksājumi par 58 916,09 </w:t>
            </w:r>
            <w:r w:rsidRPr="00DE5F5D">
              <w:rPr>
                <w:i/>
                <w:lang w:eastAsia="en-US"/>
              </w:rPr>
              <w:t>euro</w:t>
            </w:r>
            <w:r w:rsidRPr="000D0380">
              <w:rPr>
                <w:lang w:eastAsia="en-US"/>
              </w:rPr>
              <w:t xml:space="preserve"> jeb 15,46% no plānotā. Saskaņā ar MK noteikumu Nr.784 51.3 punktu projektam būtu jāsamazina finansējums par 226 974,15 </w:t>
            </w:r>
            <w:r w:rsidRPr="0086260A">
              <w:rPr>
                <w:i/>
                <w:lang w:eastAsia="en-US"/>
              </w:rPr>
              <w:t>euro</w:t>
            </w:r>
            <w:r w:rsidRPr="000D0380">
              <w:rPr>
                <w:lang w:eastAsia="en-US"/>
              </w:rPr>
              <w:t>. Plāna izpildes novirzi lielāku par 25% finansējuma saņēmējs skaidro ar domes lēmumu par finansējuma piešķiršanu būvprojekta izmaiņu veikšanai, izmainot sākotnējos projekta risinājumus (līdz ar to atbilstoši Publisko iepirkumu likumam bija jāveic jauns iepirkums, kas pēc visas nepieciešamās iepirkuma dokumentācijas sagatavošanas, tika izsludināts 2019.gada 15.novembrī, šobrīd notiek piedāvājumu izvērtēšana);</w:t>
            </w:r>
          </w:p>
          <w:p w14:paraId="56EC5202" w14:textId="77777777" w:rsidR="00975021" w:rsidRPr="000D0380" w:rsidRDefault="00975021" w:rsidP="00975021">
            <w:pPr>
              <w:widowControl w:val="0"/>
              <w:ind w:firstLine="609"/>
              <w:jc w:val="both"/>
              <w:rPr>
                <w:lang w:eastAsia="en-US"/>
              </w:rPr>
            </w:pPr>
            <w:r w:rsidRPr="000D0380">
              <w:rPr>
                <w:lang w:eastAsia="en-US"/>
              </w:rPr>
              <w:t xml:space="preserve">b. Cēsu novada pašvaldības projekts Nr.9.3.1.1/18/I/006 "Daudzfunkcionālais sociālo pakalpojumu centrs “Cēsis”” – minētā projekta ietvaros 2019.gadā iesniegti maksājumi par 33 007,25 </w:t>
            </w:r>
            <w:r w:rsidRPr="0086260A">
              <w:rPr>
                <w:i/>
                <w:lang w:eastAsia="en-US"/>
              </w:rPr>
              <w:t>euro</w:t>
            </w:r>
            <w:r w:rsidRPr="000D0380">
              <w:rPr>
                <w:lang w:eastAsia="en-US"/>
              </w:rPr>
              <w:t xml:space="preserve"> jeb 18,54% no plānotā. Saskaņā ar MK noteikumu Nr.784 51.3 punktu projektam būtu jāsamazina finansējums par 100 549,48 </w:t>
            </w:r>
            <w:r w:rsidRPr="0086260A">
              <w:rPr>
                <w:i/>
                <w:lang w:eastAsia="en-US"/>
              </w:rPr>
              <w:t>euro</w:t>
            </w:r>
            <w:r w:rsidRPr="000D0380">
              <w:rPr>
                <w:lang w:eastAsia="en-US"/>
              </w:rPr>
              <w:t>. Plāna izpildes novirzi lielāku par 25% finansējuma saņēmējs skaidro ar projektēšanas līguma ietvaros pakalpojuma sniedzēja līgumsaistību izpildes termiņa neievērošanu, kas ir kavējis projekta realizācijas gaitu un tehniskās specifikācijas sagatavošanu iepirkuma izsludināšanai būvniecībai. Jāmin arī, ka, lai neveicinātu vēl lielāku novirzi projektā no sākotnējā laika grafika, finansējuma saņēmējs nepārtrauca līgumsaistības un neveica jaunu iepirkumu, bet ir ticis piemērots līgumsods;</w:t>
            </w:r>
          </w:p>
          <w:p w14:paraId="4312F2AA" w14:textId="77777777" w:rsidR="00975021" w:rsidRPr="000D0380" w:rsidRDefault="00975021" w:rsidP="00975021">
            <w:pPr>
              <w:widowControl w:val="0"/>
              <w:ind w:firstLine="751"/>
              <w:jc w:val="both"/>
              <w:rPr>
                <w:lang w:eastAsia="en-US"/>
              </w:rPr>
            </w:pPr>
            <w:r w:rsidRPr="000D0380">
              <w:rPr>
                <w:lang w:eastAsia="en-US"/>
              </w:rPr>
              <w:t xml:space="preserve">c. Raunas novada pašvaldības projekts Nr.9.3.1.1/18/I/028 “Pakalpojumu infrastruktūras attīstība deinstitucionalizācijas plāna īstenošanai Raunas novadā” – minētā projekta ietvaros 2019.gadā iesniegti maksājumi par 0,00 </w:t>
            </w:r>
            <w:r w:rsidRPr="0086260A">
              <w:rPr>
                <w:i/>
                <w:lang w:eastAsia="en-US"/>
              </w:rPr>
              <w:t>euro</w:t>
            </w:r>
            <w:r w:rsidRPr="000D0380">
              <w:rPr>
                <w:lang w:eastAsia="en-US"/>
              </w:rPr>
              <w:t xml:space="preserve"> jeb 0,00% no plānotā. Saskaņā ar MK noteikumu Nr.784 51.3 punktu projektam būtu jāsamazina finansējums par 23 416,74 </w:t>
            </w:r>
            <w:r w:rsidRPr="0086260A">
              <w:rPr>
                <w:i/>
                <w:lang w:eastAsia="en-US"/>
              </w:rPr>
              <w:t>euro</w:t>
            </w:r>
            <w:r w:rsidRPr="000D0380">
              <w:rPr>
                <w:lang w:eastAsia="en-US"/>
              </w:rPr>
              <w:t xml:space="preserve">. Plāna izpildes novirzi lielāku par 25% finansējuma saņēmējs skaidro ar to, ka vienai no divām projekta aktivitātēm aizkavējās tehniskās dokumentācijas izstrāde un attiecīgi būvniecības iepirkums. </w:t>
            </w:r>
          </w:p>
          <w:p w14:paraId="11A1BCE8" w14:textId="48F438BA" w:rsidR="00975021" w:rsidRPr="000D0380" w:rsidRDefault="00975021" w:rsidP="00975021">
            <w:pPr>
              <w:pStyle w:val="NoSpacing"/>
              <w:jc w:val="both"/>
              <w:rPr>
                <w:rFonts w:ascii="Times New Roman" w:hAnsi="Times New Roman" w:cs="Times New Roman"/>
                <w:b/>
                <w:sz w:val="24"/>
                <w:szCs w:val="24"/>
              </w:rPr>
            </w:pPr>
            <w:r w:rsidRPr="000D0380">
              <w:rPr>
                <w:rFonts w:ascii="Times New Roman" w:hAnsi="Times New Roman" w:cs="Times New Roman"/>
                <w:sz w:val="24"/>
                <w:szCs w:val="24"/>
              </w:rPr>
              <w:t xml:space="preserve">Ņemot vērā finansējuma saņēmēja sniegtos skaidrojumus, kas liecina, ka novirzes radušās lielākoties ne to vainas dēļ, kā arī ņemot </w:t>
            </w:r>
            <w:r w:rsidRPr="000D0380">
              <w:rPr>
                <w:rFonts w:ascii="Times New Roman" w:hAnsi="Times New Roman" w:cs="Times New Roman"/>
                <w:sz w:val="24"/>
                <w:szCs w:val="24"/>
              </w:rPr>
              <w:lastRenderedPageBreak/>
              <w:t>vērā, ka atbilstoši LM pieejamai informācijai KP VIS secināms, ka Jēkabpils pilsētas pašvaldības projektā (2020.gada 27.janvārī) un Raunas novada pašvaldības projektā (2020.gada 22.janvārī) finansējuma saņēmēji ir iesnieguši avansa pieprasījumus, kas pilnībā nosedz neapgūto summu 2019. gadā, lūdzam informāciju par projektiem iekļaut informatīvajā ziņojumā un uz minētajiem projektiem piemērot MK noteikumu Nr.784 51.47.apakšpunktā noteikto izņēmumu disciplīnas sankciju nenoteikšanai. LM atbalsta izņēmuma piemērošanu, jo 9.3.1.1.pasākuma “Pakalpojumu infrastruktūras attīstība deinstitucionalizācijas plānu īstenošanai” projekti ir ar īpašu tautsaimniecības nozīmi un disciplīnas sankciju piemērošana var negatīvi ietekmēt to īstenošanu, jo īpaši projektu mērķa grupas personu (cilvēki ar garīga rakstura traucējumiem, bērni ar funkcionāliem traucējumiem un ārpusģimenes aprūpē esoši bērni), kas ir vismazāk aizsargātākās sabiedrības grupas, iespējas saņemt pakalpojumus;</w:t>
            </w:r>
          </w:p>
        </w:tc>
        <w:tc>
          <w:tcPr>
            <w:tcW w:w="2700" w:type="dxa"/>
            <w:tcBorders>
              <w:top w:val="single" w:sz="4" w:space="0" w:color="auto"/>
              <w:left w:val="single" w:sz="4" w:space="0" w:color="auto"/>
              <w:bottom w:val="single" w:sz="4" w:space="0" w:color="auto"/>
              <w:right w:val="single" w:sz="4" w:space="0" w:color="auto"/>
            </w:tcBorders>
          </w:tcPr>
          <w:p w14:paraId="04D8B839" w14:textId="3B15C0D9" w:rsidR="00975021" w:rsidRPr="000D0380" w:rsidRDefault="00975021" w:rsidP="00975021">
            <w:pPr>
              <w:pStyle w:val="naisc"/>
              <w:spacing w:before="0" w:after="0"/>
              <w:jc w:val="both"/>
              <w:rPr>
                <w:b/>
                <w:lang w:eastAsia="en-US"/>
              </w:rPr>
            </w:pPr>
            <w:r w:rsidRPr="00E4506B">
              <w:rPr>
                <w:b/>
                <w:lang w:eastAsia="en-US"/>
              </w:rPr>
              <w:lastRenderedPageBreak/>
              <w:t>Ņemts vērā</w:t>
            </w:r>
            <w:r>
              <w:rPr>
                <w:b/>
                <w:lang w:eastAsia="en-US"/>
              </w:rPr>
              <w:t xml:space="preserve"> </w:t>
            </w:r>
            <w:r>
              <w:rPr>
                <w:lang w:eastAsia="en-US"/>
              </w:rPr>
              <w:t xml:space="preserve">pēc būtības. </w:t>
            </w:r>
            <w:r w:rsidRPr="000D0380">
              <w:rPr>
                <w:lang w:eastAsia="en-US"/>
              </w:rPr>
              <w:t>Informatīvais ziņojums papildināts ar vispārīgu informāciju par gadījumiem, par kuriem j</w:t>
            </w:r>
            <w:r>
              <w:rPr>
                <w:lang w:eastAsia="en-US"/>
              </w:rPr>
              <w:t>ālemj MK ar atsauci uz pielikumiem</w:t>
            </w:r>
            <w:r w:rsidRPr="000D0380">
              <w:rPr>
                <w:lang w:eastAsia="en-US"/>
              </w:rPr>
              <w:t xml:space="preserve"> </w:t>
            </w:r>
            <w:r>
              <w:rPr>
                <w:lang w:eastAsia="en-US"/>
              </w:rPr>
              <w:t>ar detalizētu informāciju</w:t>
            </w:r>
            <w:r w:rsidRPr="000D0380">
              <w:rPr>
                <w:lang w:eastAsia="en-US"/>
              </w:rPr>
              <w:t>.</w:t>
            </w:r>
          </w:p>
        </w:tc>
        <w:tc>
          <w:tcPr>
            <w:tcW w:w="2259" w:type="dxa"/>
            <w:tcBorders>
              <w:top w:val="single" w:sz="4" w:space="0" w:color="auto"/>
              <w:left w:val="single" w:sz="4" w:space="0" w:color="auto"/>
              <w:bottom w:val="single" w:sz="4" w:space="0" w:color="auto"/>
              <w:right w:val="single" w:sz="4" w:space="0" w:color="auto"/>
            </w:tcBorders>
          </w:tcPr>
          <w:p w14:paraId="09200F11" w14:textId="1B667EC5" w:rsidR="00975021" w:rsidRPr="000D0380" w:rsidRDefault="00975021" w:rsidP="00975021">
            <w:pPr>
              <w:spacing w:before="120" w:after="120"/>
            </w:pPr>
            <w:r w:rsidRPr="000D0380">
              <w:t>Skatīt precizē</w:t>
            </w:r>
            <w:r>
              <w:t>tu i</w:t>
            </w:r>
            <w:r w:rsidRPr="000D0380">
              <w:t>nformatīvā ziņojuma</w:t>
            </w:r>
            <w:r>
              <w:t xml:space="preserve"> </w:t>
            </w:r>
            <w:r w:rsidRPr="000D0380">
              <w:rPr>
                <w:rFonts w:eastAsiaTheme="minorHAnsi"/>
              </w:rPr>
              <w:t>4.</w:t>
            </w:r>
            <w:r w:rsidR="00A8203A">
              <w:rPr>
                <w:rFonts w:eastAsiaTheme="minorHAnsi"/>
              </w:rPr>
              <w:t> </w:t>
            </w:r>
            <w:r w:rsidRPr="000D0380">
              <w:rPr>
                <w:rFonts w:eastAsiaTheme="minorHAnsi"/>
              </w:rPr>
              <w:t>sadaļ</w:t>
            </w:r>
            <w:r>
              <w:rPr>
                <w:rFonts w:eastAsiaTheme="minorHAnsi"/>
              </w:rPr>
              <w:t>u,</w:t>
            </w:r>
            <w:r>
              <w:t xml:space="preserve"> attiecīgos </w:t>
            </w:r>
            <w:r w:rsidRPr="000D0380">
              <w:t>pielikumu</w:t>
            </w:r>
            <w:r>
              <w:t>s</w:t>
            </w:r>
            <w:r w:rsidRPr="000D0380">
              <w:t xml:space="preserve"> </w:t>
            </w:r>
            <w:r>
              <w:t xml:space="preserve">un </w:t>
            </w:r>
            <w:r w:rsidRPr="000D0380">
              <w:rPr>
                <w:rFonts w:eastAsiaTheme="minorHAnsi"/>
              </w:rPr>
              <w:t xml:space="preserve"> protokollēmuma</w:t>
            </w:r>
            <w:r>
              <w:rPr>
                <w:rFonts w:eastAsiaTheme="minorHAnsi"/>
              </w:rPr>
              <w:t xml:space="preserve"> projekta </w:t>
            </w:r>
            <w:r w:rsidR="00925F57">
              <w:rPr>
                <w:rFonts w:eastAsiaTheme="minorHAnsi"/>
              </w:rPr>
              <w:t>6</w:t>
            </w:r>
            <w:r>
              <w:rPr>
                <w:rFonts w:eastAsiaTheme="minorHAnsi"/>
              </w:rPr>
              <w:t>. punktu.</w:t>
            </w:r>
          </w:p>
        </w:tc>
      </w:tr>
      <w:tr w:rsidR="00975021" w:rsidRPr="000D0380" w14:paraId="702A289E" w14:textId="77777777" w:rsidTr="006C2AE0">
        <w:trPr>
          <w:trHeight w:val="699"/>
        </w:trPr>
        <w:tc>
          <w:tcPr>
            <w:tcW w:w="988" w:type="dxa"/>
            <w:tcBorders>
              <w:top w:val="single" w:sz="4" w:space="0" w:color="auto"/>
              <w:left w:val="single" w:sz="4" w:space="0" w:color="auto"/>
              <w:bottom w:val="single" w:sz="4" w:space="0" w:color="auto"/>
              <w:right w:val="single" w:sz="4" w:space="0" w:color="auto"/>
            </w:tcBorders>
          </w:tcPr>
          <w:p w14:paraId="73955F3F" w14:textId="77777777" w:rsidR="00975021" w:rsidRPr="000D0380" w:rsidRDefault="00975021" w:rsidP="00975021">
            <w:pPr>
              <w:pStyle w:val="naisc"/>
              <w:numPr>
                <w:ilvl w:val="0"/>
                <w:numId w:val="4"/>
              </w:numPr>
              <w:tabs>
                <w:tab w:val="left" w:pos="360"/>
              </w:tabs>
              <w:spacing w:before="0" w:after="0"/>
              <w:jc w:val="both"/>
              <w:rPr>
                <w:lang w:eastAsia="en-US"/>
              </w:rPr>
            </w:pPr>
          </w:p>
        </w:tc>
        <w:tc>
          <w:tcPr>
            <w:tcW w:w="2697" w:type="dxa"/>
            <w:tcBorders>
              <w:top w:val="single" w:sz="4" w:space="0" w:color="auto"/>
              <w:left w:val="single" w:sz="4" w:space="0" w:color="auto"/>
              <w:bottom w:val="single" w:sz="4" w:space="0" w:color="auto"/>
              <w:right w:val="single" w:sz="4" w:space="0" w:color="auto"/>
            </w:tcBorders>
          </w:tcPr>
          <w:p w14:paraId="4473DFEF" w14:textId="60E92CED" w:rsidR="00975021" w:rsidRPr="000D0380" w:rsidRDefault="00975021" w:rsidP="00975021">
            <w:pPr>
              <w:jc w:val="both"/>
              <w:rPr>
                <w:rFonts w:eastAsiaTheme="minorHAnsi"/>
                <w:lang w:eastAsia="en-US"/>
              </w:rPr>
            </w:pPr>
            <w:r w:rsidRPr="000D0380">
              <w:rPr>
                <w:rFonts w:eastAsiaTheme="minorHAnsi"/>
                <w:lang w:eastAsia="en-US"/>
              </w:rPr>
              <w:t>Informatīvā ziņojuma 4. sadaļas ”2014-2020</w:t>
            </w:r>
            <w:r w:rsidRPr="000D0380">
              <w:t xml:space="preserve"> </w:t>
            </w:r>
            <w:r w:rsidRPr="000D0380">
              <w:rPr>
                <w:rFonts w:eastAsiaTheme="minorHAnsi"/>
                <w:lang w:eastAsia="en-US"/>
              </w:rPr>
              <w:t xml:space="preserve">gada plānošanas perioda ES fondu investīciju aktualitātes” </w:t>
            </w:r>
            <w:r w:rsidRPr="000D0380">
              <w:rPr>
                <w:iCs/>
              </w:rPr>
              <w:t>apakšsadaļ</w:t>
            </w:r>
            <w:r>
              <w:rPr>
                <w:iCs/>
              </w:rPr>
              <w:t>a</w:t>
            </w:r>
            <w:r w:rsidRPr="000D0380">
              <w:rPr>
                <w:iCs/>
              </w:rPr>
              <w:t xml:space="preserve"> </w:t>
            </w:r>
            <w:r>
              <w:rPr>
                <w:iCs/>
              </w:rPr>
              <w:t>“</w:t>
            </w:r>
            <w:r w:rsidRPr="000D0380">
              <w:rPr>
                <w:iCs/>
              </w:rPr>
              <w:t>2019. gada projektu ieviešanas plānu izpilde</w:t>
            </w:r>
            <w:r>
              <w:rPr>
                <w:iCs/>
              </w:rPr>
              <w:t>”</w:t>
            </w:r>
            <w:r w:rsidR="00944DD4">
              <w:rPr>
                <w:iCs/>
              </w:rPr>
              <w:t>.</w:t>
            </w:r>
          </w:p>
        </w:tc>
        <w:tc>
          <w:tcPr>
            <w:tcW w:w="6660" w:type="dxa"/>
            <w:tcBorders>
              <w:top w:val="single" w:sz="4" w:space="0" w:color="auto"/>
              <w:left w:val="single" w:sz="4" w:space="0" w:color="auto"/>
              <w:bottom w:val="single" w:sz="4" w:space="0" w:color="auto"/>
              <w:right w:val="single" w:sz="4" w:space="0" w:color="auto"/>
            </w:tcBorders>
          </w:tcPr>
          <w:p w14:paraId="0682CDFC" w14:textId="534793E8" w:rsidR="00975021" w:rsidRPr="000D0380" w:rsidRDefault="00975021" w:rsidP="00975021">
            <w:pPr>
              <w:widowControl w:val="0"/>
              <w:jc w:val="both"/>
              <w:rPr>
                <w:b/>
                <w:lang w:eastAsia="en-US"/>
              </w:rPr>
            </w:pPr>
            <w:r w:rsidRPr="000D0380">
              <w:rPr>
                <w:b/>
                <w:lang w:eastAsia="en-US"/>
              </w:rPr>
              <w:t>Iebildums</w:t>
            </w:r>
          </w:p>
          <w:p w14:paraId="255F7E89" w14:textId="1B1B6F20" w:rsidR="00975021" w:rsidRPr="000D0380" w:rsidRDefault="00975021" w:rsidP="00975021">
            <w:pPr>
              <w:widowControl w:val="0"/>
              <w:jc w:val="both"/>
              <w:rPr>
                <w:b/>
                <w:lang w:eastAsia="en-US"/>
              </w:rPr>
            </w:pPr>
            <w:r w:rsidRPr="000D0380">
              <w:rPr>
                <w:b/>
                <w:lang w:eastAsia="en-US"/>
              </w:rPr>
              <w:t>Tieslietu ministrija</w:t>
            </w:r>
          </w:p>
          <w:p w14:paraId="5B860B0F" w14:textId="77777777" w:rsidR="00975021" w:rsidRPr="000D0380" w:rsidRDefault="00975021" w:rsidP="00975021">
            <w:pPr>
              <w:jc w:val="both"/>
              <w:rPr>
                <w:iCs/>
              </w:rPr>
            </w:pPr>
            <w:r w:rsidRPr="000D0380">
              <w:rPr>
                <w:iCs/>
              </w:rPr>
              <w:t>1. Lūdzam ziņojuma ceturtās sadaļas apakšsadaļu "2019. gada projektu ieviešanas plānu izpilde" papildināt ar šādu informāciju:</w:t>
            </w:r>
          </w:p>
          <w:p w14:paraId="40632E9E" w14:textId="77777777" w:rsidR="00975021" w:rsidRPr="000D0380" w:rsidRDefault="00975021" w:rsidP="00975021">
            <w:pPr>
              <w:jc w:val="both"/>
              <w:rPr>
                <w:iCs/>
              </w:rPr>
            </w:pPr>
            <w:r w:rsidRPr="000D0380">
              <w:rPr>
                <w:iCs/>
              </w:rPr>
              <w:t>"Tieslietu ministrija lūdz MK noteikt izņēmuma gadījumu attiecībā uz projektu Nr. 9.1.2.0/16/I/001 "Bijušo ieslodzīto integrācija sabiedrībā un darba tirgū" (turpmāk – 9.1.2. projekts) un atļaut CFLA nesamazināt projekta ES fondu un valsts budžeta līdzfinansējumu.</w:t>
            </w:r>
          </w:p>
          <w:p w14:paraId="38003A04" w14:textId="77777777" w:rsidR="00975021" w:rsidRPr="000D0380" w:rsidRDefault="00975021" w:rsidP="00975021">
            <w:pPr>
              <w:jc w:val="both"/>
              <w:rPr>
                <w:iCs/>
              </w:rPr>
            </w:pPr>
            <w:r w:rsidRPr="000D0380">
              <w:rPr>
                <w:iCs/>
              </w:rPr>
              <w:t>9.1.2. projekta uzraudzības komiteja 2019. gada 22. novembra sēdē pieņēma lēmumu veikt finansējuma pārdali no 9.1.2. projekta uz projektu Nr. 9.1.3.0/16/I/001 "Resocializācijas sistēmas efektivitātes paaugstināšana" (turpmāk – 9.1.3. projekts) 410 465 </w:t>
            </w:r>
            <w:r w:rsidRPr="000D0380">
              <w:rPr>
                <w:i/>
              </w:rPr>
              <w:t>euro</w:t>
            </w:r>
            <w:r w:rsidRPr="000D0380">
              <w:rPr>
                <w:iCs/>
              </w:rPr>
              <w:t xml:space="preserve"> apmērā, kā rezultātā 9.1.2. projekta attiecināmās izmaksas 2019. gadā tika samazinātas par 88 657 </w:t>
            </w:r>
            <w:r w:rsidRPr="000D0380">
              <w:rPr>
                <w:i/>
              </w:rPr>
              <w:t>euro</w:t>
            </w:r>
            <w:r w:rsidRPr="000D0380">
              <w:rPr>
                <w:iCs/>
              </w:rPr>
              <w:t xml:space="preserve"> (Vienošanās grozījumi Nr. 8 par attiecināmo izmaksu samazināšanu SI tika iesniegti 2019. gada 29. novembrī). 2019. gadā 9.1.2. projektā bija plānots apgūt finansējumu 1 026 992 </w:t>
            </w:r>
            <w:r w:rsidRPr="000D0380">
              <w:rPr>
                <w:i/>
              </w:rPr>
              <w:t>euro</w:t>
            </w:r>
            <w:r w:rsidRPr="000D0380">
              <w:rPr>
                <w:iCs/>
              </w:rPr>
              <w:t xml:space="preserve">, tika iesniegti </w:t>
            </w:r>
            <w:r w:rsidRPr="000D0380">
              <w:rPr>
                <w:iCs/>
              </w:rPr>
              <w:lastRenderedPageBreak/>
              <w:t>maksājuma pieprasījumi par 677 084 </w:t>
            </w:r>
            <w:r w:rsidRPr="000D0380">
              <w:rPr>
                <w:i/>
              </w:rPr>
              <w:t>euro</w:t>
            </w:r>
            <w:r w:rsidRPr="000D0380">
              <w:rPr>
                <w:iCs/>
              </w:rPr>
              <w:t>, jeb 65,93 % no plānotā. Ņemot vērā pārdali no 9.1.2. projekta uz 9.1.3. projektu, attiecīgi samazinās arī kalendārā gada plāna neizpilde – 261 250,82 </w:t>
            </w:r>
            <w:r w:rsidRPr="000D0380">
              <w:rPr>
                <w:i/>
              </w:rPr>
              <w:t>euro</w:t>
            </w:r>
            <w:r w:rsidRPr="000D0380">
              <w:rPr>
                <w:iCs/>
              </w:rPr>
              <w:t xml:space="preserve"> jeb 25,44 %.</w:t>
            </w:r>
          </w:p>
          <w:p w14:paraId="7BBE8464" w14:textId="77777777" w:rsidR="00975021" w:rsidRPr="000D0380" w:rsidRDefault="00975021" w:rsidP="00975021">
            <w:pPr>
              <w:jc w:val="both"/>
              <w:rPr>
                <w:iCs/>
              </w:rPr>
            </w:pPr>
            <w:r w:rsidRPr="000D0380">
              <w:rPr>
                <w:iCs/>
              </w:rPr>
              <w:t>Neizpilde saistīta ar projekta īstenošanas personāla mainību 2019. gadā, kuras apjomu nebija iespējams iepriekš paredzēt, ne arī novērst, kā arī ar kavējumiem projekta iepirkumos, kurus nebija iespējams sagatavot, izsludināt un īstenot plānotajos termiņos iepirkumu speciālistu trūkuma dēļ. Tieslietu ministrija sadarbībā ar finansējuma saņēmēju ir pārskatījusi identificēto personāla mainības un cilvēkresursu nepietiekamības riska iestāšanās varbūtību un ietekmi, kā arī turpina darbu pie papildus pasākumiem tā mazināšanai un novēršanai.</w:t>
            </w:r>
          </w:p>
          <w:p w14:paraId="56E9E178" w14:textId="77777777" w:rsidR="00975021" w:rsidRPr="000D0380" w:rsidRDefault="00975021" w:rsidP="00975021">
            <w:pPr>
              <w:jc w:val="both"/>
              <w:rPr>
                <w:iCs/>
              </w:rPr>
            </w:pPr>
            <w:r w:rsidRPr="000D0380">
              <w:rPr>
                <w:iCs/>
              </w:rPr>
              <w:t>Ņemot vērā minētos apstākļus, Tieslietu ministrijas ieskatā pastāv pamats finanšu disciplīnas pasākumu nepiemērošanai 9.1.2. projektam. Tieslietu ministrija ir izstrādājusi un virzīs saskaņošanai grozījumus attiecīgo SAM regulējošos MK noteikumos."</w:t>
            </w:r>
          </w:p>
          <w:p w14:paraId="657B9D38" w14:textId="77777777" w:rsidR="00975021" w:rsidRPr="000D0380" w:rsidRDefault="00975021" w:rsidP="00975021">
            <w:pPr>
              <w:jc w:val="both"/>
              <w:rPr>
                <w:iCs/>
              </w:rPr>
            </w:pPr>
            <w:r w:rsidRPr="000D0380">
              <w:rPr>
                <w:iCs/>
              </w:rPr>
              <w:t>2. Lūdzam papildināt lēmuma projektu ar jaunu punktu šādā redakcijā:</w:t>
            </w:r>
          </w:p>
          <w:p w14:paraId="2C62AAF8" w14:textId="3D45864C" w:rsidR="00975021" w:rsidRPr="000D0380" w:rsidRDefault="00975021" w:rsidP="00975021">
            <w:pPr>
              <w:jc w:val="both"/>
              <w:rPr>
                <w:iCs/>
              </w:rPr>
            </w:pPr>
            <w:r w:rsidRPr="000D0380">
              <w:rPr>
                <w:iCs/>
              </w:rPr>
              <w:t>"Atļaut Centrālajai finanšu un līgumu aģentūrai nesamazināt Eiropas Savienības fonda un valsts budžeta līdzfinansējumu Ieslodzījuma vietu pārvaldes projektam Nr. 9.1.2.0/16/I/001 "Bijušo ieslodzīto integrācija sabiedrībā un darba tirgū" saskaņā ar Ministru kabineta 2014. gada 16. decembra noteikumu Nr. 784 "Kārtība, kādā Eiropas Savienības struktūrfondu un Kohēzijas fonda vadībā iesaistītās institūcijas nodrošina plānošanas dokumentu sagatavošanu un šo fondu ieviešanu 2014.–2020. gada plānošanas periodā" 51.4 7. apakšpunktu."</w:t>
            </w:r>
          </w:p>
        </w:tc>
        <w:tc>
          <w:tcPr>
            <w:tcW w:w="2700" w:type="dxa"/>
            <w:tcBorders>
              <w:top w:val="single" w:sz="4" w:space="0" w:color="auto"/>
              <w:left w:val="single" w:sz="4" w:space="0" w:color="auto"/>
              <w:bottom w:val="single" w:sz="4" w:space="0" w:color="auto"/>
              <w:right w:val="single" w:sz="4" w:space="0" w:color="auto"/>
            </w:tcBorders>
          </w:tcPr>
          <w:p w14:paraId="6045A915" w14:textId="470B3C8F" w:rsidR="00975021" w:rsidRPr="000D0380" w:rsidRDefault="00975021" w:rsidP="00975021">
            <w:pPr>
              <w:jc w:val="both"/>
              <w:rPr>
                <w:b/>
                <w:szCs w:val="22"/>
                <w:lang w:eastAsia="en-US"/>
              </w:rPr>
            </w:pPr>
            <w:r w:rsidRPr="00E4506B">
              <w:rPr>
                <w:b/>
                <w:lang w:eastAsia="en-US"/>
              </w:rPr>
              <w:lastRenderedPageBreak/>
              <w:t>Ņemts vērā</w:t>
            </w:r>
            <w:r>
              <w:rPr>
                <w:b/>
                <w:lang w:eastAsia="en-US"/>
              </w:rPr>
              <w:t xml:space="preserve"> </w:t>
            </w:r>
            <w:r>
              <w:rPr>
                <w:lang w:eastAsia="en-US"/>
              </w:rPr>
              <w:t xml:space="preserve">pēc būtības. </w:t>
            </w:r>
            <w:r w:rsidRPr="000D0380">
              <w:rPr>
                <w:lang w:eastAsia="en-US"/>
              </w:rPr>
              <w:t>Informatīvais ziņojums papildināts ar vispārīgu informāciju par gadījumiem, par kuriem j</w:t>
            </w:r>
            <w:r>
              <w:rPr>
                <w:lang w:eastAsia="en-US"/>
              </w:rPr>
              <w:t>ālemj MK ar atsauci uz pielikumiem</w:t>
            </w:r>
            <w:r w:rsidRPr="000D0380">
              <w:rPr>
                <w:lang w:eastAsia="en-US"/>
              </w:rPr>
              <w:t xml:space="preserve"> </w:t>
            </w:r>
            <w:r>
              <w:rPr>
                <w:lang w:eastAsia="en-US"/>
              </w:rPr>
              <w:t>ar detalizētu informāciju</w:t>
            </w:r>
            <w:r w:rsidRPr="000D0380">
              <w:rPr>
                <w:lang w:eastAsia="en-US"/>
              </w:rPr>
              <w:t>.</w:t>
            </w:r>
          </w:p>
        </w:tc>
        <w:tc>
          <w:tcPr>
            <w:tcW w:w="2259" w:type="dxa"/>
            <w:tcBorders>
              <w:top w:val="single" w:sz="4" w:space="0" w:color="auto"/>
              <w:left w:val="single" w:sz="4" w:space="0" w:color="auto"/>
              <w:bottom w:val="single" w:sz="4" w:space="0" w:color="auto"/>
              <w:right w:val="single" w:sz="4" w:space="0" w:color="auto"/>
            </w:tcBorders>
          </w:tcPr>
          <w:p w14:paraId="6B748549" w14:textId="461A172B" w:rsidR="00975021" w:rsidRPr="000D0380" w:rsidRDefault="00975021" w:rsidP="00975021">
            <w:pPr>
              <w:spacing w:before="120" w:after="120"/>
            </w:pPr>
            <w:r w:rsidRPr="000D0380">
              <w:t>Skatīt precizē</w:t>
            </w:r>
            <w:r>
              <w:t>tu i</w:t>
            </w:r>
            <w:r w:rsidRPr="000D0380">
              <w:t>nformatīvā ziņojuma</w:t>
            </w:r>
            <w:r>
              <w:t xml:space="preserve"> </w:t>
            </w:r>
            <w:r w:rsidRPr="000D0380">
              <w:rPr>
                <w:rFonts w:eastAsiaTheme="minorHAnsi"/>
              </w:rPr>
              <w:t>4.</w:t>
            </w:r>
            <w:r w:rsidR="00A8203A">
              <w:rPr>
                <w:rFonts w:eastAsiaTheme="minorHAnsi"/>
              </w:rPr>
              <w:t> </w:t>
            </w:r>
            <w:r w:rsidRPr="000D0380">
              <w:rPr>
                <w:rFonts w:eastAsiaTheme="minorHAnsi"/>
              </w:rPr>
              <w:t>sadaļ</w:t>
            </w:r>
            <w:r>
              <w:rPr>
                <w:rFonts w:eastAsiaTheme="minorHAnsi"/>
              </w:rPr>
              <w:t>u,</w:t>
            </w:r>
            <w:r>
              <w:t xml:space="preserve"> attiecīgos </w:t>
            </w:r>
            <w:r w:rsidRPr="000D0380">
              <w:t>pielikumu</w:t>
            </w:r>
            <w:r>
              <w:t>s</w:t>
            </w:r>
            <w:r w:rsidRPr="000D0380">
              <w:t xml:space="preserve"> </w:t>
            </w:r>
            <w:r>
              <w:t xml:space="preserve">un </w:t>
            </w:r>
            <w:r w:rsidRPr="000D0380">
              <w:rPr>
                <w:rFonts w:eastAsiaTheme="minorHAnsi"/>
              </w:rPr>
              <w:t xml:space="preserve"> protokollēmuma</w:t>
            </w:r>
            <w:r>
              <w:rPr>
                <w:rFonts w:eastAsiaTheme="minorHAnsi"/>
              </w:rPr>
              <w:t xml:space="preserve"> projekta </w:t>
            </w:r>
            <w:r w:rsidR="00925F57">
              <w:rPr>
                <w:rFonts w:eastAsiaTheme="minorHAnsi"/>
              </w:rPr>
              <w:t>6</w:t>
            </w:r>
            <w:r>
              <w:rPr>
                <w:rFonts w:eastAsiaTheme="minorHAnsi"/>
              </w:rPr>
              <w:t>. punktu.</w:t>
            </w:r>
          </w:p>
        </w:tc>
      </w:tr>
      <w:tr w:rsidR="00975021" w:rsidRPr="000D0380" w14:paraId="78EB4D70" w14:textId="77777777" w:rsidTr="006C2AE0">
        <w:trPr>
          <w:trHeight w:val="699"/>
        </w:trPr>
        <w:tc>
          <w:tcPr>
            <w:tcW w:w="988" w:type="dxa"/>
            <w:tcBorders>
              <w:top w:val="single" w:sz="4" w:space="0" w:color="auto"/>
              <w:left w:val="single" w:sz="4" w:space="0" w:color="auto"/>
              <w:bottom w:val="single" w:sz="4" w:space="0" w:color="auto"/>
              <w:right w:val="single" w:sz="4" w:space="0" w:color="auto"/>
            </w:tcBorders>
          </w:tcPr>
          <w:p w14:paraId="16BC5605" w14:textId="77777777" w:rsidR="00975021" w:rsidRPr="000D0380" w:rsidRDefault="00975021" w:rsidP="00975021">
            <w:pPr>
              <w:pStyle w:val="naisc"/>
              <w:numPr>
                <w:ilvl w:val="0"/>
                <w:numId w:val="4"/>
              </w:numPr>
              <w:tabs>
                <w:tab w:val="left" w:pos="360"/>
              </w:tabs>
              <w:spacing w:before="0" w:after="0"/>
              <w:jc w:val="both"/>
              <w:rPr>
                <w:lang w:eastAsia="en-US"/>
              </w:rPr>
            </w:pPr>
          </w:p>
        </w:tc>
        <w:tc>
          <w:tcPr>
            <w:tcW w:w="2697" w:type="dxa"/>
            <w:tcBorders>
              <w:top w:val="single" w:sz="4" w:space="0" w:color="auto"/>
              <w:left w:val="single" w:sz="4" w:space="0" w:color="auto"/>
              <w:bottom w:val="single" w:sz="4" w:space="0" w:color="auto"/>
              <w:right w:val="single" w:sz="4" w:space="0" w:color="auto"/>
            </w:tcBorders>
          </w:tcPr>
          <w:p w14:paraId="523CABDB" w14:textId="0DC6676F" w:rsidR="00975021" w:rsidRPr="000D0380" w:rsidRDefault="00975021" w:rsidP="00975021">
            <w:pPr>
              <w:jc w:val="both"/>
              <w:rPr>
                <w:rFonts w:eastAsiaTheme="minorHAnsi"/>
                <w:lang w:eastAsia="en-US"/>
              </w:rPr>
            </w:pPr>
            <w:r w:rsidRPr="000D0380">
              <w:rPr>
                <w:rFonts w:eastAsiaTheme="minorHAnsi"/>
                <w:lang w:eastAsia="en-US"/>
              </w:rPr>
              <w:t>Informatīvā ziņojuma 4.</w:t>
            </w:r>
            <w:r w:rsidR="00A8203A">
              <w:rPr>
                <w:rFonts w:eastAsiaTheme="minorHAnsi"/>
                <w:lang w:eastAsia="en-US"/>
              </w:rPr>
              <w:t> </w:t>
            </w:r>
            <w:r w:rsidRPr="000D0380">
              <w:rPr>
                <w:rFonts w:eastAsiaTheme="minorHAnsi"/>
                <w:lang w:eastAsia="en-US"/>
              </w:rPr>
              <w:t>sadaļa “2014. - 2020. gada plānošanas perioda ES fondu investīciju aktualitātes”</w:t>
            </w:r>
            <w:r w:rsidR="00944DD4">
              <w:rPr>
                <w:rFonts w:eastAsiaTheme="minorHAnsi"/>
                <w:lang w:eastAsia="en-US"/>
              </w:rPr>
              <w:t>.</w:t>
            </w:r>
          </w:p>
        </w:tc>
        <w:tc>
          <w:tcPr>
            <w:tcW w:w="6660" w:type="dxa"/>
            <w:tcBorders>
              <w:top w:val="single" w:sz="4" w:space="0" w:color="auto"/>
              <w:left w:val="single" w:sz="4" w:space="0" w:color="auto"/>
              <w:bottom w:val="single" w:sz="4" w:space="0" w:color="auto"/>
              <w:right w:val="single" w:sz="4" w:space="0" w:color="auto"/>
            </w:tcBorders>
          </w:tcPr>
          <w:p w14:paraId="1143624E" w14:textId="7F2F3970" w:rsidR="00975021" w:rsidRPr="000D0380" w:rsidRDefault="00975021" w:rsidP="00975021">
            <w:pPr>
              <w:widowControl w:val="0"/>
              <w:jc w:val="both"/>
              <w:rPr>
                <w:b/>
                <w:lang w:eastAsia="en-US"/>
              </w:rPr>
            </w:pPr>
            <w:r w:rsidRPr="000D0380">
              <w:rPr>
                <w:b/>
                <w:lang w:eastAsia="en-US"/>
              </w:rPr>
              <w:t>Priekšlikums</w:t>
            </w:r>
          </w:p>
          <w:p w14:paraId="2D83E3A8" w14:textId="18E12B35" w:rsidR="00975021" w:rsidRPr="000D0380" w:rsidRDefault="00975021" w:rsidP="00975021">
            <w:pPr>
              <w:widowControl w:val="0"/>
              <w:jc w:val="both"/>
              <w:rPr>
                <w:b/>
                <w:lang w:eastAsia="en-US"/>
              </w:rPr>
            </w:pPr>
            <w:r w:rsidRPr="000D0380">
              <w:rPr>
                <w:b/>
                <w:lang w:eastAsia="en-US"/>
              </w:rPr>
              <w:t>Ekonomikas ministrija</w:t>
            </w:r>
          </w:p>
          <w:p w14:paraId="7C99C74E" w14:textId="37C17CD2" w:rsidR="00975021" w:rsidRPr="000D0380" w:rsidRDefault="00975021" w:rsidP="00975021">
            <w:pPr>
              <w:widowControl w:val="0"/>
              <w:jc w:val="both"/>
              <w:rPr>
                <w:b/>
                <w:lang w:eastAsia="en-US"/>
              </w:rPr>
            </w:pPr>
            <w:r w:rsidRPr="000D0380">
              <w:rPr>
                <w:lang w:eastAsia="en-US"/>
              </w:rPr>
              <w:t xml:space="preserve">Atsaucoties uz Ekonomikas ministrijas 2020.gada 6.februārī Centrālai finanšu un līgumu aģentūrai nosūtīto vēstuli Nr.3.3-8/2020/642 par 2019.gada MP plāna neizpildi un finanšu disciplīnu, </w:t>
            </w:r>
            <w:r w:rsidRPr="000D0380">
              <w:rPr>
                <w:lang w:eastAsia="en-US"/>
              </w:rPr>
              <w:lastRenderedPageBreak/>
              <w:t>Ekonomikas ministrija pievieno nosūtīto apkopojumu par tiem projektiem, kurus lūdz izskatīt Ministru kabinetā un piemērot izņēmumu atbilstoši Ministru kabineta 2016.gada 16.decembra noteikumu Nr. 784 “Kārtība, kādā Eiropas Savienības struktūrfondu un Kohēzijas fonda vadībā iesaistītās institūcijas nodrošina plānošanas dokumentu sagatavošanu un šo fondu ieviešanu 2014.–2020.gada plānošanas periodā” 51.4 7.apakšpunktam, nepiemērojot finanšu disciplīnu norādītājiem projektiem.</w:t>
            </w:r>
          </w:p>
        </w:tc>
        <w:tc>
          <w:tcPr>
            <w:tcW w:w="2700" w:type="dxa"/>
            <w:tcBorders>
              <w:top w:val="single" w:sz="4" w:space="0" w:color="auto"/>
              <w:left w:val="single" w:sz="4" w:space="0" w:color="auto"/>
              <w:bottom w:val="single" w:sz="4" w:space="0" w:color="auto"/>
              <w:right w:val="single" w:sz="4" w:space="0" w:color="auto"/>
            </w:tcBorders>
          </w:tcPr>
          <w:p w14:paraId="327FEA15" w14:textId="56A9CC2D" w:rsidR="00975021" w:rsidRPr="00596E72" w:rsidRDefault="00975021" w:rsidP="00975021">
            <w:pPr>
              <w:pStyle w:val="naisc"/>
              <w:spacing w:before="0" w:after="0"/>
              <w:jc w:val="both"/>
              <w:rPr>
                <w:b/>
                <w:lang w:eastAsia="en-US"/>
              </w:rPr>
            </w:pPr>
            <w:r w:rsidRPr="00E4506B">
              <w:rPr>
                <w:b/>
                <w:lang w:eastAsia="en-US"/>
              </w:rPr>
              <w:lastRenderedPageBreak/>
              <w:t>Ņemts vērā</w:t>
            </w:r>
            <w:r>
              <w:rPr>
                <w:b/>
                <w:lang w:eastAsia="en-US"/>
              </w:rPr>
              <w:t xml:space="preserve"> </w:t>
            </w:r>
            <w:r>
              <w:rPr>
                <w:lang w:eastAsia="en-US"/>
              </w:rPr>
              <w:t xml:space="preserve">pēc būtības. </w:t>
            </w:r>
            <w:r w:rsidRPr="000D0380">
              <w:rPr>
                <w:lang w:eastAsia="en-US"/>
              </w:rPr>
              <w:t xml:space="preserve">Informatīvais ziņojums papildināts ar vispārīgu informāciju par gadījumiem, par kuriem </w:t>
            </w:r>
            <w:r w:rsidRPr="000D0380">
              <w:rPr>
                <w:lang w:eastAsia="en-US"/>
              </w:rPr>
              <w:lastRenderedPageBreak/>
              <w:t>j</w:t>
            </w:r>
            <w:r>
              <w:rPr>
                <w:lang w:eastAsia="en-US"/>
              </w:rPr>
              <w:t>ālemj MK ar atsauci uz pielikumiem</w:t>
            </w:r>
            <w:r w:rsidRPr="000D0380">
              <w:rPr>
                <w:lang w:eastAsia="en-US"/>
              </w:rPr>
              <w:t xml:space="preserve"> </w:t>
            </w:r>
            <w:r>
              <w:rPr>
                <w:lang w:eastAsia="en-US"/>
              </w:rPr>
              <w:t>ar detalizētu informāciju</w:t>
            </w:r>
            <w:r w:rsidRPr="000D0380">
              <w:rPr>
                <w:lang w:eastAsia="en-US"/>
              </w:rPr>
              <w:t>.</w:t>
            </w:r>
          </w:p>
        </w:tc>
        <w:tc>
          <w:tcPr>
            <w:tcW w:w="2259" w:type="dxa"/>
            <w:tcBorders>
              <w:top w:val="single" w:sz="4" w:space="0" w:color="auto"/>
              <w:left w:val="single" w:sz="4" w:space="0" w:color="auto"/>
              <w:bottom w:val="single" w:sz="4" w:space="0" w:color="auto"/>
              <w:right w:val="single" w:sz="4" w:space="0" w:color="auto"/>
            </w:tcBorders>
          </w:tcPr>
          <w:p w14:paraId="7043ED16" w14:textId="71F7B106" w:rsidR="00975021" w:rsidRPr="000D0380" w:rsidRDefault="00975021" w:rsidP="00975021">
            <w:pPr>
              <w:pStyle w:val="Default"/>
              <w:jc w:val="both"/>
            </w:pPr>
            <w:r w:rsidRPr="000D0380">
              <w:lastRenderedPageBreak/>
              <w:t>Skatīt precizē</w:t>
            </w:r>
            <w:r>
              <w:t>tu i</w:t>
            </w:r>
            <w:r w:rsidRPr="000D0380">
              <w:t>nformatīvā ziņojuma</w:t>
            </w:r>
            <w:r>
              <w:t xml:space="preserve"> </w:t>
            </w:r>
            <w:r w:rsidRPr="000D0380">
              <w:rPr>
                <w:rFonts w:eastAsiaTheme="minorHAnsi"/>
              </w:rPr>
              <w:t>4.</w:t>
            </w:r>
            <w:r w:rsidR="00A8203A">
              <w:rPr>
                <w:rFonts w:eastAsiaTheme="minorHAnsi"/>
              </w:rPr>
              <w:t> </w:t>
            </w:r>
            <w:r w:rsidRPr="000D0380">
              <w:rPr>
                <w:rFonts w:eastAsiaTheme="minorHAnsi"/>
              </w:rPr>
              <w:t>sadaļ</w:t>
            </w:r>
            <w:r>
              <w:rPr>
                <w:rFonts w:eastAsiaTheme="minorHAnsi"/>
              </w:rPr>
              <w:t>u,</w:t>
            </w:r>
            <w:r>
              <w:t xml:space="preserve"> attiecīgos </w:t>
            </w:r>
            <w:r w:rsidRPr="000D0380">
              <w:t>pielikumu</w:t>
            </w:r>
            <w:r>
              <w:t>s</w:t>
            </w:r>
            <w:r w:rsidRPr="000D0380">
              <w:t xml:space="preserve"> </w:t>
            </w:r>
            <w:r>
              <w:lastRenderedPageBreak/>
              <w:t xml:space="preserve">un </w:t>
            </w:r>
            <w:r w:rsidRPr="000D0380">
              <w:rPr>
                <w:rFonts w:eastAsiaTheme="minorHAnsi"/>
              </w:rPr>
              <w:t xml:space="preserve"> protokollēmuma</w:t>
            </w:r>
            <w:r>
              <w:rPr>
                <w:rFonts w:eastAsiaTheme="minorHAnsi"/>
              </w:rPr>
              <w:t xml:space="preserve"> projekta </w:t>
            </w:r>
            <w:r w:rsidR="00925F57">
              <w:rPr>
                <w:rFonts w:eastAsiaTheme="minorHAnsi"/>
              </w:rPr>
              <w:t>6</w:t>
            </w:r>
            <w:r>
              <w:rPr>
                <w:rFonts w:eastAsiaTheme="minorHAnsi"/>
              </w:rPr>
              <w:t>. punktu.</w:t>
            </w:r>
          </w:p>
        </w:tc>
      </w:tr>
      <w:tr w:rsidR="004C54F9" w:rsidRPr="000D0380" w14:paraId="08648266" w14:textId="77777777" w:rsidTr="00CB1200">
        <w:trPr>
          <w:trHeight w:val="699"/>
        </w:trPr>
        <w:tc>
          <w:tcPr>
            <w:tcW w:w="988" w:type="dxa"/>
            <w:vMerge w:val="restart"/>
            <w:tcBorders>
              <w:top w:val="single" w:sz="4" w:space="0" w:color="auto"/>
              <w:left w:val="single" w:sz="4" w:space="0" w:color="auto"/>
              <w:right w:val="single" w:sz="4" w:space="0" w:color="auto"/>
            </w:tcBorders>
          </w:tcPr>
          <w:p w14:paraId="62074CFB" w14:textId="77777777" w:rsidR="004C54F9" w:rsidRPr="000D0380" w:rsidRDefault="004C54F9" w:rsidP="00975021">
            <w:pPr>
              <w:pStyle w:val="naisc"/>
              <w:numPr>
                <w:ilvl w:val="0"/>
                <w:numId w:val="4"/>
              </w:numPr>
              <w:tabs>
                <w:tab w:val="left" w:pos="360"/>
              </w:tabs>
              <w:spacing w:before="0" w:after="0"/>
              <w:jc w:val="both"/>
              <w:rPr>
                <w:lang w:eastAsia="en-US"/>
              </w:rPr>
            </w:pPr>
          </w:p>
        </w:tc>
        <w:tc>
          <w:tcPr>
            <w:tcW w:w="2697" w:type="dxa"/>
            <w:vMerge w:val="restart"/>
            <w:tcBorders>
              <w:top w:val="single" w:sz="4" w:space="0" w:color="auto"/>
              <w:left w:val="single" w:sz="4" w:space="0" w:color="auto"/>
              <w:right w:val="single" w:sz="4" w:space="0" w:color="auto"/>
            </w:tcBorders>
          </w:tcPr>
          <w:p w14:paraId="4D212202" w14:textId="76FA0A8B" w:rsidR="004C54F9" w:rsidRPr="000D0380" w:rsidRDefault="00A8203A" w:rsidP="00975021">
            <w:pPr>
              <w:jc w:val="both"/>
              <w:rPr>
                <w:rFonts w:eastAsiaTheme="minorHAnsi"/>
                <w:lang w:eastAsia="en-US"/>
              </w:rPr>
            </w:pPr>
            <w:r>
              <w:rPr>
                <w:rFonts w:eastAsiaTheme="minorHAnsi"/>
                <w:lang w:eastAsia="en-US"/>
              </w:rPr>
              <w:t xml:space="preserve">Informatīvā ziņojuma </w:t>
            </w:r>
            <w:r w:rsidR="004C54F9" w:rsidRPr="000D0380">
              <w:rPr>
                <w:rFonts w:eastAsiaTheme="minorHAnsi"/>
                <w:lang w:eastAsia="en-US"/>
              </w:rPr>
              <w:t>4.</w:t>
            </w:r>
            <w:r>
              <w:rPr>
                <w:rFonts w:eastAsiaTheme="minorHAnsi"/>
                <w:lang w:eastAsia="en-US"/>
              </w:rPr>
              <w:t> </w:t>
            </w:r>
            <w:r w:rsidR="004C54F9" w:rsidRPr="000D0380">
              <w:rPr>
                <w:rFonts w:eastAsiaTheme="minorHAnsi"/>
                <w:lang w:eastAsia="en-US"/>
              </w:rPr>
              <w:t>sadaļa “2014. - 2020. gada plānošanas perioda ES fondu investīciju aktualitātes”</w:t>
            </w:r>
            <w:r w:rsidR="00944DD4">
              <w:rPr>
                <w:rFonts w:eastAsiaTheme="minorHAnsi"/>
                <w:lang w:eastAsia="en-US"/>
              </w:rPr>
              <w:t>.</w:t>
            </w:r>
          </w:p>
        </w:tc>
        <w:tc>
          <w:tcPr>
            <w:tcW w:w="6660" w:type="dxa"/>
            <w:tcBorders>
              <w:top w:val="single" w:sz="4" w:space="0" w:color="auto"/>
              <w:left w:val="single" w:sz="4" w:space="0" w:color="auto"/>
              <w:bottom w:val="single" w:sz="4" w:space="0" w:color="auto"/>
              <w:right w:val="single" w:sz="4" w:space="0" w:color="auto"/>
            </w:tcBorders>
          </w:tcPr>
          <w:p w14:paraId="13CEDCB6" w14:textId="1DD78B04" w:rsidR="004C54F9" w:rsidRPr="000D0380" w:rsidRDefault="004C54F9" w:rsidP="00975021">
            <w:pPr>
              <w:widowControl w:val="0"/>
              <w:jc w:val="both"/>
              <w:rPr>
                <w:b/>
                <w:lang w:eastAsia="en-US"/>
              </w:rPr>
            </w:pPr>
            <w:r w:rsidRPr="000D0380">
              <w:rPr>
                <w:b/>
                <w:lang w:eastAsia="en-US"/>
              </w:rPr>
              <w:t>Priekšlikums</w:t>
            </w:r>
          </w:p>
          <w:p w14:paraId="015D5166" w14:textId="642252C9" w:rsidR="004C54F9" w:rsidRPr="000D0380" w:rsidRDefault="004C54F9" w:rsidP="00975021">
            <w:pPr>
              <w:widowControl w:val="0"/>
              <w:jc w:val="both"/>
              <w:rPr>
                <w:b/>
                <w:lang w:eastAsia="en-US"/>
              </w:rPr>
            </w:pPr>
            <w:r w:rsidRPr="000D0380">
              <w:rPr>
                <w:b/>
                <w:lang w:eastAsia="en-US"/>
              </w:rPr>
              <w:t>Izglītības un zinātnes ministrija</w:t>
            </w:r>
          </w:p>
          <w:p w14:paraId="740872E5" w14:textId="77777777" w:rsidR="004C54F9" w:rsidRPr="000D0380" w:rsidRDefault="004C54F9" w:rsidP="00975021">
            <w:pPr>
              <w:widowControl w:val="0"/>
              <w:jc w:val="both"/>
              <w:rPr>
                <w:lang w:eastAsia="en-US"/>
              </w:rPr>
            </w:pPr>
            <w:r w:rsidRPr="000D0380">
              <w:rPr>
                <w:lang w:eastAsia="en-US"/>
              </w:rPr>
              <w:t>Ministrija rosina nepiemērot finanšu disciplīnas pasākumus šādiem projektiem:</w:t>
            </w:r>
          </w:p>
          <w:p w14:paraId="032CA7EB" w14:textId="77777777" w:rsidR="004C54F9" w:rsidRPr="000D0380" w:rsidRDefault="004C54F9" w:rsidP="00975021">
            <w:pPr>
              <w:widowControl w:val="0"/>
              <w:jc w:val="both"/>
              <w:rPr>
                <w:lang w:eastAsia="en-US"/>
              </w:rPr>
            </w:pPr>
            <w:r w:rsidRPr="000D0380">
              <w:rPr>
                <w:lang w:eastAsia="en-US"/>
              </w:rPr>
              <w:t>1. SIA „ENERGOSERT” projekts „Energoietilpīga ražošanas procesa optimāla plānošana un tā elektroenerģijas patēriņa optimizācija atkarībā no tirgus cenas izmaiņām” (Nr.1.1.1.1/16/A/280).</w:t>
            </w:r>
          </w:p>
          <w:p w14:paraId="6332909A" w14:textId="77777777" w:rsidR="004C54F9" w:rsidRPr="000D0380" w:rsidRDefault="004C54F9" w:rsidP="00975021">
            <w:pPr>
              <w:widowControl w:val="0"/>
              <w:jc w:val="both"/>
              <w:rPr>
                <w:lang w:eastAsia="en-US"/>
              </w:rPr>
            </w:pPr>
            <w:r w:rsidRPr="000D0380">
              <w:rPr>
                <w:lang w:eastAsia="en-US"/>
              </w:rPr>
              <w:t>2019.gadā faktiski veikto izdevumu un sadarbības iestādē iesniegto maksājuma pieprasījumu plāna (turpmāk – maksājuma pieprasījumu plāns) neizpilde lielāka par 25% (5% izpilde) ir radusies līgumpētījuma izpildītāja - Rīgas Tehniskās universitātes - darbu izpildes kavējumu dēļ. Finansējuma saņēmējs ir brīdinājis līgumpētījuma izpildītāju par līgumsoda piemērošanu. Ņemot vērā radušos apstākļus, tai skaitā projekta īstenošanas termiņu – 2020.gada 29.februāris (vairs nav pagarināms, saglabājot Eiropas Savienības fonda finansējumu), sadarbība iestāde šobrīd ir apturējusi maksājumu veikšanu līdz pozitīva zinātniskās kvalitātes gala atskaites vērtējuma no Eiropas Komisijas datubāzē reģistrēto ekspertu saņemšanas. Finansējuma saņēmējs ir apliecinājis apņemšanos pabeigt projekta īstenošanu par saviem līdzekļiem, ievērojot noteikumu Nr.784 51.</w:t>
            </w:r>
            <w:r w:rsidRPr="000D0380">
              <w:rPr>
                <w:vertAlign w:val="superscript"/>
                <w:lang w:eastAsia="en-US"/>
              </w:rPr>
              <w:t>5</w:t>
            </w:r>
            <w:r w:rsidRPr="000D0380">
              <w:rPr>
                <w:lang w:eastAsia="en-US"/>
              </w:rPr>
              <w:t xml:space="preserve">punktā noteikto. Attiecīgi finanšu disciplīnas pasākumu piemērošana ierobežotu projekta īstenošanas turpināšanu, un projektā plānotā mērķa un rezultāta sasniegšanu. Ministrijas ieskatā projekta īstenošanas pabeigšana ir būtiska 1.prioritārajam virzienam noteikto iznākuma rādītāju – a) privātās </w:t>
            </w:r>
            <w:r w:rsidRPr="000D0380">
              <w:rPr>
                <w:lang w:eastAsia="en-US"/>
              </w:rPr>
              <w:lastRenderedPageBreak/>
              <w:t>investīcijas, kas papildina valsts atbalstu inovācijām vai pētniecības un izstrādes projektiem; b) un jaunu produktu un tehnoloģiju skaits, kas ir komercializējamas un kuru izstrādei sniegts atbalsts projekta ietvaros, sasniegšanā.</w:t>
            </w:r>
          </w:p>
          <w:p w14:paraId="25E24090" w14:textId="77777777" w:rsidR="004C54F9" w:rsidRPr="000D0380" w:rsidRDefault="004C54F9" w:rsidP="00975021">
            <w:pPr>
              <w:widowControl w:val="0"/>
              <w:jc w:val="both"/>
              <w:rPr>
                <w:lang w:eastAsia="en-US"/>
              </w:rPr>
            </w:pPr>
            <w:r w:rsidRPr="000D0380">
              <w:rPr>
                <w:lang w:eastAsia="en-US"/>
              </w:rPr>
              <w:t>2. SIA „Field and forest” projekts „Inovatīvi risinājumi pavasara savvaļas ārstniecības un aromātisko augu audzēšanas tehnoloģijās un izmantošanā” (Nr.1.1.1.1/18/A/043).</w:t>
            </w:r>
          </w:p>
          <w:p w14:paraId="73D38BE8" w14:textId="77777777" w:rsidR="004C54F9" w:rsidRPr="000D0380" w:rsidRDefault="004C54F9" w:rsidP="00975021">
            <w:pPr>
              <w:widowControl w:val="0"/>
              <w:jc w:val="both"/>
              <w:rPr>
                <w:lang w:eastAsia="en-US"/>
              </w:rPr>
            </w:pPr>
            <w:r w:rsidRPr="000D0380">
              <w:rPr>
                <w:lang w:eastAsia="en-US"/>
              </w:rPr>
              <w:t xml:space="preserve">Maksājuma pieprasījumu plāna neizpilde lielāka par 25% (68% izpilde) ir radusies pētījumu veikšanai nepieciešamo bioloģisko materiālu pakāpeniskas iegādes dēļ, pretēji projektā sākotnēji plānotajam, kā arī amortizējamo pamatlīdzekļu iegādes/izveides izmaksu samazinājuma dēļ. Minēto darbību rezultātā 2019.gada neizmantotais finansējums būs nepieciešams turpmākajos projekta īstenošanas gados (projekta īstenošanas termiņš – 2022.gada 28.februāris), lai sasniegtu projektā plānoto mērķi un rezultātus. Ministrijas ieskatā projekta īstenošanas pabeigšana ir būtiska 1.prioritārajam virzienam noteikto iznākuma rādītāju – a) privātās investīcijas, kas papildina valsts atbalstu inovācijām vai pētniecības un izstrādes projektiem; b) un jaunu produktu un tehnoloģiju skaits, kas ir komercializējamas un kuru izstrādei sniegts atbalsts projekta ietvaros, sasniegšanā. </w:t>
            </w:r>
          </w:p>
          <w:p w14:paraId="15AB3AF2" w14:textId="77777777" w:rsidR="004C54F9" w:rsidRPr="000D0380" w:rsidRDefault="004C54F9" w:rsidP="00975021">
            <w:pPr>
              <w:widowControl w:val="0"/>
              <w:jc w:val="both"/>
              <w:rPr>
                <w:lang w:eastAsia="en-US"/>
              </w:rPr>
            </w:pPr>
            <w:r w:rsidRPr="000D0380">
              <w:rPr>
                <w:lang w:eastAsia="en-US"/>
              </w:rPr>
              <w:t xml:space="preserve">3. SIA „Tet” projekts „Multifaktorāla televīzijas reālā laika skatītāju profilēšanas un responsīva reklāmas tārgetēšanas risinājuma izstrāde” (Nr.1.1.1.1/18/A/127). </w:t>
            </w:r>
          </w:p>
          <w:p w14:paraId="65010C89" w14:textId="77777777" w:rsidR="004C54F9" w:rsidRPr="000D0380" w:rsidRDefault="004C54F9" w:rsidP="00975021">
            <w:pPr>
              <w:widowControl w:val="0"/>
              <w:jc w:val="both"/>
              <w:rPr>
                <w:lang w:eastAsia="en-US"/>
              </w:rPr>
            </w:pPr>
            <w:r w:rsidRPr="000D0380">
              <w:rPr>
                <w:lang w:eastAsia="en-US"/>
              </w:rPr>
              <w:t xml:space="preserve">Maksājuma pieprasījumu plāna neizpilde lielāka par 25% (66% izpilde) ir radusies dēļ iepriekš neparedzamiem apstākļiem līgumpētījuma izpildītāja – Latvijas universitātes – pētījumā, kur konstatēta algoritma izstrādei nepieciešamo datu nepieejamība, kuriem ir būtiska ietekme uz projekta rezultātu sasniegšanu. Ņemot vērā, ka minētie apstākļi ir kavējuši projekta ieviešanu kopumā, finansējuma saņēmējs ir vērsies sadarbības iestādē par termiņa pagarināšanu par trim mēnešiem. Ministrijas ieskatā projekta īstenošanas pabeigšana ir būtiska 1.prioritārajam virzienam noteikto iznākuma rādītāju – a) privātās investīcijas, kas papildina </w:t>
            </w:r>
            <w:r w:rsidRPr="000D0380">
              <w:rPr>
                <w:lang w:eastAsia="en-US"/>
              </w:rPr>
              <w:lastRenderedPageBreak/>
              <w:t>valsts atbalstu inovācijām vai pētniecības un izstrādes projektiem; b) un jaunu produktu un tehnoloģiju skaits, kas ir komercializējamas un kuru izstrādei sniegts atbalsts projekta ietvaros, sasniegšanā.</w:t>
            </w:r>
          </w:p>
          <w:p w14:paraId="744ACD91" w14:textId="77777777" w:rsidR="004C54F9" w:rsidRPr="000D0380" w:rsidRDefault="004C54F9" w:rsidP="00975021">
            <w:pPr>
              <w:widowControl w:val="0"/>
              <w:jc w:val="both"/>
              <w:rPr>
                <w:lang w:eastAsia="en-US"/>
              </w:rPr>
            </w:pPr>
            <w:r w:rsidRPr="000D0380">
              <w:rPr>
                <w:lang w:eastAsia="en-US"/>
              </w:rPr>
              <w:t>4. Rīgas Tehniskās universitātes projekts „Tehnoloģiska mācību e-ekosistēma ar gadījuma rakstura mijiedarbībām – TELECI” (Nr.1.1.1.1/16/A/154).</w:t>
            </w:r>
          </w:p>
          <w:p w14:paraId="74BD1FCB" w14:textId="77777777" w:rsidR="004C54F9" w:rsidRPr="000D0380" w:rsidRDefault="004C54F9" w:rsidP="00975021">
            <w:pPr>
              <w:widowControl w:val="0"/>
              <w:jc w:val="both"/>
              <w:rPr>
                <w:lang w:eastAsia="en-US"/>
              </w:rPr>
            </w:pPr>
            <w:r w:rsidRPr="000D0380">
              <w:rPr>
                <w:lang w:eastAsia="en-US"/>
              </w:rPr>
              <w:t>Maksājuma pieprasījumu plāna neizpilde lielāka par 25% (61% izpilde) ir radusies dēļ Ministru kabineta noteikumos</w:t>
            </w:r>
            <w:r w:rsidRPr="000D0380">
              <w:rPr>
                <w:vertAlign w:val="superscript"/>
                <w:lang w:eastAsia="en-US"/>
              </w:rPr>
              <w:footnoteReference w:id="4"/>
            </w:r>
            <w:r w:rsidRPr="000D0380">
              <w:rPr>
                <w:lang w:eastAsia="en-US"/>
              </w:rPr>
              <w:t xml:space="preserve"> paredzētā Eiropas Komisijas datubāzē reģistrēto ekspertu vērtējuma (negatīvs) par projekta zinātnisko kvalitāti projekta īstenošanas vidusposmā, kā rezultātā sadarbības iestāde šobrīd ir apturējusi maksājumu veikšanu. Atbilstoši minēto noteikumu 64.3.apakšpunktam Ministrija, Izglītības un zinātnes ministrija kā atbildīgā iestāde, sadarbības iestāde un finansējuma saņēmējs ir vienojušies par grozījumiem projekta darba plānā, ievērojot Eiropas Komisijas ekspertu atzinumā sniegtās rekomendācijas. Minēto nosacījumu izpilde nodrošinās projekta īstenošanas kvalitātes uzlabošanu un projekta mērķa un rezultātu sasniegšanu. Sadarbības iestādes maksājumu atjaunošana iespējama pēc projekta īstenošanas kvalitātes uzlabošanas un pozitīva gala rezultātu zinātniskās kvalitātes izvērtējuma saņemšanas. Ministrijas ieskatā projekta īstenošanas pabeigšana ir būtiska 1.prioritārajam virzienam noteiktā iznākuma rādītāja – jaunu produktu un tehnoloģiju skaits, kas ir komercializējamas un kuru izstrādei sniegts atbalsts projekta ietvaros, sasniegšanā.</w:t>
            </w:r>
          </w:p>
          <w:p w14:paraId="1679B326" w14:textId="77777777" w:rsidR="004C54F9" w:rsidRPr="000D0380" w:rsidRDefault="004C54F9" w:rsidP="00975021">
            <w:pPr>
              <w:widowControl w:val="0"/>
              <w:jc w:val="both"/>
              <w:rPr>
                <w:lang w:eastAsia="en-US"/>
              </w:rPr>
            </w:pPr>
            <w:r w:rsidRPr="000D0380">
              <w:rPr>
                <w:lang w:eastAsia="en-US"/>
              </w:rPr>
              <w:t xml:space="preserve">5. SIA „Latima” projekts „Toksicitātes pētījums (28 dienas) izmantojot žurku modeli” (Nr.1.1.1.1/18/A/164). </w:t>
            </w:r>
          </w:p>
          <w:p w14:paraId="55DA6AC8" w14:textId="77777777" w:rsidR="004C54F9" w:rsidRPr="000D0380" w:rsidRDefault="004C54F9" w:rsidP="00975021">
            <w:pPr>
              <w:widowControl w:val="0"/>
              <w:jc w:val="both"/>
              <w:rPr>
                <w:lang w:eastAsia="en-US"/>
              </w:rPr>
            </w:pPr>
            <w:r w:rsidRPr="000D0380">
              <w:rPr>
                <w:lang w:eastAsia="en-US"/>
              </w:rPr>
              <w:t xml:space="preserve">Maksājuma pieprasījumu plāna neizpilde lielāka par 25% (44% izpilde) ir radusies līgumpētījuma izpildītāja – ārvalstu laboratorijas </w:t>
            </w:r>
            <w:r w:rsidRPr="000D0380">
              <w:rPr>
                <w:i/>
                <w:lang w:eastAsia="en-US"/>
              </w:rPr>
              <w:t>Charles River Laboratories</w:t>
            </w:r>
            <w:r w:rsidRPr="000D0380">
              <w:rPr>
                <w:lang w:eastAsia="en-US"/>
              </w:rPr>
              <w:t xml:space="preserve"> – darbu izpildes kavējumu dēļ, kas </w:t>
            </w:r>
            <w:r w:rsidRPr="000D0380">
              <w:rPr>
                <w:lang w:eastAsia="en-US"/>
              </w:rPr>
              <w:lastRenderedPageBreak/>
              <w:t>skaidrojumi ar iepriekš neparedzamu papildus pētniecības darbību veikšanu. Atbilstoši projektam minētās darbības uzsākšana un pabeigšana tika paredzēta 2019.gada 4.ceturksnī, un šīs pētniecības veikšanas izmaksas tika plānotas kā būtiska 2019.gadā plānoto maksājumu pieprasījumu daļa. Attiecīgi var konstatēt finansējuma saņēmēja pārāk optimistisku finanšu plānošanu. Finansējums saņēmējs prognozē, ka projekta īstenošana tiks pabeigta sākotnēji plānotajos termiņos (2020.gada 31.marts). Ministrijas ieskatā projekta īstenošanas pabeigšana ir būtiska 1.prioritārajam virzienam noteiktā iznākuma rādītāju – a) privātās investīcijas, kas papildina valsts atbalstu inovācijām vai pētniecības un izstrādes projektiem; b) un jaunu produktu un tehnoloģiju skaits, kas ir komercializējamas un kuru izstrādei sniegts atbalsts projekta ietvaros, sasniegšanā.</w:t>
            </w:r>
          </w:p>
          <w:p w14:paraId="373F5A6A" w14:textId="77777777" w:rsidR="004C54F9" w:rsidRPr="000D0380" w:rsidRDefault="004C54F9" w:rsidP="00975021">
            <w:pPr>
              <w:widowControl w:val="0"/>
              <w:jc w:val="both"/>
              <w:rPr>
                <w:lang w:eastAsia="en-US"/>
              </w:rPr>
            </w:pPr>
            <w:r w:rsidRPr="000D0380">
              <w:rPr>
                <w:lang w:eastAsia="en-US"/>
              </w:rPr>
              <w:t xml:space="preserve">6. Ventspils augstskolas projekts „VSRC institucionālās un zinātniskās kapacitātes turpmākā attīstība” (Nr.1.1.1.5/18/A/019). </w:t>
            </w:r>
          </w:p>
          <w:p w14:paraId="147C7398" w14:textId="77777777" w:rsidR="004C54F9" w:rsidRPr="000D0380" w:rsidRDefault="004C54F9" w:rsidP="00975021">
            <w:pPr>
              <w:widowControl w:val="0"/>
              <w:jc w:val="both"/>
              <w:rPr>
                <w:lang w:eastAsia="en-US"/>
              </w:rPr>
            </w:pPr>
            <w:r w:rsidRPr="000D0380">
              <w:rPr>
                <w:lang w:eastAsia="en-US"/>
              </w:rPr>
              <w:t xml:space="preserve">Maksājuma pieprasījumu plāna neizpilde lielāka par 25% (67% izpilde) ir radusies darba tiesisko attiecību pārtraukšanas ar projekta stratēģisko padomnieku dēļ, kura vadībā netika nodrošināta ekspertu stratēģiskās komisijas izveide. Finansējuma saņēmējs ir veicis darbības, lai novērstu turpmāku kavēšanos ar projekta darbību īstenošanu, noslēdzot darba līgumu ar jauno stratēģisko padomnieku, un tiek nodrošināts paaugstinātas intensitātes kopdarbs, lai veiktu projekta stratēģiskās komandas personāla atlasi, kas ir priekšnosacījums projekta plānoto rezultātu sekmīgai sasniegšanai. Lai novērstu riskus turpmākajā projekta īstenošanā, sasniedzot projekta rezultātus sākotnēji plānotajā projekta īstenošanas termiņā (2023.gada 30.novembris), kā arī, lai nodrošinātu plānoto maksājumu pieprasījumu iesniegšanas grafika izpildi turpmākiem projekta īstenošanas gadiem, ministrija ir uzdevusi finansējuma saņēmējam sagatavot turpmāko darbību detalizētu rīcības plānu, pēc kura izvērtēšanas ministrija lems par nepieciešamo tālāko rīcību. </w:t>
            </w:r>
          </w:p>
          <w:p w14:paraId="056B54F4" w14:textId="77777777" w:rsidR="004C54F9" w:rsidRPr="000D0380" w:rsidRDefault="004C54F9" w:rsidP="00975021">
            <w:pPr>
              <w:widowControl w:val="0"/>
              <w:jc w:val="both"/>
              <w:rPr>
                <w:lang w:eastAsia="en-US"/>
              </w:rPr>
            </w:pPr>
            <w:r w:rsidRPr="000D0380">
              <w:rPr>
                <w:lang w:eastAsia="en-US"/>
              </w:rPr>
              <w:t xml:space="preserve">7. Ogres novada pašvaldības projekts „Uzlabot vispārējās izglītības </w:t>
            </w:r>
            <w:r w:rsidRPr="000D0380">
              <w:rPr>
                <w:lang w:eastAsia="en-US"/>
              </w:rPr>
              <w:lastRenderedPageBreak/>
              <w:t>iestāžu mācību vidi Ogres novadā” (Nr.8.1.2.0/17/I/008).</w:t>
            </w:r>
          </w:p>
          <w:p w14:paraId="01A6DA1A" w14:textId="77777777" w:rsidR="004C54F9" w:rsidRPr="000D0380" w:rsidRDefault="004C54F9" w:rsidP="00975021">
            <w:pPr>
              <w:widowControl w:val="0"/>
              <w:jc w:val="both"/>
              <w:rPr>
                <w:lang w:eastAsia="en-US"/>
              </w:rPr>
            </w:pPr>
            <w:r w:rsidRPr="000D0380">
              <w:rPr>
                <w:lang w:eastAsia="en-US"/>
              </w:rPr>
              <w:t xml:space="preserve">Maksājuma pieprasījumu plāna neizpilde lielāka par 25% (0% izpilde) ir radusies vairākkārtējas iepirkuma procedūras par jaunas Ogres Valsts ģimnāzijas ēkas būvniecību pārtraukšanas dēļ, kā rezultātā nav notikusi 2019.gada 19.decembrī plānotā avansa maksājuma 136 856 </w:t>
            </w:r>
            <w:r w:rsidRPr="000D0380">
              <w:rPr>
                <w:i/>
                <w:lang w:eastAsia="en-US"/>
              </w:rPr>
              <w:t>euro</w:t>
            </w:r>
            <w:r w:rsidRPr="000D0380">
              <w:rPr>
                <w:lang w:eastAsia="en-US"/>
              </w:rPr>
              <w:t xml:space="preserve"> apmērā (tai skaitā 105 142 </w:t>
            </w:r>
            <w:r w:rsidRPr="000D0380">
              <w:rPr>
                <w:i/>
                <w:lang w:eastAsia="en-US"/>
              </w:rPr>
              <w:t>euro</w:t>
            </w:r>
            <w:r w:rsidRPr="000D0380">
              <w:rPr>
                <w:lang w:eastAsia="en-US"/>
              </w:rPr>
              <w:t xml:space="preserve"> Eiropas Savienības fonda finansējums) pieprasīšana. 2019.gada 12.novembrī pēc iepirkuma nolikuma precizēšanas un tā saskaņošanas ar Iepirkumu uzraudzības biroju, tika atkārtoti uzsākta iepirkuma procedūra, kuras ietvaros šobrīd norit iesniegtā piedāvājuma vērtēšana. Būvdarbu līguma noslēgšana plānota š.g. februārī, pēc kā paredzēta iepriekšminētā avansa maksājuma pieprasīšana sadarbības iestādei. Ņemot vērā nebūtisko avansa maksājuma pieprasīšanas termiņa novirzi, kā arī ņemot vērā pašvaldības pašas būtisko līdzfinansējumu projekta īstenošanā, ministrija aicina nesamazināt projekta Eiropas Savienības fonda finansējuma, lai neradītu risku projekta mērķa un rezultāta sasniegšanā. Ministrijas ieskatā projekta īstenošanas pabeigšana ir būtiska uzraudzības rādītāja – 100-115 pilnībā modernizētas vispārējās izglītības iestādēs – sasniegšanā, kā arī saistībā ar būtisko izglītojamo skaita pieaugumu Ogres pilsētā, un nepietiekamo esošo vispārējās izglītības iestāžu ēku kapacitāti.</w:t>
            </w:r>
          </w:p>
          <w:p w14:paraId="7909D987" w14:textId="77777777" w:rsidR="004C54F9" w:rsidRPr="000D0380" w:rsidRDefault="004C54F9" w:rsidP="00975021">
            <w:pPr>
              <w:widowControl w:val="0"/>
              <w:jc w:val="both"/>
              <w:rPr>
                <w:lang w:eastAsia="en-US"/>
              </w:rPr>
            </w:pPr>
            <w:r w:rsidRPr="000D0380">
              <w:rPr>
                <w:lang w:eastAsia="en-US"/>
              </w:rPr>
              <w:t>8. Vidzemes augstskolas projekts „Vidzemes Augstskolas akadēmiskā personāla pilnveide un cilvēkresursu attīstība” (Nr.8.2.2.0/18/A/012).</w:t>
            </w:r>
          </w:p>
          <w:p w14:paraId="0B2284FD" w14:textId="1CD00779" w:rsidR="004C54F9" w:rsidRPr="000D0380" w:rsidRDefault="004C54F9" w:rsidP="00975021">
            <w:pPr>
              <w:widowControl w:val="0"/>
              <w:jc w:val="both"/>
              <w:rPr>
                <w:b/>
                <w:lang w:eastAsia="en-US"/>
              </w:rPr>
            </w:pPr>
            <w:r w:rsidRPr="000D0380">
              <w:rPr>
                <w:lang w:eastAsia="en-US"/>
              </w:rPr>
              <w:t xml:space="preserve">Maksājuma pieprasījumu plāna neizpilde lielāka par 25% (66% izpilde) ir radusies atsevišķām doktorantu un ārvalstu akadēmiskā personāla atlasēm beidzoties bez rezultāta, tādējādi nenodrošinot visu sākotnēji projektā 2019.gadā plānoto vakanču aizpildīšanu. Finansējuma saņēmējs ir nodrošinājis minēto atlašu organizēšanu </w:t>
            </w:r>
            <w:r w:rsidRPr="000D0380">
              <w:rPr>
                <w:lang w:eastAsia="en-US"/>
              </w:rPr>
              <w:lastRenderedPageBreak/>
              <w:t>atbilstoši Ministru kabineta noteikumos</w:t>
            </w:r>
            <w:r w:rsidRPr="000D0380">
              <w:rPr>
                <w:vertAlign w:val="superscript"/>
                <w:lang w:eastAsia="en-US"/>
              </w:rPr>
              <w:footnoteReference w:id="5"/>
            </w:r>
            <w:r w:rsidRPr="000D0380">
              <w:rPr>
                <w:lang w:eastAsia="en-US"/>
              </w:rPr>
              <w:t xml:space="preserve"> noteiktajām prasībām (atlašu konkursu paziņojumi tiek publicēti oficiālajā izdevumā „Latvijas Vēstnesis”, Eiropas Komisijas portālā „Euraxess” un ministrijas tīmekļvietnē). Vienlaikus finansējuma saņēmējs ir informējis, ka 2019.gadā ar pozitīvu rezultātu ir noslēgušās atsevišķas personāla atlases par doktorantu un ārvalstu docētāju piesaisti. Pēc ministrijas pieprasījuma finansējuma saņēmējs gatavo un š.g. martā ministrijā iesniegs precizētu projekta rīcības plānu par turpmākajiem pasākumiem projekta mērķa un rezultātu sasniegšanā, kā arī, lai nodrošinātu plānoto maksājumu pieprasījumu iesniegšanas grafika izpildi turpmākiem projekta īstenošanas gadiem. Pēc minētā rīcības plāna izvērtēšanas ministrija lems par tālākām nepieciešamām darbībām.</w:t>
            </w:r>
          </w:p>
        </w:tc>
        <w:tc>
          <w:tcPr>
            <w:tcW w:w="2700" w:type="dxa"/>
            <w:tcBorders>
              <w:top w:val="single" w:sz="4" w:space="0" w:color="auto"/>
              <w:left w:val="single" w:sz="4" w:space="0" w:color="auto"/>
              <w:bottom w:val="single" w:sz="4" w:space="0" w:color="auto"/>
              <w:right w:val="single" w:sz="4" w:space="0" w:color="auto"/>
            </w:tcBorders>
          </w:tcPr>
          <w:p w14:paraId="4654A4B8" w14:textId="05FFD380" w:rsidR="004C54F9" w:rsidRPr="00596E72" w:rsidRDefault="004C54F9" w:rsidP="00975021">
            <w:pPr>
              <w:pStyle w:val="naisc"/>
              <w:spacing w:before="0" w:after="0"/>
              <w:jc w:val="both"/>
              <w:rPr>
                <w:b/>
                <w:lang w:eastAsia="en-US"/>
              </w:rPr>
            </w:pPr>
            <w:r w:rsidRPr="00E4506B">
              <w:rPr>
                <w:b/>
                <w:lang w:eastAsia="en-US"/>
              </w:rPr>
              <w:lastRenderedPageBreak/>
              <w:t>Ņemts vērā</w:t>
            </w:r>
            <w:r>
              <w:rPr>
                <w:b/>
                <w:lang w:eastAsia="en-US"/>
              </w:rPr>
              <w:t xml:space="preserve"> </w:t>
            </w:r>
            <w:r>
              <w:rPr>
                <w:lang w:eastAsia="en-US"/>
              </w:rPr>
              <w:t xml:space="preserve">pēc būtības. </w:t>
            </w:r>
            <w:r w:rsidRPr="000D0380">
              <w:rPr>
                <w:lang w:eastAsia="en-US"/>
              </w:rPr>
              <w:t>Informatīvais ziņojums papildināts ar vispārīgu informāciju par gadījumiem, par kuriem j</w:t>
            </w:r>
            <w:r>
              <w:rPr>
                <w:lang w:eastAsia="en-US"/>
              </w:rPr>
              <w:t>ālemj MK ar atsauci uz pielikumiem</w:t>
            </w:r>
            <w:r w:rsidRPr="000D0380">
              <w:rPr>
                <w:lang w:eastAsia="en-US"/>
              </w:rPr>
              <w:t xml:space="preserve"> </w:t>
            </w:r>
            <w:r>
              <w:rPr>
                <w:lang w:eastAsia="en-US"/>
              </w:rPr>
              <w:t>ar detalizētu informāciju</w:t>
            </w:r>
            <w:r w:rsidRPr="000D0380">
              <w:rPr>
                <w:lang w:eastAsia="en-US"/>
              </w:rPr>
              <w:t>.</w:t>
            </w:r>
            <w:r>
              <w:rPr>
                <w:lang w:eastAsia="en-US"/>
              </w:rPr>
              <w:t xml:space="preserve"> Informatīvā ziņojuma saskaņošanas laikā </w:t>
            </w:r>
            <w:r>
              <w:rPr>
                <w:rFonts w:eastAsiaTheme="minorHAnsi"/>
              </w:rPr>
              <w:t xml:space="preserve">2020. gadā 13. februārī IZM atsūtīja e-pastu ar kuru precizēja informatīvā ziņojuma trešo pielikumu un  </w:t>
            </w:r>
            <w:r>
              <w:rPr>
                <w:lang w:eastAsia="en-US"/>
              </w:rPr>
              <w:t xml:space="preserve"> </w:t>
            </w:r>
            <w:r>
              <w:rPr>
                <w:rFonts w:eastAsiaTheme="minorHAnsi"/>
              </w:rPr>
              <w:t xml:space="preserve">2020. gadā 17. februārī atsūtīja e-pastu,  lūdzot nepiemērot izņēmuma gadījumu </w:t>
            </w:r>
            <w:r>
              <w:t xml:space="preserve"> </w:t>
            </w:r>
            <w:r>
              <w:rPr>
                <w:rFonts w:eastAsiaTheme="minorHAnsi"/>
              </w:rPr>
              <w:t>Ventspils augstskolas projektam</w:t>
            </w:r>
            <w:r w:rsidRPr="00D716FE">
              <w:rPr>
                <w:rFonts w:eastAsiaTheme="minorHAnsi"/>
              </w:rPr>
              <w:t xml:space="preserve"> „VSRC institucionālās un zinātniskās kapacitātes turpmākā a</w:t>
            </w:r>
            <w:r>
              <w:rPr>
                <w:rFonts w:eastAsiaTheme="minorHAnsi"/>
              </w:rPr>
              <w:t>ttīstība” (Nr.1.1.1.5/18/A/019).</w:t>
            </w:r>
          </w:p>
        </w:tc>
        <w:tc>
          <w:tcPr>
            <w:tcW w:w="2259" w:type="dxa"/>
            <w:tcBorders>
              <w:top w:val="single" w:sz="4" w:space="0" w:color="auto"/>
              <w:left w:val="single" w:sz="4" w:space="0" w:color="auto"/>
              <w:bottom w:val="single" w:sz="4" w:space="0" w:color="auto"/>
              <w:right w:val="single" w:sz="4" w:space="0" w:color="auto"/>
            </w:tcBorders>
          </w:tcPr>
          <w:p w14:paraId="383FF345" w14:textId="56C2C95C" w:rsidR="004C54F9" w:rsidRPr="000D0380" w:rsidRDefault="004C54F9" w:rsidP="00975021">
            <w:pPr>
              <w:pStyle w:val="Default"/>
              <w:jc w:val="both"/>
            </w:pPr>
            <w:r w:rsidRPr="000D0380">
              <w:t>Skatīt precizē</w:t>
            </w:r>
            <w:r>
              <w:t>tu i</w:t>
            </w:r>
            <w:r w:rsidRPr="000D0380">
              <w:t>nformatīvā ziņojuma</w:t>
            </w:r>
            <w:r>
              <w:t xml:space="preserve"> </w:t>
            </w:r>
            <w:r w:rsidRPr="000D0380">
              <w:rPr>
                <w:rFonts w:eastAsiaTheme="minorHAnsi"/>
              </w:rPr>
              <w:t>4.</w:t>
            </w:r>
            <w:r w:rsidR="00A8203A">
              <w:rPr>
                <w:rFonts w:eastAsiaTheme="minorHAnsi"/>
              </w:rPr>
              <w:t> </w:t>
            </w:r>
            <w:r w:rsidRPr="000D0380">
              <w:rPr>
                <w:rFonts w:eastAsiaTheme="minorHAnsi"/>
              </w:rPr>
              <w:t>sadaļ</w:t>
            </w:r>
            <w:r>
              <w:rPr>
                <w:rFonts w:eastAsiaTheme="minorHAnsi"/>
              </w:rPr>
              <w:t>u,</w:t>
            </w:r>
            <w:r>
              <w:t xml:space="preserve"> attiecīgos </w:t>
            </w:r>
            <w:r w:rsidRPr="000D0380">
              <w:t>pielikumu</w:t>
            </w:r>
            <w:r>
              <w:t>s</w:t>
            </w:r>
            <w:r w:rsidRPr="000D0380">
              <w:t xml:space="preserve"> </w:t>
            </w:r>
            <w:r>
              <w:t xml:space="preserve">un </w:t>
            </w:r>
            <w:r w:rsidRPr="000D0380">
              <w:rPr>
                <w:rFonts w:eastAsiaTheme="minorHAnsi"/>
              </w:rPr>
              <w:t xml:space="preserve"> protokollēmuma</w:t>
            </w:r>
            <w:r>
              <w:rPr>
                <w:rFonts w:eastAsiaTheme="minorHAnsi"/>
              </w:rPr>
              <w:t xml:space="preserve"> projekta </w:t>
            </w:r>
            <w:r w:rsidR="00925F57">
              <w:rPr>
                <w:rFonts w:eastAsiaTheme="minorHAnsi"/>
              </w:rPr>
              <w:t>6</w:t>
            </w:r>
            <w:r>
              <w:rPr>
                <w:rFonts w:eastAsiaTheme="minorHAnsi"/>
              </w:rPr>
              <w:t xml:space="preserve">. punktu. </w:t>
            </w:r>
          </w:p>
        </w:tc>
      </w:tr>
      <w:tr w:rsidR="004C54F9" w:rsidRPr="000D0380" w14:paraId="4D8F0C7C" w14:textId="77777777" w:rsidTr="00CB1200">
        <w:trPr>
          <w:trHeight w:val="699"/>
        </w:trPr>
        <w:tc>
          <w:tcPr>
            <w:tcW w:w="988" w:type="dxa"/>
            <w:vMerge/>
            <w:tcBorders>
              <w:left w:val="single" w:sz="4" w:space="0" w:color="auto"/>
              <w:bottom w:val="single" w:sz="4" w:space="0" w:color="auto"/>
              <w:right w:val="single" w:sz="4" w:space="0" w:color="auto"/>
            </w:tcBorders>
          </w:tcPr>
          <w:p w14:paraId="29D564D4" w14:textId="77777777" w:rsidR="004C54F9" w:rsidRPr="000D0380" w:rsidRDefault="004C54F9" w:rsidP="00975021">
            <w:pPr>
              <w:pStyle w:val="naisc"/>
              <w:numPr>
                <w:ilvl w:val="0"/>
                <w:numId w:val="4"/>
              </w:numPr>
              <w:tabs>
                <w:tab w:val="left" w:pos="360"/>
              </w:tabs>
              <w:spacing w:before="0" w:after="0"/>
              <w:jc w:val="both"/>
              <w:rPr>
                <w:lang w:eastAsia="en-US"/>
              </w:rPr>
            </w:pPr>
          </w:p>
        </w:tc>
        <w:tc>
          <w:tcPr>
            <w:tcW w:w="2697" w:type="dxa"/>
            <w:vMerge/>
            <w:tcBorders>
              <w:left w:val="single" w:sz="4" w:space="0" w:color="auto"/>
              <w:bottom w:val="single" w:sz="4" w:space="0" w:color="auto"/>
              <w:right w:val="single" w:sz="4" w:space="0" w:color="auto"/>
            </w:tcBorders>
          </w:tcPr>
          <w:p w14:paraId="7A89D6D4" w14:textId="77777777" w:rsidR="004C54F9" w:rsidRPr="000D0380" w:rsidRDefault="004C54F9" w:rsidP="00975021">
            <w:pPr>
              <w:jc w:val="both"/>
              <w:rPr>
                <w:rFonts w:eastAsiaTheme="minorHAnsi"/>
                <w:lang w:eastAsia="en-US"/>
              </w:rPr>
            </w:pPr>
          </w:p>
        </w:tc>
        <w:tc>
          <w:tcPr>
            <w:tcW w:w="6660" w:type="dxa"/>
            <w:tcBorders>
              <w:top w:val="single" w:sz="4" w:space="0" w:color="auto"/>
              <w:left w:val="single" w:sz="4" w:space="0" w:color="auto"/>
              <w:bottom w:val="single" w:sz="4" w:space="0" w:color="auto"/>
              <w:right w:val="single" w:sz="4" w:space="0" w:color="auto"/>
            </w:tcBorders>
          </w:tcPr>
          <w:p w14:paraId="0FE210F4" w14:textId="77777777" w:rsidR="004C54F9" w:rsidRDefault="004C54F9" w:rsidP="004C54F9">
            <w:pPr>
              <w:pStyle w:val="NoSpacing"/>
              <w:jc w:val="both"/>
              <w:rPr>
                <w:rFonts w:ascii="Times New Roman" w:hAnsi="Times New Roman" w:cs="Times New Roman"/>
                <w:b/>
                <w:sz w:val="24"/>
                <w:szCs w:val="24"/>
              </w:rPr>
            </w:pPr>
            <w:r>
              <w:rPr>
                <w:rFonts w:ascii="Times New Roman" w:hAnsi="Times New Roman" w:cs="Times New Roman"/>
                <w:b/>
                <w:sz w:val="24"/>
                <w:szCs w:val="24"/>
              </w:rPr>
              <w:t>Izglītības un zinātnes ministrijas 2020. gada 21. februārī izteikts iebildums atkārtotas saskaņošanas laikā.</w:t>
            </w:r>
          </w:p>
          <w:p w14:paraId="15037D9A" w14:textId="09C4C40A" w:rsidR="004C54F9" w:rsidRPr="00CB1200" w:rsidRDefault="00CB1200" w:rsidP="00975021">
            <w:pPr>
              <w:widowControl w:val="0"/>
              <w:jc w:val="both"/>
              <w:rPr>
                <w:lang w:eastAsia="en-US"/>
              </w:rPr>
            </w:pPr>
            <w:r w:rsidRPr="00CB1200">
              <w:rPr>
                <w:lang w:eastAsia="en-US"/>
              </w:rPr>
              <w:t>Aicinām informatīvā ziņojuma 2.pielikumu „Priekšlikumi atbalsta samazinājuma nepiemērošanai projektos” ieļaut Vidzemes augstskolas projektu „Vidzemes Augstskolas akadēmiskā personāla pilnveide un cilvēkresursu attīstība” (Nr.8.2.2.0/18/A/012), atbilstoši ministrijas 2020.gada 12.februāra vēstules Nr.4-4.1e/20/460 „Atzinums par informatīvā ziņojuma „Informatīvais ziņojums par Kohēzijas politikas Eiropas Savienības fondu investīciju aktualitātēm (pusgada ziņojums)” projektu” (turpmāk – atzinums) 1.7.apakšpunktā minētajam.</w:t>
            </w:r>
          </w:p>
        </w:tc>
        <w:tc>
          <w:tcPr>
            <w:tcW w:w="2700" w:type="dxa"/>
            <w:tcBorders>
              <w:top w:val="single" w:sz="4" w:space="0" w:color="auto"/>
              <w:left w:val="single" w:sz="4" w:space="0" w:color="auto"/>
              <w:bottom w:val="single" w:sz="4" w:space="0" w:color="auto"/>
              <w:right w:val="single" w:sz="4" w:space="0" w:color="auto"/>
            </w:tcBorders>
          </w:tcPr>
          <w:p w14:paraId="04F1A35E" w14:textId="2C8E51AF" w:rsidR="00C15EF0" w:rsidRDefault="003D3007" w:rsidP="00975021">
            <w:pPr>
              <w:pStyle w:val="naisc"/>
              <w:spacing w:before="0" w:after="0"/>
              <w:jc w:val="both"/>
              <w:rPr>
                <w:b/>
                <w:lang w:eastAsia="en-US"/>
              </w:rPr>
            </w:pPr>
            <w:r>
              <w:rPr>
                <w:b/>
                <w:lang w:eastAsia="en-US"/>
              </w:rPr>
              <w:t xml:space="preserve">Ņemts vērā </w:t>
            </w:r>
          </w:p>
          <w:p w14:paraId="41F636B7" w14:textId="6A681E76" w:rsidR="004C54F9" w:rsidRPr="00C15EF0" w:rsidRDefault="00C15EF0" w:rsidP="00975021">
            <w:pPr>
              <w:pStyle w:val="naisc"/>
              <w:spacing w:before="0" w:after="0"/>
              <w:jc w:val="both"/>
              <w:rPr>
                <w:lang w:eastAsia="en-US"/>
              </w:rPr>
            </w:pPr>
            <w:r w:rsidRPr="00C15EF0">
              <w:rPr>
                <w:lang w:eastAsia="en-US"/>
              </w:rPr>
              <w:t xml:space="preserve">Informatīvā ziņojuma 2. </w:t>
            </w:r>
            <w:r w:rsidR="003D3007" w:rsidRPr="00C15EF0">
              <w:rPr>
                <w:lang w:eastAsia="en-US"/>
              </w:rPr>
              <w:t>pielikums papildināts.</w:t>
            </w:r>
          </w:p>
        </w:tc>
        <w:tc>
          <w:tcPr>
            <w:tcW w:w="2259" w:type="dxa"/>
            <w:tcBorders>
              <w:top w:val="single" w:sz="4" w:space="0" w:color="auto"/>
              <w:left w:val="single" w:sz="4" w:space="0" w:color="auto"/>
              <w:bottom w:val="single" w:sz="4" w:space="0" w:color="auto"/>
              <w:right w:val="single" w:sz="4" w:space="0" w:color="auto"/>
            </w:tcBorders>
          </w:tcPr>
          <w:p w14:paraId="1D9DE60C" w14:textId="0B886AED" w:rsidR="004C54F9" w:rsidRPr="000D0380" w:rsidRDefault="00E77A6B" w:rsidP="00975021">
            <w:pPr>
              <w:pStyle w:val="Default"/>
              <w:jc w:val="both"/>
            </w:pPr>
            <w:r>
              <w:t>Skatīt precizētu informatīvā ziņojuma 4.</w:t>
            </w:r>
            <w:r w:rsidR="00944DD4">
              <w:t> </w:t>
            </w:r>
            <w:r>
              <w:t>sadaļu un 2.</w:t>
            </w:r>
            <w:r w:rsidR="00944DD4">
              <w:t> </w:t>
            </w:r>
            <w:r>
              <w:t>pielikumu</w:t>
            </w:r>
            <w:r w:rsidR="00944DD4">
              <w:t>.</w:t>
            </w:r>
          </w:p>
        </w:tc>
      </w:tr>
      <w:tr w:rsidR="00975021" w:rsidRPr="000D0380" w14:paraId="27ECCAAE" w14:textId="77777777" w:rsidTr="006C2AE0">
        <w:trPr>
          <w:trHeight w:val="699"/>
        </w:trPr>
        <w:tc>
          <w:tcPr>
            <w:tcW w:w="988" w:type="dxa"/>
            <w:tcBorders>
              <w:top w:val="single" w:sz="4" w:space="0" w:color="auto"/>
              <w:left w:val="single" w:sz="4" w:space="0" w:color="auto"/>
              <w:bottom w:val="single" w:sz="4" w:space="0" w:color="auto"/>
              <w:right w:val="single" w:sz="4" w:space="0" w:color="auto"/>
            </w:tcBorders>
          </w:tcPr>
          <w:p w14:paraId="391223AD" w14:textId="77777777" w:rsidR="00975021" w:rsidRPr="000D0380" w:rsidRDefault="00975021" w:rsidP="00975021">
            <w:pPr>
              <w:pStyle w:val="naisc"/>
              <w:numPr>
                <w:ilvl w:val="0"/>
                <w:numId w:val="4"/>
              </w:numPr>
              <w:tabs>
                <w:tab w:val="left" w:pos="360"/>
              </w:tabs>
              <w:spacing w:before="0" w:after="0"/>
              <w:jc w:val="both"/>
              <w:rPr>
                <w:lang w:eastAsia="en-US"/>
              </w:rPr>
            </w:pPr>
          </w:p>
        </w:tc>
        <w:tc>
          <w:tcPr>
            <w:tcW w:w="2697" w:type="dxa"/>
            <w:tcBorders>
              <w:left w:val="single" w:sz="4" w:space="0" w:color="auto"/>
              <w:right w:val="single" w:sz="4" w:space="0" w:color="auto"/>
            </w:tcBorders>
          </w:tcPr>
          <w:p w14:paraId="07EF69D6" w14:textId="5B0BAA30" w:rsidR="00975021" w:rsidRPr="000D0380" w:rsidRDefault="00975021" w:rsidP="00975021">
            <w:pPr>
              <w:jc w:val="both"/>
              <w:rPr>
                <w:rFonts w:eastAsiaTheme="minorHAnsi"/>
                <w:lang w:eastAsia="en-US"/>
              </w:rPr>
            </w:pPr>
            <w:r w:rsidRPr="000D0380">
              <w:rPr>
                <w:rFonts w:eastAsiaTheme="minorHAnsi"/>
                <w:lang w:eastAsia="en-US"/>
              </w:rPr>
              <w:t>Informatīvā ziņojuma 4.</w:t>
            </w:r>
            <w:r w:rsidR="00A8203A">
              <w:rPr>
                <w:rFonts w:eastAsiaTheme="minorHAnsi"/>
                <w:lang w:eastAsia="en-US"/>
              </w:rPr>
              <w:t> </w:t>
            </w:r>
            <w:r w:rsidRPr="000D0380">
              <w:rPr>
                <w:rFonts w:eastAsiaTheme="minorHAnsi"/>
                <w:lang w:eastAsia="en-US"/>
              </w:rPr>
              <w:t>sadaļa “2014. - 2020. gada plānošanas perioda ES fondu investīciju aktualitātes”</w:t>
            </w:r>
            <w:r w:rsidR="00944DD4">
              <w:rPr>
                <w:rFonts w:eastAsiaTheme="minorHAnsi"/>
                <w:lang w:eastAsia="en-US"/>
              </w:rPr>
              <w:t>.</w:t>
            </w:r>
            <w:r w:rsidRPr="000D0380">
              <w:rPr>
                <w:rFonts w:eastAsiaTheme="minorHAnsi"/>
                <w:lang w:eastAsia="en-US"/>
              </w:rPr>
              <w:t xml:space="preserve"> </w:t>
            </w:r>
          </w:p>
        </w:tc>
        <w:tc>
          <w:tcPr>
            <w:tcW w:w="6660" w:type="dxa"/>
            <w:tcBorders>
              <w:top w:val="single" w:sz="4" w:space="0" w:color="auto"/>
              <w:left w:val="single" w:sz="4" w:space="0" w:color="auto"/>
              <w:bottom w:val="single" w:sz="4" w:space="0" w:color="auto"/>
              <w:right w:val="single" w:sz="4" w:space="0" w:color="auto"/>
            </w:tcBorders>
          </w:tcPr>
          <w:p w14:paraId="3467088A" w14:textId="77777777" w:rsidR="00975021" w:rsidRPr="004C54F9" w:rsidRDefault="00975021" w:rsidP="00975021">
            <w:pPr>
              <w:jc w:val="both"/>
              <w:rPr>
                <w:b/>
                <w:iCs/>
              </w:rPr>
            </w:pPr>
            <w:r w:rsidRPr="004C54F9">
              <w:rPr>
                <w:b/>
                <w:iCs/>
              </w:rPr>
              <w:t>Priekšlikums</w:t>
            </w:r>
          </w:p>
          <w:p w14:paraId="4782D798" w14:textId="77777777" w:rsidR="004C54F9" w:rsidRPr="004C54F9" w:rsidRDefault="00975021" w:rsidP="004C54F9">
            <w:pPr>
              <w:jc w:val="both"/>
              <w:rPr>
                <w:b/>
                <w:iCs/>
              </w:rPr>
            </w:pPr>
            <w:r w:rsidRPr="004C54F9">
              <w:rPr>
                <w:b/>
                <w:iCs/>
              </w:rPr>
              <w:t>V</w:t>
            </w:r>
            <w:r w:rsidR="004C54F9" w:rsidRPr="004C54F9">
              <w:rPr>
                <w:b/>
                <w:iCs/>
              </w:rPr>
              <w:t>ides aizsardzības un reģionālās attīstības ministrija</w:t>
            </w:r>
          </w:p>
          <w:p w14:paraId="6D0B421D" w14:textId="4CD2A14D" w:rsidR="00975021" w:rsidRPr="005E322E" w:rsidRDefault="00975021" w:rsidP="004C54F9">
            <w:pPr>
              <w:jc w:val="both"/>
              <w:rPr>
                <w:iCs/>
              </w:rPr>
            </w:pPr>
            <w:r w:rsidRPr="005E322E">
              <w:rPr>
                <w:iCs/>
              </w:rPr>
              <w:t xml:space="preserve">Lūdzam papildināt informatīvā ziņojuma 4.sadaļas “2014. - 2020. gada plānošanas perioda ES fondu investīciju aktualitātes” apakšsadaļu “2019. gada projektu ieviešanas plānu izpilde” (29.lpp) ar informāciju par finanšu disciplīnas pasākumu piemērošanas </w:t>
            </w:r>
            <w:r w:rsidRPr="005E322E">
              <w:rPr>
                <w:iCs/>
              </w:rPr>
              <w:lastRenderedPageBreak/>
              <w:t>izvērtējumu šādā redakcijā:“4. Ņemot vērā informatīvā ziņojuma ceturtajā sadaļā un informatīvā ziņojuma pirmajā pielikumā “Valsts kancelejas vēstule “Par finanšu līdzekļu apguvi projektā "Valsts un pašvaldību iestāžu tīmekļvietņu vienotā platforma"” sniegto skaidrojumu par maksājumu pieprasījumu iesniegšanas grafikā noteiktā plāna izpildes kavējumiem, atļaut Centrālajai finanšu un līgumu aģentūrai nesamazināt Eiropas Savienības fonda un valsts budžeta līdzfinansējumu Valsts kancelejas projektam Nr. 2.2.1.1/17/I/016 "Valsts un pašvaldību iestāžu tīmekļvietņu vienotā platforma", Latvijas Investīciju un attīstības aģentūras projektam Nr. 2.2.1.1/17/I/026 “Latvijas eksporta un investīciju informācijas sistēma”, Preiļu novada domes projektam Nr. 4.2.2.0/17/I/101 “Preiļu novada pašvaldības ēkas energoefektivitātes uzlabošana Raiņa bulvārī 19, Preiļos”, Grobiņas novada domes projektam Nr. 4.2.2.0/17/I/072 “Energoefektivitātes paaugstināšana pirmsskolas izglītības iestādes "Čiekuriņš" ēkai” un SIA "Kandavas komunālie pakalpojumi" projektam Nr. 5.3.1.0/17/I/031 “Ūdenssaimniecības pakalpojumu attīstība Kandavā, II kārta” saskaņā ar Ministru kabineta 2014. gada 16. decembra noteikumu Nr. 784 "Kārtība, kādā Eiropas Savienības struktūrfondu un Kohēzijas fonda vadībā iesaistītās institūcijas nodrošina plānošanas dokumentu sagatavošanu un šo fondu ieviešanu 2014.–2020. gada plānošanas periodā" 51.4 7. apakšpunktu, kā arī atļaut pagarināt SIA "Kandavas komunālie pakalpojumi" projekta Nr. 5.3.1.0/17/I/031 “Ūdenssaimniecības pakalpojumu attīstība Kandavā, II kārta” īstenošanas termiņu virs sešiem mēnešiem.”.</w:t>
            </w:r>
          </w:p>
          <w:p w14:paraId="6B1ED7E8" w14:textId="77777777" w:rsidR="00975021" w:rsidRPr="005E322E" w:rsidRDefault="00975021" w:rsidP="00975021">
            <w:pPr>
              <w:widowControl w:val="0"/>
              <w:jc w:val="both"/>
              <w:rPr>
                <w:iCs/>
              </w:rPr>
            </w:pPr>
            <w:r w:rsidRPr="005E322E">
              <w:rPr>
                <w:iCs/>
              </w:rPr>
              <w:t>Vienlaikus norādām, ka VARAM atbalsta CFLA veikto izvērtējumu un viedokli par tiem VARAM atbildības specifisko atbalsta mērķu ietvaros īstenošanā esošajiem 26 projektiem, kuros maksājumu pieprasījumu iesniegšanas plānu izpilde ir mazāka par 75% un par kuriem CFLA ir konstatējusi izņēmuma gadījumus (saskaņā ar tīmekļa vietnes https://www.esfondi.lv/2019.gads 2.punktā pieejamo informāciju).</w:t>
            </w:r>
          </w:p>
          <w:p w14:paraId="6B78A028" w14:textId="77777777" w:rsidR="00975021" w:rsidRPr="005E322E" w:rsidRDefault="00975021" w:rsidP="00975021">
            <w:pPr>
              <w:widowControl w:val="0"/>
              <w:jc w:val="both"/>
              <w:rPr>
                <w:b/>
                <w:iCs/>
              </w:rPr>
            </w:pPr>
            <w:r w:rsidRPr="005E322E">
              <w:rPr>
                <w:b/>
                <w:iCs/>
              </w:rPr>
              <w:t xml:space="preserve">2020. gada 16. februārī papildus no VARAM saņemtā </w:t>
            </w:r>
            <w:r w:rsidRPr="005E322E">
              <w:rPr>
                <w:b/>
                <w:iCs/>
              </w:rPr>
              <w:lastRenderedPageBreak/>
              <w:t>informācija par projektu 5.3.1.0/17/I/031 “Ūdenssaimniecības pakalpojumu attīstība Kandavā, II kārta”</w:t>
            </w:r>
          </w:p>
          <w:p w14:paraId="06C7B6DC" w14:textId="77777777" w:rsidR="00975021" w:rsidRPr="005E322E" w:rsidRDefault="00975021" w:rsidP="00975021">
            <w:pPr>
              <w:widowControl w:val="0"/>
              <w:jc w:val="both"/>
              <w:rPr>
                <w:lang w:eastAsia="en-US"/>
              </w:rPr>
            </w:pPr>
            <w:r w:rsidRPr="005E322E">
              <w:rPr>
                <w:lang w:eastAsia="en-US"/>
              </w:rPr>
              <w:t xml:space="preserve">VARAM sadarbībā ar CFLA atkārtoti izskatījusi apstākļus, kas saistās ar SIA "Kandavas komunālie pakalpojumi" 5.3.1. specifiskā atbalsta mērķa "Attīstīt un uzlabot ūdensapgādes un kanalizācijas sistēmas pakalpojumu kvalitāti un nodrošināt pieslēgšanas iespējas"" turpmāk – SAM 5.3.1.) ietvaros īstenotā projekta Nr. 5.3.1.0/17/I/031 “Ūdenssaimniecības pakalpojumu attīstība Kandavā, II kārta” (turpmāk – projekts) termiņa pagarinājumu un uzskata, ka finanšu discipilīnas pasākumi nav piemērojami un būtu pieļaujama projekta īstenošanas termiņa pagarināšana par termiņu virs sešiem mēnešiem.  </w:t>
            </w:r>
          </w:p>
          <w:p w14:paraId="4FF94E76" w14:textId="214DA31A" w:rsidR="00975021" w:rsidRPr="005E322E" w:rsidRDefault="00975021" w:rsidP="00975021">
            <w:pPr>
              <w:widowControl w:val="0"/>
              <w:jc w:val="both"/>
              <w:rPr>
                <w:lang w:eastAsia="en-US"/>
              </w:rPr>
            </w:pPr>
            <w:r w:rsidRPr="005E322E">
              <w:rPr>
                <w:lang w:eastAsia="en-US"/>
              </w:rPr>
              <w:t>Skaidrojam, ka novirzes no  projekta naudas plūsmas un īstenošanas laika grafika radušās, jo laika periodā līdz iepirkuma līguma noslēgšanai:</w:t>
            </w:r>
          </w:p>
          <w:p w14:paraId="2A43E0E1" w14:textId="77777777" w:rsidR="00975021" w:rsidRPr="005E322E" w:rsidRDefault="00975021" w:rsidP="00A8203A">
            <w:pPr>
              <w:widowControl w:val="0"/>
              <w:ind w:left="319"/>
              <w:jc w:val="both"/>
              <w:rPr>
                <w:lang w:eastAsia="en-US"/>
              </w:rPr>
            </w:pPr>
            <w:r w:rsidRPr="005E322E">
              <w:rPr>
                <w:lang w:eastAsia="en-US"/>
              </w:rPr>
              <w:t>•</w:t>
            </w:r>
            <w:r w:rsidRPr="005E322E">
              <w:rPr>
                <w:lang w:eastAsia="en-US"/>
              </w:rPr>
              <w:tab/>
              <w:t>finansējuma saņēmējs veica rūpīgu iepirkuma dokumentu sagatavošanu būvdarbu iepirkuma pretendentu konkurences nodrošināšanai, lai saņemtu labākos un tirgus cenām atbilstošākos piedāvājumus. Rūpīgas plānošanas rezultātā Finansējuma saņēmējs par iepirkuma procedūras nolikumu saņēma pozitīvu iepirkuma pirmspārbaudes atzinumu no CFLA, kā arī lielu piedāvājumu skaitu - piecus piedāvājumus.</w:t>
            </w:r>
          </w:p>
          <w:p w14:paraId="0916F3AE" w14:textId="77777777" w:rsidR="00975021" w:rsidRPr="005E322E" w:rsidRDefault="00975021" w:rsidP="00A8203A">
            <w:pPr>
              <w:widowControl w:val="0"/>
              <w:ind w:left="319"/>
              <w:jc w:val="both"/>
              <w:rPr>
                <w:lang w:eastAsia="en-US"/>
              </w:rPr>
            </w:pPr>
            <w:r w:rsidRPr="005E322E">
              <w:rPr>
                <w:lang w:eastAsia="en-US"/>
              </w:rPr>
              <w:t>•</w:t>
            </w:r>
            <w:r w:rsidRPr="005E322E">
              <w:rPr>
                <w:lang w:eastAsia="en-US"/>
              </w:rPr>
              <w:tab/>
              <w:t xml:space="preserve">Iepirkuma komisija veica rūpīgu visu piecu saņemto piedāvājumu izvērtēšanu un konstatēja, ka visi piedāvājumi ir atbilstoši nolikuma prasībām, piedāvājums ar zemāko cenu nav nepamatoti lēts un ir atbilstošs tirgus cenām, savukārt konkursā dārgākais piedāvājums gandrīz divreiz pārsniedz piedāvājumu ar viszemāko cenu. Par konkursa uzvarētāju tika atzīsts saimnieciski izdevīgākais piedāvājums ar zemāko piedāvāto līgumcenu. </w:t>
            </w:r>
          </w:p>
          <w:p w14:paraId="508F08D1" w14:textId="77777777" w:rsidR="00975021" w:rsidRPr="005E322E" w:rsidRDefault="00975021" w:rsidP="00A8203A">
            <w:pPr>
              <w:widowControl w:val="0"/>
              <w:ind w:left="319"/>
              <w:jc w:val="both"/>
              <w:rPr>
                <w:lang w:eastAsia="en-US"/>
              </w:rPr>
            </w:pPr>
            <w:r w:rsidRPr="005E322E">
              <w:rPr>
                <w:lang w:eastAsia="en-US"/>
              </w:rPr>
              <w:t>•</w:t>
            </w:r>
            <w:r w:rsidRPr="005E322E">
              <w:rPr>
                <w:lang w:eastAsia="en-US"/>
              </w:rPr>
              <w:tab/>
              <w:t xml:space="preserve">finansējums saņēmējam bija jāveic papildus pasākumi, kas saistās ar dokumentu sagatavošanu izskatīšanai Kandavas novada pašvaldības domes ārkārtas sēdē un kredītlīdzekļu saņemšanu Valsts kasē (trešā puse). Līdz ar to laiks, kas </w:t>
            </w:r>
            <w:r w:rsidRPr="005E322E">
              <w:rPr>
                <w:lang w:eastAsia="en-US"/>
              </w:rPr>
              <w:lastRenderedPageBreak/>
              <w:t>vajadzīgs domes lēmuma saņemšanai, aizdevuma pieprasījumam un finansējuma saņemšanai, aizkavēja līguma slēgšanu un maksājumu izmaksu.</w:t>
            </w:r>
          </w:p>
          <w:p w14:paraId="59B0592B" w14:textId="00B7F160" w:rsidR="00975021" w:rsidRPr="005E322E" w:rsidRDefault="00975021" w:rsidP="00975021">
            <w:pPr>
              <w:widowControl w:val="0"/>
              <w:jc w:val="both"/>
              <w:rPr>
                <w:lang w:eastAsia="en-US"/>
              </w:rPr>
            </w:pPr>
            <w:r w:rsidRPr="005E322E">
              <w:rPr>
                <w:lang w:eastAsia="en-US"/>
              </w:rPr>
              <w:t xml:space="preserve"> Iepriekš minētie apstākļi ietekmēja iepirkuma izsludināšanas un līguma noslēgšanas laiku, kā arī 2019.gada naudas plūsmas prognozes izpildi. Minētais attiecīgi arī radīja nepieciešamību pēc projekta izpildes termiņa pagarinājuma virs sešiem mēnešiem.</w:t>
            </w:r>
          </w:p>
          <w:p w14:paraId="52C99C66" w14:textId="47E489AF" w:rsidR="00975021" w:rsidRPr="005E322E" w:rsidRDefault="00975021" w:rsidP="00975021">
            <w:pPr>
              <w:widowControl w:val="0"/>
              <w:jc w:val="both"/>
              <w:rPr>
                <w:lang w:eastAsia="en-US"/>
              </w:rPr>
            </w:pPr>
            <w:r w:rsidRPr="005E322E">
              <w:rPr>
                <w:lang w:eastAsia="en-US"/>
              </w:rPr>
              <w:t xml:space="preserve"> Skaidrojam, ka projekta termiņa pagarinājums virs sešiem mēnešiem ir nepieciešams nevis būvdarbu pabeigšanai, bet gan projekta un SAM 5.3.1. iznākuma rādītāja - mājsaimniecību pieslēgumu – nodrošināšanai (ko var izveidot tikai pēc būvdarbu pabeigšanas un nodošanas ekspluatācijā). Mājsaimniecību pieslēgumi ir jāizveido līdz projekta īstenošanas beigām un tie ir kritiski svarīgi SAM 5.3.1. iznākuma rādītāja snieguma nodrošināšanai. Vēršam arī uzmanību, ka SAM 5.3.1. MK noteikumi Nr.403 “Darbības programmas "Izaugsme un nodarbinātība" 5.3.1. specifiskā atbalsta mērķa "Attīstīt un uzlabot ūdensapgādes un kanalizācijas sistēmas pakalpojumu kvalitāti un nodrošināt pieslēgšanas iespējas"” atļauj īstenot projektus līdz 2023.gada 31.decembrim un projekta pagarinājums par sešiem mēnešiem iekļausies šajā termiņā. </w:t>
            </w:r>
          </w:p>
          <w:p w14:paraId="61159464" w14:textId="12377A6D" w:rsidR="00975021" w:rsidRPr="005E322E" w:rsidRDefault="00975021" w:rsidP="00975021">
            <w:pPr>
              <w:widowControl w:val="0"/>
              <w:jc w:val="both"/>
              <w:rPr>
                <w:lang w:eastAsia="en-US"/>
              </w:rPr>
            </w:pPr>
            <w:r w:rsidRPr="005E322E">
              <w:rPr>
                <w:lang w:eastAsia="en-US"/>
              </w:rPr>
              <w:t>Finansējuma saņēmējs un Kandavas novada dome ir veikusi arī administratīvus un finansiālus pasākumus, lai veicinātu projekta izpildi – ir uzlabota  projekta administratīvā kapacitāte, ir izdoti Kandavas novada domes saistošo noteikumi Nr.23 “ Kandavas novada domes līdzfinansējuma piešķiršanas kārtība nekustamo īpašumu pieslēgšanai centralizētajiem ūdensapgādes vai kanalizācijas tīkliem” ar mērķi veicināt nekustamo īpašumu pieslēgšanu centralizētajiem kanalizācijas un ūdensvada tīkliem un iznākuma rādītāja ātrāku izpildi.</w:t>
            </w:r>
          </w:p>
          <w:p w14:paraId="62DF7E62" w14:textId="3AA770FE" w:rsidR="00975021" w:rsidRDefault="00975021" w:rsidP="00975021">
            <w:pPr>
              <w:widowControl w:val="0"/>
              <w:jc w:val="both"/>
              <w:rPr>
                <w:lang w:eastAsia="en-US"/>
              </w:rPr>
            </w:pPr>
            <w:r w:rsidRPr="005E322E">
              <w:rPr>
                <w:lang w:eastAsia="en-US"/>
              </w:rPr>
              <w:t>Skaidrojums saskaņots ar CFLA.</w:t>
            </w:r>
          </w:p>
          <w:p w14:paraId="18C7E4ED" w14:textId="48EB84C5" w:rsidR="00975021" w:rsidRDefault="00975021" w:rsidP="00975021">
            <w:pPr>
              <w:widowControl w:val="0"/>
              <w:jc w:val="both"/>
              <w:rPr>
                <w:b/>
                <w:iCs/>
              </w:rPr>
            </w:pPr>
            <w:r w:rsidRPr="005E322E">
              <w:rPr>
                <w:b/>
                <w:iCs/>
              </w:rPr>
              <w:t>2020. gada 1</w:t>
            </w:r>
            <w:r>
              <w:rPr>
                <w:b/>
                <w:iCs/>
              </w:rPr>
              <w:t>7</w:t>
            </w:r>
            <w:r w:rsidRPr="005E322E">
              <w:rPr>
                <w:b/>
                <w:iCs/>
              </w:rPr>
              <w:t>. februārī papildus no VARAM saņemtā informācija par projektu 5.3.1.0/17/I/031 “Ūdenssaimniecības pakalpojumu attīstība Kandavā, II kārta”</w:t>
            </w:r>
          </w:p>
          <w:p w14:paraId="01B76663" w14:textId="77777777" w:rsidR="00975021" w:rsidRPr="005E322E" w:rsidRDefault="00975021" w:rsidP="00975021">
            <w:pPr>
              <w:widowControl w:val="0"/>
              <w:jc w:val="both"/>
              <w:rPr>
                <w:iCs/>
              </w:rPr>
            </w:pPr>
            <w:r w:rsidRPr="005E322E">
              <w:rPr>
                <w:iCs/>
              </w:rPr>
              <w:lastRenderedPageBreak/>
              <w:t xml:space="preserve">Iepirkuma līgumcena ir par 74 tūkstošiem EUR bez PVN augstāka kā plānots, kas ir +14% no sākotnēji plānotās līgumcenas. </w:t>
            </w:r>
          </w:p>
          <w:p w14:paraId="73DF93B1" w14:textId="387340E0" w:rsidR="00975021" w:rsidRPr="005E322E" w:rsidRDefault="00975021" w:rsidP="00975021">
            <w:pPr>
              <w:widowControl w:val="0"/>
              <w:jc w:val="both"/>
              <w:rPr>
                <w:iCs/>
              </w:rPr>
            </w:pPr>
            <w:r w:rsidRPr="005E322E">
              <w:rPr>
                <w:iCs/>
              </w:rPr>
              <w:t>Lai salīdzinātu konkrētā iepirkuma cenas un tirgus cenas, pievienojam bū</w:t>
            </w:r>
            <w:r w:rsidR="007167AB">
              <w:rPr>
                <w:iCs/>
              </w:rPr>
              <w:t>v</w:t>
            </w:r>
            <w:r w:rsidRPr="005E322E">
              <w:rPr>
                <w:iCs/>
              </w:rPr>
              <w:t>darbu iepirkumu līgumu summas Kurzemes reģionā attiecīgajā aglomerāciju grupā  (ar cilvēkekvivalentu no 10 – 100 tūkstošiem) projektos, kur paredzēti pieslēgumi mājsaimniecībām ar 200-400 iedzīvotāju. Salīdzinājums attiecīgi parāda, ka izvēlētais piedāvājums ir atbilstošs tirgus cenām konkrētajā apgabalā līdzīgos projektos un, salīdzinot datus par izmaksām uz vienu iedzīvotāju, atrodas izmaksu lejasdaļā. Tādēļ iepirkuma procedūras atkārtota izsludināšana nebūtu bijusi lietderīga ne no projekta ieviešanas laika grafika viedokļa, ne finanšu viedokļa. Ievērojot minēto, finansējuma saņēmējs lēma par iepirkuma līguma slēgšanu. Atbilstību tirgus cenām pierāda arī konkurence (5 piedāvājumi) un tas, kas tika izvēlēts piedāvājums ar viszemāko cenu.</w:t>
            </w:r>
          </w:p>
          <w:p w14:paraId="1D8BA82D" w14:textId="6EF94C44" w:rsidR="00975021" w:rsidRPr="005E322E" w:rsidRDefault="00975021" w:rsidP="00975021">
            <w:pPr>
              <w:widowControl w:val="0"/>
              <w:jc w:val="both"/>
              <w:rPr>
                <w:iCs/>
              </w:rPr>
            </w:pPr>
            <w:r>
              <w:rPr>
                <w:iCs/>
              </w:rPr>
              <w:t xml:space="preserve"> </w:t>
            </w:r>
            <w:r w:rsidRPr="005E322E">
              <w:rPr>
                <w:iCs/>
              </w:rPr>
              <w:t>Kopumā, uzraugot SAM 5.3.1. ieviešanas gaitu, gan CFLA, gan VARAM ir secinājušas, ka daudzos ūdenssaimniecības projektos, kas izsludināti 2018. – 2019. gadā, ir vērojamas augstas iepirkumos saņemto piedāvājumu līgumcenas, kas pārsniedz sākotnēji plānoto, piemēram, piemēram, Dundagas, Stendes, Aizputes, Bauskas, Mārupes, Jūrmalas, u.c. aglomerācijās.</w:t>
            </w:r>
          </w:p>
          <w:p w14:paraId="0E51489E" w14:textId="45F140FF" w:rsidR="00975021" w:rsidRPr="005E322E" w:rsidRDefault="00975021" w:rsidP="00975021">
            <w:pPr>
              <w:widowControl w:val="0"/>
              <w:jc w:val="both"/>
              <w:rPr>
                <w:iCs/>
              </w:rPr>
            </w:pPr>
            <w:r w:rsidRPr="005E322E">
              <w:rPr>
                <w:iCs/>
              </w:rPr>
              <w:t>Papildus norādām,  ka ņemot vērā 2019.gadā konstatēto situāciju par pašvaldību aizņēmumu apstiprināšanas rindu, Finansējuma saņēmējam nācās mainīt finansēšanas mehānismu, jo Projekta finansēšanai tika paredzēts piesaistīt pašvaldības aizņēmumu no Valsts kases, kas tiktu virzīts uz Projekta iesniedzēja pamatkapitāla palielināšanu. Lai nodrošinātu ātrāku projekta būvdarbu iepirkuma līguma noslēgšanu, FS nācās mainīt arī aizdevuma veidu (uz aizdevumu Valsts kasē SIA vajadzībām ar pašvaldības galvojumu).</w:t>
            </w:r>
          </w:p>
          <w:p w14:paraId="06BBDCE2" w14:textId="59B0A1B9" w:rsidR="00975021" w:rsidRPr="005E322E" w:rsidRDefault="00975021" w:rsidP="00975021">
            <w:pPr>
              <w:widowControl w:val="0"/>
              <w:jc w:val="both"/>
              <w:rPr>
                <w:lang w:eastAsia="en-US"/>
              </w:rPr>
            </w:pPr>
          </w:p>
        </w:tc>
        <w:tc>
          <w:tcPr>
            <w:tcW w:w="2700" w:type="dxa"/>
            <w:tcBorders>
              <w:left w:val="single" w:sz="4" w:space="0" w:color="auto"/>
              <w:right w:val="single" w:sz="4" w:space="0" w:color="auto"/>
            </w:tcBorders>
          </w:tcPr>
          <w:p w14:paraId="70158F08" w14:textId="611B3AEF" w:rsidR="00975021" w:rsidRPr="000D0380" w:rsidRDefault="00975021" w:rsidP="00975021">
            <w:pPr>
              <w:pStyle w:val="naisc"/>
              <w:spacing w:before="0" w:after="0"/>
              <w:jc w:val="both"/>
              <w:rPr>
                <w:b/>
                <w:lang w:eastAsia="en-US"/>
              </w:rPr>
            </w:pPr>
            <w:r w:rsidRPr="00E4506B">
              <w:rPr>
                <w:b/>
                <w:lang w:eastAsia="en-US"/>
              </w:rPr>
              <w:lastRenderedPageBreak/>
              <w:t>Ņemts vērā</w:t>
            </w:r>
            <w:r>
              <w:rPr>
                <w:b/>
                <w:lang w:eastAsia="en-US"/>
              </w:rPr>
              <w:t xml:space="preserve"> </w:t>
            </w:r>
            <w:r>
              <w:rPr>
                <w:lang w:eastAsia="en-US"/>
              </w:rPr>
              <w:t xml:space="preserve">pēc būtības. </w:t>
            </w:r>
            <w:r w:rsidRPr="000D0380">
              <w:rPr>
                <w:lang w:eastAsia="en-US"/>
              </w:rPr>
              <w:t>Informatīvais ziņojums papildināts ar vispārīgu informāciju par gadījumiem, par kuriem j</w:t>
            </w:r>
            <w:r>
              <w:rPr>
                <w:lang w:eastAsia="en-US"/>
              </w:rPr>
              <w:t xml:space="preserve">ālemj MK ar atsauci uz </w:t>
            </w:r>
            <w:r>
              <w:rPr>
                <w:lang w:eastAsia="en-US"/>
              </w:rPr>
              <w:lastRenderedPageBreak/>
              <w:t>pielikumiem</w:t>
            </w:r>
            <w:r w:rsidRPr="000D0380">
              <w:rPr>
                <w:lang w:eastAsia="en-US"/>
              </w:rPr>
              <w:t xml:space="preserve"> </w:t>
            </w:r>
            <w:r>
              <w:rPr>
                <w:lang w:eastAsia="en-US"/>
              </w:rPr>
              <w:t>ar detalizētu informāciju</w:t>
            </w:r>
            <w:r w:rsidRPr="000D0380">
              <w:rPr>
                <w:lang w:eastAsia="en-US"/>
              </w:rPr>
              <w:t>.</w:t>
            </w:r>
            <w:r>
              <w:rPr>
                <w:lang w:eastAsia="en-US"/>
              </w:rPr>
              <w:t xml:space="preserve"> Informatīvā ziņojuma saskaņošanas laikā  </w:t>
            </w:r>
            <w:r>
              <w:rPr>
                <w:rFonts w:eastAsiaTheme="minorHAnsi"/>
              </w:rPr>
              <w:t>2020. gadā 16.-17. februārī VARAM atsūtīja e-pastu,  ar padziļinātu skaidrojumu par projektu 5</w:t>
            </w:r>
            <w:r w:rsidRPr="000D0380">
              <w:rPr>
                <w:iCs/>
              </w:rPr>
              <w:t>.3.1.0/17/I/031 “Ūdenssaimniecības pakalpojumu attīstība Kandavā, II kārta”</w:t>
            </w:r>
            <w:r>
              <w:rPr>
                <w:iCs/>
              </w:rPr>
              <w:t>, ar kuru nomainīts komentārs abos informatīvā ziņojuma pielikumos.</w:t>
            </w:r>
            <w:r>
              <w:rPr>
                <w:rFonts w:eastAsiaTheme="minorHAnsi"/>
              </w:rPr>
              <w:t xml:space="preserve"> </w:t>
            </w:r>
          </w:p>
        </w:tc>
        <w:tc>
          <w:tcPr>
            <w:tcW w:w="2259" w:type="dxa"/>
            <w:tcBorders>
              <w:left w:val="single" w:sz="4" w:space="0" w:color="auto"/>
              <w:right w:val="single" w:sz="4" w:space="0" w:color="auto"/>
            </w:tcBorders>
          </w:tcPr>
          <w:p w14:paraId="061D2A4F" w14:textId="09B3B6BA" w:rsidR="00975021" w:rsidRPr="000D0380" w:rsidRDefault="00975021" w:rsidP="00975021">
            <w:pPr>
              <w:pStyle w:val="Default"/>
              <w:jc w:val="both"/>
            </w:pPr>
            <w:r w:rsidRPr="000D0380">
              <w:lastRenderedPageBreak/>
              <w:t>Skatīt precizē</w:t>
            </w:r>
            <w:r>
              <w:t>tu i</w:t>
            </w:r>
            <w:r w:rsidRPr="000D0380">
              <w:t>nformatīvā ziņojuma</w:t>
            </w:r>
            <w:r>
              <w:t xml:space="preserve"> </w:t>
            </w:r>
            <w:r w:rsidRPr="000D0380">
              <w:rPr>
                <w:rFonts w:eastAsiaTheme="minorHAnsi"/>
              </w:rPr>
              <w:t>4.</w:t>
            </w:r>
            <w:r w:rsidR="00A8203A">
              <w:rPr>
                <w:rFonts w:eastAsiaTheme="minorHAnsi"/>
              </w:rPr>
              <w:t> </w:t>
            </w:r>
            <w:r w:rsidRPr="000D0380">
              <w:rPr>
                <w:rFonts w:eastAsiaTheme="minorHAnsi"/>
              </w:rPr>
              <w:t>sadaļ</w:t>
            </w:r>
            <w:r>
              <w:rPr>
                <w:rFonts w:eastAsiaTheme="minorHAnsi"/>
              </w:rPr>
              <w:t>u,</w:t>
            </w:r>
            <w:r>
              <w:t xml:space="preserve"> attiecīgos </w:t>
            </w:r>
            <w:r w:rsidRPr="000D0380">
              <w:t>pielikumu</w:t>
            </w:r>
            <w:r>
              <w:t>s</w:t>
            </w:r>
            <w:r w:rsidRPr="000D0380">
              <w:t xml:space="preserve"> </w:t>
            </w:r>
            <w:r>
              <w:t xml:space="preserve">un </w:t>
            </w:r>
            <w:r w:rsidRPr="000D0380">
              <w:rPr>
                <w:rFonts w:eastAsiaTheme="minorHAnsi"/>
              </w:rPr>
              <w:t xml:space="preserve"> protokollēmuma</w:t>
            </w:r>
            <w:r>
              <w:rPr>
                <w:rFonts w:eastAsiaTheme="minorHAnsi"/>
              </w:rPr>
              <w:t xml:space="preserve"> projekta </w:t>
            </w:r>
            <w:r w:rsidR="00925F57">
              <w:rPr>
                <w:rFonts w:eastAsiaTheme="minorHAnsi"/>
              </w:rPr>
              <w:t>6</w:t>
            </w:r>
            <w:r>
              <w:rPr>
                <w:rFonts w:eastAsiaTheme="minorHAnsi"/>
              </w:rPr>
              <w:t>. punktu.</w:t>
            </w:r>
          </w:p>
        </w:tc>
      </w:tr>
      <w:tr w:rsidR="00975021" w:rsidRPr="000D0380" w14:paraId="684641AF" w14:textId="77777777" w:rsidTr="006C2AE0">
        <w:trPr>
          <w:trHeight w:val="699"/>
        </w:trPr>
        <w:tc>
          <w:tcPr>
            <w:tcW w:w="988" w:type="dxa"/>
            <w:tcBorders>
              <w:top w:val="single" w:sz="4" w:space="0" w:color="auto"/>
              <w:left w:val="single" w:sz="4" w:space="0" w:color="auto"/>
              <w:bottom w:val="single" w:sz="4" w:space="0" w:color="auto"/>
              <w:right w:val="single" w:sz="4" w:space="0" w:color="auto"/>
            </w:tcBorders>
          </w:tcPr>
          <w:p w14:paraId="7CAE7B2C" w14:textId="77777777" w:rsidR="00975021" w:rsidRPr="000D0380" w:rsidRDefault="00975021" w:rsidP="00975021">
            <w:pPr>
              <w:pStyle w:val="naisc"/>
              <w:numPr>
                <w:ilvl w:val="0"/>
                <w:numId w:val="4"/>
              </w:numPr>
              <w:tabs>
                <w:tab w:val="left" w:pos="360"/>
              </w:tabs>
              <w:spacing w:before="0" w:after="0"/>
              <w:jc w:val="both"/>
              <w:rPr>
                <w:lang w:eastAsia="en-US"/>
              </w:rPr>
            </w:pPr>
          </w:p>
        </w:tc>
        <w:tc>
          <w:tcPr>
            <w:tcW w:w="2697" w:type="dxa"/>
            <w:tcBorders>
              <w:top w:val="single" w:sz="4" w:space="0" w:color="auto"/>
              <w:left w:val="single" w:sz="4" w:space="0" w:color="auto"/>
              <w:bottom w:val="single" w:sz="4" w:space="0" w:color="auto"/>
              <w:right w:val="single" w:sz="4" w:space="0" w:color="auto"/>
            </w:tcBorders>
          </w:tcPr>
          <w:p w14:paraId="4CB842D7" w14:textId="3ABC2431" w:rsidR="00975021" w:rsidRPr="000D0380" w:rsidRDefault="00975021" w:rsidP="00975021">
            <w:pPr>
              <w:jc w:val="both"/>
              <w:rPr>
                <w:rFonts w:eastAsiaTheme="minorHAnsi"/>
                <w:lang w:eastAsia="en-US"/>
              </w:rPr>
            </w:pPr>
            <w:r w:rsidRPr="000D0380">
              <w:rPr>
                <w:rFonts w:eastAsiaTheme="minorHAnsi"/>
                <w:lang w:eastAsia="en-US"/>
              </w:rPr>
              <w:t>Informatīvā ziņojuma 4.</w:t>
            </w:r>
            <w:r w:rsidR="00A8203A">
              <w:rPr>
                <w:rFonts w:eastAsiaTheme="minorHAnsi"/>
                <w:lang w:eastAsia="en-US"/>
              </w:rPr>
              <w:t> </w:t>
            </w:r>
            <w:r w:rsidRPr="000D0380">
              <w:rPr>
                <w:rFonts w:eastAsiaTheme="minorHAnsi"/>
                <w:lang w:eastAsia="en-US"/>
              </w:rPr>
              <w:t xml:space="preserve">sadaļa “2014. - 2020. gada plānošanas perioda </w:t>
            </w:r>
            <w:r w:rsidRPr="000D0380">
              <w:rPr>
                <w:rFonts w:eastAsiaTheme="minorHAnsi"/>
                <w:lang w:eastAsia="en-US"/>
              </w:rPr>
              <w:lastRenderedPageBreak/>
              <w:t>ES fondu investīciju aktualitātes”</w:t>
            </w:r>
            <w:r w:rsidR="00944DD4">
              <w:rPr>
                <w:rFonts w:eastAsiaTheme="minorHAnsi"/>
                <w:lang w:eastAsia="en-US"/>
              </w:rPr>
              <w:t>.</w:t>
            </w:r>
          </w:p>
        </w:tc>
        <w:tc>
          <w:tcPr>
            <w:tcW w:w="6660" w:type="dxa"/>
            <w:tcBorders>
              <w:top w:val="single" w:sz="4" w:space="0" w:color="auto"/>
              <w:left w:val="single" w:sz="4" w:space="0" w:color="auto"/>
              <w:bottom w:val="single" w:sz="4" w:space="0" w:color="auto"/>
              <w:right w:val="single" w:sz="4" w:space="0" w:color="auto"/>
            </w:tcBorders>
          </w:tcPr>
          <w:p w14:paraId="0192EF93" w14:textId="60B49486" w:rsidR="00975021" w:rsidRPr="000D0380" w:rsidRDefault="00975021" w:rsidP="00975021">
            <w:pPr>
              <w:widowControl w:val="0"/>
              <w:tabs>
                <w:tab w:val="left" w:pos="2460"/>
              </w:tabs>
              <w:jc w:val="both"/>
              <w:rPr>
                <w:b/>
                <w:color w:val="000000"/>
              </w:rPr>
            </w:pPr>
            <w:r w:rsidRPr="000D0380">
              <w:rPr>
                <w:b/>
                <w:color w:val="000000"/>
              </w:rPr>
              <w:lastRenderedPageBreak/>
              <w:t>Iebildums</w:t>
            </w:r>
          </w:p>
          <w:p w14:paraId="412EC2B3" w14:textId="25E94899" w:rsidR="00975021" w:rsidRPr="000D0380" w:rsidRDefault="00975021" w:rsidP="00975021">
            <w:pPr>
              <w:widowControl w:val="0"/>
              <w:tabs>
                <w:tab w:val="left" w:pos="2460"/>
              </w:tabs>
              <w:jc w:val="both"/>
              <w:rPr>
                <w:b/>
                <w:color w:val="000000"/>
              </w:rPr>
            </w:pPr>
            <w:r w:rsidRPr="000D0380">
              <w:rPr>
                <w:b/>
                <w:color w:val="000000"/>
              </w:rPr>
              <w:t>Veselības ministrija</w:t>
            </w:r>
          </w:p>
          <w:p w14:paraId="53E915AF" w14:textId="1630BF12" w:rsidR="00975021" w:rsidRPr="000D0380" w:rsidRDefault="00975021" w:rsidP="00975021">
            <w:pPr>
              <w:jc w:val="both"/>
              <w:rPr>
                <w:b/>
                <w:iCs/>
              </w:rPr>
            </w:pPr>
            <w:r w:rsidRPr="000D0380">
              <w:rPr>
                <w:color w:val="000000"/>
              </w:rPr>
              <w:lastRenderedPageBreak/>
              <w:t>Ņemot vērā šīs Veselības ministrijas sniegto pamatojumu par 9.3.2. specifiskā atbalsta mērķa „Uzlabot kvalitatīvu veselības aprūpes pakalpojumu pieejamību, jo īpaši sociālās, teritoriālās atstumtības un nabadzības riskam pakļautajiem iedzīvotājiem, attīstot veselības aprūpes infrastruktūru” (turpmāk – SAM 9..3.2.) I un IV atlases kārtas projektiem, kuros ir konstatēts finanšu disciplīnas pārkāpums, lūdzam papildināt protokollēmuma projektu un atļaut Centrālajai finanšu un līgumu aģentūrai nesamazināt Eiropas Savienības fonda un valsts budžeta līdzfinansējumu SAM 9.3.2.projektos, piemērojot MK noteikumu Nr.784 51.47.apakšpunktā noteikto izņēmumu. Attiecīgi lūdzam papildināt pusgada ziņojuma sadaļu “2019. gada projektu ieviešanas plānu izpilde”;</w:t>
            </w:r>
            <w:r w:rsidRPr="000D0380">
              <w:rPr>
                <w:color w:val="000000"/>
              </w:rPr>
              <w:tab/>
            </w:r>
          </w:p>
        </w:tc>
        <w:tc>
          <w:tcPr>
            <w:tcW w:w="2700" w:type="dxa"/>
            <w:tcBorders>
              <w:top w:val="single" w:sz="4" w:space="0" w:color="auto"/>
              <w:left w:val="single" w:sz="4" w:space="0" w:color="auto"/>
              <w:bottom w:val="single" w:sz="4" w:space="0" w:color="auto"/>
              <w:right w:val="single" w:sz="4" w:space="0" w:color="auto"/>
            </w:tcBorders>
          </w:tcPr>
          <w:p w14:paraId="2FF1C3C6" w14:textId="1A279E9E" w:rsidR="00975021" w:rsidRPr="000D0380" w:rsidRDefault="00975021" w:rsidP="00975021">
            <w:pPr>
              <w:pStyle w:val="naisc"/>
              <w:spacing w:before="0" w:after="0"/>
              <w:jc w:val="both"/>
              <w:rPr>
                <w:b/>
                <w:lang w:eastAsia="en-US"/>
              </w:rPr>
            </w:pPr>
            <w:r w:rsidRPr="00E4506B">
              <w:rPr>
                <w:b/>
                <w:lang w:eastAsia="en-US"/>
              </w:rPr>
              <w:lastRenderedPageBreak/>
              <w:t>Ņemts vērā</w:t>
            </w:r>
            <w:r>
              <w:rPr>
                <w:b/>
                <w:lang w:eastAsia="en-US"/>
              </w:rPr>
              <w:t xml:space="preserve"> </w:t>
            </w:r>
            <w:r>
              <w:rPr>
                <w:lang w:eastAsia="en-US"/>
              </w:rPr>
              <w:t xml:space="preserve">pēc būtības. </w:t>
            </w:r>
            <w:r w:rsidRPr="000D0380">
              <w:rPr>
                <w:lang w:eastAsia="en-US"/>
              </w:rPr>
              <w:t xml:space="preserve">Informatīvais ziņojums papildināts ar vispārīgu </w:t>
            </w:r>
            <w:r w:rsidRPr="000D0380">
              <w:rPr>
                <w:lang w:eastAsia="en-US"/>
              </w:rPr>
              <w:lastRenderedPageBreak/>
              <w:t>informāciju par gadījumiem, par kuriem j</w:t>
            </w:r>
            <w:r>
              <w:rPr>
                <w:lang w:eastAsia="en-US"/>
              </w:rPr>
              <w:t>ālemj MK ar atsauci uz pielikumiem</w:t>
            </w:r>
            <w:r w:rsidRPr="000D0380">
              <w:rPr>
                <w:lang w:eastAsia="en-US"/>
              </w:rPr>
              <w:t xml:space="preserve"> </w:t>
            </w:r>
            <w:r>
              <w:rPr>
                <w:lang w:eastAsia="en-US"/>
              </w:rPr>
              <w:t>ar detalizētu informāciju</w:t>
            </w:r>
            <w:r w:rsidRPr="000D0380">
              <w:rPr>
                <w:lang w:eastAsia="en-US"/>
              </w:rPr>
              <w:t>.</w:t>
            </w:r>
          </w:p>
        </w:tc>
        <w:tc>
          <w:tcPr>
            <w:tcW w:w="2259" w:type="dxa"/>
            <w:tcBorders>
              <w:top w:val="single" w:sz="4" w:space="0" w:color="auto"/>
              <w:left w:val="single" w:sz="4" w:space="0" w:color="auto"/>
              <w:bottom w:val="single" w:sz="4" w:space="0" w:color="auto"/>
              <w:right w:val="single" w:sz="4" w:space="0" w:color="auto"/>
            </w:tcBorders>
          </w:tcPr>
          <w:p w14:paraId="68F05DAA" w14:textId="4E75AB0D" w:rsidR="00975021" w:rsidRPr="000D0380" w:rsidRDefault="00975021" w:rsidP="00975021">
            <w:pPr>
              <w:pStyle w:val="Default"/>
              <w:jc w:val="both"/>
            </w:pPr>
            <w:r w:rsidRPr="000D0380">
              <w:lastRenderedPageBreak/>
              <w:t>Skatīt precizē</w:t>
            </w:r>
            <w:r>
              <w:t>tu i</w:t>
            </w:r>
            <w:r w:rsidRPr="000D0380">
              <w:t>nformatīvā ziņojuma</w:t>
            </w:r>
            <w:r>
              <w:t xml:space="preserve"> </w:t>
            </w:r>
            <w:r w:rsidRPr="000D0380">
              <w:rPr>
                <w:rFonts w:eastAsiaTheme="minorHAnsi"/>
              </w:rPr>
              <w:t>4.</w:t>
            </w:r>
            <w:r w:rsidR="00A8203A">
              <w:rPr>
                <w:rFonts w:eastAsiaTheme="minorHAnsi"/>
              </w:rPr>
              <w:t> </w:t>
            </w:r>
            <w:r w:rsidRPr="000D0380">
              <w:rPr>
                <w:rFonts w:eastAsiaTheme="minorHAnsi"/>
              </w:rPr>
              <w:t>sadaļ</w:t>
            </w:r>
            <w:r>
              <w:rPr>
                <w:rFonts w:eastAsiaTheme="minorHAnsi"/>
              </w:rPr>
              <w:t>u,</w:t>
            </w:r>
            <w:r>
              <w:t xml:space="preserve"> </w:t>
            </w:r>
            <w:r>
              <w:lastRenderedPageBreak/>
              <w:t xml:space="preserve">attiecīgos </w:t>
            </w:r>
            <w:r w:rsidRPr="000D0380">
              <w:t>pielikumu</w:t>
            </w:r>
            <w:r>
              <w:t>s</w:t>
            </w:r>
            <w:r w:rsidRPr="000D0380">
              <w:t xml:space="preserve"> </w:t>
            </w:r>
            <w:r>
              <w:t xml:space="preserve">un </w:t>
            </w:r>
            <w:r w:rsidRPr="000D0380">
              <w:rPr>
                <w:rFonts w:eastAsiaTheme="minorHAnsi"/>
              </w:rPr>
              <w:t xml:space="preserve"> protokollēmuma</w:t>
            </w:r>
            <w:r>
              <w:rPr>
                <w:rFonts w:eastAsiaTheme="minorHAnsi"/>
              </w:rPr>
              <w:t xml:space="preserve"> projekta </w:t>
            </w:r>
            <w:r w:rsidR="00925F57">
              <w:rPr>
                <w:rFonts w:eastAsiaTheme="minorHAnsi"/>
              </w:rPr>
              <w:t>6</w:t>
            </w:r>
            <w:r>
              <w:rPr>
                <w:rFonts w:eastAsiaTheme="minorHAnsi"/>
              </w:rPr>
              <w:t>. punktu.</w:t>
            </w:r>
          </w:p>
        </w:tc>
      </w:tr>
      <w:tr w:rsidR="00975021" w:rsidRPr="000D0380" w14:paraId="23764078" w14:textId="77777777" w:rsidTr="006C2AE0">
        <w:trPr>
          <w:trHeight w:val="699"/>
        </w:trPr>
        <w:tc>
          <w:tcPr>
            <w:tcW w:w="988" w:type="dxa"/>
            <w:tcBorders>
              <w:top w:val="single" w:sz="4" w:space="0" w:color="auto"/>
              <w:left w:val="single" w:sz="4" w:space="0" w:color="auto"/>
              <w:bottom w:val="single" w:sz="4" w:space="0" w:color="auto"/>
              <w:right w:val="single" w:sz="4" w:space="0" w:color="auto"/>
            </w:tcBorders>
          </w:tcPr>
          <w:p w14:paraId="3294C612" w14:textId="77777777" w:rsidR="00975021" w:rsidRPr="000D0380" w:rsidRDefault="00975021" w:rsidP="00975021">
            <w:pPr>
              <w:pStyle w:val="naisc"/>
              <w:numPr>
                <w:ilvl w:val="0"/>
                <w:numId w:val="4"/>
              </w:numPr>
              <w:tabs>
                <w:tab w:val="left" w:pos="360"/>
              </w:tabs>
              <w:spacing w:before="0" w:after="0"/>
              <w:jc w:val="both"/>
              <w:rPr>
                <w:lang w:eastAsia="en-US"/>
              </w:rPr>
            </w:pPr>
          </w:p>
        </w:tc>
        <w:tc>
          <w:tcPr>
            <w:tcW w:w="2697" w:type="dxa"/>
            <w:tcBorders>
              <w:top w:val="single" w:sz="4" w:space="0" w:color="auto"/>
              <w:left w:val="single" w:sz="4" w:space="0" w:color="auto"/>
              <w:bottom w:val="single" w:sz="4" w:space="0" w:color="auto"/>
              <w:right w:val="single" w:sz="4" w:space="0" w:color="auto"/>
            </w:tcBorders>
          </w:tcPr>
          <w:p w14:paraId="45908994" w14:textId="7742436B" w:rsidR="00975021" w:rsidRPr="000D0380" w:rsidRDefault="00975021" w:rsidP="00975021">
            <w:pPr>
              <w:jc w:val="both"/>
              <w:rPr>
                <w:rFonts w:eastAsiaTheme="minorHAnsi"/>
                <w:lang w:eastAsia="en-US"/>
              </w:rPr>
            </w:pPr>
            <w:r w:rsidRPr="000D0380">
              <w:rPr>
                <w:rFonts w:eastAsiaTheme="minorHAnsi"/>
                <w:lang w:eastAsia="en-US"/>
              </w:rPr>
              <w:t>Informatīvā ziņojuma 4.</w:t>
            </w:r>
            <w:r w:rsidR="00A8203A">
              <w:rPr>
                <w:rFonts w:eastAsiaTheme="minorHAnsi"/>
                <w:lang w:eastAsia="en-US"/>
              </w:rPr>
              <w:t> </w:t>
            </w:r>
            <w:r w:rsidRPr="000D0380">
              <w:rPr>
                <w:rFonts w:eastAsiaTheme="minorHAnsi"/>
                <w:lang w:eastAsia="en-US"/>
              </w:rPr>
              <w:t>sadaļas “2014. - 2020. gada plānošanas perioda ES fondu investīciju aktualitātes” apakšsadaļa “2019.</w:t>
            </w:r>
            <w:r w:rsidR="00A8203A">
              <w:rPr>
                <w:rFonts w:eastAsiaTheme="minorHAnsi"/>
                <w:lang w:eastAsia="en-US"/>
              </w:rPr>
              <w:t> </w:t>
            </w:r>
            <w:r w:rsidRPr="000D0380">
              <w:rPr>
                <w:rFonts w:eastAsiaTheme="minorHAnsi"/>
                <w:lang w:eastAsia="en-US"/>
              </w:rPr>
              <w:t>gada projektu ieviešanas plānu izpilde”</w:t>
            </w:r>
            <w:r w:rsidR="00944DD4">
              <w:rPr>
                <w:rFonts w:eastAsiaTheme="minorHAnsi"/>
                <w:lang w:eastAsia="en-US"/>
              </w:rPr>
              <w:t>.</w:t>
            </w:r>
          </w:p>
          <w:p w14:paraId="107F652D" w14:textId="77777777" w:rsidR="00975021" w:rsidRPr="000D0380" w:rsidRDefault="00975021" w:rsidP="00975021">
            <w:pPr>
              <w:jc w:val="both"/>
              <w:rPr>
                <w:rFonts w:eastAsiaTheme="minorHAnsi"/>
                <w:lang w:eastAsia="en-US"/>
              </w:rPr>
            </w:pPr>
          </w:p>
        </w:tc>
        <w:tc>
          <w:tcPr>
            <w:tcW w:w="6660" w:type="dxa"/>
            <w:tcBorders>
              <w:top w:val="single" w:sz="4" w:space="0" w:color="auto"/>
              <w:left w:val="single" w:sz="4" w:space="0" w:color="auto"/>
              <w:bottom w:val="single" w:sz="4" w:space="0" w:color="auto"/>
              <w:right w:val="single" w:sz="4" w:space="0" w:color="auto"/>
            </w:tcBorders>
          </w:tcPr>
          <w:p w14:paraId="54FABDD8" w14:textId="77777777" w:rsidR="00975021" w:rsidRPr="000D0380" w:rsidRDefault="00975021" w:rsidP="00975021">
            <w:pPr>
              <w:widowControl w:val="0"/>
              <w:jc w:val="both"/>
              <w:rPr>
                <w:b/>
                <w:lang w:eastAsia="en-US"/>
              </w:rPr>
            </w:pPr>
            <w:r w:rsidRPr="000D0380">
              <w:rPr>
                <w:b/>
                <w:lang w:eastAsia="en-US"/>
              </w:rPr>
              <w:t>Iebildums</w:t>
            </w:r>
          </w:p>
          <w:p w14:paraId="3251E175" w14:textId="77777777" w:rsidR="00975021" w:rsidRPr="000D0380" w:rsidRDefault="00975021" w:rsidP="00975021">
            <w:pPr>
              <w:widowControl w:val="0"/>
              <w:jc w:val="both"/>
              <w:rPr>
                <w:b/>
                <w:lang w:eastAsia="en-US"/>
              </w:rPr>
            </w:pPr>
            <w:r w:rsidRPr="000D0380">
              <w:rPr>
                <w:b/>
                <w:lang w:eastAsia="en-US"/>
              </w:rPr>
              <w:t>Labklājības ministrija</w:t>
            </w:r>
          </w:p>
          <w:p w14:paraId="0A43251E" w14:textId="77777777" w:rsidR="00975021" w:rsidRPr="000D0380" w:rsidRDefault="00975021" w:rsidP="00975021">
            <w:pPr>
              <w:widowControl w:val="0"/>
              <w:jc w:val="both"/>
              <w:rPr>
                <w:lang w:eastAsia="en-US"/>
              </w:rPr>
            </w:pPr>
            <w:r w:rsidRPr="000D0380">
              <w:rPr>
                <w:lang w:eastAsia="en-US"/>
              </w:rPr>
              <w:t>Lūdzam FM papildināt informatīvo ziņojumu un protokollēmuma projektu, atļaujot sadarbības iestādei pagarināt vairāk par sešiem mēnešiem (nepārsniedzot 2023.gada 31.decembri) projektiem pieejamā finansējuma ietvaros šādus Nodarbinātības valsts aģentūras īstenotos darbības programmas “Izaugsme un nodarbinātība” specifisko atbalsta mērķu/pasākumu projektus:</w:t>
            </w:r>
          </w:p>
          <w:p w14:paraId="4CF39AAF" w14:textId="77777777" w:rsidR="00975021" w:rsidRPr="000D0380" w:rsidRDefault="00975021" w:rsidP="00975021">
            <w:pPr>
              <w:widowControl w:val="0"/>
              <w:ind w:firstLine="467"/>
              <w:jc w:val="both"/>
              <w:rPr>
                <w:lang w:eastAsia="en-US"/>
              </w:rPr>
            </w:pPr>
            <w:r w:rsidRPr="000D0380">
              <w:rPr>
                <w:lang w:eastAsia="en-US"/>
              </w:rPr>
              <w:t xml:space="preserve">a. projektu Nr.7.1.1.0/15/I/001 “Atbalsts bezdarbnieku izglītībai”, kas veicina bezdarbnieku un darba meklētāju konkurētspēju darba tirgū, nodrošinot profesionālās kvalifikācijas vai darbam nepieciešamo prasmju un iemaņu ieguvi un pilnveidi; </w:t>
            </w:r>
          </w:p>
          <w:p w14:paraId="3881FA8D" w14:textId="77777777" w:rsidR="00975021" w:rsidRPr="000D0380" w:rsidRDefault="00975021" w:rsidP="00975021">
            <w:pPr>
              <w:widowControl w:val="0"/>
              <w:ind w:firstLine="467"/>
              <w:jc w:val="both"/>
              <w:rPr>
                <w:lang w:eastAsia="en-US"/>
              </w:rPr>
            </w:pPr>
            <w:r w:rsidRPr="000D0380">
              <w:rPr>
                <w:lang w:eastAsia="en-US"/>
              </w:rPr>
              <w:t>b.</w:t>
            </w:r>
            <w:r w:rsidRPr="000D0380">
              <w:rPr>
                <w:lang w:eastAsia="en-US"/>
              </w:rPr>
              <w:tab/>
              <w:t>projektu Nr.9.1.1.1/15/I/001 “Subsidētās darbavietas bezdarbniekiem”, kas vērsts uz nelabvēlīgākā situācijā esošu bezdarbnieku iekļaušanos sabiedrībā un iekārtošanos pastāvīgā darbā, nodrošinot subsidētas darba vietas, kā arī sniedz atbalsta pasākumus ilgstošiem bezdarbniekiem;</w:t>
            </w:r>
          </w:p>
          <w:p w14:paraId="6D75B7EE" w14:textId="77777777" w:rsidR="00975021" w:rsidRPr="000D0380" w:rsidRDefault="00975021" w:rsidP="00975021">
            <w:pPr>
              <w:widowControl w:val="0"/>
              <w:ind w:firstLine="467"/>
              <w:jc w:val="both"/>
              <w:rPr>
                <w:lang w:eastAsia="en-US"/>
              </w:rPr>
            </w:pPr>
            <w:r w:rsidRPr="000D0380">
              <w:rPr>
                <w:lang w:eastAsia="en-US"/>
              </w:rPr>
              <w:t>c.</w:t>
            </w:r>
            <w:r w:rsidRPr="000D0380">
              <w:rPr>
                <w:lang w:eastAsia="en-US"/>
              </w:rPr>
              <w:tab/>
              <w:t xml:space="preserve">projektu Nr.7.3.2.0/16/I/001 “Paildzināt gados vecāku nodarbināto darbspēju saglabāšana un nodarbinātību”, kas veicina gados vecāku nodarbināto personu darbspēju saglabāšanu un nodarbinātību, veicot gados vecāku nodarbinātu personu </w:t>
            </w:r>
            <w:r w:rsidRPr="000D0380">
              <w:rPr>
                <w:lang w:eastAsia="en-US"/>
              </w:rPr>
              <w:lastRenderedPageBreak/>
              <w:t>cilvēkresursu izvērtējumu un piedāvājot nepieciešamos atbalsta pasākumus darbspēju un veselības saglabāšanai/ uzlabošanai.</w:t>
            </w:r>
          </w:p>
          <w:p w14:paraId="581E14F4" w14:textId="77777777" w:rsidR="00975021" w:rsidRPr="000D0380" w:rsidRDefault="00975021" w:rsidP="00975021">
            <w:pPr>
              <w:widowControl w:val="0"/>
              <w:jc w:val="both"/>
              <w:rPr>
                <w:lang w:eastAsia="en-US"/>
              </w:rPr>
            </w:pPr>
            <w:r w:rsidRPr="000D0380">
              <w:rPr>
                <w:lang w:eastAsia="en-US"/>
              </w:rPr>
              <w:t xml:space="preserve">Minētais ļautu nodrošināt aktīvo nodarbinātības pasākumu un preventīvo bezdarba mazināšanas pasākumu nepārtrauktību bezdarbniekiem, darba meklētājiem un bezdarba riskam pakļautām personu grupām – šī brīža projektu plānotais īstenošanas termiņš ir nepietiekams, lai nodrošinātu pakalpojumu nepārtrauktību mērķa grupai līdz finansējuma pieejamībai jaunajā plānošanas periodā (attiecībā uz šo jo īpaši jāmin, atbalsta pieejamība projekta “Subsidētās darbavietas bezdarbniekiem” ietvaros, jo, ievērojot to, ka dalība šajā projektā ilgst līdz diviem gadiem, projekta pagarinājums nodrošinās personām ar invaliditāti iespēju ilgāku laiku turpināt iesaistīties projektā un pilnvērtīgi pabeigt dalību). </w:t>
            </w:r>
          </w:p>
          <w:p w14:paraId="02593183" w14:textId="52064F78" w:rsidR="00975021" w:rsidRPr="000D0380" w:rsidRDefault="00975021" w:rsidP="00975021">
            <w:pPr>
              <w:widowControl w:val="0"/>
              <w:jc w:val="both"/>
              <w:rPr>
                <w:b/>
                <w:lang w:eastAsia="en-US"/>
              </w:rPr>
            </w:pPr>
            <w:r w:rsidRPr="000D0380">
              <w:rPr>
                <w:lang w:eastAsia="en-US"/>
              </w:rPr>
              <w:t xml:space="preserve">Attiecībā uz atzinuma 6.punktā minēto LM plāno šī gada laikā ierosināt atbilstošus grozījumus pārziņas MK noteikumos par attiecīgā specifiskā atbalsta mērķa/ pasākuma īstenošanu. </w:t>
            </w:r>
          </w:p>
        </w:tc>
        <w:tc>
          <w:tcPr>
            <w:tcW w:w="2700" w:type="dxa"/>
            <w:tcBorders>
              <w:top w:val="single" w:sz="4" w:space="0" w:color="auto"/>
              <w:left w:val="single" w:sz="4" w:space="0" w:color="auto"/>
              <w:bottom w:val="single" w:sz="4" w:space="0" w:color="auto"/>
              <w:right w:val="single" w:sz="4" w:space="0" w:color="auto"/>
            </w:tcBorders>
          </w:tcPr>
          <w:p w14:paraId="32CD30FA" w14:textId="1D4D2984" w:rsidR="00975021" w:rsidRPr="000D0380" w:rsidRDefault="00975021" w:rsidP="00975021">
            <w:pPr>
              <w:pStyle w:val="naisc"/>
              <w:spacing w:before="0" w:after="0"/>
              <w:jc w:val="both"/>
              <w:rPr>
                <w:b/>
                <w:lang w:eastAsia="en-US"/>
              </w:rPr>
            </w:pPr>
            <w:r w:rsidRPr="00E4506B">
              <w:rPr>
                <w:b/>
                <w:lang w:eastAsia="en-US"/>
              </w:rPr>
              <w:lastRenderedPageBreak/>
              <w:t>Ņemts vērā</w:t>
            </w:r>
            <w:r>
              <w:rPr>
                <w:b/>
                <w:lang w:eastAsia="en-US"/>
              </w:rPr>
              <w:t xml:space="preserve"> </w:t>
            </w:r>
            <w:r>
              <w:rPr>
                <w:lang w:eastAsia="en-US"/>
              </w:rPr>
              <w:t xml:space="preserve">pēc būtības. </w:t>
            </w:r>
            <w:r w:rsidRPr="000D0380">
              <w:rPr>
                <w:lang w:eastAsia="en-US"/>
              </w:rPr>
              <w:t>Informatīvais ziņojums papildināts ar vispārīgu informāciju par gadījumiem, par kuriem j</w:t>
            </w:r>
            <w:r>
              <w:rPr>
                <w:lang w:eastAsia="en-US"/>
              </w:rPr>
              <w:t>ālemj MK ar atsauci uz pielikumiem</w:t>
            </w:r>
            <w:r w:rsidRPr="000D0380">
              <w:rPr>
                <w:lang w:eastAsia="en-US"/>
              </w:rPr>
              <w:t xml:space="preserve"> </w:t>
            </w:r>
            <w:r>
              <w:rPr>
                <w:lang w:eastAsia="en-US"/>
              </w:rPr>
              <w:t>ar detalizētu informāciju</w:t>
            </w:r>
            <w:r w:rsidRPr="000D0380">
              <w:rPr>
                <w:lang w:eastAsia="en-US"/>
              </w:rPr>
              <w:t>.</w:t>
            </w:r>
          </w:p>
        </w:tc>
        <w:tc>
          <w:tcPr>
            <w:tcW w:w="2259" w:type="dxa"/>
            <w:tcBorders>
              <w:top w:val="single" w:sz="4" w:space="0" w:color="auto"/>
              <w:left w:val="single" w:sz="4" w:space="0" w:color="auto"/>
              <w:bottom w:val="single" w:sz="4" w:space="0" w:color="auto"/>
              <w:right w:val="single" w:sz="4" w:space="0" w:color="auto"/>
            </w:tcBorders>
          </w:tcPr>
          <w:p w14:paraId="04DCBE1E" w14:textId="132FF561" w:rsidR="00975021" w:rsidRPr="000D0380" w:rsidRDefault="00975021" w:rsidP="00975021">
            <w:pPr>
              <w:pStyle w:val="Default"/>
              <w:jc w:val="both"/>
            </w:pPr>
            <w:r w:rsidRPr="000D0380">
              <w:t>Skatīt precizē</w:t>
            </w:r>
            <w:r>
              <w:t>tu i</w:t>
            </w:r>
            <w:r w:rsidRPr="000D0380">
              <w:t>nformatīvā ziņojuma</w:t>
            </w:r>
            <w:r>
              <w:t xml:space="preserve"> </w:t>
            </w:r>
            <w:r w:rsidRPr="000D0380">
              <w:rPr>
                <w:rFonts w:eastAsiaTheme="minorHAnsi"/>
              </w:rPr>
              <w:t>4.</w:t>
            </w:r>
            <w:r w:rsidR="00A8203A">
              <w:rPr>
                <w:rFonts w:eastAsiaTheme="minorHAnsi"/>
              </w:rPr>
              <w:t> </w:t>
            </w:r>
            <w:r w:rsidRPr="000D0380">
              <w:rPr>
                <w:rFonts w:eastAsiaTheme="minorHAnsi"/>
              </w:rPr>
              <w:t>sadaļ</w:t>
            </w:r>
            <w:r>
              <w:rPr>
                <w:rFonts w:eastAsiaTheme="minorHAnsi"/>
              </w:rPr>
              <w:t>u,</w:t>
            </w:r>
            <w:r>
              <w:t xml:space="preserve"> attiecīgos </w:t>
            </w:r>
            <w:r w:rsidRPr="000D0380">
              <w:t>pielikumu</w:t>
            </w:r>
            <w:r>
              <w:t>s</w:t>
            </w:r>
            <w:r w:rsidRPr="000D0380">
              <w:t xml:space="preserve"> </w:t>
            </w:r>
            <w:r>
              <w:t xml:space="preserve">un </w:t>
            </w:r>
            <w:r w:rsidRPr="000D0380">
              <w:rPr>
                <w:rFonts w:eastAsiaTheme="minorHAnsi"/>
              </w:rPr>
              <w:t xml:space="preserve"> protokollēmuma</w:t>
            </w:r>
            <w:r>
              <w:rPr>
                <w:rFonts w:eastAsiaTheme="minorHAnsi"/>
              </w:rPr>
              <w:t xml:space="preserve"> projekta </w:t>
            </w:r>
            <w:r w:rsidR="00925F57">
              <w:rPr>
                <w:rFonts w:eastAsiaTheme="minorHAnsi"/>
              </w:rPr>
              <w:t>6</w:t>
            </w:r>
            <w:r>
              <w:rPr>
                <w:rFonts w:eastAsiaTheme="minorHAnsi"/>
              </w:rPr>
              <w:t>. punktu.</w:t>
            </w:r>
          </w:p>
        </w:tc>
      </w:tr>
      <w:tr w:rsidR="00F1131F" w:rsidRPr="000D0380" w14:paraId="2FCF138A" w14:textId="77777777" w:rsidTr="003D3007">
        <w:trPr>
          <w:trHeight w:val="416"/>
        </w:trPr>
        <w:tc>
          <w:tcPr>
            <w:tcW w:w="988" w:type="dxa"/>
            <w:vMerge w:val="restart"/>
            <w:tcBorders>
              <w:top w:val="single" w:sz="4" w:space="0" w:color="auto"/>
              <w:left w:val="single" w:sz="4" w:space="0" w:color="auto"/>
              <w:right w:val="single" w:sz="4" w:space="0" w:color="auto"/>
            </w:tcBorders>
          </w:tcPr>
          <w:p w14:paraId="622C34F9" w14:textId="1CBFF8AD" w:rsidR="00F1131F" w:rsidRPr="000D0380" w:rsidRDefault="00F1131F" w:rsidP="00F1131F">
            <w:pPr>
              <w:pStyle w:val="naisc"/>
              <w:tabs>
                <w:tab w:val="left" w:pos="360"/>
              </w:tabs>
              <w:spacing w:before="0" w:after="0"/>
              <w:ind w:left="360"/>
              <w:jc w:val="both"/>
              <w:rPr>
                <w:lang w:eastAsia="en-US"/>
              </w:rPr>
            </w:pPr>
            <w:r>
              <w:rPr>
                <w:lang w:eastAsia="en-US"/>
              </w:rPr>
              <w:t>22.</w:t>
            </w:r>
          </w:p>
          <w:p w14:paraId="2EB5B66D" w14:textId="1DB4AE2E" w:rsidR="00F1131F" w:rsidRPr="000D0380" w:rsidRDefault="00F1131F" w:rsidP="003D3007">
            <w:pPr>
              <w:pStyle w:val="naisc"/>
              <w:tabs>
                <w:tab w:val="left" w:pos="360"/>
              </w:tabs>
              <w:spacing w:before="0" w:after="0"/>
              <w:ind w:left="720"/>
              <w:jc w:val="both"/>
              <w:rPr>
                <w:lang w:eastAsia="en-US"/>
              </w:rPr>
            </w:pPr>
          </w:p>
        </w:tc>
        <w:tc>
          <w:tcPr>
            <w:tcW w:w="2697" w:type="dxa"/>
            <w:vMerge w:val="restart"/>
            <w:tcBorders>
              <w:top w:val="single" w:sz="4" w:space="0" w:color="auto"/>
              <w:left w:val="single" w:sz="4" w:space="0" w:color="auto"/>
              <w:right w:val="single" w:sz="4" w:space="0" w:color="auto"/>
            </w:tcBorders>
          </w:tcPr>
          <w:p w14:paraId="0C242F78" w14:textId="72BE6929" w:rsidR="00F1131F" w:rsidRPr="000D0380" w:rsidRDefault="00F1131F" w:rsidP="00975021">
            <w:pPr>
              <w:jc w:val="both"/>
              <w:rPr>
                <w:rFonts w:eastAsiaTheme="minorHAnsi"/>
                <w:lang w:eastAsia="en-US"/>
              </w:rPr>
            </w:pPr>
            <w:r w:rsidRPr="000D0380">
              <w:rPr>
                <w:rFonts w:eastAsiaTheme="minorHAnsi"/>
                <w:lang w:eastAsia="en-US"/>
              </w:rPr>
              <w:t>Informatīvā ziņojuma 4.</w:t>
            </w:r>
            <w:r w:rsidR="00A8203A">
              <w:rPr>
                <w:rFonts w:eastAsiaTheme="minorHAnsi"/>
                <w:lang w:eastAsia="en-US"/>
              </w:rPr>
              <w:t> </w:t>
            </w:r>
            <w:r w:rsidRPr="000D0380">
              <w:rPr>
                <w:rFonts w:eastAsiaTheme="minorHAnsi"/>
                <w:lang w:eastAsia="en-US"/>
              </w:rPr>
              <w:t>sadaļa</w:t>
            </w:r>
            <w:r>
              <w:rPr>
                <w:rFonts w:eastAsiaTheme="minorHAnsi"/>
                <w:lang w:eastAsia="en-US"/>
              </w:rPr>
              <w:t>s</w:t>
            </w:r>
            <w:r w:rsidRPr="000D0380">
              <w:rPr>
                <w:rFonts w:eastAsiaTheme="minorHAnsi"/>
                <w:lang w:eastAsia="en-US"/>
              </w:rPr>
              <w:t xml:space="preserve"> “2014. - 2020. gada plānošanas perioda ES fondu investīciju aktualitātes”</w:t>
            </w:r>
            <w:r>
              <w:rPr>
                <w:rFonts w:eastAsiaTheme="minorHAnsi"/>
                <w:lang w:eastAsia="en-US"/>
              </w:rPr>
              <w:t xml:space="preserve"> apakšsadaļa </w:t>
            </w:r>
            <w:r w:rsidRPr="000D0380">
              <w:rPr>
                <w:rFonts w:eastAsiaTheme="minorHAnsi"/>
                <w:lang w:eastAsia="en-US"/>
              </w:rPr>
              <w:t>“2019.gada projektu ieviešanas plānu izpilde”</w:t>
            </w:r>
            <w:r w:rsidR="00944DD4">
              <w:rPr>
                <w:rFonts w:eastAsiaTheme="minorHAnsi"/>
                <w:lang w:eastAsia="en-US"/>
              </w:rPr>
              <w:t>.</w:t>
            </w:r>
          </w:p>
        </w:tc>
        <w:tc>
          <w:tcPr>
            <w:tcW w:w="6660" w:type="dxa"/>
            <w:tcBorders>
              <w:top w:val="single" w:sz="4" w:space="0" w:color="auto"/>
              <w:left w:val="single" w:sz="4" w:space="0" w:color="auto"/>
              <w:bottom w:val="single" w:sz="4" w:space="0" w:color="auto"/>
              <w:right w:val="single" w:sz="4" w:space="0" w:color="auto"/>
            </w:tcBorders>
          </w:tcPr>
          <w:p w14:paraId="0FD14401" w14:textId="55FA71B9" w:rsidR="00F1131F" w:rsidRPr="000D0380" w:rsidRDefault="00F1131F" w:rsidP="00975021">
            <w:pPr>
              <w:widowControl w:val="0"/>
              <w:jc w:val="both"/>
              <w:rPr>
                <w:b/>
                <w:lang w:eastAsia="en-US"/>
              </w:rPr>
            </w:pPr>
            <w:r w:rsidRPr="000D0380">
              <w:rPr>
                <w:b/>
                <w:lang w:eastAsia="en-US"/>
              </w:rPr>
              <w:t>Priekšlikums</w:t>
            </w:r>
          </w:p>
          <w:p w14:paraId="40CDDA7D" w14:textId="410FA247" w:rsidR="00F1131F" w:rsidRPr="000D0380" w:rsidRDefault="00F1131F" w:rsidP="00975021">
            <w:pPr>
              <w:widowControl w:val="0"/>
              <w:jc w:val="both"/>
              <w:rPr>
                <w:b/>
                <w:lang w:eastAsia="en-US"/>
              </w:rPr>
            </w:pPr>
            <w:r w:rsidRPr="000D0380">
              <w:rPr>
                <w:b/>
                <w:lang w:eastAsia="en-US"/>
              </w:rPr>
              <w:t>Izglītības un zinātnes ministrija</w:t>
            </w:r>
          </w:p>
          <w:p w14:paraId="3443BF28" w14:textId="77777777" w:rsidR="00F1131F" w:rsidRPr="000D0380" w:rsidRDefault="00F1131F" w:rsidP="00975021">
            <w:pPr>
              <w:widowControl w:val="0"/>
              <w:spacing w:after="80"/>
              <w:jc w:val="both"/>
              <w:rPr>
                <w:rFonts w:eastAsia="Calibri"/>
                <w:lang w:eastAsia="en-US"/>
              </w:rPr>
            </w:pPr>
            <w:r w:rsidRPr="000D0380">
              <w:rPr>
                <w:rFonts w:eastAsia="Calibri"/>
                <w:lang w:eastAsia="en-US"/>
              </w:rPr>
              <w:t>Ministrija rosina šādu projektu īstenošanas termiņu pagarinājumus, kas kopumā pārsniedz noteikumu Nr.784 51.</w:t>
            </w:r>
            <w:r w:rsidRPr="000D0380">
              <w:rPr>
                <w:rFonts w:eastAsia="Calibri"/>
                <w:vertAlign w:val="superscript"/>
                <w:lang w:eastAsia="en-US"/>
              </w:rPr>
              <w:t>1</w:t>
            </w:r>
            <w:r w:rsidRPr="000D0380">
              <w:rPr>
                <w:rFonts w:eastAsia="Calibri"/>
                <w:lang w:eastAsia="en-US"/>
              </w:rPr>
              <w:t>punktā noteikto sešu mēnešu termiņa ierobežojumu:</w:t>
            </w:r>
          </w:p>
          <w:p w14:paraId="260941E4" w14:textId="77777777" w:rsidR="00F1131F" w:rsidRPr="000D0380" w:rsidRDefault="00F1131F" w:rsidP="00975021">
            <w:pPr>
              <w:widowControl w:val="0"/>
              <w:spacing w:after="80"/>
              <w:jc w:val="both"/>
              <w:rPr>
                <w:rFonts w:eastAsia="Calibri"/>
                <w:lang w:eastAsia="en-US"/>
              </w:rPr>
            </w:pPr>
            <w:r w:rsidRPr="000D0380">
              <w:rPr>
                <w:rFonts w:eastAsia="Calibri"/>
                <w:lang w:eastAsia="en-US"/>
              </w:rPr>
              <w:t xml:space="preserve">1. Ogres novada pašvaldības projekts „Uzlabot vispārējās izglītības iestāžu mācību vidi Ogres novadā” (Nr.8.1.2.0/17/I/008). Ir nepieciešams projekta īstenošanas termiņa pagarinājums indikatīvi par 10 mēnešiem līdz 2022.gada 30.jūnijam. </w:t>
            </w:r>
          </w:p>
          <w:p w14:paraId="4C3191EF" w14:textId="77777777" w:rsidR="00F1131F" w:rsidRPr="000D0380" w:rsidRDefault="00F1131F" w:rsidP="00975021">
            <w:pPr>
              <w:widowControl w:val="0"/>
              <w:spacing w:after="80"/>
              <w:jc w:val="both"/>
              <w:rPr>
                <w:rFonts w:eastAsia="Calibri"/>
                <w:lang w:eastAsia="en-US"/>
              </w:rPr>
            </w:pPr>
            <w:r w:rsidRPr="000D0380">
              <w:rPr>
                <w:rFonts w:eastAsia="Calibri"/>
                <w:lang w:eastAsia="en-US"/>
              </w:rPr>
              <w:t xml:space="preserve">Ievērojot augstāk sniegto informāciju par projekta ietvaros atkārtotas iepirkuma procedūras uzsākšanu un plānoto projektēšanas un būvdarbu līguma noslēgšanu š.g. februārī, ir nepieciešama projekta īstenošanas termiņa pagarināšana par 10 mēnešiem līdz 2022.gada 31.augustam. Minētais pamatots ar plānoto projektēšanas un būvdarbu līguma izpildi 24 mēnešus, kā arī četriem mēnešiem, kas nepieciešami ēkas mēbeļu un aprīkojuma iegādei. </w:t>
            </w:r>
          </w:p>
          <w:p w14:paraId="24B849F4" w14:textId="77777777" w:rsidR="00F1131F" w:rsidRPr="000D0380" w:rsidRDefault="00F1131F" w:rsidP="00975021">
            <w:pPr>
              <w:widowControl w:val="0"/>
              <w:spacing w:after="80"/>
              <w:jc w:val="both"/>
              <w:rPr>
                <w:rFonts w:eastAsia="Calibri"/>
                <w:lang w:eastAsia="en-US"/>
              </w:rPr>
            </w:pPr>
            <w:r w:rsidRPr="000D0380">
              <w:rPr>
                <w:rFonts w:eastAsia="Calibri"/>
                <w:lang w:eastAsia="en-US"/>
              </w:rPr>
              <w:lastRenderedPageBreak/>
              <w:t xml:space="preserve">2. Kuldīgas Tehnoloģiju un tūrisma tehnikuma projekts „Kuldīgas Tehnoloģiju un tūrisma tehnikuma modernizēšana specifiskā atbalsta mērķa 8.1.3. “Palielināt modernizēto profesionālās izglītības iestāžu skaitu” ietvaros” (Nr. 8.1.3.0/16/I/016). Ir nepieciešams projekta īstenošanas termiņa pagarinājums indikatīvi par 13 mēnešiem līdz 2022.gada 31.janvārim. </w:t>
            </w:r>
          </w:p>
          <w:p w14:paraId="4CF9DE19" w14:textId="77777777" w:rsidR="00F1131F" w:rsidRPr="000D0380" w:rsidRDefault="00F1131F" w:rsidP="00975021">
            <w:pPr>
              <w:widowControl w:val="0"/>
              <w:spacing w:after="80"/>
              <w:jc w:val="both"/>
              <w:rPr>
                <w:rFonts w:eastAsia="Calibri"/>
                <w:lang w:eastAsia="en-US"/>
              </w:rPr>
            </w:pPr>
            <w:r w:rsidRPr="000D0380">
              <w:rPr>
                <w:rFonts w:eastAsia="Calibri"/>
                <w:lang w:eastAsia="en-US"/>
              </w:rPr>
              <w:t>2019.gada 22.maijā tika izsludināts iepirkums PIKC “Kuldīgas Tehnoloģiju un tūrisma tehnikums” tehnoloģiju centra pārbūve, Kalpaka ielā 1, Kuldīgā. Saņemtie pretendentu piedāvājumi, tostarp zemākās cenas piedāvājums, būtiski pārsniedz projekta budžetā paredzēto summu būvdarbiem. Vienlaikus Tehnoloģiju centra pārbūves darbu īstenošanai papildinošas darbības paredzēts īstenot 4.2.1.2.pasākuma „Veicināt energoefektivitātes paaugstināšanu valsts ēkās” projekta ietvaros, kur projekta iesniegumu būs iespējams iesniegt sadarbības iestādē pēc Ministru kabineta noteikumu</w:t>
            </w:r>
            <w:r w:rsidRPr="000D0380">
              <w:rPr>
                <w:rFonts w:eastAsia="Calibri"/>
                <w:vertAlign w:val="superscript"/>
                <w:lang w:eastAsia="en-US"/>
              </w:rPr>
              <w:footnoteReference w:id="6"/>
            </w:r>
            <w:r w:rsidRPr="000D0380">
              <w:rPr>
                <w:rFonts w:eastAsia="Calibri"/>
                <w:lang w:eastAsia="en-US"/>
              </w:rPr>
              <w:t xml:space="preserve"> grozījumu apstiprināšanas, kas paredz papildus finansējuma piešķiršanu Kuldīgas Tehnoloģiju un tūrisma tehnikumam. Ņemot vērā minēto grozījumu spēkā stāšanos, plānotais vienošanās par projekta īstenošanu noslēgšanas termiņš ir 2020.gada septembris. Paredzamais būvdarbu laiks ir 16 mēneši. Prognozētais būvdarbu līguma noslēgšanas laiks ir 2020.gada septembris. </w:t>
            </w:r>
          </w:p>
          <w:p w14:paraId="28CA315C" w14:textId="77777777" w:rsidR="00F1131F" w:rsidRPr="000D0380" w:rsidRDefault="00F1131F" w:rsidP="00975021">
            <w:pPr>
              <w:widowControl w:val="0"/>
              <w:spacing w:after="80"/>
              <w:jc w:val="both"/>
              <w:rPr>
                <w:rFonts w:eastAsia="Calibri"/>
                <w:lang w:eastAsia="en-US"/>
              </w:rPr>
            </w:pPr>
            <w:r w:rsidRPr="000D0380">
              <w:rPr>
                <w:rFonts w:eastAsia="Calibri"/>
                <w:lang w:eastAsia="en-US"/>
              </w:rPr>
              <w:t xml:space="preserve">3. Rēzeknes tehnikuma projekts „Rēzeknes tehnikuma modernizēšana specifiskā atbalsta mērķa 8.1.3. „Palielināt modernizēto profesionālās izglītības iestāžu skaitu” ietvaros” (Nr.8.1.3.0/16/I/004). Ir nepieciešams projekta īstenošanas termiņa pagarinājums indikatīvi par astoņiem mēnešiem līdz 2021.gada 31.oktobrim. </w:t>
            </w:r>
          </w:p>
          <w:p w14:paraId="6FD46CD0" w14:textId="77777777" w:rsidR="00F1131F" w:rsidRPr="000D0380" w:rsidRDefault="00F1131F" w:rsidP="00975021">
            <w:pPr>
              <w:widowControl w:val="0"/>
              <w:spacing w:after="80"/>
              <w:jc w:val="both"/>
              <w:rPr>
                <w:rFonts w:eastAsia="Calibri"/>
                <w:lang w:eastAsia="en-US"/>
              </w:rPr>
            </w:pPr>
            <w:r w:rsidRPr="000D0380">
              <w:rPr>
                <w:rFonts w:eastAsia="Calibri"/>
                <w:lang w:eastAsia="en-US"/>
              </w:rPr>
              <w:t xml:space="preserve">Projektētājs – pilnsabiedrība „Doma &amp; arhitektūra” – uz šo brīdi kavē Rēzeknes tehnikuma darbnīcu korpusa pārbūves būvprojekta </w:t>
            </w:r>
            <w:r w:rsidRPr="000D0380">
              <w:rPr>
                <w:rFonts w:eastAsia="Calibri"/>
                <w:lang w:eastAsia="en-US"/>
              </w:rPr>
              <w:lastRenderedPageBreak/>
              <w:t xml:space="preserve">izstrādi par sešiem mēnešiem. Veicot projektēšanas darbu virzības kontroli, pilnsabiedrība „Doma &amp; arhitektūra” kavējumu skaidro ar grūtībām piesaistīt nepieciešamos būvinženierus inženierrisinājumu izstrādei. Projektētājs ir informēts, ka nepildot uzņemtās līgumsaistības tiks piemērots līgumsods pie noslēguma maksājuma. Provizoriski būvprojekts ekspertīzei tiks nodots 2020.gada februārī. Ievērojot ekspertīzei un iepirkuma norisei nepieciešamo laiku, prognozētais būvdarbu līguma noslēgšanas laiks ir 2020. gada oktobris. Paredzamais būvdarbu laiks ir 12 mēneši. </w:t>
            </w:r>
          </w:p>
          <w:p w14:paraId="435F51F6" w14:textId="77777777" w:rsidR="00F1131F" w:rsidRPr="000D0380" w:rsidRDefault="00F1131F" w:rsidP="00975021">
            <w:pPr>
              <w:widowControl w:val="0"/>
              <w:spacing w:after="80"/>
              <w:jc w:val="both"/>
              <w:rPr>
                <w:rFonts w:eastAsia="Calibri"/>
                <w:lang w:eastAsia="en-US"/>
              </w:rPr>
            </w:pPr>
            <w:r w:rsidRPr="000D0380">
              <w:rPr>
                <w:rFonts w:eastAsia="Calibri"/>
                <w:lang w:eastAsia="en-US"/>
              </w:rPr>
              <w:t xml:space="preserve">4. Rīgas Valsts tehnikuma projekts „Profesionālās izglītības kompetences centra "Rīgas Valsts tehnikums" modernizēšana specifiskā atbalsta mērķa 8.1.3. „Palielināt modernizēto profesionālās izglītības iestāžu skaitu” ietvaros” (Nr. 8.1.3.0/16/I/015). Ir nepieciešams projekta īstenošanas termiņa pagarinājums indikatīvi par sešiem mēnešiem līdz 2021.gada 30.jūnijam. </w:t>
            </w:r>
          </w:p>
          <w:p w14:paraId="3AD82182" w14:textId="77777777" w:rsidR="00F1131F" w:rsidRPr="000D0380" w:rsidRDefault="00F1131F" w:rsidP="00975021">
            <w:pPr>
              <w:widowControl w:val="0"/>
              <w:spacing w:after="80"/>
              <w:jc w:val="both"/>
              <w:rPr>
                <w:rFonts w:eastAsia="Calibri"/>
                <w:lang w:eastAsia="en-US"/>
              </w:rPr>
            </w:pPr>
            <w:r w:rsidRPr="000D0380">
              <w:rPr>
                <w:rFonts w:eastAsia="Calibri"/>
                <w:lang w:eastAsia="en-US"/>
              </w:rPr>
              <w:t xml:space="preserve">Reaģējot uz būvniecības nozares straujo izmaksu kāpumu, projektā plānotā darbība – PIKC „Rīgas Valsts tehnikums” mācību korpusu Noliktavas ielā 2, Rīgā, Krišjāņa Valdemāra ielā 1C, Rīgā un Kronvalda bulvārī 1A, Rīgā atjaunošanas īstenošana – tika plānotā kā pēdējā, par prioritāram darbībām izvirzot dienesta viesnīcas jaunbūvi, metodiskā korpusa/biznesa inkubatora pārbūvi, multifunkcionālas zāles jaunbūvi un āra sporta laukumu būvniecību. 2019. gada augustā noslēdzās dienesta viesnīcas jaunbūves darbi un metodiskā korpusa/biznesa inkubatora pārbūve. 2020. gada janvārī tika uzsākta multifunkcionālas zāles jaunbūve un āra sporta laukumu būvniecība. Līdz ar mācību korpusu Noliktavas ielā 2, Rīgā, Krišjāņa Valdemāra ielā 1C, Rīgā un Kronvalda bulvārī 1A, Rīgā atjaunošanas apliecinājuma karšu izstrādi (2019.gada decembris), ievērojot projektā pieejamo finansējuma apjomu šai darbībai, ir iespējama šo 3 ēku iepirkuma norises organizēšana, sadalot prioritāros darbus ar izslēdzamiem apjomiem. Iepirkumu </w:t>
            </w:r>
            <w:r w:rsidRPr="000D0380">
              <w:rPr>
                <w:rFonts w:eastAsia="Calibri"/>
                <w:lang w:eastAsia="en-US"/>
              </w:rPr>
              <w:lastRenderedPageBreak/>
              <w:t xml:space="preserve">plānots izsludināt 2020.gada februārī ar plānoto būvdarbu termiņu – astoņi mēneši. Paredzams, ka būvdarbu līgumu varētu noslēgt un darbus uzsākt 2020.gada augustā. Rezerves termiņš divi mēneši neparedzētu papildus darbu vai citu būvniecības procesa risku segšanai, būvdarbu nodošanai ekspluatācijā un mēbeļu iegādei. </w:t>
            </w:r>
          </w:p>
          <w:p w14:paraId="108A5B96" w14:textId="77777777" w:rsidR="00F1131F" w:rsidRPr="000D0380" w:rsidRDefault="00F1131F" w:rsidP="00975021">
            <w:pPr>
              <w:widowControl w:val="0"/>
              <w:spacing w:after="80"/>
              <w:jc w:val="both"/>
              <w:rPr>
                <w:rFonts w:eastAsia="Calibri"/>
                <w:lang w:eastAsia="en-US"/>
              </w:rPr>
            </w:pPr>
            <w:r w:rsidRPr="000D0380">
              <w:rPr>
                <w:rFonts w:eastAsia="Calibri"/>
                <w:lang w:eastAsia="en-US"/>
              </w:rPr>
              <w:t>5. Daugavpils tehnikuma projekts „Daugavpils tehnikuma modernizēšana specifiskā atbalsta mērķa 8.1.3. „Palielināt modernizēto profesionālās izglītības iestāžu skaitu” ietvaros” (Nr.8.1.3.0/16/I/001). Ir nepieciešams projekta īstenošanas termiņa pagarinājums indikatīvi par sešiem mēnešiem līdz 2020.gada 30.septembrim.</w:t>
            </w:r>
          </w:p>
          <w:p w14:paraId="26E8376D" w14:textId="77777777" w:rsidR="00F1131F" w:rsidRPr="000D0380" w:rsidRDefault="00F1131F" w:rsidP="00975021">
            <w:pPr>
              <w:widowControl w:val="0"/>
              <w:spacing w:after="80"/>
              <w:jc w:val="both"/>
              <w:rPr>
                <w:rFonts w:eastAsia="Calibri"/>
                <w:lang w:eastAsia="en-US"/>
              </w:rPr>
            </w:pPr>
            <w:r w:rsidRPr="000D0380">
              <w:rPr>
                <w:rFonts w:eastAsia="Calibri"/>
                <w:lang w:eastAsia="en-US"/>
              </w:rPr>
              <w:t xml:space="preserve">Baseina ēkas pārbūve par Dzelzceļa transporta laboratorijas korpusa būvkonstrukciju pastiprinājuma risinājumu izmaiņu projekta ekspertīze ir ieilgusi. Tas aizkavē pastiprināšanas darbu un secīgi iekšējās apdares darbu veikšanu būves 2.stāvā. Tiek veikta darbu virzības izpildes kontrole un pirms noslēguma maksājuma izmaksas tiks vērtētā noslēgto līgumu saistību izpildes disciplīna, nepieciešamības gadījumā piemērojot līgumsodu. Pēc būvdarbu pabeigšanas un nodošanas ekspluatācijā projekta ietvaros vēl nepieciešams aprīkot ar iekārtām un aprīkojumu. </w:t>
            </w:r>
          </w:p>
          <w:p w14:paraId="35A31156" w14:textId="77777777" w:rsidR="00F1131F" w:rsidRPr="000D0380" w:rsidRDefault="00F1131F" w:rsidP="00975021">
            <w:pPr>
              <w:widowControl w:val="0"/>
              <w:spacing w:after="80"/>
              <w:jc w:val="both"/>
              <w:rPr>
                <w:rFonts w:eastAsia="Calibri"/>
                <w:lang w:eastAsia="en-US"/>
              </w:rPr>
            </w:pPr>
            <w:r w:rsidRPr="000D0380">
              <w:rPr>
                <w:rFonts w:eastAsia="Calibri"/>
                <w:lang w:eastAsia="en-US"/>
              </w:rPr>
              <w:t>6. Saldus tehnikuma projekts „Saldus tehnikuma modernizēšana specifiskā atbalsta mērķa 8.1.3. „Palielināt modernizēto profesionālās izglītības iestāžu skaitu” ietvaros” (Nr. 8.1.3.0/16/I/009). Ir nepieciešams projekta īstenošanas termiņa pagarinājums indikatīvi par trīs mēnešiem līdz 2021.gada 28.februārim.</w:t>
            </w:r>
          </w:p>
          <w:p w14:paraId="4BDCE7AF" w14:textId="77777777" w:rsidR="00F1131F" w:rsidRPr="000D0380" w:rsidRDefault="00F1131F" w:rsidP="00975021">
            <w:pPr>
              <w:widowControl w:val="0"/>
              <w:spacing w:after="80"/>
              <w:jc w:val="both"/>
              <w:rPr>
                <w:rFonts w:eastAsia="Calibri"/>
                <w:lang w:eastAsia="en-US"/>
              </w:rPr>
            </w:pPr>
            <w:r w:rsidRPr="000D0380">
              <w:rPr>
                <w:rFonts w:eastAsia="Calibri"/>
                <w:lang w:eastAsia="en-US"/>
              </w:rPr>
              <w:t xml:space="preserve">Divu Saldus tehnikuma dienesta viesnīcu pārbūves termiņš sākotnēji bija paredzēts 14 mēneši, projekta kļūdu un autoruzraudzības risinājumu kavējumu dēļ termiņš tika pagarināts par 2,5 mēnešiem. Šobrīd par diviem mēnešiem kavējas 1.ēkas nodošana ekspluatācijā, līdz ar to nav iespējas uzsākt 2.ēkas pārbūves darbus (Saldus tehnikumam nav pieejamas vietas, kur izvietot audzēkņus - tos var pārcelt uz 1.ēku tikai tad, kad tā nodota </w:t>
            </w:r>
            <w:r w:rsidRPr="000D0380">
              <w:rPr>
                <w:rFonts w:eastAsia="Calibri"/>
                <w:lang w:eastAsia="en-US"/>
              </w:rPr>
              <w:lastRenderedPageBreak/>
              <w:t>ekspluatācijā). Faktiski 1.dienesta viesnīcas pārbūves darbi līdz nodošanai ekspluatācijā varētu kopā ilgt nevis 11, bet 14 mēnešus - laiku, kas sākotnēji bija paredzēts abām dienesta viesnīcām. Attiecīgi ir secināms, ka ar pirmo būvdarbu līguma termiņa pagarinājumu nebūs pietiekami, lai pabeigtu 2.ēku. 2.dienesta viesnīcas pārbūvei sākotnēji bija paredzēti četri mēneši, taču ievērojot lielo skaitu ar nepieciešamajiem būvprojekta precizējumiem 1. dienesta viesnīcas ēkā, būs nepieciešami precizēti risinājumi un papildu darbi, par kuriem būvdarbu veicējs būs tiesīgs lūgt termiņa pagarinājumu. Tā kā 1.ēkas nodošanas ekspluatācijā kavējums varētu kopā sasniegt aptuveni trīs mēneši, tad arī 2.ēkai paredzamais būvdarbu ilgums līdz nodošanai ekspluatācijā varētu būt seši līdz astoņi mēneši (2020.gada novembris). Turklāt 2.dienesta viesnīcai pēc būvdarbu beigām vēl nepieciešams piegādāt projektā iegādājamās mēbeles.</w:t>
            </w:r>
          </w:p>
          <w:p w14:paraId="74B0FD70" w14:textId="77777777" w:rsidR="00F1131F" w:rsidRPr="000D0380" w:rsidRDefault="00F1131F" w:rsidP="00975021">
            <w:pPr>
              <w:widowControl w:val="0"/>
              <w:spacing w:after="80"/>
              <w:jc w:val="both"/>
              <w:rPr>
                <w:rFonts w:eastAsia="Calibri"/>
                <w:lang w:eastAsia="en-US"/>
              </w:rPr>
            </w:pPr>
            <w:r w:rsidRPr="000D0380">
              <w:rPr>
                <w:rFonts w:eastAsia="Calibri"/>
                <w:lang w:eastAsia="en-US"/>
              </w:rPr>
              <w:t>7. Vidzemes tehnoloģiju un dizaina tehnikuma projekts „Priekuļu tehnikuma modernizēšana specifiskā atbalsta mērķa 8.1.3. „Palielināt modernizēto profesionālās izglītības iestāžu skaitu” ietvaros” (Nr. 8.1.3.0/16/I/002). Ir nepieciešams projekta īstenošanas termiņa pagarinājums indikatīvi par sešiem mēnešiem līdz 2021.gada 31.jūlijam.</w:t>
            </w:r>
          </w:p>
          <w:p w14:paraId="44F79BDC" w14:textId="141DEC3D" w:rsidR="00F1131F" w:rsidRPr="000D0380" w:rsidRDefault="00F1131F" w:rsidP="00975021">
            <w:pPr>
              <w:widowControl w:val="0"/>
              <w:spacing w:after="80"/>
              <w:jc w:val="both"/>
              <w:rPr>
                <w:rFonts w:eastAsia="Calibri"/>
                <w:lang w:eastAsia="en-US"/>
              </w:rPr>
            </w:pPr>
            <w:r w:rsidRPr="000D0380">
              <w:rPr>
                <w:rFonts w:eastAsia="Calibri"/>
                <w:lang w:eastAsia="en-US"/>
              </w:rPr>
              <w:t>2019.gada 23.</w:t>
            </w:r>
            <w:r w:rsidR="00A8203A">
              <w:rPr>
                <w:rFonts w:eastAsia="Calibri"/>
                <w:lang w:eastAsia="en-US"/>
              </w:rPr>
              <w:t> </w:t>
            </w:r>
            <w:r w:rsidRPr="000D0380">
              <w:rPr>
                <w:rFonts w:eastAsia="Calibri"/>
                <w:lang w:eastAsia="en-US"/>
              </w:rPr>
              <w:t xml:space="preserve">decembrī tika izsludināts iepirkums „Vidzemes Tehnoloģiju un dizaina tehnikuma lauksaimniecības tehnikas, automobiļu diagnostikas un remontu ēkas jaunbūve un tai piegulošās teritorijas labiekārtošana”. Tam noslēdzoties sākotnēji plānotajos termiņos (piedāvājumu iesniegšanas termiņš 2020.gada 10.februāris), būs iespējams noslēgt būvdarbu līgumu (ar 10 mēnešu būvdarbu izpildes termiņu) bez projekta termiņa pagarinājuma. Taču būvdarbu izpildes laikā iespējamo termiņa kavējumu risku segšanai nav pieejama projekta īstenošanas termiņa rezerve, kā rezultātā 2020.gada beigās būs nepieciešama projekta īstenošanas termiņa pagarināšana. Ja būvdarbu iepirkums nenoslēgsies plānotajā termiņā un būvdarbu līgumu slēgšana netiks </w:t>
            </w:r>
            <w:r w:rsidRPr="000D0380">
              <w:rPr>
                <w:rFonts w:eastAsia="Calibri"/>
                <w:lang w:eastAsia="en-US"/>
              </w:rPr>
              <w:lastRenderedPageBreak/>
              <w:t>veikta šī gada aprīlī – jūlijā, tad būs nepieciešams projekta īstenošanas termiņa pagarinājums vairāk kā par trīs mēnešiem, kas kopā pārsniegs sešus mēnešus kopš 2018.gada 31.augusta. Tāpat pēc būvdarbu beigām automobiļu diagnostikas un remontu ēku vēl nepieciešams aprīkot ar projektā iegādājamajām iekārtām un aprīkojumu.</w:t>
            </w:r>
          </w:p>
          <w:p w14:paraId="6A232F98" w14:textId="77777777" w:rsidR="00F1131F" w:rsidRPr="000D0380" w:rsidRDefault="00F1131F" w:rsidP="00975021">
            <w:pPr>
              <w:widowControl w:val="0"/>
              <w:spacing w:after="80"/>
              <w:jc w:val="both"/>
              <w:rPr>
                <w:rFonts w:eastAsia="Calibri"/>
                <w:lang w:eastAsia="en-US"/>
              </w:rPr>
            </w:pPr>
            <w:r w:rsidRPr="000D0380">
              <w:rPr>
                <w:rFonts w:eastAsia="Calibri"/>
                <w:lang w:eastAsia="en-US"/>
              </w:rPr>
              <w:t>8. Rīgas Tūrisma un radošās industrijas tehnikuma projekts „Rīgas Tūrisma un radošās industrijas tehnikuma modernizēšana specifiskā atbalsta mērķa 8.1.3. „Palielināt modernizēto profesionālās izglītības iestāžu skaitu” ietvaros” (Nr. 8.1.3.0/16/I/012). Ir nepieciešams projekta īstenošanas termiņa pagarinājums indikatīvi par sešiem mēnešiem līdz 2021.gada 30.septembrim.</w:t>
            </w:r>
          </w:p>
          <w:p w14:paraId="62E5D0E7" w14:textId="77777777" w:rsidR="00F1131F" w:rsidRPr="000D0380" w:rsidRDefault="00F1131F" w:rsidP="00975021">
            <w:pPr>
              <w:widowControl w:val="0"/>
              <w:spacing w:after="80"/>
              <w:jc w:val="both"/>
              <w:rPr>
                <w:rFonts w:eastAsia="Calibri"/>
                <w:lang w:eastAsia="en-US"/>
              </w:rPr>
            </w:pPr>
            <w:r w:rsidRPr="000D0380">
              <w:rPr>
                <w:rFonts w:eastAsia="Calibri"/>
                <w:lang w:eastAsia="en-US"/>
              </w:rPr>
              <w:t>Rīgas Tūrisma un radošās industrijas tehnikuma Mācību korpusa un Mācību darbnīcu pārbūvei, būvprojekta precizējumu izstrādes un to ekspertīzes nepieciešamība aizkavē būvdarbu izpildi. Būvdarbu īstenošana paredzētajos 18 mēnešos, t.i. līdz 2020.gada decembrim, vairs nav iespējama no būvnieka neatkarīgu iemeslu dēļ. Arī Sporta zāles jaunbūves un sporta laukuma pārbūves līguma izpildes termiņš ir bez laika rezerves iespējamu precizējumu izstrādes un ekspertīzes veikšanai, radot projekta termiņa pārsniegšanas risku.</w:t>
            </w:r>
          </w:p>
          <w:p w14:paraId="258C2355" w14:textId="77777777" w:rsidR="00F1131F" w:rsidRPr="000D0380" w:rsidRDefault="00F1131F" w:rsidP="00975021">
            <w:pPr>
              <w:widowControl w:val="0"/>
              <w:spacing w:after="80"/>
              <w:jc w:val="both"/>
              <w:rPr>
                <w:rFonts w:eastAsia="Calibri"/>
                <w:lang w:eastAsia="en-US"/>
              </w:rPr>
            </w:pPr>
            <w:r w:rsidRPr="000D0380">
              <w:rPr>
                <w:rFonts w:eastAsia="Calibri"/>
                <w:lang w:eastAsia="en-US"/>
              </w:rPr>
              <w:t>9. Vienlaikus informējam, ka ministrija ir vērsusies Ekonomikas ministrijā</w:t>
            </w:r>
            <w:r w:rsidRPr="000D0380">
              <w:rPr>
                <w:rFonts w:eastAsia="Calibri"/>
                <w:vertAlign w:val="superscript"/>
                <w:lang w:eastAsia="en-US"/>
              </w:rPr>
              <w:footnoteReference w:id="7"/>
            </w:r>
            <w:r w:rsidRPr="000D0380">
              <w:rPr>
                <w:rFonts w:eastAsia="Calibri"/>
                <w:lang w:eastAsia="en-US"/>
              </w:rPr>
              <w:t xml:space="preserve"> kā par 4.2.1.2.pasākumu „Veicināt energoefektivitātes paaugstināšanu valsts ēkās” otrās projektu iesniegumu atlases kārtas īstenošanas noteikumi” atbildīgajā iestādē ar lūgumu atbalstīt ministrijas padotības iestādes Rēzeknes tehnikums projekta „Energoefektivitātes paaugstināšanas pasākumu īstenošana Rēzeknes tehnikuma mācību darbnīcu ēkā Varoņu ielā 11A, Rēzeknē” (Nr. 4.2.1.2./19/I/005) projekta īstenošanas termiņa pagarinājumu par deviņiem mēnešiem līdz 2021.gada 31.oktobrim.</w:t>
            </w:r>
          </w:p>
          <w:p w14:paraId="4C276F5E" w14:textId="77FAEC7A" w:rsidR="00F1131F" w:rsidRPr="00CB1200" w:rsidRDefault="00F1131F" w:rsidP="00CB1200">
            <w:pPr>
              <w:widowControl w:val="0"/>
              <w:jc w:val="both"/>
              <w:rPr>
                <w:rFonts w:eastAsia="Calibri"/>
                <w:lang w:eastAsia="en-US"/>
              </w:rPr>
            </w:pPr>
            <w:r w:rsidRPr="000D0380">
              <w:rPr>
                <w:rFonts w:eastAsia="Calibri"/>
                <w:lang w:eastAsia="en-US"/>
              </w:rPr>
              <w:t xml:space="preserve">Ņemot vērā iepriekšminēto par septiņu 8.1.3.specifiskā atbalsta </w:t>
            </w:r>
            <w:r w:rsidRPr="000D0380">
              <w:rPr>
                <w:rFonts w:eastAsia="Calibri"/>
                <w:lang w:eastAsia="en-US"/>
              </w:rPr>
              <w:lastRenderedPageBreak/>
              <w:t>mērķa „Palielināt modernizēto profesionālās izglītības iestāžu skaitu” (turpmāk – 8.1.3.SAM) projektu termiņu pagarināšanu, ministrija pirmās atlases kārtas projektu ietvaros radušos finanšu līdzekļu ietaupījumus rosinās virzīt šo projektu vadības izmaksu nodrošināšanai projektu termiņu pagarinājuma laikā (ievērojot projekta vadības personāla izmaksām noteiktos izmaksu ierobežojumus). Vēršam uzmanību, ka ministrijas padotībā esošās profesionālās izglītības iestādes 8.1.3.SAM projektus īsteno sadarbībā ar Valsts izglītības attīstības aģentūru, ievērojot Ministru kabineta 2016. gada 19. aprīļa noteikumu Nr.249 „Darbības programmas „Izaugsme un nodarbinātība” 8.1.3. specifiskā atbalsta mērķa „Palielināt modernizēto profesionālās izglītības iestāžu skaitu” īstenošanas noteikumi” 27.punktā noteikto: „[..] Ja sadarbības partneris ir Valsts izglītības attīstības aģentūra, projekta vadības personāla noslodze tiek vērtēta visu par pirmās atlases kārtas projektu īstenošanu noslēg</w:t>
            </w:r>
            <w:r>
              <w:rPr>
                <w:rFonts w:eastAsia="Calibri"/>
                <w:lang w:eastAsia="en-US"/>
              </w:rPr>
              <w:t>to sadarbības līgumu kontekstā”.</w:t>
            </w:r>
          </w:p>
        </w:tc>
        <w:tc>
          <w:tcPr>
            <w:tcW w:w="2700" w:type="dxa"/>
            <w:tcBorders>
              <w:top w:val="single" w:sz="4" w:space="0" w:color="auto"/>
              <w:left w:val="single" w:sz="4" w:space="0" w:color="auto"/>
              <w:bottom w:val="single" w:sz="4" w:space="0" w:color="auto"/>
              <w:right w:val="single" w:sz="4" w:space="0" w:color="auto"/>
            </w:tcBorders>
          </w:tcPr>
          <w:p w14:paraId="540B958C" w14:textId="4674173C" w:rsidR="00F1131F" w:rsidRPr="00596E72" w:rsidRDefault="00F1131F" w:rsidP="00975021">
            <w:pPr>
              <w:jc w:val="both"/>
              <w:rPr>
                <w:b/>
                <w:szCs w:val="22"/>
                <w:lang w:eastAsia="en-US"/>
              </w:rPr>
            </w:pPr>
            <w:r w:rsidRPr="00E4506B">
              <w:rPr>
                <w:b/>
                <w:lang w:eastAsia="en-US"/>
              </w:rPr>
              <w:lastRenderedPageBreak/>
              <w:t>Ņemts vērā</w:t>
            </w:r>
            <w:r>
              <w:rPr>
                <w:b/>
                <w:lang w:eastAsia="en-US"/>
              </w:rPr>
              <w:t xml:space="preserve"> </w:t>
            </w:r>
            <w:r>
              <w:rPr>
                <w:lang w:eastAsia="en-US"/>
              </w:rPr>
              <w:t xml:space="preserve">pēc būtības. </w:t>
            </w:r>
            <w:r w:rsidRPr="000D0380">
              <w:rPr>
                <w:lang w:eastAsia="en-US"/>
              </w:rPr>
              <w:t>Informatīvais ziņojums papildināts ar vispārīgu informāciju par gadījumiem, par kuriem j</w:t>
            </w:r>
            <w:r>
              <w:rPr>
                <w:lang w:eastAsia="en-US"/>
              </w:rPr>
              <w:t>ālemj MK ar atsauci uz pielikumiem</w:t>
            </w:r>
            <w:r w:rsidRPr="000D0380">
              <w:rPr>
                <w:lang w:eastAsia="en-US"/>
              </w:rPr>
              <w:t xml:space="preserve"> </w:t>
            </w:r>
            <w:r>
              <w:rPr>
                <w:lang w:eastAsia="en-US"/>
              </w:rPr>
              <w:t>ar detalizētu informāciju</w:t>
            </w:r>
            <w:r w:rsidRPr="000D0380">
              <w:rPr>
                <w:lang w:eastAsia="en-US"/>
              </w:rPr>
              <w:t>.</w:t>
            </w:r>
          </w:p>
        </w:tc>
        <w:tc>
          <w:tcPr>
            <w:tcW w:w="2259" w:type="dxa"/>
            <w:vMerge w:val="restart"/>
            <w:tcBorders>
              <w:top w:val="single" w:sz="4" w:space="0" w:color="auto"/>
              <w:left w:val="single" w:sz="4" w:space="0" w:color="auto"/>
            </w:tcBorders>
          </w:tcPr>
          <w:p w14:paraId="5B74EDAE" w14:textId="31E5540B" w:rsidR="00F1131F" w:rsidRPr="00596E72" w:rsidRDefault="00F1131F" w:rsidP="00975021">
            <w:pPr>
              <w:pStyle w:val="Default"/>
              <w:jc w:val="both"/>
            </w:pPr>
            <w:r w:rsidRPr="000D0380">
              <w:t>Skatīt precizē</w:t>
            </w:r>
            <w:r>
              <w:t>tu i</w:t>
            </w:r>
            <w:r w:rsidRPr="000D0380">
              <w:t>nformatīvā ziņojuma</w:t>
            </w:r>
            <w:r>
              <w:t xml:space="preserve"> </w:t>
            </w:r>
            <w:r w:rsidRPr="000D0380">
              <w:rPr>
                <w:rFonts w:eastAsiaTheme="minorHAnsi"/>
              </w:rPr>
              <w:t>4.</w:t>
            </w:r>
            <w:r w:rsidR="00944DD4">
              <w:rPr>
                <w:rFonts w:eastAsiaTheme="minorHAnsi"/>
              </w:rPr>
              <w:t> </w:t>
            </w:r>
            <w:r w:rsidRPr="000D0380">
              <w:rPr>
                <w:rFonts w:eastAsiaTheme="minorHAnsi"/>
              </w:rPr>
              <w:t>sadaļ</w:t>
            </w:r>
            <w:r>
              <w:rPr>
                <w:rFonts w:eastAsiaTheme="minorHAnsi"/>
              </w:rPr>
              <w:t>u,</w:t>
            </w:r>
            <w:r>
              <w:t xml:space="preserve"> attiecīgos </w:t>
            </w:r>
            <w:r w:rsidRPr="000D0380">
              <w:t>pielikumu</w:t>
            </w:r>
            <w:r>
              <w:t>s</w:t>
            </w:r>
            <w:r w:rsidRPr="000D0380">
              <w:t xml:space="preserve"> </w:t>
            </w:r>
            <w:r>
              <w:t xml:space="preserve">un </w:t>
            </w:r>
            <w:r w:rsidRPr="000D0380">
              <w:rPr>
                <w:rFonts w:eastAsiaTheme="minorHAnsi"/>
              </w:rPr>
              <w:t xml:space="preserve"> protokollēmuma</w:t>
            </w:r>
            <w:r>
              <w:rPr>
                <w:rFonts w:eastAsiaTheme="minorHAnsi"/>
              </w:rPr>
              <w:t xml:space="preserve"> projekta </w:t>
            </w:r>
            <w:r w:rsidR="00925F57">
              <w:rPr>
                <w:rFonts w:eastAsiaTheme="minorHAnsi"/>
              </w:rPr>
              <w:t>6</w:t>
            </w:r>
            <w:r>
              <w:rPr>
                <w:rFonts w:eastAsiaTheme="minorHAnsi"/>
              </w:rPr>
              <w:t>. punktu.</w:t>
            </w:r>
          </w:p>
        </w:tc>
      </w:tr>
      <w:tr w:rsidR="00F1131F" w:rsidRPr="000D0380" w14:paraId="47393ADF" w14:textId="77777777" w:rsidTr="003D3007">
        <w:trPr>
          <w:trHeight w:val="416"/>
        </w:trPr>
        <w:tc>
          <w:tcPr>
            <w:tcW w:w="988" w:type="dxa"/>
            <w:vMerge/>
            <w:tcBorders>
              <w:left w:val="single" w:sz="4" w:space="0" w:color="auto"/>
              <w:right w:val="single" w:sz="4" w:space="0" w:color="auto"/>
            </w:tcBorders>
          </w:tcPr>
          <w:p w14:paraId="78856076" w14:textId="799B9EE8" w:rsidR="00F1131F" w:rsidRPr="000D0380" w:rsidRDefault="00F1131F" w:rsidP="00CB1200">
            <w:pPr>
              <w:pStyle w:val="naisc"/>
              <w:tabs>
                <w:tab w:val="left" w:pos="360"/>
              </w:tabs>
              <w:spacing w:before="0" w:after="0"/>
              <w:ind w:left="720"/>
              <w:jc w:val="both"/>
              <w:rPr>
                <w:lang w:eastAsia="en-US"/>
              </w:rPr>
            </w:pPr>
          </w:p>
        </w:tc>
        <w:tc>
          <w:tcPr>
            <w:tcW w:w="2697" w:type="dxa"/>
            <w:vMerge/>
            <w:tcBorders>
              <w:left w:val="single" w:sz="4" w:space="0" w:color="auto"/>
              <w:right w:val="single" w:sz="4" w:space="0" w:color="auto"/>
            </w:tcBorders>
          </w:tcPr>
          <w:p w14:paraId="2FD27D03" w14:textId="77777777" w:rsidR="00F1131F" w:rsidRPr="000D0380" w:rsidRDefault="00F1131F" w:rsidP="00975021">
            <w:pPr>
              <w:jc w:val="both"/>
              <w:rPr>
                <w:rFonts w:eastAsiaTheme="minorHAnsi"/>
                <w:lang w:eastAsia="en-US"/>
              </w:rPr>
            </w:pPr>
          </w:p>
        </w:tc>
        <w:tc>
          <w:tcPr>
            <w:tcW w:w="6660" w:type="dxa"/>
            <w:tcBorders>
              <w:top w:val="single" w:sz="4" w:space="0" w:color="auto"/>
              <w:left w:val="single" w:sz="4" w:space="0" w:color="auto"/>
              <w:bottom w:val="single" w:sz="4" w:space="0" w:color="auto"/>
              <w:right w:val="single" w:sz="4" w:space="0" w:color="auto"/>
            </w:tcBorders>
          </w:tcPr>
          <w:p w14:paraId="0FB250C5" w14:textId="77777777" w:rsidR="00F1131F" w:rsidRDefault="00F1131F" w:rsidP="00CB1200">
            <w:pPr>
              <w:pStyle w:val="NoSpacing"/>
              <w:jc w:val="both"/>
              <w:rPr>
                <w:rFonts w:ascii="Times New Roman" w:hAnsi="Times New Roman" w:cs="Times New Roman"/>
                <w:b/>
                <w:sz w:val="24"/>
                <w:szCs w:val="24"/>
              </w:rPr>
            </w:pPr>
            <w:r>
              <w:rPr>
                <w:rFonts w:ascii="Times New Roman" w:hAnsi="Times New Roman" w:cs="Times New Roman"/>
                <w:b/>
                <w:sz w:val="24"/>
                <w:szCs w:val="24"/>
              </w:rPr>
              <w:t>Izglītības un zinātnes ministrijas 2020. gada 21. februārī izteikts iebildums atkārtotas saskaņošanas laikā.</w:t>
            </w:r>
          </w:p>
          <w:p w14:paraId="3912B687" w14:textId="05F70FA7" w:rsidR="00F1131F" w:rsidRPr="00CB1200" w:rsidRDefault="00F1131F" w:rsidP="00975021">
            <w:pPr>
              <w:widowControl w:val="0"/>
              <w:jc w:val="both"/>
              <w:rPr>
                <w:lang w:eastAsia="en-US"/>
              </w:rPr>
            </w:pPr>
            <w:r w:rsidRPr="00CB1200">
              <w:rPr>
                <w:lang w:eastAsia="en-US"/>
              </w:rPr>
              <w:t>Aicinām precizēt informatīvā ziņojuma 3.pielikumu „Priekšlikumi atbalsta samazinājuma nepiemērošanai projektos” (turpmāk – informatīvā ziņojuma 3.pielikums) Ogres novada pašvaldības projekta „Uzlabot vispārējās izglītības iestāžu mācību vidi Ogres novadā” (Nr.8.1.2.0/17/I/008) īstenošanas termiņu norādot atbilstoši atzinuma 2.1.apakšpunktā minētajam, tas ir, līdz 2022.gada 30.jūnijam.</w:t>
            </w:r>
          </w:p>
        </w:tc>
        <w:tc>
          <w:tcPr>
            <w:tcW w:w="2700" w:type="dxa"/>
            <w:tcBorders>
              <w:top w:val="single" w:sz="4" w:space="0" w:color="auto"/>
              <w:left w:val="single" w:sz="4" w:space="0" w:color="auto"/>
              <w:bottom w:val="single" w:sz="4" w:space="0" w:color="auto"/>
              <w:right w:val="single" w:sz="4" w:space="0" w:color="auto"/>
            </w:tcBorders>
          </w:tcPr>
          <w:p w14:paraId="05DA6BE9" w14:textId="29D878FC" w:rsidR="00C15EF0" w:rsidRPr="00C15EF0" w:rsidRDefault="00C15EF0" w:rsidP="00C15EF0">
            <w:pPr>
              <w:jc w:val="both"/>
              <w:rPr>
                <w:b/>
                <w:lang w:eastAsia="en-US"/>
              </w:rPr>
            </w:pPr>
            <w:r w:rsidRPr="00C15EF0">
              <w:rPr>
                <w:b/>
                <w:lang w:eastAsia="en-US"/>
              </w:rPr>
              <w:t>Ņemts vērā.</w:t>
            </w:r>
          </w:p>
          <w:p w14:paraId="1DF13C1A" w14:textId="018D1D9C" w:rsidR="00F1131F" w:rsidRPr="00E4506B" w:rsidRDefault="00C15EF0" w:rsidP="00C15EF0">
            <w:pPr>
              <w:jc w:val="both"/>
              <w:rPr>
                <w:b/>
                <w:lang w:eastAsia="en-US"/>
              </w:rPr>
            </w:pPr>
            <w:r w:rsidRPr="00C15EF0">
              <w:rPr>
                <w:lang w:eastAsia="en-US"/>
              </w:rPr>
              <w:t xml:space="preserve">Informatīvā ziņojuma </w:t>
            </w:r>
            <w:r>
              <w:rPr>
                <w:lang w:eastAsia="en-US"/>
              </w:rPr>
              <w:t>3</w:t>
            </w:r>
            <w:r w:rsidR="007167AB">
              <w:rPr>
                <w:lang w:eastAsia="en-US"/>
              </w:rPr>
              <w:t>. </w:t>
            </w:r>
            <w:r w:rsidRPr="00C15EF0">
              <w:rPr>
                <w:lang w:eastAsia="en-US"/>
              </w:rPr>
              <w:t>pielikums papildināts.</w:t>
            </w:r>
          </w:p>
        </w:tc>
        <w:tc>
          <w:tcPr>
            <w:tcW w:w="2259" w:type="dxa"/>
            <w:vMerge/>
            <w:tcBorders>
              <w:left w:val="single" w:sz="4" w:space="0" w:color="auto"/>
            </w:tcBorders>
          </w:tcPr>
          <w:p w14:paraId="4A9B69DE" w14:textId="77777777" w:rsidR="00F1131F" w:rsidRPr="000D0380" w:rsidRDefault="00F1131F" w:rsidP="00975021">
            <w:pPr>
              <w:pStyle w:val="Default"/>
              <w:jc w:val="both"/>
            </w:pPr>
          </w:p>
        </w:tc>
      </w:tr>
      <w:tr w:rsidR="00F1131F" w:rsidRPr="000D0380" w14:paraId="29947BC5" w14:textId="77777777" w:rsidTr="00CB1200">
        <w:trPr>
          <w:trHeight w:val="416"/>
        </w:trPr>
        <w:tc>
          <w:tcPr>
            <w:tcW w:w="988" w:type="dxa"/>
            <w:vMerge/>
            <w:tcBorders>
              <w:left w:val="single" w:sz="4" w:space="0" w:color="auto"/>
              <w:right w:val="single" w:sz="4" w:space="0" w:color="auto"/>
            </w:tcBorders>
          </w:tcPr>
          <w:p w14:paraId="40961984" w14:textId="77777777" w:rsidR="00F1131F" w:rsidRPr="000D0380" w:rsidRDefault="00F1131F" w:rsidP="00975021">
            <w:pPr>
              <w:pStyle w:val="naisc"/>
              <w:numPr>
                <w:ilvl w:val="0"/>
                <w:numId w:val="4"/>
              </w:numPr>
              <w:tabs>
                <w:tab w:val="left" w:pos="360"/>
              </w:tabs>
              <w:spacing w:before="0" w:after="0"/>
              <w:jc w:val="both"/>
              <w:rPr>
                <w:lang w:eastAsia="en-US"/>
              </w:rPr>
            </w:pPr>
          </w:p>
        </w:tc>
        <w:tc>
          <w:tcPr>
            <w:tcW w:w="2697" w:type="dxa"/>
            <w:vMerge/>
            <w:tcBorders>
              <w:left w:val="single" w:sz="4" w:space="0" w:color="auto"/>
              <w:right w:val="single" w:sz="4" w:space="0" w:color="auto"/>
            </w:tcBorders>
          </w:tcPr>
          <w:p w14:paraId="595DA15D" w14:textId="77777777" w:rsidR="00F1131F" w:rsidRPr="000D0380" w:rsidRDefault="00F1131F" w:rsidP="00975021">
            <w:pPr>
              <w:jc w:val="both"/>
              <w:rPr>
                <w:rFonts w:eastAsiaTheme="minorHAnsi"/>
                <w:lang w:eastAsia="en-US"/>
              </w:rPr>
            </w:pPr>
          </w:p>
        </w:tc>
        <w:tc>
          <w:tcPr>
            <w:tcW w:w="6660" w:type="dxa"/>
            <w:tcBorders>
              <w:top w:val="single" w:sz="4" w:space="0" w:color="auto"/>
              <w:left w:val="single" w:sz="4" w:space="0" w:color="auto"/>
              <w:bottom w:val="single" w:sz="4" w:space="0" w:color="auto"/>
              <w:right w:val="single" w:sz="4" w:space="0" w:color="auto"/>
            </w:tcBorders>
          </w:tcPr>
          <w:p w14:paraId="607BEFC9" w14:textId="77777777" w:rsidR="00F1131F" w:rsidRDefault="00F1131F" w:rsidP="00CB1200">
            <w:pPr>
              <w:pStyle w:val="NoSpacing"/>
              <w:jc w:val="both"/>
              <w:rPr>
                <w:rFonts w:ascii="Times New Roman" w:hAnsi="Times New Roman" w:cs="Times New Roman"/>
                <w:b/>
                <w:sz w:val="24"/>
                <w:szCs w:val="24"/>
              </w:rPr>
            </w:pPr>
            <w:r>
              <w:rPr>
                <w:rFonts w:ascii="Times New Roman" w:hAnsi="Times New Roman" w:cs="Times New Roman"/>
                <w:b/>
                <w:sz w:val="24"/>
                <w:szCs w:val="24"/>
              </w:rPr>
              <w:t>Izglītības un zinātnes ministrijas 2020. gada 21. februārī izteikts iebildums atkārtotas saskaņošanas laikā.</w:t>
            </w:r>
          </w:p>
          <w:p w14:paraId="78044067" w14:textId="6FAEF50C" w:rsidR="00F1131F" w:rsidRPr="00CB1200" w:rsidRDefault="00F1131F" w:rsidP="00975021">
            <w:pPr>
              <w:widowControl w:val="0"/>
              <w:jc w:val="both"/>
              <w:rPr>
                <w:lang w:eastAsia="en-US"/>
              </w:rPr>
            </w:pPr>
            <w:r w:rsidRPr="00CB1200">
              <w:rPr>
                <w:lang w:eastAsia="en-US"/>
              </w:rPr>
              <w:t>Aicinām precizēt informatīvā ziņojuma 3.pielikumu Kuldīgas Tehnoloģiju un tūrisma tehnikuma projekta „Kuldīgas Tehnoloģiju un tūrisma tehnikuma modernizēšana specifiskā atbalsta mērķa 8.1.3. “Palielināt modernizēto profesionālās izglītības iestāžu skaitu” ietvaros” (Nr. 8.1.3.0/16/I/016) īstenošanas termiņu norādot atbilstoši atzinuma 2.2.apakšpunktā minētajam, tas ir, līdz 2022.gada 31.janvārim.</w:t>
            </w:r>
          </w:p>
        </w:tc>
        <w:tc>
          <w:tcPr>
            <w:tcW w:w="2700" w:type="dxa"/>
            <w:tcBorders>
              <w:top w:val="single" w:sz="4" w:space="0" w:color="auto"/>
              <w:left w:val="single" w:sz="4" w:space="0" w:color="auto"/>
              <w:bottom w:val="single" w:sz="4" w:space="0" w:color="auto"/>
              <w:right w:val="single" w:sz="4" w:space="0" w:color="auto"/>
            </w:tcBorders>
          </w:tcPr>
          <w:p w14:paraId="1B460AAE" w14:textId="77777777" w:rsidR="00C15EF0" w:rsidRPr="00C15EF0" w:rsidRDefault="00C15EF0" w:rsidP="00C15EF0">
            <w:pPr>
              <w:jc w:val="both"/>
              <w:rPr>
                <w:b/>
                <w:lang w:eastAsia="en-US"/>
              </w:rPr>
            </w:pPr>
            <w:r w:rsidRPr="00C15EF0">
              <w:rPr>
                <w:b/>
                <w:lang w:eastAsia="en-US"/>
              </w:rPr>
              <w:t>Ņemts vērā.</w:t>
            </w:r>
          </w:p>
          <w:p w14:paraId="5627A488" w14:textId="669953F7" w:rsidR="00F1131F" w:rsidRPr="00E4506B" w:rsidRDefault="00C15EF0" w:rsidP="00C15EF0">
            <w:pPr>
              <w:jc w:val="both"/>
              <w:rPr>
                <w:b/>
                <w:lang w:eastAsia="en-US"/>
              </w:rPr>
            </w:pPr>
            <w:r w:rsidRPr="00C15EF0">
              <w:rPr>
                <w:lang w:eastAsia="en-US"/>
              </w:rPr>
              <w:t xml:space="preserve">Informatīvā ziņojuma </w:t>
            </w:r>
            <w:r>
              <w:rPr>
                <w:lang w:eastAsia="en-US"/>
              </w:rPr>
              <w:t>3</w:t>
            </w:r>
            <w:r w:rsidR="007167AB">
              <w:rPr>
                <w:lang w:eastAsia="en-US"/>
              </w:rPr>
              <w:t>. </w:t>
            </w:r>
            <w:r w:rsidRPr="00C15EF0">
              <w:rPr>
                <w:lang w:eastAsia="en-US"/>
              </w:rPr>
              <w:t>pielikums papildināts.</w:t>
            </w:r>
          </w:p>
        </w:tc>
        <w:tc>
          <w:tcPr>
            <w:tcW w:w="2259" w:type="dxa"/>
            <w:vMerge/>
            <w:tcBorders>
              <w:left w:val="single" w:sz="4" w:space="0" w:color="auto"/>
            </w:tcBorders>
          </w:tcPr>
          <w:p w14:paraId="49DFCBA6" w14:textId="77777777" w:rsidR="00F1131F" w:rsidRPr="000D0380" w:rsidRDefault="00F1131F" w:rsidP="00975021">
            <w:pPr>
              <w:pStyle w:val="Default"/>
              <w:jc w:val="both"/>
            </w:pPr>
          </w:p>
        </w:tc>
      </w:tr>
      <w:tr w:rsidR="00F1131F" w:rsidRPr="000D0380" w14:paraId="1363EF7A" w14:textId="77777777" w:rsidTr="00CB1200">
        <w:trPr>
          <w:trHeight w:val="416"/>
        </w:trPr>
        <w:tc>
          <w:tcPr>
            <w:tcW w:w="988" w:type="dxa"/>
            <w:vMerge/>
            <w:tcBorders>
              <w:left w:val="single" w:sz="4" w:space="0" w:color="auto"/>
              <w:bottom w:val="single" w:sz="4" w:space="0" w:color="auto"/>
              <w:right w:val="single" w:sz="4" w:space="0" w:color="auto"/>
            </w:tcBorders>
          </w:tcPr>
          <w:p w14:paraId="28DF588C" w14:textId="77777777" w:rsidR="00F1131F" w:rsidRPr="000D0380" w:rsidRDefault="00F1131F" w:rsidP="00975021">
            <w:pPr>
              <w:pStyle w:val="naisc"/>
              <w:numPr>
                <w:ilvl w:val="0"/>
                <w:numId w:val="4"/>
              </w:numPr>
              <w:tabs>
                <w:tab w:val="left" w:pos="360"/>
              </w:tabs>
              <w:spacing w:before="0" w:after="0"/>
              <w:jc w:val="both"/>
              <w:rPr>
                <w:lang w:eastAsia="en-US"/>
              </w:rPr>
            </w:pPr>
          </w:p>
        </w:tc>
        <w:tc>
          <w:tcPr>
            <w:tcW w:w="2697" w:type="dxa"/>
            <w:vMerge/>
            <w:tcBorders>
              <w:left w:val="single" w:sz="4" w:space="0" w:color="auto"/>
              <w:bottom w:val="single" w:sz="4" w:space="0" w:color="auto"/>
              <w:right w:val="single" w:sz="4" w:space="0" w:color="auto"/>
            </w:tcBorders>
          </w:tcPr>
          <w:p w14:paraId="1B54C655" w14:textId="77777777" w:rsidR="00F1131F" w:rsidRPr="000D0380" w:rsidRDefault="00F1131F" w:rsidP="00975021">
            <w:pPr>
              <w:jc w:val="both"/>
              <w:rPr>
                <w:rFonts w:eastAsiaTheme="minorHAnsi"/>
                <w:lang w:eastAsia="en-US"/>
              </w:rPr>
            </w:pPr>
          </w:p>
        </w:tc>
        <w:tc>
          <w:tcPr>
            <w:tcW w:w="6660" w:type="dxa"/>
            <w:tcBorders>
              <w:top w:val="single" w:sz="4" w:space="0" w:color="auto"/>
              <w:left w:val="single" w:sz="4" w:space="0" w:color="auto"/>
              <w:bottom w:val="single" w:sz="4" w:space="0" w:color="auto"/>
              <w:right w:val="single" w:sz="4" w:space="0" w:color="auto"/>
            </w:tcBorders>
          </w:tcPr>
          <w:p w14:paraId="02809DF3" w14:textId="77777777" w:rsidR="00F1131F" w:rsidRDefault="00F1131F" w:rsidP="00CB1200">
            <w:pPr>
              <w:pStyle w:val="NoSpacing"/>
              <w:jc w:val="both"/>
              <w:rPr>
                <w:rFonts w:ascii="Times New Roman" w:hAnsi="Times New Roman" w:cs="Times New Roman"/>
                <w:b/>
                <w:sz w:val="24"/>
                <w:szCs w:val="24"/>
              </w:rPr>
            </w:pPr>
            <w:r>
              <w:rPr>
                <w:rFonts w:ascii="Times New Roman" w:hAnsi="Times New Roman" w:cs="Times New Roman"/>
                <w:b/>
                <w:sz w:val="24"/>
                <w:szCs w:val="24"/>
              </w:rPr>
              <w:t>Izglītības un zinātnes ministrijas 2020. gada 21. februārī izteikts iebildums atkārtotas saskaņošanas laikā.</w:t>
            </w:r>
          </w:p>
          <w:p w14:paraId="1E496BB2" w14:textId="63AB16D0" w:rsidR="00F1131F" w:rsidRPr="00CB1200" w:rsidRDefault="00F1131F" w:rsidP="00975021">
            <w:pPr>
              <w:widowControl w:val="0"/>
              <w:jc w:val="both"/>
              <w:rPr>
                <w:lang w:eastAsia="en-US"/>
              </w:rPr>
            </w:pPr>
            <w:r w:rsidRPr="00CB1200">
              <w:rPr>
                <w:lang w:eastAsia="en-US"/>
              </w:rPr>
              <w:t>Aicinām precizēt informatīvā ziņojuma 3.pielikumu, precizējot aktuālo Saldus tehnikuma projekta „Saldus tehnikuma modernizēšana specifiskā atbalsta mērķa 8.1.3. „Palielināt modernizēto profesionālās izglītības iestāžu skaitu” ietvaros” (Nr. 8.1.3.0/16/I/009) īstenošanas beigu termiņa, ievērojot sadarbības iestādes 2020.gada 18.februāra lēmumu par minētā projekta grozījumiem, tai skaitā projekta īstenošanas termiņa pagarinājumu.</w:t>
            </w:r>
          </w:p>
        </w:tc>
        <w:tc>
          <w:tcPr>
            <w:tcW w:w="2700" w:type="dxa"/>
            <w:tcBorders>
              <w:top w:val="single" w:sz="4" w:space="0" w:color="auto"/>
              <w:left w:val="single" w:sz="4" w:space="0" w:color="auto"/>
              <w:bottom w:val="single" w:sz="4" w:space="0" w:color="auto"/>
              <w:right w:val="single" w:sz="4" w:space="0" w:color="auto"/>
            </w:tcBorders>
          </w:tcPr>
          <w:p w14:paraId="1785EFDF" w14:textId="77777777" w:rsidR="00C15EF0" w:rsidRPr="00C15EF0" w:rsidRDefault="00C15EF0" w:rsidP="00C15EF0">
            <w:pPr>
              <w:jc w:val="both"/>
              <w:rPr>
                <w:b/>
                <w:lang w:eastAsia="en-US"/>
              </w:rPr>
            </w:pPr>
            <w:r w:rsidRPr="00C15EF0">
              <w:rPr>
                <w:b/>
                <w:lang w:eastAsia="en-US"/>
              </w:rPr>
              <w:t>Ņemts vērā.</w:t>
            </w:r>
          </w:p>
          <w:p w14:paraId="01B543B7" w14:textId="71106657" w:rsidR="00F1131F" w:rsidRPr="00E4506B" w:rsidRDefault="00C15EF0" w:rsidP="00C15EF0">
            <w:pPr>
              <w:jc w:val="both"/>
              <w:rPr>
                <w:b/>
                <w:lang w:eastAsia="en-US"/>
              </w:rPr>
            </w:pPr>
            <w:r w:rsidRPr="00C15EF0">
              <w:rPr>
                <w:lang w:eastAsia="en-US"/>
              </w:rPr>
              <w:t xml:space="preserve">Informatīvā ziņojuma </w:t>
            </w:r>
            <w:r>
              <w:rPr>
                <w:lang w:eastAsia="en-US"/>
              </w:rPr>
              <w:t>3</w:t>
            </w:r>
            <w:r w:rsidRPr="00C15EF0">
              <w:rPr>
                <w:lang w:eastAsia="en-US"/>
              </w:rPr>
              <w:t>.</w:t>
            </w:r>
            <w:r w:rsidR="007167AB">
              <w:rPr>
                <w:lang w:eastAsia="en-US"/>
              </w:rPr>
              <w:t> </w:t>
            </w:r>
            <w:r w:rsidRPr="00C15EF0">
              <w:rPr>
                <w:lang w:eastAsia="en-US"/>
              </w:rPr>
              <w:t>pielikums papildināts.</w:t>
            </w:r>
          </w:p>
        </w:tc>
        <w:tc>
          <w:tcPr>
            <w:tcW w:w="2259" w:type="dxa"/>
            <w:vMerge/>
            <w:tcBorders>
              <w:left w:val="single" w:sz="4" w:space="0" w:color="auto"/>
              <w:bottom w:val="single" w:sz="4" w:space="0" w:color="auto"/>
            </w:tcBorders>
          </w:tcPr>
          <w:p w14:paraId="21F371DD" w14:textId="77777777" w:rsidR="00F1131F" w:rsidRPr="000D0380" w:rsidRDefault="00F1131F" w:rsidP="00975021">
            <w:pPr>
              <w:pStyle w:val="Default"/>
              <w:jc w:val="both"/>
            </w:pPr>
          </w:p>
        </w:tc>
      </w:tr>
      <w:tr w:rsidR="00975021" w:rsidRPr="000D0380" w14:paraId="4B268995" w14:textId="77777777" w:rsidTr="006C2AE0">
        <w:trPr>
          <w:trHeight w:val="699"/>
        </w:trPr>
        <w:tc>
          <w:tcPr>
            <w:tcW w:w="988" w:type="dxa"/>
            <w:tcBorders>
              <w:top w:val="single" w:sz="4" w:space="0" w:color="auto"/>
              <w:left w:val="single" w:sz="4" w:space="0" w:color="auto"/>
              <w:bottom w:val="single" w:sz="4" w:space="0" w:color="auto"/>
              <w:right w:val="single" w:sz="4" w:space="0" w:color="auto"/>
            </w:tcBorders>
          </w:tcPr>
          <w:p w14:paraId="7DC0A246" w14:textId="77777777" w:rsidR="00975021" w:rsidRPr="000D0380" w:rsidRDefault="00975021" w:rsidP="00F1131F">
            <w:pPr>
              <w:pStyle w:val="naisc"/>
              <w:numPr>
                <w:ilvl w:val="0"/>
                <w:numId w:val="9"/>
              </w:numPr>
              <w:tabs>
                <w:tab w:val="left" w:pos="360"/>
              </w:tabs>
              <w:spacing w:before="0" w:after="0"/>
              <w:jc w:val="both"/>
              <w:rPr>
                <w:lang w:eastAsia="en-US"/>
              </w:rPr>
            </w:pPr>
          </w:p>
        </w:tc>
        <w:tc>
          <w:tcPr>
            <w:tcW w:w="2697" w:type="dxa"/>
            <w:tcBorders>
              <w:top w:val="single" w:sz="4" w:space="0" w:color="auto"/>
              <w:left w:val="single" w:sz="4" w:space="0" w:color="auto"/>
              <w:bottom w:val="single" w:sz="4" w:space="0" w:color="auto"/>
              <w:right w:val="single" w:sz="4" w:space="0" w:color="auto"/>
            </w:tcBorders>
          </w:tcPr>
          <w:p w14:paraId="621E62DF" w14:textId="1F3669E5" w:rsidR="00975021" w:rsidRPr="000D0380" w:rsidRDefault="00975021" w:rsidP="00975021">
            <w:pPr>
              <w:jc w:val="both"/>
              <w:rPr>
                <w:rFonts w:eastAsiaTheme="minorHAnsi"/>
                <w:lang w:eastAsia="en-US"/>
              </w:rPr>
            </w:pPr>
            <w:r w:rsidRPr="000D0380">
              <w:rPr>
                <w:rFonts w:eastAsiaTheme="minorHAnsi"/>
                <w:lang w:eastAsia="en-US"/>
              </w:rPr>
              <w:t>Informatīvā ziņojuma 4.</w:t>
            </w:r>
            <w:r w:rsidR="00A8203A">
              <w:rPr>
                <w:rFonts w:eastAsiaTheme="minorHAnsi"/>
                <w:lang w:eastAsia="en-US"/>
              </w:rPr>
              <w:t> </w:t>
            </w:r>
            <w:r w:rsidRPr="000D0380">
              <w:rPr>
                <w:rFonts w:eastAsiaTheme="minorHAnsi"/>
                <w:lang w:eastAsia="en-US"/>
              </w:rPr>
              <w:t>sadaļa</w:t>
            </w:r>
            <w:r>
              <w:rPr>
                <w:rFonts w:eastAsiaTheme="minorHAnsi"/>
                <w:lang w:eastAsia="en-US"/>
              </w:rPr>
              <w:t>s</w:t>
            </w:r>
            <w:r w:rsidRPr="000D0380">
              <w:rPr>
                <w:rFonts w:eastAsiaTheme="minorHAnsi"/>
                <w:lang w:eastAsia="en-US"/>
              </w:rPr>
              <w:t xml:space="preserve"> “2014. - 2020. gada plānošanas perioda ES fondu investīciju aktualitātes”</w:t>
            </w:r>
            <w:r>
              <w:rPr>
                <w:rFonts w:eastAsiaTheme="minorHAnsi"/>
                <w:lang w:eastAsia="en-US"/>
              </w:rPr>
              <w:t xml:space="preserve"> apakšsadaļa </w:t>
            </w:r>
            <w:r w:rsidRPr="000D0380">
              <w:rPr>
                <w:rFonts w:eastAsiaTheme="minorHAnsi"/>
                <w:lang w:eastAsia="en-US"/>
              </w:rPr>
              <w:t>“2019.</w:t>
            </w:r>
            <w:r w:rsidR="00A8203A">
              <w:rPr>
                <w:rFonts w:eastAsiaTheme="minorHAnsi"/>
                <w:lang w:eastAsia="en-US"/>
              </w:rPr>
              <w:t> </w:t>
            </w:r>
            <w:r w:rsidRPr="000D0380">
              <w:rPr>
                <w:rFonts w:eastAsiaTheme="minorHAnsi"/>
                <w:lang w:eastAsia="en-US"/>
              </w:rPr>
              <w:t>gada projektu ieviešanas plānu izpilde”</w:t>
            </w:r>
            <w:r w:rsidR="003434E6">
              <w:rPr>
                <w:rFonts w:eastAsiaTheme="minorHAnsi"/>
                <w:lang w:eastAsia="en-US"/>
              </w:rPr>
              <w:t>.</w:t>
            </w:r>
          </w:p>
        </w:tc>
        <w:tc>
          <w:tcPr>
            <w:tcW w:w="6660" w:type="dxa"/>
            <w:tcBorders>
              <w:top w:val="single" w:sz="4" w:space="0" w:color="auto"/>
              <w:left w:val="single" w:sz="4" w:space="0" w:color="auto"/>
              <w:bottom w:val="single" w:sz="4" w:space="0" w:color="auto"/>
              <w:right w:val="single" w:sz="4" w:space="0" w:color="auto"/>
            </w:tcBorders>
          </w:tcPr>
          <w:p w14:paraId="59EC8DC1" w14:textId="590E1EF6" w:rsidR="00975021" w:rsidRPr="000D0380" w:rsidRDefault="00975021" w:rsidP="00975021">
            <w:pPr>
              <w:widowControl w:val="0"/>
              <w:jc w:val="both"/>
              <w:rPr>
                <w:b/>
                <w:lang w:eastAsia="en-US"/>
              </w:rPr>
            </w:pPr>
            <w:r w:rsidRPr="000D0380">
              <w:rPr>
                <w:b/>
                <w:lang w:eastAsia="en-US"/>
              </w:rPr>
              <w:t>Priekšlikums</w:t>
            </w:r>
          </w:p>
          <w:p w14:paraId="6CA5F6A5" w14:textId="56FD993D" w:rsidR="00975021" w:rsidRPr="000D0380" w:rsidRDefault="00975021" w:rsidP="00975021">
            <w:pPr>
              <w:widowControl w:val="0"/>
              <w:jc w:val="both"/>
              <w:rPr>
                <w:b/>
                <w:lang w:eastAsia="en-US"/>
              </w:rPr>
            </w:pPr>
            <w:r w:rsidRPr="000D0380">
              <w:rPr>
                <w:b/>
                <w:lang w:eastAsia="en-US"/>
              </w:rPr>
              <w:t>Ekonomikas ministrija</w:t>
            </w:r>
          </w:p>
          <w:p w14:paraId="42C3E033" w14:textId="35F40629" w:rsidR="00975021" w:rsidRPr="000D0380" w:rsidRDefault="00975021" w:rsidP="00975021">
            <w:pPr>
              <w:widowControl w:val="0"/>
              <w:jc w:val="both"/>
              <w:rPr>
                <w:b/>
                <w:lang w:eastAsia="en-US"/>
              </w:rPr>
            </w:pPr>
            <w:r w:rsidRPr="000D0380">
              <w:rPr>
                <w:lang w:eastAsia="en-US"/>
              </w:rPr>
              <w:t>1.</w:t>
            </w:r>
            <w:r w:rsidRPr="000D0380">
              <w:rPr>
                <w:lang w:eastAsia="en-US"/>
              </w:rPr>
              <w:tab/>
              <w:t xml:space="preserve">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(turpmāk – SAM 4.2.1.2.) projektu Nr.4.2.1.2./19/I/005 un darbības programmas “Izaugsme un nodarbinātība” 8.1.3. specifiskā atbalsta mērķa “Palielināt modernizēto profesionālās izglītības iestāžu skaitu” projektu Nr.8.1.3.0/16/I/004 (turpmāk kopā – projekti), ir radušās būtiskas nobīdes no projektu laika grafikiem no finansējuma saņēmēja neatkarīgu apstākļu dēļ. Lai nodrošinātu kvalitatīvu projektu īstenošanu un projekta īstenošanas nodrošināšanu termiņā, lūdzam pagarināt projekta īstenošanas termiņu par deviņiem mēnešiem, tas ir, līdz 2021.gada 31.oktobrim (uz šo brīdi spēkā esošais projekta īstenošanas termiņš ir 2021.gada 3.janvāris). Atbilstoši Ministru kabineta 2016.gada 9.augusta noteikumu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 37.punktā noteiktajam, projekta iesniegumā paredzētās aktivitātes ir īstenojamas 48 mēnešu laikā pēc tam, kad ar sabiedrības iestādi noslēgts līgums vai vienošanās </w:t>
            </w:r>
            <w:r w:rsidRPr="000D0380">
              <w:rPr>
                <w:lang w:eastAsia="en-US"/>
              </w:rPr>
              <w:lastRenderedPageBreak/>
              <w:t>par projekta īstenošanu, bet ne vēlāk kā līdz 2022.gada 31.oktobrim. Ņemot vērā finansējuma saņēmēja rīcību, izvērtējot un pārraugot projekta īstenošanas gaitu, Ekonomikas ministrijas ieskatā projekta termiņš ir pagarināms līdz 2021.gada 31.oktobrim.</w:t>
            </w:r>
          </w:p>
        </w:tc>
        <w:tc>
          <w:tcPr>
            <w:tcW w:w="2700" w:type="dxa"/>
            <w:tcBorders>
              <w:top w:val="single" w:sz="4" w:space="0" w:color="auto"/>
              <w:left w:val="single" w:sz="4" w:space="0" w:color="auto"/>
              <w:bottom w:val="single" w:sz="4" w:space="0" w:color="auto"/>
              <w:right w:val="single" w:sz="4" w:space="0" w:color="auto"/>
            </w:tcBorders>
          </w:tcPr>
          <w:p w14:paraId="6F7CE089" w14:textId="3D00CF80" w:rsidR="00975021" w:rsidRPr="00596E72" w:rsidRDefault="00975021" w:rsidP="00975021">
            <w:pPr>
              <w:pStyle w:val="naisc"/>
              <w:spacing w:before="0" w:after="0"/>
              <w:jc w:val="both"/>
              <w:rPr>
                <w:b/>
                <w:lang w:eastAsia="en-US"/>
              </w:rPr>
            </w:pPr>
            <w:r w:rsidRPr="00E4506B">
              <w:rPr>
                <w:b/>
                <w:lang w:eastAsia="en-US"/>
              </w:rPr>
              <w:lastRenderedPageBreak/>
              <w:t>Ņemts vērā</w:t>
            </w:r>
            <w:r>
              <w:rPr>
                <w:b/>
                <w:lang w:eastAsia="en-US"/>
              </w:rPr>
              <w:t xml:space="preserve"> </w:t>
            </w:r>
            <w:r>
              <w:rPr>
                <w:lang w:eastAsia="en-US"/>
              </w:rPr>
              <w:t xml:space="preserve">pēc būtības. </w:t>
            </w:r>
            <w:r w:rsidRPr="000D0380">
              <w:rPr>
                <w:lang w:eastAsia="en-US"/>
              </w:rPr>
              <w:t>Informatīvais ziņojums papildināts ar vispārīgu informāciju par gadījumiem, par kuriem j</w:t>
            </w:r>
            <w:r>
              <w:rPr>
                <w:lang w:eastAsia="en-US"/>
              </w:rPr>
              <w:t>ālemj MK ar atsauci uz pielikumiem</w:t>
            </w:r>
            <w:r w:rsidRPr="000D0380">
              <w:rPr>
                <w:lang w:eastAsia="en-US"/>
              </w:rPr>
              <w:t xml:space="preserve"> </w:t>
            </w:r>
            <w:r>
              <w:rPr>
                <w:lang w:eastAsia="en-US"/>
              </w:rPr>
              <w:t>ar detalizētu informāciju</w:t>
            </w:r>
            <w:r w:rsidRPr="000D0380">
              <w:rPr>
                <w:lang w:eastAsia="en-US"/>
              </w:rPr>
              <w:t>.</w:t>
            </w:r>
          </w:p>
        </w:tc>
        <w:tc>
          <w:tcPr>
            <w:tcW w:w="2259" w:type="dxa"/>
            <w:tcBorders>
              <w:top w:val="single" w:sz="4" w:space="0" w:color="auto"/>
              <w:left w:val="single" w:sz="4" w:space="0" w:color="auto"/>
              <w:bottom w:val="single" w:sz="4" w:space="0" w:color="auto"/>
              <w:right w:val="single" w:sz="4" w:space="0" w:color="auto"/>
            </w:tcBorders>
          </w:tcPr>
          <w:p w14:paraId="24BEEA12" w14:textId="45D6009D" w:rsidR="00975021" w:rsidRPr="00596E72" w:rsidRDefault="00975021" w:rsidP="00925F57">
            <w:pPr>
              <w:pStyle w:val="Default"/>
              <w:jc w:val="both"/>
            </w:pPr>
            <w:r w:rsidRPr="000D0380">
              <w:t>Skatīt precizē</w:t>
            </w:r>
            <w:r>
              <w:t>tu i</w:t>
            </w:r>
            <w:r w:rsidRPr="000D0380">
              <w:t>nformatīvā ziņojuma</w:t>
            </w:r>
            <w:r>
              <w:t xml:space="preserve"> </w:t>
            </w:r>
            <w:r w:rsidRPr="000D0380">
              <w:rPr>
                <w:rFonts w:eastAsiaTheme="minorHAnsi"/>
              </w:rPr>
              <w:t>4.</w:t>
            </w:r>
            <w:r w:rsidR="00A8203A">
              <w:rPr>
                <w:rFonts w:eastAsiaTheme="minorHAnsi"/>
              </w:rPr>
              <w:t> </w:t>
            </w:r>
            <w:r w:rsidRPr="000D0380">
              <w:rPr>
                <w:rFonts w:eastAsiaTheme="minorHAnsi"/>
              </w:rPr>
              <w:t>sadaļ</w:t>
            </w:r>
            <w:r>
              <w:rPr>
                <w:rFonts w:eastAsiaTheme="minorHAnsi"/>
              </w:rPr>
              <w:t>u,</w:t>
            </w:r>
            <w:r>
              <w:t xml:space="preserve"> attiecīgos </w:t>
            </w:r>
            <w:r w:rsidRPr="000D0380">
              <w:t>pielikumu</w:t>
            </w:r>
            <w:r>
              <w:t>s</w:t>
            </w:r>
            <w:r w:rsidRPr="000D0380">
              <w:t xml:space="preserve"> </w:t>
            </w:r>
            <w:r>
              <w:t xml:space="preserve">un </w:t>
            </w:r>
            <w:r w:rsidRPr="000D0380">
              <w:rPr>
                <w:rFonts w:eastAsiaTheme="minorHAnsi"/>
              </w:rPr>
              <w:t xml:space="preserve"> protokollēmuma</w:t>
            </w:r>
            <w:r>
              <w:rPr>
                <w:rFonts w:eastAsiaTheme="minorHAnsi"/>
              </w:rPr>
              <w:t xml:space="preserve"> projekta </w:t>
            </w:r>
            <w:r w:rsidR="00925F57">
              <w:rPr>
                <w:rFonts w:eastAsiaTheme="minorHAnsi"/>
              </w:rPr>
              <w:t>6</w:t>
            </w:r>
            <w:r>
              <w:rPr>
                <w:rFonts w:eastAsiaTheme="minorHAnsi"/>
              </w:rPr>
              <w:t>. punktu.</w:t>
            </w:r>
          </w:p>
        </w:tc>
      </w:tr>
      <w:tr w:rsidR="00975021" w:rsidRPr="000D0380" w14:paraId="05EC2498" w14:textId="77777777" w:rsidTr="003434E6">
        <w:trPr>
          <w:trHeight w:val="418"/>
        </w:trPr>
        <w:tc>
          <w:tcPr>
            <w:tcW w:w="988" w:type="dxa"/>
            <w:tcBorders>
              <w:top w:val="single" w:sz="4" w:space="0" w:color="auto"/>
              <w:left w:val="single" w:sz="4" w:space="0" w:color="auto"/>
              <w:bottom w:val="single" w:sz="4" w:space="0" w:color="auto"/>
              <w:right w:val="single" w:sz="4" w:space="0" w:color="auto"/>
            </w:tcBorders>
          </w:tcPr>
          <w:p w14:paraId="541F7494" w14:textId="77777777" w:rsidR="00975021" w:rsidRPr="000D0380" w:rsidRDefault="00975021" w:rsidP="00F1131F">
            <w:pPr>
              <w:pStyle w:val="naisc"/>
              <w:numPr>
                <w:ilvl w:val="0"/>
                <w:numId w:val="9"/>
              </w:numPr>
              <w:tabs>
                <w:tab w:val="left" w:pos="360"/>
              </w:tabs>
              <w:spacing w:before="0" w:after="0"/>
              <w:jc w:val="both"/>
              <w:rPr>
                <w:lang w:eastAsia="en-US"/>
              </w:rPr>
            </w:pPr>
          </w:p>
        </w:tc>
        <w:tc>
          <w:tcPr>
            <w:tcW w:w="2697" w:type="dxa"/>
            <w:tcBorders>
              <w:top w:val="single" w:sz="4" w:space="0" w:color="auto"/>
              <w:left w:val="single" w:sz="4" w:space="0" w:color="auto"/>
              <w:bottom w:val="single" w:sz="4" w:space="0" w:color="auto"/>
              <w:right w:val="single" w:sz="4" w:space="0" w:color="auto"/>
            </w:tcBorders>
          </w:tcPr>
          <w:p w14:paraId="55C828D5" w14:textId="662DEBAE" w:rsidR="00975021" w:rsidRPr="000D0380" w:rsidRDefault="00975021" w:rsidP="00975021">
            <w:pPr>
              <w:jc w:val="both"/>
              <w:rPr>
                <w:rFonts w:eastAsiaTheme="minorHAnsi"/>
                <w:lang w:eastAsia="en-US"/>
              </w:rPr>
            </w:pPr>
            <w:r w:rsidRPr="000D0380">
              <w:rPr>
                <w:rFonts w:eastAsiaTheme="minorHAnsi"/>
                <w:lang w:eastAsia="en-US"/>
              </w:rPr>
              <w:t>Informatīvā ziņojuma 4. sadaļa “2014-2020. gada plānošanas perioda ES fondu investīciju aktualitātes” apakšsadaļa “Komunikācijas aktivitātes 2019. gadā”.</w:t>
            </w:r>
          </w:p>
        </w:tc>
        <w:tc>
          <w:tcPr>
            <w:tcW w:w="6660" w:type="dxa"/>
            <w:tcBorders>
              <w:top w:val="single" w:sz="4" w:space="0" w:color="auto"/>
              <w:left w:val="single" w:sz="4" w:space="0" w:color="auto"/>
              <w:bottom w:val="single" w:sz="4" w:space="0" w:color="auto"/>
              <w:right w:val="single" w:sz="4" w:space="0" w:color="auto"/>
            </w:tcBorders>
          </w:tcPr>
          <w:p w14:paraId="14D83C11" w14:textId="13FB24D0" w:rsidR="00975021" w:rsidRPr="000D0380" w:rsidRDefault="00975021" w:rsidP="00975021">
            <w:pPr>
              <w:widowControl w:val="0"/>
              <w:jc w:val="both"/>
              <w:rPr>
                <w:b/>
                <w:lang w:eastAsia="en-US"/>
              </w:rPr>
            </w:pPr>
            <w:r w:rsidRPr="000D0380">
              <w:rPr>
                <w:b/>
                <w:lang w:eastAsia="en-US"/>
              </w:rPr>
              <w:t>Iebildums</w:t>
            </w:r>
          </w:p>
          <w:p w14:paraId="0AB75ABD" w14:textId="6457BC1B" w:rsidR="00975021" w:rsidRPr="000D0380" w:rsidRDefault="00975021" w:rsidP="00975021">
            <w:pPr>
              <w:widowControl w:val="0"/>
              <w:jc w:val="both"/>
              <w:rPr>
                <w:b/>
                <w:lang w:eastAsia="en-US"/>
              </w:rPr>
            </w:pPr>
            <w:r w:rsidRPr="000D0380">
              <w:rPr>
                <w:b/>
                <w:lang w:eastAsia="en-US"/>
              </w:rPr>
              <w:t>Valsts kanceleja</w:t>
            </w:r>
          </w:p>
          <w:p w14:paraId="7AD34FC3" w14:textId="3720C70C" w:rsidR="00975021" w:rsidRPr="000D0380" w:rsidRDefault="00975021" w:rsidP="00975021">
            <w:pPr>
              <w:widowControl w:val="0"/>
              <w:jc w:val="both"/>
              <w:rPr>
                <w:b/>
                <w:lang w:eastAsia="en-US"/>
              </w:rPr>
            </w:pPr>
            <w:r w:rsidRPr="000D0380">
              <w:t>Lūdzam izvērtēt informatīvā ziņojuma projekta sadaļā “Komunikācijas aktivitātes 2019. gadā” sniegto informāciju saistībā ar CFLA aprakstītajām komunikācijas aktivitātēm. Saskaņā ar Eiropas Savienības struktūrfondu un Kohēzijas fonda 2014.—2020. gada plānošanas perioda vadības likuma 12. panta 3. daļas 6. punktā noteikto sadarbības iestādei ir pienākums konsultēt finansējuma saņēmējus par projektu īstenošanu, savukārt saskaņā ar šī paša panta 14. punktu sadarbības iestādei ir pienākums sniegt sabiedrībai informāciju, nodrošināt publicitāti un komunikāciju jautājumos, kas saistīti ar projektu īstenošanu. Informatīvā ziņojuma sadaļā tiek sniegta detalizēta informācija par CFLA aktivitātēm, kas galvenokārt skar finansējuma saņēmējus, bet nav tieši saistītas ar ES fondu komunikācijas mērķi veicināt sabiedrības izpratni par ES fondu īstenoto projektu ieguldījuma nozīmi. Mūsuprāt, arī Eiropas Savienības fondu atbildīgās iestādes 2019.gadā ir nodrošinājušas daudz nozīmīgus, uz sabiedrības informēšanu vērstus komunikācijas pasākumus, un ja nav iespējams šos pasākumus atspoguļot, tad nebūtu jāpievērš tik detalizēta vērība arī CFLA veiktajām aktivitātēm vai arī jāmeklē veiksmīgāks balanss un proporcija informācijas atspoguļošanā informatīvā ziņojuma projektā starp dažādu institūciju veiktajām komunikācijas un publicitātes aktivitātēm.</w:t>
            </w:r>
          </w:p>
        </w:tc>
        <w:tc>
          <w:tcPr>
            <w:tcW w:w="2700" w:type="dxa"/>
            <w:tcBorders>
              <w:top w:val="single" w:sz="4" w:space="0" w:color="auto"/>
              <w:left w:val="single" w:sz="4" w:space="0" w:color="auto"/>
              <w:bottom w:val="single" w:sz="4" w:space="0" w:color="auto"/>
              <w:right w:val="single" w:sz="4" w:space="0" w:color="auto"/>
            </w:tcBorders>
          </w:tcPr>
          <w:p w14:paraId="7F80EEA6" w14:textId="233EC546" w:rsidR="00975021" w:rsidRPr="000D0380" w:rsidRDefault="00975021" w:rsidP="00975021">
            <w:pPr>
              <w:jc w:val="both"/>
              <w:rPr>
                <w:b/>
                <w:szCs w:val="22"/>
                <w:lang w:eastAsia="en-US"/>
              </w:rPr>
            </w:pPr>
            <w:r w:rsidRPr="000D0380">
              <w:rPr>
                <w:b/>
                <w:szCs w:val="22"/>
                <w:lang w:eastAsia="en-US"/>
              </w:rPr>
              <w:t>Ņemts vērā</w:t>
            </w:r>
            <w:r>
              <w:rPr>
                <w:b/>
                <w:szCs w:val="22"/>
                <w:lang w:eastAsia="en-US"/>
              </w:rPr>
              <w:t xml:space="preserve"> </w:t>
            </w:r>
            <w:r w:rsidRPr="003749C6">
              <w:rPr>
                <w:szCs w:val="22"/>
                <w:lang w:eastAsia="en-US"/>
              </w:rPr>
              <w:t>pēc būtības.</w:t>
            </w:r>
          </w:p>
          <w:p w14:paraId="17A7EA9F" w14:textId="058A8CA4" w:rsidR="00975021" w:rsidRPr="00CA04F0" w:rsidRDefault="00975021" w:rsidP="00975021">
            <w:pPr>
              <w:jc w:val="both"/>
              <w:rPr>
                <w:b/>
                <w:szCs w:val="22"/>
                <w:lang w:eastAsia="en-US"/>
              </w:rPr>
            </w:pPr>
            <w:r w:rsidRPr="00CA04F0">
              <w:rPr>
                <w:szCs w:val="22"/>
                <w:lang w:eastAsia="en-US"/>
              </w:rPr>
              <w:t>Iekļauta kopsavilkuma informācija par atbildīgo iestāžu komunikācijas aktivitātēm. Vienlaikus skaidrojam, ka netiek sniegta informācija, kas tika ietverta iepriekšējos</w:t>
            </w:r>
            <w:r>
              <w:rPr>
                <w:szCs w:val="22"/>
                <w:lang w:eastAsia="en-US"/>
              </w:rPr>
              <w:t xml:space="preserve"> informatīvajos, t.sk. ikmēneša</w:t>
            </w:r>
            <w:r w:rsidRPr="00CA04F0">
              <w:rPr>
                <w:szCs w:val="22"/>
                <w:lang w:eastAsia="en-US"/>
              </w:rPr>
              <w:t xml:space="preserve"> ziņojumos</w:t>
            </w:r>
            <w:r>
              <w:rPr>
                <w:szCs w:val="22"/>
                <w:lang w:eastAsia="en-US"/>
              </w:rPr>
              <w:t xml:space="preserve">, </w:t>
            </w:r>
            <w:r w:rsidRPr="00CA04F0">
              <w:rPr>
                <w:szCs w:val="22"/>
                <w:lang w:eastAsia="en-US"/>
              </w:rPr>
              <w:t>(</w:t>
            </w:r>
            <w:r>
              <w:rPr>
                <w:szCs w:val="22"/>
                <w:lang w:eastAsia="en-US"/>
              </w:rPr>
              <w:t xml:space="preserve">iepriekšējie ziņojumi atrodami tīmekļa vietnē </w:t>
            </w:r>
            <w:hyperlink r:id="rId11" w:history="1">
              <w:r w:rsidRPr="00EB6AAC">
                <w:rPr>
                  <w:rStyle w:val="Hyperlink"/>
                  <w:szCs w:val="22"/>
                  <w:lang w:eastAsia="en-US"/>
                </w:rPr>
                <w:t>www.esfond.lv</w:t>
              </w:r>
            </w:hyperlink>
            <w:r>
              <w:rPr>
                <w:szCs w:val="22"/>
                <w:lang w:eastAsia="en-US"/>
              </w:rPr>
              <w:t>, sadaļā “</w:t>
            </w:r>
            <w:r w:rsidRPr="00CC2D46">
              <w:rPr>
                <w:szCs w:val="22"/>
                <w:lang w:eastAsia="en-US"/>
              </w:rPr>
              <w:t>Ziņojumi Ministru kabinetam un Saeimas komisijām</w:t>
            </w:r>
            <w:r>
              <w:rPr>
                <w:szCs w:val="22"/>
                <w:lang w:eastAsia="en-US"/>
              </w:rPr>
              <w:t>”).</w:t>
            </w:r>
          </w:p>
        </w:tc>
        <w:tc>
          <w:tcPr>
            <w:tcW w:w="2259" w:type="dxa"/>
            <w:tcBorders>
              <w:top w:val="single" w:sz="4" w:space="0" w:color="auto"/>
              <w:left w:val="single" w:sz="4" w:space="0" w:color="auto"/>
              <w:bottom w:val="single" w:sz="4" w:space="0" w:color="auto"/>
              <w:right w:val="single" w:sz="4" w:space="0" w:color="auto"/>
            </w:tcBorders>
          </w:tcPr>
          <w:p w14:paraId="1FE09621" w14:textId="06D50207" w:rsidR="00975021" w:rsidRPr="000D0380" w:rsidRDefault="00975021" w:rsidP="00975021">
            <w:pPr>
              <w:pStyle w:val="Default"/>
              <w:jc w:val="both"/>
            </w:pPr>
            <w:r w:rsidRPr="000D0380">
              <w:t>Skatīt precizē</w:t>
            </w:r>
            <w:r>
              <w:t>tu i</w:t>
            </w:r>
            <w:r w:rsidRPr="000D0380">
              <w:t>nformatīvā ziņojuma</w:t>
            </w:r>
            <w:r>
              <w:t xml:space="preserve"> </w:t>
            </w:r>
            <w:r w:rsidRPr="000D0380">
              <w:rPr>
                <w:rFonts w:eastAsiaTheme="minorHAnsi"/>
              </w:rPr>
              <w:t>4.</w:t>
            </w:r>
            <w:r w:rsidR="00050824">
              <w:rPr>
                <w:rFonts w:eastAsiaTheme="minorHAnsi"/>
              </w:rPr>
              <w:t> </w:t>
            </w:r>
            <w:r w:rsidRPr="000D0380">
              <w:rPr>
                <w:rFonts w:eastAsiaTheme="minorHAnsi"/>
              </w:rPr>
              <w:t>sadaļ</w:t>
            </w:r>
            <w:r>
              <w:rPr>
                <w:rFonts w:eastAsiaTheme="minorHAnsi"/>
              </w:rPr>
              <w:t>u.</w:t>
            </w:r>
          </w:p>
        </w:tc>
      </w:tr>
      <w:tr w:rsidR="00975021" w:rsidRPr="000D0380" w14:paraId="14201C4D" w14:textId="77777777" w:rsidTr="006C2AE0">
        <w:trPr>
          <w:trHeight w:val="699"/>
        </w:trPr>
        <w:tc>
          <w:tcPr>
            <w:tcW w:w="988" w:type="dxa"/>
            <w:tcBorders>
              <w:top w:val="single" w:sz="4" w:space="0" w:color="auto"/>
              <w:left w:val="single" w:sz="4" w:space="0" w:color="auto"/>
              <w:bottom w:val="single" w:sz="4" w:space="0" w:color="auto"/>
              <w:right w:val="single" w:sz="4" w:space="0" w:color="auto"/>
            </w:tcBorders>
          </w:tcPr>
          <w:p w14:paraId="00A05EA5" w14:textId="77777777" w:rsidR="00975021" w:rsidRPr="000D0380" w:rsidRDefault="00975021" w:rsidP="00F1131F">
            <w:pPr>
              <w:pStyle w:val="naisc"/>
              <w:numPr>
                <w:ilvl w:val="0"/>
                <w:numId w:val="9"/>
              </w:numPr>
              <w:tabs>
                <w:tab w:val="left" w:pos="360"/>
              </w:tabs>
              <w:spacing w:before="0" w:after="0"/>
              <w:jc w:val="both"/>
              <w:rPr>
                <w:lang w:eastAsia="en-US"/>
              </w:rPr>
            </w:pPr>
          </w:p>
        </w:tc>
        <w:tc>
          <w:tcPr>
            <w:tcW w:w="2697" w:type="dxa"/>
            <w:tcBorders>
              <w:top w:val="single" w:sz="4" w:space="0" w:color="auto"/>
              <w:left w:val="single" w:sz="4" w:space="0" w:color="auto"/>
              <w:bottom w:val="single" w:sz="4" w:space="0" w:color="auto"/>
              <w:right w:val="single" w:sz="4" w:space="0" w:color="auto"/>
            </w:tcBorders>
          </w:tcPr>
          <w:p w14:paraId="235B9BF6" w14:textId="3A863F29" w:rsidR="00975021" w:rsidRPr="000D0380" w:rsidRDefault="00A60B5A" w:rsidP="00975021">
            <w:pPr>
              <w:jc w:val="both"/>
              <w:rPr>
                <w:rFonts w:eastAsiaTheme="minorHAnsi"/>
                <w:lang w:eastAsia="en-US"/>
              </w:rPr>
            </w:pPr>
            <w:r>
              <w:rPr>
                <w:rFonts w:eastAsiaTheme="minorHAnsi"/>
                <w:lang w:eastAsia="en-US"/>
              </w:rPr>
              <w:t>Informatīvā ziņojuma 5. sadaļa “EEZ/Norvēģijas </w:t>
            </w:r>
            <w:r w:rsidR="00975021" w:rsidRPr="000D0380">
              <w:rPr>
                <w:rFonts w:eastAsiaTheme="minorHAnsi"/>
                <w:lang w:eastAsia="en-US"/>
              </w:rPr>
              <w:t xml:space="preserve">FI investīciju progress” un informatīvā ziņojuma </w:t>
            </w:r>
            <w:r w:rsidR="00975021" w:rsidRPr="000D0380">
              <w:rPr>
                <w:rFonts w:eastAsiaTheme="minorHAnsi"/>
                <w:lang w:eastAsia="en-US"/>
              </w:rPr>
              <w:lastRenderedPageBreak/>
              <w:t>protokollēmuma 9.</w:t>
            </w:r>
            <w:r>
              <w:rPr>
                <w:rFonts w:eastAsiaTheme="minorHAnsi"/>
                <w:lang w:eastAsia="en-US"/>
              </w:rPr>
              <w:t> </w:t>
            </w:r>
            <w:r w:rsidR="003434E6">
              <w:rPr>
                <w:rFonts w:eastAsiaTheme="minorHAnsi"/>
                <w:lang w:eastAsia="en-US"/>
              </w:rPr>
              <w:t>punkts.</w:t>
            </w:r>
          </w:p>
        </w:tc>
        <w:tc>
          <w:tcPr>
            <w:tcW w:w="6660" w:type="dxa"/>
            <w:tcBorders>
              <w:top w:val="single" w:sz="4" w:space="0" w:color="auto"/>
              <w:left w:val="single" w:sz="4" w:space="0" w:color="auto"/>
              <w:bottom w:val="single" w:sz="4" w:space="0" w:color="auto"/>
              <w:right w:val="single" w:sz="4" w:space="0" w:color="auto"/>
            </w:tcBorders>
          </w:tcPr>
          <w:p w14:paraId="3C478355" w14:textId="6DDB22E6" w:rsidR="00975021" w:rsidRDefault="00975021" w:rsidP="00975021">
            <w:pPr>
              <w:widowControl w:val="0"/>
              <w:jc w:val="both"/>
              <w:rPr>
                <w:b/>
                <w:lang w:eastAsia="en-US"/>
              </w:rPr>
            </w:pPr>
            <w:r>
              <w:rPr>
                <w:b/>
                <w:lang w:eastAsia="en-US"/>
              </w:rPr>
              <w:lastRenderedPageBreak/>
              <w:t>Priekšlikums</w:t>
            </w:r>
          </w:p>
          <w:p w14:paraId="5A5923D0" w14:textId="392ADC05" w:rsidR="00975021" w:rsidRPr="000D0380" w:rsidRDefault="00975021" w:rsidP="00975021">
            <w:pPr>
              <w:widowControl w:val="0"/>
              <w:jc w:val="both"/>
              <w:rPr>
                <w:b/>
                <w:lang w:eastAsia="en-US"/>
              </w:rPr>
            </w:pPr>
            <w:r w:rsidRPr="000D0380">
              <w:rPr>
                <w:b/>
                <w:lang w:eastAsia="en-US"/>
              </w:rPr>
              <w:t>Tieslietu ministrija</w:t>
            </w:r>
          </w:p>
          <w:p w14:paraId="0C7AF2CE" w14:textId="28BFD940" w:rsidR="00975021" w:rsidRPr="000D0380" w:rsidRDefault="00975021" w:rsidP="00975021">
            <w:pPr>
              <w:widowControl w:val="0"/>
              <w:jc w:val="both"/>
              <w:rPr>
                <w:b/>
                <w:lang w:eastAsia="en-US"/>
              </w:rPr>
            </w:pPr>
            <w:r w:rsidRPr="000D0380">
              <w:rPr>
                <w:iCs/>
              </w:rPr>
              <w:t xml:space="preserve">Aicinām precizēt ziņojumā ietverto informāciju un lēmuma projekta 6. punktu, ietverot korektu atsauci uz Saprašanās memoranda par Eiropas Ekonomikas zonas finanšu instrumenta ieviešanu 2014. – 2021. gadā B pielikuma 2. punktu, nevis </w:t>
            </w:r>
            <w:r w:rsidRPr="000D0380">
              <w:rPr>
                <w:iCs/>
              </w:rPr>
              <w:lastRenderedPageBreak/>
              <w:t>2. pielikuma 2. punktu.</w:t>
            </w:r>
          </w:p>
        </w:tc>
        <w:tc>
          <w:tcPr>
            <w:tcW w:w="2700" w:type="dxa"/>
            <w:tcBorders>
              <w:top w:val="single" w:sz="4" w:space="0" w:color="auto"/>
              <w:left w:val="single" w:sz="4" w:space="0" w:color="auto"/>
              <w:bottom w:val="single" w:sz="4" w:space="0" w:color="auto"/>
              <w:right w:val="single" w:sz="4" w:space="0" w:color="auto"/>
            </w:tcBorders>
          </w:tcPr>
          <w:p w14:paraId="63C17DEC" w14:textId="13C723B8" w:rsidR="00975021" w:rsidRPr="000D0380" w:rsidRDefault="00975021" w:rsidP="00975021">
            <w:pPr>
              <w:jc w:val="both"/>
              <w:rPr>
                <w:b/>
                <w:szCs w:val="22"/>
                <w:lang w:eastAsia="en-US"/>
              </w:rPr>
            </w:pPr>
            <w:r w:rsidRPr="000D0380">
              <w:rPr>
                <w:b/>
                <w:szCs w:val="22"/>
                <w:lang w:eastAsia="en-US"/>
              </w:rPr>
              <w:lastRenderedPageBreak/>
              <w:t>Ņemts vērā.</w:t>
            </w:r>
          </w:p>
        </w:tc>
        <w:tc>
          <w:tcPr>
            <w:tcW w:w="2259" w:type="dxa"/>
            <w:tcBorders>
              <w:top w:val="single" w:sz="4" w:space="0" w:color="auto"/>
              <w:left w:val="single" w:sz="4" w:space="0" w:color="auto"/>
              <w:bottom w:val="single" w:sz="4" w:space="0" w:color="auto"/>
              <w:right w:val="single" w:sz="4" w:space="0" w:color="auto"/>
            </w:tcBorders>
          </w:tcPr>
          <w:p w14:paraId="4E35C4A6" w14:textId="3DE25FFA" w:rsidR="00975021" w:rsidRPr="000D0380" w:rsidRDefault="00975021" w:rsidP="00975021">
            <w:pPr>
              <w:pStyle w:val="Default"/>
              <w:jc w:val="both"/>
              <w:rPr>
                <w:color w:val="auto"/>
              </w:rPr>
            </w:pPr>
            <w:r w:rsidRPr="000D0380">
              <w:t>Skatīt precizē</w:t>
            </w:r>
            <w:r>
              <w:t xml:space="preserve">tu informatīvā ziņojuma </w:t>
            </w:r>
            <w:r w:rsidRPr="000D0380">
              <w:rPr>
                <w:rFonts w:eastAsiaTheme="minorHAnsi"/>
              </w:rPr>
              <w:t>5. sadaļ</w:t>
            </w:r>
            <w:r>
              <w:rPr>
                <w:rFonts w:eastAsiaTheme="minorHAnsi"/>
              </w:rPr>
              <w:t>u</w:t>
            </w:r>
            <w:r w:rsidRPr="000D0380">
              <w:rPr>
                <w:rFonts w:eastAsiaTheme="minorHAnsi"/>
              </w:rPr>
              <w:t xml:space="preserve"> </w:t>
            </w:r>
            <w:r>
              <w:t>un</w:t>
            </w:r>
            <w:r w:rsidRPr="000D0380">
              <w:t xml:space="preserve"> protokollēmuma</w:t>
            </w:r>
            <w:r>
              <w:t xml:space="preserve"> projekta</w:t>
            </w:r>
            <w:r w:rsidRPr="000D0380">
              <w:t xml:space="preserve"> </w:t>
            </w:r>
            <w:r w:rsidR="00925F57">
              <w:t>7</w:t>
            </w:r>
            <w:r w:rsidRPr="00F225CF">
              <w:t>.</w:t>
            </w:r>
            <w:r w:rsidR="00050824">
              <w:t> </w:t>
            </w:r>
            <w:r w:rsidRPr="00F225CF">
              <w:t>punktu</w:t>
            </w:r>
            <w:r w:rsidRPr="000D0380">
              <w:t>.</w:t>
            </w:r>
          </w:p>
          <w:p w14:paraId="1108A7F5" w14:textId="4028A1B8" w:rsidR="00975021" w:rsidRPr="000D0380" w:rsidRDefault="00975021" w:rsidP="00975021">
            <w:pPr>
              <w:pStyle w:val="Default"/>
              <w:jc w:val="both"/>
            </w:pPr>
          </w:p>
        </w:tc>
      </w:tr>
      <w:tr w:rsidR="00975021" w:rsidRPr="000D0380" w14:paraId="010CA264" w14:textId="77777777" w:rsidTr="006C2AE0">
        <w:trPr>
          <w:trHeight w:val="699"/>
        </w:trPr>
        <w:tc>
          <w:tcPr>
            <w:tcW w:w="988" w:type="dxa"/>
            <w:tcBorders>
              <w:top w:val="single" w:sz="4" w:space="0" w:color="auto"/>
              <w:left w:val="single" w:sz="4" w:space="0" w:color="auto"/>
              <w:bottom w:val="single" w:sz="4" w:space="0" w:color="auto"/>
              <w:right w:val="single" w:sz="4" w:space="0" w:color="auto"/>
            </w:tcBorders>
          </w:tcPr>
          <w:p w14:paraId="6DBA7C55" w14:textId="77777777" w:rsidR="00975021" w:rsidRPr="000D0380" w:rsidRDefault="00975021" w:rsidP="00F1131F">
            <w:pPr>
              <w:pStyle w:val="naisc"/>
              <w:numPr>
                <w:ilvl w:val="0"/>
                <w:numId w:val="9"/>
              </w:numPr>
              <w:tabs>
                <w:tab w:val="left" w:pos="360"/>
              </w:tabs>
              <w:spacing w:before="0" w:after="0"/>
              <w:jc w:val="both"/>
              <w:rPr>
                <w:lang w:eastAsia="en-US"/>
              </w:rPr>
            </w:pPr>
          </w:p>
        </w:tc>
        <w:tc>
          <w:tcPr>
            <w:tcW w:w="2697" w:type="dxa"/>
            <w:tcBorders>
              <w:top w:val="single" w:sz="4" w:space="0" w:color="auto"/>
              <w:left w:val="single" w:sz="4" w:space="0" w:color="auto"/>
              <w:bottom w:val="single" w:sz="4" w:space="0" w:color="auto"/>
              <w:right w:val="single" w:sz="4" w:space="0" w:color="auto"/>
            </w:tcBorders>
          </w:tcPr>
          <w:p w14:paraId="2640C1AA" w14:textId="73E4CCD0" w:rsidR="00975021" w:rsidRPr="000D0380" w:rsidRDefault="00A60B5A" w:rsidP="00975021">
            <w:pPr>
              <w:jc w:val="both"/>
              <w:rPr>
                <w:rFonts w:eastAsiaTheme="minorHAnsi"/>
                <w:lang w:eastAsia="en-US"/>
              </w:rPr>
            </w:pPr>
            <w:r>
              <w:rPr>
                <w:rFonts w:eastAsiaTheme="minorHAnsi"/>
                <w:lang w:eastAsia="en-US"/>
              </w:rPr>
              <w:t>Informatīvā ziņojuma 5. sadaļa “EEZ/Norvēģijas </w:t>
            </w:r>
            <w:r w:rsidR="00975021" w:rsidRPr="000D0380">
              <w:rPr>
                <w:rFonts w:eastAsiaTheme="minorHAnsi"/>
                <w:lang w:eastAsia="en-US"/>
              </w:rPr>
              <w:t>FI investīciju progress”.</w:t>
            </w:r>
          </w:p>
        </w:tc>
        <w:tc>
          <w:tcPr>
            <w:tcW w:w="6660" w:type="dxa"/>
            <w:tcBorders>
              <w:top w:val="single" w:sz="4" w:space="0" w:color="auto"/>
              <w:left w:val="single" w:sz="4" w:space="0" w:color="auto"/>
              <w:bottom w:val="single" w:sz="4" w:space="0" w:color="auto"/>
              <w:right w:val="single" w:sz="4" w:space="0" w:color="auto"/>
            </w:tcBorders>
          </w:tcPr>
          <w:p w14:paraId="4AA46CE7" w14:textId="067B322F" w:rsidR="00975021" w:rsidRDefault="00975021" w:rsidP="00975021">
            <w:pPr>
              <w:widowControl w:val="0"/>
              <w:jc w:val="both"/>
              <w:rPr>
                <w:b/>
                <w:lang w:eastAsia="en-US"/>
              </w:rPr>
            </w:pPr>
            <w:r>
              <w:rPr>
                <w:b/>
                <w:lang w:eastAsia="en-US"/>
              </w:rPr>
              <w:t>Priekšlikums</w:t>
            </w:r>
          </w:p>
          <w:p w14:paraId="62219B4C" w14:textId="1E94B9B1" w:rsidR="00975021" w:rsidRPr="000D0380" w:rsidRDefault="00975021" w:rsidP="00975021">
            <w:pPr>
              <w:widowControl w:val="0"/>
              <w:jc w:val="both"/>
              <w:rPr>
                <w:b/>
                <w:lang w:eastAsia="en-US"/>
              </w:rPr>
            </w:pPr>
            <w:r w:rsidRPr="000D0380">
              <w:rPr>
                <w:b/>
                <w:lang w:eastAsia="en-US"/>
              </w:rPr>
              <w:t>Tieslietu ministrija</w:t>
            </w:r>
          </w:p>
          <w:p w14:paraId="1D52691B" w14:textId="546C7B88" w:rsidR="00975021" w:rsidRPr="000D0380" w:rsidRDefault="00975021" w:rsidP="00975021">
            <w:pPr>
              <w:widowControl w:val="0"/>
              <w:jc w:val="both"/>
              <w:rPr>
                <w:b/>
                <w:lang w:eastAsia="en-US"/>
              </w:rPr>
            </w:pPr>
            <w:r w:rsidRPr="000D0380">
              <w:rPr>
                <w:iCs/>
              </w:rPr>
              <w:t>Lūdzam precīzi salāgot ziņojumā un lēmuma projektā minēto finansējuma apmēru (100 % donorvalstu finansējums) Eiropas Ekonomikas zonas un Norvēģijas finanšu instrumentu 2014.–2021. gada perioda divpusējās sadarbības fonda iniciatīvām</w:t>
            </w:r>
            <w:r w:rsidR="005E4024">
              <w:rPr>
                <w:iCs/>
              </w:rPr>
              <w:t>.</w:t>
            </w:r>
          </w:p>
        </w:tc>
        <w:tc>
          <w:tcPr>
            <w:tcW w:w="2700" w:type="dxa"/>
            <w:tcBorders>
              <w:top w:val="single" w:sz="4" w:space="0" w:color="auto"/>
              <w:left w:val="single" w:sz="4" w:space="0" w:color="auto"/>
              <w:bottom w:val="single" w:sz="4" w:space="0" w:color="auto"/>
              <w:right w:val="single" w:sz="4" w:space="0" w:color="auto"/>
            </w:tcBorders>
          </w:tcPr>
          <w:p w14:paraId="3497C743" w14:textId="77777777" w:rsidR="00975021" w:rsidRDefault="00975021" w:rsidP="00975021">
            <w:pPr>
              <w:jc w:val="both"/>
              <w:rPr>
                <w:b/>
                <w:szCs w:val="22"/>
                <w:lang w:eastAsia="en-US"/>
              </w:rPr>
            </w:pPr>
            <w:r w:rsidRPr="000D0380">
              <w:rPr>
                <w:b/>
                <w:szCs w:val="22"/>
                <w:lang w:eastAsia="en-US"/>
              </w:rPr>
              <w:t>Ņemts vērā.</w:t>
            </w:r>
          </w:p>
          <w:p w14:paraId="7D96FC2F" w14:textId="3F630AB5" w:rsidR="00975021" w:rsidRPr="00944BFD" w:rsidRDefault="00975021" w:rsidP="00975021">
            <w:pPr>
              <w:pStyle w:val="Default"/>
              <w:jc w:val="both"/>
              <w:rPr>
                <w:color w:val="auto"/>
              </w:rPr>
            </w:pPr>
            <w:r w:rsidRPr="00A25E10">
              <w:rPr>
                <w:szCs w:val="22"/>
              </w:rPr>
              <w:t>Ziņojumā finansējums izteikts</w:t>
            </w:r>
            <w:r>
              <w:rPr>
                <w:szCs w:val="22"/>
              </w:rPr>
              <w:t>,</w:t>
            </w:r>
            <w:r w:rsidRPr="00A25E10">
              <w:rPr>
                <w:szCs w:val="22"/>
              </w:rPr>
              <w:t xml:space="preserve"> </w:t>
            </w:r>
            <w:r>
              <w:rPr>
                <w:szCs w:val="22"/>
              </w:rPr>
              <w:t xml:space="preserve">noapaļojot, bet protokollēmuma projekta 9. punktā (mainīta numerācija) – veselos skaitļos. </w:t>
            </w:r>
          </w:p>
        </w:tc>
        <w:tc>
          <w:tcPr>
            <w:tcW w:w="2259" w:type="dxa"/>
            <w:tcBorders>
              <w:top w:val="single" w:sz="4" w:space="0" w:color="auto"/>
              <w:left w:val="single" w:sz="4" w:space="0" w:color="auto"/>
              <w:bottom w:val="single" w:sz="4" w:space="0" w:color="auto"/>
              <w:right w:val="single" w:sz="4" w:space="0" w:color="auto"/>
            </w:tcBorders>
          </w:tcPr>
          <w:p w14:paraId="24558CF0" w14:textId="3088C49A" w:rsidR="00975021" w:rsidRPr="005E4024" w:rsidRDefault="00975021" w:rsidP="00925F57">
            <w:pPr>
              <w:pStyle w:val="Default"/>
              <w:jc w:val="both"/>
              <w:rPr>
                <w:color w:val="auto"/>
              </w:rPr>
            </w:pPr>
            <w:r w:rsidRPr="000D0380">
              <w:t>Skatīt  precizē</w:t>
            </w:r>
            <w:r>
              <w:t>tu</w:t>
            </w:r>
            <w:r w:rsidRPr="000D0380">
              <w:t xml:space="preserve"> informatīvā ziņojuma</w:t>
            </w:r>
            <w:r>
              <w:t xml:space="preserve"> </w:t>
            </w:r>
            <w:r w:rsidRPr="000D0380">
              <w:rPr>
                <w:rFonts w:eastAsiaTheme="minorHAnsi"/>
              </w:rPr>
              <w:t>5. sadaļ</w:t>
            </w:r>
            <w:r>
              <w:rPr>
                <w:rFonts w:eastAsiaTheme="minorHAnsi"/>
              </w:rPr>
              <w:t xml:space="preserve">u un </w:t>
            </w:r>
            <w:r>
              <w:rPr>
                <w:szCs w:val="22"/>
              </w:rPr>
              <w:t xml:space="preserve"> protokollēmuma projekta </w:t>
            </w:r>
            <w:r w:rsidR="00925F57">
              <w:rPr>
                <w:szCs w:val="22"/>
              </w:rPr>
              <w:t>8</w:t>
            </w:r>
            <w:r>
              <w:rPr>
                <w:szCs w:val="22"/>
              </w:rPr>
              <w:t>. punktu (mainīta numerācija)</w:t>
            </w:r>
            <w:r>
              <w:t>.</w:t>
            </w:r>
          </w:p>
        </w:tc>
      </w:tr>
      <w:tr w:rsidR="00975021" w:rsidRPr="000D0380" w14:paraId="1D4D7AF7" w14:textId="77777777" w:rsidTr="006C2AE0">
        <w:trPr>
          <w:trHeight w:val="699"/>
        </w:trPr>
        <w:tc>
          <w:tcPr>
            <w:tcW w:w="988" w:type="dxa"/>
            <w:tcBorders>
              <w:top w:val="single" w:sz="4" w:space="0" w:color="auto"/>
              <w:left w:val="single" w:sz="4" w:space="0" w:color="auto"/>
              <w:bottom w:val="single" w:sz="4" w:space="0" w:color="auto"/>
              <w:right w:val="single" w:sz="4" w:space="0" w:color="auto"/>
            </w:tcBorders>
          </w:tcPr>
          <w:p w14:paraId="410E7B27" w14:textId="77777777" w:rsidR="00975021" w:rsidRPr="000D0380" w:rsidRDefault="00975021" w:rsidP="00F1131F">
            <w:pPr>
              <w:pStyle w:val="naisc"/>
              <w:numPr>
                <w:ilvl w:val="0"/>
                <w:numId w:val="9"/>
              </w:numPr>
              <w:tabs>
                <w:tab w:val="left" w:pos="360"/>
              </w:tabs>
              <w:spacing w:before="0" w:after="0"/>
              <w:jc w:val="both"/>
              <w:rPr>
                <w:lang w:eastAsia="en-US"/>
              </w:rPr>
            </w:pPr>
          </w:p>
        </w:tc>
        <w:tc>
          <w:tcPr>
            <w:tcW w:w="2697" w:type="dxa"/>
            <w:tcBorders>
              <w:top w:val="single" w:sz="4" w:space="0" w:color="auto"/>
              <w:left w:val="single" w:sz="4" w:space="0" w:color="auto"/>
              <w:bottom w:val="single" w:sz="4" w:space="0" w:color="auto"/>
              <w:right w:val="single" w:sz="4" w:space="0" w:color="auto"/>
            </w:tcBorders>
          </w:tcPr>
          <w:p w14:paraId="63974CA0" w14:textId="7781D36C" w:rsidR="00975021" w:rsidRPr="000D0380" w:rsidRDefault="00975021" w:rsidP="00975021">
            <w:pPr>
              <w:jc w:val="both"/>
              <w:rPr>
                <w:rFonts w:eastAsiaTheme="minorHAnsi"/>
                <w:lang w:eastAsia="en-US"/>
              </w:rPr>
            </w:pPr>
            <w:r w:rsidRPr="000D0380">
              <w:rPr>
                <w:rFonts w:eastAsiaTheme="minorHAnsi"/>
                <w:lang w:eastAsia="en-US"/>
              </w:rPr>
              <w:t>Informatīvā ziņojuma 6. sadaļa “Projektos konstatētie p</w:t>
            </w:r>
            <w:r w:rsidR="005E4024">
              <w:rPr>
                <w:rFonts w:eastAsiaTheme="minorHAnsi"/>
                <w:lang w:eastAsia="en-US"/>
              </w:rPr>
              <w:t>ārkāpumi ar finansiālu ietekmi”.</w:t>
            </w:r>
          </w:p>
        </w:tc>
        <w:tc>
          <w:tcPr>
            <w:tcW w:w="6660" w:type="dxa"/>
            <w:tcBorders>
              <w:top w:val="single" w:sz="4" w:space="0" w:color="auto"/>
              <w:left w:val="single" w:sz="4" w:space="0" w:color="auto"/>
              <w:bottom w:val="single" w:sz="4" w:space="0" w:color="auto"/>
              <w:right w:val="single" w:sz="4" w:space="0" w:color="auto"/>
            </w:tcBorders>
          </w:tcPr>
          <w:p w14:paraId="2361994D" w14:textId="0A7D7DDE" w:rsidR="00975021" w:rsidRPr="000D0380" w:rsidRDefault="00975021" w:rsidP="00975021">
            <w:pPr>
              <w:widowControl w:val="0"/>
              <w:jc w:val="both"/>
              <w:rPr>
                <w:b/>
                <w:lang w:eastAsia="en-US"/>
              </w:rPr>
            </w:pPr>
            <w:r w:rsidRPr="000D0380">
              <w:rPr>
                <w:b/>
                <w:lang w:eastAsia="en-US"/>
              </w:rPr>
              <w:t>Priekšlikums</w:t>
            </w:r>
          </w:p>
          <w:p w14:paraId="6B828DE9" w14:textId="050B73AE" w:rsidR="00975021" w:rsidRPr="000D0380" w:rsidRDefault="00975021" w:rsidP="00975021">
            <w:pPr>
              <w:widowControl w:val="0"/>
              <w:jc w:val="both"/>
              <w:rPr>
                <w:b/>
                <w:lang w:eastAsia="en-US"/>
              </w:rPr>
            </w:pPr>
            <w:r w:rsidRPr="000D0380">
              <w:rPr>
                <w:b/>
                <w:lang w:eastAsia="en-US"/>
              </w:rPr>
              <w:t>Latvijas Pašvaldību savienība</w:t>
            </w:r>
          </w:p>
          <w:p w14:paraId="0A8B1E4E" w14:textId="77777777" w:rsidR="00975021" w:rsidRPr="000D0380" w:rsidRDefault="00975021" w:rsidP="00975021">
            <w:pPr>
              <w:tabs>
                <w:tab w:val="left" w:pos="1275"/>
              </w:tabs>
              <w:jc w:val="both"/>
              <w:rPr>
                <w:lang w:eastAsia="en-US"/>
              </w:rPr>
            </w:pPr>
            <w:r w:rsidRPr="000D0380">
              <w:rPr>
                <w:lang w:eastAsia="en-US"/>
              </w:rPr>
              <w:t xml:space="preserve">Ņemot vērā ziņojumā norādīto, ka kumulatīvi no 2014.gada 1.janvāra līdz 2019.gada 31.decembrim valsts iestādēs ir konstatēti neatbilstoši veiktie izdevumi 15,8 miljonu eiro apmērā, t.sk. 2019.gada 2.pusgadā 9,3 miljonu eiro apmērā, lūdzam informēt kādā veidā tiek nodrošināts konkrēto valsts iestāžu budžeta atbilstošs samazinājums, kā tiek nodrošināta atgūšanas procedūras piemērošana? </w:t>
            </w:r>
          </w:p>
          <w:p w14:paraId="3E637E93" w14:textId="77777777" w:rsidR="00975021" w:rsidRPr="000D0380" w:rsidRDefault="00975021" w:rsidP="00975021">
            <w:pPr>
              <w:widowControl w:val="0"/>
              <w:jc w:val="both"/>
              <w:rPr>
                <w:b/>
                <w:lang w:eastAsia="en-US"/>
              </w:rPr>
            </w:pPr>
          </w:p>
        </w:tc>
        <w:tc>
          <w:tcPr>
            <w:tcW w:w="2700" w:type="dxa"/>
            <w:tcBorders>
              <w:top w:val="single" w:sz="4" w:space="0" w:color="auto"/>
              <w:left w:val="single" w:sz="4" w:space="0" w:color="auto"/>
              <w:bottom w:val="single" w:sz="4" w:space="0" w:color="auto"/>
              <w:right w:val="single" w:sz="4" w:space="0" w:color="auto"/>
            </w:tcBorders>
          </w:tcPr>
          <w:p w14:paraId="6F0C0535" w14:textId="7D9F834A" w:rsidR="00975021" w:rsidRDefault="00975021" w:rsidP="00975021">
            <w:pPr>
              <w:jc w:val="both"/>
              <w:rPr>
                <w:lang w:eastAsia="en-US"/>
              </w:rPr>
            </w:pPr>
            <w:r w:rsidRPr="002061C4">
              <w:rPr>
                <w:b/>
                <w:lang w:eastAsia="en-US"/>
              </w:rPr>
              <w:t>Ņemts vērā</w:t>
            </w:r>
            <w:r>
              <w:rPr>
                <w:b/>
                <w:lang w:eastAsia="en-US"/>
              </w:rPr>
              <w:t xml:space="preserve"> </w:t>
            </w:r>
            <w:r w:rsidRPr="002061C4">
              <w:rPr>
                <w:lang w:eastAsia="en-US"/>
              </w:rPr>
              <w:t>pēc būtības, t.sk. sniedzot</w:t>
            </w:r>
            <w:r>
              <w:rPr>
                <w:b/>
                <w:lang w:eastAsia="en-US"/>
              </w:rPr>
              <w:t xml:space="preserve"> </w:t>
            </w:r>
            <w:r w:rsidRPr="005E07DD">
              <w:rPr>
                <w:lang w:eastAsia="en-US"/>
              </w:rPr>
              <w:t>s</w:t>
            </w:r>
            <w:r>
              <w:rPr>
                <w:lang w:eastAsia="en-US"/>
              </w:rPr>
              <w:t>kaidrojumu.</w:t>
            </w:r>
          </w:p>
          <w:p w14:paraId="721A2B36" w14:textId="71C385C8" w:rsidR="00975021" w:rsidRPr="002061C4" w:rsidRDefault="00975021" w:rsidP="00975021">
            <w:pPr>
              <w:jc w:val="both"/>
            </w:pPr>
            <w:r w:rsidRPr="002061C4">
              <w:rPr>
                <w:lang w:eastAsia="en-US"/>
              </w:rPr>
              <w:t>“Ventspils Mūzikas vidusskola” projektos konstatētā neatbilstība ir kategorijā “aizdomas par krāpšanu vai organizēto noziedzību”, kur šobrīd ierosināts kriminālprocess.</w:t>
            </w:r>
            <w:r w:rsidRPr="002061C4">
              <w:t xml:space="preserve"> Līdz ar to šobrīd visa minētā summa ir atzīmēta kā neatbilstoša finansēšanai no ES fondu līdzekļiem. Neatbilstības apjoms pēc apstākļu noskaidrošanas var arī samazināties (šobrīd piemērota 100% korekcija visiem līgumiem, kas saistīti ar iespējamām krāpnieciskām darbībām). Šāda standarta </w:t>
            </w:r>
            <w:r w:rsidRPr="002061C4">
              <w:lastRenderedPageBreak/>
              <w:t xml:space="preserve">kārtība, rīcība ir piemērojama visos līdzīgos gadījumos saskaņā ar drošas finanšu pārvaldības un “nulles” tolerances pret krāpnieciskām darbībām principiem.  </w:t>
            </w:r>
          </w:p>
          <w:p w14:paraId="7F2F561E" w14:textId="7FAC9A42" w:rsidR="00975021" w:rsidRPr="002061C4" w:rsidRDefault="00975021" w:rsidP="00975021">
            <w:pPr>
              <w:pStyle w:val="tv213"/>
              <w:shd w:val="clear" w:color="auto" w:fill="FFFFFF"/>
              <w:spacing w:before="0" w:beforeAutospacing="0" w:after="0" w:afterAutospacing="0"/>
              <w:jc w:val="both"/>
            </w:pPr>
            <w:r w:rsidRPr="002061C4">
              <w:t>Kopumā no 15,8 milj. </w:t>
            </w:r>
            <w:r w:rsidRPr="002061C4">
              <w:rPr>
                <w:i/>
              </w:rPr>
              <w:t xml:space="preserve">euro </w:t>
            </w:r>
            <w:r w:rsidRPr="002061C4">
              <w:t>neatbilstoši veiktajiem izdevumiem, kas konstatēti valsts iestādēs, 6,6 milj. </w:t>
            </w:r>
            <w:r w:rsidRPr="002061C4">
              <w:rPr>
                <w:i/>
              </w:rPr>
              <w:t xml:space="preserve">euro </w:t>
            </w:r>
            <w:r w:rsidRPr="002061C4">
              <w:t>tiek uzskatīti par atgūtiem  piemērota saskaņā ar MK 2015. gada 8. septembra noteikumu Nr. 517 19. un 25. punktu.</w:t>
            </w:r>
          </w:p>
          <w:p w14:paraId="09FBAF30" w14:textId="09EB0611" w:rsidR="00975021" w:rsidRPr="002061C4" w:rsidRDefault="00975021" w:rsidP="00103358">
            <w:pPr>
              <w:pStyle w:val="tv213"/>
              <w:shd w:val="clear" w:color="auto" w:fill="FFFFFF"/>
              <w:spacing w:before="0" w:beforeAutospacing="0" w:after="0" w:afterAutospacing="0"/>
              <w:jc w:val="both"/>
              <w:rPr>
                <w:lang w:eastAsia="en-US"/>
              </w:rPr>
            </w:pPr>
            <w:r w:rsidRPr="002061C4">
              <w:t xml:space="preserve">Saskaņā ar VI vadlīniju Nr. 2.7. “Vadlīnijas par finanšu korekciju piemērošanu, ziņošanu par Eiropas Savienības fondu ieviešanā konstatētajām neatbilstībām, neatbilstoši veikto izdevumu atgūšanu 2014.-2020. gada plānošanas periodā” 22.punktu, CFLA samazina projekta attiecināmos izdevumus, neatbilstoši veikto </w:t>
            </w:r>
            <w:r w:rsidRPr="002061C4">
              <w:lastRenderedPageBreak/>
              <w:t>izdevumu apmērā.  Par budžeta programmas izpildi un rīcību pārkāpumu gadījumos atbild budžeta izpildītājs, valsts iestādes vadītājs</w:t>
            </w:r>
            <w:r>
              <w:t>,</w:t>
            </w:r>
            <w:r w:rsidRPr="002061C4">
              <w:t xml:space="preserve"> saskaņā ar</w:t>
            </w:r>
            <w:r w:rsidRPr="00103358">
              <w:t xml:space="preserve"> </w:t>
            </w:r>
            <w:r w:rsidRPr="00103358">
              <w:rPr>
                <w:bCs/>
              </w:rPr>
              <w:t>Likumu par budžetu un finanšu vadību un Valsts civildienesta ierēdņu disciplināratbildības likumu, kā arī citiem saistošiem dokumentiem.</w:t>
            </w:r>
            <w:r w:rsidRPr="00103358">
              <w:t xml:space="preserve">  </w:t>
            </w:r>
          </w:p>
        </w:tc>
        <w:tc>
          <w:tcPr>
            <w:tcW w:w="2259" w:type="dxa"/>
            <w:tcBorders>
              <w:top w:val="single" w:sz="4" w:space="0" w:color="auto"/>
              <w:left w:val="single" w:sz="4" w:space="0" w:color="auto"/>
              <w:bottom w:val="single" w:sz="4" w:space="0" w:color="auto"/>
              <w:right w:val="single" w:sz="4" w:space="0" w:color="auto"/>
            </w:tcBorders>
          </w:tcPr>
          <w:p w14:paraId="177C797D" w14:textId="3287A006" w:rsidR="00975021" w:rsidRPr="000D0380" w:rsidRDefault="00975021" w:rsidP="00975021">
            <w:pPr>
              <w:pStyle w:val="Default"/>
              <w:jc w:val="both"/>
            </w:pPr>
            <w:r w:rsidRPr="000D0380">
              <w:lastRenderedPageBreak/>
              <w:t xml:space="preserve">Skatīt </w:t>
            </w:r>
            <w:r>
              <w:rPr>
                <w:szCs w:val="22"/>
              </w:rPr>
              <w:t xml:space="preserve">skaidrojumu un </w:t>
            </w:r>
            <w:r w:rsidRPr="000D0380">
              <w:t xml:space="preserve"> precizē</w:t>
            </w:r>
            <w:r>
              <w:t>tu informatīvā ziņojuma 6</w:t>
            </w:r>
            <w:r w:rsidRPr="000D0380">
              <w:rPr>
                <w:rFonts w:eastAsiaTheme="minorHAnsi"/>
              </w:rPr>
              <w:t>. sadaļ</w:t>
            </w:r>
            <w:r>
              <w:rPr>
                <w:rFonts w:eastAsiaTheme="minorHAnsi"/>
              </w:rPr>
              <w:t>u.</w:t>
            </w:r>
          </w:p>
        </w:tc>
      </w:tr>
      <w:tr w:rsidR="00975021" w:rsidRPr="000D0380" w14:paraId="4AFD8AD1" w14:textId="77777777" w:rsidTr="006C2AE0">
        <w:trPr>
          <w:trHeight w:val="699"/>
        </w:trPr>
        <w:tc>
          <w:tcPr>
            <w:tcW w:w="988" w:type="dxa"/>
            <w:tcBorders>
              <w:top w:val="single" w:sz="4" w:space="0" w:color="auto"/>
              <w:left w:val="single" w:sz="4" w:space="0" w:color="auto"/>
              <w:bottom w:val="single" w:sz="4" w:space="0" w:color="auto"/>
              <w:right w:val="single" w:sz="4" w:space="0" w:color="auto"/>
            </w:tcBorders>
          </w:tcPr>
          <w:p w14:paraId="1C5713D7" w14:textId="77777777" w:rsidR="00975021" w:rsidRPr="000D0380" w:rsidRDefault="00975021" w:rsidP="00F1131F">
            <w:pPr>
              <w:pStyle w:val="naisc"/>
              <w:numPr>
                <w:ilvl w:val="0"/>
                <w:numId w:val="9"/>
              </w:numPr>
              <w:tabs>
                <w:tab w:val="left" w:pos="360"/>
              </w:tabs>
              <w:spacing w:before="0" w:after="0"/>
              <w:jc w:val="both"/>
              <w:rPr>
                <w:lang w:eastAsia="en-US"/>
              </w:rPr>
            </w:pPr>
          </w:p>
        </w:tc>
        <w:tc>
          <w:tcPr>
            <w:tcW w:w="2697" w:type="dxa"/>
            <w:tcBorders>
              <w:top w:val="single" w:sz="4" w:space="0" w:color="auto"/>
              <w:left w:val="single" w:sz="4" w:space="0" w:color="auto"/>
              <w:bottom w:val="single" w:sz="4" w:space="0" w:color="auto"/>
              <w:right w:val="single" w:sz="4" w:space="0" w:color="auto"/>
            </w:tcBorders>
          </w:tcPr>
          <w:p w14:paraId="53A0D2E1" w14:textId="56219302" w:rsidR="00975021" w:rsidRPr="000D0380" w:rsidRDefault="00A60B5A" w:rsidP="00975021">
            <w:pPr>
              <w:jc w:val="both"/>
              <w:rPr>
                <w:rFonts w:eastAsiaTheme="minorHAnsi"/>
                <w:lang w:eastAsia="en-US"/>
              </w:rPr>
            </w:pPr>
            <w:r>
              <w:rPr>
                <w:rFonts w:eastAsiaTheme="minorHAnsi"/>
                <w:lang w:eastAsia="en-US"/>
              </w:rPr>
              <w:t>Informatīvā ziņojuma 6. </w:t>
            </w:r>
            <w:r w:rsidR="00975021" w:rsidRPr="000D0380">
              <w:rPr>
                <w:rFonts w:eastAsiaTheme="minorHAnsi"/>
                <w:lang w:eastAsia="en-US"/>
              </w:rPr>
              <w:t>sadaļa</w:t>
            </w:r>
            <w:r w:rsidR="00975021">
              <w:rPr>
                <w:rFonts w:eastAsiaTheme="minorHAnsi"/>
                <w:lang w:eastAsia="en-US"/>
              </w:rPr>
              <w:t>s</w:t>
            </w:r>
            <w:r w:rsidR="00975021" w:rsidRPr="000D0380">
              <w:rPr>
                <w:rFonts w:eastAsiaTheme="minorHAnsi"/>
                <w:lang w:eastAsia="en-US"/>
              </w:rPr>
              <w:t xml:space="preserve"> “Projektos konstatētie pārkāpumi ar finansiālu ietekmi”</w:t>
            </w:r>
            <w:r w:rsidR="00975021" w:rsidRPr="003B59B5">
              <w:rPr>
                <w:rFonts w:eastAsiaTheme="minorHAnsi"/>
                <w:lang w:eastAsia="en-US"/>
              </w:rPr>
              <w:t xml:space="preserve"> apakšsadaļa “CFLA neatbilstības lēmumu pārskatīšana”</w:t>
            </w:r>
            <w:r w:rsidR="005E4024">
              <w:rPr>
                <w:rFonts w:eastAsiaTheme="minorHAnsi"/>
                <w:lang w:eastAsia="en-US"/>
              </w:rPr>
              <w:t>.</w:t>
            </w:r>
          </w:p>
        </w:tc>
        <w:tc>
          <w:tcPr>
            <w:tcW w:w="6660" w:type="dxa"/>
            <w:tcBorders>
              <w:top w:val="single" w:sz="4" w:space="0" w:color="auto"/>
              <w:left w:val="single" w:sz="4" w:space="0" w:color="auto"/>
              <w:bottom w:val="single" w:sz="4" w:space="0" w:color="auto"/>
              <w:right w:val="single" w:sz="4" w:space="0" w:color="auto"/>
            </w:tcBorders>
          </w:tcPr>
          <w:p w14:paraId="1E02C28D" w14:textId="66699A4A" w:rsidR="00975021" w:rsidRPr="000D0380" w:rsidRDefault="00975021" w:rsidP="00975021">
            <w:pPr>
              <w:widowControl w:val="0"/>
              <w:tabs>
                <w:tab w:val="left" w:pos="3540"/>
              </w:tabs>
              <w:jc w:val="both"/>
              <w:rPr>
                <w:b/>
                <w:lang w:eastAsia="en-US"/>
              </w:rPr>
            </w:pPr>
            <w:r w:rsidRPr="000D0380">
              <w:rPr>
                <w:b/>
                <w:lang w:eastAsia="en-US"/>
              </w:rPr>
              <w:t>Priekšlikums</w:t>
            </w:r>
          </w:p>
          <w:p w14:paraId="35037B01" w14:textId="75216A95" w:rsidR="00975021" w:rsidRPr="000D0380" w:rsidRDefault="00975021" w:rsidP="00975021">
            <w:pPr>
              <w:widowControl w:val="0"/>
              <w:tabs>
                <w:tab w:val="left" w:pos="3540"/>
              </w:tabs>
              <w:jc w:val="both"/>
              <w:rPr>
                <w:b/>
                <w:lang w:eastAsia="en-US"/>
              </w:rPr>
            </w:pPr>
            <w:r w:rsidRPr="000D0380">
              <w:rPr>
                <w:b/>
                <w:lang w:eastAsia="en-US"/>
              </w:rPr>
              <w:t>Latvijas Pašvaldību savienība</w:t>
            </w:r>
          </w:p>
          <w:p w14:paraId="14029542" w14:textId="77777777" w:rsidR="00975021" w:rsidRDefault="00975021" w:rsidP="00975021">
            <w:pPr>
              <w:widowControl w:val="0"/>
              <w:jc w:val="both"/>
            </w:pPr>
            <w:r w:rsidRPr="000D0380">
              <w:t>Ņemot vērā ziņojuma 38.lpp (sadaļā CFLA neatbilstības lēmumu pārskatīšana) norādīto, ka konkrētos izdevumus vairs neesot iespējams atkārtoti deklarēt Eiropas komisijai, LPS ieskatā finansiālā atbildība ir jāuzliek Centrālajai finanšu līgumu aģentūrai, nevis ‘jāatlīdzina’ no 2014.-2020. virssaistībām. LPS vērš uzmanību uz faktu, ka ziņojumā aprakstītajai ‘jaunajai’ kārtībai bija jābūt noteiktai jau sen, ja vien CFLA konstatēto iespējamo neatbilstību izvērtēšanas kārtība būtu tikusi izveidota sistēmiski, ņemot vērā faktu, ka kļūdīties var arī CFLA, ne tikai projektu iesniedzēji, ko konkrētie ziņojumā aprakstītie piemēri tikai apliecina.</w:t>
            </w:r>
          </w:p>
          <w:p w14:paraId="5BC6EF48" w14:textId="4BD317DA" w:rsidR="00975021" w:rsidRPr="000D0380" w:rsidRDefault="00975021" w:rsidP="00975021">
            <w:pPr>
              <w:widowControl w:val="0"/>
              <w:jc w:val="both"/>
              <w:rPr>
                <w:b/>
                <w:lang w:eastAsia="en-US"/>
              </w:rPr>
            </w:pPr>
            <w:r w:rsidRPr="000D0380">
              <w:t>Vienlaikus lūdzam precizēt Ministru kabineta protokollēmuma projekta 5.punktu svītrojot tekstu: “par Centrālās finanšu un līgumu aģentūras atkārtoti pārvērtētiem neatbilstoši veiktiem izdevumiem” un to aizstājot ar tekstu šādā redakcijā: “par atceltajiem Centrālās finanšu un līgumu aģentūras lēmumiem par finanšu korekcijas piemērošanu.” Ir nepieņemami protokollēmuma projektā šķietami radīt iespaidu it kā virssaistību palielināšanas iemesls nebūtu CFLA lēmumu un procedūru kļūdainums, kas ir atzīts pašā ziņojumā.</w:t>
            </w:r>
          </w:p>
        </w:tc>
        <w:tc>
          <w:tcPr>
            <w:tcW w:w="2700" w:type="dxa"/>
            <w:tcBorders>
              <w:top w:val="single" w:sz="4" w:space="0" w:color="auto"/>
              <w:left w:val="single" w:sz="4" w:space="0" w:color="auto"/>
              <w:bottom w:val="single" w:sz="4" w:space="0" w:color="auto"/>
              <w:right w:val="single" w:sz="4" w:space="0" w:color="auto"/>
            </w:tcBorders>
          </w:tcPr>
          <w:p w14:paraId="79D68C6C" w14:textId="7D6E61AC" w:rsidR="00975021" w:rsidRPr="002061C4" w:rsidRDefault="00975021" w:rsidP="00975021">
            <w:pPr>
              <w:jc w:val="both"/>
              <w:rPr>
                <w:lang w:eastAsia="en-US"/>
              </w:rPr>
            </w:pPr>
            <w:r>
              <w:rPr>
                <w:b/>
              </w:rPr>
              <w:t>Ņ</w:t>
            </w:r>
            <w:r w:rsidRPr="002061C4">
              <w:rPr>
                <w:b/>
              </w:rPr>
              <w:t>emts vērā</w:t>
            </w:r>
            <w:r>
              <w:rPr>
                <w:b/>
              </w:rPr>
              <w:t xml:space="preserve"> </w:t>
            </w:r>
            <w:r w:rsidRPr="002061C4">
              <w:rPr>
                <w:lang w:eastAsia="en-US"/>
              </w:rPr>
              <w:t xml:space="preserve"> pēc būtības,</w:t>
            </w:r>
            <w:r>
              <w:rPr>
                <w:lang w:eastAsia="en-US"/>
              </w:rPr>
              <w:t xml:space="preserve"> veikti  </w:t>
            </w:r>
            <w:r w:rsidRPr="002061C4">
              <w:t>redakcionāli precizējumi</w:t>
            </w:r>
            <w:r>
              <w:t>,</w:t>
            </w:r>
            <w:r w:rsidRPr="002061C4">
              <w:rPr>
                <w:lang w:eastAsia="en-US"/>
              </w:rPr>
              <w:t xml:space="preserve"> t.sk. sniedzot</w:t>
            </w:r>
            <w:r>
              <w:rPr>
                <w:b/>
                <w:lang w:eastAsia="en-US"/>
              </w:rPr>
              <w:t xml:space="preserve"> s</w:t>
            </w:r>
            <w:r>
              <w:rPr>
                <w:lang w:eastAsia="en-US"/>
              </w:rPr>
              <w:t xml:space="preserve">kaidrojumu. </w:t>
            </w:r>
            <w:r w:rsidRPr="002061C4">
              <w:t xml:space="preserve">CFLA sākotnējos lēmumus pieņēma, balstoties uz tās rīcībā esošo </w:t>
            </w:r>
            <w:r>
              <w:t xml:space="preserve">finansējuma saņēmēja sniegto </w:t>
            </w:r>
            <w:r w:rsidRPr="002061C4">
              <w:t>informāciju</w:t>
            </w:r>
            <w:r>
              <w:t xml:space="preserve"> un tā brīža konstatējamos faktus</w:t>
            </w:r>
            <w:r w:rsidRPr="002061C4">
              <w:t xml:space="preserve">. </w:t>
            </w:r>
            <w:r>
              <w:t>I</w:t>
            </w:r>
            <w:r w:rsidRPr="002061C4">
              <w:t xml:space="preserve">evērojot CFLA iekšējās procedūras, visos gadījumos pirms lēmuma pieņemšanas CFLA lūdz finansējuma saņēmēju sniegt savus skaidrojumus par konstatētajiem pārkāpumiem, dodot finansējuma saņēmējiem iespēju iesniegt visu to </w:t>
            </w:r>
            <w:r w:rsidRPr="002061C4">
              <w:lastRenderedPageBreak/>
              <w:t xml:space="preserve">rīcībā esošo informāciju. </w:t>
            </w:r>
            <w:r>
              <w:t>Ā</w:t>
            </w:r>
            <w:r w:rsidRPr="002061C4">
              <w:t xml:space="preserve">rējie normatīvie akti nosaka termiņus, kādā izskatāmi un apstiprināmi finansējuma saņēmēju iesniegtie projektu maksājuma pieprasījumi, CFLA līdz maksājuma pieprasījuma apstiprināšanai ir pienākums pieņemt lēmumu arī par tiem neatbilstoši veiktajiem izdevumiem, kuri iekļauti konkrētajā maksājuma pieprasījumā. Tā kā konkrētajā gadījumā maksājuma pieprasījuma izskatīšanas laikā finansējuma saņēmējs neizmantoja doto iespēju iesniegt pierādījumus tam, ka konstatētie pārkāpumi nav būtiski, CFLA bija jāpieņem lēmums par neatbilstības konstatēšanu un finanšu korekcijas piemērošanu, balstoties uz tās rīcībā esošo informāciju. Tikai </w:t>
            </w:r>
            <w:r>
              <w:t xml:space="preserve">pēc salīdzinoši ilga laika </w:t>
            </w:r>
            <w:r w:rsidRPr="002061C4">
              <w:t xml:space="preserve">pēc lēmuma pieņemšanas finansējuma saņēmēji veica nepieciešamās </w:t>
            </w:r>
            <w:r w:rsidRPr="002061C4">
              <w:lastRenderedPageBreak/>
              <w:t xml:space="preserve">darbības, lai sagādātu pierādījumus tam, ka pārkāpumiem nav tik būtiskas sekas, kas vienā gadījumā CFLA ļāva samazināt piemērojamās finanšu korekcijas apmēru, bet otrā gadījumā konstatēt, ka pārkāpumam ir formāls raksturs, kas ļauj nepiemērot finanšu korekciju. Tādējādi secināms, ka tieši finansējuma saņēmēju neaktīvā rīcība, nesniedzot visu to rīcībā esošo informāciju pirms lēmuma pieņemšanas, bija iemesls, kādēļ sākotnējie CFLA lēmumi bija jāpārskata. </w:t>
            </w:r>
            <w:r>
              <w:t xml:space="preserve">Turpmāk šādu situāciju iestāšanās risks tiek mazināts atbilstoši informatīvajā ziņojumā skaidrotajai jaunai kārtībai, kas primāri prasīs disciplinētu noteiktā ierobežotā laikā rīcību/reakciju no finansējuma saņēmēju puses. Pēc CFLA dotā termiņa, kad mainītus lēmumus nedrīkst </w:t>
            </w:r>
            <w:r>
              <w:lastRenderedPageBreak/>
              <w:t>deklarēt EK, CFLA neatbilstību lēmumus nedrīkst pārskatīt par labu finansējuma saņēmējiem, balstoties uz finansējuma saņēmēju novēloti sniegtu papildu informāciju.</w:t>
            </w:r>
          </w:p>
        </w:tc>
        <w:tc>
          <w:tcPr>
            <w:tcW w:w="2259" w:type="dxa"/>
            <w:tcBorders>
              <w:top w:val="single" w:sz="4" w:space="0" w:color="auto"/>
              <w:left w:val="single" w:sz="4" w:space="0" w:color="auto"/>
              <w:bottom w:val="single" w:sz="4" w:space="0" w:color="auto"/>
              <w:right w:val="single" w:sz="4" w:space="0" w:color="auto"/>
            </w:tcBorders>
          </w:tcPr>
          <w:p w14:paraId="44E6A50D" w14:textId="18545D8B" w:rsidR="00975021" w:rsidRPr="000D0380" w:rsidRDefault="00975021" w:rsidP="00975021">
            <w:pPr>
              <w:pStyle w:val="Default"/>
              <w:jc w:val="both"/>
              <w:rPr>
                <w:color w:val="auto"/>
              </w:rPr>
            </w:pPr>
            <w:r w:rsidRPr="000D0380">
              <w:lastRenderedPageBreak/>
              <w:t>Skatīt precizē</w:t>
            </w:r>
            <w:r>
              <w:t>tu informatīvā ziņojuma 6</w:t>
            </w:r>
            <w:r w:rsidRPr="000D0380">
              <w:rPr>
                <w:rFonts w:eastAsiaTheme="minorHAnsi"/>
              </w:rPr>
              <w:t>. sadaļ</w:t>
            </w:r>
            <w:r>
              <w:rPr>
                <w:rFonts w:eastAsiaTheme="minorHAnsi"/>
              </w:rPr>
              <w:t>u</w:t>
            </w:r>
            <w:r w:rsidRPr="000D0380">
              <w:rPr>
                <w:rFonts w:eastAsiaTheme="minorHAnsi"/>
              </w:rPr>
              <w:t xml:space="preserve"> </w:t>
            </w:r>
            <w:r>
              <w:t>un</w:t>
            </w:r>
            <w:r w:rsidRPr="000D0380">
              <w:t xml:space="preserve"> protokollēmuma</w:t>
            </w:r>
            <w:r>
              <w:t xml:space="preserve"> projekta</w:t>
            </w:r>
            <w:r w:rsidRPr="000D0380">
              <w:t xml:space="preserve"> </w:t>
            </w:r>
            <w:r w:rsidR="00925F57">
              <w:t>9</w:t>
            </w:r>
            <w:r w:rsidRPr="00F225CF">
              <w:t>.</w:t>
            </w:r>
            <w:r w:rsidR="00050824">
              <w:t> </w:t>
            </w:r>
            <w:r w:rsidRPr="00F225CF">
              <w:t>punktu</w:t>
            </w:r>
            <w:r w:rsidRPr="000D0380">
              <w:t>.</w:t>
            </w:r>
          </w:p>
          <w:p w14:paraId="36D60152" w14:textId="465EFB97" w:rsidR="00975021" w:rsidRPr="000D0380" w:rsidRDefault="00975021" w:rsidP="00975021">
            <w:pPr>
              <w:pStyle w:val="Default"/>
              <w:jc w:val="both"/>
            </w:pPr>
          </w:p>
        </w:tc>
      </w:tr>
      <w:tr w:rsidR="00975021" w:rsidRPr="000D0380" w14:paraId="492B9C57" w14:textId="77777777" w:rsidTr="006C2AE0">
        <w:trPr>
          <w:trHeight w:val="394"/>
        </w:trPr>
        <w:tc>
          <w:tcPr>
            <w:tcW w:w="988" w:type="dxa"/>
            <w:tcBorders>
              <w:top w:val="single" w:sz="4" w:space="0" w:color="auto"/>
              <w:left w:val="single" w:sz="4" w:space="0" w:color="auto"/>
              <w:bottom w:val="single" w:sz="4" w:space="0" w:color="auto"/>
              <w:right w:val="single" w:sz="4" w:space="0" w:color="auto"/>
            </w:tcBorders>
          </w:tcPr>
          <w:p w14:paraId="2A5EDC69" w14:textId="0D728710" w:rsidR="00975021" w:rsidRPr="000D0380" w:rsidRDefault="00975021" w:rsidP="00F1131F">
            <w:pPr>
              <w:pStyle w:val="ListParagraph"/>
              <w:numPr>
                <w:ilvl w:val="0"/>
                <w:numId w:val="9"/>
              </w:numPr>
              <w:tabs>
                <w:tab w:val="left" w:pos="360"/>
              </w:tabs>
              <w:jc w:val="both"/>
              <w:rPr>
                <w:rFonts w:ascii="Times New Roman" w:hAnsi="Times New Roman"/>
              </w:rPr>
            </w:pPr>
          </w:p>
        </w:tc>
        <w:tc>
          <w:tcPr>
            <w:tcW w:w="2697" w:type="dxa"/>
            <w:tcBorders>
              <w:top w:val="single" w:sz="4" w:space="0" w:color="auto"/>
              <w:left w:val="single" w:sz="4" w:space="0" w:color="auto"/>
              <w:bottom w:val="single" w:sz="4" w:space="0" w:color="auto"/>
              <w:right w:val="single" w:sz="4" w:space="0" w:color="auto"/>
            </w:tcBorders>
          </w:tcPr>
          <w:p w14:paraId="143A7CE4" w14:textId="1F505A15" w:rsidR="00975021" w:rsidRPr="000D0380" w:rsidRDefault="00A60B5A" w:rsidP="00975021">
            <w:pPr>
              <w:jc w:val="both"/>
              <w:rPr>
                <w:rFonts w:eastAsiaTheme="minorHAnsi"/>
                <w:lang w:eastAsia="en-US"/>
              </w:rPr>
            </w:pPr>
            <w:r>
              <w:rPr>
                <w:rFonts w:eastAsiaTheme="minorHAnsi"/>
                <w:lang w:eastAsia="en-US"/>
              </w:rPr>
              <w:t>Informatīvā ziņojuma 6. </w:t>
            </w:r>
            <w:r w:rsidR="00975021" w:rsidRPr="000D0380">
              <w:rPr>
                <w:rFonts w:eastAsiaTheme="minorHAnsi"/>
                <w:lang w:eastAsia="en-US"/>
              </w:rPr>
              <w:t>sadaļa</w:t>
            </w:r>
            <w:r w:rsidR="00975021">
              <w:rPr>
                <w:rFonts w:eastAsiaTheme="minorHAnsi"/>
                <w:lang w:eastAsia="en-US"/>
              </w:rPr>
              <w:t>s</w:t>
            </w:r>
            <w:r w:rsidR="00975021" w:rsidRPr="000D0380">
              <w:rPr>
                <w:rFonts w:eastAsiaTheme="minorHAnsi"/>
                <w:lang w:eastAsia="en-US"/>
              </w:rPr>
              <w:t xml:space="preserve"> “Projektos konstatētie pārkāpumi ar finansiālu ietekmi”</w:t>
            </w:r>
            <w:r w:rsidR="00975021" w:rsidRPr="003B59B5">
              <w:rPr>
                <w:rFonts w:eastAsiaTheme="minorHAnsi"/>
                <w:lang w:eastAsia="en-US"/>
              </w:rPr>
              <w:t xml:space="preserve"> apakšsadaļa “CFLA neatbilstības lēmumu pārskatīšana”</w:t>
            </w:r>
            <w:r w:rsidR="005E4024">
              <w:rPr>
                <w:rFonts w:eastAsiaTheme="minorHAnsi"/>
                <w:lang w:eastAsia="en-US"/>
              </w:rPr>
              <w:t>.</w:t>
            </w:r>
          </w:p>
        </w:tc>
        <w:tc>
          <w:tcPr>
            <w:tcW w:w="6660" w:type="dxa"/>
            <w:tcBorders>
              <w:top w:val="single" w:sz="4" w:space="0" w:color="auto"/>
              <w:left w:val="single" w:sz="4" w:space="0" w:color="auto"/>
              <w:bottom w:val="single" w:sz="4" w:space="0" w:color="auto"/>
              <w:right w:val="single" w:sz="4" w:space="0" w:color="auto"/>
            </w:tcBorders>
          </w:tcPr>
          <w:p w14:paraId="7A833420" w14:textId="0D420AAC" w:rsidR="00975021" w:rsidRPr="000D0380" w:rsidRDefault="00975021" w:rsidP="00975021">
            <w:pPr>
              <w:widowControl w:val="0"/>
              <w:jc w:val="both"/>
              <w:rPr>
                <w:b/>
              </w:rPr>
            </w:pPr>
            <w:r w:rsidRPr="000D0380">
              <w:rPr>
                <w:b/>
              </w:rPr>
              <w:t>Iebildums</w:t>
            </w:r>
          </w:p>
          <w:p w14:paraId="25A19C26" w14:textId="1AEC68F5" w:rsidR="00975021" w:rsidRPr="000D0380" w:rsidRDefault="00975021" w:rsidP="00975021">
            <w:pPr>
              <w:widowControl w:val="0"/>
              <w:jc w:val="both"/>
              <w:rPr>
                <w:b/>
              </w:rPr>
            </w:pPr>
            <w:r w:rsidRPr="000D0380">
              <w:rPr>
                <w:b/>
              </w:rPr>
              <w:t>Latvijas Lielo pilsētu asociācija</w:t>
            </w:r>
          </w:p>
          <w:p w14:paraId="0D57B89C" w14:textId="2495AB90" w:rsidR="00975021" w:rsidRPr="000D0380" w:rsidRDefault="00975021" w:rsidP="00975021">
            <w:pPr>
              <w:widowControl w:val="0"/>
              <w:jc w:val="both"/>
              <w:rPr>
                <w:lang w:eastAsia="en-US"/>
              </w:rPr>
            </w:pPr>
            <w:r w:rsidRPr="000D0380">
              <w:rPr>
                <w:lang w:eastAsia="en-US"/>
              </w:rPr>
              <w:t>CFLA ar 21.06.2019. gada vēstuli A/S “Daugavpils Satiksme” atcēla 26.03.2019. pieņemto lēmumu Nr. 39-2-40.2/2959 par konstatēto neatbilstību un ieturētos i</w:t>
            </w:r>
            <w:r>
              <w:rPr>
                <w:lang w:eastAsia="en-US"/>
              </w:rPr>
              <w:t xml:space="preserve">zdevumus atmaksāja 17 753.27 </w:t>
            </w:r>
            <w:r w:rsidRPr="003530CD">
              <w:rPr>
                <w:i/>
                <w:lang w:eastAsia="en-US"/>
              </w:rPr>
              <w:t>euro</w:t>
            </w:r>
            <w:r w:rsidRPr="000D0380">
              <w:rPr>
                <w:lang w:eastAsia="en-US"/>
              </w:rPr>
              <w:t xml:space="preserve"> apmērā.</w:t>
            </w:r>
          </w:p>
          <w:p w14:paraId="7952022C" w14:textId="0A5C3A2F" w:rsidR="00975021" w:rsidRPr="000D0380" w:rsidRDefault="00975021" w:rsidP="00975021">
            <w:pPr>
              <w:widowControl w:val="0"/>
              <w:jc w:val="both"/>
              <w:rPr>
                <w:lang w:eastAsia="en-US"/>
              </w:rPr>
            </w:pPr>
            <w:r w:rsidRPr="000D0380">
              <w:rPr>
                <w:lang w:eastAsia="en-US"/>
              </w:rPr>
              <w:t xml:space="preserve">Informatīvā ziņojuma 38. lpp. ir norādīts, ka A/S “Daugavpils Satiksme” tika piemērota korekcija 5324,15 </w:t>
            </w:r>
            <w:r w:rsidRPr="0086260A">
              <w:rPr>
                <w:i/>
                <w:lang w:eastAsia="en-US"/>
              </w:rPr>
              <w:t>euro</w:t>
            </w:r>
            <w:r w:rsidRPr="000D0380">
              <w:rPr>
                <w:lang w:eastAsia="en-US"/>
              </w:rPr>
              <w:t xml:space="preserve"> apmērā. Minētā summa neatbilst faktiski ieturētās </w:t>
            </w:r>
            <w:r>
              <w:rPr>
                <w:lang w:eastAsia="en-US"/>
              </w:rPr>
              <w:t xml:space="preserve">summas apjomam jeb 17 753.27 </w:t>
            </w:r>
            <w:r w:rsidRPr="003530CD">
              <w:rPr>
                <w:i/>
                <w:lang w:eastAsia="en-US"/>
              </w:rPr>
              <w:t>euro</w:t>
            </w:r>
            <w:r w:rsidRPr="000D0380">
              <w:rPr>
                <w:lang w:eastAsia="en-US"/>
              </w:rPr>
              <w:t xml:space="preserve">. A/S “Daugavpils Satiksme” realizētā projekta ietvaros Nr. 4.5.1.1/16/I/003 ietvaros netika piemērota finanšu korekcija 5324,15 </w:t>
            </w:r>
            <w:r w:rsidRPr="0086260A">
              <w:rPr>
                <w:i/>
                <w:lang w:eastAsia="en-US"/>
              </w:rPr>
              <w:t>euro</w:t>
            </w:r>
            <w:r w:rsidRPr="000D0380">
              <w:rPr>
                <w:lang w:eastAsia="en-US"/>
              </w:rPr>
              <w:t xml:space="preserve"> apmērā. Minētā projekta ietvaros tika ieturēti izdevumi MP Nr.9 - 17 753,27 </w:t>
            </w:r>
            <w:r w:rsidRPr="0086260A">
              <w:rPr>
                <w:i/>
                <w:lang w:eastAsia="en-US"/>
              </w:rPr>
              <w:t>euro</w:t>
            </w:r>
            <w:r w:rsidRPr="000D0380">
              <w:rPr>
                <w:lang w:eastAsia="en-US"/>
              </w:rPr>
              <w:t xml:space="preserve"> apmērā, kas tika atmaksāti pēc A/S “Daugavpils Satiksme” skaidrojumu sniegšanas.</w:t>
            </w:r>
          </w:p>
          <w:p w14:paraId="2FE10CD2" w14:textId="77777777" w:rsidR="00975021" w:rsidRPr="000D0380" w:rsidRDefault="00975021" w:rsidP="00975021">
            <w:pPr>
              <w:widowControl w:val="0"/>
              <w:jc w:val="both"/>
              <w:rPr>
                <w:b/>
                <w:lang w:eastAsia="en-US"/>
              </w:rPr>
            </w:pPr>
          </w:p>
          <w:p w14:paraId="22D5FB04" w14:textId="4F0CC23A" w:rsidR="00975021" w:rsidRPr="000D0380" w:rsidRDefault="00975021" w:rsidP="00975021">
            <w:pPr>
              <w:widowControl w:val="0"/>
              <w:jc w:val="both"/>
              <w:rPr>
                <w:b/>
                <w:lang w:eastAsia="en-US"/>
              </w:rPr>
            </w:pPr>
            <w:r w:rsidRPr="000D0380">
              <w:rPr>
                <w:lang w:eastAsia="en-US"/>
              </w:rPr>
              <w:t>Lūdzam neiekļaut minēto informāciju informatīvā ziņojuma projektā. Skatīt iepriekšējo Latvijas Lielo pilsētu asociācijas izteikto iebildumu.</w:t>
            </w:r>
          </w:p>
        </w:tc>
        <w:tc>
          <w:tcPr>
            <w:tcW w:w="2700" w:type="dxa"/>
            <w:tcBorders>
              <w:top w:val="single" w:sz="4" w:space="0" w:color="auto"/>
              <w:left w:val="single" w:sz="4" w:space="0" w:color="auto"/>
              <w:bottom w:val="single" w:sz="4" w:space="0" w:color="auto"/>
              <w:right w:val="single" w:sz="4" w:space="0" w:color="auto"/>
            </w:tcBorders>
          </w:tcPr>
          <w:p w14:paraId="060B872C" w14:textId="5673714D" w:rsidR="00975021" w:rsidRPr="00B50082" w:rsidRDefault="00975021" w:rsidP="00975021">
            <w:pPr>
              <w:jc w:val="both"/>
              <w:rPr>
                <w:b/>
                <w:lang w:eastAsia="en-US"/>
              </w:rPr>
            </w:pPr>
            <w:r w:rsidRPr="000D0380">
              <w:rPr>
                <w:b/>
                <w:lang w:eastAsia="en-US"/>
              </w:rPr>
              <w:t>Ņ</w:t>
            </w:r>
            <w:r>
              <w:rPr>
                <w:b/>
                <w:lang w:eastAsia="en-US"/>
              </w:rPr>
              <w:t xml:space="preserve">emts vērā </w:t>
            </w:r>
            <w:r w:rsidR="00294E10">
              <w:rPr>
                <w:lang w:eastAsia="en-US"/>
              </w:rPr>
              <w:t xml:space="preserve"> pēc būtības. V</w:t>
            </w:r>
            <w:r>
              <w:rPr>
                <w:lang w:eastAsia="en-US"/>
              </w:rPr>
              <w:t xml:space="preserve">eikti  </w:t>
            </w:r>
            <w:r w:rsidRPr="002061C4">
              <w:t>redakcionāli precizējumi</w:t>
            </w:r>
            <w:r>
              <w:t>,</w:t>
            </w:r>
            <w:r w:rsidRPr="002061C4">
              <w:rPr>
                <w:lang w:eastAsia="en-US"/>
              </w:rPr>
              <w:t xml:space="preserve"> t.sk. sniedzot</w:t>
            </w:r>
            <w:r>
              <w:rPr>
                <w:b/>
                <w:lang w:eastAsia="en-US"/>
              </w:rPr>
              <w:t xml:space="preserve"> s</w:t>
            </w:r>
            <w:r>
              <w:rPr>
                <w:lang w:eastAsia="en-US"/>
              </w:rPr>
              <w:t>kaidrojumu.</w:t>
            </w:r>
            <w:r>
              <w:rPr>
                <w:b/>
                <w:lang w:eastAsia="en-US"/>
              </w:rPr>
              <w:t xml:space="preserve"> </w:t>
            </w:r>
            <w:r w:rsidRPr="000D0380">
              <w:rPr>
                <w:szCs w:val="22"/>
                <w:lang w:eastAsia="en-US"/>
              </w:rPr>
              <w:t>CFLA ar 2019.</w:t>
            </w:r>
            <w:r>
              <w:rPr>
                <w:szCs w:val="22"/>
                <w:lang w:eastAsia="en-US"/>
              </w:rPr>
              <w:t xml:space="preserve"> gada 21.jūnija</w:t>
            </w:r>
            <w:r w:rsidRPr="000D0380">
              <w:rPr>
                <w:szCs w:val="22"/>
                <w:lang w:eastAsia="en-US"/>
              </w:rPr>
              <w:t xml:space="preserve"> vēstuli A/S “Daugavpils satiksme” atcēla 2019.</w:t>
            </w:r>
            <w:r>
              <w:rPr>
                <w:szCs w:val="22"/>
                <w:lang w:eastAsia="en-US"/>
              </w:rPr>
              <w:t>gada 26.marta</w:t>
            </w:r>
            <w:r w:rsidRPr="000D0380">
              <w:rPr>
                <w:szCs w:val="22"/>
                <w:lang w:eastAsia="en-US"/>
              </w:rPr>
              <w:t xml:space="preserve"> pieņemto lēmumu un finansējuma saņēmējam atmaksāja 17 756,27 </w:t>
            </w:r>
            <w:r w:rsidRPr="000D0380">
              <w:rPr>
                <w:i/>
                <w:szCs w:val="22"/>
                <w:lang w:eastAsia="en-US"/>
              </w:rPr>
              <w:t>euro</w:t>
            </w:r>
            <w:r w:rsidRPr="000D0380">
              <w:rPr>
                <w:szCs w:val="22"/>
                <w:lang w:eastAsia="en-US"/>
              </w:rPr>
              <w:t>.</w:t>
            </w:r>
            <w:r>
              <w:rPr>
                <w:szCs w:val="22"/>
                <w:lang w:eastAsia="en-US"/>
              </w:rPr>
              <w:t xml:space="preserve"> N</w:t>
            </w:r>
            <w:r w:rsidRPr="000D0380">
              <w:rPr>
                <w:szCs w:val="22"/>
                <w:lang w:eastAsia="en-US"/>
              </w:rPr>
              <w:t>eatbilstības atcelšanas brīdī EK jau bija deklarēts maksājuma pieprasījums Nr. 6 ar samazinātu apjomu</w:t>
            </w:r>
            <w:r>
              <w:rPr>
                <w:szCs w:val="22"/>
                <w:lang w:eastAsia="en-US"/>
              </w:rPr>
              <w:t>. S</w:t>
            </w:r>
            <w:r w:rsidRPr="000D0380">
              <w:rPr>
                <w:szCs w:val="22"/>
                <w:lang w:eastAsia="en-US"/>
              </w:rPr>
              <w:t>askaņā ar EK skaidrojumiem</w:t>
            </w:r>
            <w:r w:rsidRPr="000D0380">
              <w:rPr>
                <w:rStyle w:val="FootnoteReference"/>
                <w:szCs w:val="22"/>
                <w:lang w:eastAsia="en-US"/>
              </w:rPr>
              <w:footnoteReference w:id="8"/>
            </w:r>
            <w:r w:rsidRPr="000D0380">
              <w:rPr>
                <w:szCs w:val="22"/>
                <w:lang w:eastAsia="en-US"/>
              </w:rPr>
              <w:t xml:space="preserve"> no maksāj</w:t>
            </w:r>
            <w:r>
              <w:rPr>
                <w:szCs w:val="22"/>
                <w:lang w:eastAsia="en-US"/>
              </w:rPr>
              <w:t>uma pieprasījuma Nr. 6 izņemtos</w:t>
            </w:r>
            <w:r w:rsidRPr="000D0380">
              <w:rPr>
                <w:szCs w:val="22"/>
                <w:lang w:eastAsia="en-US"/>
              </w:rPr>
              <w:t xml:space="preserve"> izdevumus 5 324,15 </w:t>
            </w:r>
            <w:r w:rsidRPr="000D0380">
              <w:rPr>
                <w:i/>
                <w:szCs w:val="22"/>
                <w:lang w:eastAsia="en-US"/>
              </w:rPr>
              <w:t>euro</w:t>
            </w:r>
            <w:r>
              <w:rPr>
                <w:i/>
                <w:szCs w:val="22"/>
                <w:lang w:eastAsia="en-US"/>
              </w:rPr>
              <w:t>,</w:t>
            </w:r>
            <w:r w:rsidRPr="00F65D56">
              <w:rPr>
                <w:szCs w:val="22"/>
                <w:lang w:eastAsia="en-US"/>
              </w:rPr>
              <w:t xml:space="preserve"> kas vēlāk </w:t>
            </w:r>
            <w:r w:rsidRPr="00F65D56">
              <w:rPr>
                <w:szCs w:val="22"/>
                <w:lang w:eastAsia="en-US"/>
              </w:rPr>
              <w:lastRenderedPageBreak/>
              <w:t>tika atzīti par atbilstošiem,</w:t>
            </w:r>
            <w:r w:rsidRPr="000D0380">
              <w:rPr>
                <w:szCs w:val="22"/>
                <w:lang w:eastAsia="en-US"/>
              </w:rPr>
              <w:t xml:space="preserve"> vairs atkārtoti nav iespējams deklarēt EK. </w:t>
            </w:r>
            <w:r>
              <w:rPr>
                <w:szCs w:val="22"/>
                <w:lang w:eastAsia="en-US"/>
              </w:rPr>
              <w:t>M</w:t>
            </w:r>
            <w:r w:rsidRPr="000D0380">
              <w:rPr>
                <w:szCs w:val="22"/>
                <w:lang w:eastAsia="en-US"/>
              </w:rPr>
              <w:t>aksājuma pieprasījumi Nr. 7, Nr. 8 un Nr. 9 vēl nebija deklarēti EK, t</w:t>
            </w:r>
            <w:r>
              <w:rPr>
                <w:szCs w:val="22"/>
                <w:lang w:eastAsia="en-US"/>
              </w:rPr>
              <w:t>ādēļ</w:t>
            </w:r>
            <w:r w:rsidRPr="000D0380">
              <w:rPr>
                <w:szCs w:val="22"/>
                <w:lang w:eastAsia="en-US"/>
              </w:rPr>
              <w:t xml:space="preserve"> neatbilstības anulēšana neietekmē šajos maksājuma pieprasījumos iekļautos izdevumus</w:t>
            </w:r>
            <w:r>
              <w:rPr>
                <w:szCs w:val="22"/>
                <w:lang w:eastAsia="en-US"/>
              </w:rPr>
              <w:t>, tie</w:t>
            </w:r>
            <w:r w:rsidRPr="000D0380">
              <w:rPr>
                <w:szCs w:val="22"/>
                <w:lang w:eastAsia="en-US"/>
              </w:rPr>
              <w:t xml:space="preserve"> </w:t>
            </w:r>
            <w:r>
              <w:rPr>
                <w:szCs w:val="22"/>
                <w:lang w:eastAsia="en-US"/>
              </w:rPr>
              <w:t>tiek</w:t>
            </w:r>
            <w:r w:rsidRPr="000D0380">
              <w:rPr>
                <w:szCs w:val="22"/>
                <w:lang w:eastAsia="en-US"/>
              </w:rPr>
              <w:t xml:space="preserve"> deklarēt</w:t>
            </w:r>
            <w:r>
              <w:rPr>
                <w:szCs w:val="22"/>
                <w:lang w:eastAsia="en-US"/>
              </w:rPr>
              <w:t>i</w:t>
            </w:r>
            <w:r w:rsidRPr="000D0380">
              <w:rPr>
                <w:szCs w:val="22"/>
                <w:lang w:eastAsia="en-US"/>
              </w:rPr>
              <w:t xml:space="preserve"> EK.</w:t>
            </w:r>
          </w:p>
        </w:tc>
        <w:tc>
          <w:tcPr>
            <w:tcW w:w="2259" w:type="dxa"/>
            <w:tcBorders>
              <w:top w:val="single" w:sz="4" w:space="0" w:color="auto"/>
              <w:left w:val="single" w:sz="4" w:space="0" w:color="auto"/>
              <w:bottom w:val="single" w:sz="4" w:space="0" w:color="auto"/>
              <w:right w:val="single" w:sz="4" w:space="0" w:color="auto"/>
            </w:tcBorders>
          </w:tcPr>
          <w:p w14:paraId="034D57BD" w14:textId="6A51506F" w:rsidR="00975021" w:rsidRPr="000D0380" w:rsidRDefault="00975021" w:rsidP="00975021">
            <w:pPr>
              <w:pStyle w:val="Default"/>
              <w:jc w:val="both"/>
              <w:rPr>
                <w:szCs w:val="22"/>
              </w:rPr>
            </w:pPr>
            <w:r w:rsidRPr="000D0380">
              <w:lastRenderedPageBreak/>
              <w:t>Skatīt precizē</w:t>
            </w:r>
            <w:r>
              <w:t>tu informatīvā ziņojuma 6</w:t>
            </w:r>
            <w:r w:rsidRPr="000D0380">
              <w:rPr>
                <w:rFonts w:eastAsiaTheme="minorHAnsi"/>
              </w:rPr>
              <w:t>. sadaļ</w:t>
            </w:r>
            <w:r>
              <w:rPr>
                <w:rFonts w:eastAsiaTheme="minorHAnsi"/>
              </w:rPr>
              <w:t>u.</w:t>
            </w:r>
          </w:p>
        </w:tc>
      </w:tr>
      <w:tr w:rsidR="00975021" w:rsidRPr="000D0380" w14:paraId="7CB3BB5D" w14:textId="77777777" w:rsidTr="006C2AE0">
        <w:trPr>
          <w:trHeight w:val="394"/>
        </w:trPr>
        <w:tc>
          <w:tcPr>
            <w:tcW w:w="988" w:type="dxa"/>
            <w:tcBorders>
              <w:top w:val="single" w:sz="4" w:space="0" w:color="auto"/>
              <w:left w:val="single" w:sz="4" w:space="0" w:color="auto"/>
              <w:bottom w:val="single" w:sz="4" w:space="0" w:color="auto"/>
              <w:right w:val="single" w:sz="4" w:space="0" w:color="auto"/>
            </w:tcBorders>
          </w:tcPr>
          <w:p w14:paraId="7014095F" w14:textId="77777777" w:rsidR="00975021" w:rsidRPr="000D0380" w:rsidRDefault="00975021" w:rsidP="00F1131F">
            <w:pPr>
              <w:pStyle w:val="ListParagraph"/>
              <w:numPr>
                <w:ilvl w:val="0"/>
                <w:numId w:val="9"/>
              </w:numPr>
              <w:tabs>
                <w:tab w:val="left" w:pos="360"/>
              </w:tabs>
              <w:jc w:val="both"/>
              <w:rPr>
                <w:rFonts w:ascii="Times New Roman" w:hAnsi="Times New Roman"/>
              </w:rPr>
            </w:pPr>
          </w:p>
        </w:tc>
        <w:tc>
          <w:tcPr>
            <w:tcW w:w="2697" w:type="dxa"/>
            <w:tcBorders>
              <w:top w:val="single" w:sz="4" w:space="0" w:color="auto"/>
              <w:left w:val="single" w:sz="4" w:space="0" w:color="auto"/>
              <w:bottom w:val="single" w:sz="4" w:space="0" w:color="auto"/>
              <w:right w:val="single" w:sz="4" w:space="0" w:color="auto"/>
            </w:tcBorders>
          </w:tcPr>
          <w:p w14:paraId="4BB86F0E" w14:textId="113DF9C9" w:rsidR="00975021" w:rsidRPr="000D0380" w:rsidRDefault="00975021" w:rsidP="00975021">
            <w:pPr>
              <w:pStyle w:val="CommentText"/>
              <w:spacing w:before="60"/>
              <w:rPr>
                <w:sz w:val="24"/>
                <w:szCs w:val="24"/>
                <w:highlight w:val="green"/>
              </w:rPr>
            </w:pPr>
            <w:r w:rsidRPr="000D0380">
              <w:rPr>
                <w:rFonts w:eastAsiaTheme="minorHAnsi"/>
                <w:sz w:val="24"/>
                <w:szCs w:val="24"/>
              </w:rPr>
              <w:t>Informatīvā ziņojuma 7.</w:t>
            </w:r>
            <w:r w:rsidR="00A60B5A">
              <w:rPr>
                <w:rFonts w:eastAsiaTheme="minorHAnsi"/>
                <w:sz w:val="24"/>
                <w:szCs w:val="24"/>
              </w:rPr>
              <w:t> </w:t>
            </w:r>
            <w:r w:rsidRPr="000D0380">
              <w:rPr>
                <w:rFonts w:eastAsiaTheme="minorHAnsi"/>
                <w:sz w:val="24"/>
                <w:szCs w:val="24"/>
              </w:rPr>
              <w:t>sadaļa “ES fondu vadības un kontroles sistēma”.</w:t>
            </w:r>
          </w:p>
        </w:tc>
        <w:tc>
          <w:tcPr>
            <w:tcW w:w="6660" w:type="dxa"/>
            <w:tcBorders>
              <w:top w:val="single" w:sz="4" w:space="0" w:color="auto"/>
              <w:left w:val="single" w:sz="4" w:space="0" w:color="auto"/>
              <w:bottom w:val="single" w:sz="4" w:space="0" w:color="auto"/>
              <w:right w:val="single" w:sz="4" w:space="0" w:color="auto"/>
            </w:tcBorders>
          </w:tcPr>
          <w:p w14:paraId="2084B004" w14:textId="6BD85E8B" w:rsidR="00975021" w:rsidRPr="000D0380" w:rsidRDefault="00975021" w:rsidP="00975021">
            <w:pPr>
              <w:widowControl w:val="0"/>
              <w:jc w:val="both"/>
              <w:rPr>
                <w:b/>
                <w:lang w:eastAsia="en-US"/>
              </w:rPr>
            </w:pPr>
            <w:r w:rsidRPr="000D0380">
              <w:rPr>
                <w:b/>
                <w:lang w:eastAsia="en-US"/>
              </w:rPr>
              <w:t>Iebildums</w:t>
            </w:r>
          </w:p>
          <w:p w14:paraId="393CEC7F" w14:textId="1C5C6B14" w:rsidR="00975021" w:rsidRPr="000D0380" w:rsidRDefault="00975021" w:rsidP="00975021">
            <w:pPr>
              <w:widowControl w:val="0"/>
              <w:jc w:val="both"/>
              <w:rPr>
                <w:b/>
                <w:lang w:eastAsia="en-US"/>
              </w:rPr>
            </w:pPr>
            <w:r w:rsidRPr="000D0380">
              <w:rPr>
                <w:b/>
                <w:lang w:eastAsia="en-US"/>
              </w:rPr>
              <w:t>Labklājības ministrija</w:t>
            </w:r>
          </w:p>
          <w:p w14:paraId="7D895B80" w14:textId="71498E3D" w:rsidR="00975021" w:rsidRPr="000D0380" w:rsidRDefault="00975021" w:rsidP="00975021">
            <w:pPr>
              <w:pStyle w:val="NoSpacing"/>
              <w:jc w:val="both"/>
              <w:rPr>
                <w:rFonts w:ascii="Times New Roman" w:hAnsi="Times New Roman" w:cs="Times New Roman"/>
                <w:b/>
                <w:sz w:val="24"/>
                <w:szCs w:val="24"/>
              </w:rPr>
            </w:pPr>
            <w:r w:rsidRPr="000D0380">
              <w:rPr>
                <w:rFonts w:ascii="Times New Roman" w:hAnsi="Times New Roman" w:cs="Times New Roman"/>
                <w:sz w:val="24"/>
                <w:szCs w:val="24"/>
              </w:rPr>
              <w:t>Lūdzam FM papildināt informatīvā ziņojuma 7.sadaļas “ES fondu vadības un kontroles sistēma” apakšsadaļā “ES fondu 2014.-2020.gada plānošanas periods” ietverto informāciju par deleģēto funkciju izpildi, ņemot vērā konstatētos procedurālos pārkāpumus 9.3.1.1.pasākuma “Pakalpojumu infrastruktūras attīstība deinstitucionalizācijas plānu īstenošanai” projekta iesnieguma vērtēšanā (proti, Liepājas pilsētas pašvaldības un Rēzeknes pilsētās pašvaldības gadījumā nav ievērots projektu iesniegumu atlases īstenošanas termiņš);</w:t>
            </w:r>
          </w:p>
        </w:tc>
        <w:tc>
          <w:tcPr>
            <w:tcW w:w="2700" w:type="dxa"/>
            <w:tcBorders>
              <w:top w:val="single" w:sz="4" w:space="0" w:color="auto"/>
              <w:left w:val="single" w:sz="4" w:space="0" w:color="auto"/>
              <w:bottom w:val="single" w:sz="4" w:space="0" w:color="auto"/>
              <w:right w:val="single" w:sz="4" w:space="0" w:color="auto"/>
            </w:tcBorders>
          </w:tcPr>
          <w:p w14:paraId="19884187" w14:textId="09F176D9" w:rsidR="00975021" w:rsidRPr="000D0380" w:rsidRDefault="00975021" w:rsidP="00975021">
            <w:pPr>
              <w:jc w:val="both"/>
              <w:rPr>
                <w:b/>
                <w:lang w:eastAsia="en-US"/>
              </w:rPr>
            </w:pPr>
            <w:r w:rsidRPr="000D0380">
              <w:rPr>
                <w:b/>
                <w:lang w:eastAsia="en-US"/>
              </w:rPr>
              <w:t>Ņemts vērā</w:t>
            </w:r>
            <w:r w:rsidR="00294E10">
              <w:rPr>
                <w:b/>
                <w:lang w:eastAsia="en-US"/>
              </w:rPr>
              <w:t>.</w:t>
            </w:r>
          </w:p>
        </w:tc>
        <w:tc>
          <w:tcPr>
            <w:tcW w:w="2259" w:type="dxa"/>
            <w:tcBorders>
              <w:top w:val="single" w:sz="4" w:space="0" w:color="auto"/>
              <w:left w:val="single" w:sz="4" w:space="0" w:color="auto"/>
              <w:bottom w:val="single" w:sz="4" w:space="0" w:color="auto"/>
              <w:right w:val="single" w:sz="4" w:space="0" w:color="auto"/>
            </w:tcBorders>
          </w:tcPr>
          <w:p w14:paraId="1B468D9F" w14:textId="3200A514" w:rsidR="00975021" w:rsidRPr="000D0380" w:rsidRDefault="00975021" w:rsidP="00975021">
            <w:pPr>
              <w:pStyle w:val="Default"/>
              <w:shd w:val="clear" w:color="auto" w:fill="FFFFFF" w:themeFill="background1"/>
              <w:tabs>
                <w:tab w:val="left" w:pos="0"/>
              </w:tabs>
              <w:jc w:val="both"/>
            </w:pPr>
            <w:r w:rsidRPr="000D0380">
              <w:t>Skatīt precizē</w:t>
            </w:r>
            <w:r>
              <w:t>tu informatīvā ziņojuma 7</w:t>
            </w:r>
            <w:r w:rsidRPr="000D0380">
              <w:rPr>
                <w:rFonts w:eastAsiaTheme="minorHAnsi"/>
              </w:rPr>
              <w:t>. sadaļ</w:t>
            </w:r>
            <w:r>
              <w:rPr>
                <w:rFonts w:eastAsiaTheme="minorHAnsi"/>
              </w:rPr>
              <w:t>u.</w:t>
            </w:r>
          </w:p>
        </w:tc>
      </w:tr>
      <w:tr w:rsidR="00975021" w:rsidRPr="000D0380" w14:paraId="7B3E2A14" w14:textId="77777777" w:rsidTr="006C2AE0">
        <w:trPr>
          <w:trHeight w:val="394"/>
        </w:trPr>
        <w:tc>
          <w:tcPr>
            <w:tcW w:w="988" w:type="dxa"/>
            <w:tcBorders>
              <w:top w:val="single" w:sz="4" w:space="0" w:color="auto"/>
              <w:left w:val="single" w:sz="4" w:space="0" w:color="auto"/>
              <w:bottom w:val="single" w:sz="4" w:space="0" w:color="auto"/>
              <w:right w:val="single" w:sz="4" w:space="0" w:color="auto"/>
            </w:tcBorders>
          </w:tcPr>
          <w:p w14:paraId="0F983E74" w14:textId="1521FDA1" w:rsidR="00975021" w:rsidRDefault="00975021" w:rsidP="00F1131F">
            <w:pPr>
              <w:pStyle w:val="ListParagraph"/>
              <w:numPr>
                <w:ilvl w:val="0"/>
                <w:numId w:val="9"/>
              </w:numPr>
              <w:tabs>
                <w:tab w:val="left" w:pos="360"/>
              </w:tabs>
              <w:jc w:val="both"/>
              <w:rPr>
                <w:rFonts w:ascii="Times New Roman" w:hAnsi="Times New Roman"/>
              </w:rPr>
            </w:pPr>
          </w:p>
          <w:p w14:paraId="58BD129E" w14:textId="77777777" w:rsidR="00975021" w:rsidRPr="005C5E76" w:rsidRDefault="00975021" w:rsidP="00975021">
            <w:pPr>
              <w:rPr>
                <w:lang w:eastAsia="en-US"/>
              </w:rPr>
            </w:pPr>
          </w:p>
          <w:p w14:paraId="15ABF11E" w14:textId="77777777" w:rsidR="00975021" w:rsidRPr="005C5E76" w:rsidRDefault="00975021" w:rsidP="00975021">
            <w:pPr>
              <w:rPr>
                <w:lang w:eastAsia="en-US"/>
              </w:rPr>
            </w:pPr>
          </w:p>
          <w:p w14:paraId="43432592" w14:textId="77777777" w:rsidR="00975021" w:rsidRPr="005C5E76" w:rsidRDefault="00975021" w:rsidP="00975021">
            <w:pPr>
              <w:rPr>
                <w:lang w:eastAsia="en-US"/>
              </w:rPr>
            </w:pPr>
          </w:p>
          <w:p w14:paraId="1BC4930C" w14:textId="77777777" w:rsidR="00975021" w:rsidRPr="005C5E76" w:rsidRDefault="00975021" w:rsidP="00975021">
            <w:pPr>
              <w:rPr>
                <w:lang w:eastAsia="en-US"/>
              </w:rPr>
            </w:pPr>
          </w:p>
          <w:p w14:paraId="357676E3" w14:textId="77777777" w:rsidR="00975021" w:rsidRPr="005C5E76" w:rsidRDefault="00975021" w:rsidP="00975021">
            <w:pPr>
              <w:rPr>
                <w:lang w:eastAsia="en-US"/>
              </w:rPr>
            </w:pPr>
          </w:p>
          <w:p w14:paraId="66F4E7DF" w14:textId="77777777" w:rsidR="00975021" w:rsidRPr="005C5E76" w:rsidRDefault="00975021" w:rsidP="00975021">
            <w:pPr>
              <w:rPr>
                <w:lang w:eastAsia="en-US"/>
              </w:rPr>
            </w:pPr>
          </w:p>
          <w:p w14:paraId="59A03092" w14:textId="77777777" w:rsidR="00975021" w:rsidRPr="005C5E76" w:rsidRDefault="00975021" w:rsidP="00975021">
            <w:pPr>
              <w:rPr>
                <w:lang w:eastAsia="en-US"/>
              </w:rPr>
            </w:pPr>
          </w:p>
          <w:p w14:paraId="10924BEE" w14:textId="77777777" w:rsidR="00975021" w:rsidRPr="005C5E76" w:rsidRDefault="00975021" w:rsidP="00975021">
            <w:pPr>
              <w:rPr>
                <w:lang w:eastAsia="en-US"/>
              </w:rPr>
            </w:pPr>
          </w:p>
          <w:p w14:paraId="253958ED" w14:textId="77777777" w:rsidR="00975021" w:rsidRPr="005C5E76" w:rsidRDefault="00975021" w:rsidP="00975021">
            <w:pPr>
              <w:rPr>
                <w:lang w:eastAsia="en-US"/>
              </w:rPr>
            </w:pPr>
          </w:p>
          <w:p w14:paraId="60527815" w14:textId="77777777" w:rsidR="00975021" w:rsidRPr="005C5E76" w:rsidRDefault="00975021" w:rsidP="00975021">
            <w:pPr>
              <w:rPr>
                <w:lang w:eastAsia="en-US"/>
              </w:rPr>
            </w:pPr>
          </w:p>
          <w:p w14:paraId="5FC0F2FB" w14:textId="77777777" w:rsidR="00975021" w:rsidRPr="005C5E76" w:rsidRDefault="00975021" w:rsidP="00975021">
            <w:pPr>
              <w:rPr>
                <w:lang w:eastAsia="en-US"/>
              </w:rPr>
            </w:pPr>
          </w:p>
          <w:p w14:paraId="2D68047C" w14:textId="77777777" w:rsidR="00975021" w:rsidRPr="005C5E76" w:rsidRDefault="00975021" w:rsidP="00975021">
            <w:pPr>
              <w:rPr>
                <w:lang w:eastAsia="en-US"/>
              </w:rPr>
            </w:pPr>
          </w:p>
          <w:p w14:paraId="0C78FC8E" w14:textId="77777777" w:rsidR="00975021" w:rsidRPr="005C5E76" w:rsidRDefault="00975021" w:rsidP="00975021">
            <w:pPr>
              <w:rPr>
                <w:lang w:eastAsia="en-US"/>
              </w:rPr>
            </w:pPr>
          </w:p>
          <w:p w14:paraId="246DEE92" w14:textId="77777777" w:rsidR="00975021" w:rsidRPr="005C5E76" w:rsidRDefault="00975021" w:rsidP="00975021">
            <w:pPr>
              <w:rPr>
                <w:lang w:eastAsia="en-US"/>
              </w:rPr>
            </w:pPr>
          </w:p>
          <w:p w14:paraId="703D9E23" w14:textId="77777777" w:rsidR="00975021" w:rsidRPr="005C5E76" w:rsidRDefault="00975021" w:rsidP="00975021">
            <w:pPr>
              <w:rPr>
                <w:lang w:eastAsia="en-US"/>
              </w:rPr>
            </w:pPr>
          </w:p>
          <w:p w14:paraId="2325FE7C" w14:textId="77777777" w:rsidR="00975021" w:rsidRPr="005C5E76" w:rsidRDefault="00975021" w:rsidP="00975021">
            <w:pPr>
              <w:rPr>
                <w:lang w:eastAsia="en-US"/>
              </w:rPr>
            </w:pPr>
          </w:p>
          <w:p w14:paraId="540BB9AB" w14:textId="06E89197" w:rsidR="00975021" w:rsidRPr="005C5E76" w:rsidRDefault="00975021" w:rsidP="00975021">
            <w:pPr>
              <w:rPr>
                <w:lang w:eastAsia="en-US"/>
              </w:rPr>
            </w:pPr>
          </w:p>
        </w:tc>
        <w:tc>
          <w:tcPr>
            <w:tcW w:w="2697" w:type="dxa"/>
            <w:tcBorders>
              <w:top w:val="single" w:sz="4" w:space="0" w:color="auto"/>
              <w:left w:val="single" w:sz="4" w:space="0" w:color="auto"/>
              <w:bottom w:val="single" w:sz="4" w:space="0" w:color="auto"/>
              <w:right w:val="single" w:sz="4" w:space="0" w:color="auto"/>
            </w:tcBorders>
          </w:tcPr>
          <w:p w14:paraId="5EA0A295" w14:textId="3DFE2D5F" w:rsidR="00975021" w:rsidRPr="000D0380" w:rsidRDefault="00975021" w:rsidP="00975021">
            <w:pPr>
              <w:jc w:val="both"/>
              <w:rPr>
                <w:rFonts w:eastAsiaTheme="minorHAnsi"/>
                <w:highlight w:val="yellow"/>
                <w:lang w:eastAsia="en-US"/>
              </w:rPr>
            </w:pPr>
            <w:r w:rsidRPr="00421673">
              <w:rPr>
                <w:rFonts w:eastAsiaTheme="minorHAnsi"/>
                <w:lang w:eastAsia="en-US"/>
              </w:rPr>
              <w:lastRenderedPageBreak/>
              <w:t>Informatīvais ziņojums un protokollēmuma projekts</w:t>
            </w:r>
            <w:r w:rsidR="005E4024">
              <w:rPr>
                <w:rFonts w:eastAsiaTheme="minorHAnsi"/>
                <w:lang w:eastAsia="en-US"/>
              </w:rPr>
              <w:t>.</w:t>
            </w:r>
          </w:p>
        </w:tc>
        <w:tc>
          <w:tcPr>
            <w:tcW w:w="6660" w:type="dxa"/>
            <w:tcBorders>
              <w:top w:val="single" w:sz="4" w:space="0" w:color="auto"/>
              <w:left w:val="single" w:sz="4" w:space="0" w:color="auto"/>
              <w:bottom w:val="single" w:sz="4" w:space="0" w:color="auto"/>
              <w:right w:val="single" w:sz="4" w:space="0" w:color="auto"/>
            </w:tcBorders>
          </w:tcPr>
          <w:p w14:paraId="273AB360" w14:textId="2EC44643" w:rsidR="00975021" w:rsidRPr="000D0380" w:rsidRDefault="00975021" w:rsidP="00975021">
            <w:pPr>
              <w:widowControl w:val="0"/>
              <w:jc w:val="both"/>
              <w:rPr>
                <w:b/>
                <w:lang w:eastAsia="en-US"/>
              </w:rPr>
            </w:pPr>
            <w:r w:rsidRPr="000D0380">
              <w:rPr>
                <w:b/>
                <w:lang w:eastAsia="en-US"/>
              </w:rPr>
              <w:t>Iebildums</w:t>
            </w:r>
          </w:p>
          <w:p w14:paraId="0FA70CAD" w14:textId="117DEEB1" w:rsidR="00975021" w:rsidRPr="000D0380" w:rsidRDefault="00975021" w:rsidP="00975021">
            <w:pPr>
              <w:widowControl w:val="0"/>
              <w:jc w:val="both"/>
              <w:rPr>
                <w:b/>
                <w:lang w:eastAsia="en-US"/>
              </w:rPr>
            </w:pPr>
            <w:r w:rsidRPr="000D0380">
              <w:rPr>
                <w:b/>
                <w:lang w:eastAsia="en-US"/>
              </w:rPr>
              <w:t>Labklājības ministrija</w:t>
            </w:r>
          </w:p>
          <w:p w14:paraId="538A220B" w14:textId="5F49236F" w:rsidR="00975021" w:rsidRPr="000D0380" w:rsidRDefault="00975021" w:rsidP="00975021">
            <w:pPr>
              <w:widowControl w:val="0"/>
              <w:jc w:val="both"/>
              <w:rPr>
                <w:b/>
                <w:lang w:eastAsia="en-US"/>
              </w:rPr>
            </w:pPr>
            <w:r w:rsidRPr="000D0380">
              <w:rPr>
                <w:lang w:eastAsia="en-US"/>
              </w:rPr>
              <w:t xml:space="preserve">Atsaucoties uz 2019.gada 11.oktobra protokollēmuma 4.punktu, lūdzam papildināt informatīvo ziņojumu un tam pievienoto protokollēmuma projektu, virzot izmaiņas atbrīvotā finansējuma izmantošanas kārtībā attiecībā uz LM 9.prioritārā virziena (Eiropas Reģionālā attīstības fonda) esošo 9.3.1.1.pasākumu “Pakalpojumu infrastruktūras attīstība deinstitucionalizācijas plānu īstenošanai”. Šobrīd, piemēram, minētā pasākuma ietvaros Mazsalacas novada pašvaldības īstenotajā projektā konstatēti neatbilstoši veikti </w:t>
            </w:r>
            <w:r w:rsidRPr="000D0380">
              <w:rPr>
                <w:lang w:eastAsia="en-US"/>
              </w:rPr>
              <w:lastRenderedPageBreak/>
              <w:t xml:space="preserve">izdevumi (1799.22 </w:t>
            </w:r>
            <w:r w:rsidRPr="0086260A">
              <w:rPr>
                <w:i/>
                <w:lang w:eastAsia="en-US"/>
              </w:rPr>
              <w:t>euro</w:t>
            </w:r>
            <w:r w:rsidRPr="000D0380">
              <w:rPr>
                <w:lang w:eastAsia="en-US"/>
              </w:rPr>
              <w:t xml:space="preserve"> apmērā). Šī un turpmāk neatbilstoši veiktu izdevumu gadījumā atbrīvojušās finansējuma novirzīšana citas pašvaldības infrastruktūras risinājumiem ļautu nodrošināt paredzēto atbalstu mērķa grupai, tādējādi tiktu arī rasts papildu avots nepieciešamajam finansējumam. Jāmin, ka 9.3.1.1.pasākumam “Pakalpojumu infrastruktūras attīstība deinstitucionalizācijas plānu īstenošanai” pieejamais finansējums ir nepietiekams deinstitucionalizācijas infrastruktūras risinājumu ieviešanai pilnā apmērā. Minēto arī uzsvēra LM ministre R.</w:t>
            </w:r>
            <w:r w:rsidR="005E4024">
              <w:rPr>
                <w:lang w:eastAsia="en-US"/>
              </w:rPr>
              <w:t> </w:t>
            </w:r>
            <w:r w:rsidRPr="000D0380">
              <w:rPr>
                <w:lang w:eastAsia="en-US"/>
              </w:rPr>
              <w:t>Petraviča protokollēmumam pievienotajā saskaņā ar MK kārtības ruļļa 193.punktu paustajā atsevišķajā viedoklī 2019.gada 11.oktobra MK sēdē izskatītā jautājuma sakarā;</w:t>
            </w:r>
          </w:p>
        </w:tc>
        <w:tc>
          <w:tcPr>
            <w:tcW w:w="2700" w:type="dxa"/>
            <w:tcBorders>
              <w:top w:val="single" w:sz="4" w:space="0" w:color="auto"/>
              <w:left w:val="single" w:sz="4" w:space="0" w:color="auto"/>
              <w:bottom w:val="single" w:sz="4" w:space="0" w:color="auto"/>
              <w:right w:val="single" w:sz="4" w:space="0" w:color="auto"/>
            </w:tcBorders>
          </w:tcPr>
          <w:p w14:paraId="7531EB38" w14:textId="2536FAA0" w:rsidR="00975021" w:rsidRPr="00FE5432" w:rsidRDefault="00975021" w:rsidP="00975021">
            <w:pPr>
              <w:jc w:val="both"/>
              <w:rPr>
                <w:lang w:eastAsia="en-US"/>
              </w:rPr>
            </w:pPr>
            <w:r>
              <w:rPr>
                <w:b/>
                <w:lang w:eastAsia="en-US"/>
              </w:rPr>
              <w:lastRenderedPageBreak/>
              <w:t>Panākta vienošanās</w:t>
            </w:r>
            <w:r w:rsidR="005E4024">
              <w:rPr>
                <w:lang w:eastAsia="en-US"/>
              </w:rPr>
              <w:t>,  elektroniskās sarakstes laikā</w:t>
            </w:r>
            <w:r w:rsidRPr="00FE5432">
              <w:rPr>
                <w:lang w:eastAsia="en-US"/>
              </w:rPr>
              <w:t xml:space="preserve"> starp FM un Labklājības mi</w:t>
            </w:r>
            <w:r w:rsidR="00A60B5A">
              <w:rPr>
                <w:lang w:eastAsia="en-US"/>
              </w:rPr>
              <w:t>nistriju saskaņota rīcība 2020. </w:t>
            </w:r>
            <w:r w:rsidRPr="00FE5432">
              <w:rPr>
                <w:lang w:eastAsia="en-US"/>
              </w:rPr>
              <w:t>gada 17.</w:t>
            </w:r>
            <w:r w:rsidR="00A60B5A">
              <w:rPr>
                <w:lang w:eastAsia="en-US"/>
              </w:rPr>
              <w:t> </w:t>
            </w:r>
            <w:r w:rsidRPr="00FE5432">
              <w:rPr>
                <w:lang w:eastAsia="en-US"/>
              </w:rPr>
              <w:t>februārī.</w:t>
            </w:r>
          </w:p>
          <w:p w14:paraId="1A2F0CFB" w14:textId="541E73C7" w:rsidR="00975021" w:rsidRPr="000D0380" w:rsidRDefault="00975021" w:rsidP="00975021">
            <w:pPr>
              <w:jc w:val="both"/>
              <w:rPr>
                <w:b/>
                <w:szCs w:val="22"/>
                <w:u w:val="single"/>
                <w:lang w:eastAsia="en-US"/>
              </w:rPr>
            </w:pPr>
            <w:r>
              <w:rPr>
                <w:lang w:eastAsia="en-US"/>
              </w:rPr>
              <w:t>Skatīt pēc būtība</w:t>
            </w:r>
            <w:r w:rsidR="00A60B5A">
              <w:rPr>
                <w:lang w:eastAsia="en-US"/>
              </w:rPr>
              <w:t>s saistītu jautājumu izziņas 4. </w:t>
            </w:r>
            <w:r>
              <w:rPr>
                <w:lang w:eastAsia="en-US"/>
              </w:rPr>
              <w:t>punktā.</w:t>
            </w:r>
          </w:p>
          <w:p w14:paraId="7548D9C2" w14:textId="12F78CA5" w:rsidR="00975021" w:rsidRPr="000D0380" w:rsidRDefault="00975021" w:rsidP="00975021">
            <w:pPr>
              <w:jc w:val="both"/>
              <w:rPr>
                <w:b/>
                <w:lang w:eastAsia="en-US"/>
              </w:rPr>
            </w:pPr>
          </w:p>
        </w:tc>
        <w:tc>
          <w:tcPr>
            <w:tcW w:w="2259" w:type="dxa"/>
            <w:tcBorders>
              <w:top w:val="single" w:sz="4" w:space="0" w:color="auto"/>
              <w:left w:val="single" w:sz="4" w:space="0" w:color="auto"/>
              <w:bottom w:val="single" w:sz="4" w:space="0" w:color="auto"/>
              <w:right w:val="single" w:sz="4" w:space="0" w:color="auto"/>
            </w:tcBorders>
          </w:tcPr>
          <w:p w14:paraId="06D6D88C" w14:textId="61864755" w:rsidR="00975021" w:rsidRPr="000D0380" w:rsidRDefault="00975021" w:rsidP="00975021">
            <w:pPr>
              <w:pStyle w:val="Default"/>
              <w:jc w:val="both"/>
            </w:pPr>
            <w:r w:rsidRPr="000D0380">
              <w:t>Skatīt precizē</w:t>
            </w:r>
            <w:r>
              <w:t>tu i</w:t>
            </w:r>
            <w:r w:rsidRPr="000D0380">
              <w:t>nformatīvā ziņojuma</w:t>
            </w:r>
            <w:r>
              <w:t xml:space="preserve"> </w:t>
            </w:r>
            <w:r w:rsidRPr="000D0380">
              <w:rPr>
                <w:rFonts w:eastAsiaTheme="minorHAnsi"/>
              </w:rPr>
              <w:t>4.</w:t>
            </w:r>
            <w:r w:rsidR="00050824">
              <w:rPr>
                <w:rFonts w:eastAsiaTheme="minorHAnsi"/>
              </w:rPr>
              <w:t> </w:t>
            </w:r>
            <w:r w:rsidRPr="000D0380">
              <w:rPr>
                <w:rFonts w:eastAsiaTheme="minorHAnsi"/>
              </w:rPr>
              <w:t>sadaļ</w:t>
            </w:r>
            <w:r>
              <w:rPr>
                <w:rFonts w:eastAsiaTheme="minorHAnsi"/>
              </w:rPr>
              <w:t>u.</w:t>
            </w:r>
          </w:p>
        </w:tc>
      </w:tr>
      <w:tr w:rsidR="00975021" w:rsidRPr="000D0380" w14:paraId="35547523" w14:textId="77777777" w:rsidTr="006C2AE0">
        <w:trPr>
          <w:trHeight w:val="394"/>
        </w:trPr>
        <w:tc>
          <w:tcPr>
            <w:tcW w:w="988" w:type="dxa"/>
            <w:tcBorders>
              <w:top w:val="single" w:sz="4" w:space="0" w:color="auto"/>
              <w:left w:val="single" w:sz="4" w:space="0" w:color="auto"/>
              <w:bottom w:val="single" w:sz="4" w:space="0" w:color="auto"/>
              <w:right w:val="single" w:sz="4" w:space="0" w:color="auto"/>
            </w:tcBorders>
          </w:tcPr>
          <w:p w14:paraId="45208D4A" w14:textId="04BB4738" w:rsidR="00975021" w:rsidRPr="000D0380" w:rsidRDefault="00975021" w:rsidP="00F1131F">
            <w:pPr>
              <w:pStyle w:val="ListParagraph"/>
              <w:numPr>
                <w:ilvl w:val="0"/>
                <w:numId w:val="9"/>
              </w:numPr>
              <w:tabs>
                <w:tab w:val="left" w:pos="360"/>
              </w:tabs>
              <w:jc w:val="both"/>
              <w:rPr>
                <w:rFonts w:ascii="Times New Roman" w:hAnsi="Times New Roman"/>
              </w:rPr>
            </w:pPr>
          </w:p>
        </w:tc>
        <w:tc>
          <w:tcPr>
            <w:tcW w:w="2697" w:type="dxa"/>
            <w:tcBorders>
              <w:top w:val="single" w:sz="4" w:space="0" w:color="auto"/>
              <w:left w:val="single" w:sz="4" w:space="0" w:color="auto"/>
              <w:bottom w:val="single" w:sz="4" w:space="0" w:color="auto"/>
              <w:right w:val="single" w:sz="4" w:space="0" w:color="auto"/>
            </w:tcBorders>
          </w:tcPr>
          <w:p w14:paraId="0CD9362A" w14:textId="5CFEC610" w:rsidR="00975021" w:rsidRPr="000D0380" w:rsidRDefault="00975021" w:rsidP="00975021">
            <w:pPr>
              <w:jc w:val="both"/>
              <w:rPr>
                <w:rFonts w:eastAsiaTheme="minorHAnsi"/>
                <w:lang w:eastAsia="en-US"/>
              </w:rPr>
            </w:pPr>
            <w:r w:rsidRPr="00421673">
              <w:rPr>
                <w:rFonts w:eastAsiaTheme="minorHAnsi"/>
                <w:lang w:eastAsia="en-US"/>
              </w:rPr>
              <w:t>Informatīvais ziņojums un protokollēmuma projekts</w:t>
            </w:r>
            <w:r w:rsidR="005E4024">
              <w:rPr>
                <w:rFonts w:eastAsiaTheme="minorHAnsi"/>
                <w:lang w:eastAsia="en-US"/>
              </w:rPr>
              <w:t>.</w:t>
            </w:r>
          </w:p>
        </w:tc>
        <w:tc>
          <w:tcPr>
            <w:tcW w:w="6660" w:type="dxa"/>
            <w:tcBorders>
              <w:top w:val="single" w:sz="4" w:space="0" w:color="auto"/>
              <w:left w:val="single" w:sz="4" w:space="0" w:color="auto"/>
              <w:bottom w:val="single" w:sz="4" w:space="0" w:color="auto"/>
              <w:right w:val="single" w:sz="4" w:space="0" w:color="auto"/>
            </w:tcBorders>
          </w:tcPr>
          <w:p w14:paraId="4E4B9D25" w14:textId="3248DD17" w:rsidR="00975021" w:rsidRDefault="00975021" w:rsidP="00975021">
            <w:pPr>
              <w:pStyle w:val="NoSpacing"/>
              <w:jc w:val="both"/>
              <w:rPr>
                <w:rFonts w:ascii="Times New Roman" w:hAnsi="Times New Roman" w:cs="Times New Roman"/>
                <w:b/>
                <w:sz w:val="24"/>
                <w:szCs w:val="24"/>
              </w:rPr>
            </w:pPr>
            <w:r>
              <w:rPr>
                <w:rFonts w:ascii="Times New Roman" w:hAnsi="Times New Roman" w:cs="Times New Roman"/>
                <w:b/>
                <w:sz w:val="24"/>
                <w:szCs w:val="24"/>
              </w:rPr>
              <w:t>Iebildums</w:t>
            </w:r>
          </w:p>
          <w:p w14:paraId="2C67DBB5" w14:textId="5AF39944" w:rsidR="00975021" w:rsidRPr="000D0380" w:rsidRDefault="00975021" w:rsidP="00975021">
            <w:pPr>
              <w:pStyle w:val="NoSpacing"/>
              <w:jc w:val="both"/>
              <w:rPr>
                <w:rFonts w:ascii="Times New Roman" w:hAnsi="Times New Roman" w:cs="Times New Roman"/>
                <w:b/>
                <w:sz w:val="24"/>
                <w:szCs w:val="24"/>
              </w:rPr>
            </w:pPr>
            <w:r w:rsidRPr="000D0380">
              <w:rPr>
                <w:rFonts w:ascii="Times New Roman" w:hAnsi="Times New Roman" w:cs="Times New Roman"/>
                <w:b/>
                <w:sz w:val="24"/>
                <w:szCs w:val="24"/>
              </w:rPr>
              <w:t>Latvijas Lielo pilsētu asociācija</w:t>
            </w:r>
          </w:p>
          <w:p w14:paraId="03FF9A6A" w14:textId="6592257D" w:rsidR="00975021" w:rsidRPr="000D0380" w:rsidRDefault="00975021" w:rsidP="00975021">
            <w:pPr>
              <w:widowControl w:val="0"/>
              <w:jc w:val="both"/>
              <w:rPr>
                <w:lang w:eastAsia="en-US"/>
              </w:rPr>
            </w:pPr>
            <w:r w:rsidRPr="000D0380">
              <w:rPr>
                <w:lang w:eastAsia="en-US"/>
              </w:rPr>
              <w:t>Ņemot vērā publiski pieejamo informāciju par darbības programmā “Izaugsme un nodarbinātība” ietverto prioritāro virzienu, t.sk. specifisko atbalsta mērķu un specifisko atbalsta mērķu pasākumu ieviešanas progresu, norādām, ka informatīvā ziņojuma projektu un tā protokollēmuma projektu nepieciešams papildināt ar informāciju par specifiskā atbalsta mērķiem vai specifiskā atbalsta mērķu pasākumiem, kuros ir lēns vai vājš ieviešanas progress, t.sk. specifiskā atbalsta mērķa pasākumu 4.2.1.2. “Veicināt energoefektivitātes paaugstināšanu valsts ēkās” (turpmāk – 4.2.1.2. pasākums). Tīmekļvietnē esfondi.lv pieejamā informācija liecina, ka līdz 2019. gada 31. decembrim 4.2.1.2. pasākuma ietvaros iesniegti projekti par 87% no pieejamā finansējuma, noslēgti līgumi par 68,2% no pieejamā finansējuma, veikti maksājumi 21,2% apmērā no pieejamā finansējuma, panāktais progress, salīdzinot ar iepriekšējo periodu 1,1% apmērā. No attiecīgās publiski pieejamās informācijas secinām, ka 4.2.1.2. pasākuma ieviešanas progress ir ļoti lēns, un pastāv pamatotas bažas, ka 4.2.1.2. pasākumā pieejamais finansējums līdz 2014. 2020. gada Eiropas Savienības fondu plānošanas perioda beigām netiks apgūts pilnā apjomā.</w:t>
            </w:r>
          </w:p>
        </w:tc>
        <w:tc>
          <w:tcPr>
            <w:tcW w:w="2700" w:type="dxa"/>
            <w:tcBorders>
              <w:top w:val="single" w:sz="4" w:space="0" w:color="auto"/>
              <w:left w:val="single" w:sz="4" w:space="0" w:color="auto"/>
              <w:bottom w:val="single" w:sz="4" w:space="0" w:color="auto"/>
              <w:right w:val="single" w:sz="4" w:space="0" w:color="auto"/>
            </w:tcBorders>
          </w:tcPr>
          <w:p w14:paraId="233AB921" w14:textId="5664A447" w:rsidR="00975021" w:rsidRPr="00D62E2D" w:rsidRDefault="00975021" w:rsidP="00975021">
            <w:pPr>
              <w:jc w:val="both"/>
              <w:rPr>
                <w:szCs w:val="22"/>
              </w:rPr>
            </w:pPr>
            <w:r w:rsidRPr="000D0380">
              <w:rPr>
                <w:b/>
                <w:lang w:eastAsia="en-US"/>
              </w:rPr>
              <w:t>Ņ</w:t>
            </w:r>
            <w:r>
              <w:rPr>
                <w:b/>
                <w:lang w:eastAsia="en-US"/>
              </w:rPr>
              <w:t>emts vērā</w:t>
            </w:r>
            <w:r>
              <w:t>,</w:t>
            </w:r>
            <w:r w:rsidRPr="002061C4">
              <w:rPr>
                <w:lang w:eastAsia="en-US"/>
              </w:rPr>
              <w:t xml:space="preserve"> sniedzot</w:t>
            </w:r>
            <w:r>
              <w:rPr>
                <w:b/>
                <w:lang w:eastAsia="en-US"/>
              </w:rPr>
              <w:t xml:space="preserve"> </w:t>
            </w:r>
            <w:r w:rsidRPr="005E07DD">
              <w:rPr>
                <w:lang w:eastAsia="en-US"/>
              </w:rPr>
              <w:t>s</w:t>
            </w:r>
            <w:r>
              <w:rPr>
                <w:lang w:eastAsia="en-US"/>
              </w:rPr>
              <w:t xml:space="preserve">kaidrojumu </w:t>
            </w:r>
            <w:r w:rsidRPr="00304E1E">
              <w:rPr>
                <w:i/>
                <w:lang w:eastAsia="en-US"/>
              </w:rPr>
              <w:t xml:space="preserve">(lūdzam skatīt </w:t>
            </w:r>
            <w:r w:rsidRPr="00304E1E">
              <w:rPr>
                <w:i/>
              </w:rPr>
              <w:t>skaidrojumu arī izziņas 33.punktā</w:t>
            </w:r>
            <w:r>
              <w:rPr>
                <w:i/>
              </w:rPr>
              <w:t>)</w:t>
            </w:r>
            <w:r>
              <w:rPr>
                <w:lang w:eastAsia="en-US"/>
              </w:rPr>
              <w:t>.</w:t>
            </w:r>
            <w:r>
              <w:rPr>
                <w:b/>
                <w:lang w:eastAsia="en-US"/>
              </w:rPr>
              <w:t xml:space="preserve"> </w:t>
            </w:r>
            <w:r w:rsidRPr="0098095B">
              <w:rPr>
                <w:lang w:eastAsia="en-US"/>
              </w:rPr>
              <w:t>In</w:t>
            </w:r>
            <w:r>
              <w:rPr>
                <w:lang w:eastAsia="en-US"/>
              </w:rPr>
              <w:t xml:space="preserve">formatīvajā ziņojumā un, ja nepieciešams, protokollēmuma projektā, tiek sniegta informācija un priekšlikumi turpmākai rīcībai par gadījumiem, kuros nav zināma rīcība vai nav pieņemti kādi lēmumi, kuru izpilde ir procesā. Šajā ziņojumā tādi akcentētie ir “lielie projekti”, IKT joma, galvenokārt. Savukārt, jautājums par 4.2.1.2. pasākumu jau skatīts MK un ir pieņemti MK lēmumi nepieciešamai </w:t>
            </w:r>
            <w:r>
              <w:rPr>
                <w:lang w:eastAsia="en-US"/>
              </w:rPr>
              <w:lastRenderedPageBreak/>
              <w:t>rīcībai - p</w:t>
            </w:r>
            <w:r>
              <w:t xml:space="preserve">ēc FM rīcībā esošās  informācijas </w:t>
            </w:r>
            <w:r>
              <w:rPr>
                <w:lang w:eastAsia="en-US"/>
              </w:rPr>
              <w:t xml:space="preserve">Ekonomikas ministrijas (EM) </w:t>
            </w:r>
            <w:r w:rsidRPr="00D62E2D">
              <w:t xml:space="preserve">strādā pie risinājuma 4.2.1.2. pasākuma ieviešanas progresa uzlabošanai. </w:t>
            </w:r>
            <w:r>
              <w:t>MK</w:t>
            </w:r>
            <w:r w:rsidRPr="00D62E2D">
              <w:t xml:space="preserve"> 2019.gada 10.septembra sēdē tika izskatīts </w:t>
            </w:r>
            <w:r>
              <w:t>EM</w:t>
            </w:r>
            <w:r w:rsidRPr="00D62E2D">
              <w:t xml:space="preserve"> izstrādātais informatīvais ziņojums “Par darbības programmas “Izaugsme un nodarbinātība” 4.2.1.2.pasākuma “Veicināt energoefektivitātes paaugstināšanu valsts ēkās” pirmās un otrās projektu iesniegumu atlases kārtas īstenošanas progresu”, kurā EM informē par 4.2.1.2. pasākuma progresu, kā arī piedāvā iespējamos risinājumus. Izrietoši šobrīd saskaņošanā atrodas abu kārtu </w:t>
            </w:r>
            <w:r>
              <w:t>MK</w:t>
            </w:r>
            <w:r w:rsidRPr="00D62E2D">
              <w:t xml:space="preserve"> noteikumu grozījumu projekti. </w:t>
            </w:r>
          </w:p>
          <w:p w14:paraId="50526C71" w14:textId="30EE25CB" w:rsidR="00975021" w:rsidRDefault="00975021" w:rsidP="005E4024">
            <w:pPr>
              <w:jc w:val="both"/>
              <w:rPr>
                <w:lang w:eastAsia="en-US"/>
              </w:rPr>
            </w:pPr>
            <w:r>
              <w:rPr>
                <w:lang w:eastAsia="en-US"/>
              </w:rPr>
              <w:t>Līdz ar to šobrīd papildu MK lēmums šajā gadījumā nav pietiekami pamatots</w:t>
            </w:r>
            <w:r w:rsidRPr="00304E1E">
              <w:rPr>
                <w:i/>
                <w:lang w:eastAsia="en-US"/>
              </w:rPr>
              <w:t>.</w:t>
            </w:r>
            <w:r>
              <w:rPr>
                <w:lang w:eastAsia="en-US"/>
              </w:rPr>
              <w:t xml:space="preserve"> Vienlaikus pie </w:t>
            </w:r>
            <w:r>
              <w:rPr>
                <w:lang w:eastAsia="en-US"/>
              </w:rPr>
              <w:lastRenderedPageBreak/>
              <w:t>jautājuma iespējams atgriezties dažādos forumos, piemēram, gan ES fondu uzraudzības komitejā, gan pie nākamiem FM pusgada ziņojumiem MK, vērtējot  EM ieviesto jauno disciplinēšanas pasākumu i</w:t>
            </w:r>
            <w:r w:rsidR="005E4024">
              <w:rPr>
                <w:lang w:eastAsia="en-US"/>
              </w:rPr>
              <w:t>etekmi un investīciju progresu.</w:t>
            </w:r>
          </w:p>
          <w:p w14:paraId="3B2CB948" w14:textId="6ABAE155" w:rsidR="000A1234" w:rsidRPr="000A1234" w:rsidRDefault="00EC367E" w:rsidP="005E4024">
            <w:pPr>
              <w:jc w:val="both"/>
              <w:rPr>
                <w:b/>
                <w:lang w:eastAsia="en-US"/>
              </w:rPr>
            </w:pPr>
            <w:r>
              <w:rPr>
                <w:b/>
                <w:lang w:eastAsia="en-US"/>
              </w:rPr>
              <w:t>Pamatojoties uz E</w:t>
            </w:r>
            <w:r w:rsidR="000A1234" w:rsidRPr="000A1234">
              <w:rPr>
                <w:b/>
                <w:lang w:eastAsia="en-US"/>
              </w:rPr>
              <w:t xml:space="preserve">konomikas ministrija 2020. gada 25. februārī </w:t>
            </w:r>
            <w:r>
              <w:rPr>
                <w:b/>
                <w:lang w:eastAsia="en-US"/>
              </w:rPr>
              <w:t>elektroniski sniegto informāciju FM papildina ar</w:t>
            </w:r>
            <w:r w:rsidR="005D5D86">
              <w:rPr>
                <w:b/>
                <w:lang w:eastAsia="en-US"/>
              </w:rPr>
              <w:t xml:space="preserve"> šādu skaidrojumu</w:t>
            </w:r>
            <w:r w:rsidR="000A1234" w:rsidRPr="000A1234">
              <w:rPr>
                <w:b/>
                <w:lang w:eastAsia="en-US"/>
              </w:rPr>
              <w:t>:</w:t>
            </w:r>
          </w:p>
          <w:p w14:paraId="7FD38DF9" w14:textId="6B2D6789" w:rsidR="009411D1" w:rsidRPr="005E4024" w:rsidRDefault="009411D1" w:rsidP="00E90AF5">
            <w:pPr>
              <w:jc w:val="both"/>
              <w:rPr>
                <w:lang w:eastAsia="en-US"/>
              </w:rPr>
            </w:pPr>
            <w:r w:rsidRPr="009411D1">
              <w:rPr>
                <w:lang w:eastAsia="en-US"/>
              </w:rPr>
              <w:t xml:space="preserve">Papildu FM iepriekš norādītājam un precizējot, EM </w:t>
            </w:r>
            <w:r w:rsidR="00B55F79">
              <w:rPr>
                <w:lang w:eastAsia="en-US"/>
              </w:rPr>
              <w:t xml:space="preserve">ir </w:t>
            </w:r>
            <w:r w:rsidRPr="009411D1">
              <w:rPr>
                <w:lang w:eastAsia="en-US"/>
              </w:rPr>
              <w:t>informē</w:t>
            </w:r>
            <w:r w:rsidR="00B55F79">
              <w:rPr>
                <w:lang w:eastAsia="en-US"/>
              </w:rPr>
              <w:t>jusi</w:t>
            </w:r>
            <w:r w:rsidRPr="009411D1">
              <w:rPr>
                <w:lang w:eastAsia="en-US"/>
              </w:rPr>
              <w:t xml:space="preserve">, ka </w:t>
            </w:r>
            <w:r w:rsidR="00077E3F">
              <w:rPr>
                <w:lang w:eastAsia="en-US"/>
              </w:rPr>
              <w:t xml:space="preserve">šobrīd </w:t>
            </w:r>
            <w:r w:rsidRPr="009411D1">
              <w:rPr>
                <w:lang w:eastAsia="en-US"/>
              </w:rPr>
              <w:t>4.2.1.2</w:t>
            </w:r>
            <w:r w:rsidR="00B55F79">
              <w:rPr>
                <w:lang w:eastAsia="en-US"/>
              </w:rPr>
              <w:t>.pasākuma</w:t>
            </w:r>
            <w:r w:rsidRPr="009411D1">
              <w:rPr>
                <w:lang w:eastAsia="en-US"/>
              </w:rPr>
              <w:t xml:space="preserve"> pirmās kārtas ietvaros</w:t>
            </w:r>
            <w:r w:rsidR="00B55F79">
              <w:rPr>
                <w:lang w:eastAsia="en-US"/>
              </w:rPr>
              <w:t xml:space="preserve"> ir izsludināta atlase līdz 2020.</w:t>
            </w:r>
            <w:r w:rsidR="00077E3F">
              <w:rPr>
                <w:lang w:eastAsia="en-US"/>
              </w:rPr>
              <w:t xml:space="preserve"> gada 28. februārim un </w:t>
            </w:r>
            <w:r w:rsidR="00E90AF5">
              <w:rPr>
                <w:lang w:eastAsia="en-US"/>
              </w:rPr>
              <w:t>EM vērtējot līdzšinējo progresu plāno</w:t>
            </w:r>
            <w:r w:rsidR="00077E3F">
              <w:rPr>
                <w:lang w:eastAsia="en-US"/>
              </w:rPr>
              <w:t xml:space="preserve"> un virzīs </w:t>
            </w:r>
            <w:r w:rsidR="00072C08">
              <w:rPr>
                <w:lang w:eastAsia="en-US"/>
              </w:rPr>
              <w:t xml:space="preserve">saskaņošanai </w:t>
            </w:r>
            <w:r w:rsidR="00077E3F">
              <w:rPr>
                <w:lang w:eastAsia="en-US"/>
              </w:rPr>
              <w:t>optimālāko risinājumu finansējuma atlikumu novirzīšanai</w:t>
            </w:r>
            <w:r w:rsidR="006920B1">
              <w:rPr>
                <w:lang w:eastAsia="en-US"/>
              </w:rPr>
              <w:t>.</w:t>
            </w:r>
          </w:p>
        </w:tc>
        <w:tc>
          <w:tcPr>
            <w:tcW w:w="2259" w:type="dxa"/>
            <w:tcBorders>
              <w:top w:val="single" w:sz="4" w:space="0" w:color="auto"/>
              <w:left w:val="single" w:sz="4" w:space="0" w:color="auto"/>
              <w:bottom w:val="single" w:sz="4" w:space="0" w:color="auto"/>
              <w:right w:val="single" w:sz="4" w:space="0" w:color="auto"/>
            </w:tcBorders>
          </w:tcPr>
          <w:p w14:paraId="71FA95DF" w14:textId="6765636F" w:rsidR="00975021" w:rsidRPr="000D0380" w:rsidRDefault="00975021" w:rsidP="00975021">
            <w:pPr>
              <w:pStyle w:val="Default"/>
              <w:jc w:val="both"/>
              <w:rPr>
                <w:szCs w:val="22"/>
              </w:rPr>
            </w:pPr>
            <w:r>
              <w:rPr>
                <w:szCs w:val="22"/>
              </w:rPr>
              <w:lastRenderedPageBreak/>
              <w:t>Sniegts skaidrojums.</w:t>
            </w:r>
          </w:p>
        </w:tc>
      </w:tr>
      <w:tr w:rsidR="00975021" w:rsidRPr="000D0380" w14:paraId="38EEF99C" w14:textId="77777777" w:rsidTr="006C2AE0">
        <w:trPr>
          <w:trHeight w:val="394"/>
        </w:trPr>
        <w:tc>
          <w:tcPr>
            <w:tcW w:w="988" w:type="dxa"/>
            <w:tcBorders>
              <w:top w:val="single" w:sz="4" w:space="0" w:color="auto"/>
              <w:left w:val="single" w:sz="4" w:space="0" w:color="auto"/>
              <w:bottom w:val="single" w:sz="4" w:space="0" w:color="auto"/>
              <w:right w:val="single" w:sz="4" w:space="0" w:color="auto"/>
            </w:tcBorders>
          </w:tcPr>
          <w:p w14:paraId="776233A7" w14:textId="1FA7ED03" w:rsidR="00975021" w:rsidRPr="000D0380" w:rsidRDefault="00975021" w:rsidP="00F1131F">
            <w:pPr>
              <w:pStyle w:val="ListParagraph"/>
              <w:numPr>
                <w:ilvl w:val="0"/>
                <w:numId w:val="9"/>
              </w:numPr>
              <w:tabs>
                <w:tab w:val="left" w:pos="360"/>
              </w:tabs>
              <w:jc w:val="both"/>
              <w:rPr>
                <w:rFonts w:ascii="Times New Roman" w:hAnsi="Times New Roman"/>
              </w:rPr>
            </w:pPr>
          </w:p>
        </w:tc>
        <w:tc>
          <w:tcPr>
            <w:tcW w:w="2697" w:type="dxa"/>
            <w:tcBorders>
              <w:top w:val="single" w:sz="4" w:space="0" w:color="auto"/>
              <w:left w:val="single" w:sz="4" w:space="0" w:color="auto"/>
              <w:bottom w:val="single" w:sz="4" w:space="0" w:color="auto"/>
              <w:right w:val="single" w:sz="4" w:space="0" w:color="auto"/>
            </w:tcBorders>
          </w:tcPr>
          <w:p w14:paraId="0D6482A2" w14:textId="30E0FF6D" w:rsidR="00975021" w:rsidRPr="000D0380" w:rsidRDefault="00975021" w:rsidP="00975021">
            <w:pPr>
              <w:jc w:val="both"/>
              <w:rPr>
                <w:rFonts w:eastAsiaTheme="minorHAnsi"/>
                <w:highlight w:val="green"/>
                <w:lang w:eastAsia="en-US"/>
              </w:rPr>
            </w:pPr>
            <w:r w:rsidRPr="00421673">
              <w:rPr>
                <w:rFonts w:eastAsiaTheme="minorHAnsi"/>
                <w:lang w:eastAsia="en-US"/>
              </w:rPr>
              <w:t>Informatīvais ziņojums un protokollēmuma projekts</w:t>
            </w:r>
            <w:r w:rsidR="005E4024">
              <w:rPr>
                <w:rFonts w:eastAsiaTheme="minorHAnsi"/>
                <w:lang w:eastAsia="en-US"/>
              </w:rPr>
              <w:t>.</w:t>
            </w:r>
          </w:p>
        </w:tc>
        <w:tc>
          <w:tcPr>
            <w:tcW w:w="6660" w:type="dxa"/>
            <w:tcBorders>
              <w:top w:val="single" w:sz="4" w:space="0" w:color="auto"/>
              <w:left w:val="single" w:sz="4" w:space="0" w:color="auto"/>
              <w:bottom w:val="single" w:sz="4" w:space="0" w:color="auto"/>
              <w:right w:val="single" w:sz="4" w:space="0" w:color="auto"/>
            </w:tcBorders>
          </w:tcPr>
          <w:p w14:paraId="1E1776FD" w14:textId="06583A0B" w:rsidR="00975021" w:rsidRDefault="00975021" w:rsidP="00975021">
            <w:pPr>
              <w:pStyle w:val="NoSpacing"/>
              <w:jc w:val="both"/>
              <w:rPr>
                <w:rFonts w:ascii="Times New Roman" w:hAnsi="Times New Roman" w:cs="Times New Roman"/>
                <w:b/>
                <w:sz w:val="24"/>
                <w:szCs w:val="24"/>
              </w:rPr>
            </w:pPr>
            <w:r>
              <w:rPr>
                <w:rFonts w:ascii="Times New Roman" w:hAnsi="Times New Roman" w:cs="Times New Roman"/>
                <w:b/>
                <w:sz w:val="24"/>
                <w:szCs w:val="24"/>
              </w:rPr>
              <w:t>Priekšlikums</w:t>
            </w:r>
          </w:p>
          <w:p w14:paraId="68AA82FF" w14:textId="606BAEA2" w:rsidR="00975021" w:rsidRPr="000D0380" w:rsidRDefault="00975021" w:rsidP="00975021">
            <w:pPr>
              <w:pStyle w:val="NoSpacing"/>
              <w:jc w:val="both"/>
              <w:rPr>
                <w:rFonts w:ascii="Times New Roman" w:hAnsi="Times New Roman" w:cs="Times New Roman"/>
                <w:b/>
                <w:sz w:val="24"/>
                <w:szCs w:val="24"/>
              </w:rPr>
            </w:pPr>
            <w:r w:rsidRPr="000D0380">
              <w:rPr>
                <w:rFonts w:ascii="Times New Roman" w:hAnsi="Times New Roman" w:cs="Times New Roman"/>
                <w:b/>
                <w:sz w:val="24"/>
                <w:szCs w:val="24"/>
              </w:rPr>
              <w:t>Latvijas Lielo pilsētu asociācija</w:t>
            </w:r>
          </w:p>
          <w:p w14:paraId="7070690B" w14:textId="0BF5A4FA" w:rsidR="00975021" w:rsidRPr="00FE1FB7" w:rsidRDefault="00975021" w:rsidP="00975021">
            <w:pPr>
              <w:widowControl w:val="0"/>
              <w:jc w:val="both"/>
              <w:rPr>
                <w:i/>
                <w:lang w:eastAsia="en-US"/>
              </w:rPr>
            </w:pPr>
            <w:r w:rsidRPr="00FE1FB7">
              <w:rPr>
                <w:i/>
                <w:lang w:eastAsia="en-US"/>
              </w:rPr>
              <w:t xml:space="preserve">Kontekstā ar </w:t>
            </w:r>
            <w:r>
              <w:rPr>
                <w:i/>
                <w:lang w:eastAsia="en-US"/>
              </w:rPr>
              <w:t>izziņas 32.punktā minēto komentāru</w:t>
            </w:r>
            <w:r w:rsidRPr="00FE1FB7">
              <w:rPr>
                <w:i/>
                <w:lang w:eastAsia="en-US"/>
              </w:rPr>
              <w:t>.</w:t>
            </w:r>
          </w:p>
          <w:p w14:paraId="237AC73B" w14:textId="57EA29B5" w:rsidR="00975021" w:rsidRPr="000D0380" w:rsidRDefault="00975021" w:rsidP="00975021">
            <w:pPr>
              <w:widowControl w:val="0"/>
              <w:jc w:val="both"/>
              <w:rPr>
                <w:lang w:eastAsia="en-US"/>
              </w:rPr>
            </w:pPr>
            <w:r w:rsidRPr="000D0380">
              <w:rPr>
                <w:lang w:eastAsia="en-US"/>
              </w:rPr>
              <w:t xml:space="preserve">Tāpēc ierosinām Ekonomikas ministriju un Finanšu ministriju </w:t>
            </w:r>
            <w:r w:rsidRPr="000D0380">
              <w:rPr>
                <w:lang w:eastAsia="en-US"/>
              </w:rPr>
              <w:lastRenderedPageBreak/>
              <w:t>kritiski izvērtēt 4.2.1.2. pasākuma ieviešanas progresu un veikt nepieciešamās darbības, lai novērstu 4.2.1.2. pasākumā pieejamā finansējuma neapgūšanas risku. Papildus norādām, ka, lai neradītu negatīvu ietekmi uz kopējo 4. prioritārā mērķa energoefektivitātes rādītāju (t.sk. CO2 izmešu daudzuma samazinājums, patērētās siltumenerģijas samazinājums), sasniegšanu, ierosinām:</w:t>
            </w:r>
          </w:p>
          <w:p w14:paraId="3839DC34" w14:textId="65EF1CB1" w:rsidR="00975021" w:rsidRPr="000D0380" w:rsidRDefault="00975021" w:rsidP="00975021">
            <w:pPr>
              <w:widowControl w:val="0"/>
              <w:jc w:val="both"/>
              <w:rPr>
                <w:lang w:eastAsia="en-US"/>
              </w:rPr>
            </w:pPr>
            <w:r w:rsidRPr="000D0380">
              <w:rPr>
                <w:lang w:eastAsia="en-US"/>
              </w:rPr>
              <w:t>1. Ņemot vērā pašvaldību vajadzības un spēju īstenot Eiropas Savienības fondu līdzfinansētos projektus, daļu (piemēram, daļu, par kuru 4.2.1.2. pasākuma ietvaros projektu iesniegumi vēl nav iesniegti) 4.2.1.2. pasākumā pieejamā finansējuma pārdalīt Vides aizsardzības un reģionālās attīstības ministrijas atbildībā esošajam specifiskā atbalsta mērķim 4.2.2. “Atbilstoši pašvaldības integrētajām attīstības programmām sekmēt energoefektivitātes paaugstināšanu un atjaunojamo energoresursu izmantošanu pašvaldību ēkās” (turpmāk – SAM 4.2.2.) pirmās projektu iesniegumu atlases kārtas īstenošanai;</w:t>
            </w:r>
          </w:p>
          <w:p w14:paraId="1EC19275" w14:textId="77777777" w:rsidR="00975021" w:rsidRPr="000D0380" w:rsidRDefault="00975021" w:rsidP="00975021">
            <w:pPr>
              <w:widowControl w:val="0"/>
              <w:jc w:val="both"/>
              <w:rPr>
                <w:lang w:eastAsia="en-US"/>
              </w:rPr>
            </w:pPr>
            <w:r w:rsidRPr="000D0380">
              <w:rPr>
                <w:lang w:eastAsia="en-US"/>
              </w:rPr>
              <w:t>2. Ņemot vērā 2019. gada 11. oktobra Ministru kabineta ārkārtas sēdē nolemto (protokols Nr.47, 3.§, 11.1. apakšpunkts), noteikt, ka tos projektus, kuru īstenošanas idejas saskaņojusi Reģionālās attīstības koordinācijas padome, pašvaldībām atļauts iesniegt līdz 2020. gada 1. martam;</w:t>
            </w:r>
          </w:p>
          <w:p w14:paraId="031C44A3" w14:textId="77777777" w:rsidR="00975021" w:rsidRPr="000D0380" w:rsidRDefault="00975021" w:rsidP="00975021">
            <w:pPr>
              <w:widowControl w:val="0"/>
              <w:jc w:val="both"/>
              <w:rPr>
                <w:lang w:eastAsia="en-US"/>
              </w:rPr>
            </w:pPr>
            <w:r w:rsidRPr="000D0380">
              <w:rPr>
                <w:lang w:eastAsia="en-US"/>
              </w:rPr>
              <w:t>3. Noteikt, ka līdz 2020. gada 30. jūnijam pašvaldībām atļauts iesniegt projektus:</w:t>
            </w:r>
          </w:p>
          <w:p w14:paraId="6E81C22E" w14:textId="77777777" w:rsidR="00975021" w:rsidRPr="000D0380" w:rsidRDefault="00975021" w:rsidP="00975021">
            <w:pPr>
              <w:widowControl w:val="0"/>
              <w:jc w:val="both"/>
              <w:rPr>
                <w:lang w:eastAsia="en-US"/>
              </w:rPr>
            </w:pPr>
            <w:r w:rsidRPr="000D0380">
              <w:rPr>
                <w:lang w:eastAsia="en-US"/>
              </w:rPr>
              <w:t>3.1.</w:t>
            </w:r>
            <w:r w:rsidRPr="000D0380">
              <w:rPr>
                <w:lang w:eastAsia="en-US"/>
              </w:rPr>
              <w:tab/>
              <w:t>no 4.2.1.2. pasākuma pārdalītā finansējuma apjomā;</w:t>
            </w:r>
          </w:p>
          <w:p w14:paraId="03035BEC" w14:textId="77777777" w:rsidR="00975021" w:rsidRPr="000D0380" w:rsidRDefault="00975021" w:rsidP="00975021">
            <w:pPr>
              <w:widowControl w:val="0"/>
              <w:jc w:val="both"/>
              <w:rPr>
                <w:lang w:eastAsia="en-US"/>
              </w:rPr>
            </w:pPr>
            <w:r w:rsidRPr="000D0380">
              <w:rPr>
                <w:lang w:eastAsia="en-US"/>
              </w:rPr>
              <w:t>3.2.</w:t>
            </w:r>
            <w:r w:rsidRPr="000D0380">
              <w:rPr>
                <w:lang w:eastAsia="en-US"/>
              </w:rPr>
              <w:tab/>
              <w:t>tādus projektus, kuriem saskaņā ar SAM 4.2.2. projektu iesniegumu vērtēšanas kritērijos noteikto ir augsta gatavības pakāpe, t.i., visām projekta ietvaros plānotajām būvniecības darbībām ir veikta būvvaldes atzīme par būvdarbu uzsākšanas nosacījumu izpildi būvatļaujā vai apliecinājuma kartē, vai paskaidrojuma rakstā, vai ir iesniegta būvvaldes izziņa, kas liecina, ka būvdarbiem būvatļauja, paskaidrojuma raksts vai apliecinājuma karte nav nepieciešama, un par visām būvniecības darbībām ir pabeigta iepirkuma procedūra.</w:t>
            </w:r>
          </w:p>
          <w:p w14:paraId="63F44928" w14:textId="32EA24DB" w:rsidR="00975021" w:rsidRPr="000D0380" w:rsidRDefault="00975021" w:rsidP="00975021">
            <w:pPr>
              <w:pStyle w:val="NoSpacing"/>
              <w:jc w:val="both"/>
              <w:rPr>
                <w:rFonts w:ascii="Times New Roman" w:hAnsi="Times New Roman" w:cs="Times New Roman"/>
                <w:b/>
                <w:sz w:val="24"/>
                <w:szCs w:val="24"/>
              </w:rPr>
            </w:pPr>
            <w:r w:rsidRPr="000D0380">
              <w:rPr>
                <w:rFonts w:ascii="Times New Roman" w:eastAsia="Times New Roman" w:hAnsi="Times New Roman" w:cs="Times New Roman"/>
                <w:sz w:val="24"/>
                <w:szCs w:val="24"/>
              </w:rPr>
              <w:lastRenderedPageBreak/>
              <w:t>Papildus norādām, ka, ja tiek lemts par daļas 4.2.1.2. pasākumā pieejamā finansējuma nepārdalīšanu, lūdzam sniegt detalizētu skaidrojumu, kā Ekonomikas ministrija nodrošinās 4.2.1.2. pasākuma ietvaros pieejamā finansējuma pilnīgu apguvi.</w:t>
            </w:r>
          </w:p>
        </w:tc>
        <w:tc>
          <w:tcPr>
            <w:tcW w:w="2700" w:type="dxa"/>
            <w:tcBorders>
              <w:top w:val="single" w:sz="4" w:space="0" w:color="auto"/>
              <w:left w:val="single" w:sz="4" w:space="0" w:color="auto"/>
              <w:bottom w:val="single" w:sz="4" w:space="0" w:color="auto"/>
              <w:right w:val="single" w:sz="4" w:space="0" w:color="auto"/>
            </w:tcBorders>
          </w:tcPr>
          <w:p w14:paraId="7F878D61" w14:textId="6045B9E6" w:rsidR="00975021" w:rsidRDefault="00975021" w:rsidP="00975021">
            <w:pPr>
              <w:jc w:val="both"/>
              <w:rPr>
                <w:b/>
                <w:lang w:eastAsia="en-US"/>
              </w:rPr>
            </w:pPr>
            <w:r w:rsidRPr="000D0380">
              <w:rPr>
                <w:b/>
                <w:lang w:eastAsia="en-US"/>
              </w:rPr>
              <w:lastRenderedPageBreak/>
              <w:t>Ņ</w:t>
            </w:r>
            <w:r>
              <w:rPr>
                <w:b/>
                <w:lang w:eastAsia="en-US"/>
              </w:rPr>
              <w:t>emts vērā</w:t>
            </w:r>
            <w:r>
              <w:t>,</w:t>
            </w:r>
            <w:r w:rsidRPr="002061C4">
              <w:rPr>
                <w:lang w:eastAsia="en-US"/>
              </w:rPr>
              <w:t xml:space="preserve"> sniedzot</w:t>
            </w:r>
            <w:r>
              <w:rPr>
                <w:b/>
                <w:lang w:eastAsia="en-US"/>
              </w:rPr>
              <w:t xml:space="preserve"> s</w:t>
            </w:r>
            <w:r>
              <w:rPr>
                <w:lang w:eastAsia="en-US"/>
              </w:rPr>
              <w:t xml:space="preserve">kaidrojumu </w:t>
            </w:r>
            <w:r w:rsidRPr="00304E1E">
              <w:rPr>
                <w:i/>
                <w:lang w:eastAsia="en-US"/>
              </w:rPr>
              <w:t xml:space="preserve">(lūdzam skatīt </w:t>
            </w:r>
            <w:r w:rsidRPr="00304E1E">
              <w:rPr>
                <w:i/>
              </w:rPr>
              <w:t>skaidrojumu arī izziņas 3</w:t>
            </w:r>
            <w:r>
              <w:rPr>
                <w:i/>
              </w:rPr>
              <w:t>2</w:t>
            </w:r>
            <w:r w:rsidRPr="00304E1E">
              <w:rPr>
                <w:i/>
              </w:rPr>
              <w:t>.punktā)</w:t>
            </w:r>
            <w:r>
              <w:rPr>
                <w:lang w:eastAsia="en-US"/>
              </w:rPr>
              <w:t>.</w:t>
            </w:r>
            <w:r>
              <w:rPr>
                <w:b/>
                <w:lang w:eastAsia="en-US"/>
              </w:rPr>
              <w:t xml:space="preserve"> </w:t>
            </w:r>
          </w:p>
          <w:p w14:paraId="1D9DD169" w14:textId="756BCEC0" w:rsidR="00975021" w:rsidRDefault="00975021" w:rsidP="005E4024">
            <w:pPr>
              <w:jc w:val="both"/>
            </w:pPr>
            <w:r w:rsidRPr="00D62E2D">
              <w:lastRenderedPageBreak/>
              <w:t xml:space="preserve">4.2.1.2.pasākuma pirmā kārta ir paredzēta Direktīvas Eiropas Parlamenta un Padomes 2012/27/ES (2012. gada 25. oktobris) par energoefektivitāti, ar ko groza Direktīvas 2009/125/EK un 2010/30/ES un atceļ Direktīvas 2004/8/EK un 2006/32/EK3. panta un 5. panta 1. punkta prasību izpildei </w:t>
            </w:r>
            <w:bookmarkStart w:id="1" w:name="_Hlk23771523"/>
            <w:r w:rsidRPr="00D62E2D">
              <w:t>(katru gadu 3% valsts īpašumā esošo un izmantoto ēku platībās jāīsteno energoefektivitātes paaugstināšanas pasākumi</w:t>
            </w:r>
            <w:bookmarkEnd w:id="1"/>
            <w:r w:rsidRPr="00D62E2D">
              <w:t>).</w:t>
            </w:r>
          </w:p>
          <w:p w14:paraId="3CDFDA14" w14:textId="77777777" w:rsidR="005D5D86" w:rsidRPr="000A1234" w:rsidRDefault="005D5D86" w:rsidP="005D5D86">
            <w:pPr>
              <w:jc w:val="both"/>
              <w:rPr>
                <w:b/>
                <w:lang w:eastAsia="en-US"/>
              </w:rPr>
            </w:pPr>
            <w:r w:rsidRPr="000A1234">
              <w:rPr>
                <w:b/>
                <w:lang w:eastAsia="en-US"/>
              </w:rPr>
              <w:t xml:space="preserve">Ekonomikas ministrija 2020. gada 25. februārī </w:t>
            </w:r>
            <w:r>
              <w:rPr>
                <w:b/>
                <w:lang w:eastAsia="en-US"/>
              </w:rPr>
              <w:t>elektroniski sniedza šādu skaidrojumu</w:t>
            </w:r>
            <w:r w:rsidRPr="000A1234">
              <w:rPr>
                <w:b/>
                <w:lang w:eastAsia="en-US"/>
              </w:rPr>
              <w:t>:</w:t>
            </w:r>
          </w:p>
          <w:p w14:paraId="2DA7683C" w14:textId="3C3BC9F1" w:rsidR="009411D1" w:rsidRPr="005E4024" w:rsidRDefault="009411D1" w:rsidP="005E4024">
            <w:pPr>
              <w:jc w:val="both"/>
            </w:pPr>
            <w:r w:rsidRPr="009411D1">
              <w:t>EM turpinās īstenot 4.2.1.2. programmu ar tai pieejamo finansējumu un sadarbībā ar CFLA veiks projektu īstenošanas gaitas pastiprinātu uzraudzību.</w:t>
            </w:r>
          </w:p>
        </w:tc>
        <w:tc>
          <w:tcPr>
            <w:tcW w:w="2259" w:type="dxa"/>
            <w:tcBorders>
              <w:top w:val="single" w:sz="4" w:space="0" w:color="auto"/>
              <w:left w:val="single" w:sz="4" w:space="0" w:color="auto"/>
              <w:bottom w:val="single" w:sz="4" w:space="0" w:color="auto"/>
              <w:right w:val="single" w:sz="4" w:space="0" w:color="auto"/>
            </w:tcBorders>
          </w:tcPr>
          <w:p w14:paraId="0A56A46F" w14:textId="34C69144" w:rsidR="00975021" w:rsidRPr="000D0380" w:rsidRDefault="00975021" w:rsidP="00975021">
            <w:pPr>
              <w:jc w:val="both"/>
            </w:pPr>
            <w:r>
              <w:rPr>
                <w:szCs w:val="22"/>
              </w:rPr>
              <w:lastRenderedPageBreak/>
              <w:t>Sniegts skaidrojums.</w:t>
            </w:r>
          </w:p>
        </w:tc>
      </w:tr>
      <w:tr w:rsidR="00975021" w:rsidRPr="000D0380" w14:paraId="3D02D796" w14:textId="77777777" w:rsidTr="006C2AE0">
        <w:trPr>
          <w:trHeight w:val="394"/>
        </w:trPr>
        <w:tc>
          <w:tcPr>
            <w:tcW w:w="988" w:type="dxa"/>
            <w:tcBorders>
              <w:top w:val="single" w:sz="4" w:space="0" w:color="auto"/>
              <w:left w:val="single" w:sz="4" w:space="0" w:color="auto"/>
              <w:bottom w:val="single" w:sz="4" w:space="0" w:color="auto"/>
              <w:right w:val="single" w:sz="4" w:space="0" w:color="auto"/>
            </w:tcBorders>
          </w:tcPr>
          <w:p w14:paraId="3C8BA07D" w14:textId="77777777" w:rsidR="00975021" w:rsidRPr="000D0380" w:rsidRDefault="00975021" w:rsidP="00F1131F">
            <w:pPr>
              <w:pStyle w:val="ListParagraph"/>
              <w:numPr>
                <w:ilvl w:val="0"/>
                <w:numId w:val="9"/>
              </w:numPr>
              <w:tabs>
                <w:tab w:val="left" w:pos="360"/>
              </w:tabs>
              <w:jc w:val="both"/>
              <w:rPr>
                <w:rFonts w:ascii="Times New Roman" w:hAnsi="Times New Roman"/>
              </w:rPr>
            </w:pPr>
          </w:p>
        </w:tc>
        <w:tc>
          <w:tcPr>
            <w:tcW w:w="2697" w:type="dxa"/>
            <w:tcBorders>
              <w:top w:val="single" w:sz="4" w:space="0" w:color="auto"/>
              <w:left w:val="single" w:sz="4" w:space="0" w:color="auto"/>
              <w:bottom w:val="single" w:sz="4" w:space="0" w:color="auto"/>
              <w:right w:val="single" w:sz="4" w:space="0" w:color="auto"/>
            </w:tcBorders>
          </w:tcPr>
          <w:p w14:paraId="5398BCE4" w14:textId="7C580825" w:rsidR="00975021" w:rsidRPr="00421673" w:rsidRDefault="00975021" w:rsidP="00975021">
            <w:pPr>
              <w:jc w:val="both"/>
              <w:rPr>
                <w:rFonts w:eastAsiaTheme="minorHAnsi"/>
                <w:lang w:eastAsia="en-US"/>
              </w:rPr>
            </w:pPr>
            <w:r>
              <w:rPr>
                <w:rFonts w:eastAsiaTheme="minorHAnsi"/>
                <w:lang w:eastAsia="en-US"/>
              </w:rPr>
              <w:t>Informatīvais ziņojums</w:t>
            </w:r>
            <w:r w:rsidR="00944DD4">
              <w:rPr>
                <w:rFonts w:eastAsiaTheme="minorHAnsi"/>
                <w:lang w:eastAsia="en-US"/>
              </w:rPr>
              <w:t>.</w:t>
            </w:r>
          </w:p>
        </w:tc>
        <w:tc>
          <w:tcPr>
            <w:tcW w:w="6660" w:type="dxa"/>
            <w:tcBorders>
              <w:top w:val="single" w:sz="4" w:space="0" w:color="auto"/>
              <w:left w:val="single" w:sz="4" w:space="0" w:color="auto"/>
              <w:bottom w:val="single" w:sz="4" w:space="0" w:color="auto"/>
              <w:right w:val="single" w:sz="4" w:space="0" w:color="auto"/>
            </w:tcBorders>
          </w:tcPr>
          <w:p w14:paraId="6741FE7C" w14:textId="77777777" w:rsidR="00975021" w:rsidRPr="000D0380" w:rsidRDefault="00975021" w:rsidP="00975021">
            <w:pPr>
              <w:widowControl w:val="0"/>
              <w:jc w:val="both"/>
              <w:rPr>
                <w:b/>
              </w:rPr>
            </w:pPr>
            <w:r w:rsidRPr="000D0380">
              <w:rPr>
                <w:b/>
              </w:rPr>
              <w:t>Priekšlikums</w:t>
            </w:r>
          </w:p>
          <w:p w14:paraId="5CA42C93" w14:textId="40A0E746" w:rsidR="00975021" w:rsidRDefault="00975021" w:rsidP="00975021">
            <w:pPr>
              <w:pStyle w:val="NoSpacing"/>
              <w:jc w:val="both"/>
              <w:rPr>
                <w:rFonts w:ascii="Times New Roman" w:hAnsi="Times New Roman" w:cs="Times New Roman"/>
                <w:b/>
                <w:sz w:val="24"/>
                <w:szCs w:val="24"/>
              </w:rPr>
            </w:pPr>
            <w:r>
              <w:rPr>
                <w:rFonts w:ascii="Times New Roman" w:hAnsi="Times New Roman" w:cs="Times New Roman"/>
                <w:b/>
                <w:sz w:val="24"/>
                <w:szCs w:val="24"/>
              </w:rPr>
              <w:t>FM</w:t>
            </w:r>
          </w:p>
          <w:p w14:paraId="25935CBC" w14:textId="0707B536" w:rsidR="00975021" w:rsidRPr="00D81BC9" w:rsidRDefault="00975021" w:rsidP="00975021">
            <w:pPr>
              <w:pStyle w:val="NoSpacing"/>
              <w:jc w:val="both"/>
              <w:rPr>
                <w:rFonts w:ascii="Times New Roman" w:hAnsi="Times New Roman" w:cs="Times New Roman"/>
                <w:sz w:val="24"/>
                <w:szCs w:val="24"/>
              </w:rPr>
            </w:pPr>
            <w:r w:rsidRPr="00D81BC9">
              <w:rPr>
                <w:rFonts w:ascii="Times New Roman" w:hAnsi="Times New Roman" w:cs="Times New Roman"/>
                <w:sz w:val="24"/>
                <w:szCs w:val="24"/>
              </w:rPr>
              <w:t xml:space="preserve">Informatīvais ziņojums papildināts ar </w:t>
            </w:r>
            <w:r w:rsidR="00D02D15">
              <w:rPr>
                <w:rFonts w:ascii="Times New Roman" w:hAnsi="Times New Roman" w:cs="Times New Roman"/>
                <w:sz w:val="24"/>
                <w:szCs w:val="24"/>
              </w:rPr>
              <w:t>janvāra</w:t>
            </w:r>
            <w:r w:rsidRPr="00D81BC9">
              <w:rPr>
                <w:rFonts w:ascii="Times New Roman" w:hAnsi="Times New Roman" w:cs="Times New Roman"/>
                <w:sz w:val="24"/>
                <w:szCs w:val="24"/>
              </w:rPr>
              <w:t xml:space="preserve"> ikmēneša aktuālo informāciju, izpildot MK 2015. gada 10. marta sēdes protokollēmuma (prot. Nr. 14, 27. §) 11. punktu. </w:t>
            </w:r>
          </w:p>
        </w:tc>
        <w:tc>
          <w:tcPr>
            <w:tcW w:w="2700" w:type="dxa"/>
            <w:tcBorders>
              <w:top w:val="single" w:sz="4" w:space="0" w:color="auto"/>
              <w:left w:val="single" w:sz="4" w:space="0" w:color="auto"/>
              <w:bottom w:val="single" w:sz="4" w:space="0" w:color="auto"/>
              <w:right w:val="single" w:sz="4" w:space="0" w:color="auto"/>
            </w:tcBorders>
          </w:tcPr>
          <w:p w14:paraId="74E4CE12" w14:textId="5927888D" w:rsidR="00975021" w:rsidRPr="000D0380" w:rsidRDefault="00294E10" w:rsidP="00975021">
            <w:pPr>
              <w:pStyle w:val="naisc"/>
              <w:spacing w:before="0" w:after="0"/>
              <w:jc w:val="both"/>
              <w:rPr>
                <w:b/>
                <w:lang w:eastAsia="en-US"/>
              </w:rPr>
            </w:pPr>
            <w:r>
              <w:rPr>
                <w:b/>
                <w:lang w:eastAsia="en-US"/>
              </w:rPr>
              <w:t>Ņemts vērā.</w:t>
            </w:r>
          </w:p>
          <w:p w14:paraId="21594CF9" w14:textId="77777777" w:rsidR="00975021" w:rsidRPr="00D62E2D" w:rsidRDefault="00975021" w:rsidP="00975021">
            <w:pPr>
              <w:jc w:val="both"/>
              <w:rPr>
                <w:b/>
                <w:szCs w:val="22"/>
                <w:lang w:eastAsia="en-US"/>
              </w:rPr>
            </w:pPr>
          </w:p>
        </w:tc>
        <w:tc>
          <w:tcPr>
            <w:tcW w:w="2259" w:type="dxa"/>
            <w:tcBorders>
              <w:top w:val="single" w:sz="4" w:space="0" w:color="auto"/>
              <w:left w:val="single" w:sz="4" w:space="0" w:color="auto"/>
              <w:bottom w:val="single" w:sz="4" w:space="0" w:color="auto"/>
              <w:right w:val="single" w:sz="4" w:space="0" w:color="auto"/>
            </w:tcBorders>
          </w:tcPr>
          <w:p w14:paraId="79EABA87" w14:textId="43FB66E7" w:rsidR="00975021" w:rsidRPr="000D0380" w:rsidRDefault="00975021" w:rsidP="00975021">
            <w:pPr>
              <w:jc w:val="both"/>
            </w:pPr>
            <w:r w:rsidRPr="00D81BC9">
              <w:t>Skatīt aktualizēto inf</w:t>
            </w:r>
            <w:r>
              <w:t>ormāciju informatīvajā ziņojumā</w:t>
            </w:r>
            <w:r w:rsidRPr="00D81BC9">
              <w:t>.</w:t>
            </w:r>
          </w:p>
        </w:tc>
      </w:tr>
      <w:tr w:rsidR="00622403" w:rsidRPr="000D0380" w14:paraId="1E3CC02A" w14:textId="77777777" w:rsidTr="003D3007">
        <w:trPr>
          <w:trHeight w:val="394"/>
        </w:trPr>
        <w:tc>
          <w:tcPr>
            <w:tcW w:w="988" w:type="dxa"/>
            <w:vMerge w:val="restart"/>
            <w:tcBorders>
              <w:top w:val="single" w:sz="4" w:space="0" w:color="auto"/>
              <w:left w:val="single" w:sz="4" w:space="0" w:color="auto"/>
              <w:right w:val="single" w:sz="4" w:space="0" w:color="auto"/>
            </w:tcBorders>
          </w:tcPr>
          <w:p w14:paraId="5C13E762" w14:textId="77777777" w:rsidR="00622403" w:rsidRPr="000D0380" w:rsidRDefault="00622403" w:rsidP="00F1131F">
            <w:pPr>
              <w:pStyle w:val="ListParagraph"/>
              <w:numPr>
                <w:ilvl w:val="0"/>
                <w:numId w:val="9"/>
              </w:numPr>
              <w:tabs>
                <w:tab w:val="left" w:pos="360"/>
              </w:tabs>
              <w:jc w:val="both"/>
              <w:rPr>
                <w:rFonts w:ascii="Times New Roman" w:hAnsi="Times New Roman"/>
              </w:rPr>
            </w:pPr>
          </w:p>
        </w:tc>
        <w:tc>
          <w:tcPr>
            <w:tcW w:w="2697" w:type="dxa"/>
            <w:vMerge w:val="restart"/>
            <w:tcBorders>
              <w:top w:val="single" w:sz="4" w:space="0" w:color="auto"/>
              <w:left w:val="single" w:sz="4" w:space="0" w:color="auto"/>
              <w:right w:val="single" w:sz="4" w:space="0" w:color="auto"/>
            </w:tcBorders>
          </w:tcPr>
          <w:p w14:paraId="02A07711" w14:textId="5D8FBEEF" w:rsidR="00622403" w:rsidRDefault="00622403" w:rsidP="00975021">
            <w:pPr>
              <w:jc w:val="both"/>
              <w:rPr>
                <w:rFonts w:eastAsiaTheme="minorHAnsi"/>
                <w:lang w:eastAsia="en-US"/>
              </w:rPr>
            </w:pPr>
            <w:r>
              <w:rPr>
                <w:rFonts w:eastAsiaTheme="minorHAnsi"/>
                <w:lang w:eastAsia="en-US"/>
              </w:rPr>
              <w:t>Informatīvais ziņojums un p</w:t>
            </w:r>
            <w:r w:rsidRPr="000D0380">
              <w:rPr>
                <w:rFonts w:eastAsiaTheme="minorHAnsi"/>
                <w:lang w:eastAsia="en-US"/>
              </w:rPr>
              <w:t>rotokollēmum</w:t>
            </w:r>
            <w:r w:rsidR="00944DD4">
              <w:rPr>
                <w:rFonts w:eastAsiaTheme="minorHAnsi"/>
                <w:lang w:eastAsia="en-US"/>
              </w:rPr>
              <w:t>a projekta 11. punkts</w:t>
            </w:r>
            <w:r>
              <w:rPr>
                <w:rFonts w:eastAsiaTheme="minorHAnsi"/>
                <w:lang w:eastAsia="en-US"/>
              </w:rPr>
              <w:t>.</w:t>
            </w:r>
          </w:p>
        </w:tc>
        <w:tc>
          <w:tcPr>
            <w:tcW w:w="6660" w:type="dxa"/>
            <w:tcBorders>
              <w:top w:val="single" w:sz="4" w:space="0" w:color="auto"/>
              <w:left w:val="single" w:sz="4" w:space="0" w:color="auto"/>
              <w:bottom w:val="single" w:sz="4" w:space="0" w:color="auto"/>
              <w:right w:val="single" w:sz="4" w:space="0" w:color="auto"/>
            </w:tcBorders>
          </w:tcPr>
          <w:p w14:paraId="79995077" w14:textId="69E9C04E" w:rsidR="00622403" w:rsidRPr="00622403" w:rsidRDefault="00622403" w:rsidP="00975021">
            <w:pPr>
              <w:widowControl w:val="0"/>
              <w:jc w:val="both"/>
              <w:rPr>
                <w:b/>
              </w:rPr>
            </w:pPr>
            <w:r w:rsidRPr="00622403">
              <w:rPr>
                <w:b/>
              </w:rPr>
              <w:t>Iebildums</w:t>
            </w:r>
          </w:p>
          <w:p w14:paraId="09B0EAAE" w14:textId="4FDD8E06" w:rsidR="00622403" w:rsidRPr="00622403" w:rsidRDefault="00622403" w:rsidP="00975021">
            <w:pPr>
              <w:widowControl w:val="0"/>
              <w:jc w:val="both"/>
              <w:rPr>
                <w:b/>
              </w:rPr>
            </w:pPr>
            <w:r w:rsidRPr="00622403">
              <w:rPr>
                <w:b/>
              </w:rPr>
              <w:t>FM</w:t>
            </w:r>
          </w:p>
          <w:p w14:paraId="61048032" w14:textId="09F22308" w:rsidR="00622403" w:rsidRPr="00622403" w:rsidRDefault="00622403" w:rsidP="00944DD4">
            <w:pPr>
              <w:pStyle w:val="Default"/>
              <w:tabs>
                <w:tab w:val="left" w:pos="426"/>
              </w:tabs>
              <w:spacing w:after="120"/>
              <w:jc w:val="both"/>
              <w:rPr>
                <w:b/>
              </w:rPr>
            </w:pPr>
            <w:r w:rsidRPr="00622403">
              <w:t>Informatīvais ziņojums papildināts ar aktuālāko informāciju par 2021. – 2027. gada plānošanas periodu. Vienlaikus, sakarā ar nepieciešamību, sākot ar 2021. gadu, uzsākt investīcijas ES fondu 2021. - 2027. gada plānošanas periodā, jānosaka kā ātrāk uzsākamus valsts un reģionālo ceļu kvalitātes uzlabošanas investīciju projektus, un Satiksmes ministrijai nodrošināt transporta jomas ieguldījumu priekšnosacījuma pilnīgu izpildi, apstiprinot nepieciešamos plānošanas dokumentus līdz 2020. gada 30. jūnijam un nosacījuma izpildi saskaņot ar Eiropas Komisiju līdz 2020. gada beigām.</w:t>
            </w:r>
          </w:p>
        </w:tc>
        <w:tc>
          <w:tcPr>
            <w:tcW w:w="2700" w:type="dxa"/>
            <w:tcBorders>
              <w:top w:val="single" w:sz="4" w:space="0" w:color="auto"/>
              <w:left w:val="single" w:sz="4" w:space="0" w:color="auto"/>
              <w:bottom w:val="single" w:sz="4" w:space="0" w:color="auto"/>
              <w:right w:val="single" w:sz="4" w:space="0" w:color="auto"/>
            </w:tcBorders>
          </w:tcPr>
          <w:p w14:paraId="04B6E0C7" w14:textId="0B30783F" w:rsidR="00622403" w:rsidRPr="000D0380" w:rsidRDefault="00622403" w:rsidP="00975021">
            <w:pPr>
              <w:pStyle w:val="naisc"/>
              <w:spacing w:before="0" w:after="0"/>
              <w:jc w:val="both"/>
              <w:rPr>
                <w:b/>
                <w:lang w:eastAsia="en-US"/>
              </w:rPr>
            </w:pPr>
            <w:r w:rsidRPr="00625CB7">
              <w:rPr>
                <w:b/>
                <w:lang w:eastAsia="en-US"/>
              </w:rPr>
              <w:t xml:space="preserve">Ņemts vērā. </w:t>
            </w:r>
          </w:p>
        </w:tc>
        <w:tc>
          <w:tcPr>
            <w:tcW w:w="2259" w:type="dxa"/>
            <w:vMerge w:val="restart"/>
            <w:tcBorders>
              <w:top w:val="single" w:sz="4" w:space="0" w:color="auto"/>
              <w:left w:val="single" w:sz="4" w:space="0" w:color="auto"/>
              <w:right w:val="single" w:sz="4" w:space="0" w:color="auto"/>
            </w:tcBorders>
          </w:tcPr>
          <w:p w14:paraId="5D81C6DA" w14:textId="77956D24" w:rsidR="00622403" w:rsidRDefault="00622403" w:rsidP="00975021">
            <w:pPr>
              <w:pStyle w:val="Default"/>
              <w:shd w:val="clear" w:color="auto" w:fill="FFFFFF" w:themeFill="background1"/>
              <w:tabs>
                <w:tab w:val="left" w:pos="0"/>
              </w:tabs>
              <w:jc w:val="both"/>
            </w:pPr>
            <w:r>
              <w:t xml:space="preserve">Skatīt </w:t>
            </w:r>
            <w:r w:rsidRPr="00D81BC9">
              <w:t xml:space="preserve"> aktualizēto inf</w:t>
            </w:r>
            <w:r>
              <w:t xml:space="preserve">ormāciju informatīvajā ziņojumā un jaunu protokollēmuma projekta </w:t>
            </w:r>
            <w:r w:rsidR="00925F57">
              <w:t>10</w:t>
            </w:r>
            <w:r w:rsidRPr="00C2231F">
              <w:t xml:space="preserve">. </w:t>
            </w:r>
            <w:r>
              <w:t>punktu.</w:t>
            </w:r>
          </w:p>
          <w:p w14:paraId="76D9D7E7" w14:textId="77777777" w:rsidR="00622403" w:rsidRPr="00D81BC9" w:rsidRDefault="00622403" w:rsidP="00975021">
            <w:pPr>
              <w:jc w:val="both"/>
            </w:pPr>
          </w:p>
        </w:tc>
      </w:tr>
      <w:tr w:rsidR="00622403" w:rsidRPr="000D0380" w14:paraId="49178D94" w14:textId="77777777" w:rsidTr="003D3007">
        <w:trPr>
          <w:trHeight w:val="394"/>
        </w:trPr>
        <w:tc>
          <w:tcPr>
            <w:tcW w:w="988" w:type="dxa"/>
            <w:vMerge/>
            <w:tcBorders>
              <w:left w:val="single" w:sz="4" w:space="0" w:color="auto"/>
              <w:bottom w:val="single" w:sz="4" w:space="0" w:color="auto"/>
              <w:right w:val="single" w:sz="4" w:space="0" w:color="auto"/>
            </w:tcBorders>
          </w:tcPr>
          <w:p w14:paraId="4755EE23" w14:textId="77777777" w:rsidR="00622403" w:rsidRPr="000D0380" w:rsidRDefault="00622403" w:rsidP="00F1131F">
            <w:pPr>
              <w:pStyle w:val="ListParagraph"/>
              <w:numPr>
                <w:ilvl w:val="0"/>
                <w:numId w:val="9"/>
              </w:numPr>
              <w:tabs>
                <w:tab w:val="left" w:pos="360"/>
              </w:tabs>
              <w:jc w:val="both"/>
              <w:rPr>
                <w:rFonts w:ascii="Times New Roman" w:hAnsi="Times New Roman"/>
              </w:rPr>
            </w:pPr>
          </w:p>
        </w:tc>
        <w:tc>
          <w:tcPr>
            <w:tcW w:w="2697" w:type="dxa"/>
            <w:vMerge/>
            <w:tcBorders>
              <w:left w:val="single" w:sz="4" w:space="0" w:color="auto"/>
              <w:bottom w:val="single" w:sz="4" w:space="0" w:color="auto"/>
              <w:right w:val="single" w:sz="4" w:space="0" w:color="auto"/>
            </w:tcBorders>
          </w:tcPr>
          <w:p w14:paraId="469D8F27" w14:textId="77777777" w:rsidR="00622403" w:rsidRDefault="00622403" w:rsidP="00975021">
            <w:pPr>
              <w:jc w:val="both"/>
              <w:rPr>
                <w:rFonts w:eastAsiaTheme="minorHAnsi"/>
                <w:lang w:eastAsia="en-US"/>
              </w:rPr>
            </w:pPr>
          </w:p>
        </w:tc>
        <w:tc>
          <w:tcPr>
            <w:tcW w:w="6660" w:type="dxa"/>
            <w:tcBorders>
              <w:top w:val="single" w:sz="4" w:space="0" w:color="auto"/>
              <w:left w:val="single" w:sz="4" w:space="0" w:color="auto"/>
              <w:bottom w:val="single" w:sz="4" w:space="0" w:color="auto"/>
              <w:right w:val="single" w:sz="4" w:space="0" w:color="auto"/>
            </w:tcBorders>
          </w:tcPr>
          <w:p w14:paraId="57094510" w14:textId="77777777" w:rsidR="006E0B6F" w:rsidRDefault="000C3B83" w:rsidP="006E0B6F">
            <w:pPr>
              <w:spacing w:before="120" w:after="120" w:line="259" w:lineRule="auto"/>
              <w:jc w:val="both"/>
              <w:rPr>
                <w:b/>
              </w:rPr>
            </w:pPr>
            <w:r>
              <w:rPr>
                <w:b/>
              </w:rPr>
              <w:t xml:space="preserve">Latvijas darba devēju </w:t>
            </w:r>
            <w:r w:rsidR="00C17736">
              <w:rPr>
                <w:b/>
              </w:rPr>
              <w:t xml:space="preserve">konfederācijas </w:t>
            </w:r>
            <w:r>
              <w:rPr>
                <w:b/>
              </w:rPr>
              <w:t>2020. gada 21. februārī izteikts priekšlikums atkārtotas saskaņošanas laikā.</w:t>
            </w:r>
          </w:p>
          <w:p w14:paraId="3B4B3884" w14:textId="1399235E" w:rsidR="000C3B83" w:rsidRPr="006E0B6F" w:rsidRDefault="000C3B83" w:rsidP="006E0B6F">
            <w:pPr>
              <w:pStyle w:val="ListParagraph"/>
              <w:numPr>
                <w:ilvl w:val="0"/>
                <w:numId w:val="10"/>
              </w:numPr>
              <w:spacing w:before="120" w:after="120" w:line="259" w:lineRule="auto"/>
              <w:jc w:val="both"/>
              <w:rPr>
                <w:rFonts w:ascii="Times New Roman" w:hAnsi="Times New Roman"/>
                <w:bCs/>
                <w:sz w:val="24"/>
                <w:szCs w:val="24"/>
                <w:lang w:eastAsia="lv-LV"/>
              </w:rPr>
            </w:pPr>
            <w:r w:rsidRPr="006E0B6F">
              <w:rPr>
                <w:rFonts w:ascii="Times New Roman" w:hAnsi="Times New Roman"/>
                <w:bCs/>
                <w:sz w:val="24"/>
                <w:szCs w:val="24"/>
                <w:lang w:eastAsia="lv-LV"/>
              </w:rPr>
              <w:t>dublicēt 2021. –2027. gada plānošanas periodā un nodrošināt ātrāku ieviešanu ierobežotā projektu iesniegumu atlasē:</w:t>
            </w:r>
          </w:p>
          <w:p w14:paraId="4FC3EC4E" w14:textId="77777777" w:rsidR="000C3B83" w:rsidRPr="00622403" w:rsidRDefault="000C3B83" w:rsidP="00944DD4">
            <w:pPr>
              <w:numPr>
                <w:ilvl w:val="1"/>
                <w:numId w:val="10"/>
              </w:numPr>
              <w:spacing w:before="100" w:beforeAutospacing="1" w:after="100" w:afterAutospacing="1" w:line="259" w:lineRule="auto"/>
              <w:ind w:left="593"/>
              <w:jc w:val="both"/>
              <w:outlineLvl w:val="2"/>
              <w:rPr>
                <w:bCs/>
              </w:rPr>
            </w:pPr>
            <w:r w:rsidRPr="00622403">
              <w:rPr>
                <w:bCs/>
              </w:rPr>
              <w:t>SAM 8.5.1.</w:t>
            </w:r>
            <w:r w:rsidRPr="00622403">
              <w:t xml:space="preserve"> projektu “</w:t>
            </w:r>
            <w:r w:rsidRPr="00622403">
              <w:rPr>
                <w:bCs/>
              </w:rPr>
              <w:t xml:space="preserve">Profesionālo izglītības iestāžu audzēkņu dalība darba vidē balstītās mācībās un mācību praksēs uzņēmumos”, pamatojoties uz uzņēmumu pieprasījumu un labiem sasniegumiem projekta SAM 8.5.1. īstenošanā, kā arī progresējošu rezultatīvo rādītāju </w:t>
            </w:r>
            <w:r w:rsidRPr="00622403">
              <w:rPr>
                <w:bCs/>
              </w:rPr>
              <w:lastRenderedPageBreak/>
              <w:t xml:space="preserve">sasniegšanā (nodarbinātības rādītāji pēc profesionālo izglītības iestāžu audzēkņa dalības projektā); </w:t>
            </w:r>
          </w:p>
          <w:p w14:paraId="2A4D49B3" w14:textId="2DEF7785" w:rsidR="000C3B83" w:rsidRPr="00C17736" w:rsidRDefault="000C3B83" w:rsidP="00944DD4">
            <w:pPr>
              <w:numPr>
                <w:ilvl w:val="1"/>
                <w:numId w:val="10"/>
              </w:numPr>
              <w:spacing w:before="100" w:beforeAutospacing="1" w:after="100" w:afterAutospacing="1" w:line="259" w:lineRule="auto"/>
              <w:ind w:left="593"/>
              <w:jc w:val="both"/>
              <w:outlineLvl w:val="2"/>
              <w:rPr>
                <w:color w:val="000000"/>
                <w:shd w:val="clear" w:color="auto" w:fill="FFFFFF"/>
              </w:rPr>
            </w:pPr>
            <w:r w:rsidRPr="00622403">
              <w:rPr>
                <w:rFonts w:eastAsiaTheme="minorHAnsi"/>
                <w:bCs/>
                <w:lang w:eastAsia="en-US"/>
              </w:rPr>
              <w:t>SAM 3.4.2.2.</w:t>
            </w:r>
            <w:r w:rsidRPr="00622403">
              <w:rPr>
                <w:rFonts w:eastAsiaTheme="minorHAnsi"/>
                <w:lang w:eastAsia="en-US"/>
              </w:rPr>
              <w:t xml:space="preserve"> projektu "Sociālā dialoga attīstība labāka tiesiska regulējuma izstrādē uzņēmējdarbības atbalsta jomā", pamatojoties uz to, ka LDDK kā valdības sociālais partneris projekta īstenošanas periodā ir veicis būtiskas darbības (priekšlikumi likumdošanas izmaiņām, izpratnes veicināšana dažādās auditorijās, esošo nozaru koplīgumu ieviešana un attīstība), kas ir radījis pozitīvu attīstības tendenci un būtu uzturamas; </w:t>
            </w:r>
          </w:p>
          <w:p w14:paraId="721117F0" w14:textId="4241EE6A" w:rsidR="000C3B83" w:rsidRPr="00C17736" w:rsidRDefault="000C3B83" w:rsidP="00944DD4">
            <w:pPr>
              <w:numPr>
                <w:ilvl w:val="1"/>
                <w:numId w:val="10"/>
              </w:numPr>
              <w:spacing w:before="100" w:beforeAutospacing="1" w:after="100" w:afterAutospacing="1" w:line="259" w:lineRule="auto"/>
              <w:ind w:left="593"/>
              <w:jc w:val="both"/>
              <w:outlineLvl w:val="2"/>
              <w:rPr>
                <w:color w:val="000000"/>
                <w:shd w:val="clear" w:color="auto" w:fill="FFFFFF"/>
              </w:rPr>
            </w:pPr>
            <w:r w:rsidRPr="00C17736">
              <w:rPr>
                <w:rFonts w:eastAsiaTheme="minorHAnsi"/>
                <w:bCs/>
                <w:lang w:eastAsia="en-US"/>
              </w:rPr>
              <w:t>SAM 7.3.1.</w:t>
            </w:r>
            <w:r w:rsidRPr="00C17736">
              <w:rPr>
                <w:rFonts w:eastAsiaTheme="minorHAnsi"/>
                <w:lang w:eastAsia="en-US"/>
              </w:rPr>
              <w:t xml:space="preserve"> projektu “Darba drošības normatīvo aktu praktiskās ieviešanas un uzraudzības pilnveidošana”, pamatojoties uz visu veidu nozaru un dažāda lieluma uzņēmumu pieprasījumu un </w:t>
            </w:r>
            <w:r w:rsidRPr="00C17736">
              <w:rPr>
                <w:rFonts w:eastAsiaTheme="minorHAnsi"/>
                <w:bCs/>
                <w:lang w:eastAsia="en-US"/>
              </w:rPr>
              <w:t>ņemot vērā komplekso darba tiesību regulējumu, darba devējiem joprojām ir nepieciešams skaidrot darba likuma un darba aizsardzības likuma piemērošanu</w:t>
            </w:r>
            <w:r w:rsidR="00944DD4">
              <w:rPr>
                <w:rFonts w:eastAsiaTheme="minorHAnsi"/>
                <w:bCs/>
                <w:lang w:eastAsia="en-US"/>
              </w:rPr>
              <w:t>.</w:t>
            </w:r>
          </w:p>
          <w:p w14:paraId="169C7C03" w14:textId="77777777" w:rsidR="000C3B83" w:rsidRPr="00622403" w:rsidRDefault="000C3B83" w:rsidP="000C3B83">
            <w:pPr>
              <w:numPr>
                <w:ilvl w:val="0"/>
                <w:numId w:val="10"/>
              </w:numPr>
              <w:spacing w:before="120" w:after="120" w:line="259" w:lineRule="auto"/>
              <w:jc w:val="both"/>
              <w:rPr>
                <w:color w:val="000000"/>
                <w:shd w:val="clear" w:color="auto" w:fill="FFFFFF"/>
              </w:rPr>
            </w:pPr>
            <w:r w:rsidRPr="00622403">
              <w:rPr>
                <w:color w:val="000000"/>
                <w:shd w:val="clear" w:color="auto" w:fill="FFFFFF"/>
              </w:rPr>
              <w:t xml:space="preserve">papildināt informatīvā ziņojuma 8.punktu šādā redakcijā: </w:t>
            </w:r>
          </w:p>
          <w:p w14:paraId="2589AE3A" w14:textId="018871E9" w:rsidR="00622403" w:rsidRPr="00622403" w:rsidRDefault="000C3B83" w:rsidP="00FA3FAE">
            <w:pPr>
              <w:autoSpaceDE w:val="0"/>
              <w:autoSpaceDN w:val="0"/>
              <w:spacing w:before="120" w:after="120"/>
              <w:jc w:val="both"/>
              <w:rPr>
                <w:rFonts w:eastAsiaTheme="minorHAnsi"/>
                <w:color w:val="000000"/>
              </w:rPr>
            </w:pPr>
            <w:r w:rsidRPr="00622403">
              <w:rPr>
                <w:rFonts w:eastAsiaTheme="minorHAnsi"/>
                <w:color w:val="000000"/>
              </w:rPr>
              <w:t xml:space="preserve">“8. Ņemot vērā informatīvā ziņojuma astotajā nodaļā sniegto informāciju par nepieciešamību uzsākt investīcijas Eiropas Savienības fondu 2021.–2027. gada plānošanas periodā jau 2021. gadā, noteikt iespēju ātrāk uzsākt valsts galveno un reģionālo autoceļu kvalitātes uzlabošanas investīciju projektus; </w:t>
            </w:r>
            <w:r w:rsidRPr="00622403">
              <w:rPr>
                <w:rFonts w:eastAsiaTheme="minorHAnsi"/>
                <w:bCs/>
                <w:iCs/>
                <w:color w:val="000000"/>
                <w:u w:val="single"/>
              </w:rPr>
              <w:t>dublicēt SAM 8.5.1., 3.4.2.2., 7.3.1.  pie nosacījuma, ja Satiksmes ministrija, Izglītības un zinātnes ministrija, Labklājības ministrija un Valsts Kanceleja veic</w:t>
            </w:r>
            <w:r w:rsidRPr="00622403">
              <w:rPr>
                <w:rFonts w:eastAsiaTheme="minorHAnsi"/>
                <w:color w:val="000000"/>
              </w:rPr>
              <w:t xml:space="preserve"> nepieciešamās darbības, nodrošina plānošanas dokumentu transporta</w:t>
            </w:r>
            <w:r w:rsidRPr="00622403">
              <w:rPr>
                <w:rFonts w:eastAsiaTheme="minorHAnsi"/>
                <w:color w:val="000000"/>
                <w:u w:val="single"/>
              </w:rPr>
              <w:t>, darba tirgus, izglītības un sociālās politikas</w:t>
            </w:r>
            <w:r w:rsidRPr="00622403">
              <w:rPr>
                <w:rFonts w:eastAsiaTheme="minorHAnsi"/>
                <w:color w:val="000000"/>
              </w:rPr>
              <w:t xml:space="preserve"> jom</w:t>
            </w:r>
            <w:r w:rsidR="00FA3FAE">
              <w:rPr>
                <w:rFonts w:eastAsiaTheme="minorHAnsi"/>
                <w:color w:val="000000"/>
              </w:rPr>
              <w:t>u</w:t>
            </w:r>
            <w:r w:rsidRPr="00622403">
              <w:rPr>
                <w:rFonts w:eastAsiaTheme="minorHAnsi"/>
                <w:color w:val="000000"/>
              </w:rPr>
              <w:t xml:space="preserve"> ieguldījumu priekšnosacījuma pilnīgai izpildei apstiprināšanu </w:t>
            </w:r>
            <w:r w:rsidRPr="00622403">
              <w:rPr>
                <w:rFonts w:eastAsiaTheme="minorHAnsi"/>
                <w:color w:val="000000"/>
              </w:rPr>
              <w:lastRenderedPageBreak/>
              <w:t>Ministru kabinetā un saskaņošanu ar Eiropas Komisiju līdz 2020. gada 31. decembrim.”</w:t>
            </w:r>
          </w:p>
        </w:tc>
        <w:tc>
          <w:tcPr>
            <w:tcW w:w="2700" w:type="dxa"/>
            <w:tcBorders>
              <w:top w:val="single" w:sz="4" w:space="0" w:color="auto"/>
              <w:left w:val="single" w:sz="4" w:space="0" w:color="auto"/>
              <w:bottom w:val="single" w:sz="4" w:space="0" w:color="auto"/>
              <w:right w:val="single" w:sz="4" w:space="0" w:color="auto"/>
            </w:tcBorders>
          </w:tcPr>
          <w:p w14:paraId="1CB23B1C" w14:textId="6E7E34C7" w:rsidR="00622403" w:rsidRDefault="000C7712" w:rsidP="00975021">
            <w:pPr>
              <w:pStyle w:val="naisc"/>
              <w:spacing w:before="0" w:after="0"/>
              <w:jc w:val="both"/>
              <w:rPr>
                <w:b/>
                <w:lang w:eastAsia="en-US"/>
              </w:rPr>
            </w:pPr>
            <w:r>
              <w:rPr>
                <w:b/>
                <w:lang w:eastAsia="en-US"/>
              </w:rPr>
              <w:lastRenderedPageBreak/>
              <w:t>Daļēji</w:t>
            </w:r>
            <w:r w:rsidR="004C7E4F">
              <w:rPr>
                <w:b/>
                <w:lang w:eastAsia="en-US"/>
              </w:rPr>
              <w:t xml:space="preserve"> ņemts vērā.</w:t>
            </w:r>
          </w:p>
          <w:p w14:paraId="2DED9F7E" w14:textId="6DD3662A" w:rsidR="000B28CB" w:rsidRPr="00832415" w:rsidRDefault="004C7E4F" w:rsidP="00B61584">
            <w:pPr>
              <w:pStyle w:val="naisc"/>
              <w:spacing w:before="0" w:after="0"/>
              <w:jc w:val="both"/>
              <w:rPr>
                <w:lang w:eastAsia="en-US"/>
              </w:rPr>
            </w:pPr>
            <w:r w:rsidRPr="00832415">
              <w:rPr>
                <w:lang w:eastAsia="en-US"/>
              </w:rPr>
              <w:t>I</w:t>
            </w:r>
            <w:r w:rsidR="000C7712">
              <w:rPr>
                <w:lang w:eastAsia="en-US"/>
              </w:rPr>
              <w:t xml:space="preserve">nformējam, ka izstrādājot informatīvo ziņojumu, tika izvērtēts darbības programmas “Izaugsme un nodarbinātība” specifisko atbalsta mērķu (turpmāk – SAM) un pasākumu faktiskais ieviešanas </w:t>
            </w:r>
            <w:r w:rsidR="000C7712">
              <w:rPr>
                <w:lang w:eastAsia="en-US"/>
              </w:rPr>
              <w:lastRenderedPageBreak/>
              <w:t>progress</w:t>
            </w:r>
            <w:r w:rsidR="000C7712">
              <w:rPr>
                <w:rStyle w:val="FootnoteReference"/>
                <w:lang w:eastAsia="en-US"/>
              </w:rPr>
              <w:footnoteReference w:id="9"/>
            </w:r>
            <w:r w:rsidR="000C7712">
              <w:rPr>
                <w:lang w:eastAsia="en-US"/>
              </w:rPr>
              <w:t>, investīciju pārrāvuma risks, Eiropas Savienības fondu 2014.–2020.gada plānošanas perioda pieredze, savukārt attiecībā uz Eiropas Savienības fondu 2021.</w:t>
            </w:r>
            <w:r w:rsidR="001F581C">
              <w:rPr>
                <w:lang w:eastAsia="en-US"/>
              </w:rPr>
              <w:t>–</w:t>
            </w:r>
            <w:r w:rsidR="000C7712">
              <w:rPr>
                <w:lang w:eastAsia="en-US"/>
              </w:rPr>
              <w:t xml:space="preserve">2027.gada  tika vērtēta ieguldījumu priekšnosacījumu izpilde (t.sk. nozares plānošanas dokumentu </w:t>
            </w:r>
            <w:r w:rsidR="001F581C">
              <w:rPr>
                <w:lang w:eastAsia="en-US"/>
              </w:rPr>
              <w:t>plānotais izstrādes laika grafiks),</w:t>
            </w:r>
            <w:r w:rsidR="000C7712">
              <w:rPr>
                <w:lang w:eastAsia="en-US"/>
              </w:rPr>
              <w:t xml:space="preserve"> plānoto projektu gatavības pakāpe</w:t>
            </w:r>
            <w:r w:rsidR="001F581C">
              <w:rPr>
                <w:lang w:eastAsia="en-US"/>
              </w:rPr>
              <w:t xml:space="preserve"> un ieviešanas mehānisms</w:t>
            </w:r>
            <w:r w:rsidR="000C7712">
              <w:rPr>
                <w:lang w:eastAsia="en-US"/>
              </w:rPr>
              <w:t xml:space="preserve">. Izvērtējot augstāk minētos aspektus attiecībā uz darbības </w:t>
            </w:r>
            <w:r w:rsidRPr="00832415">
              <w:rPr>
                <w:lang w:eastAsia="en-US"/>
              </w:rPr>
              <w:t>programmas “Izaugsme un nodarbinātība”</w:t>
            </w:r>
            <w:r w:rsidR="000C7712">
              <w:rPr>
                <w:lang w:eastAsia="en-US"/>
              </w:rPr>
              <w:t xml:space="preserve"> 3.4.2.2.pasākumu </w:t>
            </w:r>
            <w:r w:rsidR="000B28CB">
              <w:rPr>
                <w:lang w:eastAsia="en-US"/>
              </w:rPr>
              <w:t>“</w:t>
            </w:r>
            <w:r w:rsidR="00B61584" w:rsidRPr="00B61584">
              <w:rPr>
                <w:lang w:eastAsia="en-US"/>
              </w:rPr>
              <w:t>Sociālā dialoga attīstība labāka tiesiska regulējuma izstrādē uzņēmējdarbības atbalsta jomā</w:t>
            </w:r>
            <w:r w:rsidR="000B28CB">
              <w:rPr>
                <w:lang w:eastAsia="en-US"/>
              </w:rPr>
              <w:t>”, 7.3.2.</w:t>
            </w:r>
            <w:r w:rsidR="000C7712">
              <w:rPr>
                <w:lang w:eastAsia="en-US"/>
              </w:rPr>
              <w:t>SAM</w:t>
            </w:r>
            <w:r w:rsidR="000B28CB">
              <w:rPr>
                <w:lang w:eastAsia="en-US"/>
              </w:rPr>
              <w:t xml:space="preserve"> “</w:t>
            </w:r>
            <w:r w:rsidR="00B61584" w:rsidRPr="00B61584">
              <w:rPr>
                <w:lang w:eastAsia="en-US"/>
              </w:rPr>
              <w:t>Paildzināt gados vecāku nodarbināto darbspēju saglabāšanu un nodarbinātību</w:t>
            </w:r>
            <w:r w:rsidR="000B28CB">
              <w:rPr>
                <w:lang w:eastAsia="en-US"/>
              </w:rPr>
              <w:t xml:space="preserve">” un </w:t>
            </w:r>
            <w:r w:rsidR="000B28CB">
              <w:rPr>
                <w:lang w:eastAsia="en-US"/>
              </w:rPr>
              <w:lastRenderedPageBreak/>
              <w:t>8.5.1.</w:t>
            </w:r>
            <w:r w:rsidR="000C7712">
              <w:rPr>
                <w:lang w:eastAsia="en-US"/>
              </w:rPr>
              <w:t>SAM</w:t>
            </w:r>
            <w:r w:rsidR="000B28CB">
              <w:rPr>
                <w:lang w:eastAsia="en-US"/>
              </w:rPr>
              <w:t xml:space="preserve"> “</w:t>
            </w:r>
            <w:r w:rsidR="00B61584" w:rsidRPr="00B61584">
              <w:rPr>
                <w:lang w:eastAsia="en-US"/>
              </w:rPr>
              <w:t>Palielināt kvalificētu profesionālās izglītības iestāžu audzēkņu skaitu pēc to dalības darba vidē balstītās mācībās vai mācību praksē uzņēmumā</w:t>
            </w:r>
            <w:r w:rsidR="000B28CB">
              <w:rPr>
                <w:lang w:eastAsia="en-US"/>
              </w:rPr>
              <w:t>”</w:t>
            </w:r>
            <w:r w:rsidR="000C7712">
              <w:rPr>
                <w:lang w:eastAsia="en-US"/>
              </w:rPr>
              <w:t>, Finanšu ministrija nesaskatīja</w:t>
            </w:r>
            <w:r w:rsidR="000B28CB">
              <w:rPr>
                <w:lang w:eastAsia="en-US"/>
              </w:rPr>
              <w:t xml:space="preserve"> iespējamo</w:t>
            </w:r>
            <w:r w:rsidR="000B28CB" w:rsidRPr="000B28CB">
              <w:rPr>
                <w:lang w:eastAsia="en-US"/>
              </w:rPr>
              <w:t xml:space="preserve"> investīciju pārrāvuma riskus</w:t>
            </w:r>
            <w:r w:rsidR="000B28CB">
              <w:rPr>
                <w:lang w:eastAsia="en-US"/>
              </w:rPr>
              <w:t>.</w:t>
            </w:r>
            <w:r w:rsidR="00450B2A">
              <w:rPr>
                <w:lang w:eastAsia="en-US"/>
              </w:rPr>
              <w:t xml:space="preserve"> </w:t>
            </w:r>
            <w:r w:rsidR="000C7712">
              <w:rPr>
                <w:lang w:eastAsia="en-US"/>
              </w:rPr>
              <w:t>Vienlaikus turpmāk izvērtējot darbības programmas “Izaugsme un nodarbinātībā” SAM/pasākumu ieviešanas progresu, var tikt izvērtēta iespēja pārskatīt</w:t>
            </w:r>
            <w:r w:rsidR="0072208E">
              <w:rPr>
                <w:lang w:eastAsia="en-US"/>
              </w:rPr>
              <w:t xml:space="preserve"> Eiropas Soc</w:t>
            </w:r>
            <w:r w:rsidR="000C7712">
              <w:rPr>
                <w:lang w:eastAsia="en-US"/>
              </w:rPr>
              <w:t xml:space="preserve">iālā fonda finansējuma atlikumus </w:t>
            </w:r>
            <w:r w:rsidR="000C7C5D">
              <w:rPr>
                <w:lang w:eastAsia="en-US"/>
              </w:rPr>
              <w:t>un projektu ieviešanas termiņus, kā arī, kā tas norādīts informatīvajā ziņojumā, g</w:t>
            </w:r>
            <w:r w:rsidR="000C7C5D" w:rsidRPr="000C7C5D">
              <w:rPr>
                <w:lang w:eastAsia="en-US"/>
              </w:rPr>
              <w:t xml:space="preserve">adījumā, ja </w:t>
            </w:r>
            <w:r w:rsidR="000C7C5D">
              <w:rPr>
                <w:lang w:eastAsia="en-US"/>
              </w:rPr>
              <w:t>atbildīgās iestādes</w:t>
            </w:r>
            <w:r w:rsidR="000C7C5D" w:rsidRPr="000C7C5D">
              <w:rPr>
                <w:lang w:eastAsia="en-US"/>
              </w:rPr>
              <w:t xml:space="preserve"> identificē</w:t>
            </w:r>
            <w:r w:rsidR="000C7C5D">
              <w:rPr>
                <w:lang w:eastAsia="en-US"/>
              </w:rPr>
              <w:t>s</w:t>
            </w:r>
            <w:r w:rsidR="000C7C5D" w:rsidRPr="000C7C5D">
              <w:rPr>
                <w:lang w:eastAsia="en-US"/>
              </w:rPr>
              <w:t xml:space="preserve"> nozīmīgus investīciju pārrāvumu riskus, </w:t>
            </w:r>
            <w:r w:rsidR="000C7C5D">
              <w:rPr>
                <w:lang w:eastAsia="en-US"/>
              </w:rPr>
              <w:t>ir iespējams vērtēt arī citu projektu</w:t>
            </w:r>
            <w:r w:rsidR="000C7C5D" w:rsidRPr="000C7C5D">
              <w:rPr>
                <w:lang w:eastAsia="en-US"/>
              </w:rPr>
              <w:t xml:space="preserve"> ātrāku uzsākšanu</w:t>
            </w:r>
            <w:r w:rsidR="000C7C5D">
              <w:rPr>
                <w:lang w:eastAsia="en-US"/>
              </w:rPr>
              <w:t xml:space="preserve">, </w:t>
            </w:r>
            <w:r w:rsidR="00FA3FAE">
              <w:rPr>
                <w:lang w:eastAsia="en-US"/>
              </w:rPr>
              <w:t>paredz</w:t>
            </w:r>
            <w:r w:rsidR="005335BE">
              <w:rPr>
                <w:lang w:eastAsia="en-US"/>
              </w:rPr>
              <w:t>ot</w:t>
            </w:r>
            <w:r w:rsidR="00FA3FAE">
              <w:rPr>
                <w:lang w:eastAsia="en-US"/>
              </w:rPr>
              <w:t xml:space="preserve"> uzņemties izdevumu attiecināmības un fiskālo risku,</w:t>
            </w:r>
            <w:r w:rsidR="00FB1B28">
              <w:rPr>
                <w:lang w:eastAsia="en-US"/>
              </w:rPr>
              <w:t xml:space="preserve"> </w:t>
            </w:r>
            <w:r w:rsidR="00FA3FAE">
              <w:rPr>
                <w:lang w:eastAsia="en-US"/>
              </w:rPr>
              <w:t xml:space="preserve">   </w:t>
            </w:r>
            <w:r w:rsidR="00B61584">
              <w:rPr>
                <w:lang w:eastAsia="en-US"/>
              </w:rPr>
              <w:t xml:space="preserve">vienlaikus </w:t>
            </w:r>
            <w:r w:rsidR="00FA3FAE">
              <w:rPr>
                <w:lang w:eastAsia="en-US"/>
              </w:rPr>
              <w:lastRenderedPageBreak/>
              <w:t>izvērtējot būtiskākos riskus</w:t>
            </w:r>
            <w:r w:rsidR="00FB1B28">
              <w:rPr>
                <w:lang w:eastAsia="en-US"/>
              </w:rPr>
              <w:t xml:space="preserve"> un izstrādājot </w:t>
            </w:r>
            <w:r w:rsidR="00FB1B28">
              <w:t xml:space="preserve"> </w:t>
            </w:r>
            <w:r w:rsidR="00FB1B28">
              <w:rPr>
                <w:lang w:eastAsia="en-US"/>
              </w:rPr>
              <w:t>skaidrus</w:t>
            </w:r>
            <w:r w:rsidR="00FB1B28" w:rsidRPr="00FB1B28">
              <w:rPr>
                <w:lang w:eastAsia="en-US"/>
              </w:rPr>
              <w:t xml:space="preserve"> </w:t>
            </w:r>
            <w:r w:rsidR="00FB1B28">
              <w:rPr>
                <w:lang w:eastAsia="en-US"/>
              </w:rPr>
              <w:t>un ar Eiropas Komisiju saskaņotus ieviešanas nosacījumus</w:t>
            </w:r>
            <w:r w:rsidR="00B61584">
              <w:rPr>
                <w:lang w:eastAsia="en-US"/>
              </w:rPr>
              <w:t xml:space="preserve">, līdztekus </w:t>
            </w:r>
            <w:r w:rsidR="00FB1B28" w:rsidRPr="00FB1B28">
              <w:rPr>
                <w:lang w:eastAsia="en-US"/>
              </w:rPr>
              <w:t xml:space="preserve"> </w:t>
            </w:r>
            <w:r w:rsidR="00FA3FAE">
              <w:rPr>
                <w:lang w:eastAsia="en-US"/>
              </w:rPr>
              <w:t xml:space="preserve"> </w:t>
            </w:r>
            <w:r w:rsidR="00B61584">
              <w:rPr>
                <w:lang w:eastAsia="en-US"/>
              </w:rPr>
              <w:t xml:space="preserve"> nodrošinot ieguldījumu priekšnosacījumu izpildi (</w:t>
            </w:r>
            <w:r w:rsidR="00FA3FAE">
              <w:rPr>
                <w:lang w:eastAsia="en-US"/>
              </w:rPr>
              <w:t>nozares stratēģijai jābūt saskaņotai ar E</w:t>
            </w:r>
            <w:r w:rsidR="00B61584">
              <w:rPr>
                <w:lang w:eastAsia="en-US"/>
              </w:rPr>
              <w:t xml:space="preserve">iropas </w:t>
            </w:r>
            <w:r w:rsidR="00FA3FAE">
              <w:rPr>
                <w:lang w:eastAsia="en-US"/>
              </w:rPr>
              <w:t>K</w:t>
            </w:r>
            <w:r w:rsidR="00B61584">
              <w:rPr>
                <w:lang w:eastAsia="en-US"/>
              </w:rPr>
              <w:t>omisiju).</w:t>
            </w:r>
          </w:p>
        </w:tc>
        <w:tc>
          <w:tcPr>
            <w:tcW w:w="2259" w:type="dxa"/>
            <w:vMerge/>
            <w:tcBorders>
              <w:left w:val="single" w:sz="4" w:space="0" w:color="auto"/>
              <w:bottom w:val="single" w:sz="4" w:space="0" w:color="auto"/>
              <w:right w:val="single" w:sz="4" w:space="0" w:color="auto"/>
            </w:tcBorders>
          </w:tcPr>
          <w:p w14:paraId="100C7600" w14:textId="77777777" w:rsidR="00622403" w:rsidRDefault="00622403" w:rsidP="00975021">
            <w:pPr>
              <w:pStyle w:val="Default"/>
              <w:shd w:val="clear" w:color="auto" w:fill="FFFFFF" w:themeFill="background1"/>
              <w:tabs>
                <w:tab w:val="left" w:pos="0"/>
              </w:tabs>
              <w:jc w:val="both"/>
            </w:pPr>
          </w:p>
        </w:tc>
      </w:tr>
      <w:tr w:rsidR="00975021" w:rsidRPr="000D0380" w14:paraId="02FF664D" w14:textId="77777777" w:rsidTr="006C2AE0">
        <w:trPr>
          <w:trHeight w:val="394"/>
        </w:trPr>
        <w:tc>
          <w:tcPr>
            <w:tcW w:w="988" w:type="dxa"/>
            <w:tcBorders>
              <w:top w:val="single" w:sz="4" w:space="0" w:color="auto"/>
              <w:left w:val="single" w:sz="4" w:space="0" w:color="auto"/>
              <w:bottom w:val="single" w:sz="4" w:space="0" w:color="auto"/>
              <w:right w:val="single" w:sz="4" w:space="0" w:color="auto"/>
            </w:tcBorders>
          </w:tcPr>
          <w:p w14:paraId="4D4FD32F" w14:textId="77777777" w:rsidR="00975021" w:rsidRPr="000D0380" w:rsidRDefault="00975021" w:rsidP="00F1131F">
            <w:pPr>
              <w:pStyle w:val="ListParagraph"/>
              <w:numPr>
                <w:ilvl w:val="0"/>
                <w:numId w:val="9"/>
              </w:numPr>
              <w:tabs>
                <w:tab w:val="left" w:pos="360"/>
              </w:tabs>
              <w:jc w:val="both"/>
              <w:rPr>
                <w:rFonts w:ascii="Times New Roman" w:hAnsi="Times New Roman"/>
              </w:rPr>
            </w:pPr>
          </w:p>
        </w:tc>
        <w:tc>
          <w:tcPr>
            <w:tcW w:w="2697" w:type="dxa"/>
            <w:tcBorders>
              <w:top w:val="single" w:sz="4" w:space="0" w:color="auto"/>
              <w:left w:val="single" w:sz="4" w:space="0" w:color="auto"/>
              <w:bottom w:val="single" w:sz="4" w:space="0" w:color="auto"/>
              <w:right w:val="single" w:sz="4" w:space="0" w:color="auto"/>
            </w:tcBorders>
          </w:tcPr>
          <w:p w14:paraId="0A6590B6" w14:textId="52BB7199" w:rsidR="00975021" w:rsidRPr="000D0380" w:rsidRDefault="00975021" w:rsidP="00975021">
            <w:pPr>
              <w:jc w:val="both"/>
              <w:rPr>
                <w:rFonts w:eastAsiaTheme="minorHAnsi"/>
                <w:lang w:eastAsia="en-US"/>
              </w:rPr>
            </w:pPr>
            <w:r w:rsidRPr="000D0380">
              <w:rPr>
                <w:rFonts w:eastAsiaTheme="minorHAnsi"/>
                <w:lang w:eastAsia="en-US"/>
              </w:rPr>
              <w:t>Informatīvā ziņojuma 2. pielikums “EEZ/Norvēģijas investīciju 2014. - 2021. gada perioda programmu Ministru kabineta noteikumu izstrādes, atklāto konkursu izsludināšanas un iepriekš noteikto projektu indikatīvais laika grafiks”.</w:t>
            </w:r>
          </w:p>
        </w:tc>
        <w:tc>
          <w:tcPr>
            <w:tcW w:w="6660" w:type="dxa"/>
            <w:tcBorders>
              <w:top w:val="single" w:sz="4" w:space="0" w:color="auto"/>
              <w:left w:val="single" w:sz="4" w:space="0" w:color="auto"/>
              <w:bottom w:val="single" w:sz="4" w:space="0" w:color="auto"/>
              <w:right w:val="single" w:sz="4" w:space="0" w:color="auto"/>
            </w:tcBorders>
          </w:tcPr>
          <w:p w14:paraId="6E45C6EC" w14:textId="0D31FADC" w:rsidR="00975021" w:rsidRPr="000D0380" w:rsidRDefault="00975021" w:rsidP="00975021">
            <w:pPr>
              <w:widowControl w:val="0"/>
              <w:jc w:val="both"/>
              <w:rPr>
                <w:b/>
              </w:rPr>
            </w:pPr>
            <w:r w:rsidRPr="000D0380">
              <w:rPr>
                <w:b/>
              </w:rPr>
              <w:t>Priekšlikums</w:t>
            </w:r>
          </w:p>
          <w:p w14:paraId="7C01D2FE" w14:textId="4B67F599" w:rsidR="00975021" w:rsidRPr="000D0380" w:rsidRDefault="00975021" w:rsidP="00975021">
            <w:pPr>
              <w:widowControl w:val="0"/>
              <w:jc w:val="both"/>
              <w:rPr>
                <w:b/>
              </w:rPr>
            </w:pPr>
            <w:r w:rsidRPr="000D0380">
              <w:rPr>
                <w:b/>
              </w:rPr>
              <w:t>Kultūras ministrija</w:t>
            </w:r>
          </w:p>
          <w:p w14:paraId="756D5966" w14:textId="6D08675C" w:rsidR="00975021" w:rsidRPr="000D0380" w:rsidRDefault="00975021" w:rsidP="00975021">
            <w:pPr>
              <w:widowControl w:val="0"/>
              <w:jc w:val="both"/>
              <w:rPr>
                <w:b/>
                <w:lang w:eastAsia="en-US"/>
              </w:rPr>
            </w:pPr>
            <w:r w:rsidRPr="000D0380">
              <w:rPr>
                <w:lang w:eastAsia="en-US"/>
              </w:rPr>
              <w:t>Izskatot informatīvo ziņojumu un tā pielikumus, rosinām tehniska rakstura priekšlikumu, tas ir, informatīvajā ziņojumā EEZ FI sadaļā tiek lietots programmas nosaukums „Vietējā attīstība, nabadzības mazināšana un kultūras sadarbība” savukārt pielikumā Nr.2. programmas nosaukums – „Reģionu attīstība, nabadzības mazināšana un kultūras sadarbība”, lai nerastos interpretācijas iespējas, kā arī nodrošinātu, ka informācija tiek lietota par vienu un to pašu programmu, lūdzam lietot vienu no šiem programmas nosaukumiem, attiecīgi lietojot atbilstošo.</w:t>
            </w:r>
          </w:p>
        </w:tc>
        <w:tc>
          <w:tcPr>
            <w:tcW w:w="2700" w:type="dxa"/>
            <w:tcBorders>
              <w:top w:val="single" w:sz="4" w:space="0" w:color="auto"/>
              <w:left w:val="single" w:sz="4" w:space="0" w:color="auto"/>
              <w:bottom w:val="single" w:sz="4" w:space="0" w:color="auto"/>
              <w:right w:val="single" w:sz="4" w:space="0" w:color="auto"/>
            </w:tcBorders>
          </w:tcPr>
          <w:p w14:paraId="767235D2" w14:textId="545F5947" w:rsidR="00975021" w:rsidRPr="000D0380" w:rsidRDefault="00294E10" w:rsidP="00975021">
            <w:pPr>
              <w:pStyle w:val="naisc"/>
              <w:spacing w:before="0" w:after="0"/>
              <w:jc w:val="both"/>
              <w:rPr>
                <w:b/>
                <w:lang w:eastAsia="en-US"/>
              </w:rPr>
            </w:pPr>
            <w:r>
              <w:rPr>
                <w:b/>
                <w:lang w:eastAsia="en-US"/>
              </w:rPr>
              <w:t>Ņemts vērā.</w:t>
            </w:r>
          </w:p>
          <w:p w14:paraId="7F0BA299" w14:textId="1687ADCE" w:rsidR="00975021" w:rsidRPr="000D0380" w:rsidRDefault="00975021" w:rsidP="00975021">
            <w:pPr>
              <w:pStyle w:val="naisc"/>
              <w:spacing w:before="0" w:after="0"/>
              <w:jc w:val="both"/>
              <w:rPr>
                <w:b/>
                <w:lang w:eastAsia="en-US"/>
              </w:rPr>
            </w:pPr>
            <w:r w:rsidRPr="000D0380">
              <w:rPr>
                <w:lang w:eastAsia="en-US"/>
              </w:rPr>
              <w:t>Pielikumā precizēts programmas nosaukums no “reģionu attīstība” uz “vietējā attīstība.</w:t>
            </w:r>
          </w:p>
        </w:tc>
        <w:tc>
          <w:tcPr>
            <w:tcW w:w="2259" w:type="dxa"/>
            <w:tcBorders>
              <w:top w:val="single" w:sz="4" w:space="0" w:color="auto"/>
              <w:left w:val="single" w:sz="4" w:space="0" w:color="auto"/>
              <w:bottom w:val="single" w:sz="4" w:space="0" w:color="auto"/>
              <w:right w:val="single" w:sz="4" w:space="0" w:color="auto"/>
            </w:tcBorders>
          </w:tcPr>
          <w:p w14:paraId="7C69D438" w14:textId="4ABD0B19" w:rsidR="00975021" w:rsidRPr="0088508F" w:rsidRDefault="00975021" w:rsidP="00975021">
            <w:pPr>
              <w:pStyle w:val="Default"/>
              <w:jc w:val="both"/>
            </w:pPr>
            <w:r w:rsidRPr="0088508F">
              <w:t xml:space="preserve">Skatīt </w:t>
            </w:r>
            <w:r>
              <w:t xml:space="preserve">precizētu </w:t>
            </w:r>
            <w:r w:rsidRPr="0088508F">
              <w:t>pielikumu Nr. 4.</w:t>
            </w:r>
          </w:p>
        </w:tc>
      </w:tr>
      <w:tr w:rsidR="00975021" w:rsidRPr="000D0380" w14:paraId="22DF4EF9" w14:textId="77777777" w:rsidTr="006C2AE0">
        <w:trPr>
          <w:trHeight w:val="394"/>
        </w:trPr>
        <w:tc>
          <w:tcPr>
            <w:tcW w:w="988" w:type="dxa"/>
            <w:tcBorders>
              <w:top w:val="single" w:sz="4" w:space="0" w:color="auto"/>
              <w:left w:val="single" w:sz="4" w:space="0" w:color="auto"/>
              <w:bottom w:val="single" w:sz="4" w:space="0" w:color="auto"/>
              <w:right w:val="single" w:sz="4" w:space="0" w:color="auto"/>
            </w:tcBorders>
          </w:tcPr>
          <w:p w14:paraId="4F820456" w14:textId="77777777" w:rsidR="00975021" w:rsidRPr="000D0380" w:rsidRDefault="00975021" w:rsidP="00F1131F">
            <w:pPr>
              <w:pStyle w:val="ListParagraph"/>
              <w:numPr>
                <w:ilvl w:val="0"/>
                <w:numId w:val="9"/>
              </w:numPr>
              <w:tabs>
                <w:tab w:val="left" w:pos="360"/>
              </w:tabs>
              <w:jc w:val="both"/>
              <w:rPr>
                <w:rFonts w:ascii="Times New Roman" w:hAnsi="Times New Roman"/>
              </w:rPr>
            </w:pPr>
          </w:p>
        </w:tc>
        <w:tc>
          <w:tcPr>
            <w:tcW w:w="2697" w:type="dxa"/>
            <w:tcBorders>
              <w:top w:val="single" w:sz="4" w:space="0" w:color="auto"/>
              <w:left w:val="single" w:sz="4" w:space="0" w:color="auto"/>
              <w:bottom w:val="single" w:sz="4" w:space="0" w:color="auto"/>
              <w:right w:val="single" w:sz="4" w:space="0" w:color="auto"/>
            </w:tcBorders>
          </w:tcPr>
          <w:p w14:paraId="49ED4875" w14:textId="58D342F2" w:rsidR="00975021" w:rsidRPr="000D0380" w:rsidRDefault="00975021" w:rsidP="00975021">
            <w:pPr>
              <w:jc w:val="both"/>
              <w:rPr>
                <w:rFonts w:eastAsiaTheme="minorHAnsi"/>
                <w:lang w:eastAsia="en-US"/>
              </w:rPr>
            </w:pPr>
            <w:r w:rsidRPr="000D0380">
              <w:rPr>
                <w:rFonts w:eastAsiaTheme="minorHAnsi"/>
                <w:lang w:eastAsia="en-US"/>
              </w:rPr>
              <w:t xml:space="preserve">Informatīvā ziņojuma 2. pielikums “EEZ/Norvēģijas investīciju 2014. - 2021. gada perioda programmu Ministru kabineta noteikumu izstrādes, atklāto konkursu izsludināšanas un iepriekš noteikto projektu </w:t>
            </w:r>
            <w:r w:rsidRPr="000D0380">
              <w:rPr>
                <w:rFonts w:eastAsiaTheme="minorHAnsi"/>
                <w:lang w:eastAsia="en-US"/>
              </w:rPr>
              <w:lastRenderedPageBreak/>
              <w:t>indikatīvais laika grafiks”.</w:t>
            </w:r>
          </w:p>
        </w:tc>
        <w:tc>
          <w:tcPr>
            <w:tcW w:w="6660" w:type="dxa"/>
            <w:tcBorders>
              <w:top w:val="single" w:sz="4" w:space="0" w:color="auto"/>
              <w:left w:val="single" w:sz="4" w:space="0" w:color="auto"/>
              <w:bottom w:val="single" w:sz="4" w:space="0" w:color="auto"/>
              <w:right w:val="single" w:sz="4" w:space="0" w:color="auto"/>
            </w:tcBorders>
          </w:tcPr>
          <w:p w14:paraId="421596C1" w14:textId="75CFD29E" w:rsidR="00975021" w:rsidRPr="000D0380" w:rsidRDefault="00975021" w:rsidP="00975021">
            <w:pPr>
              <w:widowControl w:val="0"/>
              <w:jc w:val="both"/>
              <w:rPr>
                <w:b/>
              </w:rPr>
            </w:pPr>
            <w:r w:rsidRPr="000D0380">
              <w:rPr>
                <w:b/>
              </w:rPr>
              <w:lastRenderedPageBreak/>
              <w:t>Priekšlikums</w:t>
            </w:r>
          </w:p>
          <w:p w14:paraId="3BBC1C66" w14:textId="39245675" w:rsidR="00975021" w:rsidRPr="000D0380" w:rsidRDefault="00975021" w:rsidP="00975021">
            <w:pPr>
              <w:widowControl w:val="0"/>
              <w:jc w:val="both"/>
              <w:rPr>
                <w:b/>
              </w:rPr>
            </w:pPr>
            <w:r w:rsidRPr="000D0380">
              <w:rPr>
                <w:b/>
              </w:rPr>
              <w:t>Izglītības un zinātnes ministrija</w:t>
            </w:r>
          </w:p>
          <w:p w14:paraId="1F9D1450" w14:textId="77777777" w:rsidR="00975021" w:rsidRPr="000D0380" w:rsidRDefault="00975021" w:rsidP="00975021">
            <w:pPr>
              <w:widowControl w:val="0"/>
              <w:jc w:val="both"/>
            </w:pPr>
            <w:r w:rsidRPr="000D0380">
              <w:t>Nepieciešams veikt precizējumus ziņojuma </w:t>
            </w:r>
          </w:p>
          <w:p w14:paraId="3A9A50C4" w14:textId="05BC307E" w:rsidR="00975021" w:rsidRPr="000D0380" w:rsidRDefault="00975021" w:rsidP="00975021">
            <w:pPr>
              <w:widowControl w:val="0"/>
              <w:jc w:val="both"/>
            </w:pPr>
            <w:r w:rsidRPr="000D0380">
              <w:t>2. pielikumā “EEZ/Norvēģijas investīciju 2014. - 2021. gada perioda programmu Ministru kabineta noteikumu izstrādes, atklāto konkursu izsludināšanas un iepriekš noteikto projektu indikatīvais laika grafiks”.</w:t>
            </w:r>
          </w:p>
          <w:p w14:paraId="2F019BF4" w14:textId="78434714" w:rsidR="00975021" w:rsidRPr="000D0380" w:rsidRDefault="00975021" w:rsidP="00975021">
            <w:pPr>
              <w:jc w:val="both"/>
              <w:rPr>
                <w:b/>
                <w:lang w:eastAsia="en-US"/>
              </w:rPr>
            </w:pPr>
            <w:r w:rsidRPr="000D0380">
              <w:rPr>
                <w:lang w:eastAsia="zh-CN"/>
              </w:rPr>
              <w:t>Tā kā 2.pielikuma tabulā nav tāda apzīmējuma kā “iesniegts MK”, tad nepieciešams precizēt laika grafiku.</w:t>
            </w:r>
          </w:p>
        </w:tc>
        <w:tc>
          <w:tcPr>
            <w:tcW w:w="2700" w:type="dxa"/>
            <w:tcBorders>
              <w:top w:val="single" w:sz="4" w:space="0" w:color="auto"/>
              <w:left w:val="single" w:sz="4" w:space="0" w:color="auto"/>
              <w:bottom w:val="single" w:sz="4" w:space="0" w:color="auto"/>
              <w:right w:val="single" w:sz="4" w:space="0" w:color="auto"/>
            </w:tcBorders>
          </w:tcPr>
          <w:p w14:paraId="5FF6E6F1" w14:textId="59CE2BFD" w:rsidR="00975021" w:rsidRPr="000D0380" w:rsidRDefault="00975021" w:rsidP="00975021">
            <w:pPr>
              <w:pStyle w:val="naisc"/>
              <w:jc w:val="both"/>
              <w:rPr>
                <w:b/>
                <w:lang w:eastAsia="en-US"/>
              </w:rPr>
            </w:pPr>
            <w:r w:rsidRPr="000D0380">
              <w:rPr>
                <w:b/>
                <w:lang w:eastAsia="en-US"/>
              </w:rPr>
              <w:t>Ņe</w:t>
            </w:r>
            <w:r w:rsidR="00294E10">
              <w:rPr>
                <w:b/>
                <w:lang w:eastAsia="en-US"/>
              </w:rPr>
              <w:t>mts vērā.</w:t>
            </w:r>
          </w:p>
          <w:p w14:paraId="6BC8A53F" w14:textId="1E068325" w:rsidR="00975021" w:rsidRPr="000D0380" w:rsidRDefault="00975021" w:rsidP="00975021">
            <w:pPr>
              <w:pStyle w:val="naisc"/>
              <w:spacing w:before="0" w:after="0"/>
              <w:jc w:val="both"/>
              <w:rPr>
                <w:b/>
                <w:lang w:eastAsia="en-US"/>
              </w:rPr>
            </w:pPr>
            <w:r w:rsidRPr="000D0380">
              <w:rPr>
                <w:lang w:eastAsia="en-US"/>
              </w:rPr>
              <w:t>Pielikumā precizēts indikatīvais laika grafiks.</w:t>
            </w:r>
          </w:p>
        </w:tc>
        <w:tc>
          <w:tcPr>
            <w:tcW w:w="2259" w:type="dxa"/>
            <w:tcBorders>
              <w:top w:val="single" w:sz="4" w:space="0" w:color="auto"/>
              <w:left w:val="single" w:sz="4" w:space="0" w:color="auto"/>
              <w:bottom w:val="single" w:sz="4" w:space="0" w:color="auto"/>
              <w:right w:val="single" w:sz="4" w:space="0" w:color="auto"/>
            </w:tcBorders>
          </w:tcPr>
          <w:p w14:paraId="0B785847" w14:textId="43B99212" w:rsidR="00975021" w:rsidRPr="000D0380" w:rsidRDefault="00975021" w:rsidP="00975021">
            <w:pPr>
              <w:pStyle w:val="Default"/>
              <w:jc w:val="both"/>
            </w:pPr>
            <w:r w:rsidRPr="0088508F">
              <w:t xml:space="preserve">Skatīt </w:t>
            </w:r>
            <w:r>
              <w:t xml:space="preserve">precizētu </w:t>
            </w:r>
            <w:r w:rsidRPr="0088508F">
              <w:t>pielikumu Nr. 4.</w:t>
            </w:r>
          </w:p>
        </w:tc>
      </w:tr>
      <w:tr w:rsidR="00975021" w:rsidRPr="000D0380" w14:paraId="67F56AD7" w14:textId="77777777" w:rsidTr="006C2AE0">
        <w:trPr>
          <w:trHeight w:val="394"/>
        </w:trPr>
        <w:tc>
          <w:tcPr>
            <w:tcW w:w="988" w:type="dxa"/>
            <w:tcBorders>
              <w:top w:val="single" w:sz="4" w:space="0" w:color="auto"/>
              <w:left w:val="single" w:sz="4" w:space="0" w:color="auto"/>
              <w:bottom w:val="single" w:sz="4" w:space="0" w:color="auto"/>
              <w:right w:val="single" w:sz="4" w:space="0" w:color="auto"/>
            </w:tcBorders>
          </w:tcPr>
          <w:p w14:paraId="169C048A" w14:textId="77777777" w:rsidR="00975021" w:rsidRPr="000D0380" w:rsidRDefault="00975021" w:rsidP="00F1131F">
            <w:pPr>
              <w:pStyle w:val="ListParagraph"/>
              <w:numPr>
                <w:ilvl w:val="0"/>
                <w:numId w:val="9"/>
              </w:numPr>
              <w:tabs>
                <w:tab w:val="left" w:pos="360"/>
              </w:tabs>
              <w:jc w:val="both"/>
              <w:rPr>
                <w:rFonts w:ascii="Times New Roman" w:hAnsi="Times New Roman"/>
              </w:rPr>
            </w:pPr>
          </w:p>
        </w:tc>
        <w:tc>
          <w:tcPr>
            <w:tcW w:w="2697" w:type="dxa"/>
            <w:tcBorders>
              <w:top w:val="single" w:sz="4" w:space="0" w:color="auto"/>
              <w:left w:val="single" w:sz="4" w:space="0" w:color="auto"/>
              <w:bottom w:val="single" w:sz="4" w:space="0" w:color="auto"/>
              <w:right w:val="single" w:sz="4" w:space="0" w:color="auto"/>
            </w:tcBorders>
          </w:tcPr>
          <w:p w14:paraId="7A66D528" w14:textId="372DCEA4" w:rsidR="00975021" w:rsidRPr="000D0380" w:rsidRDefault="00975021" w:rsidP="00975021">
            <w:pPr>
              <w:jc w:val="both"/>
              <w:rPr>
                <w:rFonts w:eastAsiaTheme="minorHAnsi"/>
                <w:highlight w:val="green"/>
                <w:lang w:eastAsia="en-US"/>
              </w:rPr>
            </w:pPr>
            <w:r>
              <w:rPr>
                <w:rFonts w:eastAsiaTheme="minorHAnsi"/>
                <w:lang w:eastAsia="en-US"/>
              </w:rPr>
              <w:t>P</w:t>
            </w:r>
            <w:r w:rsidRPr="000D0380">
              <w:rPr>
                <w:rFonts w:eastAsiaTheme="minorHAnsi"/>
                <w:lang w:eastAsia="en-US"/>
              </w:rPr>
              <w:t xml:space="preserve">rotokollēmuma projekta </w:t>
            </w:r>
            <w:r>
              <w:rPr>
                <w:rFonts w:eastAsiaTheme="minorHAnsi"/>
                <w:lang w:eastAsia="en-US"/>
              </w:rPr>
              <w:t>2.</w:t>
            </w:r>
            <w:r w:rsidRPr="000D0380">
              <w:rPr>
                <w:rFonts w:eastAsiaTheme="minorHAnsi"/>
                <w:lang w:eastAsia="en-US"/>
              </w:rPr>
              <w:t>punkts</w:t>
            </w:r>
            <w:r w:rsidR="00944DD4" w:rsidRPr="003434E6">
              <w:rPr>
                <w:rFonts w:eastAsiaTheme="minorHAnsi"/>
                <w:lang w:eastAsia="en-US"/>
              </w:rPr>
              <w:t>.</w:t>
            </w:r>
          </w:p>
        </w:tc>
        <w:tc>
          <w:tcPr>
            <w:tcW w:w="6660" w:type="dxa"/>
            <w:tcBorders>
              <w:top w:val="single" w:sz="4" w:space="0" w:color="auto"/>
              <w:left w:val="single" w:sz="4" w:space="0" w:color="auto"/>
              <w:bottom w:val="single" w:sz="4" w:space="0" w:color="auto"/>
              <w:right w:val="single" w:sz="4" w:space="0" w:color="auto"/>
            </w:tcBorders>
          </w:tcPr>
          <w:p w14:paraId="50CD57A8" w14:textId="77777777" w:rsidR="00975021" w:rsidRPr="000D0380" w:rsidRDefault="00975021" w:rsidP="00975021">
            <w:pPr>
              <w:widowControl w:val="0"/>
              <w:jc w:val="both"/>
              <w:rPr>
                <w:b/>
                <w:lang w:eastAsia="en-US"/>
              </w:rPr>
            </w:pPr>
            <w:r w:rsidRPr="000D0380">
              <w:rPr>
                <w:b/>
                <w:lang w:eastAsia="en-US"/>
              </w:rPr>
              <w:t>Iebildums</w:t>
            </w:r>
          </w:p>
          <w:p w14:paraId="70A8A504" w14:textId="77777777" w:rsidR="00975021" w:rsidRPr="000D0380" w:rsidRDefault="00975021" w:rsidP="00975021">
            <w:pPr>
              <w:widowControl w:val="0"/>
              <w:jc w:val="both"/>
              <w:rPr>
                <w:b/>
                <w:lang w:eastAsia="en-US"/>
              </w:rPr>
            </w:pPr>
            <w:r w:rsidRPr="000D0380">
              <w:rPr>
                <w:b/>
                <w:lang w:eastAsia="en-US"/>
              </w:rPr>
              <w:t>Satiksmes ministrija</w:t>
            </w:r>
          </w:p>
          <w:p w14:paraId="560C541E" w14:textId="10CF7441" w:rsidR="00975021" w:rsidRPr="000D0380" w:rsidRDefault="00975021" w:rsidP="00975021">
            <w:pPr>
              <w:widowControl w:val="0"/>
              <w:jc w:val="both"/>
              <w:rPr>
                <w:b/>
                <w:color w:val="000000"/>
              </w:rPr>
            </w:pPr>
            <w:r w:rsidRPr="000D0380">
              <w:rPr>
                <w:lang w:eastAsia="en-US"/>
              </w:rPr>
              <w:t>Lūdzam precizēt informatīvā ziņojuma projekta protokollēmuma 2.punktā noteikto izpildes termiņu, nosakot to 2020.gada 1.maijs, lai sagatavojot Ministru Kabinetam informatīvo ziņojumu, tiktu ņemti vērā I ceturkšņa faktiskie LDZ finanšu rādītāji un pārvadāto kravu apjomi, tādējādi nodrošinot Ministru Kabineta locekļus ar aktuālu informāciju.</w:t>
            </w:r>
          </w:p>
        </w:tc>
        <w:tc>
          <w:tcPr>
            <w:tcW w:w="2700" w:type="dxa"/>
            <w:tcBorders>
              <w:top w:val="single" w:sz="4" w:space="0" w:color="auto"/>
              <w:left w:val="single" w:sz="4" w:space="0" w:color="auto"/>
              <w:bottom w:val="single" w:sz="4" w:space="0" w:color="auto"/>
              <w:right w:val="single" w:sz="4" w:space="0" w:color="auto"/>
            </w:tcBorders>
          </w:tcPr>
          <w:p w14:paraId="3203F504" w14:textId="2B62653E" w:rsidR="00975021" w:rsidRPr="000D0380" w:rsidRDefault="00975021" w:rsidP="00975021">
            <w:pPr>
              <w:jc w:val="both"/>
              <w:rPr>
                <w:color w:val="FF0000"/>
                <w:szCs w:val="22"/>
                <w:u w:val="single"/>
                <w:lang w:eastAsia="en-US"/>
              </w:rPr>
            </w:pPr>
            <w:r>
              <w:rPr>
                <w:b/>
                <w:lang w:eastAsia="en-US"/>
              </w:rPr>
              <w:t>Ņemts vērā</w:t>
            </w:r>
            <w:r w:rsidR="00294E10">
              <w:rPr>
                <w:b/>
                <w:lang w:eastAsia="en-US"/>
              </w:rPr>
              <w:t>.</w:t>
            </w:r>
          </w:p>
        </w:tc>
        <w:tc>
          <w:tcPr>
            <w:tcW w:w="2259" w:type="dxa"/>
            <w:tcBorders>
              <w:top w:val="single" w:sz="4" w:space="0" w:color="auto"/>
              <w:left w:val="single" w:sz="4" w:space="0" w:color="auto"/>
              <w:bottom w:val="single" w:sz="4" w:space="0" w:color="auto"/>
              <w:right w:val="single" w:sz="4" w:space="0" w:color="auto"/>
            </w:tcBorders>
          </w:tcPr>
          <w:p w14:paraId="5CDB666E" w14:textId="0E2DC72D" w:rsidR="00975021" w:rsidRPr="000D0380" w:rsidRDefault="00975021" w:rsidP="00975021">
            <w:pPr>
              <w:pStyle w:val="Default"/>
              <w:shd w:val="clear" w:color="auto" w:fill="FFFFFF" w:themeFill="background1"/>
              <w:tabs>
                <w:tab w:val="left" w:pos="0"/>
              </w:tabs>
              <w:jc w:val="both"/>
              <w:rPr>
                <w:szCs w:val="22"/>
                <w:highlight w:val="yellow"/>
              </w:rPr>
            </w:pPr>
            <w:r w:rsidRPr="000D0380">
              <w:t>Skatīt precizē</w:t>
            </w:r>
            <w:r>
              <w:t>tu i</w:t>
            </w:r>
            <w:r w:rsidRPr="000D0380">
              <w:t>nformatīvā ziņojuma</w:t>
            </w:r>
            <w:r>
              <w:t xml:space="preserve"> </w:t>
            </w:r>
            <w:r w:rsidRPr="000D0380">
              <w:rPr>
                <w:rFonts w:eastAsiaTheme="minorHAnsi"/>
              </w:rPr>
              <w:t>4.</w:t>
            </w:r>
            <w:r w:rsidR="00050824">
              <w:rPr>
                <w:rFonts w:eastAsiaTheme="minorHAnsi"/>
              </w:rPr>
              <w:t> </w:t>
            </w:r>
            <w:r w:rsidRPr="000D0380">
              <w:rPr>
                <w:rFonts w:eastAsiaTheme="minorHAnsi"/>
              </w:rPr>
              <w:t>sadaļ</w:t>
            </w:r>
            <w:r>
              <w:rPr>
                <w:rFonts w:eastAsiaTheme="minorHAnsi"/>
              </w:rPr>
              <w:t>u</w:t>
            </w:r>
            <w:r>
              <w:t xml:space="preserve"> un </w:t>
            </w:r>
            <w:r w:rsidRPr="000D0380">
              <w:rPr>
                <w:rFonts w:eastAsiaTheme="minorHAnsi"/>
              </w:rPr>
              <w:t xml:space="preserve"> protokollēmuma</w:t>
            </w:r>
            <w:r>
              <w:rPr>
                <w:rFonts w:eastAsiaTheme="minorHAnsi"/>
              </w:rPr>
              <w:t xml:space="preserve"> projekta 3. punktu.</w:t>
            </w:r>
          </w:p>
        </w:tc>
      </w:tr>
      <w:tr w:rsidR="00975021" w:rsidRPr="000D0380" w14:paraId="01843D95" w14:textId="77777777" w:rsidTr="006C2AE0">
        <w:trPr>
          <w:trHeight w:val="394"/>
        </w:trPr>
        <w:tc>
          <w:tcPr>
            <w:tcW w:w="988" w:type="dxa"/>
            <w:tcBorders>
              <w:top w:val="single" w:sz="4" w:space="0" w:color="auto"/>
              <w:left w:val="single" w:sz="4" w:space="0" w:color="auto"/>
              <w:bottom w:val="single" w:sz="4" w:space="0" w:color="auto"/>
              <w:right w:val="single" w:sz="4" w:space="0" w:color="auto"/>
            </w:tcBorders>
          </w:tcPr>
          <w:p w14:paraId="51681AFE" w14:textId="77777777" w:rsidR="00975021" w:rsidRPr="000D0380" w:rsidRDefault="00975021" w:rsidP="00F1131F">
            <w:pPr>
              <w:pStyle w:val="ListParagraph"/>
              <w:numPr>
                <w:ilvl w:val="0"/>
                <w:numId w:val="9"/>
              </w:numPr>
              <w:tabs>
                <w:tab w:val="left" w:pos="360"/>
              </w:tabs>
              <w:jc w:val="both"/>
              <w:rPr>
                <w:rFonts w:ascii="Times New Roman" w:hAnsi="Times New Roman"/>
              </w:rPr>
            </w:pPr>
          </w:p>
        </w:tc>
        <w:tc>
          <w:tcPr>
            <w:tcW w:w="2697" w:type="dxa"/>
            <w:tcBorders>
              <w:top w:val="single" w:sz="4" w:space="0" w:color="auto"/>
              <w:left w:val="single" w:sz="4" w:space="0" w:color="auto"/>
              <w:bottom w:val="single" w:sz="4" w:space="0" w:color="auto"/>
              <w:right w:val="single" w:sz="4" w:space="0" w:color="auto"/>
            </w:tcBorders>
          </w:tcPr>
          <w:p w14:paraId="21E05B24" w14:textId="79B1724A" w:rsidR="00975021" w:rsidRDefault="00975021" w:rsidP="00975021">
            <w:pPr>
              <w:jc w:val="both"/>
              <w:rPr>
                <w:rFonts w:eastAsiaTheme="minorHAnsi"/>
                <w:lang w:eastAsia="en-US"/>
              </w:rPr>
            </w:pPr>
            <w:r>
              <w:rPr>
                <w:rFonts w:eastAsiaTheme="minorHAnsi"/>
                <w:lang w:eastAsia="en-US"/>
              </w:rPr>
              <w:t>P</w:t>
            </w:r>
            <w:r w:rsidRPr="000D0380">
              <w:rPr>
                <w:rFonts w:eastAsiaTheme="minorHAnsi"/>
                <w:lang w:eastAsia="en-US"/>
              </w:rPr>
              <w:t>rotokollēmum</w:t>
            </w:r>
            <w:r>
              <w:rPr>
                <w:rFonts w:eastAsiaTheme="minorHAnsi"/>
                <w:lang w:eastAsia="en-US"/>
              </w:rPr>
              <w:t>a projekta 3.punkts</w:t>
            </w:r>
            <w:r w:rsidR="003434E6">
              <w:rPr>
                <w:rFonts w:eastAsiaTheme="minorHAnsi"/>
                <w:lang w:eastAsia="en-US"/>
              </w:rPr>
              <w:t>.</w:t>
            </w:r>
            <w:r w:rsidRPr="000D0380">
              <w:rPr>
                <w:rFonts w:eastAsiaTheme="minorHAnsi"/>
                <w:highlight w:val="yellow"/>
                <w:lang w:eastAsia="en-US"/>
              </w:rPr>
              <w:t xml:space="preserve"> </w:t>
            </w:r>
          </w:p>
        </w:tc>
        <w:tc>
          <w:tcPr>
            <w:tcW w:w="6660" w:type="dxa"/>
            <w:tcBorders>
              <w:top w:val="single" w:sz="4" w:space="0" w:color="auto"/>
              <w:left w:val="single" w:sz="4" w:space="0" w:color="auto"/>
              <w:bottom w:val="single" w:sz="4" w:space="0" w:color="auto"/>
              <w:right w:val="single" w:sz="4" w:space="0" w:color="auto"/>
            </w:tcBorders>
          </w:tcPr>
          <w:p w14:paraId="2B0195AE" w14:textId="77777777" w:rsidR="00975021" w:rsidRPr="000D0380" w:rsidRDefault="00975021" w:rsidP="00975021">
            <w:pPr>
              <w:widowControl w:val="0"/>
              <w:jc w:val="both"/>
              <w:rPr>
                <w:b/>
                <w:color w:val="000000"/>
              </w:rPr>
            </w:pPr>
            <w:r w:rsidRPr="000D0380">
              <w:rPr>
                <w:b/>
                <w:color w:val="000000"/>
              </w:rPr>
              <w:t>Iebildums</w:t>
            </w:r>
          </w:p>
          <w:p w14:paraId="76D8062E" w14:textId="77777777" w:rsidR="00975021" w:rsidRPr="000D0380" w:rsidRDefault="00975021" w:rsidP="00975021">
            <w:pPr>
              <w:widowControl w:val="0"/>
              <w:jc w:val="both"/>
              <w:rPr>
                <w:b/>
                <w:color w:val="000000"/>
              </w:rPr>
            </w:pPr>
            <w:r w:rsidRPr="000D0380">
              <w:rPr>
                <w:b/>
                <w:color w:val="000000"/>
              </w:rPr>
              <w:t>Veselības ministrija</w:t>
            </w:r>
          </w:p>
          <w:p w14:paraId="587207F9" w14:textId="77777777" w:rsidR="00975021" w:rsidRPr="000D0380" w:rsidRDefault="00975021" w:rsidP="00975021">
            <w:pPr>
              <w:widowControl w:val="0"/>
              <w:jc w:val="both"/>
              <w:rPr>
                <w:lang w:eastAsia="en-US"/>
              </w:rPr>
            </w:pPr>
            <w:r w:rsidRPr="000D0380">
              <w:rPr>
                <w:lang w:eastAsia="en-US"/>
              </w:rPr>
              <w:t>Saskaņā ar protokollēmuma 3.punktu par darbības programmas “Izaugsme un nodarbinātība” 2.2.1. specifiskā atbalsta mērķa "Nodrošināt publisko datu atkalizmantošanas pieaugumu un efektīvu publiskās pārvaldes un privātā sektora mijiedarbību" (turpmāk – SAM 2.2.1.) projektiem vairākām nozaru ministrijām, t.sk. Veselības ministrijai jānodrošina tās pārziņā esošo projektu pastiprinātu risku pārvaldību un konkrētu risku mazinošu pasākumu efektīvu ieviešanu. Attiecīgi visām minētajām nozares ministrijām jāiesniedz Ministru kabinetā informāciju un priekšlikumus rīcībai par nozīmīgiem riskiem, ja tādi identificēti projektu sekmīgai pabeigšanai līdz 2023. gada 31. decembrim.</w:t>
            </w:r>
          </w:p>
          <w:p w14:paraId="371537E4" w14:textId="29A8BFA3" w:rsidR="00975021" w:rsidRPr="000D0380" w:rsidRDefault="00975021" w:rsidP="00975021">
            <w:pPr>
              <w:widowControl w:val="0"/>
              <w:jc w:val="both"/>
              <w:rPr>
                <w:b/>
              </w:rPr>
            </w:pPr>
            <w:r w:rsidRPr="000D0380">
              <w:rPr>
                <w:lang w:eastAsia="en-US"/>
              </w:rPr>
              <w:t>Ņemot vērā to, ka līgumsaistības finansējuma saņēmējiem ir ar Centrālo finanšu un līgumu aģentūru kā sadarbības iestādi, un atbildīgā iestāde par SAM 2.2.1. ieviešanu ir Vides aizsardzības un reģionālās attīstības ministrija, lūdzam sniegt detalizētāku skaidrojumu par darbībām, kuras nepieciešams veikt nozaru ministrijām saskaņā ar šī protokollēmuma 3.punktā noteiktajiem uzdevumiem. Skaidrojums nepieciešams, lai novērstu iespējamu funkciju pārklāšanos attiecībā uz finansējuma saņēmēju kontroli;</w:t>
            </w:r>
          </w:p>
        </w:tc>
        <w:tc>
          <w:tcPr>
            <w:tcW w:w="2700" w:type="dxa"/>
            <w:tcBorders>
              <w:top w:val="single" w:sz="4" w:space="0" w:color="auto"/>
              <w:left w:val="single" w:sz="4" w:space="0" w:color="auto"/>
              <w:bottom w:val="single" w:sz="4" w:space="0" w:color="auto"/>
              <w:right w:val="single" w:sz="4" w:space="0" w:color="auto"/>
            </w:tcBorders>
          </w:tcPr>
          <w:p w14:paraId="49CCA46F" w14:textId="24D53F0B" w:rsidR="00975021" w:rsidRPr="00C910EE" w:rsidRDefault="00975021" w:rsidP="00975021">
            <w:pPr>
              <w:pStyle w:val="naisc"/>
              <w:jc w:val="both"/>
              <w:rPr>
                <w:b/>
                <w:lang w:eastAsia="en-US"/>
              </w:rPr>
            </w:pPr>
            <w:r w:rsidRPr="00C910EE">
              <w:rPr>
                <w:b/>
                <w:lang w:eastAsia="en-US"/>
              </w:rPr>
              <w:t>Ņemts vērā</w:t>
            </w:r>
            <w:r w:rsidR="00294E10">
              <w:rPr>
                <w:b/>
                <w:lang w:eastAsia="en-US"/>
              </w:rPr>
              <w:t>.</w:t>
            </w:r>
          </w:p>
          <w:p w14:paraId="4ACD1675" w14:textId="77777777" w:rsidR="00975021" w:rsidRPr="00C910EE" w:rsidRDefault="00975021" w:rsidP="00975021">
            <w:pPr>
              <w:pStyle w:val="naisc"/>
              <w:jc w:val="both"/>
              <w:rPr>
                <w:szCs w:val="22"/>
                <w:lang w:eastAsia="en-US"/>
              </w:rPr>
            </w:pPr>
            <w:r w:rsidRPr="00C910EE">
              <w:rPr>
                <w:szCs w:val="22"/>
                <w:lang w:eastAsia="en-US"/>
              </w:rPr>
              <w:t>Sniedzam VARAM kā atbildīg</w:t>
            </w:r>
            <w:r>
              <w:rPr>
                <w:szCs w:val="22"/>
                <w:lang w:eastAsia="en-US"/>
              </w:rPr>
              <w:t>ās</w:t>
            </w:r>
            <w:r w:rsidRPr="00C910EE">
              <w:rPr>
                <w:szCs w:val="22"/>
                <w:lang w:eastAsia="en-US"/>
              </w:rPr>
              <w:t xml:space="preserve"> iestād</w:t>
            </w:r>
            <w:r>
              <w:rPr>
                <w:szCs w:val="22"/>
                <w:lang w:eastAsia="en-US"/>
              </w:rPr>
              <w:t>es</w:t>
            </w:r>
            <w:r w:rsidRPr="00C910EE">
              <w:rPr>
                <w:szCs w:val="22"/>
                <w:lang w:eastAsia="en-US"/>
              </w:rPr>
              <w:t xml:space="preserve"> par SAM 2.2.1. skaidrojumu</w:t>
            </w:r>
            <w:r>
              <w:rPr>
                <w:szCs w:val="22"/>
                <w:lang w:eastAsia="en-US"/>
              </w:rPr>
              <w:t xml:space="preserve"> (saņemts elektroniski 2020. gada 12. februārī)</w:t>
            </w:r>
            <w:r w:rsidRPr="00C910EE">
              <w:rPr>
                <w:szCs w:val="22"/>
                <w:lang w:eastAsia="en-US"/>
              </w:rPr>
              <w:t>:</w:t>
            </w:r>
          </w:p>
          <w:p w14:paraId="38E36211" w14:textId="77777777" w:rsidR="00975021" w:rsidRPr="00C910EE" w:rsidRDefault="00975021" w:rsidP="00975021">
            <w:pPr>
              <w:jc w:val="both"/>
              <w:rPr>
                <w:szCs w:val="22"/>
              </w:rPr>
            </w:pPr>
            <w:r>
              <w:t>“</w:t>
            </w:r>
            <w:r w:rsidRPr="00C910EE">
              <w:t xml:space="preserve">skaidrojam, ka MK protokollēmuma punkts uzdod atsevišķām nozares ministrijām veikt padotībā esošo iestāžu projektu, kuri ir identificēti kā augsta riska projekti, risku pārvaldību un konkrētu risku mazinošu pasākumu efektīvu ieviešanu, ņemot vērā, ka ministrijas pēc būtības ir atbildīgas par savā nozarē īstenoto projektu sekmīgu īstenošanu. </w:t>
            </w:r>
          </w:p>
          <w:p w14:paraId="0635FEAC" w14:textId="77777777" w:rsidR="00975021" w:rsidRPr="00C910EE" w:rsidRDefault="00975021" w:rsidP="00975021">
            <w:pPr>
              <w:jc w:val="both"/>
            </w:pPr>
            <w:r w:rsidRPr="00C910EE">
              <w:lastRenderedPageBreak/>
              <w:t xml:space="preserve">Līdz ar to ziņojumā ir norādīts, ka IKT projektu īstenotājiem, kuru īstenošanas risku VARAM un CFLA vērtē kā augstu vai kritiski augstu, ir nekavējoši jānodrošina efektīvs risku pārvaldības plāns ar detalizētu informāciju par darbībām laika grafika ietvarā, kā arī </w:t>
            </w:r>
            <w:r w:rsidRPr="00C910EE">
              <w:rPr>
                <w:b/>
                <w:bCs/>
              </w:rPr>
              <w:t>atbildīgajām nozares ministrijām jānodrošina plāna uzraudzība/kontrole</w:t>
            </w:r>
            <w:r w:rsidRPr="00C910EE">
              <w:t>.</w:t>
            </w:r>
          </w:p>
          <w:p w14:paraId="440DE811" w14:textId="719303EF" w:rsidR="00975021" w:rsidRDefault="00975021" w:rsidP="00975021">
            <w:pPr>
              <w:jc w:val="both"/>
              <w:rPr>
                <w:b/>
                <w:lang w:eastAsia="en-US"/>
              </w:rPr>
            </w:pPr>
            <w:r w:rsidRPr="00C910EE">
              <w:t xml:space="preserve">Papildus ir norādīts, ka visām minētajām nozares ministrijām jāiesniedz MK informācija un priekšlikumi rīcībai par nozīmīgiem riskiem, ja tādi identificēti projektu sekmīgai pabeigšanai līdz 2023. gada 31. decembrim. Norādām, ka nozares ministrija nodrošina atbildībā esošo SAM 2.2.1. ietvaros īstenojamo projektu detalizēto aprakstu saskaņošanu un virzīšanu uz MK, kā arī nepieciešamības </w:t>
            </w:r>
            <w:r w:rsidRPr="00C910EE">
              <w:lastRenderedPageBreak/>
              <w:t>gadījumā sniedz MK informatīvos ziņojumus par nepieciešamajiem grozījumiem detalizētajos projektu aprakstos.</w:t>
            </w:r>
            <w:r>
              <w:t>”</w:t>
            </w:r>
          </w:p>
        </w:tc>
        <w:tc>
          <w:tcPr>
            <w:tcW w:w="2259" w:type="dxa"/>
            <w:tcBorders>
              <w:top w:val="single" w:sz="4" w:space="0" w:color="auto"/>
              <w:left w:val="single" w:sz="4" w:space="0" w:color="auto"/>
              <w:bottom w:val="single" w:sz="4" w:space="0" w:color="auto"/>
              <w:right w:val="single" w:sz="4" w:space="0" w:color="auto"/>
            </w:tcBorders>
          </w:tcPr>
          <w:p w14:paraId="648C9D87" w14:textId="18004341" w:rsidR="00975021" w:rsidRPr="000D0380" w:rsidRDefault="00975021" w:rsidP="00975021">
            <w:pPr>
              <w:pStyle w:val="Default"/>
              <w:jc w:val="both"/>
            </w:pPr>
            <w:r w:rsidRPr="000D0380">
              <w:lastRenderedPageBreak/>
              <w:t>Skatīt precizē</w:t>
            </w:r>
            <w:r>
              <w:t>tu i</w:t>
            </w:r>
            <w:r w:rsidRPr="000D0380">
              <w:t>nformatīvā ziņojuma</w:t>
            </w:r>
            <w:r>
              <w:t xml:space="preserve"> </w:t>
            </w:r>
            <w:r w:rsidRPr="000D0380">
              <w:rPr>
                <w:rFonts w:eastAsiaTheme="minorHAnsi"/>
              </w:rPr>
              <w:t>4.</w:t>
            </w:r>
            <w:r w:rsidR="00050824">
              <w:rPr>
                <w:rFonts w:eastAsiaTheme="minorHAnsi"/>
              </w:rPr>
              <w:t> </w:t>
            </w:r>
            <w:r w:rsidRPr="000D0380">
              <w:rPr>
                <w:rFonts w:eastAsiaTheme="minorHAnsi"/>
              </w:rPr>
              <w:t>sadaļ</w:t>
            </w:r>
            <w:r>
              <w:rPr>
                <w:rFonts w:eastAsiaTheme="minorHAnsi"/>
              </w:rPr>
              <w:t>u</w:t>
            </w:r>
            <w:r>
              <w:t xml:space="preserve"> un </w:t>
            </w:r>
            <w:r w:rsidRPr="000D0380">
              <w:rPr>
                <w:rFonts w:eastAsiaTheme="minorHAnsi"/>
              </w:rPr>
              <w:t xml:space="preserve"> protokollēmuma</w:t>
            </w:r>
            <w:r>
              <w:rPr>
                <w:rFonts w:eastAsiaTheme="minorHAnsi"/>
              </w:rPr>
              <w:t xml:space="preserve"> projekta 5. punktu.</w:t>
            </w:r>
          </w:p>
        </w:tc>
      </w:tr>
      <w:tr w:rsidR="00975021" w:rsidRPr="000D0380" w14:paraId="0BC21CA7" w14:textId="77777777" w:rsidTr="006C2AE0">
        <w:trPr>
          <w:trHeight w:val="394"/>
        </w:trPr>
        <w:tc>
          <w:tcPr>
            <w:tcW w:w="988" w:type="dxa"/>
            <w:tcBorders>
              <w:top w:val="single" w:sz="4" w:space="0" w:color="auto"/>
              <w:left w:val="single" w:sz="4" w:space="0" w:color="auto"/>
              <w:bottom w:val="single" w:sz="4" w:space="0" w:color="auto"/>
              <w:right w:val="single" w:sz="4" w:space="0" w:color="auto"/>
            </w:tcBorders>
          </w:tcPr>
          <w:p w14:paraId="3D592599" w14:textId="77777777" w:rsidR="00975021" w:rsidRPr="000D0380" w:rsidRDefault="00975021" w:rsidP="00F1131F">
            <w:pPr>
              <w:pStyle w:val="ListParagraph"/>
              <w:numPr>
                <w:ilvl w:val="0"/>
                <w:numId w:val="9"/>
              </w:numPr>
              <w:tabs>
                <w:tab w:val="left" w:pos="360"/>
              </w:tabs>
              <w:jc w:val="both"/>
              <w:rPr>
                <w:rFonts w:ascii="Times New Roman" w:hAnsi="Times New Roman"/>
              </w:rPr>
            </w:pPr>
          </w:p>
        </w:tc>
        <w:tc>
          <w:tcPr>
            <w:tcW w:w="2697" w:type="dxa"/>
            <w:tcBorders>
              <w:top w:val="single" w:sz="4" w:space="0" w:color="auto"/>
              <w:left w:val="single" w:sz="4" w:space="0" w:color="auto"/>
              <w:bottom w:val="single" w:sz="4" w:space="0" w:color="auto"/>
              <w:right w:val="single" w:sz="4" w:space="0" w:color="auto"/>
            </w:tcBorders>
          </w:tcPr>
          <w:p w14:paraId="20044490" w14:textId="2CA5A6EA" w:rsidR="00975021" w:rsidRPr="000D0380" w:rsidRDefault="00975021" w:rsidP="00975021">
            <w:pPr>
              <w:jc w:val="both"/>
              <w:rPr>
                <w:rFonts w:eastAsiaTheme="minorHAnsi"/>
                <w:lang w:eastAsia="en-US"/>
              </w:rPr>
            </w:pPr>
            <w:r>
              <w:rPr>
                <w:rFonts w:eastAsiaTheme="minorHAnsi"/>
                <w:lang w:eastAsia="en-US"/>
              </w:rPr>
              <w:t>P</w:t>
            </w:r>
            <w:r w:rsidRPr="000D0380">
              <w:rPr>
                <w:rFonts w:eastAsiaTheme="minorHAnsi"/>
                <w:lang w:eastAsia="en-US"/>
              </w:rPr>
              <w:t>rotokollēmum</w:t>
            </w:r>
            <w:r>
              <w:rPr>
                <w:rFonts w:eastAsiaTheme="minorHAnsi"/>
                <w:lang w:eastAsia="en-US"/>
              </w:rPr>
              <w:t>a</w:t>
            </w:r>
            <w:r w:rsidRPr="000D0380">
              <w:rPr>
                <w:rFonts w:eastAsiaTheme="minorHAnsi"/>
                <w:lang w:eastAsia="en-US"/>
              </w:rPr>
              <w:t xml:space="preserve"> p</w:t>
            </w:r>
            <w:r>
              <w:rPr>
                <w:rFonts w:eastAsiaTheme="minorHAnsi"/>
                <w:lang w:eastAsia="en-US"/>
              </w:rPr>
              <w:t>rojekta 4.</w:t>
            </w:r>
            <w:r w:rsidR="00A60B5A">
              <w:rPr>
                <w:rFonts w:eastAsiaTheme="minorHAnsi"/>
                <w:lang w:eastAsia="en-US"/>
              </w:rPr>
              <w:t> </w:t>
            </w:r>
            <w:r>
              <w:rPr>
                <w:rFonts w:eastAsiaTheme="minorHAnsi"/>
                <w:lang w:eastAsia="en-US"/>
              </w:rPr>
              <w:t>punkts</w:t>
            </w:r>
            <w:r w:rsidR="003434E6">
              <w:rPr>
                <w:rFonts w:eastAsiaTheme="minorHAnsi"/>
                <w:lang w:eastAsia="en-US"/>
              </w:rPr>
              <w:t>.</w:t>
            </w:r>
          </w:p>
        </w:tc>
        <w:tc>
          <w:tcPr>
            <w:tcW w:w="6660" w:type="dxa"/>
            <w:tcBorders>
              <w:top w:val="single" w:sz="4" w:space="0" w:color="auto"/>
              <w:left w:val="single" w:sz="4" w:space="0" w:color="auto"/>
              <w:bottom w:val="single" w:sz="4" w:space="0" w:color="auto"/>
              <w:right w:val="single" w:sz="4" w:space="0" w:color="auto"/>
            </w:tcBorders>
          </w:tcPr>
          <w:p w14:paraId="5E63C62C" w14:textId="40916B80" w:rsidR="00975021" w:rsidRPr="000D0380" w:rsidRDefault="00975021" w:rsidP="00975021">
            <w:pPr>
              <w:widowControl w:val="0"/>
              <w:jc w:val="both"/>
              <w:rPr>
                <w:b/>
              </w:rPr>
            </w:pPr>
            <w:r w:rsidRPr="000D0380">
              <w:rPr>
                <w:b/>
              </w:rPr>
              <w:t>Priekšlikums</w:t>
            </w:r>
          </w:p>
          <w:p w14:paraId="7EEE2C80" w14:textId="77777777" w:rsidR="00F70604" w:rsidRDefault="00F70604" w:rsidP="00975021">
            <w:pPr>
              <w:widowControl w:val="0"/>
              <w:jc w:val="both"/>
              <w:rPr>
                <w:b/>
                <w:iCs/>
              </w:rPr>
            </w:pPr>
            <w:r w:rsidRPr="000D0380">
              <w:rPr>
                <w:b/>
                <w:iCs/>
              </w:rPr>
              <w:t>Vides aizsardzības un reģionālās attīstības ministrija</w:t>
            </w:r>
            <w:r>
              <w:rPr>
                <w:b/>
                <w:iCs/>
              </w:rPr>
              <w:t xml:space="preserve"> </w:t>
            </w:r>
          </w:p>
          <w:p w14:paraId="5EC703F4" w14:textId="294609AE" w:rsidR="00975021" w:rsidRPr="000D0380" w:rsidRDefault="00975021" w:rsidP="00975021">
            <w:pPr>
              <w:widowControl w:val="0"/>
              <w:jc w:val="both"/>
              <w:rPr>
                <w:b/>
              </w:rPr>
            </w:pPr>
            <w:r w:rsidRPr="000D0380">
              <w:t>Lūdzam precizēt protokollēmuma 4.punktu, papildinot to ar informāciju par projektiem, kuriem VARAM aicina nepiemērot finanšu disciplīnas pasākumus, proti, piemērot MK noteikumu Nr.784 51.4 7. apakšpunktā noteikto izņēmumu, kas atļauj CFLA nesamazināt ES fonda un valsts budžeta līdzfinansējumu.</w:t>
            </w:r>
          </w:p>
        </w:tc>
        <w:tc>
          <w:tcPr>
            <w:tcW w:w="2700" w:type="dxa"/>
            <w:tcBorders>
              <w:top w:val="single" w:sz="4" w:space="0" w:color="auto"/>
              <w:left w:val="single" w:sz="4" w:space="0" w:color="auto"/>
              <w:bottom w:val="single" w:sz="4" w:space="0" w:color="auto"/>
              <w:right w:val="single" w:sz="4" w:space="0" w:color="auto"/>
            </w:tcBorders>
          </w:tcPr>
          <w:p w14:paraId="697461B4" w14:textId="77777777" w:rsidR="00975021" w:rsidRDefault="00975021" w:rsidP="00975021">
            <w:pPr>
              <w:pStyle w:val="naisc"/>
              <w:jc w:val="both"/>
              <w:rPr>
                <w:lang w:eastAsia="en-US"/>
              </w:rPr>
            </w:pPr>
            <w:r>
              <w:rPr>
                <w:b/>
                <w:lang w:eastAsia="en-US"/>
              </w:rPr>
              <w:t xml:space="preserve">Ņemts vērā </w:t>
            </w:r>
            <w:r>
              <w:rPr>
                <w:lang w:eastAsia="en-US"/>
              </w:rPr>
              <w:t xml:space="preserve">pēc būtības. </w:t>
            </w:r>
          </w:p>
          <w:p w14:paraId="171A4005" w14:textId="75A1A0D0" w:rsidR="00975021" w:rsidRDefault="00975021" w:rsidP="00975021">
            <w:pPr>
              <w:pStyle w:val="Default"/>
              <w:jc w:val="both"/>
            </w:pPr>
            <w:r w:rsidRPr="000D0380">
              <w:t>Skatīt i</w:t>
            </w:r>
            <w:r>
              <w:t>zziņas 19.</w:t>
            </w:r>
            <w:r w:rsidR="00A60B5A">
              <w:t> </w:t>
            </w:r>
            <w:r>
              <w:t>punktu.</w:t>
            </w:r>
          </w:p>
          <w:p w14:paraId="13EF97F6" w14:textId="16B644A6" w:rsidR="00975021" w:rsidRPr="00696174" w:rsidRDefault="00975021" w:rsidP="00975021">
            <w:pPr>
              <w:pStyle w:val="naisc"/>
              <w:jc w:val="both"/>
              <w:rPr>
                <w:lang w:eastAsia="en-US"/>
              </w:rPr>
            </w:pPr>
          </w:p>
        </w:tc>
        <w:tc>
          <w:tcPr>
            <w:tcW w:w="2259" w:type="dxa"/>
            <w:tcBorders>
              <w:top w:val="single" w:sz="4" w:space="0" w:color="auto"/>
              <w:left w:val="single" w:sz="4" w:space="0" w:color="auto"/>
              <w:bottom w:val="single" w:sz="4" w:space="0" w:color="auto"/>
              <w:right w:val="single" w:sz="4" w:space="0" w:color="auto"/>
            </w:tcBorders>
          </w:tcPr>
          <w:p w14:paraId="69A5768E" w14:textId="3A890181" w:rsidR="00975021" w:rsidRPr="000D0380" w:rsidRDefault="00975021" w:rsidP="00925F57">
            <w:pPr>
              <w:pStyle w:val="Default"/>
              <w:jc w:val="both"/>
            </w:pPr>
            <w:r w:rsidRPr="000D0380">
              <w:t>Skatīt precizē</w:t>
            </w:r>
            <w:r>
              <w:t>tu i</w:t>
            </w:r>
            <w:r w:rsidRPr="000D0380">
              <w:t>nformatīvā ziņojuma</w:t>
            </w:r>
            <w:r>
              <w:t xml:space="preserve"> </w:t>
            </w:r>
            <w:r w:rsidRPr="000D0380">
              <w:rPr>
                <w:rFonts w:eastAsiaTheme="minorHAnsi"/>
              </w:rPr>
              <w:t>4.</w:t>
            </w:r>
            <w:r w:rsidR="00A60B5A">
              <w:rPr>
                <w:rFonts w:eastAsiaTheme="minorHAnsi"/>
              </w:rPr>
              <w:t> </w:t>
            </w:r>
            <w:r w:rsidRPr="000D0380">
              <w:rPr>
                <w:rFonts w:eastAsiaTheme="minorHAnsi"/>
              </w:rPr>
              <w:t>sadaļ</w:t>
            </w:r>
            <w:r>
              <w:rPr>
                <w:rFonts w:eastAsiaTheme="minorHAnsi"/>
              </w:rPr>
              <w:t>u,</w:t>
            </w:r>
            <w:r>
              <w:t xml:space="preserve"> attiecīgos </w:t>
            </w:r>
            <w:r w:rsidRPr="000D0380">
              <w:t>pielikumu</w:t>
            </w:r>
            <w:r>
              <w:t>s</w:t>
            </w:r>
            <w:r w:rsidRPr="000D0380">
              <w:t xml:space="preserve"> </w:t>
            </w:r>
            <w:r>
              <w:t xml:space="preserve">un </w:t>
            </w:r>
            <w:r w:rsidRPr="000D0380">
              <w:rPr>
                <w:rFonts w:eastAsiaTheme="minorHAnsi"/>
              </w:rPr>
              <w:t xml:space="preserve"> protokollēmuma</w:t>
            </w:r>
            <w:r>
              <w:rPr>
                <w:rFonts w:eastAsiaTheme="minorHAnsi"/>
              </w:rPr>
              <w:t xml:space="preserve"> projekta </w:t>
            </w:r>
            <w:r w:rsidR="00925F57">
              <w:rPr>
                <w:rFonts w:eastAsiaTheme="minorHAnsi"/>
              </w:rPr>
              <w:t>6</w:t>
            </w:r>
            <w:r>
              <w:rPr>
                <w:rFonts w:eastAsiaTheme="minorHAnsi"/>
              </w:rPr>
              <w:t>. punktu.</w:t>
            </w:r>
          </w:p>
        </w:tc>
      </w:tr>
      <w:tr w:rsidR="00975021" w:rsidRPr="000D0380" w14:paraId="0B722405" w14:textId="77777777" w:rsidTr="006C2AE0">
        <w:trPr>
          <w:trHeight w:val="394"/>
        </w:trPr>
        <w:tc>
          <w:tcPr>
            <w:tcW w:w="988" w:type="dxa"/>
            <w:tcBorders>
              <w:top w:val="single" w:sz="4" w:space="0" w:color="auto"/>
              <w:left w:val="single" w:sz="4" w:space="0" w:color="auto"/>
              <w:bottom w:val="single" w:sz="4" w:space="0" w:color="auto"/>
              <w:right w:val="single" w:sz="4" w:space="0" w:color="auto"/>
            </w:tcBorders>
          </w:tcPr>
          <w:p w14:paraId="7C030EE5" w14:textId="77777777" w:rsidR="00975021" w:rsidRPr="000D0380" w:rsidRDefault="00975021" w:rsidP="00F1131F">
            <w:pPr>
              <w:pStyle w:val="ListParagraph"/>
              <w:numPr>
                <w:ilvl w:val="0"/>
                <w:numId w:val="9"/>
              </w:numPr>
              <w:tabs>
                <w:tab w:val="left" w:pos="360"/>
              </w:tabs>
              <w:jc w:val="both"/>
              <w:rPr>
                <w:rFonts w:ascii="Times New Roman" w:hAnsi="Times New Roman"/>
              </w:rPr>
            </w:pPr>
          </w:p>
        </w:tc>
        <w:tc>
          <w:tcPr>
            <w:tcW w:w="2697" w:type="dxa"/>
            <w:tcBorders>
              <w:top w:val="single" w:sz="4" w:space="0" w:color="auto"/>
              <w:left w:val="single" w:sz="4" w:space="0" w:color="auto"/>
              <w:bottom w:val="single" w:sz="4" w:space="0" w:color="auto"/>
              <w:right w:val="single" w:sz="4" w:space="0" w:color="auto"/>
            </w:tcBorders>
          </w:tcPr>
          <w:p w14:paraId="6593C93D" w14:textId="77777777" w:rsidR="00975021" w:rsidRPr="000D0380" w:rsidRDefault="00975021" w:rsidP="00975021">
            <w:pPr>
              <w:pStyle w:val="CommentText"/>
              <w:spacing w:before="60"/>
              <w:rPr>
                <w:sz w:val="24"/>
                <w:szCs w:val="24"/>
              </w:rPr>
            </w:pPr>
            <w:r>
              <w:rPr>
                <w:sz w:val="24"/>
                <w:szCs w:val="24"/>
              </w:rPr>
              <w:t>P</w:t>
            </w:r>
            <w:r w:rsidRPr="000D0380">
              <w:rPr>
                <w:sz w:val="24"/>
                <w:szCs w:val="24"/>
              </w:rPr>
              <w:t>rotokollēmuma projekta 5. punkts.</w:t>
            </w:r>
          </w:p>
          <w:p w14:paraId="1C5F4F92" w14:textId="77777777" w:rsidR="00975021" w:rsidRDefault="00975021" w:rsidP="00975021">
            <w:pPr>
              <w:jc w:val="both"/>
              <w:rPr>
                <w:rFonts w:eastAsiaTheme="minorHAnsi"/>
                <w:lang w:eastAsia="en-US"/>
              </w:rPr>
            </w:pPr>
          </w:p>
        </w:tc>
        <w:tc>
          <w:tcPr>
            <w:tcW w:w="6660" w:type="dxa"/>
            <w:tcBorders>
              <w:top w:val="single" w:sz="4" w:space="0" w:color="auto"/>
              <w:left w:val="single" w:sz="4" w:space="0" w:color="auto"/>
              <w:bottom w:val="single" w:sz="4" w:space="0" w:color="auto"/>
              <w:right w:val="single" w:sz="4" w:space="0" w:color="auto"/>
            </w:tcBorders>
          </w:tcPr>
          <w:p w14:paraId="719C126F" w14:textId="77777777" w:rsidR="00975021" w:rsidRPr="000D0380" w:rsidRDefault="00975021" w:rsidP="00975021">
            <w:pPr>
              <w:pStyle w:val="NoSpacing"/>
              <w:jc w:val="both"/>
              <w:rPr>
                <w:rFonts w:ascii="Times New Roman" w:hAnsi="Times New Roman" w:cs="Times New Roman"/>
                <w:b/>
                <w:sz w:val="24"/>
                <w:szCs w:val="24"/>
              </w:rPr>
            </w:pPr>
            <w:r w:rsidRPr="000D0380">
              <w:rPr>
                <w:rFonts w:ascii="Times New Roman" w:hAnsi="Times New Roman" w:cs="Times New Roman"/>
                <w:b/>
                <w:sz w:val="24"/>
                <w:szCs w:val="24"/>
              </w:rPr>
              <w:t>Iebildums</w:t>
            </w:r>
          </w:p>
          <w:p w14:paraId="0B7C0E09" w14:textId="77777777" w:rsidR="00975021" w:rsidRPr="000D0380" w:rsidRDefault="00975021" w:rsidP="00975021">
            <w:pPr>
              <w:pStyle w:val="NoSpacing"/>
              <w:jc w:val="both"/>
              <w:rPr>
                <w:rFonts w:ascii="Times New Roman" w:hAnsi="Times New Roman" w:cs="Times New Roman"/>
                <w:b/>
                <w:sz w:val="24"/>
                <w:szCs w:val="24"/>
              </w:rPr>
            </w:pPr>
            <w:r w:rsidRPr="000D0380">
              <w:rPr>
                <w:rFonts w:ascii="Times New Roman" w:hAnsi="Times New Roman" w:cs="Times New Roman"/>
                <w:b/>
                <w:sz w:val="24"/>
                <w:szCs w:val="24"/>
              </w:rPr>
              <w:t>Latvijas Lielo pilsētu asociācija</w:t>
            </w:r>
          </w:p>
          <w:p w14:paraId="31331D5A" w14:textId="72F82868" w:rsidR="00975021" w:rsidRPr="000D0380" w:rsidRDefault="00975021" w:rsidP="00975021">
            <w:pPr>
              <w:jc w:val="both"/>
              <w:rPr>
                <w:rFonts w:eastAsia="Calibri"/>
                <w:lang w:eastAsia="en-US"/>
              </w:rPr>
            </w:pPr>
            <w:r w:rsidRPr="000D0380">
              <w:rPr>
                <w:rFonts w:eastAsia="Calibri"/>
                <w:lang w:eastAsia="en-US"/>
              </w:rPr>
              <w:t xml:space="preserve">CFLA ar 21.06.2019. gada vēstuli A/S “Daugavpils Satiksme” atcēla 26.03.2019. pieņemto lēmumu Nr. 39-2-40.2/2959 par konstatēto neatbilstību un ieturētos izdevumus atmaksāja 17 753.27 </w:t>
            </w:r>
            <w:r>
              <w:rPr>
                <w:rFonts w:eastAsia="Calibri"/>
                <w:i/>
                <w:lang w:eastAsia="en-US"/>
              </w:rPr>
              <w:t>euro</w:t>
            </w:r>
            <w:r w:rsidRPr="000D0380">
              <w:rPr>
                <w:rFonts w:eastAsia="Calibri"/>
                <w:lang w:eastAsia="en-US"/>
              </w:rPr>
              <w:t xml:space="preserve"> apmērā.</w:t>
            </w:r>
          </w:p>
          <w:p w14:paraId="10F9D460" w14:textId="6686BCA2" w:rsidR="00975021" w:rsidRPr="000D0380" w:rsidRDefault="00975021" w:rsidP="00975021">
            <w:pPr>
              <w:jc w:val="both"/>
              <w:rPr>
                <w:rFonts w:eastAsia="Calibri"/>
                <w:lang w:eastAsia="en-US"/>
              </w:rPr>
            </w:pPr>
            <w:r w:rsidRPr="000D0380">
              <w:rPr>
                <w:rFonts w:eastAsia="Calibri"/>
                <w:lang w:eastAsia="en-US"/>
              </w:rPr>
              <w:t xml:space="preserve">Informatīvā ziņojuma 38. lpp. ir norādīts, ka A/S “Daugavpils Satiksme” tika piemērota korekcija </w:t>
            </w:r>
            <w:r w:rsidRPr="000D0380">
              <w:rPr>
                <w:rFonts w:eastAsia="Calibri"/>
                <w:u w:val="single"/>
                <w:lang w:eastAsia="en-US"/>
              </w:rPr>
              <w:t xml:space="preserve">5324,15 </w:t>
            </w:r>
            <w:r w:rsidRPr="0086260A">
              <w:rPr>
                <w:rFonts w:eastAsia="Calibri"/>
                <w:i/>
                <w:u w:val="single"/>
                <w:lang w:eastAsia="en-US"/>
              </w:rPr>
              <w:t>euro</w:t>
            </w:r>
            <w:r w:rsidRPr="000D0380">
              <w:rPr>
                <w:rFonts w:eastAsia="Calibri"/>
                <w:lang w:eastAsia="en-US"/>
              </w:rPr>
              <w:t xml:space="preserve"> apmērā. Minētā summa </w:t>
            </w:r>
            <w:r w:rsidRPr="000D0380">
              <w:rPr>
                <w:rFonts w:eastAsia="Calibri"/>
                <w:u w:val="single"/>
                <w:lang w:eastAsia="en-US"/>
              </w:rPr>
              <w:t>neatbilst</w:t>
            </w:r>
            <w:r w:rsidRPr="000D0380">
              <w:rPr>
                <w:rFonts w:eastAsia="Calibri"/>
                <w:lang w:eastAsia="en-US"/>
              </w:rPr>
              <w:t xml:space="preserve"> faktiski ieturētās summas apjomam jeb 17 753.27 </w:t>
            </w:r>
            <w:r>
              <w:rPr>
                <w:rFonts w:eastAsia="Calibri"/>
                <w:i/>
                <w:lang w:eastAsia="en-US"/>
              </w:rPr>
              <w:t>euro</w:t>
            </w:r>
            <w:r w:rsidRPr="000D0380">
              <w:rPr>
                <w:rFonts w:eastAsia="Calibri"/>
                <w:lang w:eastAsia="en-US"/>
              </w:rPr>
              <w:t xml:space="preserve">. A/S “Daugavpils Satiksme” realizētā projekta ietvaros Nr. 4.5.1.1/16/I/003 ietvaros </w:t>
            </w:r>
            <w:r w:rsidRPr="000D0380">
              <w:rPr>
                <w:rFonts w:eastAsia="Calibri"/>
                <w:b/>
                <w:lang w:eastAsia="en-US"/>
              </w:rPr>
              <w:t xml:space="preserve">netika piemērota finanšu korekcija 5324,15 </w:t>
            </w:r>
            <w:r w:rsidRPr="0086260A">
              <w:rPr>
                <w:rFonts w:eastAsia="Calibri"/>
                <w:b/>
                <w:i/>
                <w:lang w:eastAsia="en-US"/>
              </w:rPr>
              <w:t>euro</w:t>
            </w:r>
            <w:r w:rsidRPr="000D0380">
              <w:rPr>
                <w:rFonts w:eastAsia="Calibri"/>
                <w:b/>
                <w:lang w:eastAsia="en-US"/>
              </w:rPr>
              <w:t xml:space="preserve"> apmērā</w:t>
            </w:r>
            <w:r w:rsidRPr="000D0380">
              <w:rPr>
                <w:rFonts w:eastAsia="Calibri"/>
                <w:lang w:eastAsia="en-US"/>
              </w:rPr>
              <w:t xml:space="preserve">. Minētā projekta ietvaros </w:t>
            </w:r>
            <w:r w:rsidRPr="000D0380">
              <w:rPr>
                <w:rFonts w:eastAsia="Calibri"/>
                <w:b/>
                <w:lang w:eastAsia="en-US"/>
              </w:rPr>
              <w:t xml:space="preserve">tika ieturēti izdevumi MP Nr.9 - 17 753,27 </w:t>
            </w:r>
            <w:r w:rsidRPr="0086260A">
              <w:rPr>
                <w:rFonts w:eastAsia="Calibri"/>
                <w:b/>
                <w:i/>
                <w:lang w:eastAsia="en-US"/>
              </w:rPr>
              <w:t>euro</w:t>
            </w:r>
            <w:r w:rsidRPr="000D0380">
              <w:rPr>
                <w:rFonts w:eastAsia="Calibri"/>
                <w:b/>
                <w:lang w:eastAsia="en-US"/>
              </w:rPr>
              <w:t xml:space="preserve"> apmērā, kas tika atmaksāti pēc A/S “Daugavpils Satiksme” skaidrojumu sniegšanas.</w:t>
            </w:r>
          </w:p>
          <w:p w14:paraId="5B550FB6" w14:textId="77777777" w:rsidR="00975021" w:rsidRPr="000D0380" w:rsidRDefault="00975021" w:rsidP="00975021">
            <w:pPr>
              <w:jc w:val="both"/>
              <w:rPr>
                <w:rFonts w:eastAsia="Calibri"/>
                <w:lang w:eastAsia="en-US"/>
              </w:rPr>
            </w:pPr>
            <w:r w:rsidRPr="000D0380">
              <w:rPr>
                <w:rFonts w:eastAsia="Calibri"/>
                <w:lang w:eastAsia="en-US"/>
              </w:rPr>
              <w:t xml:space="preserve">Līdz ar to, </w:t>
            </w:r>
            <w:r w:rsidRPr="000D0380">
              <w:rPr>
                <w:rFonts w:eastAsia="Calibri"/>
                <w:b/>
                <w:lang w:eastAsia="en-US"/>
              </w:rPr>
              <w:t>lūdzam precizēt protokollēmuma projekta 5. punktu un neiekļaut tekstā neprecīzu informāciju par AS “Daugavpils satiksme” piemērotajām finanšu korekcijām,</w:t>
            </w:r>
            <w:r w:rsidRPr="000D0380">
              <w:rPr>
                <w:rFonts w:eastAsia="Calibri"/>
                <w:lang w:eastAsia="en-US"/>
              </w:rPr>
              <w:t xml:space="preserve"> jo:</w:t>
            </w:r>
          </w:p>
          <w:p w14:paraId="694892BB" w14:textId="77777777" w:rsidR="00975021" w:rsidRPr="000D0380" w:rsidRDefault="00975021" w:rsidP="00975021">
            <w:pPr>
              <w:numPr>
                <w:ilvl w:val="0"/>
                <w:numId w:val="3"/>
              </w:numPr>
              <w:jc w:val="both"/>
              <w:rPr>
                <w:rFonts w:eastAsia="Calibri"/>
                <w:lang w:eastAsia="en-US"/>
              </w:rPr>
            </w:pPr>
            <w:r w:rsidRPr="000D0380">
              <w:rPr>
                <w:rFonts w:eastAsia="Calibri"/>
                <w:lang w:eastAsia="en-US"/>
              </w:rPr>
              <w:t xml:space="preserve">Finansējuma saņēmēja rīcībā </w:t>
            </w:r>
            <w:r w:rsidRPr="000D0380">
              <w:rPr>
                <w:rFonts w:eastAsia="Calibri"/>
                <w:b/>
                <w:lang w:eastAsia="en-US"/>
              </w:rPr>
              <w:t>nav CFLA lēmuma par 5 324,15</w:t>
            </w:r>
            <w:r w:rsidRPr="000D0380">
              <w:rPr>
                <w:rFonts w:eastAsia="Calibri"/>
                <w:lang w:eastAsia="en-US"/>
              </w:rPr>
              <w:t xml:space="preserve"> </w:t>
            </w:r>
            <w:r w:rsidRPr="0086260A">
              <w:rPr>
                <w:rFonts w:eastAsia="Calibri"/>
                <w:i/>
                <w:lang w:eastAsia="en-US"/>
              </w:rPr>
              <w:t>euro</w:t>
            </w:r>
            <w:r w:rsidRPr="000D0380">
              <w:rPr>
                <w:rFonts w:eastAsia="Calibri"/>
                <w:lang w:eastAsia="en-US"/>
              </w:rPr>
              <w:t xml:space="preserve"> apmērā korekciju;</w:t>
            </w:r>
          </w:p>
          <w:p w14:paraId="0F7C4891" w14:textId="2031F311" w:rsidR="00975021" w:rsidRPr="000D0380" w:rsidRDefault="00975021" w:rsidP="00975021">
            <w:pPr>
              <w:widowControl w:val="0"/>
              <w:jc w:val="both"/>
              <w:rPr>
                <w:b/>
              </w:rPr>
            </w:pPr>
            <w:r w:rsidRPr="000D0380">
              <w:rPr>
                <w:lang w:eastAsia="en-US"/>
              </w:rPr>
              <w:t xml:space="preserve">Ieturētie izdevumi 17 753,27 </w:t>
            </w:r>
            <w:r w:rsidRPr="0086260A">
              <w:rPr>
                <w:i/>
                <w:lang w:eastAsia="en-US"/>
              </w:rPr>
              <w:t>euro</w:t>
            </w:r>
            <w:r w:rsidRPr="000D0380">
              <w:rPr>
                <w:lang w:eastAsia="en-US"/>
              </w:rPr>
              <w:t xml:space="preserve"> apmērā nav uzskatāmi par finanšu korekciju, jo ir atcelti ar CFLA 21.06.2019. vēstuli Nr. 39-2-40.2/5374.</w:t>
            </w:r>
          </w:p>
        </w:tc>
        <w:tc>
          <w:tcPr>
            <w:tcW w:w="2700" w:type="dxa"/>
            <w:tcBorders>
              <w:top w:val="single" w:sz="4" w:space="0" w:color="auto"/>
              <w:left w:val="single" w:sz="4" w:space="0" w:color="auto"/>
              <w:bottom w:val="single" w:sz="4" w:space="0" w:color="auto"/>
              <w:right w:val="single" w:sz="4" w:space="0" w:color="auto"/>
            </w:tcBorders>
          </w:tcPr>
          <w:p w14:paraId="37469291" w14:textId="6F650242" w:rsidR="00975021" w:rsidRPr="000D0380" w:rsidRDefault="00975021" w:rsidP="00975021">
            <w:pPr>
              <w:jc w:val="both"/>
              <w:rPr>
                <w:b/>
                <w:lang w:eastAsia="en-US"/>
              </w:rPr>
            </w:pPr>
            <w:r w:rsidRPr="000D0380">
              <w:rPr>
                <w:b/>
                <w:lang w:eastAsia="en-US"/>
              </w:rPr>
              <w:t>Ņemts vērā</w:t>
            </w:r>
            <w:r w:rsidR="00294E10">
              <w:rPr>
                <w:b/>
                <w:lang w:eastAsia="en-US"/>
              </w:rPr>
              <w:t>.</w:t>
            </w:r>
          </w:p>
          <w:p w14:paraId="297191C7" w14:textId="154893F5" w:rsidR="00975021" w:rsidRPr="000D0380" w:rsidRDefault="00975021" w:rsidP="00975021">
            <w:pPr>
              <w:jc w:val="both"/>
              <w:rPr>
                <w:lang w:eastAsia="en-US"/>
              </w:rPr>
            </w:pPr>
            <w:r>
              <w:rPr>
                <w:lang w:eastAsia="en-US"/>
              </w:rPr>
              <w:t>S</w:t>
            </w:r>
            <w:r w:rsidRPr="000D0380">
              <w:rPr>
                <w:lang w:eastAsia="en-US"/>
              </w:rPr>
              <w:t xml:space="preserve">katīt izziņas </w:t>
            </w:r>
            <w:r w:rsidRPr="001D1E60">
              <w:rPr>
                <w:lang w:eastAsia="en-US"/>
              </w:rPr>
              <w:t>29.</w:t>
            </w:r>
            <w:r w:rsidRPr="000D0380">
              <w:rPr>
                <w:lang w:eastAsia="en-US"/>
              </w:rPr>
              <w:t xml:space="preserve"> punkt</w:t>
            </w:r>
            <w:r>
              <w:rPr>
                <w:lang w:eastAsia="en-US"/>
              </w:rPr>
              <w:t>u</w:t>
            </w:r>
            <w:r w:rsidRPr="000D0380">
              <w:rPr>
                <w:lang w:eastAsia="en-US"/>
              </w:rPr>
              <w:t>.</w:t>
            </w:r>
          </w:p>
          <w:p w14:paraId="04F2559D" w14:textId="0FA74E22" w:rsidR="00975021" w:rsidRPr="000D0380" w:rsidRDefault="00975021" w:rsidP="00975021">
            <w:pPr>
              <w:jc w:val="both"/>
              <w:rPr>
                <w:b/>
                <w:lang w:eastAsia="en-US"/>
              </w:rPr>
            </w:pPr>
          </w:p>
          <w:p w14:paraId="2DF8A2D1" w14:textId="77777777" w:rsidR="00975021" w:rsidRDefault="00975021" w:rsidP="00975021">
            <w:pPr>
              <w:pStyle w:val="naisc"/>
              <w:jc w:val="both"/>
              <w:rPr>
                <w:b/>
                <w:lang w:eastAsia="en-US"/>
              </w:rPr>
            </w:pPr>
          </w:p>
        </w:tc>
        <w:tc>
          <w:tcPr>
            <w:tcW w:w="2259" w:type="dxa"/>
            <w:tcBorders>
              <w:top w:val="single" w:sz="4" w:space="0" w:color="auto"/>
              <w:left w:val="single" w:sz="4" w:space="0" w:color="auto"/>
              <w:bottom w:val="single" w:sz="4" w:space="0" w:color="auto"/>
              <w:right w:val="single" w:sz="4" w:space="0" w:color="auto"/>
            </w:tcBorders>
          </w:tcPr>
          <w:p w14:paraId="5FCB251A" w14:textId="350B7C6B" w:rsidR="00975021" w:rsidRDefault="00975021" w:rsidP="00975021">
            <w:pPr>
              <w:pStyle w:val="Default"/>
              <w:shd w:val="clear" w:color="auto" w:fill="FFFFFF" w:themeFill="background1"/>
              <w:tabs>
                <w:tab w:val="left" w:pos="0"/>
              </w:tabs>
              <w:jc w:val="both"/>
            </w:pPr>
            <w:r>
              <w:t xml:space="preserve">Skatīt precizētu protokollēmuma projekta </w:t>
            </w:r>
            <w:r w:rsidR="00925F57">
              <w:t>9</w:t>
            </w:r>
            <w:r w:rsidRPr="001D1E60">
              <w:t>.</w:t>
            </w:r>
            <w:r>
              <w:t xml:space="preserve"> punktu.</w:t>
            </w:r>
          </w:p>
          <w:p w14:paraId="368AF1FC" w14:textId="77777777" w:rsidR="00975021" w:rsidRPr="000D0380" w:rsidRDefault="00975021" w:rsidP="00975021">
            <w:pPr>
              <w:pStyle w:val="Default"/>
              <w:jc w:val="both"/>
            </w:pPr>
          </w:p>
        </w:tc>
      </w:tr>
      <w:tr w:rsidR="00975021" w:rsidRPr="000D0380" w14:paraId="2205EBD3" w14:textId="77777777" w:rsidTr="006C2AE0">
        <w:trPr>
          <w:trHeight w:val="394"/>
        </w:trPr>
        <w:tc>
          <w:tcPr>
            <w:tcW w:w="988" w:type="dxa"/>
            <w:tcBorders>
              <w:top w:val="single" w:sz="4" w:space="0" w:color="auto"/>
              <w:left w:val="single" w:sz="4" w:space="0" w:color="auto"/>
              <w:bottom w:val="single" w:sz="4" w:space="0" w:color="auto"/>
              <w:right w:val="single" w:sz="4" w:space="0" w:color="auto"/>
            </w:tcBorders>
          </w:tcPr>
          <w:p w14:paraId="1F28120A" w14:textId="77777777" w:rsidR="00975021" w:rsidRPr="000D0380" w:rsidRDefault="00975021" w:rsidP="00F1131F">
            <w:pPr>
              <w:pStyle w:val="ListParagraph"/>
              <w:numPr>
                <w:ilvl w:val="0"/>
                <w:numId w:val="9"/>
              </w:numPr>
              <w:tabs>
                <w:tab w:val="left" w:pos="360"/>
              </w:tabs>
              <w:jc w:val="both"/>
              <w:rPr>
                <w:rFonts w:ascii="Times New Roman" w:hAnsi="Times New Roman"/>
              </w:rPr>
            </w:pPr>
          </w:p>
        </w:tc>
        <w:tc>
          <w:tcPr>
            <w:tcW w:w="2697" w:type="dxa"/>
            <w:tcBorders>
              <w:top w:val="single" w:sz="4" w:space="0" w:color="auto"/>
              <w:left w:val="single" w:sz="4" w:space="0" w:color="auto"/>
              <w:bottom w:val="single" w:sz="4" w:space="0" w:color="auto"/>
              <w:right w:val="single" w:sz="4" w:space="0" w:color="auto"/>
            </w:tcBorders>
          </w:tcPr>
          <w:p w14:paraId="5F48D8FB" w14:textId="013CC40E" w:rsidR="00975021" w:rsidRDefault="00975021" w:rsidP="00975021">
            <w:pPr>
              <w:jc w:val="both"/>
              <w:rPr>
                <w:rFonts w:eastAsiaTheme="minorHAnsi"/>
                <w:lang w:eastAsia="en-US"/>
              </w:rPr>
            </w:pPr>
            <w:r>
              <w:rPr>
                <w:lang w:eastAsia="en-US"/>
              </w:rPr>
              <w:t>P</w:t>
            </w:r>
            <w:r w:rsidRPr="000D0380">
              <w:rPr>
                <w:lang w:eastAsia="en-US"/>
              </w:rPr>
              <w:t xml:space="preserve">rotokollēmuma </w:t>
            </w:r>
            <w:r>
              <w:rPr>
                <w:lang w:eastAsia="en-US"/>
              </w:rPr>
              <w:t>projekta 6.</w:t>
            </w:r>
            <w:r w:rsidRPr="000D0380">
              <w:rPr>
                <w:lang w:eastAsia="en-US"/>
              </w:rPr>
              <w:t>pu</w:t>
            </w:r>
            <w:r>
              <w:rPr>
                <w:lang w:eastAsia="en-US"/>
              </w:rPr>
              <w:t>nkts</w:t>
            </w:r>
            <w:r w:rsidR="003434E6">
              <w:rPr>
                <w:lang w:eastAsia="en-US"/>
              </w:rPr>
              <w:t>.</w:t>
            </w:r>
          </w:p>
        </w:tc>
        <w:tc>
          <w:tcPr>
            <w:tcW w:w="6660" w:type="dxa"/>
            <w:tcBorders>
              <w:top w:val="single" w:sz="4" w:space="0" w:color="auto"/>
              <w:left w:val="single" w:sz="4" w:space="0" w:color="auto"/>
              <w:bottom w:val="single" w:sz="4" w:space="0" w:color="auto"/>
              <w:right w:val="single" w:sz="4" w:space="0" w:color="auto"/>
            </w:tcBorders>
          </w:tcPr>
          <w:p w14:paraId="4BFAF672" w14:textId="77777777" w:rsidR="00975021" w:rsidRPr="000D0380" w:rsidRDefault="00975021" w:rsidP="00975021">
            <w:pPr>
              <w:widowControl w:val="0"/>
              <w:jc w:val="both"/>
              <w:rPr>
                <w:b/>
                <w:color w:val="000000"/>
              </w:rPr>
            </w:pPr>
            <w:r w:rsidRPr="000D0380">
              <w:rPr>
                <w:b/>
                <w:color w:val="000000"/>
              </w:rPr>
              <w:t>Iebildums</w:t>
            </w:r>
          </w:p>
          <w:p w14:paraId="75CD3E31" w14:textId="77777777" w:rsidR="00975021" w:rsidRPr="000D0380" w:rsidRDefault="00975021" w:rsidP="00975021">
            <w:pPr>
              <w:widowControl w:val="0"/>
              <w:jc w:val="both"/>
              <w:rPr>
                <w:b/>
                <w:color w:val="000000"/>
              </w:rPr>
            </w:pPr>
            <w:r w:rsidRPr="000D0380">
              <w:rPr>
                <w:b/>
                <w:color w:val="000000"/>
              </w:rPr>
              <w:t>Veselības ministrija</w:t>
            </w:r>
          </w:p>
          <w:p w14:paraId="5DD7C247" w14:textId="77777777" w:rsidR="00975021" w:rsidRPr="000D0380" w:rsidRDefault="00975021" w:rsidP="00975021">
            <w:pPr>
              <w:pStyle w:val="BodyText2"/>
              <w:spacing w:after="0" w:line="240" w:lineRule="auto"/>
              <w:jc w:val="both"/>
              <w:rPr>
                <w:lang w:eastAsia="en-US"/>
              </w:rPr>
            </w:pPr>
            <w:r w:rsidRPr="000D0380">
              <w:rPr>
                <w:lang w:eastAsia="en-US"/>
              </w:rPr>
              <w:t xml:space="preserve">Protokollēmuma 6.punkts, nosaka uzdevumu </w:t>
            </w:r>
            <w:bookmarkStart w:id="2" w:name="_Hlk31972298"/>
            <w:r w:rsidRPr="000D0380">
              <w:rPr>
                <w:lang w:eastAsia="en-US"/>
              </w:rPr>
              <w:t xml:space="preserve">Iekšlietu ministrijai līdz 2020.gada 15.jūnijam iesniegt Finanšu ministrijā stratēģiski pamatotu priekšlikumu par rezerves finansējuma 2 449 000 </w:t>
            </w:r>
            <w:r w:rsidRPr="0086260A">
              <w:rPr>
                <w:i/>
                <w:lang w:eastAsia="en-US"/>
              </w:rPr>
              <w:t>euro</w:t>
            </w:r>
            <w:r w:rsidRPr="000D0380">
              <w:rPr>
                <w:lang w:eastAsia="en-US"/>
              </w:rPr>
              <w:t xml:space="preserve"> izlietojumu programmā “Starptautiskā policijas sadarbība un noziedzības apkarošana”</w:t>
            </w:r>
            <w:bookmarkEnd w:id="2"/>
            <w:r w:rsidRPr="000D0380">
              <w:rPr>
                <w:lang w:eastAsia="en-US"/>
              </w:rPr>
              <w:t xml:space="preserve"> saskaņā ar Saprašanās memorandā par Eiropas Ekonomikas zonas finanšu instrumenta ieviešanu 2014. – 2021. gadā 2. pielikuma 2. punktā noteikto.</w:t>
            </w:r>
          </w:p>
          <w:p w14:paraId="08B8FCBD" w14:textId="6B492E41" w:rsidR="00975021" w:rsidRPr="000D0380" w:rsidRDefault="00975021" w:rsidP="00975021">
            <w:pPr>
              <w:pStyle w:val="BodyText2"/>
              <w:spacing w:after="0" w:line="240" w:lineRule="auto"/>
              <w:jc w:val="both"/>
              <w:rPr>
                <w:b/>
              </w:rPr>
            </w:pPr>
            <w:r w:rsidRPr="000D0380">
              <w:rPr>
                <w:lang w:eastAsia="en-US"/>
              </w:rPr>
              <w:t>Ievērojot to, ka uzdevuma izpildē ir iesaistīta arī Veselības ministrija (ņemot vērā Valsts tiesu medicīnas ekspertīzes centra veicamo funkciju potenciālu saistību ar programmas “Starptautiskā policijas sadarbība un noziedzības apkarošana” izvirzīto mērķu sasniegšanu), lūdzam papildināt protokollēmuma 6.punktu, nosakot, ka stratēģiski pamatotu priekšlikumu par rezerves finansējuma izmantošanu izstrāde veicama sadarbībā ar Veselības ministriju.</w:t>
            </w:r>
          </w:p>
        </w:tc>
        <w:tc>
          <w:tcPr>
            <w:tcW w:w="2700" w:type="dxa"/>
            <w:tcBorders>
              <w:top w:val="single" w:sz="4" w:space="0" w:color="auto"/>
              <w:left w:val="single" w:sz="4" w:space="0" w:color="auto"/>
              <w:bottom w:val="single" w:sz="4" w:space="0" w:color="auto"/>
              <w:right w:val="single" w:sz="4" w:space="0" w:color="auto"/>
            </w:tcBorders>
          </w:tcPr>
          <w:p w14:paraId="29356CFC" w14:textId="20F40D3C" w:rsidR="00975021" w:rsidRPr="000D0380" w:rsidRDefault="00975021" w:rsidP="00975021">
            <w:pPr>
              <w:jc w:val="both"/>
              <w:rPr>
                <w:b/>
                <w:lang w:eastAsia="en-US"/>
              </w:rPr>
            </w:pPr>
            <w:r w:rsidRPr="000D0380">
              <w:rPr>
                <w:b/>
                <w:lang w:eastAsia="en-US"/>
              </w:rPr>
              <w:t>Ņemts vērā</w:t>
            </w:r>
            <w:r w:rsidR="00294E10">
              <w:rPr>
                <w:b/>
                <w:lang w:eastAsia="en-US"/>
              </w:rPr>
              <w:t>.</w:t>
            </w:r>
          </w:p>
          <w:p w14:paraId="3BC4932F" w14:textId="77777777" w:rsidR="00975021" w:rsidRDefault="00975021" w:rsidP="00975021">
            <w:pPr>
              <w:pStyle w:val="naisc"/>
              <w:jc w:val="both"/>
              <w:rPr>
                <w:b/>
                <w:lang w:eastAsia="en-US"/>
              </w:rPr>
            </w:pPr>
          </w:p>
        </w:tc>
        <w:tc>
          <w:tcPr>
            <w:tcW w:w="2259" w:type="dxa"/>
            <w:tcBorders>
              <w:top w:val="single" w:sz="4" w:space="0" w:color="auto"/>
              <w:left w:val="single" w:sz="4" w:space="0" w:color="auto"/>
              <w:bottom w:val="single" w:sz="4" w:space="0" w:color="auto"/>
              <w:right w:val="single" w:sz="4" w:space="0" w:color="auto"/>
            </w:tcBorders>
          </w:tcPr>
          <w:p w14:paraId="7F4F5893" w14:textId="14B0E473" w:rsidR="00975021" w:rsidRPr="000D0380" w:rsidRDefault="00975021" w:rsidP="00925F57">
            <w:pPr>
              <w:pStyle w:val="Default"/>
              <w:jc w:val="both"/>
            </w:pPr>
            <w:r w:rsidRPr="000D0380">
              <w:t xml:space="preserve">Skatīt </w:t>
            </w:r>
            <w:r>
              <w:t xml:space="preserve">precizētu </w:t>
            </w:r>
            <w:r w:rsidRPr="000D0380">
              <w:t xml:space="preserve"> precizē</w:t>
            </w:r>
            <w:r>
              <w:t>tu i</w:t>
            </w:r>
            <w:r w:rsidRPr="000D0380">
              <w:t>nformatīvā ziņojuma</w:t>
            </w:r>
            <w:r>
              <w:t xml:space="preserve"> 6</w:t>
            </w:r>
            <w:r w:rsidRPr="000D0380">
              <w:rPr>
                <w:rFonts w:eastAsiaTheme="minorHAnsi"/>
              </w:rPr>
              <w:t>.</w:t>
            </w:r>
            <w:r w:rsidR="00A60B5A">
              <w:rPr>
                <w:rFonts w:eastAsiaTheme="minorHAnsi"/>
              </w:rPr>
              <w:t> </w:t>
            </w:r>
            <w:r w:rsidRPr="000D0380">
              <w:rPr>
                <w:rFonts w:eastAsiaTheme="minorHAnsi"/>
              </w:rPr>
              <w:t>sadaļ</w:t>
            </w:r>
            <w:r>
              <w:rPr>
                <w:rFonts w:eastAsiaTheme="minorHAnsi"/>
              </w:rPr>
              <w:t>u</w:t>
            </w:r>
            <w:r w:rsidRPr="000D0380">
              <w:t xml:space="preserve"> </w:t>
            </w:r>
            <w:r>
              <w:t xml:space="preserve">un </w:t>
            </w:r>
            <w:r w:rsidRPr="000D0380">
              <w:t>proto</w:t>
            </w:r>
            <w:r>
              <w:t>k</w:t>
            </w:r>
            <w:r w:rsidRPr="000D0380">
              <w:t>ollēmuma</w:t>
            </w:r>
            <w:r>
              <w:t xml:space="preserve"> projekta </w:t>
            </w:r>
            <w:r w:rsidR="00925F57">
              <w:t>7</w:t>
            </w:r>
            <w:r>
              <w:t xml:space="preserve">. </w:t>
            </w:r>
            <w:r w:rsidRPr="000D0380">
              <w:t>punktu</w:t>
            </w:r>
            <w:r>
              <w:t>.</w:t>
            </w:r>
          </w:p>
        </w:tc>
      </w:tr>
      <w:tr w:rsidR="00975021" w:rsidRPr="000D0380" w14:paraId="7EB5AB57" w14:textId="77777777" w:rsidTr="006C2AE0">
        <w:trPr>
          <w:trHeight w:val="394"/>
        </w:trPr>
        <w:tc>
          <w:tcPr>
            <w:tcW w:w="988" w:type="dxa"/>
            <w:tcBorders>
              <w:top w:val="single" w:sz="4" w:space="0" w:color="auto"/>
              <w:left w:val="single" w:sz="4" w:space="0" w:color="auto"/>
              <w:bottom w:val="single" w:sz="4" w:space="0" w:color="auto"/>
              <w:right w:val="single" w:sz="4" w:space="0" w:color="auto"/>
            </w:tcBorders>
          </w:tcPr>
          <w:p w14:paraId="46238867" w14:textId="77777777" w:rsidR="00975021" w:rsidRPr="000D0380" w:rsidRDefault="00975021" w:rsidP="00F1131F">
            <w:pPr>
              <w:pStyle w:val="ListParagraph"/>
              <w:numPr>
                <w:ilvl w:val="0"/>
                <w:numId w:val="9"/>
              </w:numPr>
              <w:tabs>
                <w:tab w:val="left" w:pos="360"/>
              </w:tabs>
              <w:jc w:val="both"/>
              <w:rPr>
                <w:rFonts w:ascii="Times New Roman" w:hAnsi="Times New Roman"/>
              </w:rPr>
            </w:pPr>
          </w:p>
        </w:tc>
        <w:tc>
          <w:tcPr>
            <w:tcW w:w="2697" w:type="dxa"/>
            <w:tcBorders>
              <w:top w:val="single" w:sz="4" w:space="0" w:color="auto"/>
              <w:left w:val="single" w:sz="4" w:space="0" w:color="auto"/>
              <w:bottom w:val="single" w:sz="4" w:space="0" w:color="auto"/>
              <w:right w:val="single" w:sz="4" w:space="0" w:color="auto"/>
            </w:tcBorders>
          </w:tcPr>
          <w:p w14:paraId="5C34A3FE" w14:textId="7F1DD6DD" w:rsidR="00975021" w:rsidRDefault="00975021" w:rsidP="00975021">
            <w:pPr>
              <w:jc w:val="both"/>
              <w:rPr>
                <w:lang w:eastAsia="en-US"/>
              </w:rPr>
            </w:pPr>
            <w:r>
              <w:rPr>
                <w:rFonts w:eastAsiaTheme="minorHAnsi"/>
                <w:lang w:eastAsia="en-US"/>
              </w:rPr>
              <w:t>P</w:t>
            </w:r>
            <w:r w:rsidRPr="000D0380">
              <w:rPr>
                <w:rFonts w:eastAsiaTheme="minorHAnsi"/>
                <w:lang w:eastAsia="en-US"/>
              </w:rPr>
              <w:t>rotokollēmum</w:t>
            </w:r>
            <w:r>
              <w:rPr>
                <w:rFonts w:eastAsiaTheme="minorHAnsi"/>
                <w:lang w:eastAsia="en-US"/>
              </w:rPr>
              <w:t>a projekts</w:t>
            </w:r>
            <w:r w:rsidR="003434E6">
              <w:rPr>
                <w:rFonts w:eastAsiaTheme="minorHAnsi"/>
                <w:lang w:eastAsia="en-US"/>
              </w:rPr>
              <w:t>.</w:t>
            </w:r>
            <w:r w:rsidRPr="000D0380">
              <w:rPr>
                <w:rFonts w:eastAsiaTheme="minorHAnsi"/>
                <w:lang w:eastAsia="en-US"/>
              </w:rPr>
              <w:t xml:space="preserve"> </w:t>
            </w:r>
          </w:p>
        </w:tc>
        <w:tc>
          <w:tcPr>
            <w:tcW w:w="6660" w:type="dxa"/>
            <w:tcBorders>
              <w:top w:val="single" w:sz="4" w:space="0" w:color="auto"/>
              <w:left w:val="single" w:sz="4" w:space="0" w:color="auto"/>
              <w:bottom w:val="single" w:sz="4" w:space="0" w:color="auto"/>
              <w:right w:val="single" w:sz="4" w:space="0" w:color="auto"/>
            </w:tcBorders>
          </w:tcPr>
          <w:p w14:paraId="415E58CA" w14:textId="77777777" w:rsidR="00975021" w:rsidRPr="000D0380" w:rsidRDefault="00975021" w:rsidP="00975021">
            <w:pPr>
              <w:jc w:val="both"/>
              <w:rPr>
                <w:b/>
                <w:iCs/>
              </w:rPr>
            </w:pPr>
            <w:r w:rsidRPr="000D0380">
              <w:rPr>
                <w:b/>
                <w:iCs/>
              </w:rPr>
              <w:t>Priekšlikums</w:t>
            </w:r>
          </w:p>
          <w:p w14:paraId="74C346FE" w14:textId="77777777" w:rsidR="00F70604" w:rsidRDefault="00F70604" w:rsidP="00975021">
            <w:pPr>
              <w:widowControl w:val="0"/>
              <w:jc w:val="both"/>
              <w:rPr>
                <w:b/>
                <w:iCs/>
              </w:rPr>
            </w:pPr>
            <w:r w:rsidRPr="000D0380">
              <w:rPr>
                <w:b/>
                <w:iCs/>
              </w:rPr>
              <w:t>Vides aizsardzības un reģionālās attīstības ministrija</w:t>
            </w:r>
            <w:r>
              <w:rPr>
                <w:b/>
                <w:iCs/>
              </w:rPr>
              <w:t xml:space="preserve"> </w:t>
            </w:r>
          </w:p>
          <w:p w14:paraId="6A843989" w14:textId="7F367AB6" w:rsidR="00975021" w:rsidRPr="000D0380" w:rsidRDefault="00975021" w:rsidP="00975021">
            <w:pPr>
              <w:widowControl w:val="0"/>
              <w:jc w:val="both"/>
              <w:rPr>
                <w:b/>
                <w:color w:val="000000"/>
              </w:rPr>
            </w:pPr>
            <w:r w:rsidRPr="000D0380">
              <w:rPr>
                <w:iCs/>
              </w:rPr>
              <w:t xml:space="preserve">Lūdzam papildināt protokollēmumu ar </w:t>
            </w:r>
            <w:r w:rsidRPr="00141222">
              <w:rPr>
                <w:iCs/>
              </w:rPr>
              <w:t>X.</w:t>
            </w:r>
            <w:r w:rsidR="003434E6">
              <w:rPr>
                <w:iCs/>
              </w:rPr>
              <w:t> </w:t>
            </w:r>
            <w:r w:rsidRPr="00141222">
              <w:rPr>
                <w:iCs/>
              </w:rPr>
              <w:t>punktu</w:t>
            </w:r>
            <w:r w:rsidRPr="000D0380">
              <w:rPr>
                <w:iCs/>
              </w:rPr>
              <w:t xml:space="preserve"> par rādītāju sasniegšanu SAMP 3.2.2.1. projektos.</w:t>
            </w:r>
          </w:p>
        </w:tc>
        <w:tc>
          <w:tcPr>
            <w:tcW w:w="2700" w:type="dxa"/>
            <w:tcBorders>
              <w:top w:val="single" w:sz="4" w:space="0" w:color="auto"/>
              <w:left w:val="single" w:sz="4" w:space="0" w:color="auto"/>
              <w:bottom w:val="single" w:sz="4" w:space="0" w:color="auto"/>
              <w:right w:val="single" w:sz="4" w:space="0" w:color="auto"/>
            </w:tcBorders>
          </w:tcPr>
          <w:p w14:paraId="6DA03D0B" w14:textId="3B05CA48" w:rsidR="00975021" w:rsidRPr="000D0380" w:rsidRDefault="00975021" w:rsidP="00975021">
            <w:pPr>
              <w:jc w:val="both"/>
              <w:rPr>
                <w:b/>
                <w:lang w:eastAsia="en-US"/>
              </w:rPr>
            </w:pPr>
            <w:r>
              <w:rPr>
                <w:b/>
                <w:lang w:eastAsia="en-US"/>
              </w:rPr>
              <w:t>Ņemts vērā</w:t>
            </w:r>
            <w:r w:rsidR="00294E10">
              <w:rPr>
                <w:b/>
                <w:lang w:eastAsia="en-US"/>
              </w:rPr>
              <w:t>.</w:t>
            </w:r>
          </w:p>
        </w:tc>
        <w:tc>
          <w:tcPr>
            <w:tcW w:w="2259" w:type="dxa"/>
            <w:tcBorders>
              <w:top w:val="single" w:sz="4" w:space="0" w:color="auto"/>
              <w:left w:val="single" w:sz="4" w:space="0" w:color="auto"/>
              <w:bottom w:val="single" w:sz="4" w:space="0" w:color="auto"/>
              <w:right w:val="single" w:sz="4" w:space="0" w:color="auto"/>
            </w:tcBorders>
          </w:tcPr>
          <w:p w14:paraId="3752CE00" w14:textId="717056E1" w:rsidR="00975021" w:rsidRPr="000D0380" w:rsidRDefault="00975021" w:rsidP="00975021">
            <w:pPr>
              <w:pStyle w:val="Default"/>
              <w:shd w:val="clear" w:color="auto" w:fill="FFFFFF" w:themeFill="background1"/>
              <w:tabs>
                <w:tab w:val="left" w:pos="0"/>
              </w:tabs>
              <w:jc w:val="both"/>
            </w:pPr>
            <w:r w:rsidRPr="000D0380">
              <w:t xml:space="preserve">Skatīt </w:t>
            </w:r>
            <w:r>
              <w:t xml:space="preserve">precizētu </w:t>
            </w:r>
            <w:r w:rsidRPr="000D0380">
              <w:t xml:space="preserve"> precizē</w:t>
            </w:r>
            <w:r>
              <w:t>tu i</w:t>
            </w:r>
            <w:r w:rsidRPr="000D0380">
              <w:t>nformatīvā ziņojuma</w:t>
            </w:r>
            <w:r>
              <w:t xml:space="preserve"> 3</w:t>
            </w:r>
            <w:r w:rsidRPr="000D0380">
              <w:rPr>
                <w:rFonts w:eastAsiaTheme="minorHAnsi"/>
              </w:rPr>
              <w:t>.</w:t>
            </w:r>
            <w:r w:rsidR="00A60B5A">
              <w:rPr>
                <w:rFonts w:eastAsiaTheme="minorHAnsi"/>
              </w:rPr>
              <w:t> </w:t>
            </w:r>
            <w:r w:rsidRPr="000D0380">
              <w:rPr>
                <w:rFonts w:eastAsiaTheme="minorHAnsi"/>
              </w:rPr>
              <w:t>sadaļ</w:t>
            </w:r>
            <w:r>
              <w:rPr>
                <w:rFonts w:eastAsiaTheme="minorHAnsi"/>
              </w:rPr>
              <w:t>u</w:t>
            </w:r>
            <w:r w:rsidRPr="000D0380">
              <w:t xml:space="preserve"> </w:t>
            </w:r>
            <w:r>
              <w:t xml:space="preserve">un </w:t>
            </w:r>
            <w:r w:rsidRPr="000D0380">
              <w:t>proto</w:t>
            </w:r>
            <w:r>
              <w:t>k</w:t>
            </w:r>
            <w:r w:rsidRPr="000D0380">
              <w:t>ollēmuma</w:t>
            </w:r>
            <w:r>
              <w:t xml:space="preserve"> projekta 2. punktu.</w:t>
            </w:r>
          </w:p>
        </w:tc>
      </w:tr>
      <w:tr w:rsidR="00975021" w:rsidRPr="000D0380" w14:paraId="7EAE8471" w14:textId="77777777" w:rsidTr="006C2AE0">
        <w:trPr>
          <w:trHeight w:val="394"/>
        </w:trPr>
        <w:tc>
          <w:tcPr>
            <w:tcW w:w="988" w:type="dxa"/>
            <w:tcBorders>
              <w:top w:val="single" w:sz="4" w:space="0" w:color="auto"/>
              <w:left w:val="single" w:sz="4" w:space="0" w:color="auto"/>
              <w:bottom w:val="single" w:sz="4" w:space="0" w:color="auto"/>
              <w:right w:val="single" w:sz="4" w:space="0" w:color="auto"/>
            </w:tcBorders>
          </w:tcPr>
          <w:p w14:paraId="07B0A419" w14:textId="77777777" w:rsidR="00975021" w:rsidRPr="000D0380" w:rsidRDefault="00975021" w:rsidP="00F1131F">
            <w:pPr>
              <w:pStyle w:val="ListParagraph"/>
              <w:numPr>
                <w:ilvl w:val="0"/>
                <w:numId w:val="9"/>
              </w:numPr>
              <w:tabs>
                <w:tab w:val="left" w:pos="360"/>
              </w:tabs>
              <w:jc w:val="both"/>
              <w:rPr>
                <w:rFonts w:ascii="Times New Roman" w:hAnsi="Times New Roman"/>
              </w:rPr>
            </w:pPr>
          </w:p>
        </w:tc>
        <w:tc>
          <w:tcPr>
            <w:tcW w:w="2697" w:type="dxa"/>
            <w:tcBorders>
              <w:top w:val="single" w:sz="4" w:space="0" w:color="auto"/>
              <w:left w:val="single" w:sz="4" w:space="0" w:color="auto"/>
              <w:right w:val="single" w:sz="4" w:space="0" w:color="auto"/>
            </w:tcBorders>
          </w:tcPr>
          <w:p w14:paraId="1E941492" w14:textId="046B12BA" w:rsidR="00975021" w:rsidRPr="000D0380" w:rsidRDefault="00975021" w:rsidP="00975021">
            <w:pPr>
              <w:jc w:val="both"/>
              <w:rPr>
                <w:rFonts w:eastAsiaTheme="minorHAnsi"/>
                <w:highlight w:val="yellow"/>
                <w:lang w:eastAsia="en-US"/>
              </w:rPr>
            </w:pPr>
            <w:r>
              <w:rPr>
                <w:rFonts w:eastAsiaTheme="minorHAnsi"/>
                <w:lang w:eastAsia="en-US"/>
              </w:rPr>
              <w:t>P</w:t>
            </w:r>
            <w:r w:rsidRPr="000D0380">
              <w:rPr>
                <w:rFonts w:eastAsiaTheme="minorHAnsi"/>
                <w:lang w:eastAsia="en-US"/>
              </w:rPr>
              <w:t>rotokollēmum</w:t>
            </w:r>
            <w:r>
              <w:rPr>
                <w:rFonts w:eastAsiaTheme="minorHAnsi"/>
                <w:lang w:eastAsia="en-US"/>
              </w:rPr>
              <w:t>a projekts</w:t>
            </w:r>
            <w:r w:rsidR="003434E6">
              <w:rPr>
                <w:rFonts w:eastAsiaTheme="minorHAnsi"/>
                <w:lang w:eastAsia="en-US"/>
              </w:rPr>
              <w:t>.</w:t>
            </w:r>
            <w:r w:rsidRPr="000D0380">
              <w:rPr>
                <w:rFonts w:eastAsiaTheme="minorHAnsi"/>
                <w:lang w:eastAsia="en-US"/>
              </w:rPr>
              <w:t xml:space="preserve"> </w:t>
            </w:r>
          </w:p>
        </w:tc>
        <w:tc>
          <w:tcPr>
            <w:tcW w:w="6660" w:type="dxa"/>
            <w:tcBorders>
              <w:top w:val="single" w:sz="4" w:space="0" w:color="auto"/>
              <w:left w:val="single" w:sz="4" w:space="0" w:color="auto"/>
              <w:right w:val="single" w:sz="4" w:space="0" w:color="auto"/>
            </w:tcBorders>
          </w:tcPr>
          <w:p w14:paraId="51674388" w14:textId="0BC9886F" w:rsidR="00975021" w:rsidRPr="000D0380" w:rsidRDefault="00975021" w:rsidP="00975021">
            <w:pPr>
              <w:jc w:val="both"/>
              <w:rPr>
                <w:b/>
                <w:iCs/>
              </w:rPr>
            </w:pPr>
            <w:r w:rsidRPr="000D0380">
              <w:rPr>
                <w:b/>
                <w:iCs/>
              </w:rPr>
              <w:t>Priekšlikums</w:t>
            </w:r>
          </w:p>
          <w:p w14:paraId="1C47C2FE" w14:textId="77777777" w:rsidR="00C7016A" w:rsidRDefault="00C7016A" w:rsidP="00975021">
            <w:pPr>
              <w:widowControl w:val="0"/>
              <w:jc w:val="both"/>
              <w:rPr>
                <w:b/>
                <w:iCs/>
              </w:rPr>
            </w:pPr>
            <w:r w:rsidRPr="000D0380">
              <w:rPr>
                <w:b/>
                <w:iCs/>
              </w:rPr>
              <w:t>Vides aizsardzības un reģionālās attīstības ministrija</w:t>
            </w:r>
            <w:r>
              <w:rPr>
                <w:b/>
                <w:iCs/>
              </w:rPr>
              <w:t xml:space="preserve"> </w:t>
            </w:r>
          </w:p>
          <w:p w14:paraId="31E5F570" w14:textId="64F04B53" w:rsidR="00975021" w:rsidRPr="000D0380" w:rsidRDefault="00975021" w:rsidP="00975021">
            <w:pPr>
              <w:widowControl w:val="0"/>
              <w:jc w:val="both"/>
              <w:rPr>
                <w:b/>
              </w:rPr>
            </w:pPr>
            <w:r w:rsidRPr="000D0380">
              <w:t xml:space="preserve">Lūdzam papildināt protokollēmumu ar </w:t>
            </w:r>
            <w:r w:rsidRPr="00141222">
              <w:t>X.</w:t>
            </w:r>
            <w:r w:rsidR="003434E6">
              <w:t> </w:t>
            </w:r>
            <w:r w:rsidRPr="00141222">
              <w:t>punktu</w:t>
            </w:r>
            <w:r w:rsidRPr="000D0380">
              <w:t xml:space="preserve"> par 2.2.1.1. pasākuma “Centralizētu publiskās pārvaldes IKT platformu izveide, publiskās pārvaldes procesu optimizēšana un attīstība” ietvaros īstenotajiem diviem Nacionālā veselības dienesta projektiem.</w:t>
            </w:r>
          </w:p>
        </w:tc>
        <w:tc>
          <w:tcPr>
            <w:tcW w:w="2700" w:type="dxa"/>
            <w:tcBorders>
              <w:top w:val="single" w:sz="4" w:space="0" w:color="auto"/>
              <w:left w:val="single" w:sz="4" w:space="0" w:color="auto"/>
              <w:right w:val="single" w:sz="4" w:space="0" w:color="auto"/>
            </w:tcBorders>
          </w:tcPr>
          <w:p w14:paraId="026EBA61" w14:textId="35F5E111" w:rsidR="00975021" w:rsidRPr="000D0380" w:rsidRDefault="00975021" w:rsidP="00975021">
            <w:pPr>
              <w:pStyle w:val="naisc"/>
              <w:spacing w:before="0" w:after="0"/>
              <w:jc w:val="both"/>
              <w:rPr>
                <w:b/>
                <w:lang w:eastAsia="en-US"/>
              </w:rPr>
            </w:pPr>
            <w:r>
              <w:rPr>
                <w:b/>
                <w:lang w:eastAsia="en-US"/>
              </w:rPr>
              <w:t xml:space="preserve">Ņemts vērā </w:t>
            </w:r>
            <w:r w:rsidRPr="00607EAD">
              <w:rPr>
                <w:lang w:eastAsia="en-US"/>
              </w:rPr>
              <w:t>pēc būtības</w:t>
            </w:r>
            <w:r>
              <w:rPr>
                <w:lang w:eastAsia="en-US"/>
              </w:rPr>
              <w:t>.</w:t>
            </w:r>
          </w:p>
          <w:p w14:paraId="5E059FB4" w14:textId="540D5463" w:rsidR="00975021" w:rsidRPr="000D0380" w:rsidRDefault="00975021" w:rsidP="00975021">
            <w:pPr>
              <w:pStyle w:val="naisc"/>
              <w:jc w:val="both"/>
              <w:rPr>
                <w:b/>
                <w:lang w:eastAsia="en-US"/>
              </w:rPr>
            </w:pPr>
          </w:p>
        </w:tc>
        <w:tc>
          <w:tcPr>
            <w:tcW w:w="2259" w:type="dxa"/>
            <w:tcBorders>
              <w:top w:val="single" w:sz="4" w:space="0" w:color="auto"/>
              <w:left w:val="single" w:sz="4" w:space="0" w:color="auto"/>
              <w:right w:val="single" w:sz="4" w:space="0" w:color="auto"/>
            </w:tcBorders>
          </w:tcPr>
          <w:p w14:paraId="18CCAA50" w14:textId="668815C1" w:rsidR="00975021" w:rsidRPr="000D0380" w:rsidRDefault="00975021" w:rsidP="00975021">
            <w:pPr>
              <w:pStyle w:val="Default"/>
              <w:jc w:val="both"/>
            </w:pPr>
            <w:r w:rsidRPr="000D0380">
              <w:t>Skatīt precizē</w:t>
            </w:r>
            <w:r>
              <w:t>tu i</w:t>
            </w:r>
            <w:r w:rsidRPr="000D0380">
              <w:t>nformatīvā ziņojuma</w:t>
            </w:r>
            <w:r>
              <w:t xml:space="preserve"> </w:t>
            </w:r>
            <w:r w:rsidRPr="000D0380">
              <w:rPr>
                <w:rFonts w:eastAsiaTheme="minorHAnsi"/>
              </w:rPr>
              <w:t>4.</w:t>
            </w:r>
            <w:r w:rsidR="00A60B5A">
              <w:rPr>
                <w:rFonts w:eastAsiaTheme="minorHAnsi"/>
              </w:rPr>
              <w:t> </w:t>
            </w:r>
            <w:r w:rsidRPr="000D0380">
              <w:rPr>
                <w:rFonts w:eastAsiaTheme="minorHAnsi"/>
              </w:rPr>
              <w:t>sadaļ</w:t>
            </w:r>
            <w:r>
              <w:rPr>
                <w:rFonts w:eastAsiaTheme="minorHAnsi"/>
              </w:rPr>
              <w:t>u,</w:t>
            </w:r>
            <w:r>
              <w:t xml:space="preserve"> un </w:t>
            </w:r>
            <w:r w:rsidRPr="000D0380">
              <w:rPr>
                <w:rFonts w:eastAsiaTheme="minorHAnsi"/>
              </w:rPr>
              <w:t xml:space="preserve"> protokollēmuma</w:t>
            </w:r>
            <w:r>
              <w:rPr>
                <w:rFonts w:eastAsiaTheme="minorHAnsi"/>
              </w:rPr>
              <w:t xml:space="preserve"> projekta 4. punktu. </w:t>
            </w:r>
          </w:p>
        </w:tc>
      </w:tr>
    </w:tbl>
    <w:p w14:paraId="6AF7B7BE" w14:textId="0E740580" w:rsidR="007F4A63" w:rsidRPr="000D0380" w:rsidRDefault="00946431" w:rsidP="00141222">
      <w:pPr>
        <w:pStyle w:val="naisf"/>
        <w:spacing w:before="0" w:after="0"/>
        <w:ind w:firstLine="0"/>
        <w:rPr>
          <w:color w:val="000000"/>
        </w:rPr>
      </w:pPr>
      <w:r w:rsidRPr="000D0380">
        <w:rPr>
          <w:color w:val="000000"/>
        </w:rPr>
        <w:t>Atbildīgā amatpersona _______________________________________________________</w:t>
      </w:r>
    </w:p>
    <w:p w14:paraId="433AD3D6" w14:textId="45145CD1" w:rsidR="007F4A63" w:rsidRPr="000D0380" w:rsidRDefault="00946431" w:rsidP="00DA6BB5">
      <w:pPr>
        <w:pStyle w:val="naisf"/>
        <w:spacing w:before="0" w:after="0"/>
        <w:ind w:firstLine="0"/>
        <w:rPr>
          <w:color w:val="000000"/>
        </w:rPr>
      </w:pPr>
      <w:r w:rsidRPr="000D0380">
        <w:rPr>
          <w:color w:val="000000"/>
        </w:rPr>
        <w:tab/>
      </w:r>
      <w:r w:rsidRPr="000D0380">
        <w:rPr>
          <w:color w:val="000000"/>
        </w:rPr>
        <w:tab/>
      </w:r>
      <w:r w:rsidRPr="000D0380">
        <w:rPr>
          <w:color w:val="000000"/>
        </w:rPr>
        <w:tab/>
      </w:r>
      <w:r w:rsidR="00AE0DE7" w:rsidRPr="000D0380">
        <w:rPr>
          <w:color w:val="000000"/>
        </w:rPr>
        <w:tab/>
      </w:r>
      <w:r w:rsidR="00AE0DE7" w:rsidRPr="000D0380">
        <w:rPr>
          <w:color w:val="000000"/>
        </w:rPr>
        <w:tab/>
      </w:r>
      <w:r w:rsidR="00AE0DE7" w:rsidRPr="000D0380">
        <w:rPr>
          <w:color w:val="000000"/>
        </w:rPr>
        <w:tab/>
      </w:r>
      <w:r w:rsidRPr="000D0380">
        <w:rPr>
          <w:color w:val="000000"/>
        </w:rPr>
        <w:t>(paraksts)</w:t>
      </w:r>
    </w:p>
    <w:p w14:paraId="356F39DD" w14:textId="77777777" w:rsidR="00E70F29" w:rsidRPr="000D0380" w:rsidRDefault="00E70F29" w:rsidP="00D9627C">
      <w:pPr>
        <w:tabs>
          <w:tab w:val="center" w:pos="4153"/>
          <w:tab w:val="right" w:pos="8306"/>
        </w:tabs>
        <w:rPr>
          <w:color w:val="000000"/>
          <w:highlight w:val="yellow"/>
        </w:rPr>
      </w:pPr>
    </w:p>
    <w:p w14:paraId="0C0781FD" w14:textId="77777777" w:rsidR="00B81721" w:rsidRPr="000D0380" w:rsidRDefault="0025004D" w:rsidP="00B81721">
      <w:pPr>
        <w:tabs>
          <w:tab w:val="right" w:pos="9072"/>
        </w:tabs>
        <w:suppressAutoHyphens/>
        <w:rPr>
          <w:rFonts w:eastAsia="Calibri"/>
          <w:color w:val="002060"/>
          <w:lang w:eastAsia="ar-SA"/>
        </w:rPr>
      </w:pPr>
      <w:hyperlink r:id="rId12" w:history="1">
        <w:r w:rsidR="00B81721" w:rsidRPr="000D0380">
          <w:rPr>
            <w:rFonts w:eastAsia="Calibri"/>
            <w:color w:val="002060"/>
            <w:u w:val="single"/>
            <w:lang w:eastAsia="en-US"/>
          </w:rPr>
          <w:t>Astra.Rudolfa@fm.gov.lv</w:t>
        </w:r>
      </w:hyperlink>
    </w:p>
    <w:p w14:paraId="0FE4123A" w14:textId="0533D4CF" w:rsidR="00AD3626" w:rsidRPr="000D0380" w:rsidRDefault="00B81721" w:rsidP="00901058">
      <w:r w:rsidRPr="000D0380">
        <w:rPr>
          <w:rFonts w:eastAsia="Calibri"/>
          <w:szCs w:val="22"/>
          <w:lang w:eastAsia="en-US"/>
        </w:rPr>
        <w:t>Rūdolfa 67083925</w:t>
      </w:r>
    </w:p>
    <w:sectPr w:rsidR="00AD3626" w:rsidRPr="000D0380" w:rsidSect="00AD1C85">
      <w:headerReference w:type="even" r:id="rId13"/>
      <w:headerReference w:type="default" r:id="rId14"/>
      <w:footerReference w:type="default" r:id="rId15"/>
      <w:footerReference w:type="first" r:id="rId16"/>
      <w:pgSz w:w="16838" w:h="11906" w:orient="landscape" w:code="9"/>
      <w:pgMar w:top="426" w:right="720" w:bottom="709"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E653E" w14:textId="77777777" w:rsidR="002365A9" w:rsidRDefault="002365A9">
      <w:r>
        <w:separator/>
      </w:r>
    </w:p>
  </w:endnote>
  <w:endnote w:type="continuationSeparator" w:id="0">
    <w:p w14:paraId="36D249C6" w14:textId="77777777" w:rsidR="002365A9" w:rsidRDefault="0023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DokChampa">
    <w:altName w:val="Times New Roman"/>
    <w:charset w:val="00"/>
    <w:family w:val="swiss"/>
    <w:pitch w:val="variable"/>
    <w:sig w:usb0="03000003" w:usb1="00000000" w:usb2="00000000" w:usb3="00000000" w:csb0="00010001"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DA47E" w14:textId="3A442C90" w:rsidR="002365A9" w:rsidRDefault="002365A9" w:rsidP="00913DB3">
    <w:pPr>
      <w:pStyle w:val="Footer"/>
      <w:rPr>
        <w:sz w:val="20"/>
        <w:szCs w:val="20"/>
      </w:rPr>
    </w:pPr>
    <w:r w:rsidRPr="00A21AFD">
      <w:rPr>
        <w:sz w:val="20"/>
        <w:szCs w:val="20"/>
      </w:rPr>
      <w:fldChar w:fldCharType="begin"/>
    </w:r>
    <w:r w:rsidRPr="00A21AFD">
      <w:rPr>
        <w:sz w:val="20"/>
        <w:szCs w:val="20"/>
      </w:rPr>
      <w:instrText xml:space="preserve"> FILENAME   \* MERGEFORMAT </w:instrText>
    </w:r>
    <w:r w:rsidRPr="00A21AFD">
      <w:rPr>
        <w:sz w:val="20"/>
        <w:szCs w:val="20"/>
      </w:rPr>
      <w:fldChar w:fldCharType="separate"/>
    </w:r>
    <w:r>
      <w:rPr>
        <w:noProof/>
        <w:sz w:val="20"/>
        <w:szCs w:val="20"/>
      </w:rPr>
      <w:t>FMizz_25</w:t>
    </w:r>
    <w:r w:rsidRPr="00A21AFD">
      <w:rPr>
        <w:noProof/>
        <w:sz w:val="20"/>
        <w:szCs w:val="20"/>
      </w:rPr>
      <w:t>022020_ES_fondi.docx</w:t>
    </w:r>
    <w:r w:rsidRPr="00A21AFD">
      <w:rPr>
        <w:sz w:val="20"/>
        <w:szCs w:val="20"/>
      </w:rPr>
      <w:fldChar w:fldCharType="end"/>
    </w:r>
  </w:p>
  <w:p w14:paraId="646E7397" w14:textId="77777777" w:rsidR="002365A9" w:rsidRDefault="002365A9" w:rsidP="00913DB3">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11BFB" w14:textId="3C6FF82A" w:rsidR="002365A9" w:rsidRPr="00A21AFD" w:rsidRDefault="002365A9" w:rsidP="00A21AFD">
    <w:pPr>
      <w:pStyle w:val="Footer"/>
    </w:pPr>
    <w:r>
      <w:rPr>
        <w:noProof/>
        <w:sz w:val="20"/>
        <w:szCs w:val="20"/>
      </w:rPr>
      <w:fldChar w:fldCharType="begin"/>
    </w:r>
    <w:r>
      <w:rPr>
        <w:noProof/>
        <w:sz w:val="20"/>
        <w:szCs w:val="20"/>
      </w:rPr>
      <w:instrText xml:space="preserve"> FILENAME   \* MERGEFORMAT </w:instrText>
    </w:r>
    <w:r>
      <w:rPr>
        <w:noProof/>
        <w:sz w:val="20"/>
        <w:szCs w:val="20"/>
      </w:rPr>
      <w:fldChar w:fldCharType="separate"/>
    </w:r>
    <w:r>
      <w:rPr>
        <w:noProof/>
        <w:sz w:val="20"/>
        <w:szCs w:val="20"/>
      </w:rPr>
      <w:t>FMizz_25022020_ES_fondi.docx</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48493" w14:textId="77777777" w:rsidR="002365A9" w:rsidRDefault="002365A9">
      <w:r>
        <w:separator/>
      </w:r>
    </w:p>
  </w:footnote>
  <w:footnote w:type="continuationSeparator" w:id="0">
    <w:p w14:paraId="5BE50926" w14:textId="77777777" w:rsidR="002365A9" w:rsidRDefault="002365A9">
      <w:r>
        <w:continuationSeparator/>
      </w:r>
    </w:p>
  </w:footnote>
  <w:footnote w:id="1">
    <w:p w14:paraId="7E498861" w14:textId="77777777" w:rsidR="002365A9" w:rsidRPr="00D3520D" w:rsidRDefault="002365A9" w:rsidP="00726E98">
      <w:pPr>
        <w:pStyle w:val="FootnoteText"/>
        <w:spacing w:after="0" w:line="240" w:lineRule="auto"/>
        <w:rPr>
          <w:sz w:val="18"/>
          <w:szCs w:val="18"/>
        </w:rPr>
      </w:pPr>
      <w:r w:rsidRPr="00D3520D">
        <w:rPr>
          <w:rStyle w:val="FootnoteReference"/>
          <w:sz w:val="18"/>
          <w:szCs w:val="18"/>
        </w:rPr>
        <w:footnoteRef/>
      </w:r>
      <w:r w:rsidRPr="00D3520D">
        <w:rPr>
          <w:sz w:val="18"/>
          <w:szCs w:val="18"/>
        </w:rPr>
        <w:t xml:space="preserve"> FM izstrādātais informatīvais ziņojums “Par Eiropas Savienības struktūrfondu un Kohēzijas fonda 2014.–2020.gada plānošanas perioda darbības programmas “Izaugsme un nodarbinātība” snieguma ietvarā noteikto mērķu sasniegšanas progresu un snieguma rezerves finansējuma tālāku izmantošanu”</w:t>
      </w:r>
    </w:p>
  </w:footnote>
  <w:footnote w:id="2">
    <w:p w14:paraId="6601DFFB" w14:textId="77777777" w:rsidR="002365A9" w:rsidRPr="00D3520D" w:rsidRDefault="002365A9" w:rsidP="00726E98">
      <w:pPr>
        <w:pStyle w:val="FootnoteText"/>
        <w:spacing w:after="0" w:line="240" w:lineRule="auto"/>
        <w:rPr>
          <w:sz w:val="18"/>
          <w:szCs w:val="18"/>
        </w:rPr>
      </w:pPr>
      <w:r w:rsidRPr="00D3520D">
        <w:rPr>
          <w:rStyle w:val="FootnoteReference"/>
          <w:sz w:val="18"/>
          <w:szCs w:val="18"/>
        </w:rPr>
        <w:footnoteRef/>
      </w:r>
      <w:r w:rsidRPr="00D3520D">
        <w:rPr>
          <w:sz w:val="18"/>
          <w:szCs w:val="18"/>
        </w:rPr>
        <w:t xml:space="preserve"> FM ierosinātās finansējuma pārdales paredz samazināt 9.1.1.1.pasākuma “Subsidētās darbavietas nelabvēlīgākā situācijā esošiem bezdarbniekiem” valsts budžeta finansējuma apmēru, aizstājot to ar Veselības ministrijas pārziņā esošo 9.2.6.specifiksā atbalsta mērķa “Uzlabot ārstniecības un ārstniecības atbalsta personāla kvalifikāciju” un 9.2.4.2.pasākuma “Pasākumi vietējās sabiedrības veselības veicināšanai” ESF finansējumu.</w:t>
      </w:r>
    </w:p>
  </w:footnote>
  <w:footnote w:id="3">
    <w:p w14:paraId="445A1097" w14:textId="77777777" w:rsidR="002365A9" w:rsidRDefault="002365A9">
      <w:pPr>
        <w:pStyle w:val="FootnoteText"/>
      </w:pPr>
      <w:r>
        <w:rPr>
          <w:rStyle w:val="FootnoteReference"/>
        </w:rPr>
        <w:footnoteRef/>
      </w:r>
      <w:r>
        <w:t xml:space="preserve"> Pieejama - </w:t>
      </w:r>
      <w:hyperlink r:id="rId1" w:history="1">
        <w:r w:rsidRPr="004B1B47">
          <w:rPr>
            <w:rStyle w:val="Hyperlink"/>
          </w:rPr>
          <w:t>https://komitejas.esfondi.lv/KIDG/</w:t>
        </w:r>
      </w:hyperlink>
    </w:p>
  </w:footnote>
  <w:footnote w:id="4">
    <w:p w14:paraId="1B0BD077" w14:textId="5E0CBCEC" w:rsidR="002365A9" w:rsidRDefault="002365A9" w:rsidP="005C404F">
      <w:pPr>
        <w:pStyle w:val="FootnoteText"/>
        <w:spacing w:before="0" w:after="0" w:line="240" w:lineRule="auto"/>
      </w:pPr>
      <w:r w:rsidRPr="00B859B4">
        <w:rPr>
          <w:rStyle w:val="FootnoteReference"/>
        </w:rPr>
        <w:footnoteRef/>
      </w:r>
      <w:r w:rsidRPr="00B859B4">
        <w:t xml:space="preserve"> Ministru kabineta </w:t>
      </w:r>
      <w:r>
        <w:t xml:space="preserve">2016.gada 12.janvāra noteikumi </w:t>
      </w:r>
      <w:r w:rsidRPr="00B859B4">
        <w:t>Nr.34 „Darbības programmas „Izaugsme un nodarbinātība” 1.1.1. specifiskā atbalsta mērķa „Palielināt Latvijas zinātnisko institūciju pētniecisko un inovatīvo kapacitāti un spēju piesaistīt</w:t>
      </w:r>
      <w:r w:rsidRPr="00E12CF6">
        <w:t xml:space="preserve"> ārējo finansējumu, ieguldot cilvēkresursos un infrastruktūrā" 1.1.1.1. pasākum</w:t>
      </w:r>
      <w:r>
        <w:t>a "Praktiskas ievirzes pētījumi”</w:t>
      </w:r>
      <w:r w:rsidRPr="00E12CF6">
        <w:t xml:space="preserve"> īstenošanas noteikumi”</w:t>
      </w:r>
    </w:p>
  </w:footnote>
  <w:footnote w:id="5">
    <w:p w14:paraId="2F4935B4" w14:textId="1EE39BFC" w:rsidR="002365A9" w:rsidRDefault="002365A9" w:rsidP="00323A70">
      <w:pPr>
        <w:pStyle w:val="FootnoteText"/>
      </w:pPr>
      <w:r w:rsidRPr="00B859B4">
        <w:rPr>
          <w:rStyle w:val="FootnoteReference"/>
        </w:rPr>
        <w:footnoteRef/>
      </w:r>
      <w:r w:rsidRPr="00B859B4">
        <w:t xml:space="preserve"> Ministru kabineta</w:t>
      </w:r>
      <w:r>
        <w:t xml:space="preserve"> 2018.gada 9.janvāra noteikumi </w:t>
      </w:r>
      <w:r w:rsidRPr="00B859B4">
        <w:t>Nr.25 „Darbības programmas „Izaugsme un nodarbinātība” 8.2.2. specifiskā</w:t>
      </w:r>
      <w:r>
        <w:t xml:space="preserve"> atbalsta mērķa „</w:t>
      </w:r>
      <w:r w:rsidRPr="00AB159E">
        <w:t>Stiprināt augstākās izglītības institūciju akadēmisko personālu stratēģiskās specializācijas jomās" pirmās, otrās un trešās projektu iesniegumu atlases kārtas īstenošanas noteikumi</w:t>
      </w:r>
      <w:r w:rsidRPr="00E12CF6">
        <w:t>”</w:t>
      </w:r>
    </w:p>
  </w:footnote>
  <w:footnote w:id="6">
    <w:p w14:paraId="4B7715F5" w14:textId="322A4F44" w:rsidR="002365A9" w:rsidRPr="00B859B4" w:rsidRDefault="002365A9" w:rsidP="00323A70">
      <w:pPr>
        <w:pStyle w:val="FootnoteText"/>
      </w:pPr>
      <w:r w:rsidRPr="00B859B4">
        <w:rPr>
          <w:rStyle w:val="FootnoteReference"/>
        </w:rPr>
        <w:footnoteRef/>
      </w:r>
      <w:r w:rsidRPr="00B859B4">
        <w:t xml:space="preserve"> Ministru kabineta 2016.gada 9.august</w:t>
      </w:r>
      <w:r>
        <w:t>a noteikumi</w:t>
      </w:r>
      <w:r w:rsidRPr="00B859B4">
        <w:t xml:space="preserve"> Nr.534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w:t>
      </w:r>
    </w:p>
  </w:footnote>
  <w:footnote w:id="7">
    <w:p w14:paraId="32923D02" w14:textId="77777777" w:rsidR="002365A9" w:rsidRDefault="002365A9" w:rsidP="00323A70">
      <w:pPr>
        <w:pStyle w:val="FootnoteText"/>
      </w:pPr>
      <w:r w:rsidRPr="00B859B4">
        <w:rPr>
          <w:rStyle w:val="FootnoteReference"/>
        </w:rPr>
        <w:footnoteRef/>
      </w:r>
      <w:r w:rsidRPr="00B859B4">
        <w:t xml:space="preserve"> Ministrijas</w:t>
      </w:r>
      <w:r>
        <w:t xml:space="preserve"> 2020.gada 6.februāra vēstule</w:t>
      </w:r>
      <w:r w:rsidRPr="00101152">
        <w:t xml:space="preserve"> Nr. 4-4.1e/20/410</w:t>
      </w:r>
      <w:r>
        <w:t xml:space="preserve"> (iesniegta arī Finanšu ministrijai).</w:t>
      </w:r>
    </w:p>
  </w:footnote>
  <w:footnote w:id="8">
    <w:p w14:paraId="26767015" w14:textId="2FFBD878" w:rsidR="002365A9" w:rsidRPr="00DE4A73" w:rsidRDefault="002365A9" w:rsidP="000404F4">
      <w:pPr>
        <w:pStyle w:val="Default"/>
        <w:rPr>
          <w:rFonts w:eastAsiaTheme="minorHAnsi"/>
          <w:sz w:val="20"/>
          <w:szCs w:val="20"/>
        </w:rPr>
      </w:pPr>
      <w:r>
        <w:rPr>
          <w:rStyle w:val="FootnoteReference"/>
        </w:rPr>
        <w:footnoteRef/>
      </w:r>
      <w:r>
        <w:t xml:space="preserve"> </w:t>
      </w:r>
      <w:r>
        <w:rPr>
          <w:sz w:val="20"/>
          <w:szCs w:val="20"/>
        </w:rPr>
        <w:t>EK 03.12.2018. vadlīniju</w:t>
      </w:r>
      <w:r w:rsidRPr="00DE4A73">
        <w:rPr>
          <w:sz w:val="20"/>
          <w:szCs w:val="20"/>
        </w:rPr>
        <w:t xml:space="preserve"> </w:t>
      </w:r>
      <w:r>
        <w:rPr>
          <w:sz w:val="20"/>
          <w:szCs w:val="20"/>
        </w:rPr>
        <w:t>“</w:t>
      </w:r>
      <w:r w:rsidRPr="00494311">
        <w:rPr>
          <w:i/>
          <w:sz w:val="20"/>
          <w:szCs w:val="20"/>
        </w:rPr>
        <w:t>Norādījumi dalībvalstīm pa</w:t>
      </w:r>
      <w:r>
        <w:rPr>
          <w:i/>
          <w:sz w:val="20"/>
          <w:szCs w:val="20"/>
        </w:rPr>
        <w:t>r</w:t>
      </w:r>
      <w:r w:rsidRPr="00494311">
        <w:rPr>
          <w:i/>
          <w:sz w:val="20"/>
          <w:szCs w:val="20"/>
        </w:rPr>
        <w:t xml:space="preserve"> atsauktajām, atgūtajām, atgūstamajām un neatgūstamajām summām</w:t>
      </w:r>
      <w:r>
        <w:rPr>
          <w:sz w:val="20"/>
          <w:szCs w:val="20"/>
        </w:rPr>
        <w:t>” 3.1. punkts, pieejamas:</w:t>
      </w:r>
    </w:p>
    <w:p w14:paraId="28B6A415" w14:textId="77777777" w:rsidR="002365A9" w:rsidRDefault="0025004D" w:rsidP="000404F4">
      <w:pPr>
        <w:pStyle w:val="FootnoteText"/>
        <w:spacing w:before="0" w:after="0" w:line="240" w:lineRule="auto"/>
      </w:pPr>
      <w:hyperlink r:id="rId2" w:history="1">
        <w:r w:rsidR="002365A9" w:rsidRPr="00094716">
          <w:rPr>
            <w:rStyle w:val="Hyperlink"/>
          </w:rPr>
          <w:t>https://ec.</w:t>
        </w:r>
        <w:r w:rsidR="002365A9">
          <w:rPr>
            <w:rStyle w:val="Hyperlink"/>
          </w:rPr>
          <w:t>Eiropa</w:t>
        </w:r>
        <w:r w:rsidR="002365A9" w:rsidRPr="00094716">
          <w:rPr>
            <w:rStyle w:val="Hyperlink"/>
          </w:rPr>
          <w:t>.eu/regional_policy/sources/docgener/informat/2014/guidance_withdrawals_recoveries_en.pdf</w:t>
        </w:r>
      </w:hyperlink>
      <w:r w:rsidR="002365A9">
        <w:t xml:space="preserve"> </w:t>
      </w:r>
    </w:p>
    <w:p w14:paraId="5361A473" w14:textId="550DAE28" w:rsidR="002365A9" w:rsidRDefault="002365A9">
      <w:pPr>
        <w:pStyle w:val="FootnoteText"/>
      </w:pPr>
    </w:p>
  </w:footnote>
  <w:footnote w:id="9">
    <w:p w14:paraId="0AF1EA52" w14:textId="21F6C9A7" w:rsidR="002365A9" w:rsidRDefault="002365A9">
      <w:pPr>
        <w:pStyle w:val="FootnoteText"/>
      </w:pPr>
      <w:r>
        <w:rPr>
          <w:rStyle w:val="FootnoteReference"/>
        </w:rPr>
        <w:footnoteRef/>
      </w:r>
      <w:r>
        <w:t xml:space="preserve">  </w:t>
      </w:r>
      <w:hyperlink r:id="rId3" w:history="1">
        <w:r w:rsidRPr="0078020F">
          <w:rPr>
            <w:rStyle w:val="Hyperlink"/>
          </w:rPr>
          <w:t>https://www.esfondi.lv/finansu-un-raditaju-plani-to-izpilde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429C" w14:textId="77777777" w:rsidR="002365A9" w:rsidRDefault="002365A9" w:rsidP="002F51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w:t>
    </w:r>
    <w:r>
      <w:rPr>
        <w:rStyle w:val="PageNumber"/>
      </w:rPr>
      <w:fldChar w:fldCharType="end"/>
    </w:r>
  </w:p>
  <w:p w14:paraId="50FA497D" w14:textId="77777777" w:rsidR="002365A9" w:rsidRDefault="00236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49504"/>
      <w:docPartObj>
        <w:docPartGallery w:val="Page Numbers (Top of Page)"/>
        <w:docPartUnique/>
      </w:docPartObj>
    </w:sdtPr>
    <w:sdtEndPr>
      <w:rPr>
        <w:noProof/>
      </w:rPr>
    </w:sdtEndPr>
    <w:sdtContent>
      <w:p w14:paraId="6B2EA29D" w14:textId="0727FD39" w:rsidR="002365A9" w:rsidRDefault="002365A9">
        <w:pPr>
          <w:pStyle w:val="Header"/>
          <w:jc w:val="center"/>
        </w:pPr>
        <w:r>
          <w:fldChar w:fldCharType="begin"/>
        </w:r>
        <w:r>
          <w:instrText xml:space="preserve"> PAGE   \* MERGEFORMAT </w:instrText>
        </w:r>
        <w:r>
          <w:fldChar w:fldCharType="separate"/>
        </w:r>
        <w:r w:rsidR="0025004D">
          <w:rPr>
            <w:noProof/>
          </w:rPr>
          <w:t>58</w:t>
        </w:r>
        <w:r>
          <w:rPr>
            <w:noProof/>
          </w:rPr>
          <w:fldChar w:fldCharType="end"/>
        </w:r>
      </w:p>
    </w:sdtContent>
  </w:sdt>
  <w:p w14:paraId="59CDBCD3" w14:textId="77777777" w:rsidR="002365A9" w:rsidRDefault="00236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DC1"/>
    <w:multiLevelType w:val="hybridMultilevel"/>
    <w:tmpl w:val="71681D3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637E86"/>
    <w:multiLevelType w:val="hybridMultilevel"/>
    <w:tmpl w:val="B720EAF4"/>
    <w:lvl w:ilvl="0" w:tplc="23B2D336">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4B51A3"/>
    <w:multiLevelType w:val="multilevel"/>
    <w:tmpl w:val="C97E7336"/>
    <w:lvl w:ilvl="0">
      <w:start w:val="1"/>
      <w:numFmt w:val="decimal"/>
      <w:lvlText w:val="%1."/>
      <w:lvlJc w:val="left"/>
      <w:pPr>
        <w:ind w:left="5606" w:hanging="360"/>
      </w:pPr>
    </w:lvl>
    <w:lvl w:ilvl="1">
      <w:start w:val="1"/>
      <w:numFmt w:val="decimal"/>
      <w:isLgl/>
      <w:lvlText w:val="%1.%2."/>
      <w:lvlJc w:val="left"/>
      <w:pPr>
        <w:ind w:left="1440" w:hanging="360"/>
      </w:pPr>
      <w:rPr>
        <w:rFonts w:hint="default"/>
        <w:b/>
      </w:rPr>
    </w:lvl>
    <w:lvl w:ilvl="2">
      <w:start w:val="1"/>
      <w:numFmt w:val="decimal"/>
      <w:pStyle w:val="3lmenis"/>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22704936"/>
    <w:multiLevelType w:val="hybridMultilevel"/>
    <w:tmpl w:val="E9DA01B8"/>
    <w:lvl w:ilvl="0" w:tplc="5E8A48D6">
      <w:start w:val="1"/>
      <w:numFmt w:val="decimal"/>
      <w:lvlText w:val="%1)"/>
      <w:lvlJc w:val="left"/>
      <w:pPr>
        <w:ind w:left="360" w:hanging="360"/>
      </w:pPr>
      <w:rPr>
        <w:rFonts w:ascii="Times New Roman" w:eastAsia="Times New Roman" w:hAnsi="Times New Roman" w:cs="Times New Roman"/>
        <w:b w:val="0"/>
      </w:rPr>
    </w:lvl>
    <w:lvl w:ilvl="1" w:tplc="B3101744">
      <w:start w:val="1"/>
      <w:numFmt w:val="lowerLetter"/>
      <w:lvlText w:val="%2)"/>
      <w:lvlJc w:val="left"/>
      <w:pPr>
        <w:ind w:left="1080" w:hanging="360"/>
      </w:pPr>
      <w:rPr>
        <w:rFonts w:ascii="Times New Roman" w:eastAsia="Times New Roman" w:hAnsi="Times New Roman" w:cs="Times New Roman"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8C3352E"/>
    <w:multiLevelType w:val="hybridMultilevel"/>
    <w:tmpl w:val="A3A6A576"/>
    <w:lvl w:ilvl="0" w:tplc="60D667CC">
      <w:start w:val="23"/>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9F440B9"/>
    <w:multiLevelType w:val="hybridMultilevel"/>
    <w:tmpl w:val="A0E86D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2F60A1"/>
    <w:multiLevelType w:val="hybridMultilevel"/>
    <w:tmpl w:val="A73637E0"/>
    <w:lvl w:ilvl="0" w:tplc="1640D768">
      <w:start w:val="1"/>
      <w:numFmt w:val="decimal"/>
      <w:lvlText w:val="%1."/>
      <w:lvlJc w:val="left"/>
      <w:pPr>
        <w:ind w:left="1800" w:hanging="360"/>
      </w:pPr>
      <w:rPr>
        <w:rFonts w:ascii="Times New Roman" w:eastAsia="Calibri" w:hAnsi="Times New Roman" w:cs="Times New Roman"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6CF55008"/>
    <w:multiLevelType w:val="multilevel"/>
    <w:tmpl w:val="5B263EF6"/>
    <w:lvl w:ilvl="0">
      <w:start w:val="1"/>
      <w:numFmt w:val="decimal"/>
      <w:lvlText w:val="%1."/>
      <w:lvlJc w:val="left"/>
      <w:pPr>
        <w:ind w:left="360" w:hanging="360"/>
      </w:pPr>
      <w:rPr>
        <w:rFonts w:ascii="Times New Roman" w:hAnsi="Times New Roman" w:cs="Times New Roman" w:hint="default"/>
        <w:b w:val="0"/>
        <w:i w:val="0"/>
      </w:rPr>
    </w:lvl>
    <w:lvl w:ilvl="1">
      <w:start w:val="1"/>
      <w:numFmt w:val="decimal"/>
      <w:isLgl/>
      <w:lvlText w:val="%1.%2."/>
      <w:lvlJc w:val="left"/>
      <w:pPr>
        <w:ind w:left="1288" w:hanging="720"/>
      </w:pPr>
      <w:rPr>
        <w:rFonts w:hint="default"/>
        <w:i w:val="0"/>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8" w15:restartNumberingAfterBreak="0">
    <w:nsid w:val="726D0C15"/>
    <w:multiLevelType w:val="hybridMultilevel"/>
    <w:tmpl w:val="EA9026E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7C4B27EA"/>
    <w:multiLevelType w:val="hybridMultilevel"/>
    <w:tmpl w:val="4538F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5"/>
  </w:num>
  <w:num w:numId="9">
    <w:abstractNumId w:val="4"/>
  </w:num>
  <w:num w:numId="10">
    <w:abstractNumId w:val="3"/>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31"/>
    <w:rsid w:val="00000A26"/>
    <w:rsid w:val="00000A52"/>
    <w:rsid w:val="00000F8C"/>
    <w:rsid w:val="000012FA"/>
    <w:rsid w:val="00002FB9"/>
    <w:rsid w:val="000041EE"/>
    <w:rsid w:val="000042A8"/>
    <w:rsid w:val="00005234"/>
    <w:rsid w:val="00005684"/>
    <w:rsid w:val="000059A1"/>
    <w:rsid w:val="00007979"/>
    <w:rsid w:val="00007CA4"/>
    <w:rsid w:val="00007E7F"/>
    <w:rsid w:val="00010015"/>
    <w:rsid w:val="00010573"/>
    <w:rsid w:val="000119FA"/>
    <w:rsid w:val="00012331"/>
    <w:rsid w:val="00012598"/>
    <w:rsid w:val="0001279F"/>
    <w:rsid w:val="00014270"/>
    <w:rsid w:val="00014752"/>
    <w:rsid w:val="00014D00"/>
    <w:rsid w:val="00015364"/>
    <w:rsid w:val="00016CA2"/>
    <w:rsid w:val="00016E55"/>
    <w:rsid w:val="000174E8"/>
    <w:rsid w:val="00017747"/>
    <w:rsid w:val="00017C0F"/>
    <w:rsid w:val="000201AC"/>
    <w:rsid w:val="00020AEF"/>
    <w:rsid w:val="0002105A"/>
    <w:rsid w:val="000215CB"/>
    <w:rsid w:val="00021E54"/>
    <w:rsid w:val="00022762"/>
    <w:rsid w:val="00022F16"/>
    <w:rsid w:val="00023081"/>
    <w:rsid w:val="0002336B"/>
    <w:rsid w:val="00026947"/>
    <w:rsid w:val="00027485"/>
    <w:rsid w:val="00027717"/>
    <w:rsid w:val="00027E96"/>
    <w:rsid w:val="000303F0"/>
    <w:rsid w:val="0003055E"/>
    <w:rsid w:val="00030CEA"/>
    <w:rsid w:val="00031189"/>
    <w:rsid w:val="0003166A"/>
    <w:rsid w:val="000316A4"/>
    <w:rsid w:val="000317EF"/>
    <w:rsid w:val="00031EAE"/>
    <w:rsid w:val="00031FBE"/>
    <w:rsid w:val="000320F8"/>
    <w:rsid w:val="000322AB"/>
    <w:rsid w:val="000324B5"/>
    <w:rsid w:val="00032E17"/>
    <w:rsid w:val="00034A63"/>
    <w:rsid w:val="00034D75"/>
    <w:rsid w:val="00036DB7"/>
    <w:rsid w:val="000374E9"/>
    <w:rsid w:val="0003772F"/>
    <w:rsid w:val="00037951"/>
    <w:rsid w:val="000404F4"/>
    <w:rsid w:val="00040A7B"/>
    <w:rsid w:val="00041979"/>
    <w:rsid w:val="00041ABD"/>
    <w:rsid w:val="0004232C"/>
    <w:rsid w:val="00042CB5"/>
    <w:rsid w:val="0004385B"/>
    <w:rsid w:val="000449FA"/>
    <w:rsid w:val="00045A4E"/>
    <w:rsid w:val="00045DCD"/>
    <w:rsid w:val="0004682D"/>
    <w:rsid w:val="00046BF9"/>
    <w:rsid w:val="00050824"/>
    <w:rsid w:val="00050A59"/>
    <w:rsid w:val="00051E04"/>
    <w:rsid w:val="000528DF"/>
    <w:rsid w:val="00052ED5"/>
    <w:rsid w:val="0005383E"/>
    <w:rsid w:val="00053DD0"/>
    <w:rsid w:val="00053F5D"/>
    <w:rsid w:val="00054A82"/>
    <w:rsid w:val="00055032"/>
    <w:rsid w:val="00055A08"/>
    <w:rsid w:val="00055C59"/>
    <w:rsid w:val="00055DF1"/>
    <w:rsid w:val="00055E40"/>
    <w:rsid w:val="00056B53"/>
    <w:rsid w:val="00061755"/>
    <w:rsid w:val="00065CC9"/>
    <w:rsid w:val="000671BB"/>
    <w:rsid w:val="000678F5"/>
    <w:rsid w:val="00067C51"/>
    <w:rsid w:val="00067E58"/>
    <w:rsid w:val="00071188"/>
    <w:rsid w:val="00071221"/>
    <w:rsid w:val="00071AAB"/>
    <w:rsid w:val="00072679"/>
    <w:rsid w:val="00072C08"/>
    <w:rsid w:val="00073213"/>
    <w:rsid w:val="000734C9"/>
    <w:rsid w:val="000734D0"/>
    <w:rsid w:val="000742F9"/>
    <w:rsid w:val="00074534"/>
    <w:rsid w:val="00074E38"/>
    <w:rsid w:val="00075123"/>
    <w:rsid w:val="000755E2"/>
    <w:rsid w:val="00075BEA"/>
    <w:rsid w:val="0007677F"/>
    <w:rsid w:val="00076B0E"/>
    <w:rsid w:val="00076EEE"/>
    <w:rsid w:val="000772AE"/>
    <w:rsid w:val="00077E3F"/>
    <w:rsid w:val="000802BC"/>
    <w:rsid w:val="00080CC4"/>
    <w:rsid w:val="000816D9"/>
    <w:rsid w:val="00081A5B"/>
    <w:rsid w:val="00081AEE"/>
    <w:rsid w:val="00082D7D"/>
    <w:rsid w:val="0008455C"/>
    <w:rsid w:val="00084830"/>
    <w:rsid w:val="00084F6E"/>
    <w:rsid w:val="000850D3"/>
    <w:rsid w:val="00085B29"/>
    <w:rsid w:val="00086072"/>
    <w:rsid w:val="00086570"/>
    <w:rsid w:val="00086ABF"/>
    <w:rsid w:val="00087141"/>
    <w:rsid w:val="00087210"/>
    <w:rsid w:val="0008768F"/>
    <w:rsid w:val="000901D5"/>
    <w:rsid w:val="00091A08"/>
    <w:rsid w:val="00091A4D"/>
    <w:rsid w:val="00093A32"/>
    <w:rsid w:val="00093EBD"/>
    <w:rsid w:val="00094379"/>
    <w:rsid w:val="000948D4"/>
    <w:rsid w:val="000950F7"/>
    <w:rsid w:val="00095E0F"/>
    <w:rsid w:val="00097286"/>
    <w:rsid w:val="0009745B"/>
    <w:rsid w:val="000A10B0"/>
    <w:rsid w:val="000A1234"/>
    <w:rsid w:val="000A21E0"/>
    <w:rsid w:val="000A30E2"/>
    <w:rsid w:val="000A31E8"/>
    <w:rsid w:val="000A37A0"/>
    <w:rsid w:val="000A3CF8"/>
    <w:rsid w:val="000A4290"/>
    <w:rsid w:val="000A464D"/>
    <w:rsid w:val="000B0B85"/>
    <w:rsid w:val="000B1760"/>
    <w:rsid w:val="000B20C1"/>
    <w:rsid w:val="000B2375"/>
    <w:rsid w:val="000B28CB"/>
    <w:rsid w:val="000B35AE"/>
    <w:rsid w:val="000B440C"/>
    <w:rsid w:val="000B4540"/>
    <w:rsid w:val="000B4B30"/>
    <w:rsid w:val="000B4C73"/>
    <w:rsid w:val="000B4E5A"/>
    <w:rsid w:val="000B5F68"/>
    <w:rsid w:val="000B6079"/>
    <w:rsid w:val="000B6FDA"/>
    <w:rsid w:val="000B740D"/>
    <w:rsid w:val="000B76EC"/>
    <w:rsid w:val="000B7A02"/>
    <w:rsid w:val="000B7A39"/>
    <w:rsid w:val="000C02B4"/>
    <w:rsid w:val="000C1B9B"/>
    <w:rsid w:val="000C1D7E"/>
    <w:rsid w:val="000C37C5"/>
    <w:rsid w:val="000C3B83"/>
    <w:rsid w:val="000C3FBA"/>
    <w:rsid w:val="000C4CE5"/>
    <w:rsid w:val="000C5A78"/>
    <w:rsid w:val="000C5C6B"/>
    <w:rsid w:val="000C5D5A"/>
    <w:rsid w:val="000C6C87"/>
    <w:rsid w:val="000C7712"/>
    <w:rsid w:val="000C7AD8"/>
    <w:rsid w:val="000C7C5D"/>
    <w:rsid w:val="000D0380"/>
    <w:rsid w:val="000D0570"/>
    <w:rsid w:val="000D0AA3"/>
    <w:rsid w:val="000D0FBF"/>
    <w:rsid w:val="000D1700"/>
    <w:rsid w:val="000D25EF"/>
    <w:rsid w:val="000D354F"/>
    <w:rsid w:val="000D39BD"/>
    <w:rsid w:val="000D4A38"/>
    <w:rsid w:val="000D5601"/>
    <w:rsid w:val="000D6751"/>
    <w:rsid w:val="000D7146"/>
    <w:rsid w:val="000D7F9B"/>
    <w:rsid w:val="000E0168"/>
    <w:rsid w:val="000E037F"/>
    <w:rsid w:val="000E08E3"/>
    <w:rsid w:val="000E0B4D"/>
    <w:rsid w:val="000E153E"/>
    <w:rsid w:val="000E3423"/>
    <w:rsid w:val="000E3F04"/>
    <w:rsid w:val="000E4E46"/>
    <w:rsid w:val="000E520A"/>
    <w:rsid w:val="000E5700"/>
    <w:rsid w:val="000E597B"/>
    <w:rsid w:val="000E5B0D"/>
    <w:rsid w:val="000E643B"/>
    <w:rsid w:val="000E667C"/>
    <w:rsid w:val="000E6E6F"/>
    <w:rsid w:val="000E791C"/>
    <w:rsid w:val="000E7A35"/>
    <w:rsid w:val="000F0060"/>
    <w:rsid w:val="000F00F6"/>
    <w:rsid w:val="000F01F6"/>
    <w:rsid w:val="000F079E"/>
    <w:rsid w:val="000F0A67"/>
    <w:rsid w:val="000F130E"/>
    <w:rsid w:val="000F1310"/>
    <w:rsid w:val="000F16A8"/>
    <w:rsid w:val="000F16E8"/>
    <w:rsid w:val="000F1FA7"/>
    <w:rsid w:val="000F3F47"/>
    <w:rsid w:val="000F4475"/>
    <w:rsid w:val="000F4A4B"/>
    <w:rsid w:val="000F4DF0"/>
    <w:rsid w:val="000F6074"/>
    <w:rsid w:val="000F626B"/>
    <w:rsid w:val="000F62DB"/>
    <w:rsid w:val="000F692B"/>
    <w:rsid w:val="000F7102"/>
    <w:rsid w:val="000F7F02"/>
    <w:rsid w:val="001011CC"/>
    <w:rsid w:val="00103358"/>
    <w:rsid w:val="00103B1E"/>
    <w:rsid w:val="0010402B"/>
    <w:rsid w:val="00104DE8"/>
    <w:rsid w:val="001051EE"/>
    <w:rsid w:val="00105B11"/>
    <w:rsid w:val="00106506"/>
    <w:rsid w:val="0010671A"/>
    <w:rsid w:val="00106DF3"/>
    <w:rsid w:val="001074A0"/>
    <w:rsid w:val="00107B14"/>
    <w:rsid w:val="00110787"/>
    <w:rsid w:val="001113EE"/>
    <w:rsid w:val="00112964"/>
    <w:rsid w:val="00112E0E"/>
    <w:rsid w:val="001133FB"/>
    <w:rsid w:val="001136ED"/>
    <w:rsid w:val="0011401E"/>
    <w:rsid w:val="001141B8"/>
    <w:rsid w:val="00115285"/>
    <w:rsid w:val="00115695"/>
    <w:rsid w:val="00115C90"/>
    <w:rsid w:val="00115D5B"/>
    <w:rsid w:val="001164F2"/>
    <w:rsid w:val="00117484"/>
    <w:rsid w:val="001201D3"/>
    <w:rsid w:val="0012148B"/>
    <w:rsid w:val="00122859"/>
    <w:rsid w:val="00123335"/>
    <w:rsid w:val="001237D0"/>
    <w:rsid w:val="001257C4"/>
    <w:rsid w:val="00125A45"/>
    <w:rsid w:val="001309B5"/>
    <w:rsid w:val="0013184F"/>
    <w:rsid w:val="0013210F"/>
    <w:rsid w:val="00132BF2"/>
    <w:rsid w:val="0013357E"/>
    <w:rsid w:val="00133B6B"/>
    <w:rsid w:val="001360AD"/>
    <w:rsid w:val="00136B7A"/>
    <w:rsid w:val="00136FAA"/>
    <w:rsid w:val="00140361"/>
    <w:rsid w:val="00140D89"/>
    <w:rsid w:val="001411E4"/>
    <w:rsid w:val="00141222"/>
    <w:rsid w:val="00141395"/>
    <w:rsid w:val="00142354"/>
    <w:rsid w:val="0014341E"/>
    <w:rsid w:val="001452FA"/>
    <w:rsid w:val="001455CD"/>
    <w:rsid w:val="001460AF"/>
    <w:rsid w:val="00147D42"/>
    <w:rsid w:val="0015079F"/>
    <w:rsid w:val="00150C58"/>
    <w:rsid w:val="00150F3F"/>
    <w:rsid w:val="001528B7"/>
    <w:rsid w:val="00153597"/>
    <w:rsid w:val="001535AD"/>
    <w:rsid w:val="00153770"/>
    <w:rsid w:val="001542C9"/>
    <w:rsid w:val="001545CE"/>
    <w:rsid w:val="00156A59"/>
    <w:rsid w:val="00157A71"/>
    <w:rsid w:val="00157EC8"/>
    <w:rsid w:val="00160A41"/>
    <w:rsid w:val="001610C9"/>
    <w:rsid w:val="0016162C"/>
    <w:rsid w:val="00162583"/>
    <w:rsid w:val="0016308C"/>
    <w:rsid w:val="001639A0"/>
    <w:rsid w:val="0016413D"/>
    <w:rsid w:val="00164900"/>
    <w:rsid w:val="00165FFE"/>
    <w:rsid w:val="001667BA"/>
    <w:rsid w:val="00166A6B"/>
    <w:rsid w:val="00166FB1"/>
    <w:rsid w:val="00167FB1"/>
    <w:rsid w:val="00171FDA"/>
    <w:rsid w:val="001727F5"/>
    <w:rsid w:val="001729B5"/>
    <w:rsid w:val="0017338B"/>
    <w:rsid w:val="00173972"/>
    <w:rsid w:val="00174184"/>
    <w:rsid w:val="00175280"/>
    <w:rsid w:val="001755CA"/>
    <w:rsid w:val="0017643C"/>
    <w:rsid w:val="00176A95"/>
    <w:rsid w:val="0017706A"/>
    <w:rsid w:val="001772AF"/>
    <w:rsid w:val="00177FA2"/>
    <w:rsid w:val="00180183"/>
    <w:rsid w:val="001806DF"/>
    <w:rsid w:val="00180B2C"/>
    <w:rsid w:val="00180C12"/>
    <w:rsid w:val="001812DB"/>
    <w:rsid w:val="00181424"/>
    <w:rsid w:val="00181D05"/>
    <w:rsid w:val="00181F05"/>
    <w:rsid w:val="00182343"/>
    <w:rsid w:val="00182B0B"/>
    <w:rsid w:val="001835A8"/>
    <w:rsid w:val="001857D7"/>
    <w:rsid w:val="00185E53"/>
    <w:rsid w:val="00186624"/>
    <w:rsid w:val="00186C61"/>
    <w:rsid w:val="00186F75"/>
    <w:rsid w:val="00187F47"/>
    <w:rsid w:val="0019085A"/>
    <w:rsid w:val="00191224"/>
    <w:rsid w:val="00191B5F"/>
    <w:rsid w:val="001937B2"/>
    <w:rsid w:val="001939E2"/>
    <w:rsid w:val="0019425F"/>
    <w:rsid w:val="00194730"/>
    <w:rsid w:val="0019498F"/>
    <w:rsid w:val="00194D52"/>
    <w:rsid w:val="001963BC"/>
    <w:rsid w:val="00196CEC"/>
    <w:rsid w:val="001970C7"/>
    <w:rsid w:val="00197505"/>
    <w:rsid w:val="00197EF3"/>
    <w:rsid w:val="001A0810"/>
    <w:rsid w:val="001A0CC7"/>
    <w:rsid w:val="001A16F2"/>
    <w:rsid w:val="001A3978"/>
    <w:rsid w:val="001A3DA9"/>
    <w:rsid w:val="001A3E90"/>
    <w:rsid w:val="001A4CD7"/>
    <w:rsid w:val="001A5867"/>
    <w:rsid w:val="001A5C32"/>
    <w:rsid w:val="001A653F"/>
    <w:rsid w:val="001A665B"/>
    <w:rsid w:val="001A783E"/>
    <w:rsid w:val="001B0662"/>
    <w:rsid w:val="001B08AD"/>
    <w:rsid w:val="001B124E"/>
    <w:rsid w:val="001B129F"/>
    <w:rsid w:val="001B21B3"/>
    <w:rsid w:val="001B223C"/>
    <w:rsid w:val="001B2BCF"/>
    <w:rsid w:val="001B30D7"/>
    <w:rsid w:val="001B33E0"/>
    <w:rsid w:val="001B40BF"/>
    <w:rsid w:val="001B452E"/>
    <w:rsid w:val="001B47A9"/>
    <w:rsid w:val="001B5A02"/>
    <w:rsid w:val="001B62A8"/>
    <w:rsid w:val="001B7A78"/>
    <w:rsid w:val="001C07AF"/>
    <w:rsid w:val="001C0B46"/>
    <w:rsid w:val="001C0CA5"/>
    <w:rsid w:val="001C114F"/>
    <w:rsid w:val="001C2FD0"/>
    <w:rsid w:val="001C36C3"/>
    <w:rsid w:val="001C3F61"/>
    <w:rsid w:val="001C6476"/>
    <w:rsid w:val="001C655C"/>
    <w:rsid w:val="001C675E"/>
    <w:rsid w:val="001C6C02"/>
    <w:rsid w:val="001C7B5F"/>
    <w:rsid w:val="001D19E8"/>
    <w:rsid w:val="001D1E60"/>
    <w:rsid w:val="001D2728"/>
    <w:rsid w:val="001D354D"/>
    <w:rsid w:val="001D4516"/>
    <w:rsid w:val="001D4BA5"/>
    <w:rsid w:val="001D5118"/>
    <w:rsid w:val="001D5291"/>
    <w:rsid w:val="001D6954"/>
    <w:rsid w:val="001D6F8C"/>
    <w:rsid w:val="001D7136"/>
    <w:rsid w:val="001D71EB"/>
    <w:rsid w:val="001E0C27"/>
    <w:rsid w:val="001E1438"/>
    <w:rsid w:val="001E1502"/>
    <w:rsid w:val="001E2652"/>
    <w:rsid w:val="001E785F"/>
    <w:rsid w:val="001F0444"/>
    <w:rsid w:val="001F11FE"/>
    <w:rsid w:val="001F22EC"/>
    <w:rsid w:val="001F33E2"/>
    <w:rsid w:val="001F385A"/>
    <w:rsid w:val="001F3B48"/>
    <w:rsid w:val="001F3B89"/>
    <w:rsid w:val="001F3D6B"/>
    <w:rsid w:val="001F49EA"/>
    <w:rsid w:val="001F581C"/>
    <w:rsid w:val="001F672B"/>
    <w:rsid w:val="001F6820"/>
    <w:rsid w:val="001F79BE"/>
    <w:rsid w:val="00200E28"/>
    <w:rsid w:val="00201724"/>
    <w:rsid w:val="00201AF6"/>
    <w:rsid w:val="00201EFC"/>
    <w:rsid w:val="0020284A"/>
    <w:rsid w:val="002034AC"/>
    <w:rsid w:val="00203D5C"/>
    <w:rsid w:val="00204631"/>
    <w:rsid w:val="002047B7"/>
    <w:rsid w:val="0020583F"/>
    <w:rsid w:val="002061C4"/>
    <w:rsid w:val="00206207"/>
    <w:rsid w:val="00206212"/>
    <w:rsid w:val="002063BA"/>
    <w:rsid w:val="00207341"/>
    <w:rsid w:val="00207784"/>
    <w:rsid w:val="00210BCE"/>
    <w:rsid w:val="00210DE8"/>
    <w:rsid w:val="002110BB"/>
    <w:rsid w:val="002116F3"/>
    <w:rsid w:val="002128C9"/>
    <w:rsid w:val="00212C3C"/>
    <w:rsid w:val="00213424"/>
    <w:rsid w:val="00213CB5"/>
    <w:rsid w:val="00214064"/>
    <w:rsid w:val="0021499C"/>
    <w:rsid w:val="00214B40"/>
    <w:rsid w:val="0021575E"/>
    <w:rsid w:val="002160D2"/>
    <w:rsid w:val="002171FC"/>
    <w:rsid w:val="0021734C"/>
    <w:rsid w:val="002214CB"/>
    <w:rsid w:val="00221520"/>
    <w:rsid w:val="00221525"/>
    <w:rsid w:val="00221AA7"/>
    <w:rsid w:val="00221E06"/>
    <w:rsid w:val="0022262F"/>
    <w:rsid w:val="00225338"/>
    <w:rsid w:val="00225491"/>
    <w:rsid w:val="00225557"/>
    <w:rsid w:val="0022703D"/>
    <w:rsid w:val="002277E1"/>
    <w:rsid w:val="002305DC"/>
    <w:rsid w:val="00231D9D"/>
    <w:rsid w:val="00232537"/>
    <w:rsid w:val="002334C2"/>
    <w:rsid w:val="002338A6"/>
    <w:rsid w:val="00233B87"/>
    <w:rsid w:val="00233DDF"/>
    <w:rsid w:val="00234A88"/>
    <w:rsid w:val="00235931"/>
    <w:rsid w:val="00235F25"/>
    <w:rsid w:val="002365A9"/>
    <w:rsid w:val="00236A0A"/>
    <w:rsid w:val="002378D3"/>
    <w:rsid w:val="002405EC"/>
    <w:rsid w:val="00241433"/>
    <w:rsid w:val="00242311"/>
    <w:rsid w:val="00242805"/>
    <w:rsid w:val="00242FE8"/>
    <w:rsid w:val="0024379C"/>
    <w:rsid w:val="002443E3"/>
    <w:rsid w:val="002445AC"/>
    <w:rsid w:val="00244D68"/>
    <w:rsid w:val="002450CE"/>
    <w:rsid w:val="002453EA"/>
    <w:rsid w:val="002461EB"/>
    <w:rsid w:val="00246767"/>
    <w:rsid w:val="0024749D"/>
    <w:rsid w:val="0025004D"/>
    <w:rsid w:val="00250B66"/>
    <w:rsid w:val="002517B8"/>
    <w:rsid w:val="00252296"/>
    <w:rsid w:val="00255C7F"/>
    <w:rsid w:val="00255E75"/>
    <w:rsid w:val="002567E3"/>
    <w:rsid w:val="00260FEF"/>
    <w:rsid w:val="00262070"/>
    <w:rsid w:val="0026238E"/>
    <w:rsid w:val="002628B2"/>
    <w:rsid w:val="00263D03"/>
    <w:rsid w:val="00264444"/>
    <w:rsid w:val="00264A89"/>
    <w:rsid w:val="00265BA3"/>
    <w:rsid w:val="0026618A"/>
    <w:rsid w:val="00266E40"/>
    <w:rsid w:val="00267C8C"/>
    <w:rsid w:val="0027010C"/>
    <w:rsid w:val="002717EA"/>
    <w:rsid w:val="00272689"/>
    <w:rsid w:val="00273075"/>
    <w:rsid w:val="002730FA"/>
    <w:rsid w:val="002732BC"/>
    <w:rsid w:val="00273C37"/>
    <w:rsid w:val="00273FC5"/>
    <w:rsid w:val="002742D6"/>
    <w:rsid w:val="00274512"/>
    <w:rsid w:val="002758FC"/>
    <w:rsid w:val="00276AAF"/>
    <w:rsid w:val="00276BCA"/>
    <w:rsid w:val="00277071"/>
    <w:rsid w:val="002823CA"/>
    <w:rsid w:val="00282CAC"/>
    <w:rsid w:val="00283AA5"/>
    <w:rsid w:val="00284632"/>
    <w:rsid w:val="00284DE7"/>
    <w:rsid w:val="00286F4E"/>
    <w:rsid w:val="002875ED"/>
    <w:rsid w:val="002905EE"/>
    <w:rsid w:val="00290671"/>
    <w:rsid w:val="0029084E"/>
    <w:rsid w:val="00290B56"/>
    <w:rsid w:val="00290E56"/>
    <w:rsid w:val="00291843"/>
    <w:rsid w:val="00291D68"/>
    <w:rsid w:val="0029369E"/>
    <w:rsid w:val="00293A1A"/>
    <w:rsid w:val="00293FBC"/>
    <w:rsid w:val="002940F2"/>
    <w:rsid w:val="002949AF"/>
    <w:rsid w:val="00294E10"/>
    <w:rsid w:val="0029688C"/>
    <w:rsid w:val="00296E4F"/>
    <w:rsid w:val="002978C8"/>
    <w:rsid w:val="002A035C"/>
    <w:rsid w:val="002A0B2D"/>
    <w:rsid w:val="002A1121"/>
    <w:rsid w:val="002A12D8"/>
    <w:rsid w:val="002A148B"/>
    <w:rsid w:val="002A1574"/>
    <w:rsid w:val="002A15C3"/>
    <w:rsid w:val="002A1C37"/>
    <w:rsid w:val="002A30E9"/>
    <w:rsid w:val="002A379C"/>
    <w:rsid w:val="002A37BA"/>
    <w:rsid w:val="002A4459"/>
    <w:rsid w:val="002A5896"/>
    <w:rsid w:val="002A5B3A"/>
    <w:rsid w:val="002A60EA"/>
    <w:rsid w:val="002A700F"/>
    <w:rsid w:val="002A7AEE"/>
    <w:rsid w:val="002A7F22"/>
    <w:rsid w:val="002B02F2"/>
    <w:rsid w:val="002B055D"/>
    <w:rsid w:val="002B0581"/>
    <w:rsid w:val="002B0F4E"/>
    <w:rsid w:val="002B1285"/>
    <w:rsid w:val="002B1522"/>
    <w:rsid w:val="002B1949"/>
    <w:rsid w:val="002B1C7C"/>
    <w:rsid w:val="002B3E77"/>
    <w:rsid w:val="002B408C"/>
    <w:rsid w:val="002B4321"/>
    <w:rsid w:val="002B45D4"/>
    <w:rsid w:val="002B45DA"/>
    <w:rsid w:val="002B58BD"/>
    <w:rsid w:val="002B5BFF"/>
    <w:rsid w:val="002B65C0"/>
    <w:rsid w:val="002B6C7B"/>
    <w:rsid w:val="002B7093"/>
    <w:rsid w:val="002B7834"/>
    <w:rsid w:val="002C0414"/>
    <w:rsid w:val="002C0626"/>
    <w:rsid w:val="002C0C19"/>
    <w:rsid w:val="002C0EFC"/>
    <w:rsid w:val="002C246A"/>
    <w:rsid w:val="002C2709"/>
    <w:rsid w:val="002C4697"/>
    <w:rsid w:val="002C4C1B"/>
    <w:rsid w:val="002C60B2"/>
    <w:rsid w:val="002C65F2"/>
    <w:rsid w:val="002C6D33"/>
    <w:rsid w:val="002D2175"/>
    <w:rsid w:val="002D2554"/>
    <w:rsid w:val="002D268A"/>
    <w:rsid w:val="002D2E7A"/>
    <w:rsid w:val="002D325C"/>
    <w:rsid w:val="002D3953"/>
    <w:rsid w:val="002D4F71"/>
    <w:rsid w:val="002D540A"/>
    <w:rsid w:val="002D581A"/>
    <w:rsid w:val="002D6838"/>
    <w:rsid w:val="002D7020"/>
    <w:rsid w:val="002D709B"/>
    <w:rsid w:val="002D7A3C"/>
    <w:rsid w:val="002D7ABB"/>
    <w:rsid w:val="002E0960"/>
    <w:rsid w:val="002E4272"/>
    <w:rsid w:val="002E4337"/>
    <w:rsid w:val="002E4BCE"/>
    <w:rsid w:val="002E5776"/>
    <w:rsid w:val="002E5A5E"/>
    <w:rsid w:val="002E5FFB"/>
    <w:rsid w:val="002E69C6"/>
    <w:rsid w:val="002E7CF4"/>
    <w:rsid w:val="002E7E1A"/>
    <w:rsid w:val="002F1299"/>
    <w:rsid w:val="002F18B7"/>
    <w:rsid w:val="002F3399"/>
    <w:rsid w:val="002F34AC"/>
    <w:rsid w:val="002F512E"/>
    <w:rsid w:val="002F52FD"/>
    <w:rsid w:val="002F5DEE"/>
    <w:rsid w:val="002F5E44"/>
    <w:rsid w:val="002F6103"/>
    <w:rsid w:val="002F7822"/>
    <w:rsid w:val="00301230"/>
    <w:rsid w:val="00301E98"/>
    <w:rsid w:val="00302743"/>
    <w:rsid w:val="0030331B"/>
    <w:rsid w:val="00303CBB"/>
    <w:rsid w:val="0030467B"/>
    <w:rsid w:val="003046CE"/>
    <w:rsid w:val="00304E1E"/>
    <w:rsid w:val="003059C2"/>
    <w:rsid w:val="003060E3"/>
    <w:rsid w:val="0030638E"/>
    <w:rsid w:val="00306C7A"/>
    <w:rsid w:val="003108A0"/>
    <w:rsid w:val="00310A68"/>
    <w:rsid w:val="00310C5F"/>
    <w:rsid w:val="00311328"/>
    <w:rsid w:val="00311531"/>
    <w:rsid w:val="003116CE"/>
    <w:rsid w:val="00311836"/>
    <w:rsid w:val="00311842"/>
    <w:rsid w:val="00311D12"/>
    <w:rsid w:val="0031295C"/>
    <w:rsid w:val="00312C8A"/>
    <w:rsid w:val="0031321B"/>
    <w:rsid w:val="00313C45"/>
    <w:rsid w:val="00315DBF"/>
    <w:rsid w:val="00316BE4"/>
    <w:rsid w:val="00317817"/>
    <w:rsid w:val="00321369"/>
    <w:rsid w:val="003215E3"/>
    <w:rsid w:val="00321CD7"/>
    <w:rsid w:val="003232C7"/>
    <w:rsid w:val="00323A70"/>
    <w:rsid w:val="00323FA7"/>
    <w:rsid w:val="0032401C"/>
    <w:rsid w:val="003243FE"/>
    <w:rsid w:val="003256FA"/>
    <w:rsid w:val="00325D31"/>
    <w:rsid w:val="00326680"/>
    <w:rsid w:val="003267AF"/>
    <w:rsid w:val="00326F28"/>
    <w:rsid w:val="00327424"/>
    <w:rsid w:val="00327773"/>
    <w:rsid w:val="00327E05"/>
    <w:rsid w:val="00330260"/>
    <w:rsid w:val="0033054C"/>
    <w:rsid w:val="00331F73"/>
    <w:rsid w:val="00331FF6"/>
    <w:rsid w:val="003326C4"/>
    <w:rsid w:val="0033284B"/>
    <w:rsid w:val="00333419"/>
    <w:rsid w:val="0033354D"/>
    <w:rsid w:val="003335EC"/>
    <w:rsid w:val="003349FD"/>
    <w:rsid w:val="0033535A"/>
    <w:rsid w:val="00335A8B"/>
    <w:rsid w:val="00335AE5"/>
    <w:rsid w:val="00336B41"/>
    <w:rsid w:val="003372AB"/>
    <w:rsid w:val="0034080C"/>
    <w:rsid w:val="00341F0D"/>
    <w:rsid w:val="00342CE3"/>
    <w:rsid w:val="00343034"/>
    <w:rsid w:val="00343104"/>
    <w:rsid w:val="0034314F"/>
    <w:rsid w:val="003434E6"/>
    <w:rsid w:val="00343663"/>
    <w:rsid w:val="00343AF4"/>
    <w:rsid w:val="00344B39"/>
    <w:rsid w:val="0034566E"/>
    <w:rsid w:val="00345E25"/>
    <w:rsid w:val="00346940"/>
    <w:rsid w:val="00347287"/>
    <w:rsid w:val="0035102F"/>
    <w:rsid w:val="00351DB7"/>
    <w:rsid w:val="003521E6"/>
    <w:rsid w:val="003530CD"/>
    <w:rsid w:val="00353590"/>
    <w:rsid w:val="003538DE"/>
    <w:rsid w:val="00354792"/>
    <w:rsid w:val="00354920"/>
    <w:rsid w:val="00354AF8"/>
    <w:rsid w:val="003578C9"/>
    <w:rsid w:val="003608DD"/>
    <w:rsid w:val="00360C5F"/>
    <w:rsid w:val="00361DB9"/>
    <w:rsid w:val="0036307F"/>
    <w:rsid w:val="00364D4C"/>
    <w:rsid w:val="003658C9"/>
    <w:rsid w:val="00366440"/>
    <w:rsid w:val="00367F3E"/>
    <w:rsid w:val="00370DDB"/>
    <w:rsid w:val="00370DE7"/>
    <w:rsid w:val="003719C1"/>
    <w:rsid w:val="0037272E"/>
    <w:rsid w:val="00372A92"/>
    <w:rsid w:val="003733FF"/>
    <w:rsid w:val="00373432"/>
    <w:rsid w:val="00374958"/>
    <w:rsid w:val="003749C6"/>
    <w:rsid w:val="003754E5"/>
    <w:rsid w:val="00377D1E"/>
    <w:rsid w:val="003805F2"/>
    <w:rsid w:val="00381B09"/>
    <w:rsid w:val="00381B7E"/>
    <w:rsid w:val="003827E3"/>
    <w:rsid w:val="00384C62"/>
    <w:rsid w:val="003853CB"/>
    <w:rsid w:val="00385DCB"/>
    <w:rsid w:val="00386786"/>
    <w:rsid w:val="00386F2C"/>
    <w:rsid w:val="00387157"/>
    <w:rsid w:val="003877F5"/>
    <w:rsid w:val="00387CF4"/>
    <w:rsid w:val="00390D64"/>
    <w:rsid w:val="0039151C"/>
    <w:rsid w:val="00391A6E"/>
    <w:rsid w:val="00392404"/>
    <w:rsid w:val="003934DF"/>
    <w:rsid w:val="003939D3"/>
    <w:rsid w:val="00397129"/>
    <w:rsid w:val="003976D2"/>
    <w:rsid w:val="003A0AAE"/>
    <w:rsid w:val="003A0D8A"/>
    <w:rsid w:val="003A12CE"/>
    <w:rsid w:val="003A1432"/>
    <w:rsid w:val="003A2FBB"/>
    <w:rsid w:val="003A3415"/>
    <w:rsid w:val="003A35A4"/>
    <w:rsid w:val="003A3608"/>
    <w:rsid w:val="003A3FDF"/>
    <w:rsid w:val="003A459B"/>
    <w:rsid w:val="003A4AB2"/>
    <w:rsid w:val="003A6AD8"/>
    <w:rsid w:val="003A7CD8"/>
    <w:rsid w:val="003B0E5F"/>
    <w:rsid w:val="003B1AA5"/>
    <w:rsid w:val="003B26CC"/>
    <w:rsid w:val="003B27F4"/>
    <w:rsid w:val="003B2CEE"/>
    <w:rsid w:val="003B302D"/>
    <w:rsid w:val="003B30BA"/>
    <w:rsid w:val="003B4775"/>
    <w:rsid w:val="003B47E8"/>
    <w:rsid w:val="003B4928"/>
    <w:rsid w:val="003B50EA"/>
    <w:rsid w:val="003B59B5"/>
    <w:rsid w:val="003B5B1D"/>
    <w:rsid w:val="003B6143"/>
    <w:rsid w:val="003B6201"/>
    <w:rsid w:val="003B6244"/>
    <w:rsid w:val="003B69BF"/>
    <w:rsid w:val="003B6EDA"/>
    <w:rsid w:val="003B6FDD"/>
    <w:rsid w:val="003C1895"/>
    <w:rsid w:val="003C1905"/>
    <w:rsid w:val="003C1960"/>
    <w:rsid w:val="003C1D14"/>
    <w:rsid w:val="003C236C"/>
    <w:rsid w:val="003C3550"/>
    <w:rsid w:val="003C3974"/>
    <w:rsid w:val="003C412B"/>
    <w:rsid w:val="003C51EC"/>
    <w:rsid w:val="003C5DA2"/>
    <w:rsid w:val="003C6D96"/>
    <w:rsid w:val="003C7071"/>
    <w:rsid w:val="003C7993"/>
    <w:rsid w:val="003D07EE"/>
    <w:rsid w:val="003D0E5A"/>
    <w:rsid w:val="003D0E7E"/>
    <w:rsid w:val="003D1DBA"/>
    <w:rsid w:val="003D3007"/>
    <w:rsid w:val="003D39BD"/>
    <w:rsid w:val="003D3E6B"/>
    <w:rsid w:val="003D4DBD"/>
    <w:rsid w:val="003D4DDD"/>
    <w:rsid w:val="003D65AA"/>
    <w:rsid w:val="003D66D8"/>
    <w:rsid w:val="003D68EE"/>
    <w:rsid w:val="003D7E54"/>
    <w:rsid w:val="003E152D"/>
    <w:rsid w:val="003E1599"/>
    <w:rsid w:val="003E2AB4"/>
    <w:rsid w:val="003E2C94"/>
    <w:rsid w:val="003E34D9"/>
    <w:rsid w:val="003E3EE0"/>
    <w:rsid w:val="003E4489"/>
    <w:rsid w:val="003E5078"/>
    <w:rsid w:val="003E514A"/>
    <w:rsid w:val="003E54DC"/>
    <w:rsid w:val="003E553F"/>
    <w:rsid w:val="003E5815"/>
    <w:rsid w:val="003E597B"/>
    <w:rsid w:val="003E6701"/>
    <w:rsid w:val="003E6D84"/>
    <w:rsid w:val="003F0899"/>
    <w:rsid w:val="003F193E"/>
    <w:rsid w:val="003F2048"/>
    <w:rsid w:val="003F3434"/>
    <w:rsid w:val="003F4591"/>
    <w:rsid w:val="003F5787"/>
    <w:rsid w:val="003F5E92"/>
    <w:rsid w:val="003F6F67"/>
    <w:rsid w:val="003F796A"/>
    <w:rsid w:val="0040040B"/>
    <w:rsid w:val="00400B23"/>
    <w:rsid w:val="0040101A"/>
    <w:rsid w:val="004018C2"/>
    <w:rsid w:val="00401E64"/>
    <w:rsid w:val="00402F62"/>
    <w:rsid w:val="00405FFF"/>
    <w:rsid w:val="00407B46"/>
    <w:rsid w:val="004109B0"/>
    <w:rsid w:val="00410AA4"/>
    <w:rsid w:val="004112F5"/>
    <w:rsid w:val="00411F71"/>
    <w:rsid w:val="0041227E"/>
    <w:rsid w:val="00412852"/>
    <w:rsid w:val="00413744"/>
    <w:rsid w:val="0041426F"/>
    <w:rsid w:val="004147C9"/>
    <w:rsid w:val="004151EE"/>
    <w:rsid w:val="00415B9E"/>
    <w:rsid w:val="004160F8"/>
    <w:rsid w:val="00417600"/>
    <w:rsid w:val="004176DE"/>
    <w:rsid w:val="0041772C"/>
    <w:rsid w:val="004200EB"/>
    <w:rsid w:val="00420395"/>
    <w:rsid w:val="004213D5"/>
    <w:rsid w:val="00421673"/>
    <w:rsid w:val="00421BC4"/>
    <w:rsid w:val="0042232F"/>
    <w:rsid w:val="00422FA5"/>
    <w:rsid w:val="00423FDC"/>
    <w:rsid w:val="004248B0"/>
    <w:rsid w:val="00426D1A"/>
    <w:rsid w:val="00426D3E"/>
    <w:rsid w:val="0042728A"/>
    <w:rsid w:val="00427464"/>
    <w:rsid w:val="00427B32"/>
    <w:rsid w:val="00427E1C"/>
    <w:rsid w:val="00430044"/>
    <w:rsid w:val="00430CB0"/>
    <w:rsid w:val="00431353"/>
    <w:rsid w:val="0043213A"/>
    <w:rsid w:val="00432385"/>
    <w:rsid w:val="00433B48"/>
    <w:rsid w:val="00433DA3"/>
    <w:rsid w:val="004343AA"/>
    <w:rsid w:val="004347D5"/>
    <w:rsid w:val="004359AF"/>
    <w:rsid w:val="004361E5"/>
    <w:rsid w:val="00436295"/>
    <w:rsid w:val="004366A8"/>
    <w:rsid w:val="004376FE"/>
    <w:rsid w:val="00440530"/>
    <w:rsid w:val="00440780"/>
    <w:rsid w:val="004408A6"/>
    <w:rsid w:val="004415BA"/>
    <w:rsid w:val="00441D89"/>
    <w:rsid w:val="004421EF"/>
    <w:rsid w:val="00442EC9"/>
    <w:rsid w:val="004430C2"/>
    <w:rsid w:val="004433C4"/>
    <w:rsid w:val="00444E35"/>
    <w:rsid w:val="00445EB7"/>
    <w:rsid w:val="00447EC2"/>
    <w:rsid w:val="00450194"/>
    <w:rsid w:val="0045093E"/>
    <w:rsid w:val="00450B2A"/>
    <w:rsid w:val="00451A4D"/>
    <w:rsid w:val="0045325B"/>
    <w:rsid w:val="004532F7"/>
    <w:rsid w:val="00453586"/>
    <w:rsid w:val="00454803"/>
    <w:rsid w:val="004548C1"/>
    <w:rsid w:val="00455456"/>
    <w:rsid w:val="004572BC"/>
    <w:rsid w:val="00457705"/>
    <w:rsid w:val="004601EA"/>
    <w:rsid w:val="004609FF"/>
    <w:rsid w:val="00461F5F"/>
    <w:rsid w:val="00462225"/>
    <w:rsid w:val="00462668"/>
    <w:rsid w:val="00462815"/>
    <w:rsid w:val="00463367"/>
    <w:rsid w:val="0046379F"/>
    <w:rsid w:val="00465DCB"/>
    <w:rsid w:val="004670C6"/>
    <w:rsid w:val="004675F2"/>
    <w:rsid w:val="0046776A"/>
    <w:rsid w:val="00471797"/>
    <w:rsid w:val="00472280"/>
    <w:rsid w:val="00472974"/>
    <w:rsid w:val="004739C0"/>
    <w:rsid w:val="00473EAF"/>
    <w:rsid w:val="0047426E"/>
    <w:rsid w:val="00474A0E"/>
    <w:rsid w:val="004756A5"/>
    <w:rsid w:val="004764A5"/>
    <w:rsid w:val="00476F03"/>
    <w:rsid w:val="00477CB5"/>
    <w:rsid w:val="00477D06"/>
    <w:rsid w:val="00477D07"/>
    <w:rsid w:val="00480820"/>
    <w:rsid w:val="00480E2B"/>
    <w:rsid w:val="004822B6"/>
    <w:rsid w:val="00482349"/>
    <w:rsid w:val="004828B0"/>
    <w:rsid w:val="00482BAE"/>
    <w:rsid w:val="00483939"/>
    <w:rsid w:val="00484150"/>
    <w:rsid w:val="00484B87"/>
    <w:rsid w:val="00485032"/>
    <w:rsid w:val="0048618F"/>
    <w:rsid w:val="00486264"/>
    <w:rsid w:val="0048661B"/>
    <w:rsid w:val="00486853"/>
    <w:rsid w:val="004902FC"/>
    <w:rsid w:val="00490773"/>
    <w:rsid w:val="00492289"/>
    <w:rsid w:val="004923FF"/>
    <w:rsid w:val="004928D1"/>
    <w:rsid w:val="00493164"/>
    <w:rsid w:val="00493D07"/>
    <w:rsid w:val="00496F72"/>
    <w:rsid w:val="00497304"/>
    <w:rsid w:val="004977BA"/>
    <w:rsid w:val="00497E43"/>
    <w:rsid w:val="004A0D89"/>
    <w:rsid w:val="004A0EF2"/>
    <w:rsid w:val="004A0FEA"/>
    <w:rsid w:val="004A115B"/>
    <w:rsid w:val="004A1E32"/>
    <w:rsid w:val="004A2BA6"/>
    <w:rsid w:val="004A4EB6"/>
    <w:rsid w:val="004A5FCB"/>
    <w:rsid w:val="004A7729"/>
    <w:rsid w:val="004A7DDA"/>
    <w:rsid w:val="004B1675"/>
    <w:rsid w:val="004B1B47"/>
    <w:rsid w:val="004B267D"/>
    <w:rsid w:val="004B283D"/>
    <w:rsid w:val="004B3703"/>
    <w:rsid w:val="004B4550"/>
    <w:rsid w:val="004B51C3"/>
    <w:rsid w:val="004B535D"/>
    <w:rsid w:val="004B55F6"/>
    <w:rsid w:val="004B587B"/>
    <w:rsid w:val="004B58E0"/>
    <w:rsid w:val="004B5903"/>
    <w:rsid w:val="004B5CDA"/>
    <w:rsid w:val="004B7815"/>
    <w:rsid w:val="004C07E5"/>
    <w:rsid w:val="004C0BED"/>
    <w:rsid w:val="004C0F21"/>
    <w:rsid w:val="004C1185"/>
    <w:rsid w:val="004C1518"/>
    <w:rsid w:val="004C2BF0"/>
    <w:rsid w:val="004C3219"/>
    <w:rsid w:val="004C3279"/>
    <w:rsid w:val="004C3731"/>
    <w:rsid w:val="004C3969"/>
    <w:rsid w:val="004C3D44"/>
    <w:rsid w:val="004C466A"/>
    <w:rsid w:val="004C4FA8"/>
    <w:rsid w:val="004C54F9"/>
    <w:rsid w:val="004C57FE"/>
    <w:rsid w:val="004C5D9D"/>
    <w:rsid w:val="004C6B1F"/>
    <w:rsid w:val="004C6E86"/>
    <w:rsid w:val="004C72A2"/>
    <w:rsid w:val="004C7745"/>
    <w:rsid w:val="004C7E4F"/>
    <w:rsid w:val="004D01CA"/>
    <w:rsid w:val="004D0DC5"/>
    <w:rsid w:val="004D1936"/>
    <w:rsid w:val="004D1DD3"/>
    <w:rsid w:val="004D1F52"/>
    <w:rsid w:val="004D1FD8"/>
    <w:rsid w:val="004D2A06"/>
    <w:rsid w:val="004D2B48"/>
    <w:rsid w:val="004D2BBE"/>
    <w:rsid w:val="004D2F3B"/>
    <w:rsid w:val="004D2FA5"/>
    <w:rsid w:val="004D3BA9"/>
    <w:rsid w:val="004D4228"/>
    <w:rsid w:val="004D4E50"/>
    <w:rsid w:val="004D51BD"/>
    <w:rsid w:val="004D55B8"/>
    <w:rsid w:val="004D6194"/>
    <w:rsid w:val="004D6299"/>
    <w:rsid w:val="004D7B67"/>
    <w:rsid w:val="004E0B17"/>
    <w:rsid w:val="004E248F"/>
    <w:rsid w:val="004E31C5"/>
    <w:rsid w:val="004E3DF7"/>
    <w:rsid w:val="004E442B"/>
    <w:rsid w:val="004E52D5"/>
    <w:rsid w:val="004E5579"/>
    <w:rsid w:val="004E5904"/>
    <w:rsid w:val="004E5E04"/>
    <w:rsid w:val="004E63AF"/>
    <w:rsid w:val="004E6E4B"/>
    <w:rsid w:val="004E72D7"/>
    <w:rsid w:val="004F003A"/>
    <w:rsid w:val="004F236E"/>
    <w:rsid w:val="004F26B6"/>
    <w:rsid w:val="004F3E73"/>
    <w:rsid w:val="004F40C2"/>
    <w:rsid w:val="004F411D"/>
    <w:rsid w:val="004F4409"/>
    <w:rsid w:val="004F4AEB"/>
    <w:rsid w:val="004F4F31"/>
    <w:rsid w:val="004F5BED"/>
    <w:rsid w:val="004F67EA"/>
    <w:rsid w:val="004F680F"/>
    <w:rsid w:val="00500ADF"/>
    <w:rsid w:val="00500DAF"/>
    <w:rsid w:val="00500DFD"/>
    <w:rsid w:val="005022D2"/>
    <w:rsid w:val="00502BBC"/>
    <w:rsid w:val="00502EB8"/>
    <w:rsid w:val="00502EE0"/>
    <w:rsid w:val="00504AA9"/>
    <w:rsid w:val="0050528F"/>
    <w:rsid w:val="00505846"/>
    <w:rsid w:val="00506940"/>
    <w:rsid w:val="00506992"/>
    <w:rsid w:val="00506B6E"/>
    <w:rsid w:val="00510953"/>
    <w:rsid w:val="00511C42"/>
    <w:rsid w:val="00512447"/>
    <w:rsid w:val="00512899"/>
    <w:rsid w:val="0051416E"/>
    <w:rsid w:val="00514346"/>
    <w:rsid w:val="0051474D"/>
    <w:rsid w:val="00514A49"/>
    <w:rsid w:val="00514AD1"/>
    <w:rsid w:val="00514E68"/>
    <w:rsid w:val="00515192"/>
    <w:rsid w:val="00515CC7"/>
    <w:rsid w:val="00516EEE"/>
    <w:rsid w:val="00517E84"/>
    <w:rsid w:val="005213AC"/>
    <w:rsid w:val="005221E5"/>
    <w:rsid w:val="00522D9D"/>
    <w:rsid w:val="00524DB0"/>
    <w:rsid w:val="00524F16"/>
    <w:rsid w:val="005250C8"/>
    <w:rsid w:val="005262FE"/>
    <w:rsid w:val="00526483"/>
    <w:rsid w:val="00527405"/>
    <w:rsid w:val="0053009F"/>
    <w:rsid w:val="00530A33"/>
    <w:rsid w:val="00530CA5"/>
    <w:rsid w:val="00530F58"/>
    <w:rsid w:val="00531B95"/>
    <w:rsid w:val="00531D5D"/>
    <w:rsid w:val="005323F3"/>
    <w:rsid w:val="00532473"/>
    <w:rsid w:val="00532FE7"/>
    <w:rsid w:val="0053347C"/>
    <w:rsid w:val="005335BE"/>
    <w:rsid w:val="00535498"/>
    <w:rsid w:val="00535503"/>
    <w:rsid w:val="00535BF4"/>
    <w:rsid w:val="005361FF"/>
    <w:rsid w:val="00536C19"/>
    <w:rsid w:val="00540610"/>
    <w:rsid w:val="00541391"/>
    <w:rsid w:val="00542963"/>
    <w:rsid w:val="00543204"/>
    <w:rsid w:val="00543F6C"/>
    <w:rsid w:val="0054438E"/>
    <w:rsid w:val="00545012"/>
    <w:rsid w:val="005452B7"/>
    <w:rsid w:val="00545ACC"/>
    <w:rsid w:val="00545C34"/>
    <w:rsid w:val="00545C6A"/>
    <w:rsid w:val="00545CC2"/>
    <w:rsid w:val="00546133"/>
    <w:rsid w:val="00546B09"/>
    <w:rsid w:val="00547768"/>
    <w:rsid w:val="00547C7F"/>
    <w:rsid w:val="00547F0C"/>
    <w:rsid w:val="00550149"/>
    <w:rsid w:val="00550A6E"/>
    <w:rsid w:val="00550C95"/>
    <w:rsid w:val="00550FD2"/>
    <w:rsid w:val="00551BFB"/>
    <w:rsid w:val="00553447"/>
    <w:rsid w:val="005538AD"/>
    <w:rsid w:val="0055466C"/>
    <w:rsid w:val="00554871"/>
    <w:rsid w:val="005553DD"/>
    <w:rsid w:val="00556230"/>
    <w:rsid w:val="00556288"/>
    <w:rsid w:val="00557860"/>
    <w:rsid w:val="00557AC7"/>
    <w:rsid w:val="0056044E"/>
    <w:rsid w:val="005605E3"/>
    <w:rsid w:val="005613D1"/>
    <w:rsid w:val="00561CCE"/>
    <w:rsid w:val="0056240F"/>
    <w:rsid w:val="00563750"/>
    <w:rsid w:val="00563AF1"/>
    <w:rsid w:val="00563C0F"/>
    <w:rsid w:val="005640D4"/>
    <w:rsid w:val="00564258"/>
    <w:rsid w:val="00564D41"/>
    <w:rsid w:val="0056513E"/>
    <w:rsid w:val="00565E0B"/>
    <w:rsid w:val="00566476"/>
    <w:rsid w:val="00567F24"/>
    <w:rsid w:val="0057086D"/>
    <w:rsid w:val="00570AEF"/>
    <w:rsid w:val="005719C0"/>
    <w:rsid w:val="00571D27"/>
    <w:rsid w:val="00573F5A"/>
    <w:rsid w:val="005741FA"/>
    <w:rsid w:val="00574B16"/>
    <w:rsid w:val="00574F61"/>
    <w:rsid w:val="00575235"/>
    <w:rsid w:val="0057548E"/>
    <w:rsid w:val="0057586E"/>
    <w:rsid w:val="00575B66"/>
    <w:rsid w:val="005761BD"/>
    <w:rsid w:val="00576B78"/>
    <w:rsid w:val="0057740A"/>
    <w:rsid w:val="00577562"/>
    <w:rsid w:val="00577DE2"/>
    <w:rsid w:val="0058026E"/>
    <w:rsid w:val="00581C6E"/>
    <w:rsid w:val="00582C43"/>
    <w:rsid w:val="00582DDD"/>
    <w:rsid w:val="00583F73"/>
    <w:rsid w:val="005842C9"/>
    <w:rsid w:val="00584B41"/>
    <w:rsid w:val="00584E81"/>
    <w:rsid w:val="00585A8D"/>
    <w:rsid w:val="00590129"/>
    <w:rsid w:val="005901DC"/>
    <w:rsid w:val="00590792"/>
    <w:rsid w:val="00591690"/>
    <w:rsid w:val="00591834"/>
    <w:rsid w:val="0059320B"/>
    <w:rsid w:val="0059444E"/>
    <w:rsid w:val="00595D99"/>
    <w:rsid w:val="005966BD"/>
    <w:rsid w:val="00596961"/>
    <w:rsid w:val="00596E72"/>
    <w:rsid w:val="00596E88"/>
    <w:rsid w:val="0059762D"/>
    <w:rsid w:val="005A07F4"/>
    <w:rsid w:val="005A090C"/>
    <w:rsid w:val="005A0944"/>
    <w:rsid w:val="005A0C5B"/>
    <w:rsid w:val="005A0FA2"/>
    <w:rsid w:val="005A1359"/>
    <w:rsid w:val="005A181B"/>
    <w:rsid w:val="005A2A90"/>
    <w:rsid w:val="005A384D"/>
    <w:rsid w:val="005A3A8F"/>
    <w:rsid w:val="005A3CE8"/>
    <w:rsid w:val="005A407B"/>
    <w:rsid w:val="005A41D0"/>
    <w:rsid w:val="005A43FB"/>
    <w:rsid w:val="005A620A"/>
    <w:rsid w:val="005A6937"/>
    <w:rsid w:val="005A6E4C"/>
    <w:rsid w:val="005B05A5"/>
    <w:rsid w:val="005B1C27"/>
    <w:rsid w:val="005B294B"/>
    <w:rsid w:val="005B300D"/>
    <w:rsid w:val="005B30A3"/>
    <w:rsid w:val="005B3799"/>
    <w:rsid w:val="005B516A"/>
    <w:rsid w:val="005B5BBC"/>
    <w:rsid w:val="005B5D22"/>
    <w:rsid w:val="005B6483"/>
    <w:rsid w:val="005B6CA8"/>
    <w:rsid w:val="005B6EDB"/>
    <w:rsid w:val="005B74DA"/>
    <w:rsid w:val="005B7BEE"/>
    <w:rsid w:val="005C0688"/>
    <w:rsid w:val="005C07A0"/>
    <w:rsid w:val="005C0DC1"/>
    <w:rsid w:val="005C1683"/>
    <w:rsid w:val="005C16EE"/>
    <w:rsid w:val="005C25EB"/>
    <w:rsid w:val="005C3134"/>
    <w:rsid w:val="005C3AAF"/>
    <w:rsid w:val="005C404F"/>
    <w:rsid w:val="005C4826"/>
    <w:rsid w:val="005C4912"/>
    <w:rsid w:val="005C536F"/>
    <w:rsid w:val="005C56A3"/>
    <w:rsid w:val="005C58A4"/>
    <w:rsid w:val="005C59CB"/>
    <w:rsid w:val="005C5A0D"/>
    <w:rsid w:val="005C5B1C"/>
    <w:rsid w:val="005C5E76"/>
    <w:rsid w:val="005C5F7A"/>
    <w:rsid w:val="005C6B0D"/>
    <w:rsid w:val="005C6D28"/>
    <w:rsid w:val="005C6E4E"/>
    <w:rsid w:val="005D188F"/>
    <w:rsid w:val="005D2E17"/>
    <w:rsid w:val="005D4A61"/>
    <w:rsid w:val="005D57F8"/>
    <w:rsid w:val="005D5943"/>
    <w:rsid w:val="005D5D86"/>
    <w:rsid w:val="005D67A9"/>
    <w:rsid w:val="005D6A33"/>
    <w:rsid w:val="005D70D4"/>
    <w:rsid w:val="005E03D7"/>
    <w:rsid w:val="005E07DD"/>
    <w:rsid w:val="005E0A36"/>
    <w:rsid w:val="005E29D2"/>
    <w:rsid w:val="005E322E"/>
    <w:rsid w:val="005E4024"/>
    <w:rsid w:val="005E5094"/>
    <w:rsid w:val="005E5492"/>
    <w:rsid w:val="005E5F9B"/>
    <w:rsid w:val="005E722F"/>
    <w:rsid w:val="005E7F16"/>
    <w:rsid w:val="005F1FD5"/>
    <w:rsid w:val="005F2309"/>
    <w:rsid w:val="005F2741"/>
    <w:rsid w:val="005F3CC1"/>
    <w:rsid w:val="005F3CF3"/>
    <w:rsid w:val="005F5D1A"/>
    <w:rsid w:val="005F613B"/>
    <w:rsid w:val="005F63D1"/>
    <w:rsid w:val="005F678A"/>
    <w:rsid w:val="005F6A44"/>
    <w:rsid w:val="005F714F"/>
    <w:rsid w:val="005F792C"/>
    <w:rsid w:val="005F7F01"/>
    <w:rsid w:val="00600261"/>
    <w:rsid w:val="006004F8"/>
    <w:rsid w:val="0060095B"/>
    <w:rsid w:val="00601298"/>
    <w:rsid w:val="0060171A"/>
    <w:rsid w:val="00601811"/>
    <w:rsid w:val="0060188E"/>
    <w:rsid w:val="00601AF7"/>
    <w:rsid w:val="00601B12"/>
    <w:rsid w:val="00602480"/>
    <w:rsid w:val="0060267B"/>
    <w:rsid w:val="00602C6C"/>
    <w:rsid w:val="00602C99"/>
    <w:rsid w:val="0060426B"/>
    <w:rsid w:val="00605D1F"/>
    <w:rsid w:val="00606EC8"/>
    <w:rsid w:val="00607EAD"/>
    <w:rsid w:val="00610BC9"/>
    <w:rsid w:val="00610D07"/>
    <w:rsid w:val="00610D4C"/>
    <w:rsid w:val="00611014"/>
    <w:rsid w:val="006118A2"/>
    <w:rsid w:val="00611B61"/>
    <w:rsid w:val="006120BB"/>
    <w:rsid w:val="00612712"/>
    <w:rsid w:val="006132F3"/>
    <w:rsid w:val="006139EA"/>
    <w:rsid w:val="00613EE3"/>
    <w:rsid w:val="0061403A"/>
    <w:rsid w:val="006142D8"/>
    <w:rsid w:val="006152FB"/>
    <w:rsid w:val="006159B9"/>
    <w:rsid w:val="00615EE3"/>
    <w:rsid w:val="00616FDD"/>
    <w:rsid w:val="00617275"/>
    <w:rsid w:val="006176E3"/>
    <w:rsid w:val="00620992"/>
    <w:rsid w:val="00620EBF"/>
    <w:rsid w:val="00621DA9"/>
    <w:rsid w:val="00622403"/>
    <w:rsid w:val="00622B06"/>
    <w:rsid w:val="0062585A"/>
    <w:rsid w:val="006261F1"/>
    <w:rsid w:val="00626690"/>
    <w:rsid w:val="00627065"/>
    <w:rsid w:val="00627552"/>
    <w:rsid w:val="00627592"/>
    <w:rsid w:val="006275FB"/>
    <w:rsid w:val="00627895"/>
    <w:rsid w:val="00630029"/>
    <w:rsid w:val="006302F9"/>
    <w:rsid w:val="006319C2"/>
    <w:rsid w:val="00632C4B"/>
    <w:rsid w:val="00633FDB"/>
    <w:rsid w:val="00634DDA"/>
    <w:rsid w:val="006352D2"/>
    <w:rsid w:val="006357FB"/>
    <w:rsid w:val="00636165"/>
    <w:rsid w:val="00636504"/>
    <w:rsid w:val="0064073C"/>
    <w:rsid w:val="00640A30"/>
    <w:rsid w:val="00640B25"/>
    <w:rsid w:val="00642517"/>
    <w:rsid w:val="0064292C"/>
    <w:rsid w:val="006434F2"/>
    <w:rsid w:val="00644170"/>
    <w:rsid w:val="006444AF"/>
    <w:rsid w:val="00644E23"/>
    <w:rsid w:val="00645DAB"/>
    <w:rsid w:val="00645DCF"/>
    <w:rsid w:val="006461CE"/>
    <w:rsid w:val="00646FA6"/>
    <w:rsid w:val="00647AE2"/>
    <w:rsid w:val="00647CCB"/>
    <w:rsid w:val="00651212"/>
    <w:rsid w:val="006520D6"/>
    <w:rsid w:val="00653205"/>
    <w:rsid w:val="00654AAF"/>
    <w:rsid w:val="00655403"/>
    <w:rsid w:val="00655F33"/>
    <w:rsid w:val="00655FE8"/>
    <w:rsid w:val="006561EC"/>
    <w:rsid w:val="006561FE"/>
    <w:rsid w:val="0065651F"/>
    <w:rsid w:val="00656BE9"/>
    <w:rsid w:val="00656E63"/>
    <w:rsid w:val="00656FAA"/>
    <w:rsid w:val="00657FC8"/>
    <w:rsid w:val="00660E41"/>
    <w:rsid w:val="00660E92"/>
    <w:rsid w:val="0066196C"/>
    <w:rsid w:val="00662746"/>
    <w:rsid w:val="00662B6E"/>
    <w:rsid w:val="00663A4E"/>
    <w:rsid w:val="00663D3D"/>
    <w:rsid w:val="00663D64"/>
    <w:rsid w:val="00663D6B"/>
    <w:rsid w:val="00664B82"/>
    <w:rsid w:val="0066544B"/>
    <w:rsid w:val="00666084"/>
    <w:rsid w:val="00666385"/>
    <w:rsid w:val="00666DA0"/>
    <w:rsid w:val="00666DD7"/>
    <w:rsid w:val="00667A54"/>
    <w:rsid w:val="00667BCD"/>
    <w:rsid w:val="006700CA"/>
    <w:rsid w:val="0067069C"/>
    <w:rsid w:val="00670AA5"/>
    <w:rsid w:val="006714F0"/>
    <w:rsid w:val="00671ED3"/>
    <w:rsid w:val="0067460E"/>
    <w:rsid w:val="0067686C"/>
    <w:rsid w:val="00680409"/>
    <w:rsid w:val="0068112C"/>
    <w:rsid w:val="00681DBB"/>
    <w:rsid w:val="00682CF5"/>
    <w:rsid w:val="00683222"/>
    <w:rsid w:val="00683E97"/>
    <w:rsid w:val="00683F3B"/>
    <w:rsid w:val="00684143"/>
    <w:rsid w:val="006848B0"/>
    <w:rsid w:val="00684C75"/>
    <w:rsid w:val="0068616B"/>
    <w:rsid w:val="0068616D"/>
    <w:rsid w:val="00686B49"/>
    <w:rsid w:val="006920B1"/>
    <w:rsid w:val="00692865"/>
    <w:rsid w:val="0069332C"/>
    <w:rsid w:val="006936E8"/>
    <w:rsid w:val="00693E3E"/>
    <w:rsid w:val="00694F54"/>
    <w:rsid w:val="0069556A"/>
    <w:rsid w:val="0069558D"/>
    <w:rsid w:val="006955DE"/>
    <w:rsid w:val="00695720"/>
    <w:rsid w:val="00695CB8"/>
    <w:rsid w:val="00696174"/>
    <w:rsid w:val="00697F1B"/>
    <w:rsid w:val="006A060D"/>
    <w:rsid w:val="006A07B0"/>
    <w:rsid w:val="006A0D11"/>
    <w:rsid w:val="006A15E5"/>
    <w:rsid w:val="006A1B50"/>
    <w:rsid w:val="006A1BCB"/>
    <w:rsid w:val="006A22A1"/>
    <w:rsid w:val="006A3194"/>
    <w:rsid w:val="006A37C9"/>
    <w:rsid w:val="006A3F13"/>
    <w:rsid w:val="006A409E"/>
    <w:rsid w:val="006A442B"/>
    <w:rsid w:val="006A48C6"/>
    <w:rsid w:val="006A561A"/>
    <w:rsid w:val="006A5670"/>
    <w:rsid w:val="006A6BFC"/>
    <w:rsid w:val="006A741D"/>
    <w:rsid w:val="006A76F4"/>
    <w:rsid w:val="006B07CE"/>
    <w:rsid w:val="006B1E1E"/>
    <w:rsid w:val="006B2910"/>
    <w:rsid w:val="006B3A65"/>
    <w:rsid w:val="006B49BD"/>
    <w:rsid w:val="006B4CA6"/>
    <w:rsid w:val="006B4CCC"/>
    <w:rsid w:val="006B4F6D"/>
    <w:rsid w:val="006B7479"/>
    <w:rsid w:val="006B7712"/>
    <w:rsid w:val="006B7C96"/>
    <w:rsid w:val="006C0EBE"/>
    <w:rsid w:val="006C1D2F"/>
    <w:rsid w:val="006C1FD5"/>
    <w:rsid w:val="006C2AE0"/>
    <w:rsid w:val="006C2DBF"/>
    <w:rsid w:val="006C2E6E"/>
    <w:rsid w:val="006C464C"/>
    <w:rsid w:val="006C48FC"/>
    <w:rsid w:val="006C4DD0"/>
    <w:rsid w:val="006C6BFF"/>
    <w:rsid w:val="006C731D"/>
    <w:rsid w:val="006C79B0"/>
    <w:rsid w:val="006C7F5B"/>
    <w:rsid w:val="006D0852"/>
    <w:rsid w:val="006D0B9F"/>
    <w:rsid w:val="006D0C48"/>
    <w:rsid w:val="006D0EFA"/>
    <w:rsid w:val="006D154B"/>
    <w:rsid w:val="006D1552"/>
    <w:rsid w:val="006D1997"/>
    <w:rsid w:val="006D1F3E"/>
    <w:rsid w:val="006D2484"/>
    <w:rsid w:val="006D2B95"/>
    <w:rsid w:val="006D5788"/>
    <w:rsid w:val="006D5D98"/>
    <w:rsid w:val="006D6259"/>
    <w:rsid w:val="006D7833"/>
    <w:rsid w:val="006E0B6F"/>
    <w:rsid w:val="006E0F33"/>
    <w:rsid w:val="006E12B0"/>
    <w:rsid w:val="006E1342"/>
    <w:rsid w:val="006E1573"/>
    <w:rsid w:val="006E3357"/>
    <w:rsid w:val="006E3E0D"/>
    <w:rsid w:val="006E47B1"/>
    <w:rsid w:val="006E49BA"/>
    <w:rsid w:val="006E4C5C"/>
    <w:rsid w:val="006E4EF6"/>
    <w:rsid w:val="006E51C1"/>
    <w:rsid w:val="006E582D"/>
    <w:rsid w:val="006E7F0B"/>
    <w:rsid w:val="006E7F4C"/>
    <w:rsid w:val="006F0048"/>
    <w:rsid w:val="006F006E"/>
    <w:rsid w:val="006F00C5"/>
    <w:rsid w:val="006F05B8"/>
    <w:rsid w:val="006F1250"/>
    <w:rsid w:val="006F32E0"/>
    <w:rsid w:val="006F3CA1"/>
    <w:rsid w:val="006F3DBC"/>
    <w:rsid w:val="006F5B38"/>
    <w:rsid w:val="006F5EA5"/>
    <w:rsid w:val="006F5F8C"/>
    <w:rsid w:val="006F6E81"/>
    <w:rsid w:val="006F7A19"/>
    <w:rsid w:val="006F7A76"/>
    <w:rsid w:val="006F7EB2"/>
    <w:rsid w:val="007008AC"/>
    <w:rsid w:val="007009CC"/>
    <w:rsid w:val="00700E99"/>
    <w:rsid w:val="007012CC"/>
    <w:rsid w:val="00701967"/>
    <w:rsid w:val="00701A6D"/>
    <w:rsid w:val="007027A4"/>
    <w:rsid w:val="00702DFF"/>
    <w:rsid w:val="00703C5E"/>
    <w:rsid w:val="00703EC9"/>
    <w:rsid w:val="00704865"/>
    <w:rsid w:val="0070491F"/>
    <w:rsid w:val="00704C91"/>
    <w:rsid w:val="00704D58"/>
    <w:rsid w:val="00704D6C"/>
    <w:rsid w:val="007055E6"/>
    <w:rsid w:val="00705A0F"/>
    <w:rsid w:val="00705FB9"/>
    <w:rsid w:val="00706ECB"/>
    <w:rsid w:val="007108C9"/>
    <w:rsid w:val="00711177"/>
    <w:rsid w:val="007111D0"/>
    <w:rsid w:val="007122F1"/>
    <w:rsid w:val="00712692"/>
    <w:rsid w:val="00712787"/>
    <w:rsid w:val="007130D9"/>
    <w:rsid w:val="007133E4"/>
    <w:rsid w:val="00714C53"/>
    <w:rsid w:val="00715C70"/>
    <w:rsid w:val="00716413"/>
    <w:rsid w:val="0071656F"/>
    <w:rsid w:val="007167AB"/>
    <w:rsid w:val="00716CCC"/>
    <w:rsid w:val="00716F56"/>
    <w:rsid w:val="00720426"/>
    <w:rsid w:val="0072044D"/>
    <w:rsid w:val="00720D11"/>
    <w:rsid w:val="00720F16"/>
    <w:rsid w:val="0072208E"/>
    <w:rsid w:val="00724310"/>
    <w:rsid w:val="00724855"/>
    <w:rsid w:val="007250F5"/>
    <w:rsid w:val="007258AC"/>
    <w:rsid w:val="00726382"/>
    <w:rsid w:val="00726647"/>
    <w:rsid w:val="00726E98"/>
    <w:rsid w:val="00727437"/>
    <w:rsid w:val="0072781C"/>
    <w:rsid w:val="00727DC3"/>
    <w:rsid w:val="00730702"/>
    <w:rsid w:val="0073075A"/>
    <w:rsid w:val="00730D5B"/>
    <w:rsid w:val="00730F5B"/>
    <w:rsid w:val="00731485"/>
    <w:rsid w:val="007314CC"/>
    <w:rsid w:val="00731BFF"/>
    <w:rsid w:val="00731D91"/>
    <w:rsid w:val="00733628"/>
    <w:rsid w:val="00735A26"/>
    <w:rsid w:val="00736407"/>
    <w:rsid w:val="00736476"/>
    <w:rsid w:val="00736520"/>
    <w:rsid w:val="00736854"/>
    <w:rsid w:val="007369BD"/>
    <w:rsid w:val="00740056"/>
    <w:rsid w:val="00740C28"/>
    <w:rsid w:val="00740EEA"/>
    <w:rsid w:val="0074399D"/>
    <w:rsid w:val="00743C16"/>
    <w:rsid w:val="0074404F"/>
    <w:rsid w:val="007457A7"/>
    <w:rsid w:val="00746BE4"/>
    <w:rsid w:val="00747143"/>
    <w:rsid w:val="0074723E"/>
    <w:rsid w:val="00747244"/>
    <w:rsid w:val="00753251"/>
    <w:rsid w:val="00753705"/>
    <w:rsid w:val="00753C73"/>
    <w:rsid w:val="00755AF2"/>
    <w:rsid w:val="0075618D"/>
    <w:rsid w:val="00756A4E"/>
    <w:rsid w:val="00756D79"/>
    <w:rsid w:val="007570FE"/>
    <w:rsid w:val="007573C5"/>
    <w:rsid w:val="007573FE"/>
    <w:rsid w:val="007575E3"/>
    <w:rsid w:val="00760A05"/>
    <w:rsid w:val="00760E6B"/>
    <w:rsid w:val="0076126A"/>
    <w:rsid w:val="007612B8"/>
    <w:rsid w:val="00762278"/>
    <w:rsid w:val="00763A81"/>
    <w:rsid w:val="00763F73"/>
    <w:rsid w:val="0076411E"/>
    <w:rsid w:val="00764F15"/>
    <w:rsid w:val="0076554B"/>
    <w:rsid w:val="00765E14"/>
    <w:rsid w:val="00766A2D"/>
    <w:rsid w:val="00766D56"/>
    <w:rsid w:val="00767851"/>
    <w:rsid w:val="00767EA7"/>
    <w:rsid w:val="007712C5"/>
    <w:rsid w:val="00771332"/>
    <w:rsid w:val="00771B5F"/>
    <w:rsid w:val="00771F17"/>
    <w:rsid w:val="0077291B"/>
    <w:rsid w:val="00772CB6"/>
    <w:rsid w:val="00772CD3"/>
    <w:rsid w:val="007732C3"/>
    <w:rsid w:val="007733B7"/>
    <w:rsid w:val="00773570"/>
    <w:rsid w:val="007738E0"/>
    <w:rsid w:val="00774132"/>
    <w:rsid w:val="007748DC"/>
    <w:rsid w:val="007755A0"/>
    <w:rsid w:val="00775CE7"/>
    <w:rsid w:val="007760BC"/>
    <w:rsid w:val="00776E44"/>
    <w:rsid w:val="0077766E"/>
    <w:rsid w:val="00777B03"/>
    <w:rsid w:val="00777C4E"/>
    <w:rsid w:val="00777F9F"/>
    <w:rsid w:val="007805A9"/>
    <w:rsid w:val="00780842"/>
    <w:rsid w:val="00781308"/>
    <w:rsid w:val="007819D2"/>
    <w:rsid w:val="00781EDA"/>
    <w:rsid w:val="00782971"/>
    <w:rsid w:val="00782BF9"/>
    <w:rsid w:val="00783174"/>
    <w:rsid w:val="00783311"/>
    <w:rsid w:val="007836F0"/>
    <w:rsid w:val="00784145"/>
    <w:rsid w:val="007850F1"/>
    <w:rsid w:val="00785413"/>
    <w:rsid w:val="0078559C"/>
    <w:rsid w:val="00785DE1"/>
    <w:rsid w:val="00786333"/>
    <w:rsid w:val="00786999"/>
    <w:rsid w:val="00786B9A"/>
    <w:rsid w:val="0078781D"/>
    <w:rsid w:val="007901AD"/>
    <w:rsid w:val="007936C6"/>
    <w:rsid w:val="00793CED"/>
    <w:rsid w:val="00793D76"/>
    <w:rsid w:val="00794705"/>
    <w:rsid w:val="0079512A"/>
    <w:rsid w:val="0079526E"/>
    <w:rsid w:val="007963EB"/>
    <w:rsid w:val="00797226"/>
    <w:rsid w:val="0079730D"/>
    <w:rsid w:val="00797BA7"/>
    <w:rsid w:val="00797F95"/>
    <w:rsid w:val="007A00C2"/>
    <w:rsid w:val="007A0B03"/>
    <w:rsid w:val="007A0D51"/>
    <w:rsid w:val="007A1902"/>
    <w:rsid w:val="007A2986"/>
    <w:rsid w:val="007A3264"/>
    <w:rsid w:val="007A45B2"/>
    <w:rsid w:val="007A48C7"/>
    <w:rsid w:val="007A700A"/>
    <w:rsid w:val="007B0159"/>
    <w:rsid w:val="007B041C"/>
    <w:rsid w:val="007B042A"/>
    <w:rsid w:val="007B0E6D"/>
    <w:rsid w:val="007B1CCD"/>
    <w:rsid w:val="007B2CE0"/>
    <w:rsid w:val="007B374B"/>
    <w:rsid w:val="007B3A1C"/>
    <w:rsid w:val="007B3BBD"/>
    <w:rsid w:val="007B43EF"/>
    <w:rsid w:val="007B5E2A"/>
    <w:rsid w:val="007B625E"/>
    <w:rsid w:val="007B6463"/>
    <w:rsid w:val="007B6893"/>
    <w:rsid w:val="007B69F4"/>
    <w:rsid w:val="007B7257"/>
    <w:rsid w:val="007B7414"/>
    <w:rsid w:val="007C0FC8"/>
    <w:rsid w:val="007C10F5"/>
    <w:rsid w:val="007C21C9"/>
    <w:rsid w:val="007C235C"/>
    <w:rsid w:val="007C2849"/>
    <w:rsid w:val="007C2BF0"/>
    <w:rsid w:val="007C31BF"/>
    <w:rsid w:val="007C381E"/>
    <w:rsid w:val="007C3866"/>
    <w:rsid w:val="007C3EDE"/>
    <w:rsid w:val="007C4250"/>
    <w:rsid w:val="007C4B19"/>
    <w:rsid w:val="007C4C91"/>
    <w:rsid w:val="007C50BA"/>
    <w:rsid w:val="007C5116"/>
    <w:rsid w:val="007C5296"/>
    <w:rsid w:val="007C52ED"/>
    <w:rsid w:val="007C670D"/>
    <w:rsid w:val="007C6E2F"/>
    <w:rsid w:val="007C72F0"/>
    <w:rsid w:val="007C7712"/>
    <w:rsid w:val="007C7B17"/>
    <w:rsid w:val="007C7BB9"/>
    <w:rsid w:val="007D0451"/>
    <w:rsid w:val="007D1273"/>
    <w:rsid w:val="007D199E"/>
    <w:rsid w:val="007D1BE1"/>
    <w:rsid w:val="007D20DF"/>
    <w:rsid w:val="007D24DF"/>
    <w:rsid w:val="007D34A8"/>
    <w:rsid w:val="007D40CF"/>
    <w:rsid w:val="007D5F24"/>
    <w:rsid w:val="007D6D26"/>
    <w:rsid w:val="007D75B4"/>
    <w:rsid w:val="007D7886"/>
    <w:rsid w:val="007D7BD2"/>
    <w:rsid w:val="007E0046"/>
    <w:rsid w:val="007E0F2C"/>
    <w:rsid w:val="007E1006"/>
    <w:rsid w:val="007E1562"/>
    <w:rsid w:val="007E2003"/>
    <w:rsid w:val="007E231D"/>
    <w:rsid w:val="007E2721"/>
    <w:rsid w:val="007E28AF"/>
    <w:rsid w:val="007E4193"/>
    <w:rsid w:val="007E4EF0"/>
    <w:rsid w:val="007E52A3"/>
    <w:rsid w:val="007E5C93"/>
    <w:rsid w:val="007E62D1"/>
    <w:rsid w:val="007E6E90"/>
    <w:rsid w:val="007E7291"/>
    <w:rsid w:val="007F067E"/>
    <w:rsid w:val="007F0EE5"/>
    <w:rsid w:val="007F1DB0"/>
    <w:rsid w:val="007F22D7"/>
    <w:rsid w:val="007F2C20"/>
    <w:rsid w:val="007F3042"/>
    <w:rsid w:val="007F3883"/>
    <w:rsid w:val="007F3B2C"/>
    <w:rsid w:val="007F4A63"/>
    <w:rsid w:val="007F6172"/>
    <w:rsid w:val="007F6325"/>
    <w:rsid w:val="007F6A80"/>
    <w:rsid w:val="007F71AD"/>
    <w:rsid w:val="007F73FE"/>
    <w:rsid w:val="007F7543"/>
    <w:rsid w:val="00801046"/>
    <w:rsid w:val="00801735"/>
    <w:rsid w:val="008029FE"/>
    <w:rsid w:val="00802EAF"/>
    <w:rsid w:val="00803D26"/>
    <w:rsid w:val="0080481B"/>
    <w:rsid w:val="00804BF7"/>
    <w:rsid w:val="00804F60"/>
    <w:rsid w:val="00805420"/>
    <w:rsid w:val="0080751E"/>
    <w:rsid w:val="008078E9"/>
    <w:rsid w:val="00807936"/>
    <w:rsid w:val="00807F1B"/>
    <w:rsid w:val="008112A3"/>
    <w:rsid w:val="008115A4"/>
    <w:rsid w:val="008115AC"/>
    <w:rsid w:val="00811CA4"/>
    <w:rsid w:val="0081331C"/>
    <w:rsid w:val="00813B3A"/>
    <w:rsid w:val="00814EB1"/>
    <w:rsid w:val="00815864"/>
    <w:rsid w:val="00815AA0"/>
    <w:rsid w:val="00815C6E"/>
    <w:rsid w:val="00815EF1"/>
    <w:rsid w:val="00816778"/>
    <w:rsid w:val="00817A25"/>
    <w:rsid w:val="00820B7F"/>
    <w:rsid w:val="00820FB2"/>
    <w:rsid w:val="00821303"/>
    <w:rsid w:val="008237A5"/>
    <w:rsid w:val="00824AB7"/>
    <w:rsid w:val="008250EF"/>
    <w:rsid w:val="0082657D"/>
    <w:rsid w:val="00826819"/>
    <w:rsid w:val="00826A3A"/>
    <w:rsid w:val="00826C30"/>
    <w:rsid w:val="008279B5"/>
    <w:rsid w:val="00827AE6"/>
    <w:rsid w:val="00830422"/>
    <w:rsid w:val="0083067D"/>
    <w:rsid w:val="00830810"/>
    <w:rsid w:val="0083089F"/>
    <w:rsid w:val="00830C49"/>
    <w:rsid w:val="00830CEA"/>
    <w:rsid w:val="00830F0A"/>
    <w:rsid w:val="008310C3"/>
    <w:rsid w:val="008318DB"/>
    <w:rsid w:val="00831D0F"/>
    <w:rsid w:val="00832415"/>
    <w:rsid w:val="00833782"/>
    <w:rsid w:val="008358F8"/>
    <w:rsid w:val="00837D86"/>
    <w:rsid w:val="00837ED8"/>
    <w:rsid w:val="00837FBE"/>
    <w:rsid w:val="0084074B"/>
    <w:rsid w:val="008418DF"/>
    <w:rsid w:val="00841FED"/>
    <w:rsid w:val="0084231E"/>
    <w:rsid w:val="00842992"/>
    <w:rsid w:val="008429C1"/>
    <w:rsid w:val="00842B93"/>
    <w:rsid w:val="0084303B"/>
    <w:rsid w:val="008430F7"/>
    <w:rsid w:val="00843EDA"/>
    <w:rsid w:val="00844D78"/>
    <w:rsid w:val="00845E80"/>
    <w:rsid w:val="00846397"/>
    <w:rsid w:val="008463AE"/>
    <w:rsid w:val="00847A58"/>
    <w:rsid w:val="008503D7"/>
    <w:rsid w:val="00850F13"/>
    <w:rsid w:val="0085132B"/>
    <w:rsid w:val="00851C81"/>
    <w:rsid w:val="00854B41"/>
    <w:rsid w:val="008559D3"/>
    <w:rsid w:val="00855C2D"/>
    <w:rsid w:val="0086052A"/>
    <w:rsid w:val="00860D42"/>
    <w:rsid w:val="00862091"/>
    <w:rsid w:val="0086260A"/>
    <w:rsid w:val="0086268D"/>
    <w:rsid w:val="00862798"/>
    <w:rsid w:val="008629FC"/>
    <w:rsid w:val="00863F93"/>
    <w:rsid w:val="00864265"/>
    <w:rsid w:val="008646AD"/>
    <w:rsid w:val="00864B08"/>
    <w:rsid w:val="00864BC1"/>
    <w:rsid w:val="0086564A"/>
    <w:rsid w:val="00865D18"/>
    <w:rsid w:val="00866A9A"/>
    <w:rsid w:val="00866B56"/>
    <w:rsid w:val="008702E1"/>
    <w:rsid w:val="00870B25"/>
    <w:rsid w:val="00871BD0"/>
    <w:rsid w:val="008724C5"/>
    <w:rsid w:val="00872C5C"/>
    <w:rsid w:val="0087419D"/>
    <w:rsid w:val="008747DE"/>
    <w:rsid w:val="008755C7"/>
    <w:rsid w:val="00875603"/>
    <w:rsid w:val="00875AB5"/>
    <w:rsid w:val="0087630E"/>
    <w:rsid w:val="00876B5D"/>
    <w:rsid w:val="0087777A"/>
    <w:rsid w:val="008801F7"/>
    <w:rsid w:val="008809CB"/>
    <w:rsid w:val="00882B0E"/>
    <w:rsid w:val="0088306B"/>
    <w:rsid w:val="00883558"/>
    <w:rsid w:val="00883C8C"/>
    <w:rsid w:val="00883D7D"/>
    <w:rsid w:val="0088508F"/>
    <w:rsid w:val="00885E0B"/>
    <w:rsid w:val="0088633B"/>
    <w:rsid w:val="00886BA4"/>
    <w:rsid w:val="00890165"/>
    <w:rsid w:val="00890B0F"/>
    <w:rsid w:val="00890CA9"/>
    <w:rsid w:val="00890CB2"/>
    <w:rsid w:val="008913AC"/>
    <w:rsid w:val="00891BEE"/>
    <w:rsid w:val="00891E07"/>
    <w:rsid w:val="008929F6"/>
    <w:rsid w:val="00893989"/>
    <w:rsid w:val="00893B49"/>
    <w:rsid w:val="00893F4A"/>
    <w:rsid w:val="008951AE"/>
    <w:rsid w:val="00896331"/>
    <w:rsid w:val="00896A46"/>
    <w:rsid w:val="00897242"/>
    <w:rsid w:val="008973C3"/>
    <w:rsid w:val="008A02E9"/>
    <w:rsid w:val="008A09AC"/>
    <w:rsid w:val="008A0F60"/>
    <w:rsid w:val="008A1584"/>
    <w:rsid w:val="008A1A87"/>
    <w:rsid w:val="008A1E0A"/>
    <w:rsid w:val="008A37D0"/>
    <w:rsid w:val="008A3FD3"/>
    <w:rsid w:val="008A4651"/>
    <w:rsid w:val="008A4F90"/>
    <w:rsid w:val="008A519E"/>
    <w:rsid w:val="008A5793"/>
    <w:rsid w:val="008A59D6"/>
    <w:rsid w:val="008A5CD1"/>
    <w:rsid w:val="008A64ED"/>
    <w:rsid w:val="008A6B7A"/>
    <w:rsid w:val="008B0B36"/>
    <w:rsid w:val="008B0E64"/>
    <w:rsid w:val="008B110B"/>
    <w:rsid w:val="008B1823"/>
    <w:rsid w:val="008B1E2F"/>
    <w:rsid w:val="008B3CC3"/>
    <w:rsid w:val="008B4C87"/>
    <w:rsid w:val="008B558B"/>
    <w:rsid w:val="008B57CA"/>
    <w:rsid w:val="008B5879"/>
    <w:rsid w:val="008B6308"/>
    <w:rsid w:val="008B6528"/>
    <w:rsid w:val="008B69CD"/>
    <w:rsid w:val="008B7C5B"/>
    <w:rsid w:val="008B7DC2"/>
    <w:rsid w:val="008B7DF3"/>
    <w:rsid w:val="008C0389"/>
    <w:rsid w:val="008C03AC"/>
    <w:rsid w:val="008C210C"/>
    <w:rsid w:val="008C23BB"/>
    <w:rsid w:val="008C3129"/>
    <w:rsid w:val="008C331D"/>
    <w:rsid w:val="008C33BD"/>
    <w:rsid w:val="008C3E43"/>
    <w:rsid w:val="008C40AC"/>
    <w:rsid w:val="008C4F70"/>
    <w:rsid w:val="008C55E2"/>
    <w:rsid w:val="008C5B14"/>
    <w:rsid w:val="008C690E"/>
    <w:rsid w:val="008C6CE3"/>
    <w:rsid w:val="008C745A"/>
    <w:rsid w:val="008C78A4"/>
    <w:rsid w:val="008D0A9B"/>
    <w:rsid w:val="008D0DD9"/>
    <w:rsid w:val="008D113F"/>
    <w:rsid w:val="008D204A"/>
    <w:rsid w:val="008D2099"/>
    <w:rsid w:val="008D21DB"/>
    <w:rsid w:val="008D21E6"/>
    <w:rsid w:val="008D2543"/>
    <w:rsid w:val="008D26EF"/>
    <w:rsid w:val="008D381C"/>
    <w:rsid w:val="008D3CFE"/>
    <w:rsid w:val="008D410F"/>
    <w:rsid w:val="008D4863"/>
    <w:rsid w:val="008D4C93"/>
    <w:rsid w:val="008D6EA2"/>
    <w:rsid w:val="008D7DA6"/>
    <w:rsid w:val="008E05BB"/>
    <w:rsid w:val="008E0FA2"/>
    <w:rsid w:val="008E1867"/>
    <w:rsid w:val="008E209B"/>
    <w:rsid w:val="008E29F2"/>
    <w:rsid w:val="008E3915"/>
    <w:rsid w:val="008E3F56"/>
    <w:rsid w:val="008E4002"/>
    <w:rsid w:val="008E406F"/>
    <w:rsid w:val="008E472E"/>
    <w:rsid w:val="008E4771"/>
    <w:rsid w:val="008E4AAA"/>
    <w:rsid w:val="008E56BF"/>
    <w:rsid w:val="008E61E9"/>
    <w:rsid w:val="008E68AB"/>
    <w:rsid w:val="008E6C15"/>
    <w:rsid w:val="008E6F53"/>
    <w:rsid w:val="008E6FDC"/>
    <w:rsid w:val="008E7311"/>
    <w:rsid w:val="008E7352"/>
    <w:rsid w:val="008E75BD"/>
    <w:rsid w:val="008F04BC"/>
    <w:rsid w:val="008F0A9C"/>
    <w:rsid w:val="008F1BA4"/>
    <w:rsid w:val="008F264D"/>
    <w:rsid w:val="008F26FE"/>
    <w:rsid w:val="008F2E8A"/>
    <w:rsid w:val="008F513E"/>
    <w:rsid w:val="008F6872"/>
    <w:rsid w:val="008F7351"/>
    <w:rsid w:val="00901058"/>
    <w:rsid w:val="009012A4"/>
    <w:rsid w:val="00902747"/>
    <w:rsid w:val="00902FD3"/>
    <w:rsid w:val="0090478F"/>
    <w:rsid w:val="0090508B"/>
    <w:rsid w:val="00905288"/>
    <w:rsid w:val="00905390"/>
    <w:rsid w:val="00906A90"/>
    <w:rsid w:val="00906EE3"/>
    <w:rsid w:val="009072B2"/>
    <w:rsid w:val="00907646"/>
    <w:rsid w:val="00907B45"/>
    <w:rsid w:val="00910A2A"/>
    <w:rsid w:val="00910A57"/>
    <w:rsid w:val="009128D5"/>
    <w:rsid w:val="00912CDC"/>
    <w:rsid w:val="0091309B"/>
    <w:rsid w:val="009137FE"/>
    <w:rsid w:val="00913995"/>
    <w:rsid w:val="00913DB3"/>
    <w:rsid w:val="00914A06"/>
    <w:rsid w:val="00915CF6"/>
    <w:rsid w:val="0091637A"/>
    <w:rsid w:val="009174EE"/>
    <w:rsid w:val="00917FB5"/>
    <w:rsid w:val="00920A6C"/>
    <w:rsid w:val="0092191A"/>
    <w:rsid w:val="0092265D"/>
    <w:rsid w:val="009226DA"/>
    <w:rsid w:val="009228A4"/>
    <w:rsid w:val="00922FB7"/>
    <w:rsid w:val="00923DAC"/>
    <w:rsid w:val="00924D33"/>
    <w:rsid w:val="0092531B"/>
    <w:rsid w:val="0092540E"/>
    <w:rsid w:val="009257DE"/>
    <w:rsid w:val="00925F57"/>
    <w:rsid w:val="00926D1E"/>
    <w:rsid w:val="00926DBD"/>
    <w:rsid w:val="00930895"/>
    <w:rsid w:val="00930E27"/>
    <w:rsid w:val="00930F44"/>
    <w:rsid w:val="00931458"/>
    <w:rsid w:val="00931D92"/>
    <w:rsid w:val="00931E43"/>
    <w:rsid w:val="00932E77"/>
    <w:rsid w:val="00932F46"/>
    <w:rsid w:val="00934992"/>
    <w:rsid w:val="0093545C"/>
    <w:rsid w:val="00935804"/>
    <w:rsid w:val="00936395"/>
    <w:rsid w:val="0093651C"/>
    <w:rsid w:val="009411D1"/>
    <w:rsid w:val="009412DE"/>
    <w:rsid w:val="00941443"/>
    <w:rsid w:val="009419D9"/>
    <w:rsid w:val="0094283E"/>
    <w:rsid w:val="009436EF"/>
    <w:rsid w:val="0094380F"/>
    <w:rsid w:val="009443B3"/>
    <w:rsid w:val="00944994"/>
    <w:rsid w:val="009449D4"/>
    <w:rsid w:val="00944BFD"/>
    <w:rsid w:val="00944DD4"/>
    <w:rsid w:val="00944F1D"/>
    <w:rsid w:val="0094585B"/>
    <w:rsid w:val="00945BD6"/>
    <w:rsid w:val="00946431"/>
    <w:rsid w:val="00946A7D"/>
    <w:rsid w:val="00946C15"/>
    <w:rsid w:val="00947B6B"/>
    <w:rsid w:val="00947F94"/>
    <w:rsid w:val="00950553"/>
    <w:rsid w:val="0095060C"/>
    <w:rsid w:val="009518F5"/>
    <w:rsid w:val="009522CF"/>
    <w:rsid w:val="009530F1"/>
    <w:rsid w:val="009536C4"/>
    <w:rsid w:val="00953711"/>
    <w:rsid w:val="00953CDC"/>
    <w:rsid w:val="00953DE9"/>
    <w:rsid w:val="009545B3"/>
    <w:rsid w:val="009549DF"/>
    <w:rsid w:val="00954D46"/>
    <w:rsid w:val="00954E40"/>
    <w:rsid w:val="009553E7"/>
    <w:rsid w:val="0095558B"/>
    <w:rsid w:val="00955F50"/>
    <w:rsid w:val="00956072"/>
    <w:rsid w:val="009562B4"/>
    <w:rsid w:val="009564A3"/>
    <w:rsid w:val="00956648"/>
    <w:rsid w:val="009566D7"/>
    <w:rsid w:val="009573FC"/>
    <w:rsid w:val="00960D5D"/>
    <w:rsid w:val="00960E50"/>
    <w:rsid w:val="00961470"/>
    <w:rsid w:val="00962F00"/>
    <w:rsid w:val="0096327A"/>
    <w:rsid w:val="00963538"/>
    <w:rsid w:val="00963B9A"/>
    <w:rsid w:val="00964CC3"/>
    <w:rsid w:val="0096544F"/>
    <w:rsid w:val="00965A75"/>
    <w:rsid w:val="00965BC6"/>
    <w:rsid w:val="0096604E"/>
    <w:rsid w:val="00966692"/>
    <w:rsid w:val="00966A1B"/>
    <w:rsid w:val="00966B81"/>
    <w:rsid w:val="00970632"/>
    <w:rsid w:val="00970D87"/>
    <w:rsid w:val="00970F48"/>
    <w:rsid w:val="00971CD9"/>
    <w:rsid w:val="00972184"/>
    <w:rsid w:val="00972696"/>
    <w:rsid w:val="00972987"/>
    <w:rsid w:val="00972C3C"/>
    <w:rsid w:val="0097330C"/>
    <w:rsid w:val="009747C9"/>
    <w:rsid w:val="00974AFF"/>
    <w:rsid w:val="00975021"/>
    <w:rsid w:val="009755CC"/>
    <w:rsid w:val="00976255"/>
    <w:rsid w:val="00976AE6"/>
    <w:rsid w:val="00977830"/>
    <w:rsid w:val="00977DA1"/>
    <w:rsid w:val="009805E2"/>
    <w:rsid w:val="00980634"/>
    <w:rsid w:val="00980742"/>
    <w:rsid w:val="0098095B"/>
    <w:rsid w:val="00980EEF"/>
    <w:rsid w:val="009817EA"/>
    <w:rsid w:val="0098240D"/>
    <w:rsid w:val="00982BCC"/>
    <w:rsid w:val="00982F17"/>
    <w:rsid w:val="00983A6F"/>
    <w:rsid w:val="0098435C"/>
    <w:rsid w:val="009856A4"/>
    <w:rsid w:val="00985C2C"/>
    <w:rsid w:val="009879E7"/>
    <w:rsid w:val="00987AAE"/>
    <w:rsid w:val="00987DDD"/>
    <w:rsid w:val="00991183"/>
    <w:rsid w:val="009911B9"/>
    <w:rsid w:val="00991353"/>
    <w:rsid w:val="00991B0A"/>
    <w:rsid w:val="00994A42"/>
    <w:rsid w:val="00994DF9"/>
    <w:rsid w:val="009957C3"/>
    <w:rsid w:val="00996BAB"/>
    <w:rsid w:val="00997C70"/>
    <w:rsid w:val="00997FCB"/>
    <w:rsid w:val="009A0FD2"/>
    <w:rsid w:val="009A1014"/>
    <w:rsid w:val="009A10A9"/>
    <w:rsid w:val="009A1298"/>
    <w:rsid w:val="009A1BB4"/>
    <w:rsid w:val="009A2246"/>
    <w:rsid w:val="009A2A8C"/>
    <w:rsid w:val="009A2EBE"/>
    <w:rsid w:val="009A2EE1"/>
    <w:rsid w:val="009A37DC"/>
    <w:rsid w:val="009A3E48"/>
    <w:rsid w:val="009A4D90"/>
    <w:rsid w:val="009A5DBD"/>
    <w:rsid w:val="009A5F65"/>
    <w:rsid w:val="009A6468"/>
    <w:rsid w:val="009A64E0"/>
    <w:rsid w:val="009A73A5"/>
    <w:rsid w:val="009A73D6"/>
    <w:rsid w:val="009A7A25"/>
    <w:rsid w:val="009B02EC"/>
    <w:rsid w:val="009B0991"/>
    <w:rsid w:val="009B3396"/>
    <w:rsid w:val="009B53DD"/>
    <w:rsid w:val="009B5791"/>
    <w:rsid w:val="009B5F04"/>
    <w:rsid w:val="009B6C13"/>
    <w:rsid w:val="009B7336"/>
    <w:rsid w:val="009C05E8"/>
    <w:rsid w:val="009C0BD3"/>
    <w:rsid w:val="009C131B"/>
    <w:rsid w:val="009C193F"/>
    <w:rsid w:val="009C2386"/>
    <w:rsid w:val="009C29A3"/>
    <w:rsid w:val="009C30B1"/>
    <w:rsid w:val="009C396B"/>
    <w:rsid w:val="009C4357"/>
    <w:rsid w:val="009C4455"/>
    <w:rsid w:val="009C48AC"/>
    <w:rsid w:val="009C50C5"/>
    <w:rsid w:val="009C5313"/>
    <w:rsid w:val="009C703C"/>
    <w:rsid w:val="009C7479"/>
    <w:rsid w:val="009D0F5E"/>
    <w:rsid w:val="009D28C1"/>
    <w:rsid w:val="009D2BC0"/>
    <w:rsid w:val="009D3677"/>
    <w:rsid w:val="009D3746"/>
    <w:rsid w:val="009D3F45"/>
    <w:rsid w:val="009D4384"/>
    <w:rsid w:val="009D4789"/>
    <w:rsid w:val="009D75FA"/>
    <w:rsid w:val="009D7988"/>
    <w:rsid w:val="009D7A39"/>
    <w:rsid w:val="009E0546"/>
    <w:rsid w:val="009E06D6"/>
    <w:rsid w:val="009E0907"/>
    <w:rsid w:val="009E0BE7"/>
    <w:rsid w:val="009E0F94"/>
    <w:rsid w:val="009E105F"/>
    <w:rsid w:val="009E2221"/>
    <w:rsid w:val="009E290E"/>
    <w:rsid w:val="009E31F3"/>
    <w:rsid w:val="009E3341"/>
    <w:rsid w:val="009E3561"/>
    <w:rsid w:val="009E43BC"/>
    <w:rsid w:val="009E5D76"/>
    <w:rsid w:val="009E6328"/>
    <w:rsid w:val="009E6370"/>
    <w:rsid w:val="009E7111"/>
    <w:rsid w:val="009E7A10"/>
    <w:rsid w:val="009F0D0E"/>
    <w:rsid w:val="009F2721"/>
    <w:rsid w:val="009F2763"/>
    <w:rsid w:val="009F48EF"/>
    <w:rsid w:val="009F50FC"/>
    <w:rsid w:val="009F572D"/>
    <w:rsid w:val="009F6A07"/>
    <w:rsid w:val="009F6EB6"/>
    <w:rsid w:val="009F6F4B"/>
    <w:rsid w:val="009F78EA"/>
    <w:rsid w:val="009F7DC5"/>
    <w:rsid w:val="00A019CD"/>
    <w:rsid w:val="00A030DD"/>
    <w:rsid w:val="00A038C7"/>
    <w:rsid w:val="00A03964"/>
    <w:rsid w:val="00A03D26"/>
    <w:rsid w:val="00A04460"/>
    <w:rsid w:val="00A05524"/>
    <w:rsid w:val="00A057BF"/>
    <w:rsid w:val="00A05BD5"/>
    <w:rsid w:val="00A067A9"/>
    <w:rsid w:val="00A06D1E"/>
    <w:rsid w:val="00A07665"/>
    <w:rsid w:val="00A10575"/>
    <w:rsid w:val="00A105B2"/>
    <w:rsid w:val="00A10F6D"/>
    <w:rsid w:val="00A11809"/>
    <w:rsid w:val="00A11C6F"/>
    <w:rsid w:val="00A13056"/>
    <w:rsid w:val="00A13777"/>
    <w:rsid w:val="00A1461D"/>
    <w:rsid w:val="00A14D8A"/>
    <w:rsid w:val="00A16B17"/>
    <w:rsid w:val="00A17787"/>
    <w:rsid w:val="00A206AE"/>
    <w:rsid w:val="00A219F3"/>
    <w:rsid w:val="00A21AFD"/>
    <w:rsid w:val="00A22622"/>
    <w:rsid w:val="00A22B67"/>
    <w:rsid w:val="00A2328F"/>
    <w:rsid w:val="00A23B67"/>
    <w:rsid w:val="00A2456C"/>
    <w:rsid w:val="00A247A0"/>
    <w:rsid w:val="00A247FB"/>
    <w:rsid w:val="00A24FC5"/>
    <w:rsid w:val="00A2506F"/>
    <w:rsid w:val="00A25DD2"/>
    <w:rsid w:val="00A25E10"/>
    <w:rsid w:val="00A25E12"/>
    <w:rsid w:val="00A260D2"/>
    <w:rsid w:val="00A26C07"/>
    <w:rsid w:val="00A26DE4"/>
    <w:rsid w:val="00A2741C"/>
    <w:rsid w:val="00A32329"/>
    <w:rsid w:val="00A3245E"/>
    <w:rsid w:val="00A32EA1"/>
    <w:rsid w:val="00A33330"/>
    <w:rsid w:val="00A33A21"/>
    <w:rsid w:val="00A345D8"/>
    <w:rsid w:val="00A36098"/>
    <w:rsid w:val="00A36DBB"/>
    <w:rsid w:val="00A376EC"/>
    <w:rsid w:val="00A3797F"/>
    <w:rsid w:val="00A40215"/>
    <w:rsid w:val="00A4061E"/>
    <w:rsid w:val="00A40626"/>
    <w:rsid w:val="00A42369"/>
    <w:rsid w:val="00A4320C"/>
    <w:rsid w:val="00A433A6"/>
    <w:rsid w:val="00A44FC7"/>
    <w:rsid w:val="00A466D5"/>
    <w:rsid w:val="00A468A2"/>
    <w:rsid w:val="00A46C9E"/>
    <w:rsid w:val="00A474A2"/>
    <w:rsid w:val="00A47BBC"/>
    <w:rsid w:val="00A50995"/>
    <w:rsid w:val="00A518E5"/>
    <w:rsid w:val="00A5207E"/>
    <w:rsid w:val="00A52279"/>
    <w:rsid w:val="00A525A8"/>
    <w:rsid w:val="00A5329D"/>
    <w:rsid w:val="00A53D93"/>
    <w:rsid w:val="00A5502E"/>
    <w:rsid w:val="00A55B68"/>
    <w:rsid w:val="00A55C60"/>
    <w:rsid w:val="00A561B2"/>
    <w:rsid w:val="00A569A4"/>
    <w:rsid w:val="00A57C7B"/>
    <w:rsid w:val="00A57F96"/>
    <w:rsid w:val="00A60028"/>
    <w:rsid w:val="00A60041"/>
    <w:rsid w:val="00A60719"/>
    <w:rsid w:val="00A6075C"/>
    <w:rsid w:val="00A60B5A"/>
    <w:rsid w:val="00A60F8C"/>
    <w:rsid w:val="00A613A7"/>
    <w:rsid w:val="00A61423"/>
    <w:rsid w:val="00A61BCB"/>
    <w:rsid w:val="00A6290F"/>
    <w:rsid w:val="00A6327A"/>
    <w:rsid w:val="00A636C5"/>
    <w:rsid w:val="00A638E2"/>
    <w:rsid w:val="00A63B07"/>
    <w:rsid w:val="00A6471F"/>
    <w:rsid w:val="00A66241"/>
    <w:rsid w:val="00A664C8"/>
    <w:rsid w:val="00A668BA"/>
    <w:rsid w:val="00A66D65"/>
    <w:rsid w:val="00A66FF9"/>
    <w:rsid w:val="00A67446"/>
    <w:rsid w:val="00A675FC"/>
    <w:rsid w:val="00A67DA4"/>
    <w:rsid w:val="00A71324"/>
    <w:rsid w:val="00A71A2C"/>
    <w:rsid w:val="00A73143"/>
    <w:rsid w:val="00A736B6"/>
    <w:rsid w:val="00A73904"/>
    <w:rsid w:val="00A74342"/>
    <w:rsid w:val="00A7454F"/>
    <w:rsid w:val="00A74C34"/>
    <w:rsid w:val="00A75846"/>
    <w:rsid w:val="00A75DA8"/>
    <w:rsid w:val="00A76E07"/>
    <w:rsid w:val="00A7789D"/>
    <w:rsid w:val="00A77A4F"/>
    <w:rsid w:val="00A80923"/>
    <w:rsid w:val="00A81AB9"/>
    <w:rsid w:val="00A81E6F"/>
    <w:rsid w:val="00A8203A"/>
    <w:rsid w:val="00A8248D"/>
    <w:rsid w:val="00A8300E"/>
    <w:rsid w:val="00A838F1"/>
    <w:rsid w:val="00A841AF"/>
    <w:rsid w:val="00A841CA"/>
    <w:rsid w:val="00A84221"/>
    <w:rsid w:val="00A84572"/>
    <w:rsid w:val="00A848B5"/>
    <w:rsid w:val="00A84CD9"/>
    <w:rsid w:val="00A852A4"/>
    <w:rsid w:val="00A85542"/>
    <w:rsid w:val="00A85A29"/>
    <w:rsid w:val="00A86B39"/>
    <w:rsid w:val="00A86C7B"/>
    <w:rsid w:val="00A87615"/>
    <w:rsid w:val="00A87B96"/>
    <w:rsid w:val="00A902DD"/>
    <w:rsid w:val="00A914DF"/>
    <w:rsid w:val="00A917F5"/>
    <w:rsid w:val="00A92B45"/>
    <w:rsid w:val="00A9494A"/>
    <w:rsid w:val="00A94D66"/>
    <w:rsid w:val="00A94F74"/>
    <w:rsid w:val="00A950B3"/>
    <w:rsid w:val="00A957C2"/>
    <w:rsid w:val="00A95864"/>
    <w:rsid w:val="00A95C77"/>
    <w:rsid w:val="00A95CF2"/>
    <w:rsid w:val="00A95F68"/>
    <w:rsid w:val="00A96FD3"/>
    <w:rsid w:val="00A97AF9"/>
    <w:rsid w:val="00AA02ED"/>
    <w:rsid w:val="00AA053C"/>
    <w:rsid w:val="00AA0A2D"/>
    <w:rsid w:val="00AA0B01"/>
    <w:rsid w:val="00AA1361"/>
    <w:rsid w:val="00AA1B10"/>
    <w:rsid w:val="00AA1DED"/>
    <w:rsid w:val="00AA2336"/>
    <w:rsid w:val="00AA2940"/>
    <w:rsid w:val="00AA296B"/>
    <w:rsid w:val="00AA3000"/>
    <w:rsid w:val="00AA4790"/>
    <w:rsid w:val="00AA6C74"/>
    <w:rsid w:val="00AA7535"/>
    <w:rsid w:val="00AA7719"/>
    <w:rsid w:val="00AB0069"/>
    <w:rsid w:val="00AB0506"/>
    <w:rsid w:val="00AB1405"/>
    <w:rsid w:val="00AB14C4"/>
    <w:rsid w:val="00AB174F"/>
    <w:rsid w:val="00AB1FDB"/>
    <w:rsid w:val="00AB2933"/>
    <w:rsid w:val="00AB31E3"/>
    <w:rsid w:val="00AB3B91"/>
    <w:rsid w:val="00AB3BFA"/>
    <w:rsid w:val="00AB3CEE"/>
    <w:rsid w:val="00AB45D7"/>
    <w:rsid w:val="00AB5203"/>
    <w:rsid w:val="00AB580A"/>
    <w:rsid w:val="00AB6817"/>
    <w:rsid w:val="00AB69BE"/>
    <w:rsid w:val="00AB796A"/>
    <w:rsid w:val="00AB7A7C"/>
    <w:rsid w:val="00AB7CEB"/>
    <w:rsid w:val="00AC1763"/>
    <w:rsid w:val="00AC245B"/>
    <w:rsid w:val="00AC2F9C"/>
    <w:rsid w:val="00AC4521"/>
    <w:rsid w:val="00AC503C"/>
    <w:rsid w:val="00AC56F3"/>
    <w:rsid w:val="00AC59AE"/>
    <w:rsid w:val="00AC6A11"/>
    <w:rsid w:val="00AC75EF"/>
    <w:rsid w:val="00AD08CE"/>
    <w:rsid w:val="00AD0B70"/>
    <w:rsid w:val="00AD1445"/>
    <w:rsid w:val="00AD1B0D"/>
    <w:rsid w:val="00AD1C85"/>
    <w:rsid w:val="00AD1E63"/>
    <w:rsid w:val="00AD1EC5"/>
    <w:rsid w:val="00AD233E"/>
    <w:rsid w:val="00AD30D0"/>
    <w:rsid w:val="00AD30DB"/>
    <w:rsid w:val="00AD3626"/>
    <w:rsid w:val="00AD3CE9"/>
    <w:rsid w:val="00AD5D88"/>
    <w:rsid w:val="00AD65CD"/>
    <w:rsid w:val="00AD667F"/>
    <w:rsid w:val="00AD684B"/>
    <w:rsid w:val="00AD688A"/>
    <w:rsid w:val="00AD7334"/>
    <w:rsid w:val="00AE0819"/>
    <w:rsid w:val="00AE0B22"/>
    <w:rsid w:val="00AE0DE7"/>
    <w:rsid w:val="00AE1349"/>
    <w:rsid w:val="00AE197F"/>
    <w:rsid w:val="00AE2DE8"/>
    <w:rsid w:val="00AE2E2D"/>
    <w:rsid w:val="00AE3E8A"/>
    <w:rsid w:val="00AE4500"/>
    <w:rsid w:val="00AE5C7D"/>
    <w:rsid w:val="00AE62DA"/>
    <w:rsid w:val="00AE6D99"/>
    <w:rsid w:val="00AF0271"/>
    <w:rsid w:val="00AF0F08"/>
    <w:rsid w:val="00AF191B"/>
    <w:rsid w:val="00AF223E"/>
    <w:rsid w:val="00AF2F3C"/>
    <w:rsid w:val="00AF3702"/>
    <w:rsid w:val="00AF3D7E"/>
    <w:rsid w:val="00AF3E0D"/>
    <w:rsid w:val="00AF4073"/>
    <w:rsid w:val="00AF4E9F"/>
    <w:rsid w:val="00AF516F"/>
    <w:rsid w:val="00AF51EF"/>
    <w:rsid w:val="00AF59EC"/>
    <w:rsid w:val="00AF59F0"/>
    <w:rsid w:val="00AF602A"/>
    <w:rsid w:val="00AF62B5"/>
    <w:rsid w:val="00AF6B5D"/>
    <w:rsid w:val="00AF7522"/>
    <w:rsid w:val="00AF7BF6"/>
    <w:rsid w:val="00B00001"/>
    <w:rsid w:val="00B00035"/>
    <w:rsid w:val="00B001C0"/>
    <w:rsid w:val="00B00665"/>
    <w:rsid w:val="00B007A6"/>
    <w:rsid w:val="00B0095D"/>
    <w:rsid w:val="00B009BA"/>
    <w:rsid w:val="00B0100F"/>
    <w:rsid w:val="00B01486"/>
    <w:rsid w:val="00B01F9E"/>
    <w:rsid w:val="00B02545"/>
    <w:rsid w:val="00B03376"/>
    <w:rsid w:val="00B033FA"/>
    <w:rsid w:val="00B03A37"/>
    <w:rsid w:val="00B04997"/>
    <w:rsid w:val="00B04D47"/>
    <w:rsid w:val="00B05A58"/>
    <w:rsid w:val="00B063BB"/>
    <w:rsid w:val="00B0640F"/>
    <w:rsid w:val="00B07130"/>
    <w:rsid w:val="00B07E0C"/>
    <w:rsid w:val="00B10227"/>
    <w:rsid w:val="00B10481"/>
    <w:rsid w:val="00B10B1F"/>
    <w:rsid w:val="00B10F44"/>
    <w:rsid w:val="00B110DE"/>
    <w:rsid w:val="00B119A5"/>
    <w:rsid w:val="00B119C5"/>
    <w:rsid w:val="00B11BB6"/>
    <w:rsid w:val="00B11D30"/>
    <w:rsid w:val="00B11EF5"/>
    <w:rsid w:val="00B12030"/>
    <w:rsid w:val="00B12685"/>
    <w:rsid w:val="00B12FBE"/>
    <w:rsid w:val="00B15305"/>
    <w:rsid w:val="00B15E87"/>
    <w:rsid w:val="00B16E6F"/>
    <w:rsid w:val="00B16FA8"/>
    <w:rsid w:val="00B17C02"/>
    <w:rsid w:val="00B20953"/>
    <w:rsid w:val="00B20EE6"/>
    <w:rsid w:val="00B21E0D"/>
    <w:rsid w:val="00B23B41"/>
    <w:rsid w:val="00B247F8"/>
    <w:rsid w:val="00B2520C"/>
    <w:rsid w:val="00B26081"/>
    <w:rsid w:val="00B2753D"/>
    <w:rsid w:val="00B27BBD"/>
    <w:rsid w:val="00B30385"/>
    <w:rsid w:val="00B31044"/>
    <w:rsid w:val="00B31B7F"/>
    <w:rsid w:val="00B3313D"/>
    <w:rsid w:val="00B339F6"/>
    <w:rsid w:val="00B34D5E"/>
    <w:rsid w:val="00B34EB9"/>
    <w:rsid w:val="00B35232"/>
    <w:rsid w:val="00B36E03"/>
    <w:rsid w:val="00B37898"/>
    <w:rsid w:val="00B404D1"/>
    <w:rsid w:val="00B406A4"/>
    <w:rsid w:val="00B406B3"/>
    <w:rsid w:val="00B4186A"/>
    <w:rsid w:val="00B41A45"/>
    <w:rsid w:val="00B427D3"/>
    <w:rsid w:val="00B42D1F"/>
    <w:rsid w:val="00B42D9E"/>
    <w:rsid w:val="00B43436"/>
    <w:rsid w:val="00B43BF4"/>
    <w:rsid w:val="00B43FB9"/>
    <w:rsid w:val="00B443E5"/>
    <w:rsid w:val="00B4472E"/>
    <w:rsid w:val="00B44876"/>
    <w:rsid w:val="00B45986"/>
    <w:rsid w:val="00B459B9"/>
    <w:rsid w:val="00B465BB"/>
    <w:rsid w:val="00B4728B"/>
    <w:rsid w:val="00B47773"/>
    <w:rsid w:val="00B50082"/>
    <w:rsid w:val="00B508AC"/>
    <w:rsid w:val="00B518C6"/>
    <w:rsid w:val="00B5340F"/>
    <w:rsid w:val="00B54823"/>
    <w:rsid w:val="00B54827"/>
    <w:rsid w:val="00B55597"/>
    <w:rsid w:val="00B55F79"/>
    <w:rsid w:val="00B564FD"/>
    <w:rsid w:val="00B56890"/>
    <w:rsid w:val="00B56954"/>
    <w:rsid w:val="00B57419"/>
    <w:rsid w:val="00B5768B"/>
    <w:rsid w:val="00B61584"/>
    <w:rsid w:val="00B620B9"/>
    <w:rsid w:val="00B62124"/>
    <w:rsid w:val="00B62683"/>
    <w:rsid w:val="00B62D26"/>
    <w:rsid w:val="00B630DD"/>
    <w:rsid w:val="00B63CFD"/>
    <w:rsid w:val="00B6482B"/>
    <w:rsid w:val="00B658A2"/>
    <w:rsid w:val="00B65CBA"/>
    <w:rsid w:val="00B65EFF"/>
    <w:rsid w:val="00B660A9"/>
    <w:rsid w:val="00B663C4"/>
    <w:rsid w:val="00B66675"/>
    <w:rsid w:val="00B666F8"/>
    <w:rsid w:val="00B66E1C"/>
    <w:rsid w:val="00B6721F"/>
    <w:rsid w:val="00B70308"/>
    <w:rsid w:val="00B70544"/>
    <w:rsid w:val="00B705B7"/>
    <w:rsid w:val="00B71CDB"/>
    <w:rsid w:val="00B725F3"/>
    <w:rsid w:val="00B728BD"/>
    <w:rsid w:val="00B73200"/>
    <w:rsid w:val="00B73C56"/>
    <w:rsid w:val="00B73FB3"/>
    <w:rsid w:val="00B74EBE"/>
    <w:rsid w:val="00B75268"/>
    <w:rsid w:val="00B754CB"/>
    <w:rsid w:val="00B75E77"/>
    <w:rsid w:val="00B7617E"/>
    <w:rsid w:val="00B7622A"/>
    <w:rsid w:val="00B7641B"/>
    <w:rsid w:val="00B77891"/>
    <w:rsid w:val="00B803BF"/>
    <w:rsid w:val="00B80CF6"/>
    <w:rsid w:val="00B80DAC"/>
    <w:rsid w:val="00B810C7"/>
    <w:rsid w:val="00B81721"/>
    <w:rsid w:val="00B818CD"/>
    <w:rsid w:val="00B81A8D"/>
    <w:rsid w:val="00B82841"/>
    <w:rsid w:val="00B85203"/>
    <w:rsid w:val="00B85F09"/>
    <w:rsid w:val="00B86062"/>
    <w:rsid w:val="00B87B9A"/>
    <w:rsid w:val="00B90482"/>
    <w:rsid w:val="00B906BF"/>
    <w:rsid w:val="00B90D46"/>
    <w:rsid w:val="00B91EBB"/>
    <w:rsid w:val="00B92915"/>
    <w:rsid w:val="00B92A35"/>
    <w:rsid w:val="00B92C80"/>
    <w:rsid w:val="00B932E9"/>
    <w:rsid w:val="00B93C84"/>
    <w:rsid w:val="00B95173"/>
    <w:rsid w:val="00B956DF"/>
    <w:rsid w:val="00B959D6"/>
    <w:rsid w:val="00B95F5C"/>
    <w:rsid w:val="00B964AC"/>
    <w:rsid w:val="00B97189"/>
    <w:rsid w:val="00BA0732"/>
    <w:rsid w:val="00BA0EAD"/>
    <w:rsid w:val="00BA0F20"/>
    <w:rsid w:val="00BA132C"/>
    <w:rsid w:val="00BA13EC"/>
    <w:rsid w:val="00BA1564"/>
    <w:rsid w:val="00BA2F08"/>
    <w:rsid w:val="00BA327C"/>
    <w:rsid w:val="00BA5007"/>
    <w:rsid w:val="00BA5468"/>
    <w:rsid w:val="00BA791E"/>
    <w:rsid w:val="00BB1D72"/>
    <w:rsid w:val="00BB27C8"/>
    <w:rsid w:val="00BB38CE"/>
    <w:rsid w:val="00BB406D"/>
    <w:rsid w:val="00BB46FC"/>
    <w:rsid w:val="00BB47F2"/>
    <w:rsid w:val="00BB591A"/>
    <w:rsid w:val="00BB5A75"/>
    <w:rsid w:val="00BB68E4"/>
    <w:rsid w:val="00BB7300"/>
    <w:rsid w:val="00BB7E42"/>
    <w:rsid w:val="00BC0076"/>
    <w:rsid w:val="00BC0B5D"/>
    <w:rsid w:val="00BC2545"/>
    <w:rsid w:val="00BC3D54"/>
    <w:rsid w:val="00BC3F66"/>
    <w:rsid w:val="00BC4147"/>
    <w:rsid w:val="00BC4508"/>
    <w:rsid w:val="00BC4972"/>
    <w:rsid w:val="00BC4B9D"/>
    <w:rsid w:val="00BC5EE1"/>
    <w:rsid w:val="00BC61CA"/>
    <w:rsid w:val="00BC6920"/>
    <w:rsid w:val="00BC748B"/>
    <w:rsid w:val="00BC78EA"/>
    <w:rsid w:val="00BC7A3C"/>
    <w:rsid w:val="00BD06CF"/>
    <w:rsid w:val="00BD0B86"/>
    <w:rsid w:val="00BD0F64"/>
    <w:rsid w:val="00BD1078"/>
    <w:rsid w:val="00BD1125"/>
    <w:rsid w:val="00BD1425"/>
    <w:rsid w:val="00BD1665"/>
    <w:rsid w:val="00BD3309"/>
    <w:rsid w:val="00BD392A"/>
    <w:rsid w:val="00BD4095"/>
    <w:rsid w:val="00BD4D52"/>
    <w:rsid w:val="00BD4FCA"/>
    <w:rsid w:val="00BD5355"/>
    <w:rsid w:val="00BD565A"/>
    <w:rsid w:val="00BD692D"/>
    <w:rsid w:val="00BD6E02"/>
    <w:rsid w:val="00BD782D"/>
    <w:rsid w:val="00BD7BAD"/>
    <w:rsid w:val="00BE00EC"/>
    <w:rsid w:val="00BE020C"/>
    <w:rsid w:val="00BE1632"/>
    <w:rsid w:val="00BE21D8"/>
    <w:rsid w:val="00BE2559"/>
    <w:rsid w:val="00BE2D49"/>
    <w:rsid w:val="00BE3B44"/>
    <w:rsid w:val="00BE4247"/>
    <w:rsid w:val="00BE4255"/>
    <w:rsid w:val="00BE48A7"/>
    <w:rsid w:val="00BE53A8"/>
    <w:rsid w:val="00BE55A4"/>
    <w:rsid w:val="00BE5B8D"/>
    <w:rsid w:val="00BE6584"/>
    <w:rsid w:val="00BE6A3E"/>
    <w:rsid w:val="00BF08D9"/>
    <w:rsid w:val="00BF0D04"/>
    <w:rsid w:val="00BF0DCE"/>
    <w:rsid w:val="00BF10A7"/>
    <w:rsid w:val="00BF1BB5"/>
    <w:rsid w:val="00BF29D9"/>
    <w:rsid w:val="00BF354C"/>
    <w:rsid w:val="00BF374D"/>
    <w:rsid w:val="00BF4051"/>
    <w:rsid w:val="00BF4AA7"/>
    <w:rsid w:val="00BF4B53"/>
    <w:rsid w:val="00BF59A5"/>
    <w:rsid w:val="00BF671C"/>
    <w:rsid w:val="00BF68DD"/>
    <w:rsid w:val="00BF6AF0"/>
    <w:rsid w:val="00BF7BF0"/>
    <w:rsid w:val="00C00F76"/>
    <w:rsid w:val="00C01512"/>
    <w:rsid w:val="00C02302"/>
    <w:rsid w:val="00C02919"/>
    <w:rsid w:val="00C03A92"/>
    <w:rsid w:val="00C03E80"/>
    <w:rsid w:val="00C049D8"/>
    <w:rsid w:val="00C04B58"/>
    <w:rsid w:val="00C0519E"/>
    <w:rsid w:val="00C05F35"/>
    <w:rsid w:val="00C062E6"/>
    <w:rsid w:val="00C073EF"/>
    <w:rsid w:val="00C0790A"/>
    <w:rsid w:val="00C10498"/>
    <w:rsid w:val="00C10A06"/>
    <w:rsid w:val="00C1131C"/>
    <w:rsid w:val="00C11609"/>
    <w:rsid w:val="00C11E63"/>
    <w:rsid w:val="00C123F1"/>
    <w:rsid w:val="00C134D7"/>
    <w:rsid w:val="00C136CE"/>
    <w:rsid w:val="00C155DE"/>
    <w:rsid w:val="00C15EF0"/>
    <w:rsid w:val="00C16993"/>
    <w:rsid w:val="00C1751E"/>
    <w:rsid w:val="00C17736"/>
    <w:rsid w:val="00C20812"/>
    <w:rsid w:val="00C2164E"/>
    <w:rsid w:val="00C21A50"/>
    <w:rsid w:val="00C2231F"/>
    <w:rsid w:val="00C2465A"/>
    <w:rsid w:val="00C247B5"/>
    <w:rsid w:val="00C25561"/>
    <w:rsid w:val="00C2586D"/>
    <w:rsid w:val="00C26434"/>
    <w:rsid w:val="00C26BB3"/>
    <w:rsid w:val="00C30DDE"/>
    <w:rsid w:val="00C316D9"/>
    <w:rsid w:val="00C3187A"/>
    <w:rsid w:val="00C32165"/>
    <w:rsid w:val="00C32725"/>
    <w:rsid w:val="00C33C49"/>
    <w:rsid w:val="00C33E39"/>
    <w:rsid w:val="00C35641"/>
    <w:rsid w:val="00C35803"/>
    <w:rsid w:val="00C36862"/>
    <w:rsid w:val="00C3755E"/>
    <w:rsid w:val="00C37722"/>
    <w:rsid w:val="00C37DD5"/>
    <w:rsid w:val="00C37FC6"/>
    <w:rsid w:val="00C4021B"/>
    <w:rsid w:val="00C40E9D"/>
    <w:rsid w:val="00C4182A"/>
    <w:rsid w:val="00C41836"/>
    <w:rsid w:val="00C41B2D"/>
    <w:rsid w:val="00C41F16"/>
    <w:rsid w:val="00C42B9F"/>
    <w:rsid w:val="00C43402"/>
    <w:rsid w:val="00C43569"/>
    <w:rsid w:val="00C43878"/>
    <w:rsid w:val="00C4426E"/>
    <w:rsid w:val="00C449D7"/>
    <w:rsid w:val="00C44CC1"/>
    <w:rsid w:val="00C454D7"/>
    <w:rsid w:val="00C459BB"/>
    <w:rsid w:val="00C467AB"/>
    <w:rsid w:val="00C473C2"/>
    <w:rsid w:val="00C47864"/>
    <w:rsid w:val="00C47E2A"/>
    <w:rsid w:val="00C47EEC"/>
    <w:rsid w:val="00C50CC5"/>
    <w:rsid w:val="00C516D6"/>
    <w:rsid w:val="00C51755"/>
    <w:rsid w:val="00C52695"/>
    <w:rsid w:val="00C52C24"/>
    <w:rsid w:val="00C556A7"/>
    <w:rsid w:val="00C55F5D"/>
    <w:rsid w:val="00C56169"/>
    <w:rsid w:val="00C5637E"/>
    <w:rsid w:val="00C5670E"/>
    <w:rsid w:val="00C577EF"/>
    <w:rsid w:val="00C6080A"/>
    <w:rsid w:val="00C609AB"/>
    <w:rsid w:val="00C6125A"/>
    <w:rsid w:val="00C61304"/>
    <w:rsid w:val="00C61A2D"/>
    <w:rsid w:val="00C6227B"/>
    <w:rsid w:val="00C6246A"/>
    <w:rsid w:val="00C62993"/>
    <w:rsid w:val="00C6304B"/>
    <w:rsid w:val="00C633B9"/>
    <w:rsid w:val="00C63691"/>
    <w:rsid w:val="00C647B8"/>
    <w:rsid w:val="00C64F61"/>
    <w:rsid w:val="00C65336"/>
    <w:rsid w:val="00C65E1C"/>
    <w:rsid w:val="00C65EC8"/>
    <w:rsid w:val="00C65F85"/>
    <w:rsid w:val="00C664D2"/>
    <w:rsid w:val="00C66FC6"/>
    <w:rsid w:val="00C67BB3"/>
    <w:rsid w:val="00C7016A"/>
    <w:rsid w:val="00C7171D"/>
    <w:rsid w:val="00C71859"/>
    <w:rsid w:val="00C73793"/>
    <w:rsid w:val="00C73912"/>
    <w:rsid w:val="00C746E3"/>
    <w:rsid w:val="00C74EA7"/>
    <w:rsid w:val="00C75A5D"/>
    <w:rsid w:val="00C765DF"/>
    <w:rsid w:val="00C77943"/>
    <w:rsid w:val="00C803E3"/>
    <w:rsid w:val="00C80E3D"/>
    <w:rsid w:val="00C81BA3"/>
    <w:rsid w:val="00C81EC9"/>
    <w:rsid w:val="00C8243B"/>
    <w:rsid w:val="00C82D6A"/>
    <w:rsid w:val="00C83349"/>
    <w:rsid w:val="00C83F7C"/>
    <w:rsid w:val="00C84BF0"/>
    <w:rsid w:val="00C84E64"/>
    <w:rsid w:val="00C851A5"/>
    <w:rsid w:val="00C864A3"/>
    <w:rsid w:val="00C86850"/>
    <w:rsid w:val="00C8686E"/>
    <w:rsid w:val="00C87508"/>
    <w:rsid w:val="00C90344"/>
    <w:rsid w:val="00C905EB"/>
    <w:rsid w:val="00C90804"/>
    <w:rsid w:val="00C90B3B"/>
    <w:rsid w:val="00C910EE"/>
    <w:rsid w:val="00C91AF3"/>
    <w:rsid w:val="00C92949"/>
    <w:rsid w:val="00C9313F"/>
    <w:rsid w:val="00C934D4"/>
    <w:rsid w:val="00C9376B"/>
    <w:rsid w:val="00C93EA1"/>
    <w:rsid w:val="00C96027"/>
    <w:rsid w:val="00C96149"/>
    <w:rsid w:val="00C96789"/>
    <w:rsid w:val="00C973E5"/>
    <w:rsid w:val="00C97DA1"/>
    <w:rsid w:val="00C97FF8"/>
    <w:rsid w:val="00CA04B5"/>
    <w:rsid w:val="00CA04F0"/>
    <w:rsid w:val="00CA0F9E"/>
    <w:rsid w:val="00CA1528"/>
    <w:rsid w:val="00CA306A"/>
    <w:rsid w:val="00CA37BA"/>
    <w:rsid w:val="00CA3ED9"/>
    <w:rsid w:val="00CA54F3"/>
    <w:rsid w:val="00CA6363"/>
    <w:rsid w:val="00CA6FCD"/>
    <w:rsid w:val="00CA70F9"/>
    <w:rsid w:val="00CB1200"/>
    <w:rsid w:val="00CB196C"/>
    <w:rsid w:val="00CB2257"/>
    <w:rsid w:val="00CB2771"/>
    <w:rsid w:val="00CB27FA"/>
    <w:rsid w:val="00CB28D8"/>
    <w:rsid w:val="00CB32B2"/>
    <w:rsid w:val="00CB3B27"/>
    <w:rsid w:val="00CB414D"/>
    <w:rsid w:val="00CB4C92"/>
    <w:rsid w:val="00CB60F7"/>
    <w:rsid w:val="00CB62CB"/>
    <w:rsid w:val="00CB656C"/>
    <w:rsid w:val="00CB6AD4"/>
    <w:rsid w:val="00CB6CA6"/>
    <w:rsid w:val="00CB6E76"/>
    <w:rsid w:val="00CB728E"/>
    <w:rsid w:val="00CB7AC7"/>
    <w:rsid w:val="00CB7DA2"/>
    <w:rsid w:val="00CB7E4D"/>
    <w:rsid w:val="00CC0A1A"/>
    <w:rsid w:val="00CC0C02"/>
    <w:rsid w:val="00CC1C34"/>
    <w:rsid w:val="00CC2D46"/>
    <w:rsid w:val="00CC2F12"/>
    <w:rsid w:val="00CC3EB0"/>
    <w:rsid w:val="00CC43C6"/>
    <w:rsid w:val="00CC454C"/>
    <w:rsid w:val="00CC6802"/>
    <w:rsid w:val="00CC6B18"/>
    <w:rsid w:val="00CC6BFE"/>
    <w:rsid w:val="00CC7041"/>
    <w:rsid w:val="00CC7833"/>
    <w:rsid w:val="00CD0020"/>
    <w:rsid w:val="00CD0282"/>
    <w:rsid w:val="00CD0AB0"/>
    <w:rsid w:val="00CD0BA6"/>
    <w:rsid w:val="00CD11A6"/>
    <w:rsid w:val="00CD19D0"/>
    <w:rsid w:val="00CD2E0B"/>
    <w:rsid w:val="00CD3951"/>
    <w:rsid w:val="00CD5CA1"/>
    <w:rsid w:val="00CD6C4F"/>
    <w:rsid w:val="00CE028E"/>
    <w:rsid w:val="00CE0339"/>
    <w:rsid w:val="00CE118A"/>
    <w:rsid w:val="00CE1CEB"/>
    <w:rsid w:val="00CE2DF5"/>
    <w:rsid w:val="00CE3232"/>
    <w:rsid w:val="00CE3A83"/>
    <w:rsid w:val="00CE3C77"/>
    <w:rsid w:val="00CE5211"/>
    <w:rsid w:val="00CE7502"/>
    <w:rsid w:val="00CE7CC0"/>
    <w:rsid w:val="00CE7E5A"/>
    <w:rsid w:val="00CF07A6"/>
    <w:rsid w:val="00CF095E"/>
    <w:rsid w:val="00CF0DB0"/>
    <w:rsid w:val="00CF132A"/>
    <w:rsid w:val="00CF1988"/>
    <w:rsid w:val="00CF1D05"/>
    <w:rsid w:val="00CF1D35"/>
    <w:rsid w:val="00CF2280"/>
    <w:rsid w:val="00CF40B8"/>
    <w:rsid w:val="00CF413C"/>
    <w:rsid w:val="00CF4378"/>
    <w:rsid w:val="00CF4870"/>
    <w:rsid w:val="00CF49C6"/>
    <w:rsid w:val="00CF61CF"/>
    <w:rsid w:val="00CF6CF8"/>
    <w:rsid w:val="00D001B1"/>
    <w:rsid w:val="00D00329"/>
    <w:rsid w:val="00D003F3"/>
    <w:rsid w:val="00D00D82"/>
    <w:rsid w:val="00D0106B"/>
    <w:rsid w:val="00D015C7"/>
    <w:rsid w:val="00D01896"/>
    <w:rsid w:val="00D02D15"/>
    <w:rsid w:val="00D03A56"/>
    <w:rsid w:val="00D05C53"/>
    <w:rsid w:val="00D06D8C"/>
    <w:rsid w:val="00D06FE9"/>
    <w:rsid w:val="00D10175"/>
    <w:rsid w:val="00D10372"/>
    <w:rsid w:val="00D10B24"/>
    <w:rsid w:val="00D11E77"/>
    <w:rsid w:val="00D11E96"/>
    <w:rsid w:val="00D122A3"/>
    <w:rsid w:val="00D12B14"/>
    <w:rsid w:val="00D13716"/>
    <w:rsid w:val="00D13DB4"/>
    <w:rsid w:val="00D14038"/>
    <w:rsid w:val="00D15B91"/>
    <w:rsid w:val="00D16924"/>
    <w:rsid w:val="00D16963"/>
    <w:rsid w:val="00D16AA6"/>
    <w:rsid w:val="00D16F3A"/>
    <w:rsid w:val="00D17164"/>
    <w:rsid w:val="00D177DB"/>
    <w:rsid w:val="00D2113B"/>
    <w:rsid w:val="00D22051"/>
    <w:rsid w:val="00D234D5"/>
    <w:rsid w:val="00D23891"/>
    <w:rsid w:val="00D2681E"/>
    <w:rsid w:val="00D26D4C"/>
    <w:rsid w:val="00D27562"/>
    <w:rsid w:val="00D27A7B"/>
    <w:rsid w:val="00D306B9"/>
    <w:rsid w:val="00D30E8E"/>
    <w:rsid w:val="00D32255"/>
    <w:rsid w:val="00D3308E"/>
    <w:rsid w:val="00D33EAE"/>
    <w:rsid w:val="00D3534A"/>
    <w:rsid w:val="00D36D9F"/>
    <w:rsid w:val="00D36E39"/>
    <w:rsid w:val="00D37100"/>
    <w:rsid w:val="00D3792E"/>
    <w:rsid w:val="00D4035B"/>
    <w:rsid w:val="00D410E0"/>
    <w:rsid w:val="00D413C1"/>
    <w:rsid w:val="00D4147E"/>
    <w:rsid w:val="00D414EF"/>
    <w:rsid w:val="00D415E9"/>
    <w:rsid w:val="00D42E64"/>
    <w:rsid w:val="00D4361A"/>
    <w:rsid w:val="00D436C4"/>
    <w:rsid w:val="00D43B0F"/>
    <w:rsid w:val="00D43DE3"/>
    <w:rsid w:val="00D43E4C"/>
    <w:rsid w:val="00D45B92"/>
    <w:rsid w:val="00D462A0"/>
    <w:rsid w:val="00D46993"/>
    <w:rsid w:val="00D46BFF"/>
    <w:rsid w:val="00D46DD9"/>
    <w:rsid w:val="00D504C3"/>
    <w:rsid w:val="00D50FA2"/>
    <w:rsid w:val="00D5168E"/>
    <w:rsid w:val="00D51956"/>
    <w:rsid w:val="00D51AEF"/>
    <w:rsid w:val="00D51CEE"/>
    <w:rsid w:val="00D51F65"/>
    <w:rsid w:val="00D5222A"/>
    <w:rsid w:val="00D528B7"/>
    <w:rsid w:val="00D53636"/>
    <w:rsid w:val="00D53B38"/>
    <w:rsid w:val="00D53D40"/>
    <w:rsid w:val="00D54D37"/>
    <w:rsid w:val="00D56CB5"/>
    <w:rsid w:val="00D56D30"/>
    <w:rsid w:val="00D57210"/>
    <w:rsid w:val="00D57487"/>
    <w:rsid w:val="00D57DBF"/>
    <w:rsid w:val="00D60392"/>
    <w:rsid w:val="00D6088B"/>
    <w:rsid w:val="00D608F1"/>
    <w:rsid w:val="00D60B63"/>
    <w:rsid w:val="00D60C69"/>
    <w:rsid w:val="00D61735"/>
    <w:rsid w:val="00D6242B"/>
    <w:rsid w:val="00D62E2D"/>
    <w:rsid w:val="00D6326C"/>
    <w:rsid w:val="00D63626"/>
    <w:rsid w:val="00D63699"/>
    <w:rsid w:val="00D637A0"/>
    <w:rsid w:val="00D63C33"/>
    <w:rsid w:val="00D646EF"/>
    <w:rsid w:val="00D64E7F"/>
    <w:rsid w:val="00D6548A"/>
    <w:rsid w:val="00D654AD"/>
    <w:rsid w:val="00D66937"/>
    <w:rsid w:val="00D705BA"/>
    <w:rsid w:val="00D707C0"/>
    <w:rsid w:val="00D716FE"/>
    <w:rsid w:val="00D72CED"/>
    <w:rsid w:val="00D72E8F"/>
    <w:rsid w:val="00D738FC"/>
    <w:rsid w:val="00D76182"/>
    <w:rsid w:val="00D762C0"/>
    <w:rsid w:val="00D7725C"/>
    <w:rsid w:val="00D778CC"/>
    <w:rsid w:val="00D7793A"/>
    <w:rsid w:val="00D8044D"/>
    <w:rsid w:val="00D816C4"/>
    <w:rsid w:val="00D81BC9"/>
    <w:rsid w:val="00D82646"/>
    <w:rsid w:val="00D838D3"/>
    <w:rsid w:val="00D84C46"/>
    <w:rsid w:val="00D84F55"/>
    <w:rsid w:val="00D854B5"/>
    <w:rsid w:val="00D8571A"/>
    <w:rsid w:val="00D85AC5"/>
    <w:rsid w:val="00D86931"/>
    <w:rsid w:val="00D86BFC"/>
    <w:rsid w:val="00D86EB3"/>
    <w:rsid w:val="00D87046"/>
    <w:rsid w:val="00D87D47"/>
    <w:rsid w:val="00D90C54"/>
    <w:rsid w:val="00D92C57"/>
    <w:rsid w:val="00D93609"/>
    <w:rsid w:val="00D93CF9"/>
    <w:rsid w:val="00D960FA"/>
    <w:rsid w:val="00D9627C"/>
    <w:rsid w:val="00D96A65"/>
    <w:rsid w:val="00D96BF1"/>
    <w:rsid w:val="00D96CCA"/>
    <w:rsid w:val="00DA0D87"/>
    <w:rsid w:val="00DA0F2C"/>
    <w:rsid w:val="00DA2234"/>
    <w:rsid w:val="00DA2645"/>
    <w:rsid w:val="00DA2A5F"/>
    <w:rsid w:val="00DA390A"/>
    <w:rsid w:val="00DA4A42"/>
    <w:rsid w:val="00DA5C5F"/>
    <w:rsid w:val="00DA60DA"/>
    <w:rsid w:val="00DA6BB5"/>
    <w:rsid w:val="00DB0D08"/>
    <w:rsid w:val="00DB1AEC"/>
    <w:rsid w:val="00DB41BC"/>
    <w:rsid w:val="00DB4EF1"/>
    <w:rsid w:val="00DB6B74"/>
    <w:rsid w:val="00DB6D91"/>
    <w:rsid w:val="00DB6DBE"/>
    <w:rsid w:val="00DB6F8E"/>
    <w:rsid w:val="00DB70E9"/>
    <w:rsid w:val="00DB738B"/>
    <w:rsid w:val="00DB760F"/>
    <w:rsid w:val="00DB7A72"/>
    <w:rsid w:val="00DB7E97"/>
    <w:rsid w:val="00DC0D8D"/>
    <w:rsid w:val="00DC1319"/>
    <w:rsid w:val="00DC1898"/>
    <w:rsid w:val="00DC1ECE"/>
    <w:rsid w:val="00DC3CFA"/>
    <w:rsid w:val="00DC41D0"/>
    <w:rsid w:val="00DC4709"/>
    <w:rsid w:val="00DD0349"/>
    <w:rsid w:val="00DD0C2B"/>
    <w:rsid w:val="00DD0C41"/>
    <w:rsid w:val="00DD1831"/>
    <w:rsid w:val="00DD1D37"/>
    <w:rsid w:val="00DD33B9"/>
    <w:rsid w:val="00DD37A6"/>
    <w:rsid w:val="00DD3AE4"/>
    <w:rsid w:val="00DD51B4"/>
    <w:rsid w:val="00DD6541"/>
    <w:rsid w:val="00DD703E"/>
    <w:rsid w:val="00DE13B7"/>
    <w:rsid w:val="00DE2A30"/>
    <w:rsid w:val="00DE3E38"/>
    <w:rsid w:val="00DE5418"/>
    <w:rsid w:val="00DE5F5D"/>
    <w:rsid w:val="00DE623D"/>
    <w:rsid w:val="00DE700A"/>
    <w:rsid w:val="00DE7108"/>
    <w:rsid w:val="00DE7A5F"/>
    <w:rsid w:val="00DE7B1D"/>
    <w:rsid w:val="00DE7C43"/>
    <w:rsid w:val="00DF0EBF"/>
    <w:rsid w:val="00DF11C1"/>
    <w:rsid w:val="00DF21E7"/>
    <w:rsid w:val="00DF239C"/>
    <w:rsid w:val="00DF2DA4"/>
    <w:rsid w:val="00DF3043"/>
    <w:rsid w:val="00DF4380"/>
    <w:rsid w:val="00DF4B39"/>
    <w:rsid w:val="00DF4E3B"/>
    <w:rsid w:val="00DF5AF5"/>
    <w:rsid w:val="00DF79CE"/>
    <w:rsid w:val="00E0012D"/>
    <w:rsid w:val="00E0050C"/>
    <w:rsid w:val="00E01A93"/>
    <w:rsid w:val="00E020BE"/>
    <w:rsid w:val="00E02E17"/>
    <w:rsid w:val="00E02E3C"/>
    <w:rsid w:val="00E03639"/>
    <w:rsid w:val="00E03869"/>
    <w:rsid w:val="00E039F0"/>
    <w:rsid w:val="00E0452A"/>
    <w:rsid w:val="00E05596"/>
    <w:rsid w:val="00E05B90"/>
    <w:rsid w:val="00E05EE1"/>
    <w:rsid w:val="00E06C83"/>
    <w:rsid w:val="00E06EC6"/>
    <w:rsid w:val="00E0743C"/>
    <w:rsid w:val="00E07652"/>
    <w:rsid w:val="00E0794D"/>
    <w:rsid w:val="00E105EE"/>
    <w:rsid w:val="00E10AD5"/>
    <w:rsid w:val="00E119A2"/>
    <w:rsid w:val="00E11F54"/>
    <w:rsid w:val="00E13F68"/>
    <w:rsid w:val="00E15B5D"/>
    <w:rsid w:val="00E175A8"/>
    <w:rsid w:val="00E2084D"/>
    <w:rsid w:val="00E210CD"/>
    <w:rsid w:val="00E2112E"/>
    <w:rsid w:val="00E228F0"/>
    <w:rsid w:val="00E23314"/>
    <w:rsid w:val="00E237AC"/>
    <w:rsid w:val="00E246B8"/>
    <w:rsid w:val="00E2487F"/>
    <w:rsid w:val="00E25009"/>
    <w:rsid w:val="00E25594"/>
    <w:rsid w:val="00E257BF"/>
    <w:rsid w:val="00E25F46"/>
    <w:rsid w:val="00E25FDA"/>
    <w:rsid w:val="00E27894"/>
    <w:rsid w:val="00E278D8"/>
    <w:rsid w:val="00E27DA1"/>
    <w:rsid w:val="00E31B6E"/>
    <w:rsid w:val="00E3259C"/>
    <w:rsid w:val="00E32653"/>
    <w:rsid w:val="00E3363D"/>
    <w:rsid w:val="00E34E54"/>
    <w:rsid w:val="00E35986"/>
    <w:rsid w:val="00E367D1"/>
    <w:rsid w:val="00E40C72"/>
    <w:rsid w:val="00E41114"/>
    <w:rsid w:val="00E4174D"/>
    <w:rsid w:val="00E41A64"/>
    <w:rsid w:val="00E43281"/>
    <w:rsid w:val="00E43F2B"/>
    <w:rsid w:val="00E44389"/>
    <w:rsid w:val="00E4488C"/>
    <w:rsid w:val="00E44A30"/>
    <w:rsid w:val="00E4506B"/>
    <w:rsid w:val="00E45781"/>
    <w:rsid w:val="00E45A3F"/>
    <w:rsid w:val="00E465A9"/>
    <w:rsid w:val="00E504AD"/>
    <w:rsid w:val="00E50B78"/>
    <w:rsid w:val="00E51E73"/>
    <w:rsid w:val="00E520F2"/>
    <w:rsid w:val="00E53A68"/>
    <w:rsid w:val="00E53CB3"/>
    <w:rsid w:val="00E54237"/>
    <w:rsid w:val="00E54A61"/>
    <w:rsid w:val="00E550C1"/>
    <w:rsid w:val="00E56858"/>
    <w:rsid w:val="00E5793E"/>
    <w:rsid w:val="00E60028"/>
    <w:rsid w:val="00E60A05"/>
    <w:rsid w:val="00E60D97"/>
    <w:rsid w:val="00E61158"/>
    <w:rsid w:val="00E61438"/>
    <w:rsid w:val="00E61668"/>
    <w:rsid w:val="00E62183"/>
    <w:rsid w:val="00E6220E"/>
    <w:rsid w:val="00E62C84"/>
    <w:rsid w:val="00E62F0D"/>
    <w:rsid w:val="00E62F9A"/>
    <w:rsid w:val="00E635AF"/>
    <w:rsid w:val="00E63717"/>
    <w:rsid w:val="00E63D39"/>
    <w:rsid w:val="00E647F7"/>
    <w:rsid w:val="00E64820"/>
    <w:rsid w:val="00E65DB5"/>
    <w:rsid w:val="00E700F6"/>
    <w:rsid w:val="00E70F29"/>
    <w:rsid w:val="00E71014"/>
    <w:rsid w:val="00E71687"/>
    <w:rsid w:val="00E71C50"/>
    <w:rsid w:val="00E71DE2"/>
    <w:rsid w:val="00E74111"/>
    <w:rsid w:val="00E74C33"/>
    <w:rsid w:val="00E751B8"/>
    <w:rsid w:val="00E7588D"/>
    <w:rsid w:val="00E75920"/>
    <w:rsid w:val="00E7653D"/>
    <w:rsid w:val="00E76D2F"/>
    <w:rsid w:val="00E76E77"/>
    <w:rsid w:val="00E77A6B"/>
    <w:rsid w:val="00E80125"/>
    <w:rsid w:val="00E801B4"/>
    <w:rsid w:val="00E8074E"/>
    <w:rsid w:val="00E815A5"/>
    <w:rsid w:val="00E81C48"/>
    <w:rsid w:val="00E8436C"/>
    <w:rsid w:val="00E84D23"/>
    <w:rsid w:val="00E853BD"/>
    <w:rsid w:val="00E86963"/>
    <w:rsid w:val="00E872BC"/>
    <w:rsid w:val="00E87C26"/>
    <w:rsid w:val="00E90AF5"/>
    <w:rsid w:val="00E90B70"/>
    <w:rsid w:val="00E90FEE"/>
    <w:rsid w:val="00E9120C"/>
    <w:rsid w:val="00E912B5"/>
    <w:rsid w:val="00E91327"/>
    <w:rsid w:val="00E917E7"/>
    <w:rsid w:val="00E921A6"/>
    <w:rsid w:val="00E93317"/>
    <w:rsid w:val="00E93582"/>
    <w:rsid w:val="00E93E52"/>
    <w:rsid w:val="00E956EC"/>
    <w:rsid w:val="00E96362"/>
    <w:rsid w:val="00E97998"/>
    <w:rsid w:val="00EA0139"/>
    <w:rsid w:val="00EA0F98"/>
    <w:rsid w:val="00EA247C"/>
    <w:rsid w:val="00EA2C94"/>
    <w:rsid w:val="00EA37A3"/>
    <w:rsid w:val="00EA4E51"/>
    <w:rsid w:val="00EA5784"/>
    <w:rsid w:val="00EA58EA"/>
    <w:rsid w:val="00EA5EAD"/>
    <w:rsid w:val="00EA6348"/>
    <w:rsid w:val="00EA7280"/>
    <w:rsid w:val="00EB0199"/>
    <w:rsid w:val="00EB021B"/>
    <w:rsid w:val="00EB0852"/>
    <w:rsid w:val="00EB0D34"/>
    <w:rsid w:val="00EB19E7"/>
    <w:rsid w:val="00EB38C4"/>
    <w:rsid w:val="00EB39A5"/>
    <w:rsid w:val="00EB3D85"/>
    <w:rsid w:val="00EB6331"/>
    <w:rsid w:val="00EC0463"/>
    <w:rsid w:val="00EC0F87"/>
    <w:rsid w:val="00EC1C9A"/>
    <w:rsid w:val="00EC367E"/>
    <w:rsid w:val="00EC3BCC"/>
    <w:rsid w:val="00EC45D4"/>
    <w:rsid w:val="00EC4EC5"/>
    <w:rsid w:val="00EC56E6"/>
    <w:rsid w:val="00EC64D5"/>
    <w:rsid w:val="00EC7271"/>
    <w:rsid w:val="00EC77DE"/>
    <w:rsid w:val="00ED051A"/>
    <w:rsid w:val="00ED198C"/>
    <w:rsid w:val="00ED1C29"/>
    <w:rsid w:val="00ED2782"/>
    <w:rsid w:val="00ED32AF"/>
    <w:rsid w:val="00ED378F"/>
    <w:rsid w:val="00ED4512"/>
    <w:rsid w:val="00ED474C"/>
    <w:rsid w:val="00ED5350"/>
    <w:rsid w:val="00ED7116"/>
    <w:rsid w:val="00ED7156"/>
    <w:rsid w:val="00ED7858"/>
    <w:rsid w:val="00ED7B70"/>
    <w:rsid w:val="00EE0DE7"/>
    <w:rsid w:val="00EE1E70"/>
    <w:rsid w:val="00EE2142"/>
    <w:rsid w:val="00EE31D5"/>
    <w:rsid w:val="00EE372A"/>
    <w:rsid w:val="00EE5811"/>
    <w:rsid w:val="00EE6E26"/>
    <w:rsid w:val="00EE74F4"/>
    <w:rsid w:val="00EE7923"/>
    <w:rsid w:val="00EE7945"/>
    <w:rsid w:val="00EE7CD2"/>
    <w:rsid w:val="00EF0ACE"/>
    <w:rsid w:val="00EF0B95"/>
    <w:rsid w:val="00EF1A0C"/>
    <w:rsid w:val="00EF2159"/>
    <w:rsid w:val="00EF47AA"/>
    <w:rsid w:val="00EF4CA5"/>
    <w:rsid w:val="00EF5680"/>
    <w:rsid w:val="00EF5F6F"/>
    <w:rsid w:val="00EF6D68"/>
    <w:rsid w:val="00F013D9"/>
    <w:rsid w:val="00F01AE4"/>
    <w:rsid w:val="00F01FBD"/>
    <w:rsid w:val="00F023E9"/>
    <w:rsid w:val="00F0340D"/>
    <w:rsid w:val="00F04F9B"/>
    <w:rsid w:val="00F06BA1"/>
    <w:rsid w:val="00F06D6A"/>
    <w:rsid w:val="00F077B8"/>
    <w:rsid w:val="00F07B55"/>
    <w:rsid w:val="00F10050"/>
    <w:rsid w:val="00F1131F"/>
    <w:rsid w:val="00F11BFF"/>
    <w:rsid w:val="00F12132"/>
    <w:rsid w:val="00F12F3E"/>
    <w:rsid w:val="00F135AD"/>
    <w:rsid w:val="00F138FB"/>
    <w:rsid w:val="00F1397D"/>
    <w:rsid w:val="00F145C4"/>
    <w:rsid w:val="00F14A84"/>
    <w:rsid w:val="00F153FF"/>
    <w:rsid w:val="00F158C5"/>
    <w:rsid w:val="00F15A26"/>
    <w:rsid w:val="00F16673"/>
    <w:rsid w:val="00F16A50"/>
    <w:rsid w:val="00F178A2"/>
    <w:rsid w:val="00F1795A"/>
    <w:rsid w:val="00F20EC7"/>
    <w:rsid w:val="00F2191D"/>
    <w:rsid w:val="00F225CF"/>
    <w:rsid w:val="00F22849"/>
    <w:rsid w:val="00F22CF0"/>
    <w:rsid w:val="00F23070"/>
    <w:rsid w:val="00F2375D"/>
    <w:rsid w:val="00F2394D"/>
    <w:rsid w:val="00F23C3E"/>
    <w:rsid w:val="00F24305"/>
    <w:rsid w:val="00F24576"/>
    <w:rsid w:val="00F2492E"/>
    <w:rsid w:val="00F24B6D"/>
    <w:rsid w:val="00F24C94"/>
    <w:rsid w:val="00F25035"/>
    <w:rsid w:val="00F2573B"/>
    <w:rsid w:val="00F25749"/>
    <w:rsid w:val="00F30E75"/>
    <w:rsid w:val="00F31ED2"/>
    <w:rsid w:val="00F32948"/>
    <w:rsid w:val="00F32BB1"/>
    <w:rsid w:val="00F32F18"/>
    <w:rsid w:val="00F35239"/>
    <w:rsid w:val="00F37542"/>
    <w:rsid w:val="00F376A5"/>
    <w:rsid w:val="00F37ECA"/>
    <w:rsid w:val="00F401EC"/>
    <w:rsid w:val="00F4021F"/>
    <w:rsid w:val="00F4064E"/>
    <w:rsid w:val="00F40900"/>
    <w:rsid w:val="00F41640"/>
    <w:rsid w:val="00F41C2E"/>
    <w:rsid w:val="00F42FBA"/>
    <w:rsid w:val="00F43EB7"/>
    <w:rsid w:val="00F44DE7"/>
    <w:rsid w:val="00F453FF"/>
    <w:rsid w:val="00F4541D"/>
    <w:rsid w:val="00F45571"/>
    <w:rsid w:val="00F45A6A"/>
    <w:rsid w:val="00F464E2"/>
    <w:rsid w:val="00F4687A"/>
    <w:rsid w:val="00F47648"/>
    <w:rsid w:val="00F47A36"/>
    <w:rsid w:val="00F47D1E"/>
    <w:rsid w:val="00F50DD1"/>
    <w:rsid w:val="00F50FDC"/>
    <w:rsid w:val="00F516A6"/>
    <w:rsid w:val="00F51709"/>
    <w:rsid w:val="00F517EB"/>
    <w:rsid w:val="00F52528"/>
    <w:rsid w:val="00F530A2"/>
    <w:rsid w:val="00F530FA"/>
    <w:rsid w:val="00F54279"/>
    <w:rsid w:val="00F5430C"/>
    <w:rsid w:val="00F569EA"/>
    <w:rsid w:val="00F57C14"/>
    <w:rsid w:val="00F602F0"/>
    <w:rsid w:val="00F60655"/>
    <w:rsid w:val="00F609FB"/>
    <w:rsid w:val="00F60F13"/>
    <w:rsid w:val="00F60F8F"/>
    <w:rsid w:val="00F62647"/>
    <w:rsid w:val="00F62BBD"/>
    <w:rsid w:val="00F646AD"/>
    <w:rsid w:val="00F65001"/>
    <w:rsid w:val="00F658A6"/>
    <w:rsid w:val="00F65D56"/>
    <w:rsid w:val="00F65FEC"/>
    <w:rsid w:val="00F66C7F"/>
    <w:rsid w:val="00F6708B"/>
    <w:rsid w:val="00F67FED"/>
    <w:rsid w:val="00F705AD"/>
    <w:rsid w:val="00F70604"/>
    <w:rsid w:val="00F70849"/>
    <w:rsid w:val="00F70B89"/>
    <w:rsid w:val="00F72046"/>
    <w:rsid w:val="00F7319A"/>
    <w:rsid w:val="00F74278"/>
    <w:rsid w:val="00F7526C"/>
    <w:rsid w:val="00F75557"/>
    <w:rsid w:val="00F7670D"/>
    <w:rsid w:val="00F779DC"/>
    <w:rsid w:val="00F801A8"/>
    <w:rsid w:val="00F80622"/>
    <w:rsid w:val="00F8062B"/>
    <w:rsid w:val="00F81A8D"/>
    <w:rsid w:val="00F82C49"/>
    <w:rsid w:val="00F83282"/>
    <w:rsid w:val="00F86267"/>
    <w:rsid w:val="00F867ED"/>
    <w:rsid w:val="00F86A0A"/>
    <w:rsid w:val="00F86BE4"/>
    <w:rsid w:val="00F86E52"/>
    <w:rsid w:val="00F86F19"/>
    <w:rsid w:val="00F87BFE"/>
    <w:rsid w:val="00F87F30"/>
    <w:rsid w:val="00F90314"/>
    <w:rsid w:val="00F90895"/>
    <w:rsid w:val="00F90DC4"/>
    <w:rsid w:val="00F9174E"/>
    <w:rsid w:val="00F91860"/>
    <w:rsid w:val="00F926B0"/>
    <w:rsid w:val="00F93CB9"/>
    <w:rsid w:val="00F94678"/>
    <w:rsid w:val="00F95459"/>
    <w:rsid w:val="00F9564E"/>
    <w:rsid w:val="00F95C7C"/>
    <w:rsid w:val="00F96ABA"/>
    <w:rsid w:val="00F971AB"/>
    <w:rsid w:val="00F97398"/>
    <w:rsid w:val="00FA103E"/>
    <w:rsid w:val="00FA1DAC"/>
    <w:rsid w:val="00FA24B9"/>
    <w:rsid w:val="00FA2F20"/>
    <w:rsid w:val="00FA39DD"/>
    <w:rsid w:val="00FA3B1D"/>
    <w:rsid w:val="00FA3FAE"/>
    <w:rsid w:val="00FA469D"/>
    <w:rsid w:val="00FA49B5"/>
    <w:rsid w:val="00FA4ECB"/>
    <w:rsid w:val="00FA5E56"/>
    <w:rsid w:val="00FA616C"/>
    <w:rsid w:val="00FA6716"/>
    <w:rsid w:val="00FA687A"/>
    <w:rsid w:val="00FA68AA"/>
    <w:rsid w:val="00FA6CDE"/>
    <w:rsid w:val="00FA6F90"/>
    <w:rsid w:val="00FA7374"/>
    <w:rsid w:val="00FB0682"/>
    <w:rsid w:val="00FB1B28"/>
    <w:rsid w:val="00FB2ADC"/>
    <w:rsid w:val="00FB2B3C"/>
    <w:rsid w:val="00FB2C10"/>
    <w:rsid w:val="00FB35A7"/>
    <w:rsid w:val="00FB3D45"/>
    <w:rsid w:val="00FC04DF"/>
    <w:rsid w:val="00FC06E5"/>
    <w:rsid w:val="00FC0785"/>
    <w:rsid w:val="00FC09DC"/>
    <w:rsid w:val="00FC144E"/>
    <w:rsid w:val="00FC1E33"/>
    <w:rsid w:val="00FC28D1"/>
    <w:rsid w:val="00FC2A40"/>
    <w:rsid w:val="00FC335F"/>
    <w:rsid w:val="00FC3D54"/>
    <w:rsid w:val="00FC422C"/>
    <w:rsid w:val="00FC57EA"/>
    <w:rsid w:val="00FC5EEC"/>
    <w:rsid w:val="00FC6A37"/>
    <w:rsid w:val="00FC7297"/>
    <w:rsid w:val="00FC7A22"/>
    <w:rsid w:val="00FD0DAC"/>
    <w:rsid w:val="00FD157E"/>
    <w:rsid w:val="00FD18FE"/>
    <w:rsid w:val="00FD2026"/>
    <w:rsid w:val="00FD2098"/>
    <w:rsid w:val="00FD274E"/>
    <w:rsid w:val="00FD2D8D"/>
    <w:rsid w:val="00FD394E"/>
    <w:rsid w:val="00FD436F"/>
    <w:rsid w:val="00FD4FB8"/>
    <w:rsid w:val="00FD511D"/>
    <w:rsid w:val="00FD5172"/>
    <w:rsid w:val="00FD52F8"/>
    <w:rsid w:val="00FD5543"/>
    <w:rsid w:val="00FD586F"/>
    <w:rsid w:val="00FD7130"/>
    <w:rsid w:val="00FD787D"/>
    <w:rsid w:val="00FD7F6F"/>
    <w:rsid w:val="00FE191A"/>
    <w:rsid w:val="00FE1FB7"/>
    <w:rsid w:val="00FE342C"/>
    <w:rsid w:val="00FE37B9"/>
    <w:rsid w:val="00FE5432"/>
    <w:rsid w:val="00FE6B68"/>
    <w:rsid w:val="00FE6B71"/>
    <w:rsid w:val="00FE757B"/>
    <w:rsid w:val="00FE7D58"/>
    <w:rsid w:val="00FF0016"/>
    <w:rsid w:val="00FF1429"/>
    <w:rsid w:val="00FF2303"/>
    <w:rsid w:val="00FF2495"/>
    <w:rsid w:val="00FF298F"/>
    <w:rsid w:val="00FF3B55"/>
    <w:rsid w:val="00FF4663"/>
    <w:rsid w:val="00FF4791"/>
    <w:rsid w:val="00FF4B1E"/>
    <w:rsid w:val="00FF4FBD"/>
    <w:rsid w:val="00FF5060"/>
    <w:rsid w:val="00FF5148"/>
    <w:rsid w:val="00FF6011"/>
    <w:rsid w:val="00FF64AF"/>
    <w:rsid w:val="00FF67E5"/>
    <w:rsid w:val="00FF6E3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74433"/>
    <o:shapelayout v:ext="edit">
      <o:idmap v:ext="edit" data="1"/>
    </o:shapelayout>
  </w:shapeDefaults>
  <w:decimalSymbol w:val="."/>
  <w:listSeparator w:val=";"/>
  <w14:docId w14:val="7F5E1FEF"/>
  <w15:chartTrackingRefBased/>
  <w15:docId w15:val="{A4AC5C2F-8BF7-41A5-9860-B942266E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DBD"/>
    <w:rPr>
      <w:rFonts w:eastAsia="Times New Roman" w:cs="Times New Roman"/>
      <w:szCs w:val="24"/>
      <w:lang w:eastAsia="lv-LV"/>
    </w:rPr>
  </w:style>
  <w:style w:type="paragraph" w:styleId="Heading2">
    <w:name w:val="heading 2"/>
    <w:basedOn w:val="Normal"/>
    <w:next w:val="Normal"/>
    <w:link w:val="Heading2Char"/>
    <w:uiPriority w:val="9"/>
    <w:semiHidden/>
    <w:unhideWhenUsed/>
    <w:qFormat/>
    <w:rsid w:val="001455C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62C8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46431"/>
    <w:rPr>
      <w:rFonts w:cs="Times New Roman"/>
      <w:color w:val="0000FF"/>
      <w:u w:val="single"/>
    </w:rPr>
  </w:style>
  <w:style w:type="paragraph" w:styleId="NormalWeb">
    <w:name w:val="Normal (Web)"/>
    <w:basedOn w:val="Normal"/>
    <w:uiPriority w:val="99"/>
    <w:rsid w:val="00946431"/>
    <w:pPr>
      <w:spacing w:before="100" w:beforeAutospacing="1" w:after="100" w:afterAutospacing="1"/>
    </w:pPr>
  </w:style>
  <w:style w:type="paragraph" w:customStyle="1" w:styleId="naisf">
    <w:name w:val="naisf"/>
    <w:basedOn w:val="Normal"/>
    <w:rsid w:val="00946431"/>
    <w:pPr>
      <w:spacing w:before="75" w:after="75"/>
      <w:ind w:firstLine="375"/>
      <w:jc w:val="both"/>
    </w:pPr>
  </w:style>
  <w:style w:type="paragraph" w:customStyle="1" w:styleId="naisnod">
    <w:name w:val="naisnod"/>
    <w:basedOn w:val="Normal"/>
    <w:rsid w:val="00946431"/>
    <w:pPr>
      <w:spacing w:before="150" w:after="150"/>
      <w:jc w:val="center"/>
    </w:pPr>
    <w:rPr>
      <w:b/>
      <w:bCs/>
    </w:rPr>
  </w:style>
  <w:style w:type="paragraph" w:customStyle="1" w:styleId="naiskr">
    <w:name w:val="naiskr"/>
    <w:basedOn w:val="Normal"/>
    <w:rsid w:val="00946431"/>
    <w:pPr>
      <w:spacing w:before="75" w:after="75"/>
    </w:pPr>
  </w:style>
  <w:style w:type="paragraph" w:customStyle="1" w:styleId="naisc">
    <w:name w:val="naisc"/>
    <w:basedOn w:val="Normal"/>
    <w:uiPriority w:val="99"/>
    <w:rsid w:val="00946431"/>
    <w:pPr>
      <w:spacing w:before="75" w:after="75"/>
      <w:jc w:val="center"/>
    </w:pPr>
  </w:style>
  <w:style w:type="paragraph" w:styleId="Header">
    <w:name w:val="header"/>
    <w:basedOn w:val="Normal"/>
    <w:link w:val="HeaderChar"/>
    <w:uiPriority w:val="99"/>
    <w:rsid w:val="00946431"/>
    <w:pPr>
      <w:tabs>
        <w:tab w:val="center" w:pos="4153"/>
        <w:tab w:val="right" w:pos="8306"/>
      </w:tabs>
    </w:pPr>
  </w:style>
  <w:style w:type="character" w:customStyle="1" w:styleId="HeaderChar">
    <w:name w:val="Header Char"/>
    <w:basedOn w:val="DefaultParagraphFont"/>
    <w:link w:val="Header"/>
    <w:uiPriority w:val="99"/>
    <w:rsid w:val="00946431"/>
    <w:rPr>
      <w:rFonts w:eastAsia="Times New Roman" w:cs="Times New Roman"/>
      <w:szCs w:val="24"/>
      <w:lang w:eastAsia="lv-LV"/>
    </w:rPr>
  </w:style>
  <w:style w:type="character" w:styleId="PageNumber">
    <w:name w:val="page number"/>
    <w:uiPriority w:val="99"/>
    <w:rsid w:val="00946431"/>
    <w:rPr>
      <w:rFonts w:cs="Times New Roman"/>
    </w:rPr>
  </w:style>
  <w:style w:type="paragraph" w:styleId="Footer">
    <w:name w:val="footer"/>
    <w:basedOn w:val="Normal"/>
    <w:link w:val="FooterChar"/>
    <w:uiPriority w:val="99"/>
    <w:rsid w:val="00946431"/>
    <w:pPr>
      <w:tabs>
        <w:tab w:val="center" w:pos="4153"/>
        <w:tab w:val="right" w:pos="8306"/>
      </w:tabs>
    </w:pPr>
  </w:style>
  <w:style w:type="character" w:customStyle="1" w:styleId="FooterChar">
    <w:name w:val="Footer Char"/>
    <w:basedOn w:val="DefaultParagraphFont"/>
    <w:link w:val="Footer"/>
    <w:uiPriority w:val="99"/>
    <w:rsid w:val="00946431"/>
    <w:rPr>
      <w:rFonts w:eastAsia="Times New Roman" w:cs="Times New Roman"/>
      <w:szCs w:val="24"/>
      <w:lang w:eastAsia="lv-LV"/>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Normal numbered"/>
    <w:basedOn w:val="Normal"/>
    <w:link w:val="ListParagraphChar"/>
    <w:uiPriority w:val="34"/>
    <w:qFormat/>
    <w:rsid w:val="00946431"/>
    <w:pPr>
      <w:spacing w:after="200" w:line="276" w:lineRule="auto"/>
      <w:ind w:left="720"/>
      <w:contextualSpacing/>
    </w:pPr>
    <w:rPr>
      <w:rFonts w:ascii="Calibri" w:hAnsi="Calibri"/>
      <w:sz w:val="22"/>
      <w:szCs w:val="22"/>
      <w:lang w:eastAsia="en-US"/>
    </w:rPr>
  </w:style>
  <w:style w:type="paragraph" w:styleId="BodyText">
    <w:name w:val="Body Text"/>
    <w:basedOn w:val="Normal"/>
    <w:link w:val="BodyTextChar"/>
    <w:uiPriority w:val="99"/>
    <w:unhideWhenUsed/>
    <w:rsid w:val="00946431"/>
    <w:pPr>
      <w:spacing w:after="120"/>
    </w:pPr>
  </w:style>
  <w:style w:type="character" w:customStyle="1" w:styleId="BodyTextChar">
    <w:name w:val="Body Text Char"/>
    <w:basedOn w:val="DefaultParagraphFont"/>
    <w:link w:val="BodyText"/>
    <w:uiPriority w:val="99"/>
    <w:rsid w:val="00946431"/>
    <w:rPr>
      <w:rFonts w:eastAsia="Times New Roman" w:cs="Times New Roman"/>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qFormat/>
    <w:rsid w:val="00115C90"/>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rsid w:val="00115C90"/>
    <w:rPr>
      <w:rFonts w:eastAsia="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115C90"/>
    <w:rPr>
      <w:vertAlign w:val="superscript"/>
    </w:rPr>
  </w:style>
  <w:style w:type="paragraph" w:styleId="CommentText">
    <w:name w:val="annotation text"/>
    <w:basedOn w:val="Normal"/>
    <w:link w:val="CommentTextChar"/>
    <w:uiPriority w:val="99"/>
    <w:rsid w:val="001963BC"/>
    <w:pPr>
      <w:jc w:val="both"/>
    </w:pPr>
    <w:rPr>
      <w:sz w:val="20"/>
      <w:szCs w:val="20"/>
      <w:lang w:eastAsia="en-US"/>
    </w:rPr>
  </w:style>
  <w:style w:type="character" w:customStyle="1" w:styleId="CommentTextChar">
    <w:name w:val="Comment Text Char"/>
    <w:basedOn w:val="DefaultParagraphFont"/>
    <w:link w:val="CommentText"/>
    <w:uiPriority w:val="99"/>
    <w:rsid w:val="001963BC"/>
    <w:rPr>
      <w:rFonts w:eastAsia="Times New Roman" w:cs="Times New Roman"/>
      <w:sz w:val="20"/>
      <w:szCs w:val="20"/>
    </w:rPr>
  </w:style>
  <w:style w:type="character" w:styleId="CommentReference">
    <w:name w:val="annotation reference"/>
    <w:basedOn w:val="DefaultParagraphFont"/>
    <w:uiPriority w:val="99"/>
    <w:unhideWhenUsed/>
    <w:rsid w:val="00541391"/>
    <w:rPr>
      <w:sz w:val="16"/>
      <w:szCs w:val="16"/>
    </w:rPr>
  </w:style>
  <w:style w:type="paragraph" w:styleId="CommentSubject">
    <w:name w:val="annotation subject"/>
    <w:basedOn w:val="CommentText"/>
    <w:next w:val="CommentText"/>
    <w:link w:val="CommentSubjectChar"/>
    <w:uiPriority w:val="99"/>
    <w:semiHidden/>
    <w:unhideWhenUsed/>
    <w:rsid w:val="00541391"/>
    <w:pPr>
      <w:jc w:val="left"/>
    </w:pPr>
    <w:rPr>
      <w:b/>
      <w:bCs/>
      <w:lang w:eastAsia="lv-LV"/>
    </w:rPr>
  </w:style>
  <w:style w:type="character" w:customStyle="1" w:styleId="CommentSubjectChar">
    <w:name w:val="Comment Subject Char"/>
    <w:basedOn w:val="CommentTextChar"/>
    <w:link w:val="CommentSubject"/>
    <w:uiPriority w:val="99"/>
    <w:semiHidden/>
    <w:rsid w:val="00541391"/>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5413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391"/>
    <w:rPr>
      <w:rFonts w:ascii="Segoe UI" w:eastAsia="Times New Roman" w:hAnsi="Segoe UI" w:cs="Segoe UI"/>
      <w:sz w:val="18"/>
      <w:szCs w:val="18"/>
      <w:lang w:eastAsia="lv-LV"/>
    </w:rPr>
  </w:style>
  <w:style w:type="paragraph" w:customStyle="1" w:styleId="Default">
    <w:name w:val="Default"/>
    <w:rsid w:val="00514346"/>
    <w:pPr>
      <w:autoSpaceDE w:val="0"/>
      <w:autoSpaceDN w:val="0"/>
      <w:adjustRightInd w:val="0"/>
    </w:pPr>
    <w:rPr>
      <w:rFonts w:eastAsia="Calibri" w:cs="Times New Roman"/>
      <w:color w:val="000000"/>
      <w:szCs w:val="24"/>
    </w:rPr>
  </w:style>
  <w:style w:type="paragraph" w:styleId="Title">
    <w:name w:val="Title"/>
    <w:basedOn w:val="Normal"/>
    <w:link w:val="TitleChar"/>
    <w:qFormat/>
    <w:rsid w:val="00BD692D"/>
    <w:pPr>
      <w:jc w:val="center"/>
    </w:pPr>
    <w:rPr>
      <w:b/>
      <w:sz w:val="28"/>
      <w:szCs w:val="28"/>
    </w:rPr>
  </w:style>
  <w:style w:type="character" w:customStyle="1" w:styleId="TitleChar">
    <w:name w:val="Title Char"/>
    <w:basedOn w:val="DefaultParagraphFont"/>
    <w:link w:val="Title"/>
    <w:rsid w:val="00BD692D"/>
    <w:rPr>
      <w:rFonts w:eastAsia="Times New Roman" w:cs="Times New Roman"/>
      <w:b/>
      <w:sz w:val="28"/>
      <w:szCs w:val="28"/>
      <w:lang w:eastAsia="lv-LV"/>
    </w:rPr>
  </w:style>
  <w:style w:type="paragraph" w:styleId="BodyText2">
    <w:name w:val="Body Text 2"/>
    <w:basedOn w:val="Normal"/>
    <w:link w:val="BodyText2Char"/>
    <w:uiPriority w:val="99"/>
    <w:unhideWhenUsed/>
    <w:rsid w:val="007E2721"/>
    <w:pPr>
      <w:spacing w:after="120" w:line="480" w:lineRule="auto"/>
    </w:pPr>
  </w:style>
  <w:style w:type="character" w:customStyle="1" w:styleId="BodyText2Char">
    <w:name w:val="Body Text 2 Char"/>
    <w:basedOn w:val="DefaultParagraphFont"/>
    <w:link w:val="BodyText2"/>
    <w:uiPriority w:val="99"/>
    <w:rsid w:val="007E2721"/>
    <w:rPr>
      <w:rFonts w:eastAsia="Times New Roman" w:cs="Times New Roman"/>
      <w:szCs w:val="24"/>
      <w:lang w:eastAsia="lv-LV"/>
    </w:rPr>
  </w:style>
  <w:style w:type="paragraph" w:customStyle="1" w:styleId="2lmenis">
    <w:name w:val="2.līmenis"/>
    <w:basedOn w:val="Heading2"/>
    <w:link w:val="2lmenisChar"/>
    <w:qFormat/>
    <w:rsid w:val="001455CD"/>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1455CD"/>
    <w:rPr>
      <w:rFonts w:eastAsia="Times New Roman" w:cs="Times New Roman"/>
      <w:b/>
      <w:iCs/>
      <w:sz w:val="28"/>
      <w:szCs w:val="28"/>
    </w:rPr>
  </w:style>
  <w:style w:type="character" w:customStyle="1" w:styleId="Heading2Char">
    <w:name w:val="Heading 2 Char"/>
    <w:basedOn w:val="DefaultParagraphFont"/>
    <w:link w:val="Heading2"/>
    <w:uiPriority w:val="9"/>
    <w:semiHidden/>
    <w:rsid w:val="001455CD"/>
    <w:rPr>
      <w:rFonts w:asciiTheme="majorHAnsi" w:eastAsiaTheme="majorEastAsia" w:hAnsiTheme="majorHAnsi" w:cstheme="majorBidi"/>
      <w:color w:val="2E74B5" w:themeColor="accent1" w:themeShade="BF"/>
      <w:sz w:val="26"/>
      <w:szCs w:val="26"/>
      <w:lang w:eastAsia="lv-LV"/>
    </w:rPr>
  </w:style>
  <w:style w:type="paragraph" w:styleId="BodyTextIndent">
    <w:name w:val="Body Text Indent"/>
    <w:basedOn w:val="Normal"/>
    <w:link w:val="BodyTextIndentChar"/>
    <w:rsid w:val="00683E97"/>
    <w:pPr>
      <w:spacing w:after="120"/>
      <w:ind w:left="283"/>
    </w:pPr>
    <w:rPr>
      <w:lang w:eastAsia="en-US"/>
    </w:rPr>
  </w:style>
  <w:style w:type="character" w:customStyle="1" w:styleId="BodyTextIndentChar">
    <w:name w:val="Body Text Indent Char"/>
    <w:basedOn w:val="DefaultParagraphFont"/>
    <w:link w:val="BodyTextIndent"/>
    <w:uiPriority w:val="99"/>
    <w:rsid w:val="00683E97"/>
    <w:rPr>
      <w:rFonts w:eastAsia="Times New Roman" w:cs="Times New Roman"/>
      <w:szCs w:val="24"/>
    </w:rPr>
  </w:style>
  <w:style w:type="paragraph" w:styleId="Revision">
    <w:name w:val="Revision"/>
    <w:hidden/>
    <w:uiPriority w:val="99"/>
    <w:semiHidden/>
    <w:rsid w:val="006A741D"/>
    <w:rPr>
      <w:rFonts w:eastAsia="Times New Roman" w:cs="Times New Roman"/>
      <w:szCs w:val="24"/>
      <w:lang w:eastAsia="lv-LV"/>
    </w:rPr>
  </w:style>
  <w:style w:type="character" w:customStyle="1" w:styleId="Bodytext0">
    <w:name w:val="Body text_"/>
    <w:basedOn w:val="DefaultParagraphFont"/>
    <w:link w:val="BodyText1"/>
    <w:rsid w:val="001E1502"/>
    <w:rPr>
      <w:rFonts w:eastAsia="Times New Roman" w:cs="Times New Roman"/>
      <w:sz w:val="23"/>
      <w:szCs w:val="23"/>
      <w:shd w:val="clear" w:color="auto" w:fill="FFFFFF"/>
    </w:rPr>
  </w:style>
  <w:style w:type="paragraph" w:customStyle="1" w:styleId="BodyText1">
    <w:name w:val="Body Text1"/>
    <w:basedOn w:val="Normal"/>
    <w:link w:val="Bodytext0"/>
    <w:rsid w:val="001E1502"/>
    <w:pPr>
      <w:widowControl w:val="0"/>
      <w:shd w:val="clear" w:color="auto" w:fill="FFFFFF"/>
      <w:spacing w:before="240" w:after="480" w:line="0" w:lineRule="atLeast"/>
    </w:pPr>
    <w:rPr>
      <w:sz w:val="23"/>
      <w:szCs w:val="23"/>
      <w:lang w:eastAsia="en-US"/>
    </w:rPr>
  </w:style>
  <w:style w:type="paragraph" w:customStyle="1" w:styleId="3lmenis">
    <w:name w:val="3.līmenis"/>
    <w:basedOn w:val="Heading3"/>
    <w:link w:val="3lmenisChar"/>
    <w:autoRedefine/>
    <w:qFormat/>
    <w:rsid w:val="00E62C84"/>
    <w:pPr>
      <w:numPr>
        <w:ilvl w:val="2"/>
        <w:numId w:val="1"/>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E62C84"/>
    <w:rPr>
      <w:rFonts w:eastAsiaTheme="majorEastAsia" w:cstheme="majorBidi"/>
      <w:b/>
      <w:iCs w:val="0"/>
      <w:color w:val="000000"/>
      <w:sz w:val="28"/>
      <w:szCs w:val="24"/>
    </w:rPr>
  </w:style>
  <w:style w:type="character" w:customStyle="1" w:styleId="Heading3Char">
    <w:name w:val="Heading 3 Char"/>
    <w:basedOn w:val="DefaultParagraphFont"/>
    <w:link w:val="Heading3"/>
    <w:uiPriority w:val="9"/>
    <w:semiHidden/>
    <w:rsid w:val="00E62C84"/>
    <w:rPr>
      <w:rFonts w:asciiTheme="majorHAnsi" w:eastAsiaTheme="majorEastAsia" w:hAnsiTheme="majorHAnsi" w:cstheme="majorBidi"/>
      <w:color w:val="1F4D78" w:themeColor="accent1" w:themeShade="7F"/>
      <w:szCs w:val="24"/>
      <w:lang w:eastAsia="lv-LV"/>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7B0E6D"/>
    <w:rPr>
      <w:rFonts w:ascii="Calibri" w:eastAsia="Times New Roman" w:hAnsi="Calibri" w:cs="Times New Roman"/>
      <w:sz w:val="22"/>
    </w:rPr>
  </w:style>
  <w:style w:type="paragraph" w:styleId="EnvelopeReturn">
    <w:name w:val="envelope return"/>
    <w:basedOn w:val="Normal"/>
    <w:rsid w:val="009F50FC"/>
    <w:pPr>
      <w:keepLines/>
      <w:widowControl w:val="0"/>
      <w:spacing w:before="600"/>
    </w:pPr>
    <w:rPr>
      <w:sz w:val="26"/>
      <w:szCs w:val="20"/>
      <w:lang w:eastAsia="en-US"/>
    </w:rPr>
  </w:style>
  <w:style w:type="character" w:customStyle="1" w:styleId="c4">
    <w:name w:val="c4"/>
    <w:basedOn w:val="DefaultParagraphFont"/>
    <w:rsid w:val="009F50FC"/>
  </w:style>
  <w:style w:type="paragraph" w:styleId="NoSpacing">
    <w:name w:val="No Spacing"/>
    <w:uiPriority w:val="1"/>
    <w:qFormat/>
    <w:rsid w:val="001E785F"/>
    <w:rPr>
      <w:rFonts w:asciiTheme="minorHAnsi" w:hAnsiTheme="minorHAnsi"/>
      <w:sz w:val="22"/>
    </w:rPr>
  </w:style>
  <w:style w:type="character" w:styleId="FollowedHyperlink">
    <w:name w:val="FollowedHyperlink"/>
    <w:basedOn w:val="DefaultParagraphFont"/>
    <w:uiPriority w:val="99"/>
    <w:semiHidden/>
    <w:unhideWhenUsed/>
    <w:rsid w:val="00DA390A"/>
    <w:rPr>
      <w:color w:val="954F72" w:themeColor="followedHyperlink"/>
      <w:u w:val="single"/>
    </w:rPr>
  </w:style>
  <w:style w:type="character" w:styleId="Strong">
    <w:name w:val="Strong"/>
    <w:basedOn w:val="DefaultParagraphFont"/>
    <w:uiPriority w:val="22"/>
    <w:qFormat/>
    <w:rsid w:val="00BB591A"/>
    <w:rPr>
      <w:b/>
      <w:bCs/>
    </w:rPr>
  </w:style>
  <w:style w:type="paragraph" w:customStyle="1" w:styleId="CharCharCharChar">
    <w:name w:val="Char Char Char Char"/>
    <w:aliases w:val="Char2"/>
    <w:basedOn w:val="Normal"/>
    <w:next w:val="Normal"/>
    <w:link w:val="FootnoteReference"/>
    <w:uiPriority w:val="99"/>
    <w:rsid w:val="005D2E17"/>
    <w:pPr>
      <w:spacing w:after="160" w:line="240" w:lineRule="exact"/>
      <w:jc w:val="both"/>
      <w:textAlignment w:val="baseline"/>
    </w:pPr>
    <w:rPr>
      <w:rFonts w:eastAsiaTheme="minorHAnsi" w:cstheme="minorBidi"/>
      <w:szCs w:val="22"/>
      <w:vertAlign w:val="superscript"/>
      <w:lang w:eastAsia="en-US"/>
    </w:rPr>
  </w:style>
  <w:style w:type="paragraph" w:customStyle="1" w:styleId="CM1">
    <w:name w:val="CM1"/>
    <w:basedOn w:val="Default"/>
    <w:next w:val="Default"/>
    <w:uiPriority w:val="99"/>
    <w:rsid w:val="00551BFB"/>
    <w:rPr>
      <w:rFonts w:ascii="EUAlbertina" w:eastAsiaTheme="minorHAnsi" w:hAnsi="EUAlbertina" w:cstheme="minorBidi"/>
      <w:color w:val="auto"/>
    </w:rPr>
  </w:style>
  <w:style w:type="paragraph" w:customStyle="1" w:styleId="CM3">
    <w:name w:val="CM3"/>
    <w:basedOn w:val="Default"/>
    <w:next w:val="Default"/>
    <w:uiPriority w:val="99"/>
    <w:rsid w:val="00551BFB"/>
    <w:rPr>
      <w:rFonts w:ascii="EUAlbertina" w:eastAsiaTheme="minorHAnsi" w:hAnsi="EUAlbertina" w:cstheme="minorBidi"/>
      <w:color w:val="auto"/>
    </w:rPr>
  </w:style>
  <w:style w:type="table" w:styleId="TableGrid">
    <w:name w:val="Table Grid"/>
    <w:basedOn w:val="TableNormal"/>
    <w:uiPriority w:val="39"/>
    <w:rsid w:val="003C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E5D76"/>
    <w:rPr>
      <w:rFonts w:ascii="Calibri" w:eastAsiaTheme="minorHAnsi" w:hAnsi="Calibri" w:cs="Calibri"/>
      <w:sz w:val="22"/>
      <w:szCs w:val="22"/>
    </w:rPr>
  </w:style>
  <w:style w:type="paragraph" w:customStyle="1" w:styleId="tv213">
    <w:name w:val="tv213"/>
    <w:basedOn w:val="Normal"/>
    <w:rsid w:val="00C556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822">
      <w:bodyDiv w:val="1"/>
      <w:marLeft w:val="0"/>
      <w:marRight w:val="0"/>
      <w:marTop w:val="0"/>
      <w:marBottom w:val="0"/>
      <w:divBdr>
        <w:top w:val="none" w:sz="0" w:space="0" w:color="auto"/>
        <w:left w:val="none" w:sz="0" w:space="0" w:color="auto"/>
        <w:bottom w:val="none" w:sz="0" w:space="0" w:color="auto"/>
        <w:right w:val="none" w:sz="0" w:space="0" w:color="auto"/>
      </w:divBdr>
    </w:div>
    <w:div w:id="45960761">
      <w:bodyDiv w:val="1"/>
      <w:marLeft w:val="0"/>
      <w:marRight w:val="0"/>
      <w:marTop w:val="0"/>
      <w:marBottom w:val="0"/>
      <w:divBdr>
        <w:top w:val="none" w:sz="0" w:space="0" w:color="auto"/>
        <w:left w:val="none" w:sz="0" w:space="0" w:color="auto"/>
        <w:bottom w:val="none" w:sz="0" w:space="0" w:color="auto"/>
        <w:right w:val="none" w:sz="0" w:space="0" w:color="auto"/>
      </w:divBdr>
    </w:div>
    <w:div w:id="50272820">
      <w:bodyDiv w:val="1"/>
      <w:marLeft w:val="0"/>
      <w:marRight w:val="0"/>
      <w:marTop w:val="0"/>
      <w:marBottom w:val="0"/>
      <w:divBdr>
        <w:top w:val="none" w:sz="0" w:space="0" w:color="auto"/>
        <w:left w:val="none" w:sz="0" w:space="0" w:color="auto"/>
        <w:bottom w:val="none" w:sz="0" w:space="0" w:color="auto"/>
        <w:right w:val="none" w:sz="0" w:space="0" w:color="auto"/>
      </w:divBdr>
    </w:div>
    <w:div w:id="99886249">
      <w:bodyDiv w:val="1"/>
      <w:marLeft w:val="0"/>
      <w:marRight w:val="0"/>
      <w:marTop w:val="0"/>
      <w:marBottom w:val="0"/>
      <w:divBdr>
        <w:top w:val="none" w:sz="0" w:space="0" w:color="auto"/>
        <w:left w:val="none" w:sz="0" w:space="0" w:color="auto"/>
        <w:bottom w:val="none" w:sz="0" w:space="0" w:color="auto"/>
        <w:right w:val="none" w:sz="0" w:space="0" w:color="auto"/>
      </w:divBdr>
    </w:div>
    <w:div w:id="149248323">
      <w:bodyDiv w:val="1"/>
      <w:marLeft w:val="0"/>
      <w:marRight w:val="0"/>
      <w:marTop w:val="0"/>
      <w:marBottom w:val="0"/>
      <w:divBdr>
        <w:top w:val="none" w:sz="0" w:space="0" w:color="auto"/>
        <w:left w:val="none" w:sz="0" w:space="0" w:color="auto"/>
        <w:bottom w:val="none" w:sz="0" w:space="0" w:color="auto"/>
        <w:right w:val="none" w:sz="0" w:space="0" w:color="auto"/>
      </w:divBdr>
    </w:div>
    <w:div w:id="159472115">
      <w:bodyDiv w:val="1"/>
      <w:marLeft w:val="0"/>
      <w:marRight w:val="0"/>
      <w:marTop w:val="0"/>
      <w:marBottom w:val="0"/>
      <w:divBdr>
        <w:top w:val="none" w:sz="0" w:space="0" w:color="auto"/>
        <w:left w:val="none" w:sz="0" w:space="0" w:color="auto"/>
        <w:bottom w:val="none" w:sz="0" w:space="0" w:color="auto"/>
        <w:right w:val="none" w:sz="0" w:space="0" w:color="auto"/>
      </w:divBdr>
    </w:div>
    <w:div w:id="186140447">
      <w:bodyDiv w:val="1"/>
      <w:marLeft w:val="0"/>
      <w:marRight w:val="0"/>
      <w:marTop w:val="0"/>
      <w:marBottom w:val="0"/>
      <w:divBdr>
        <w:top w:val="none" w:sz="0" w:space="0" w:color="auto"/>
        <w:left w:val="none" w:sz="0" w:space="0" w:color="auto"/>
        <w:bottom w:val="none" w:sz="0" w:space="0" w:color="auto"/>
        <w:right w:val="none" w:sz="0" w:space="0" w:color="auto"/>
      </w:divBdr>
    </w:div>
    <w:div w:id="222523359">
      <w:bodyDiv w:val="1"/>
      <w:marLeft w:val="0"/>
      <w:marRight w:val="0"/>
      <w:marTop w:val="0"/>
      <w:marBottom w:val="0"/>
      <w:divBdr>
        <w:top w:val="none" w:sz="0" w:space="0" w:color="auto"/>
        <w:left w:val="none" w:sz="0" w:space="0" w:color="auto"/>
        <w:bottom w:val="none" w:sz="0" w:space="0" w:color="auto"/>
        <w:right w:val="none" w:sz="0" w:space="0" w:color="auto"/>
      </w:divBdr>
    </w:div>
    <w:div w:id="246423487">
      <w:bodyDiv w:val="1"/>
      <w:marLeft w:val="0"/>
      <w:marRight w:val="0"/>
      <w:marTop w:val="0"/>
      <w:marBottom w:val="0"/>
      <w:divBdr>
        <w:top w:val="none" w:sz="0" w:space="0" w:color="auto"/>
        <w:left w:val="none" w:sz="0" w:space="0" w:color="auto"/>
        <w:bottom w:val="none" w:sz="0" w:space="0" w:color="auto"/>
        <w:right w:val="none" w:sz="0" w:space="0" w:color="auto"/>
      </w:divBdr>
    </w:div>
    <w:div w:id="325324191">
      <w:bodyDiv w:val="1"/>
      <w:marLeft w:val="0"/>
      <w:marRight w:val="0"/>
      <w:marTop w:val="0"/>
      <w:marBottom w:val="0"/>
      <w:divBdr>
        <w:top w:val="none" w:sz="0" w:space="0" w:color="auto"/>
        <w:left w:val="none" w:sz="0" w:space="0" w:color="auto"/>
        <w:bottom w:val="none" w:sz="0" w:space="0" w:color="auto"/>
        <w:right w:val="none" w:sz="0" w:space="0" w:color="auto"/>
      </w:divBdr>
    </w:div>
    <w:div w:id="329138063">
      <w:bodyDiv w:val="1"/>
      <w:marLeft w:val="0"/>
      <w:marRight w:val="0"/>
      <w:marTop w:val="0"/>
      <w:marBottom w:val="0"/>
      <w:divBdr>
        <w:top w:val="none" w:sz="0" w:space="0" w:color="auto"/>
        <w:left w:val="none" w:sz="0" w:space="0" w:color="auto"/>
        <w:bottom w:val="none" w:sz="0" w:space="0" w:color="auto"/>
        <w:right w:val="none" w:sz="0" w:space="0" w:color="auto"/>
      </w:divBdr>
    </w:div>
    <w:div w:id="368797427">
      <w:bodyDiv w:val="1"/>
      <w:marLeft w:val="0"/>
      <w:marRight w:val="0"/>
      <w:marTop w:val="0"/>
      <w:marBottom w:val="0"/>
      <w:divBdr>
        <w:top w:val="none" w:sz="0" w:space="0" w:color="auto"/>
        <w:left w:val="none" w:sz="0" w:space="0" w:color="auto"/>
        <w:bottom w:val="none" w:sz="0" w:space="0" w:color="auto"/>
        <w:right w:val="none" w:sz="0" w:space="0" w:color="auto"/>
      </w:divBdr>
    </w:div>
    <w:div w:id="394351525">
      <w:bodyDiv w:val="1"/>
      <w:marLeft w:val="0"/>
      <w:marRight w:val="0"/>
      <w:marTop w:val="0"/>
      <w:marBottom w:val="0"/>
      <w:divBdr>
        <w:top w:val="none" w:sz="0" w:space="0" w:color="auto"/>
        <w:left w:val="none" w:sz="0" w:space="0" w:color="auto"/>
        <w:bottom w:val="none" w:sz="0" w:space="0" w:color="auto"/>
        <w:right w:val="none" w:sz="0" w:space="0" w:color="auto"/>
      </w:divBdr>
    </w:div>
    <w:div w:id="397364234">
      <w:bodyDiv w:val="1"/>
      <w:marLeft w:val="0"/>
      <w:marRight w:val="0"/>
      <w:marTop w:val="0"/>
      <w:marBottom w:val="0"/>
      <w:divBdr>
        <w:top w:val="none" w:sz="0" w:space="0" w:color="auto"/>
        <w:left w:val="none" w:sz="0" w:space="0" w:color="auto"/>
        <w:bottom w:val="none" w:sz="0" w:space="0" w:color="auto"/>
        <w:right w:val="none" w:sz="0" w:space="0" w:color="auto"/>
      </w:divBdr>
    </w:div>
    <w:div w:id="502864996">
      <w:bodyDiv w:val="1"/>
      <w:marLeft w:val="0"/>
      <w:marRight w:val="0"/>
      <w:marTop w:val="0"/>
      <w:marBottom w:val="0"/>
      <w:divBdr>
        <w:top w:val="none" w:sz="0" w:space="0" w:color="auto"/>
        <w:left w:val="none" w:sz="0" w:space="0" w:color="auto"/>
        <w:bottom w:val="none" w:sz="0" w:space="0" w:color="auto"/>
        <w:right w:val="none" w:sz="0" w:space="0" w:color="auto"/>
      </w:divBdr>
    </w:div>
    <w:div w:id="509101635">
      <w:bodyDiv w:val="1"/>
      <w:marLeft w:val="0"/>
      <w:marRight w:val="0"/>
      <w:marTop w:val="0"/>
      <w:marBottom w:val="0"/>
      <w:divBdr>
        <w:top w:val="none" w:sz="0" w:space="0" w:color="auto"/>
        <w:left w:val="none" w:sz="0" w:space="0" w:color="auto"/>
        <w:bottom w:val="none" w:sz="0" w:space="0" w:color="auto"/>
        <w:right w:val="none" w:sz="0" w:space="0" w:color="auto"/>
      </w:divBdr>
    </w:div>
    <w:div w:id="531501894">
      <w:bodyDiv w:val="1"/>
      <w:marLeft w:val="0"/>
      <w:marRight w:val="0"/>
      <w:marTop w:val="0"/>
      <w:marBottom w:val="0"/>
      <w:divBdr>
        <w:top w:val="none" w:sz="0" w:space="0" w:color="auto"/>
        <w:left w:val="none" w:sz="0" w:space="0" w:color="auto"/>
        <w:bottom w:val="none" w:sz="0" w:space="0" w:color="auto"/>
        <w:right w:val="none" w:sz="0" w:space="0" w:color="auto"/>
      </w:divBdr>
    </w:div>
    <w:div w:id="540484525">
      <w:bodyDiv w:val="1"/>
      <w:marLeft w:val="0"/>
      <w:marRight w:val="0"/>
      <w:marTop w:val="0"/>
      <w:marBottom w:val="0"/>
      <w:divBdr>
        <w:top w:val="none" w:sz="0" w:space="0" w:color="auto"/>
        <w:left w:val="none" w:sz="0" w:space="0" w:color="auto"/>
        <w:bottom w:val="none" w:sz="0" w:space="0" w:color="auto"/>
        <w:right w:val="none" w:sz="0" w:space="0" w:color="auto"/>
      </w:divBdr>
    </w:div>
    <w:div w:id="551427519">
      <w:bodyDiv w:val="1"/>
      <w:marLeft w:val="0"/>
      <w:marRight w:val="0"/>
      <w:marTop w:val="0"/>
      <w:marBottom w:val="0"/>
      <w:divBdr>
        <w:top w:val="none" w:sz="0" w:space="0" w:color="auto"/>
        <w:left w:val="none" w:sz="0" w:space="0" w:color="auto"/>
        <w:bottom w:val="none" w:sz="0" w:space="0" w:color="auto"/>
        <w:right w:val="none" w:sz="0" w:space="0" w:color="auto"/>
      </w:divBdr>
    </w:div>
    <w:div w:id="554510193">
      <w:bodyDiv w:val="1"/>
      <w:marLeft w:val="0"/>
      <w:marRight w:val="0"/>
      <w:marTop w:val="0"/>
      <w:marBottom w:val="0"/>
      <w:divBdr>
        <w:top w:val="none" w:sz="0" w:space="0" w:color="auto"/>
        <w:left w:val="none" w:sz="0" w:space="0" w:color="auto"/>
        <w:bottom w:val="none" w:sz="0" w:space="0" w:color="auto"/>
        <w:right w:val="none" w:sz="0" w:space="0" w:color="auto"/>
      </w:divBdr>
    </w:div>
    <w:div w:id="619145018">
      <w:bodyDiv w:val="1"/>
      <w:marLeft w:val="0"/>
      <w:marRight w:val="0"/>
      <w:marTop w:val="0"/>
      <w:marBottom w:val="0"/>
      <w:divBdr>
        <w:top w:val="none" w:sz="0" w:space="0" w:color="auto"/>
        <w:left w:val="none" w:sz="0" w:space="0" w:color="auto"/>
        <w:bottom w:val="none" w:sz="0" w:space="0" w:color="auto"/>
        <w:right w:val="none" w:sz="0" w:space="0" w:color="auto"/>
      </w:divBdr>
    </w:div>
    <w:div w:id="631861051">
      <w:bodyDiv w:val="1"/>
      <w:marLeft w:val="0"/>
      <w:marRight w:val="0"/>
      <w:marTop w:val="0"/>
      <w:marBottom w:val="0"/>
      <w:divBdr>
        <w:top w:val="none" w:sz="0" w:space="0" w:color="auto"/>
        <w:left w:val="none" w:sz="0" w:space="0" w:color="auto"/>
        <w:bottom w:val="none" w:sz="0" w:space="0" w:color="auto"/>
        <w:right w:val="none" w:sz="0" w:space="0" w:color="auto"/>
      </w:divBdr>
    </w:div>
    <w:div w:id="673531006">
      <w:bodyDiv w:val="1"/>
      <w:marLeft w:val="0"/>
      <w:marRight w:val="0"/>
      <w:marTop w:val="0"/>
      <w:marBottom w:val="0"/>
      <w:divBdr>
        <w:top w:val="none" w:sz="0" w:space="0" w:color="auto"/>
        <w:left w:val="none" w:sz="0" w:space="0" w:color="auto"/>
        <w:bottom w:val="none" w:sz="0" w:space="0" w:color="auto"/>
        <w:right w:val="none" w:sz="0" w:space="0" w:color="auto"/>
      </w:divBdr>
    </w:div>
    <w:div w:id="714694138">
      <w:bodyDiv w:val="1"/>
      <w:marLeft w:val="0"/>
      <w:marRight w:val="0"/>
      <w:marTop w:val="0"/>
      <w:marBottom w:val="0"/>
      <w:divBdr>
        <w:top w:val="none" w:sz="0" w:space="0" w:color="auto"/>
        <w:left w:val="none" w:sz="0" w:space="0" w:color="auto"/>
        <w:bottom w:val="none" w:sz="0" w:space="0" w:color="auto"/>
        <w:right w:val="none" w:sz="0" w:space="0" w:color="auto"/>
      </w:divBdr>
    </w:div>
    <w:div w:id="715088498">
      <w:bodyDiv w:val="1"/>
      <w:marLeft w:val="0"/>
      <w:marRight w:val="0"/>
      <w:marTop w:val="0"/>
      <w:marBottom w:val="0"/>
      <w:divBdr>
        <w:top w:val="none" w:sz="0" w:space="0" w:color="auto"/>
        <w:left w:val="none" w:sz="0" w:space="0" w:color="auto"/>
        <w:bottom w:val="none" w:sz="0" w:space="0" w:color="auto"/>
        <w:right w:val="none" w:sz="0" w:space="0" w:color="auto"/>
      </w:divBdr>
    </w:div>
    <w:div w:id="728502958">
      <w:bodyDiv w:val="1"/>
      <w:marLeft w:val="0"/>
      <w:marRight w:val="0"/>
      <w:marTop w:val="0"/>
      <w:marBottom w:val="0"/>
      <w:divBdr>
        <w:top w:val="none" w:sz="0" w:space="0" w:color="auto"/>
        <w:left w:val="none" w:sz="0" w:space="0" w:color="auto"/>
        <w:bottom w:val="none" w:sz="0" w:space="0" w:color="auto"/>
        <w:right w:val="none" w:sz="0" w:space="0" w:color="auto"/>
      </w:divBdr>
    </w:div>
    <w:div w:id="735323929">
      <w:bodyDiv w:val="1"/>
      <w:marLeft w:val="0"/>
      <w:marRight w:val="0"/>
      <w:marTop w:val="0"/>
      <w:marBottom w:val="0"/>
      <w:divBdr>
        <w:top w:val="none" w:sz="0" w:space="0" w:color="auto"/>
        <w:left w:val="none" w:sz="0" w:space="0" w:color="auto"/>
        <w:bottom w:val="none" w:sz="0" w:space="0" w:color="auto"/>
        <w:right w:val="none" w:sz="0" w:space="0" w:color="auto"/>
      </w:divBdr>
    </w:div>
    <w:div w:id="754783288">
      <w:bodyDiv w:val="1"/>
      <w:marLeft w:val="0"/>
      <w:marRight w:val="0"/>
      <w:marTop w:val="0"/>
      <w:marBottom w:val="0"/>
      <w:divBdr>
        <w:top w:val="none" w:sz="0" w:space="0" w:color="auto"/>
        <w:left w:val="none" w:sz="0" w:space="0" w:color="auto"/>
        <w:bottom w:val="none" w:sz="0" w:space="0" w:color="auto"/>
        <w:right w:val="none" w:sz="0" w:space="0" w:color="auto"/>
      </w:divBdr>
    </w:div>
    <w:div w:id="757604500">
      <w:bodyDiv w:val="1"/>
      <w:marLeft w:val="0"/>
      <w:marRight w:val="0"/>
      <w:marTop w:val="0"/>
      <w:marBottom w:val="0"/>
      <w:divBdr>
        <w:top w:val="none" w:sz="0" w:space="0" w:color="auto"/>
        <w:left w:val="none" w:sz="0" w:space="0" w:color="auto"/>
        <w:bottom w:val="none" w:sz="0" w:space="0" w:color="auto"/>
        <w:right w:val="none" w:sz="0" w:space="0" w:color="auto"/>
      </w:divBdr>
    </w:div>
    <w:div w:id="765274681">
      <w:bodyDiv w:val="1"/>
      <w:marLeft w:val="0"/>
      <w:marRight w:val="0"/>
      <w:marTop w:val="0"/>
      <w:marBottom w:val="0"/>
      <w:divBdr>
        <w:top w:val="none" w:sz="0" w:space="0" w:color="auto"/>
        <w:left w:val="none" w:sz="0" w:space="0" w:color="auto"/>
        <w:bottom w:val="none" w:sz="0" w:space="0" w:color="auto"/>
        <w:right w:val="none" w:sz="0" w:space="0" w:color="auto"/>
      </w:divBdr>
    </w:div>
    <w:div w:id="790706432">
      <w:bodyDiv w:val="1"/>
      <w:marLeft w:val="0"/>
      <w:marRight w:val="0"/>
      <w:marTop w:val="0"/>
      <w:marBottom w:val="0"/>
      <w:divBdr>
        <w:top w:val="none" w:sz="0" w:space="0" w:color="auto"/>
        <w:left w:val="none" w:sz="0" w:space="0" w:color="auto"/>
        <w:bottom w:val="none" w:sz="0" w:space="0" w:color="auto"/>
        <w:right w:val="none" w:sz="0" w:space="0" w:color="auto"/>
      </w:divBdr>
    </w:div>
    <w:div w:id="800415255">
      <w:bodyDiv w:val="1"/>
      <w:marLeft w:val="0"/>
      <w:marRight w:val="0"/>
      <w:marTop w:val="0"/>
      <w:marBottom w:val="0"/>
      <w:divBdr>
        <w:top w:val="none" w:sz="0" w:space="0" w:color="auto"/>
        <w:left w:val="none" w:sz="0" w:space="0" w:color="auto"/>
        <w:bottom w:val="none" w:sz="0" w:space="0" w:color="auto"/>
        <w:right w:val="none" w:sz="0" w:space="0" w:color="auto"/>
      </w:divBdr>
    </w:div>
    <w:div w:id="826745975">
      <w:bodyDiv w:val="1"/>
      <w:marLeft w:val="0"/>
      <w:marRight w:val="0"/>
      <w:marTop w:val="0"/>
      <w:marBottom w:val="0"/>
      <w:divBdr>
        <w:top w:val="none" w:sz="0" w:space="0" w:color="auto"/>
        <w:left w:val="none" w:sz="0" w:space="0" w:color="auto"/>
        <w:bottom w:val="none" w:sz="0" w:space="0" w:color="auto"/>
        <w:right w:val="none" w:sz="0" w:space="0" w:color="auto"/>
      </w:divBdr>
    </w:div>
    <w:div w:id="907954838">
      <w:bodyDiv w:val="1"/>
      <w:marLeft w:val="0"/>
      <w:marRight w:val="0"/>
      <w:marTop w:val="0"/>
      <w:marBottom w:val="0"/>
      <w:divBdr>
        <w:top w:val="none" w:sz="0" w:space="0" w:color="auto"/>
        <w:left w:val="none" w:sz="0" w:space="0" w:color="auto"/>
        <w:bottom w:val="none" w:sz="0" w:space="0" w:color="auto"/>
        <w:right w:val="none" w:sz="0" w:space="0" w:color="auto"/>
      </w:divBdr>
    </w:div>
    <w:div w:id="927269736">
      <w:bodyDiv w:val="1"/>
      <w:marLeft w:val="0"/>
      <w:marRight w:val="0"/>
      <w:marTop w:val="0"/>
      <w:marBottom w:val="0"/>
      <w:divBdr>
        <w:top w:val="none" w:sz="0" w:space="0" w:color="auto"/>
        <w:left w:val="none" w:sz="0" w:space="0" w:color="auto"/>
        <w:bottom w:val="none" w:sz="0" w:space="0" w:color="auto"/>
        <w:right w:val="none" w:sz="0" w:space="0" w:color="auto"/>
      </w:divBdr>
    </w:div>
    <w:div w:id="964430621">
      <w:bodyDiv w:val="1"/>
      <w:marLeft w:val="0"/>
      <w:marRight w:val="0"/>
      <w:marTop w:val="0"/>
      <w:marBottom w:val="0"/>
      <w:divBdr>
        <w:top w:val="none" w:sz="0" w:space="0" w:color="auto"/>
        <w:left w:val="none" w:sz="0" w:space="0" w:color="auto"/>
        <w:bottom w:val="none" w:sz="0" w:space="0" w:color="auto"/>
        <w:right w:val="none" w:sz="0" w:space="0" w:color="auto"/>
      </w:divBdr>
    </w:div>
    <w:div w:id="979261778">
      <w:bodyDiv w:val="1"/>
      <w:marLeft w:val="0"/>
      <w:marRight w:val="0"/>
      <w:marTop w:val="0"/>
      <w:marBottom w:val="0"/>
      <w:divBdr>
        <w:top w:val="none" w:sz="0" w:space="0" w:color="auto"/>
        <w:left w:val="none" w:sz="0" w:space="0" w:color="auto"/>
        <w:bottom w:val="none" w:sz="0" w:space="0" w:color="auto"/>
        <w:right w:val="none" w:sz="0" w:space="0" w:color="auto"/>
      </w:divBdr>
    </w:div>
    <w:div w:id="984816253">
      <w:bodyDiv w:val="1"/>
      <w:marLeft w:val="0"/>
      <w:marRight w:val="0"/>
      <w:marTop w:val="0"/>
      <w:marBottom w:val="0"/>
      <w:divBdr>
        <w:top w:val="none" w:sz="0" w:space="0" w:color="auto"/>
        <w:left w:val="none" w:sz="0" w:space="0" w:color="auto"/>
        <w:bottom w:val="none" w:sz="0" w:space="0" w:color="auto"/>
        <w:right w:val="none" w:sz="0" w:space="0" w:color="auto"/>
      </w:divBdr>
    </w:div>
    <w:div w:id="986907499">
      <w:bodyDiv w:val="1"/>
      <w:marLeft w:val="0"/>
      <w:marRight w:val="0"/>
      <w:marTop w:val="0"/>
      <w:marBottom w:val="0"/>
      <w:divBdr>
        <w:top w:val="none" w:sz="0" w:space="0" w:color="auto"/>
        <w:left w:val="none" w:sz="0" w:space="0" w:color="auto"/>
        <w:bottom w:val="none" w:sz="0" w:space="0" w:color="auto"/>
        <w:right w:val="none" w:sz="0" w:space="0" w:color="auto"/>
      </w:divBdr>
    </w:div>
    <w:div w:id="1002271153">
      <w:bodyDiv w:val="1"/>
      <w:marLeft w:val="0"/>
      <w:marRight w:val="0"/>
      <w:marTop w:val="0"/>
      <w:marBottom w:val="0"/>
      <w:divBdr>
        <w:top w:val="none" w:sz="0" w:space="0" w:color="auto"/>
        <w:left w:val="none" w:sz="0" w:space="0" w:color="auto"/>
        <w:bottom w:val="none" w:sz="0" w:space="0" w:color="auto"/>
        <w:right w:val="none" w:sz="0" w:space="0" w:color="auto"/>
      </w:divBdr>
    </w:div>
    <w:div w:id="1009676132">
      <w:bodyDiv w:val="1"/>
      <w:marLeft w:val="0"/>
      <w:marRight w:val="0"/>
      <w:marTop w:val="0"/>
      <w:marBottom w:val="0"/>
      <w:divBdr>
        <w:top w:val="none" w:sz="0" w:space="0" w:color="auto"/>
        <w:left w:val="none" w:sz="0" w:space="0" w:color="auto"/>
        <w:bottom w:val="none" w:sz="0" w:space="0" w:color="auto"/>
        <w:right w:val="none" w:sz="0" w:space="0" w:color="auto"/>
      </w:divBdr>
    </w:div>
    <w:div w:id="1040478638">
      <w:bodyDiv w:val="1"/>
      <w:marLeft w:val="0"/>
      <w:marRight w:val="0"/>
      <w:marTop w:val="0"/>
      <w:marBottom w:val="0"/>
      <w:divBdr>
        <w:top w:val="none" w:sz="0" w:space="0" w:color="auto"/>
        <w:left w:val="none" w:sz="0" w:space="0" w:color="auto"/>
        <w:bottom w:val="none" w:sz="0" w:space="0" w:color="auto"/>
        <w:right w:val="none" w:sz="0" w:space="0" w:color="auto"/>
      </w:divBdr>
    </w:div>
    <w:div w:id="1073160388">
      <w:bodyDiv w:val="1"/>
      <w:marLeft w:val="0"/>
      <w:marRight w:val="0"/>
      <w:marTop w:val="0"/>
      <w:marBottom w:val="0"/>
      <w:divBdr>
        <w:top w:val="none" w:sz="0" w:space="0" w:color="auto"/>
        <w:left w:val="none" w:sz="0" w:space="0" w:color="auto"/>
        <w:bottom w:val="none" w:sz="0" w:space="0" w:color="auto"/>
        <w:right w:val="none" w:sz="0" w:space="0" w:color="auto"/>
      </w:divBdr>
    </w:div>
    <w:div w:id="1084884809">
      <w:bodyDiv w:val="1"/>
      <w:marLeft w:val="0"/>
      <w:marRight w:val="0"/>
      <w:marTop w:val="0"/>
      <w:marBottom w:val="0"/>
      <w:divBdr>
        <w:top w:val="none" w:sz="0" w:space="0" w:color="auto"/>
        <w:left w:val="none" w:sz="0" w:space="0" w:color="auto"/>
        <w:bottom w:val="none" w:sz="0" w:space="0" w:color="auto"/>
        <w:right w:val="none" w:sz="0" w:space="0" w:color="auto"/>
      </w:divBdr>
    </w:div>
    <w:div w:id="1112093500">
      <w:bodyDiv w:val="1"/>
      <w:marLeft w:val="0"/>
      <w:marRight w:val="0"/>
      <w:marTop w:val="0"/>
      <w:marBottom w:val="0"/>
      <w:divBdr>
        <w:top w:val="none" w:sz="0" w:space="0" w:color="auto"/>
        <w:left w:val="none" w:sz="0" w:space="0" w:color="auto"/>
        <w:bottom w:val="none" w:sz="0" w:space="0" w:color="auto"/>
        <w:right w:val="none" w:sz="0" w:space="0" w:color="auto"/>
      </w:divBdr>
    </w:div>
    <w:div w:id="1122308113">
      <w:bodyDiv w:val="1"/>
      <w:marLeft w:val="0"/>
      <w:marRight w:val="0"/>
      <w:marTop w:val="0"/>
      <w:marBottom w:val="0"/>
      <w:divBdr>
        <w:top w:val="none" w:sz="0" w:space="0" w:color="auto"/>
        <w:left w:val="none" w:sz="0" w:space="0" w:color="auto"/>
        <w:bottom w:val="none" w:sz="0" w:space="0" w:color="auto"/>
        <w:right w:val="none" w:sz="0" w:space="0" w:color="auto"/>
      </w:divBdr>
    </w:div>
    <w:div w:id="1129125489">
      <w:bodyDiv w:val="1"/>
      <w:marLeft w:val="0"/>
      <w:marRight w:val="0"/>
      <w:marTop w:val="0"/>
      <w:marBottom w:val="0"/>
      <w:divBdr>
        <w:top w:val="none" w:sz="0" w:space="0" w:color="auto"/>
        <w:left w:val="none" w:sz="0" w:space="0" w:color="auto"/>
        <w:bottom w:val="none" w:sz="0" w:space="0" w:color="auto"/>
        <w:right w:val="none" w:sz="0" w:space="0" w:color="auto"/>
      </w:divBdr>
    </w:div>
    <w:div w:id="1147354451">
      <w:bodyDiv w:val="1"/>
      <w:marLeft w:val="0"/>
      <w:marRight w:val="0"/>
      <w:marTop w:val="0"/>
      <w:marBottom w:val="0"/>
      <w:divBdr>
        <w:top w:val="none" w:sz="0" w:space="0" w:color="auto"/>
        <w:left w:val="none" w:sz="0" w:space="0" w:color="auto"/>
        <w:bottom w:val="none" w:sz="0" w:space="0" w:color="auto"/>
        <w:right w:val="none" w:sz="0" w:space="0" w:color="auto"/>
      </w:divBdr>
    </w:div>
    <w:div w:id="1165123830">
      <w:bodyDiv w:val="1"/>
      <w:marLeft w:val="0"/>
      <w:marRight w:val="0"/>
      <w:marTop w:val="0"/>
      <w:marBottom w:val="0"/>
      <w:divBdr>
        <w:top w:val="none" w:sz="0" w:space="0" w:color="auto"/>
        <w:left w:val="none" w:sz="0" w:space="0" w:color="auto"/>
        <w:bottom w:val="none" w:sz="0" w:space="0" w:color="auto"/>
        <w:right w:val="none" w:sz="0" w:space="0" w:color="auto"/>
      </w:divBdr>
    </w:div>
    <w:div w:id="1172648206">
      <w:bodyDiv w:val="1"/>
      <w:marLeft w:val="0"/>
      <w:marRight w:val="0"/>
      <w:marTop w:val="0"/>
      <w:marBottom w:val="0"/>
      <w:divBdr>
        <w:top w:val="none" w:sz="0" w:space="0" w:color="auto"/>
        <w:left w:val="none" w:sz="0" w:space="0" w:color="auto"/>
        <w:bottom w:val="none" w:sz="0" w:space="0" w:color="auto"/>
        <w:right w:val="none" w:sz="0" w:space="0" w:color="auto"/>
      </w:divBdr>
    </w:div>
    <w:div w:id="1193762874">
      <w:bodyDiv w:val="1"/>
      <w:marLeft w:val="0"/>
      <w:marRight w:val="0"/>
      <w:marTop w:val="0"/>
      <w:marBottom w:val="0"/>
      <w:divBdr>
        <w:top w:val="none" w:sz="0" w:space="0" w:color="auto"/>
        <w:left w:val="none" w:sz="0" w:space="0" w:color="auto"/>
        <w:bottom w:val="none" w:sz="0" w:space="0" w:color="auto"/>
        <w:right w:val="none" w:sz="0" w:space="0" w:color="auto"/>
      </w:divBdr>
    </w:div>
    <w:div w:id="1196848803">
      <w:bodyDiv w:val="1"/>
      <w:marLeft w:val="0"/>
      <w:marRight w:val="0"/>
      <w:marTop w:val="0"/>
      <w:marBottom w:val="0"/>
      <w:divBdr>
        <w:top w:val="none" w:sz="0" w:space="0" w:color="auto"/>
        <w:left w:val="none" w:sz="0" w:space="0" w:color="auto"/>
        <w:bottom w:val="none" w:sz="0" w:space="0" w:color="auto"/>
        <w:right w:val="none" w:sz="0" w:space="0" w:color="auto"/>
      </w:divBdr>
    </w:div>
    <w:div w:id="1283809455">
      <w:bodyDiv w:val="1"/>
      <w:marLeft w:val="0"/>
      <w:marRight w:val="0"/>
      <w:marTop w:val="0"/>
      <w:marBottom w:val="0"/>
      <w:divBdr>
        <w:top w:val="none" w:sz="0" w:space="0" w:color="auto"/>
        <w:left w:val="none" w:sz="0" w:space="0" w:color="auto"/>
        <w:bottom w:val="none" w:sz="0" w:space="0" w:color="auto"/>
        <w:right w:val="none" w:sz="0" w:space="0" w:color="auto"/>
      </w:divBdr>
    </w:div>
    <w:div w:id="1324813574">
      <w:bodyDiv w:val="1"/>
      <w:marLeft w:val="0"/>
      <w:marRight w:val="0"/>
      <w:marTop w:val="0"/>
      <w:marBottom w:val="0"/>
      <w:divBdr>
        <w:top w:val="none" w:sz="0" w:space="0" w:color="auto"/>
        <w:left w:val="none" w:sz="0" w:space="0" w:color="auto"/>
        <w:bottom w:val="none" w:sz="0" w:space="0" w:color="auto"/>
        <w:right w:val="none" w:sz="0" w:space="0" w:color="auto"/>
      </w:divBdr>
    </w:div>
    <w:div w:id="1368289654">
      <w:bodyDiv w:val="1"/>
      <w:marLeft w:val="0"/>
      <w:marRight w:val="0"/>
      <w:marTop w:val="0"/>
      <w:marBottom w:val="0"/>
      <w:divBdr>
        <w:top w:val="none" w:sz="0" w:space="0" w:color="auto"/>
        <w:left w:val="none" w:sz="0" w:space="0" w:color="auto"/>
        <w:bottom w:val="none" w:sz="0" w:space="0" w:color="auto"/>
        <w:right w:val="none" w:sz="0" w:space="0" w:color="auto"/>
      </w:divBdr>
    </w:div>
    <w:div w:id="1377243217">
      <w:bodyDiv w:val="1"/>
      <w:marLeft w:val="0"/>
      <w:marRight w:val="0"/>
      <w:marTop w:val="0"/>
      <w:marBottom w:val="0"/>
      <w:divBdr>
        <w:top w:val="none" w:sz="0" w:space="0" w:color="auto"/>
        <w:left w:val="none" w:sz="0" w:space="0" w:color="auto"/>
        <w:bottom w:val="none" w:sz="0" w:space="0" w:color="auto"/>
        <w:right w:val="none" w:sz="0" w:space="0" w:color="auto"/>
      </w:divBdr>
    </w:div>
    <w:div w:id="1399598451">
      <w:bodyDiv w:val="1"/>
      <w:marLeft w:val="0"/>
      <w:marRight w:val="0"/>
      <w:marTop w:val="0"/>
      <w:marBottom w:val="0"/>
      <w:divBdr>
        <w:top w:val="none" w:sz="0" w:space="0" w:color="auto"/>
        <w:left w:val="none" w:sz="0" w:space="0" w:color="auto"/>
        <w:bottom w:val="none" w:sz="0" w:space="0" w:color="auto"/>
        <w:right w:val="none" w:sz="0" w:space="0" w:color="auto"/>
      </w:divBdr>
    </w:div>
    <w:div w:id="1403022517">
      <w:bodyDiv w:val="1"/>
      <w:marLeft w:val="0"/>
      <w:marRight w:val="0"/>
      <w:marTop w:val="0"/>
      <w:marBottom w:val="0"/>
      <w:divBdr>
        <w:top w:val="none" w:sz="0" w:space="0" w:color="auto"/>
        <w:left w:val="none" w:sz="0" w:space="0" w:color="auto"/>
        <w:bottom w:val="none" w:sz="0" w:space="0" w:color="auto"/>
        <w:right w:val="none" w:sz="0" w:space="0" w:color="auto"/>
      </w:divBdr>
    </w:div>
    <w:div w:id="1403874235">
      <w:bodyDiv w:val="1"/>
      <w:marLeft w:val="0"/>
      <w:marRight w:val="0"/>
      <w:marTop w:val="0"/>
      <w:marBottom w:val="0"/>
      <w:divBdr>
        <w:top w:val="none" w:sz="0" w:space="0" w:color="auto"/>
        <w:left w:val="none" w:sz="0" w:space="0" w:color="auto"/>
        <w:bottom w:val="none" w:sz="0" w:space="0" w:color="auto"/>
        <w:right w:val="none" w:sz="0" w:space="0" w:color="auto"/>
      </w:divBdr>
    </w:div>
    <w:div w:id="1412042483">
      <w:bodyDiv w:val="1"/>
      <w:marLeft w:val="0"/>
      <w:marRight w:val="0"/>
      <w:marTop w:val="0"/>
      <w:marBottom w:val="0"/>
      <w:divBdr>
        <w:top w:val="none" w:sz="0" w:space="0" w:color="auto"/>
        <w:left w:val="none" w:sz="0" w:space="0" w:color="auto"/>
        <w:bottom w:val="none" w:sz="0" w:space="0" w:color="auto"/>
        <w:right w:val="none" w:sz="0" w:space="0" w:color="auto"/>
      </w:divBdr>
    </w:div>
    <w:div w:id="1418401351">
      <w:bodyDiv w:val="1"/>
      <w:marLeft w:val="0"/>
      <w:marRight w:val="0"/>
      <w:marTop w:val="0"/>
      <w:marBottom w:val="0"/>
      <w:divBdr>
        <w:top w:val="none" w:sz="0" w:space="0" w:color="auto"/>
        <w:left w:val="none" w:sz="0" w:space="0" w:color="auto"/>
        <w:bottom w:val="none" w:sz="0" w:space="0" w:color="auto"/>
        <w:right w:val="none" w:sz="0" w:space="0" w:color="auto"/>
      </w:divBdr>
    </w:div>
    <w:div w:id="1438793242">
      <w:bodyDiv w:val="1"/>
      <w:marLeft w:val="0"/>
      <w:marRight w:val="0"/>
      <w:marTop w:val="0"/>
      <w:marBottom w:val="0"/>
      <w:divBdr>
        <w:top w:val="none" w:sz="0" w:space="0" w:color="auto"/>
        <w:left w:val="none" w:sz="0" w:space="0" w:color="auto"/>
        <w:bottom w:val="none" w:sz="0" w:space="0" w:color="auto"/>
        <w:right w:val="none" w:sz="0" w:space="0" w:color="auto"/>
      </w:divBdr>
    </w:div>
    <w:div w:id="1467241067">
      <w:bodyDiv w:val="1"/>
      <w:marLeft w:val="0"/>
      <w:marRight w:val="0"/>
      <w:marTop w:val="0"/>
      <w:marBottom w:val="0"/>
      <w:divBdr>
        <w:top w:val="none" w:sz="0" w:space="0" w:color="auto"/>
        <w:left w:val="none" w:sz="0" w:space="0" w:color="auto"/>
        <w:bottom w:val="none" w:sz="0" w:space="0" w:color="auto"/>
        <w:right w:val="none" w:sz="0" w:space="0" w:color="auto"/>
      </w:divBdr>
    </w:div>
    <w:div w:id="1478378725">
      <w:bodyDiv w:val="1"/>
      <w:marLeft w:val="0"/>
      <w:marRight w:val="0"/>
      <w:marTop w:val="0"/>
      <w:marBottom w:val="0"/>
      <w:divBdr>
        <w:top w:val="none" w:sz="0" w:space="0" w:color="auto"/>
        <w:left w:val="none" w:sz="0" w:space="0" w:color="auto"/>
        <w:bottom w:val="none" w:sz="0" w:space="0" w:color="auto"/>
        <w:right w:val="none" w:sz="0" w:space="0" w:color="auto"/>
      </w:divBdr>
    </w:div>
    <w:div w:id="1480686249">
      <w:bodyDiv w:val="1"/>
      <w:marLeft w:val="0"/>
      <w:marRight w:val="0"/>
      <w:marTop w:val="0"/>
      <w:marBottom w:val="0"/>
      <w:divBdr>
        <w:top w:val="none" w:sz="0" w:space="0" w:color="auto"/>
        <w:left w:val="none" w:sz="0" w:space="0" w:color="auto"/>
        <w:bottom w:val="none" w:sz="0" w:space="0" w:color="auto"/>
        <w:right w:val="none" w:sz="0" w:space="0" w:color="auto"/>
      </w:divBdr>
    </w:div>
    <w:div w:id="1516768255">
      <w:bodyDiv w:val="1"/>
      <w:marLeft w:val="0"/>
      <w:marRight w:val="0"/>
      <w:marTop w:val="0"/>
      <w:marBottom w:val="0"/>
      <w:divBdr>
        <w:top w:val="none" w:sz="0" w:space="0" w:color="auto"/>
        <w:left w:val="none" w:sz="0" w:space="0" w:color="auto"/>
        <w:bottom w:val="none" w:sz="0" w:space="0" w:color="auto"/>
        <w:right w:val="none" w:sz="0" w:space="0" w:color="auto"/>
      </w:divBdr>
    </w:div>
    <w:div w:id="1542984692">
      <w:bodyDiv w:val="1"/>
      <w:marLeft w:val="0"/>
      <w:marRight w:val="0"/>
      <w:marTop w:val="0"/>
      <w:marBottom w:val="0"/>
      <w:divBdr>
        <w:top w:val="none" w:sz="0" w:space="0" w:color="auto"/>
        <w:left w:val="none" w:sz="0" w:space="0" w:color="auto"/>
        <w:bottom w:val="none" w:sz="0" w:space="0" w:color="auto"/>
        <w:right w:val="none" w:sz="0" w:space="0" w:color="auto"/>
      </w:divBdr>
    </w:div>
    <w:div w:id="1568803256">
      <w:bodyDiv w:val="1"/>
      <w:marLeft w:val="0"/>
      <w:marRight w:val="0"/>
      <w:marTop w:val="0"/>
      <w:marBottom w:val="0"/>
      <w:divBdr>
        <w:top w:val="none" w:sz="0" w:space="0" w:color="auto"/>
        <w:left w:val="none" w:sz="0" w:space="0" w:color="auto"/>
        <w:bottom w:val="none" w:sz="0" w:space="0" w:color="auto"/>
        <w:right w:val="none" w:sz="0" w:space="0" w:color="auto"/>
      </w:divBdr>
    </w:div>
    <w:div w:id="1575822563">
      <w:bodyDiv w:val="1"/>
      <w:marLeft w:val="0"/>
      <w:marRight w:val="0"/>
      <w:marTop w:val="0"/>
      <w:marBottom w:val="0"/>
      <w:divBdr>
        <w:top w:val="none" w:sz="0" w:space="0" w:color="auto"/>
        <w:left w:val="none" w:sz="0" w:space="0" w:color="auto"/>
        <w:bottom w:val="none" w:sz="0" w:space="0" w:color="auto"/>
        <w:right w:val="none" w:sz="0" w:space="0" w:color="auto"/>
      </w:divBdr>
      <w:divsChild>
        <w:div w:id="1823230577">
          <w:marLeft w:val="0"/>
          <w:marRight w:val="0"/>
          <w:marTop w:val="0"/>
          <w:marBottom w:val="0"/>
          <w:divBdr>
            <w:top w:val="none" w:sz="0" w:space="0" w:color="auto"/>
            <w:left w:val="none" w:sz="0" w:space="0" w:color="auto"/>
            <w:bottom w:val="none" w:sz="0" w:space="0" w:color="auto"/>
            <w:right w:val="none" w:sz="0" w:space="0" w:color="auto"/>
          </w:divBdr>
          <w:divsChild>
            <w:div w:id="1013452530">
              <w:marLeft w:val="0"/>
              <w:marRight w:val="0"/>
              <w:marTop w:val="0"/>
              <w:marBottom w:val="0"/>
              <w:divBdr>
                <w:top w:val="none" w:sz="0" w:space="0" w:color="auto"/>
                <w:left w:val="none" w:sz="0" w:space="0" w:color="auto"/>
                <w:bottom w:val="none" w:sz="0" w:space="0" w:color="auto"/>
                <w:right w:val="none" w:sz="0" w:space="0" w:color="auto"/>
              </w:divBdr>
              <w:divsChild>
                <w:div w:id="7724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8094">
      <w:bodyDiv w:val="1"/>
      <w:marLeft w:val="0"/>
      <w:marRight w:val="0"/>
      <w:marTop w:val="0"/>
      <w:marBottom w:val="0"/>
      <w:divBdr>
        <w:top w:val="none" w:sz="0" w:space="0" w:color="auto"/>
        <w:left w:val="none" w:sz="0" w:space="0" w:color="auto"/>
        <w:bottom w:val="none" w:sz="0" w:space="0" w:color="auto"/>
        <w:right w:val="none" w:sz="0" w:space="0" w:color="auto"/>
      </w:divBdr>
    </w:div>
    <w:div w:id="1628272498">
      <w:bodyDiv w:val="1"/>
      <w:marLeft w:val="0"/>
      <w:marRight w:val="0"/>
      <w:marTop w:val="0"/>
      <w:marBottom w:val="0"/>
      <w:divBdr>
        <w:top w:val="none" w:sz="0" w:space="0" w:color="auto"/>
        <w:left w:val="none" w:sz="0" w:space="0" w:color="auto"/>
        <w:bottom w:val="none" w:sz="0" w:space="0" w:color="auto"/>
        <w:right w:val="none" w:sz="0" w:space="0" w:color="auto"/>
      </w:divBdr>
    </w:div>
    <w:div w:id="1634403178">
      <w:bodyDiv w:val="1"/>
      <w:marLeft w:val="0"/>
      <w:marRight w:val="0"/>
      <w:marTop w:val="0"/>
      <w:marBottom w:val="0"/>
      <w:divBdr>
        <w:top w:val="none" w:sz="0" w:space="0" w:color="auto"/>
        <w:left w:val="none" w:sz="0" w:space="0" w:color="auto"/>
        <w:bottom w:val="none" w:sz="0" w:space="0" w:color="auto"/>
        <w:right w:val="none" w:sz="0" w:space="0" w:color="auto"/>
      </w:divBdr>
    </w:div>
    <w:div w:id="1695882887">
      <w:bodyDiv w:val="1"/>
      <w:marLeft w:val="0"/>
      <w:marRight w:val="0"/>
      <w:marTop w:val="0"/>
      <w:marBottom w:val="0"/>
      <w:divBdr>
        <w:top w:val="none" w:sz="0" w:space="0" w:color="auto"/>
        <w:left w:val="none" w:sz="0" w:space="0" w:color="auto"/>
        <w:bottom w:val="none" w:sz="0" w:space="0" w:color="auto"/>
        <w:right w:val="none" w:sz="0" w:space="0" w:color="auto"/>
      </w:divBdr>
    </w:div>
    <w:div w:id="1702710007">
      <w:bodyDiv w:val="1"/>
      <w:marLeft w:val="0"/>
      <w:marRight w:val="0"/>
      <w:marTop w:val="0"/>
      <w:marBottom w:val="0"/>
      <w:divBdr>
        <w:top w:val="none" w:sz="0" w:space="0" w:color="auto"/>
        <w:left w:val="none" w:sz="0" w:space="0" w:color="auto"/>
        <w:bottom w:val="none" w:sz="0" w:space="0" w:color="auto"/>
        <w:right w:val="none" w:sz="0" w:space="0" w:color="auto"/>
      </w:divBdr>
    </w:div>
    <w:div w:id="1713309325">
      <w:bodyDiv w:val="1"/>
      <w:marLeft w:val="0"/>
      <w:marRight w:val="0"/>
      <w:marTop w:val="0"/>
      <w:marBottom w:val="0"/>
      <w:divBdr>
        <w:top w:val="none" w:sz="0" w:space="0" w:color="auto"/>
        <w:left w:val="none" w:sz="0" w:space="0" w:color="auto"/>
        <w:bottom w:val="none" w:sz="0" w:space="0" w:color="auto"/>
        <w:right w:val="none" w:sz="0" w:space="0" w:color="auto"/>
      </w:divBdr>
    </w:div>
    <w:div w:id="1737169005">
      <w:bodyDiv w:val="1"/>
      <w:marLeft w:val="0"/>
      <w:marRight w:val="0"/>
      <w:marTop w:val="0"/>
      <w:marBottom w:val="0"/>
      <w:divBdr>
        <w:top w:val="none" w:sz="0" w:space="0" w:color="auto"/>
        <w:left w:val="none" w:sz="0" w:space="0" w:color="auto"/>
        <w:bottom w:val="none" w:sz="0" w:space="0" w:color="auto"/>
        <w:right w:val="none" w:sz="0" w:space="0" w:color="auto"/>
      </w:divBdr>
    </w:div>
    <w:div w:id="1738548796">
      <w:bodyDiv w:val="1"/>
      <w:marLeft w:val="0"/>
      <w:marRight w:val="0"/>
      <w:marTop w:val="0"/>
      <w:marBottom w:val="0"/>
      <w:divBdr>
        <w:top w:val="none" w:sz="0" w:space="0" w:color="auto"/>
        <w:left w:val="none" w:sz="0" w:space="0" w:color="auto"/>
        <w:bottom w:val="none" w:sz="0" w:space="0" w:color="auto"/>
        <w:right w:val="none" w:sz="0" w:space="0" w:color="auto"/>
      </w:divBdr>
    </w:div>
    <w:div w:id="1747452803">
      <w:bodyDiv w:val="1"/>
      <w:marLeft w:val="0"/>
      <w:marRight w:val="0"/>
      <w:marTop w:val="0"/>
      <w:marBottom w:val="0"/>
      <w:divBdr>
        <w:top w:val="none" w:sz="0" w:space="0" w:color="auto"/>
        <w:left w:val="none" w:sz="0" w:space="0" w:color="auto"/>
        <w:bottom w:val="none" w:sz="0" w:space="0" w:color="auto"/>
        <w:right w:val="none" w:sz="0" w:space="0" w:color="auto"/>
      </w:divBdr>
    </w:div>
    <w:div w:id="1750227131">
      <w:bodyDiv w:val="1"/>
      <w:marLeft w:val="0"/>
      <w:marRight w:val="0"/>
      <w:marTop w:val="0"/>
      <w:marBottom w:val="0"/>
      <w:divBdr>
        <w:top w:val="none" w:sz="0" w:space="0" w:color="auto"/>
        <w:left w:val="none" w:sz="0" w:space="0" w:color="auto"/>
        <w:bottom w:val="none" w:sz="0" w:space="0" w:color="auto"/>
        <w:right w:val="none" w:sz="0" w:space="0" w:color="auto"/>
      </w:divBdr>
    </w:div>
    <w:div w:id="1778676156">
      <w:bodyDiv w:val="1"/>
      <w:marLeft w:val="0"/>
      <w:marRight w:val="0"/>
      <w:marTop w:val="0"/>
      <w:marBottom w:val="0"/>
      <w:divBdr>
        <w:top w:val="none" w:sz="0" w:space="0" w:color="auto"/>
        <w:left w:val="none" w:sz="0" w:space="0" w:color="auto"/>
        <w:bottom w:val="none" w:sz="0" w:space="0" w:color="auto"/>
        <w:right w:val="none" w:sz="0" w:space="0" w:color="auto"/>
      </w:divBdr>
    </w:div>
    <w:div w:id="1784302039">
      <w:bodyDiv w:val="1"/>
      <w:marLeft w:val="0"/>
      <w:marRight w:val="0"/>
      <w:marTop w:val="0"/>
      <w:marBottom w:val="0"/>
      <w:divBdr>
        <w:top w:val="none" w:sz="0" w:space="0" w:color="auto"/>
        <w:left w:val="none" w:sz="0" w:space="0" w:color="auto"/>
        <w:bottom w:val="none" w:sz="0" w:space="0" w:color="auto"/>
        <w:right w:val="none" w:sz="0" w:space="0" w:color="auto"/>
      </w:divBdr>
    </w:div>
    <w:div w:id="1797333266">
      <w:bodyDiv w:val="1"/>
      <w:marLeft w:val="0"/>
      <w:marRight w:val="0"/>
      <w:marTop w:val="0"/>
      <w:marBottom w:val="0"/>
      <w:divBdr>
        <w:top w:val="none" w:sz="0" w:space="0" w:color="auto"/>
        <w:left w:val="none" w:sz="0" w:space="0" w:color="auto"/>
        <w:bottom w:val="none" w:sz="0" w:space="0" w:color="auto"/>
        <w:right w:val="none" w:sz="0" w:space="0" w:color="auto"/>
      </w:divBdr>
    </w:div>
    <w:div w:id="1812939080">
      <w:bodyDiv w:val="1"/>
      <w:marLeft w:val="0"/>
      <w:marRight w:val="0"/>
      <w:marTop w:val="0"/>
      <w:marBottom w:val="0"/>
      <w:divBdr>
        <w:top w:val="none" w:sz="0" w:space="0" w:color="auto"/>
        <w:left w:val="none" w:sz="0" w:space="0" w:color="auto"/>
        <w:bottom w:val="none" w:sz="0" w:space="0" w:color="auto"/>
        <w:right w:val="none" w:sz="0" w:space="0" w:color="auto"/>
      </w:divBdr>
    </w:div>
    <w:div w:id="1817916920">
      <w:bodyDiv w:val="1"/>
      <w:marLeft w:val="0"/>
      <w:marRight w:val="0"/>
      <w:marTop w:val="0"/>
      <w:marBottom w:val="0"/>
      <w:divBdr>
        <w:top w:val="none" w:sz="0" w:space="0" w:color="auto"/>
        <w:left w:val="none" w:sz="0" w:space="0" w:color="auto"/>
        <w:bottom w:val="none" w:sz="0" w:space="0" w:color="auto"/>
        <w:right w:val="none" w:sz="0" w:space="0" w:color="auto"/>
      </w:divBdr>
    </w:div>
    <w:div w:id="1823816899">
      <w:bodyDiv w:val="1"/>
      <w:marLeft w:val="0"/>
      <w:marRight w:val="0"/>
      <w:marTop w:val="0"/>
      <w:marBottom w:val="0"/>
      <w:divBdr>
        <w:top w:val="none" w:sz="0" w:space="0" w:color="auto"/>
        <w:left w:val="none" w:sz="0" w:space="0" w:color="auto"/>
        <w:bottom w:val="none" w:sz="0" w:space="0" w:color="auto"/>
        <w:right w:val="none" w:sz="0" w:space="0" w:color="auto"/>
      </w:divBdr>
    </w:div>
    <w:div w:id="1825125565">
      <w:bodyDiv w:val="1"/>
      <w:marLeft w:val="0"/>
      <w:marRight w:val="0"/>
      <w:marTop w:val="0"/>
      <w:marBottom w:val="0"/>
      <w:divBdr>
        <w:top w:val="none" w:sz="0" w:space="0" w:color="auto"/>
        <w:left w:val="none" w:sz="0" w:space="0" w:color="auto"/>
        <w:bottom w:val="none" w:sz="0" w:space="0" w:color="auto"/>
        <w:right w:val="none" w:sz="0" w:space="0" w:color="auto"/>
      </w:divBdr>
    </w:div>
    <w:div w:id="1848590262">
      <w:bodyDiv w:val="1"/>
      <w:marLeft w:val="0"/>
      <w:marRight w:val="0"/>
      <w:marTop w:val="0"/>
      <w:marBottom w:val="0"/>
      <w:divBdr>
        <w:top w:val="none" w:sz="0" w:space="0" w:color="auto"/>
        <w:left w:val="none" w:sz="0" w:space="0" w:color="auto"/>
        <w:bottom w:val="none" w:sz="0" w:space="0" w:color="auto"/>
        <w:right w:val="none" w:sz="0" w:space="0" w:color="auto"/>
      </w:divBdr>
    </w:div>
    <w:div w:id="1855339447">
      <w:bodyDiv w:val="1"/>
      <w:marLeft w:val="0"/>
      <w:marRight w:val="0"/>
      <w:marTop w:val="0"/>
      <w:marBottom w:val="0"/>
      <w:divBdr>
        <w:top w:val="none" w:sz="0" w:space="0" w:color="auto"/>
        <w:left w:val="none" w:sz="0" w:space="0" w:color="auto"/>
        <w:bottom w:val="none" w:sz="0" w:space="0" w:color="auto"/>
        <w:right w:val="none" w:sz="0" w:space="0" w:color="auto"/>
      </w:divBdr>
    </w:div>
    <w:div w:id="1875120465">
      <w:bodyDiv w:val="1"/>
      <w:marLeft w:val="0"/>
      <w:marRight w:val="0"/>
      <w:marTop w:val="0"/>
      <w:marBottom w:val="0"/>
      <w:divBdr>
        <w:top w:val="none" w:sz="0" w:space="0" w:color="auto"/>
        <w:left w:val="none" w:sz="0" w:space="0" w:color="auto"/>
        <w:bottom w:val="none" w:sz="0" w:space="0" w:color="auto"/>
        <w:right w:val="none" w:sz="0" w:space="0" w:color="auto"/>
      </w:divBdr>
    </w:div>
    <w:div w:id="1947037108">
      <w:bodyDiv w:val="1"/>
      <w:marLeft w:val="0"/>
      <w:marRight w:val="0"/>
      <w:marTop w:val="0"/>
      <w:marBottom w:val="0"/>
      <w:divBdr>
        <w:top w:val="none" w:sz="0" w:space="0" w:color="auto"/>
        <w:left w:val="none" w:sz="0" w:space="0" w:color="auto"/>
        <w:bottom w:val="none" w:sz="0" w:space="0" w:color="auto"/>
        <w:right w:val="none" w:sz="0" w:space="0" w:color="auto"/>
      </w:divBdr>
    </w:div>
    <w:div w:id="1978993619">
      <w:bodyDiv w:val="1"/>
      <w:marLeft w:val="0"/>
      <w:marRight w:val="0"/>
      <w:marTop w:val="0"/>
      <w:marBottom w:val="0"/>
      <w:divBdr>
        <w:top w:val="none" w:sz="0" w:space="0" w:color="auto"/>
        <w:left w:val="none" w:sz="0" w:space="0" w:color="auto"/>
        <w:bottom w:val="none" w:sz="0" w:space="0" w:color="auto"/>
        <w:right w:val="none" w:sz="0" w:space="0" w:color="auto"/>
      </w:divBdr>
    </w:div>
    <w:div w:id="1986161419">
      <w:bodyDiv w:val="1"/>
      <w:marLeft w:val="0"/>
      <w:marRight w:val="0"/>
      <w:marTop w:val="0"/>
      <w:marBottom w:val="0"/>
      <w:divBdr>
        <w:top w:val="none" w:sz="0" w:space="0" w:color="auto"/>
        <w:left w:val="none" w:sz="0" w:space="0" w:color="auto"/>
        <w:bottom w:val="none" w:sz="0" w:space="0" w:color="auto"/>
        <w:right w:val="none" w:sz="0" w:space="0" w:color="auto"/>
      </w:divBdr>
    </w:div>
    <w:div w:id="1990402591">
      <w:bodyDiv w:val="1"/>
      <w:marLeft w:val="0"/>
      <w:marRight w:val="0"/>
      <w:marTop w:val="0"/>
      <w:marBottom w:val="0"/>
      <w:divBdr>
        <w:top w:val="none" w:sz="0" w:space="0" w:color="auto"/>
        <w:left w:val="none" w:sz="0" w:space="0" w:color="auto"/>
        <w:bottom w:val="none" w:sz="0" w:space="0" w:color="auto"/>
        <w:right w:val="none" w:sz="0" w:space="0" w:color="auto"/>
      </w:divBdr>
    </w:div>
    <w:div w:id="2016418735">
      <w:bodyDiv w:val="1"/>
      <w:marLeft w:val="0"/>
      <w:marRight w:val="0"/>
      <w:marTop w:val="0"/>
      <w:marBottom w:val="0"/>
      <w:divBdr>
        <w:top w:val="none" w:sz="0" w:space="0" w:color="auto"/>
        <w:left w:val="none" w:sz="0" w:space="0" w:color="auto"/>
        <w:bottom w:val="none" w:sz="0" w:space="0" w:color="auto"/>
        <w:right w:val="none" w:sz="0" w:space="0" w:color="auto"/>
      </w:divBdr>
    </w:div>
    <w:div w:id="2021618329">
      <w:bodyDiv w:val="1"/>
      <w:marLeft w:val="0"/>
      <w:marRight w:val="0"/>
      <w:marTop w:val="0"/>
      <w:marBottom w:val="0"/>
      <w:divBdr>
        <w:top w:val="none" w:sz="0" w:space="0" w:color="auto"/>
        <w:left w:val="none" w:sz="0" w:space="0" w:color="auto"/>
        <w:bottom w:val="none" w:sz="0" w:space="0" w:color="auto"/>
        <w:right w:val="none" w:sz="0" w:space="0" w:color="auto"/>
      </w:divBdr>
    </w:div>
    <w:div w:id="2026705281">
      <w:bodyDiv w:val="1"/>
      <w:marLeft w:val="0"/>
      <w:marRight w:val="0"/>
      <w:marTop w:val="0"/>
      <w:marBottom w:val="0"/>
      <w:divBdr>
        <w:top w:val="none" w:sz="0" w:space="0" w:color="auto"/>
        <w:left w:val="none" w:sz="0" w:space="0" w:color="auto"/>
        <w:bottom w:val="none" w:sz="0" w:space="0" w:color="auto"/>
        <w:right w:val="none" w:sz="0" w:space="0" w:color="auto"/>
      </w:divBdr>
    </w:div>
    <w:div w:id="2060349649">
      <w:bodyDiv w:val="1"/>
      <w:marLeft w:val="0"/>
      <w:marRight w:val="0"/>
      <w:marTop w:val="0"/>
      <w:marBottom w:val="0"/>
      <w:divBdr>
        <w:top w:val="none" w:sz="0" w:space="0" w:color="auto"/>
        <w:left w:val="none" w:sz="0" w:space="0" w:color="auto"/>
        <w:bottom w:val="none" w:sz="0" w:space="0" w:color="auto"/>
        <w:right w:val="none" w:sz="0" w:space="0" w:color="auto"/>
      </w:divBdr>
    </w:div>
    <w:div w:id="2062361721">
      <w:bodyDiv w:val="1"/>
      <w:marLeft w:val="0"/>
      <w:marRight w:val="0"/>
      <w:marTop w:val="0"/>
      <w:marBottom w:val="0"/>
      <w:divBdr>
        <w:top w:val="none" w:sz="0" w:space="0" w:color="auto"/>
        <w:left w:val="none" w:sz="0" w:space="0" w:color="auto"/>
        <w:bottom w:val="none" w:sz="0" w:space="0" w:color="auto"/>
        <w:right w:val="none" w:sz="0" w:space="0" w:color="auto"/>
      </w:divBdr>
    </w:div>
    <w:div w:id="2073848161">
      <w:bodyDiv w:val="1"/>
      <w:marLeft w:val="0"/>
      <w:marRight w:val="0"/>
      <w:marTop w:val="0"/>
      <w:marBottom w:val="0"/>
      <w:divBdr>
        <w:top w:val="none" w:sz="0" w:space="0" w:color="auto"/>
        <w:left w:val="none" w:sz="0" w:space="0" w:color="auto"/>
        <w:bottom w:val="none" w:sz="0" w:space="0" w:color="auto"/>
        <w:right w:val="none" w:sz="0" w:space="0" w:color="auto"/>
      </w:divBdr>
    </w:div>
    <w:div w:id="2073963537">
      <w:bodyDiv w:val="1"/>
      <w:marLeft w:val="0"/>
      <w:marRight w:val="0"/>
      <w:marTop w:val="0"/>
      <w:marBottom w:val="0"/>
      <w:divBdr>
        <w:top w:val="none" w:sz="0" w:space="0" w:color="auto"/>
        <w:left w:val="none" w:sz="0" w:space="0" w:color="auto"/>
        <w:bottom w:val="none" w:sz="0" w:space="0" w:color="auto"/>
        <w:right w:val="none" w:sz="0" w:space="0" w:color="auto"/>
      </w:divBdr>
    </w:div>
    <w:div w:id="212749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sadalas/komercdarbibas_atbalsta_kontrol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tra.Rudolfa@f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omitejas.esfondi.lv/KIDG/" TargetMode="External"/><Relationship Id="rId4" Type="http://schemas.openxmlformats.org/officeDocument/2006/relationships/settings" Target="settings.xml"/><Relationship Id="rId9" Type="http://schemas.openxmlformats.org/officeDocument/2006/relationships/hyperlink" Target="https://www.csb.gov.lv/lv/statistika/statistikas-temas/socialie-procesi/mba/tabulas/metadati-majsaimniecibu-budzets-un-paterina-izdevumi"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esfondi.lv/finansu-un-raditaju-plani-to-izpilde" TargetMode="External"/><Relationship Id="rId2" Type="http://schemas.openxmlformats.org/officeDocument/2006/relationships/hyperlink" Target="https://ec.europa.eu/regional_policy/sources/docgener/informat/2014/guidance_withdrawals_recoveries_en.pdf" TargetMode="External"/><Relationship Id="rId1" Type="http://schemas.openxmlformats.org/officeDocument/2006/relationships/hyperlink" Target="https://komitejas.esfondi.lv/KIDG/Forms/AllItems.aspx?RootFolder=%2FKIDG%2F05%20%2D%20Darba%20grupas%20rakstisk%C4%81s%20proced%C5%ABras%2F2019%2F9%20%2D%20Platjoslas%20ieguld%C4%ABjumu%20izv%C4%93rt%C4%93jums%20%28SM%29&amp;FolderCTID=0x0120001676CB5150F529479DB740572E375E7C&amp;View=%7BEB5AA97A%2DD1E7%2D4C18%2D85BF%2D8375EE56320F%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92BFB-4C08-4DC1-919E-5926A045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2376</TotalTime>
  <Pages>58</Pages>
  <Words>70485</Words>
  <Characters>40178</Characters>
  <Application>Microsoft Office Word</Application>
  <DocSecurity>0</DocSecurity>
  <Lines>334</Lines>
  <Paragraphs>220</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Finanšu ministrija</Company>
  <LinksUpToDate>false</LinksUpToDate>
  <CharactersWithSpaces>110443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Informatīvā ziņojuma izziņa</dc:subject>
  <dc:creator>astra.rudolfa@fm.gov.lv</dc:creator>
  <cp:keywords/>
  <dc:description>67083925, astra.rudolfa@fm.gov.lv</dc:description>
  <cp:lastModifiedBy>Svetlana Ševčenko</cp:lastModifiedBy>
  <cp:revision>390</cp:revision>
  <cp:lastPrinted>2020-02-13T11:56:00Z</cp:lastPrinted>
  <dcterms:created xsi:type="dcterms:W3CDTF">2019-08-23T08:49:00Z</dcterms:created>
  <dcterms:modified xsi:type="dcterms:W3CDTF">2020-02-27T10:46:00Z</dcterms:modified>
</cp:coreProperties>
</file>